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Do variations in primary care practice characteristics explain the effect of a financial incentive scheme on antibiotic prescribing? A longitudinal study of the Quality Premium intervention in NHS England</w:t>
      </w: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 xml:space="preserve">Abstract </w:t>
      </w:r>
    </w:p>
    <w:p w:rsidR="00676D27" w:rsidRPr="00D279FF" w:rsidRDefault="00676D27" w:rsidP="00676D27">
      <w:pPr>
        <w:autoSpaceDE w:val="0"/>
        <w:autoSpaceDN w:val="0"/>
        <w:adjustRightInd w:val="0"/>
        <w:spacing w:line="276" w:lineRule="auto"/>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Background</w:t>
      </w:r>
    </w:p>
    <w:p w:rsidR="00676D27" w:rsidRPr="00D279FF" w:rsidRDefault="00676D27" w:rsidP="00676D27">
      <w:pPr>
        <w:autoSpaceDE w:val="0"/>
        <w:autoSpaceDN w:val="0"/>
        <w:adjustRightInd w:val="0"/>
        <w:spacing w:line="276"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About 73</w:t>
      </w:r>
      <w:r w:rsidRPr="00D279FF">
        <w:rPr>
          <w:rFonts w:ascii="Times New Roman" w:hAnsi="Times New Roman" w:cs="Times New Roman"/>
          <w:noProof/>
          <w:color w:val="000000" w:themeColor="text1"/>
          <w:sz w:val="24"/>
          <w:szCs w:val="24"/>
        </w:rPr>
        <w:t>%</w:t>
      </w:r>
      <w:r w:rsidRPr="00D279FF">
        <w:rPr>
          <w:rFonts w:ascii="Times New Roman" w:hAnsi="Times New Roman" w:cs="Times New Roman"/>
          <w:color w:val="000000" w:themeColor="text1"/>
          <w:sz w:val="24"/>
          <w:szCs w:val="24"/>
        </w:rPr>
        <w:t xml:space="preserve"> of antibiotics in England are prescribed from primary care practices.</w:t>
      </w:r>
    </w:p>
    <w:p w:rsidR="00676D27" w:rsidRPr="00D279FF" w:rsidRDefault="00676D27" w:rsidP="00676D27">
      <w:pPr>
        <w:autoSpaceDE w:val="0"/>
        <w:autoSpaceDN w:val="0"/>
        <w:adjustRightInd w:val="0"/>
        <w:spacing w:line="276" w:lineRule="auto"/>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Aim</w:t>
      </w:r>
    </w:p>
    <w:p w:rsidR="00676D27" w:rsidRPr="00D279FF" w:rsidRDefault="00676D27" w:rsidP="00676D27">
      <w:pPr>
        <w:spacing w:line="276"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To investigate whether effects of the </w:t>
      </w:r>
      <w:r w:rsidRPr="00D279FF">
        <w:rPr>
          <w:rFonts w:ascii="Times New Roman" w:hAnsi="Times New Roman" w:cs="Times New Roman"/>
          <w:noProof/>
          <w:color w:val="000000" w:themeColor="text1"/>
          <w:sz w:val="24"/>
          <w:szCs w:val="24"/>
          <w:shd w:val="clear" w:color="auto" w:fill="FFFFFF"/>
        </w:rPr>
        <w:t>Quality</w:t>
      </w:r>
      <w:r w:rsidRPr="00D279FF">
        <w:rPr>
          <w:rFonts w:ascii="Times New Roman" w:hAnsi="Times New Roman" w:cs="Times New Roman"/>
          <w:color w:val="000000" w:themeColor="text1"/>
          <w:sz w:val="24"/>
          <w:szCs w:val="24"/>
          <w:shd w:val="clear" w:color="auto" w:fill="FFFFFF"/>
        </w:rPr>
        <w:t xml:space="preserve"> Premium </w:t>
      </w:r>
      <w:r w:rsidRPr="00D279FF">
        <w:rPr>
          <w:rFonts w:ascii="Times New Roman" w:hAnsi="Times New Roman" w:cs="Times New Roman"/>
          <w:color w:val="000000" w:themeColor="text1"/>
          <w:sz w:val="24"/>
          <w:szCs w:val="24"/>
        </w:rPr>
        <w:t xml:space="preserve">(QP), </w:t>
      </w:r>
      <w:r w:rsidR="00044B8E" w:rsidRPr="00D279FF">
        <w:rPr>
          <w:rFonts w:ascii="Times New Roman" w:hAnsi="Times New Roman" w:cs="Times New Roman"/>
          <w:color w:val="000000" w:themeColor="text1"/>
          <w:sz w:val="24"/>
          <w:szCs w:val="24"/>
        </w:rPr>
        <w:t>which provided performance</w:t>
      </w:r>
      <w:r w:rsidR="007F6F99" w:rsidRPr="00D279FF">
        <w:rPr>
          <w:rFonts w:ascii="Times New Roman" w:hAnsi="Times New Roman" w:cs="Times New Roman"/>
          <w:color w:val="000000" w:themeColor="text1"/>
          <w:sz w:val="24"/>
          <w:szCs w:val="24"/>
        </w:rPr>
        <w:t>-</w:t>
      </w:r>
      <w:r w:rsidR="00044B8E" w:rsidRPr="00D279FF">
        <w:rPr>
          <w:rFonts w:ascii="Times New Roman" w:hAnsi="Times New Roman" w:cs="Times New Roman"/>
          <w:color w:val="000000" w:themeColor="text1"/>
          <w:sz w:val="24"/>
          <w:szCs w:val="24"/>
        </w:rPr>
        <w:t xml:space="preserve">related financial incentives to Clinical Commissioning Groups, </w:t>
      </w:r>
      <w:r w:rsidRPr="00D279FF">
        <w:rPr>
          <w:rFonts w:ascii="Times New Roman" w:hAnsi="Times New Roman" w:cs="Times New Roman"/>
          <w:color w:val="000000" w:themeColor="text1"/>
          <w:sz w:val="24"/>
          <w:szCs w:val="24"/>
        </w:rPr>
        <w:t>could be explained by practice characteristics that contribute to variations in antibiotic prescribing.</w:t>
      </w:r>
    </w:p>
    <w:p w:rsidR="00676D27" w:rsidRPr="00D279FF" w:rsidRDefault="00676D27" w:rsidP="00676D27">
      <w:pPr>
        <w:autoSpaceDE w:val="0"/>
        <w:autoSpaceDN w:val="0"/>
        <w:adjustRightInd w:val="0"/>
        <w:spacing w:line="276" w:lineRule="auto"/>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Design and setting</w:t>
      </w:r>
    </w:p>
    <w:p w:rsidR="00676D27" w:rsidRPr="00D279FF" w:rsidRDefault="00676D27" w:rsidP="00676D27">
      <w:pPr>
        <w:autoSpaceDE w:val="0"/>
        <w:autoSpaceDN w:val="0"/>
        <w:adjustRightInd w:val="0"/>
        <w:spacing w:line="276"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rPr>
        <w:t xml:space="preserve">We analysed longitudinal monthly prescribing data for 6,251 primary care practices in England </w:t>
      </w:r>
      <w:r w:rsidRPr="00D279FF">
        <w:rPr>
          <w:rFonts w:ascii="Times New Roman" w:hAnsi="Times New Roman" w:cs="Times New Roman"/>
          <w:color w:val="000000" w:themeColor="text1"/>
          <w:sz w:val="24"/>
          <w:szCs w:val="24"/>
          <w:shd w:val="clear" w:color="auto" w:fill="FFFFFF"/>
        </w:rPr>
        <w:t>from April 2014 to March 2016.</w:t>
      </w:r>
    </w:p>
    <w:p w:rsidR="00676D27" w:rsidRPr="00D279FF" w:rsidRDefault="00676D27" w:rsidP="00676D27">
      <w:pPr>
        <w:autoSpaceDE w:val="0"/>
        <w:autoSpaceDN w:val="0"/>
        <w:adjustRightInd w:val="0"/>
        <w:spacing w:line="276" w:lineRule="auto"/>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Method</w:t>
      </w:r>
    </w:p>
    <w:p w:rsidR="00676D27" w:rsidRPr="00D279FF" w:rsidRDefault="00676D27" w:rsidP="00676D27">
      <w:pPr>
        <w:autoSpaceDE w:val="0"/>
        <w:autoSpaceDN w:val="0"/>
        <w:adjustRightInd w:val="0"/>
        <w:spacing w:line="276"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shd w:val="clear" w:color="auto" w:fill="FFFFFF"/>
        </w:rPr>
        <w:t xml:space="preserve">We fitted </w:t>
      </w:r>
      <w:r w:rsidRPr="00D279FF">
        <w:rPr>
          <w:rFonts w:ascii="Times New Roman" w:hAnsi="Times New Roman" w:cs="Times New Roman"/>
          <w:color w:val="000000" w:themeColor="text1"/>
          <w:sz w:val="24"/>
          <w:szCs w:val="24"/>
        </w:rPr>
        <w:t>linear generalised estimating equations models examining the effect of 2015/16 QP on number of antibiotic items per Specific Therapeutic group Age-sex Related Prescribing Unit (STAR-PU) prescribed, adjusting for seasonality and months since implementation; and examined consistency of effects after further adjustment for variations in practice characteristics, including practice workforce, co-morbidities prevalence, prescribing rates of non-antibiotic drugs, and deprivation.</w:t>
      </w:r>
    </w:p>
    <w:p w:rsidR="00676D27" w:rsidRPr="00D279FF" w:rsidRDefault="00676D27" w:rsidP="00676D27">
      <w:pPr>
        <w:autoSpaceDE w:val="0"/>
        <w:autoSpaceDN w:val="0"/>
        <w:adjustRightInd w:val="0"/>
        <w:spacing w:line="276" w:lineRule="auto"/>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Results</w:t>
      </w:r>
    </w:p>
    <w:p w:rsidR="00676D27" w:rsidRPr="00D279FF" w:rsidRDefault="00676D27" w:rsidP="00676D27">
      <w:pPr>
        <w:autoSpaceDE w:val="0"/>
        <w:autoSpaceDN w:val="0"/>
        <w:adjustRightInd w:val="0"/>
        <w:spacing w:line="276"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Antibiotics prescribed in primary care practices in England reduced by -0.172 items/STAR-PU (95% CI: -0.180 to -0.171) after 2015/16 QP implementation, with slight increases in the months following April 2015 (+0.014 items/STAR-PU; 95% CI: +0.013 to +0.014). Adjusting the model for practice characteristics, the immediate and month-on-month effects following implementation remained consistent, with slight attenuation in immediate reduction from -0.172 to -0.166 items/STAR-PU. In subgroup analysis, the QP effect was significantly greater among the top 20% prescribing practices (interaction p&lt;0.001). Practices with low workforce and those with higher diabetes prevalence had greater reductions in prescribing following 2015/16 QP compared to other practices (interaction p&lt;0.001).</w:t>
      </w:r>
    </w:p>
    <w:p w:rsidR="00676D27" w:rsidRPr="00D279FF" w:rsidRDefault="00676D27" w:rsidP="00676D27">
      <w:pPr>
        <w:autoSpaceDE w:val="0"/>
        <w:autoSpaceDN w:val="0"/>
        <w:adjustRightInd w:val="0"/>
        <w:spacing w:line="276" w:lineRule="auto"/>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Conclusion</w:t>
      </w:r>
    </w:p>
    <w:p w:rsidR="007F6F99" w:rsidRPr="00D279FF" w:rsidRDefault="00676D27" w:rsidP="007F6F99">
      <w:pPr>
        <w:autoSpaceDE w:val="0"/>
        <w:autoSpaceDN w:val="0"/>
        <w:adjustRightInd w:val="0"/>
        <w:spacing w:line="276"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shd w:val="clear" w:color="auto" w:fill="FFFFFF"/>
        </w:rPr>
        <w:t>High prescribing practices, those with low workforce and high diabetes prevalence had more reduction following the QP compared to other practices</w:t>
      </w:r>
      <w:r w:rsidR="007F6F99" w:rsidRPr="00D279FF">
        <w:rPr>
          <w:rFonts w:ascii="Times New Roman" w:hAnsi="Times New Roman" w:cs="Times New Roman"/>
          <w:color w:val="000000" w:themeColor="text1"/>
          <w:sz w:val="24"/>
          <w:szCs w:val="24"/>
          <w:shd w:val="clear" w:color="auto" w:fill="FFFFFF"/>
        </w:rPr>
        <w:t>, highlighting the need for targeted support of these practices and appropriate resourcing of primary care.</w:t>
      </w:r>
    </w:p>
    <w:p w:rsidR="00676D27" w:rsidRPr="00D279FF" w:rsidRDefault="00676D27" w:rsidP="00676D27">
      <w:pPr>
        <w:autoSpaceDE w:val="0"/>
        <w:autoSpaceDN w:val="0"/>
        <w:adjustRightInd w:val="0"/>
        <w:spacing w:line="276" w:lineRule="auto"/>
        <w:jc w:val="both"/>
        <w:rPr>
          <w:rFonts w:ascii="Times New Roman" w:hAnsi="Times New Roman" w:cs="Times New Roman"/>
          <w:color w:val="000000" w:themeColor="text1"/>
          <w:sz w:val="24"/>
          <w:szCs w:val="24"/>
        </w:rPr>
      </w:pPr>
    </w:p>
    <w:p w:rsidR="00676D27" w:rsidRPr="00D279FF" w:rsidRDefault="00676D27" w:rsidP="00676D27">
      <w:pPr>
        <w:jc w:val="both"/>
        <w:rPr>
          <w:rFonts w:ascii="Times New Roman" w:hAnsi="Times New Roman" w:cs="Times New Roman"/>
          <w:color w:val="000000" w:themeColor="text1"/>
          <w:sz w:val="24"/>
          <w:szCs w:val="24"/>
        </w:rPr>
      </w:pPr>
      <w:r w:rsidRPr="00D279FF">
        <w:rPr>
          <w:rFonts w:ascii="Times New Roman" w:hAnsi="Times New Roman" w:cs="Times New Roman"/>
          <w:i/>
          <w:color w:val="000000" w:themeColor="text1"/>
          <w:sz w:val="24"/>
          <w:szCs w:val="24"/>
        </w:rPr>
        <w:lastRenderedPageBreak/>
        <w:t xml:space="preserve">Keywords: </w:t>
      </w:r>
      <w:r w:rsidRPr="00D279FF">
        <w:rPr>
          <w:rFonts w:ascii="Times New Roman" w:hAnsi="Times New Roman" w:cs="Times New Roman"/>
          <w:color w:val="000000" w:themeColor="text1"/>
          <w:sz w:val="24"/>
          <w:szCs w:val="24"/>
        </w:rPr>
        <w:t>Antibiotics, Quality Premium, Resistance, Financial Incentive, Primary Care, General Practice</w:t>
      </w:r>
    </w:p>
    <w:p w:rsidR="00676D27" w:rsidRPr="00D279FF" w:rsidRDefault="00676D27" w:rsidP="00676D27">
      <w:pPr>
        <w:jc w:val="both"/>
        <w:rPr>
          <w:rFonts w:ascii="Times New Roman" w:hAnsi="Times New Roman" w:cs="Times New Roman"/>
          <w:i/>
          <w:color w:val="000000" w:themeColor="text1"/>
          <w:sz w:val="24"/>
          <w:szCs w:val="24"/>
        </w:rPr>
      </w:pPr>
    </w:p>
    <w:p w:rsidR="00676D27" w:rsidRPr="00D279FF" w:rsidRDefault="00676D27" w:rsidP="00676D27">
      <w:pPr>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 xml:space="preserve">How </w:t>
      </w:r>
      <w:proofErr w:type="gramStart"/>
      <w:r w:rsidRPr="00D279FF">
        <w:rPr>
          <w:rFonts w:ascii="Times New Roman" w:hAnsi="Times New Roman" w:cs="Times New Roman"/>
          <w:i/>
          <w:color w:val="000000" w:themeColor="text1"/>
          <w:sz w:val="24"/>
          <w:szCs w:val="24"/>
        </w:rPr>
        <w:t>this fits</w:t>
      </w:r>
      <w:proofErr w:type="gramEnd"/>
      <w:r w:rsidRPr="00D279FF">
        <w:rPr>
          <w:rFonts w:ascii="Times New Roman" w:hAnsi="Times New Roman" w:cs="Times New Roman"/>
          <w:i/>
          <w:color w:val="000000" w:themeColor="text1"/>
          <w:sz w:val="24"/>
          <w:szCs w:val="24"/>
        </w:rPr>
        <w:t xml:space="preserve"> in:</w:t>
      </w:r>
    </w:p>
    <w:p w:rsidR="00676D27" w:rsidRPr="00D279FF" w:rsidRDefault="00676D27" w:rsidP="00676D27">
      <w:pPr>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The Quality Premium (QP) has previously been associated with reductions in antibiotic prescribing in primary care practices in England.</w:t>
      </w:r>
    </w:p>
    <w:p w:rsidR="00676D27" w:rsidRPr="00D279FF" w:rsidRDefault="00676D27" w:rsidP="00676D27">
      <w:pPr>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Our study is the first to investigate for other possible explanations of the effect of the QP on antibiotic prescribing in primary care practices, strengthening the evidence on the effectiveness of this financial incentive scheme.</w:t>
      </w:r>
    </w:p>
    <w:p w:rsidR="00676D27" w:rsidRPr="00D279FF" w:rsidRDefault="00676D27" w:rsidP="00676D27">
      <w:pPr>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The results show a consistent effect of QP after accounting for differences in practice characteristics, indicating its inclusiveness in reaching diverse populations.</w:t>
      </w:r>
    </w:p>
    <w:p w:rsidR="00676D27" w:rsidRPr="00D279FF" w:rsidRDefault="00676D27" w:rsidP="00676D27">
      <w:pPr>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The study provides novel evidence on the differential effect of QP, emphasising the role of Clinical Commissioning Groups in identifying and supporting higher prescribing practices, understaffed practices and those dealing with a high prevalence of comorbidities.</w:t>
      </w:r>
    </w:p>
    <w:p w:rsidR="00676D27" w:rsidRPr="00D279FF" w:rsidRDefault="00676D27" w:rsidP="00676D27">
      <w:pPr>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br w:type="page"/>
      </w: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lastRenderedPageBreak/>
        <w:t>INTRODUCTION</w:t>
      </w:r>
    </w:p>
    <w:p w:rsidR="00676D27" w:rsidRPr="00D279FF" w:rsidRDefault="00676D27" w:rsidP="00676D27">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The overuse of antibiotics drives resistance through t</w:t>
      </w:r>
      <w:r w:rsidRPr="00D279FF">
        <w:rPr>
          <w:rFonts w:ascii="Times New Roman" w:hAnsi="Times New Roman" w:cs="Times New Roman"/>
          <w:color w:val="000000" w:themeColor="text1"/>
          <w:sz w:val="24"/>
          <w:szCs w:val="24"/>
          <w:shd w:val="clear" w:color="auto" w:fill="FFFFFF"/>
        </w:rPr>
        <w:t>he selection of antibiotic-resistant strains of organisms.</w:t>
      </w:r>
      <w:r w:rsidRPr="00D279FF">
        <w:rPr>
          <w:rFonts w:ascii="Times New Roman" w:hAnsi="Times New Roman" w:cs="Times New Roman"/>
          <w:color w:val="000000" w:themeColor="text1"/>
          <w:sz w:val="24"/>
          <w:szCs w:val="24"/>
          <w:shd w:val="clear" w:color="auto" w:fill="FFFFFF"/>
        </w:rPr>
        <w:fldChar w:fldCharType="begin"/>
      </w:r>
      <w:r w:rsidRPr="00D279FF">
        <w:rPr>
          <w:rFonts w:ascii="Times New Roman" w:hAnsi="Times New Roman" w:cs="Times New Roman"/>
          <w:color w:val="000000" w:themeColor="text1"/>
          <w:sz w:val="24"/>
          <w:szCs w:val="24"/>
          <w:shd w:val="clear" w:color="auto" w:fill="FFFFFF"/>
        </w:rPr>
        <w:instrText xml:space="preserve"> ADDIN ZOTERO_ITEM CSL_CITATION {"citationID":"PVQyADjY","properties":{"formattedCitation":"\\super 1\\uc0\\u8211{}3\\nosupersub{}","plainCitation":"1–3","noteIndex":0},"citationItems":[{"id":1589,"uris":["http://zotero.org/users/2127173/items/L832V5ZT"],"uri":["http://zotero.org/users/2127173/items/L832V5ZT"],"itemData":{"id":1589,"type":"article-journal","abstract":"AbstractObjectives.  The majority of HA-MRSA infections are caused by endogenous infection and by only a small number of clones. The reasons for the success of","container-title":"Journal of Antimicrobial Chemotherapy","DOI":"10.1093/jac/dks245","ISSN":"0305-7453","issue":"10","journalAbbreviation":"J Antimicrob Chemother","language":"en","page":"2514-2522","source":"academic.oup.com","title":"Shift in dominant hospital-associated methicillin-resistant Staphylococcus aureus (HA-MRSA) clones over time","volume":"67","author":[{"family":"Knight","given":"Gwenan M."},{"family":"Budd","given":"Emma L."},{"family":"Whitney","given":"Laura"},{"family":"Thornley","given":"Alastair"},{"family":"Al-Ghusein","given":"Hasan"},{"family":"Planche","given":"Timothy"},{"family":"Lindsay","given":"Jodi A."}],"issued":{"date-parts":[["2012",10,1]]}},"label":"page"},{"id":1617,"uris":["http://zotero.org/users/2127173/items/7RS22MJF"],"uri":["http://zotero.org/users/2127173/items/7RS22MJF"],"itemData":{"id":1617,"type":"article-journal","abstract":"Antibiotics are the ‘wonder drugs’ to combat microbes. For decades, multiple varieties of antibiotics have not only been used for therapeutic purposes but practiced prophylactically across other industries such as agriculture and animal husbandry. Uncertainty has arisen, as microbes have become resistant to common antibiotics while the host remains unaware that antibiotic resistance has emerged. The aim of this review is to explore the origin, development, and the current state of antibiotic resistance, regulation, and challenges by examining available literature. We found that antibiotic resistance is increasing at an alarming rate. A growing list of infections i.e., pneumonia, tuberculosis, and gonorrhea are becoming harder and at times impossible to treat while antibiotics are becoming less effective. Antibiotic-resistant infections correlate with the level of antibiotic consumption. Non-judicial use of antibiotics is mostly responsible for making the microbes resistant. The antibiotic treatment repertoire for existing or emerging hard-to-treat multidrug-resistant bacterial infections is limited, resulting in high morbidity and mortality report. This review article reiterates the optimal use of antimicrobial medicines in human and animal health to reduce antibiotic resistance. Evidence from the literature suggests that the knowledge regarding antibiotic resistance in the population is still scarce. Therefore, the need of educating patients and the public is essential to fight against the antimicrobial resistance battle.","container-title":"Cureus","DOI":"10.7759/cureus.1403","ISSN":"2168-8184","issue":"6","journalAbbreviation":"Cureus","note":"PMID: 28852600\nPMCID: PMC5573035","source":"PubMed Central","title":"A Review on Antibiotic Resistance: Alarm Bells are Ringing","title-short":"A Review on Antibiotic Resistance","URL":"https://www.ncbi.nlm.nih.gov/pmc/articles/PMC5573035/","volume":"9","author":[{"family":"Zaman","given":"Sojib Bin"},{"family":"Hussain","given":"Muhammed Awlad"},{"family":"Nye","given":"Rachel"},{"family":"Mehta","given":"Varshil"},{"family":"Mamun","given":"Kazi Taib"},{"family":"Hossain","given":"Naznin"}],"accessed":{"date-parts":[["2019",9,9]]}},"label":"page"},{"id":1584,"uris":["http://zotero.org/users/2127173/items/HLPALRID"],"uri":["http://zotero.org/users/2127173/items/HLPALRID"],"itemData":{"id":1584,"type":"article-journal","container-title":"HM Government and Welcome Trust: UK","source":"Google Scholar","title":"Tackling drug-resistant infections globally: Final report and recommendations. 2016","title-short":"Tackling drug-resistant infections globally","author":[{"family":"O’Neill","given":"Jim"}],"issued":{"date-parts":[["2018"]]}}}],"schema":"https://github.com/citation-style-language/schema/raw/master/csl-citation.json"}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Pr="00D279FF">
        <w:rPr>
          <w:rFonts w:ascii="Times New Roman" w:hAnsi="Times New Roman" w:cs="Times New Roman"/>
          <w:color w:val="000000" w:themeColor="text1"/>
          <w:sz w:val="24"/>
          <w:szCs w:val="24"/>
          <w:vertAlign w:val="superscript"/>
        </w:rPr>
        <w:t>1–3</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w:t>
      </w:r>
      <w:r w:rsidRPr="00D279FF">
        <w:rPr>
          <w:rFonts w:ascii="Times New Roman" w:hAnsi="Times New Roman" w:cs="Times New Roman"/>
          <w:color w:val="000000" w:themeColor="text1"/>
          <w:sz w:val="24"/>
          <w:szCs w:val="24"/>
        </w:rPr>
        <w:t>Primary care is the main contributor to antibiotic usage in England, constituting 72.7% of antibiotics prescribed in 2017.</w:t>
      </w:r>
      <w:r w:rsidRPr="00D279FF">
        <w:rPr>
          <w:rFonts w:ascii="Times New Roman" w:hAnsi="Times New Roman" w:cs="Times New Roman"/>
          <w:color w:val="000000" w:themeColor="text1"/>
          <w:sz w:val="24"/>
          <w:szCs w:val="24"/>
          <w:shd w:val="clear" w:color="auto" w:fill="FFFFFF"/>
        </w:rPr>
        <w:fldChar w:fldCharType="begin"/>
      </w:r>
      <w:r w:rsidRPr="00D279FF">
        <w:rPr>
          <w:rFonts w:ascii="Times New Roman" w:hAnsi="Times New Roman" w:cs="Times New Roman"/>
          <w:color w:val="000000" w:themeColor="text1"/>
          <w:sz w:val="24"/>
          <w:szCs w:val="24"/>
          <w:shd w:val="clear" w:color="auto" w:fill="FFFFFF"/>
        </w:rPr>
        <w:instrText xml:space="preserve"> ADDIN ZOTERO_ITEM CSL_CITATION {"citationID":"sXsjjfeG","properties":{"formattedCitation":"\\super 4\\nosupersub{}","plainCitation":"4","noteIndex":0},"citationItems":[{"id":1025,"uris":["http://zotero.org/users/2127173/items/DACBI4CS"],"uri":["http://zotero.org/users/2127173/items/DACBI4CS"],"itemData":{"id":1025,"type":"article","language":"en","title":"English surveillance programme for antimicrobial utilisation and resistance (ESPAUR) Report 2018","URL":"https://assets.publishing.service.gov.uk/government/uploads/system/uploads/attachment_data/file/759975/ESPAUR_2018_report.pdf","author":[{"family":"Public Health England","given":""}],"accessed":{"date-parts":[["2019",1,21]]},"issued":{"date-parts":[["2018"]]}}}],"schema":"https://github.com/citation-style-language/schema/raw/master/csl-citation.json"}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Pr="00D279FF">
        <w:rPr>
          <w:rFonts w:ascii="Times New Roman" w:hAnsi="Times New Roman" w:cs="Times New Roman"/>
          <w:color w:val="000000" w:themeColor="text1"/>
          <w:sz w:val="24"/>
          <w:szCs w:val="24"/>
          <w:vertAlign w:val="superscript"/>
        </w:rPr>
        <w:t>4</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rPr>
        <w:t xml:space="preserve"> It is estimated that 9-23% of antibiotic prescriptions in primary care practices in England between 2013 and 2015 were inappropriate based on prescribing guidelines.</w:t>
      </w:r>
      <w:r w:rsidRPr="00D279FF">
        <w:rPr>
          <w:rFonts w:ascii="Times New Roman" w:hAnsi="Times New Roman" w:cs="Times New Roman"/>
          <w:color w:val="000000" w:themeColor="text1"/>
          <w:sz w:val="24"/>
          <w:szCs w:val="24"/>
        </w:rPr>
        <w:fldChar w:fldCharType="begin"/>
      </w:r>
      <w:r w:rsidRPr="00D279FF">
        <w:rPr>
          <w:rFonts w:ascii="Times New Roman" w:hAnsi="Times New Roman" w:cs="Times New Roman"/>
          <w:color w:val="000000" w:themeColor="text1"/>
          <w:sz w:val="24"/>
          <w:szCs w:val="24"/>
        </w:rPr>
        <w:instrText xml:space="preserve"> ADDIN ZOTERO_ITEM CSL_CITATION {"citationID":"V8Kx1Upt","properties":{"formattedCitation":"\\super 5\\nosupersub{}","plainCitation":"5","noteIndex":0},"citationItems":[{"id":1544,"uris":["http://zotero.org/users/2127173/items/VWLM9I87"],"uri":["http://zotero.org/users/2127173/items/VWLM9I87"],"itemData":{"id":1544,"type":"article-journal","abstract":"AbstractObjectives.  To identify and quantify inappropriate systemic antibiotic prescribing in primary care in England, and ultimately to determine the potentia","container-title":"Journal of Antimicrobial Chemotherapy","DOI":"10.1093/jac/dkx500","ISSN":"0305-7453","issue":"suppl_2","journalAbbreviation":"J Antimicrob Chemother","language":"en","page":"ii36-ii43","source":"academic.oup.com","title":"Potential for reducing inappropriate antibiotic prescribing in English primary care","volume":"73","author":[{"family":"Smieszek","given":"Timo"},{"family":"Pouwels","given":"Koen B."},{"family":"Dolk","given":"F. Christiaan K."},{"family":"Smith","given":"David R. M."},{"family":"Hopkins","given":"Susan"},{"family":"Sharland","given":"Mike"},{"family":"Hay","given":"Alastair D."},{"family":"Moore","given":"Michael V."},{"family":"Robotham","given":"Julie V."}],"issued":{"date-parts":[["2018",2,1]]}}}],"schema":"https://github.com/citation-style-language/schema/raw/master/csl-citation.json"}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Pr="00D279FF">
        <w:rPr>
          <w:rFonts w:ascii="Times New Roman" w:hAnsi="Times New Roman" w:cs="Times New Roman"/>
          <w:color w:val="000000" w:themeColor="text1"/>
          <w:sz w:val="24"/>
          <w:szCs w:val="24"/>
          <w:vertAlign w:val="superscript"/>
        </w:rPr>
        <w:t>5</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w:t>
      </w:r>
    </w:p>
    <w:p w:rsidR="00F149A0" w:rsidRPr="00D279FF" w:rsidRDefault="00F149A0" w:rsidP="00F149A0">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Antibiotic prescribing is recommended in the management of respiratory tract infections</w:t>
      </w:r>
      <w:r w:rsidR="00E84F86" w:rsidRPr="00D279FF">
        <w:rPr>
          <w:rFonts w:ascii="Times New Roman" w:hAnsi="Times New Roman" w:cs="Times New Roman"/>
          <w:color w:val="000000" w:themeColor="text1"/>
          <w:sz w:val="24"/>
          <w:szCs w:val="24"/>
        </w:rPr>
        <w:t xml:space="preserve"> (RTI)</w:t>
      </w:r>
      <w:r w:rsidRPr="00D279FF">
        <w:rPr>
          <w:rFonts w:ascii="Times New Roman" w:hAnsi="Times New Roman" w:cs="Times New Roman"/>
          <w:color w:val="000000" w:themeColor="text1"/>
          <w:sz w:val="24"/>
          <w:szCs w:val="24"/>
        </w:rPr>
        <w:t xml:space="preserve"> in some patients, including older patients with diabetes or heart failure, who are considered at particular risk of developing complications.</w:t>
      </w:r>
      <w:r w:rsidRPr="00D279FF">
        <w:rPr>
          <w:rFonts w:ascii="Times New Roman" w:hAnsi="Times New Roman" w:cs="Times New Roman"/>
          <w:color w:val="000000" w:themeColor="text1"/>
          <w:sz w:val="24"/>
          <w:szCs w:val="24"/>
        </w:rPr>
        <w:fldChar w:fldCharType="begin"/>
      </w:r>
      <w:r w:rsidRPr="00D279FF">
        <w:rPr>
          <w:rFonts w:ascii="Times New Roman" w:hAnsi="Times New Roman" w:cs="Times New Roman"/>
          <w:color w:val="000000" w:themeColor="text1"/>
          <w:sz w:val="24"/>
          <w:szCs w:val="24"/>
        </w:rPr>
        <w:instrText xml:space="preserve"> ADDIN ZOTERO_ITEM CSL_CITATION {"citationID":"vnB7NrpG","properties":{"formattedCitation":"\\super 6\\nosupersub{}","plainCitation":"6","noteIndex":0},"citationItems":[{"id":1255,"uris":["http://zotero.org/users/2127173/items/729ITZMK"],"uri":["http://zotero.org/users/2127173/items/729ITZMK"],"itemData":{"id":1255,"type":"article","language":"eng","title":"Respiratory tract infections (self-limiting): prescribing antibiotics","title-short":"Overview | Respiratory tract infections (self-limiting)","URL":"https://www.nice.org.uk/guidance/cg69/resources/respiratory-tract-infections-selflimiting-prescribing-antibiotics-pdf-975576354757","author":[{"family":"National Institute for Health and Care Excellence","given":""}],"accessed":{"date-parts":[["2019",6,10]]},"issued":{"date-parts":[["2008"]]}},"label":"page"}],"schema":"https://github.com/citation-style-language/schema/raw/master/csl-citation.json"}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Pr="00D279FF">
        <w:rPr>
          <w:rFonts w:ascii="Times New Roman" w:hAnsi="Times New Roman" w:cs="Times New Roman"/>
          <w:color w:val="000000" w:themeColor="text1"/>
          <w:sz w:val="24"/>
          <w:szCs w:val="24"/>
          <w:vertAlign w:val="superscript"/>
        </w:rPr>
        <w:t>6</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The prevalence of comorbidities like diabetes varies over time and geographical area, contributing to the disparities in the antibiotic prescribing pattern within and between primary care practices.</w:t>
      </w:r>
      <w:r w:rsidRPr="00D279FF">
        <w:rPr>
          <w:rFonts w:ascii="Times New Roman" w:hAnsi="Times New Roman" w:cs="Times New Roman"/>
          <w:color w:val="000000" w:themeColor="text1"/>
          <w:sz w:val="24"/>
          <w:szCs w:val="24"/>
        </w:rPr>
        <w:fldChar w:fldCharType="begin"/>
      </w:r>
      <w:r w:rsidRPr="00D279FF">
        <w:rPr>
          <w:rFonts w:ascii="Times New Roman" w:hAnsi="Times New Roman" w:cs="Times New Roman"/>
          <w:color w:val="000000" w:themeColor="text1"/>
          <w:sz w:val="24"/>
          <w:szCs w:val="24"/>
        </w:rPr>
        <w:instrText xml:space="preserve"> ADDIN ZOTERO_ITEM CSL_CITATION {"citationID":"cFxeAOKE","properties":{"formattedCitation":"\\super 7,8\\nosupersub{}","plainCitation":"7,8","noteIndex":0},"citationItems":[{"id":1278,"uris":["http://zotero.org/users/2127173/items/73CTJRRR"],"uri":["http://zotero.org/users/2127173/items/73CTJRRR"],"itemData":{"id":1278,"type":"article-journal","abstract":"Objectives To compare the rate, indications and type of antibiotic prescriptions in children with and without asthma.\nDesign A retrospective cohort study.\nSetting Two population-based primary care databases: Integrated Primary Care Information database (IPCI; the Netherlands) and The Health Improvement Network (THIN; the UK).\nParticipants Children aged 5–18 years were included from January 2000 to December 2014. A child was categorised as having asthma if there were ≥2 prescriptions of respiratory drugs in the year following a code for asthma. Children were labelled as non-asthmatic if no asthma code was recorded in the patient file.\nMain outcome measures Rate of antibiotic prescriptions, related indications and type of antibiotic drugs.\nResults The cohorts in IPCI and THIN consisted of 946 143 and 7 241 271 person years (PY), respectively. In both cohorts, antibiotic use was significantly higher in asthmatic children (IPCI: 197vs126 users/1000 PY, THIN: 374vs250 users/1000 PY). In children with asthma, part of antibiotic prescriptions were for an asthma exacerbation only (IPCI: 14%, THIN: 4%) and prescriptions were more often due to lower respiratory tract infections then in non-asthmatic children (IPCI: 18%vs13%, THIN: 21%vs12%). Drug type and quality indicators depended more on age, gender and database than on asthma status.\nConclusions Use of antibiotics was higher in asthmatic children compared with non-asthmatic children. This was mostly due to diseases for which antibiotics are normally not indicated according to guidelines. Further awareness among physicians and patients is needed to minimise antibiotic overuse and limit antibiotic resistance.","container-title":"BMJ Open","DOI":"10.1136/bmjopen-2018-022979","ISSN":"2044-6055, 2044-6055","issue":"11","language":"en","note":"PMID: 30498039","page":"e022979","source":"bmjopen.bmj.com","title":"Antibiotic use in children with asthma: cohort study in UK and Dutch primary care databases","title-short":"Antibiotic use in children with asthma","volume":"8","author":[{"family":"Baan","given":"Esmé J."},{"family":"Janssens","given":"Hettie M."},{"family":"Kerckaert","given":"Tine"},{"family":"Bindels","given":"Patrick J. E."},{"family":"Jongste","given":"Johan C.","dropping-particle":"de"},{"family":"Sturkenboom","given":"Miriam C. J. M."},{"family":"Verhamme","given":"Katia M. C."}],"issued":{"date-parts":[["2018",11,1]]}},"label":"page"},{"id":1550,"uris":["http://zotero.org/users/2127173/items/DH2ZSKJK"],"uri":["http://zotero.org/users/2127173/items/DH2ZSKJK"],"itemData":{"id":1550,"type":"article-journal","abstract":"Background\nSeeing one's practice as a high antibiotic prescriber compared to general practices with similar patient populations can be one of the best motivators for change. Current comparisons are based on age-sex weighting of the practice population for expected prescribing rates (STAR-PU). Here, we investigate whether there is a need to additionally account for further potentially legitimate medical reasons for higher antibiotic prescribing.\nMethods\nPublicly available data from 7376 general practices in England between April 2014 and March 2015 were used. We built two different negative binomial regression models to compare observed versus expected antibiotic dispensing levels per practice: one including comorbidities as covariates and another with the addition of smoking prevalence and deprivation. We compared the ranking of practices in terms of items prescribed per STAR-PU according to i) conventional STAR-PU methodology, ii) observed vs expected prescribing levels using the comorbidity model, and iii) observed vs expected prescribing levels using the full model.\nFindings\nThe median number of antibiotic items prescribed per practice per STAR-PU was 1.09 (25th–75th percentile, 0.92–1.25). 1133 practices (76.8% of 1476) were consistently identified as being in the top 20% of high antibiotic prescribers. However, some practices that would be classified as high prescribers using the current STAR-PU methodology would not be classified as high prescribers if comorbidity was accounted for (n = 269, 18.2%) and if additionally smoking prevalence and deprivation were accounted for (n = 312, 21.1%).\nInterpretation\nCurrent age-sex weighted comparisons of antibiotic prescribing rates in England are fair for many, but not all practices. This new metric that accounts for legitimate medical reasons for higher antibiotic prescribing may have more credibility among general practitioners and, thus, more likely to be acted upon.\nOutstanding Questions\nFindings of this study indicate that the antibiotic prescribing metric by which practices are measured (and need to implement interventions determined) may be inadequate, and therefore raises the question of how they should be measured. Substantial variation between practices remains after accounting for comorbidities, deprivation and smoking. There is a need for a better understanding of why such variation remains and, more importantly, what can be done to reduce it. While antibiotics are more frequently indicated in patients with comorbidities, it is unclear to what extent antibiotic prescribing can be lowered among that patient population and how this could be achieved.","container-title":"EClinicalMedicine","DOI":"10.1016/j.eclinm.2018.12.003","ISSN":"2589-5370","journalAbbreviation":"EClinicalMedicine","page":"36-41","source":"ScienceDirect","title":"Identifying English Practices that Are High Antibiotic Prescribers Accounting for Comorbidities and Other Legitimate Medical Reasons for Variation","volume":"6","author":[{"family":"Hope","given":"Emma C."},{"family":"Crump","given":"Ron E."},{"family":"Hollingsworth","given":"T. Deirdre"},{"family":"Smieszek","given":"Timo"},{"family":"Robotham","given":"Julie V."},{"family":"Pouwels","given":"Koen B."}],"issued":{"date-parts":[["2018",12,1]]}},"label":"page"}],"schema":"https://github.com/citation-style-language/schema/raw/master/csl-citation.json"}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Pr="00D279FF">
        <w:rPr>
          <w:rFonts w:ascii="Times New Roman" w:hAnsi="Times New Roman" w:cs="Times New Roman"/>
          <w:color w:val="000000" w:themeColor="text1"/>
          <w:sz w:val="24"/>
          <w:szCs w:val="24"/>
          <w:vertAlign w:val="superscript"/>
        </w:rPr>
        <w:t>7,8</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w:t>
      </w:r>
    </w:p>
    <w:p w:rsidR="00676D27" w:rsidRPr="00D279FF" w:rsidRDefault="00676D27" w:rsidP="00676D27">
      <w:pPr>
        <w:spacing w:line="360" w:lineRule="auto"/>
        <w:jc w:val="both"/>
        <w:rPr>
          <w:rFonts w:ascii="Times New Roman" w:hAnsi="Times New Roman" w:cs="Times New Roman"/>
          <w:color w:val="000000" w:themeColor="text1"/>
          <w:sz w:val="24"/>
          <w:szCs w:val="24"/>
        </w:rPr>
      </w:pPr>
      <w:bookmarkStart w:id="0" w:name="_Hlk31880834"/>
      <w:r w:rsidRPr="00D279FF">
        <w:rPr>
          <w:rFonts w:ascii="Times New Roman" w:hAnsi="Times New Roman" w:cs="Times New Roman"/>
          <w:color w:val="000000" w:themeColor="text1"/>
          <w:sz w:val="24"/>
          <w:szCs w:val="24"/>
        </w:rPr>
        <w:t xml:space="preserve">Several approaches have been adopted to reduce primary care antibiotic prescribing in England: </w:t>
      </w:r>
      <w:bookmarkStart w:id="1" w:name="_Hlk31880738"/>
      <w:r w:rsidRPr="00D279FF">
        <w:rPr>
          <w:rFonts w:ascii="Times New Roman" w:hAnsi="Times New Roman" w:cs="Times New Roman"/>
          <w:color w:val="000000" w:themeColor="text1"/>
          <w:sz w:val="24"/>
          <w:szCs w:val="24"/>
        </w:rPr>
        <w:t xml:space="preserve">including increased surveillance and prescribing feedback, the provision of </w:t>
      </w:r>
      <w:r w:rsidRPr="00D279FF">
        <w:rPr>
          <w:rFonts w:ascii="Times New Roman" w:hAnsi="Times New Roman" w:cs="Times New Roman"/>
          <w:color w:val="000000" w:themeColor="text1"/>
          <w:sz w:val="24"/>
          <w:szCs w:val="24"/>
          <w:shd w:val="clear" w:color="auto" w:fill="FFFFFF"/>
        </w:rPr>
        <w:t xml:space="preserve">C-reactive protein (CRP) point-of-care testing, </w:t>
      </w:r>
      <w:r w:rsidRPr="00D279FF">
        <w:rPr>
          <w:rFonts w:ascii="Times New Roman" w:hAnsi="Times New Roman" w:cs="Times New Roman"/>
          <w:color w:val="000000" w:themeColor="text1"/>
          <w:sz w:val="24"/>
          <w:szCs w:val="24"/>
        </w:rPr>
        <w:t>education and training interventions targeted at prescribers and patients, public AMS campaigns, and</w:t>
      </w:r>
      <w:bookmarkEnd w:id="1"/>
      <w:r w:rsidRPr="00D279FF">
        <w:rPr>
          <w:rFonts w:ascii="Times New Roman" w:hAnsi="Times New Roman" w:cs="Times New Roman"/>
          <w:color w:val="000000" w:themeColor="text1"/>
          <w:sz w:val="24"/>
          <w:szCs w:val="24"/>
        </w:rPr>
        <w:t xml:space="preserve"> financial incentives.</w:t>
      </w:r>
      <w:r w:rsidRPr="00D279FF">
        <w:rPr>
          <w:rFonts w:ascii="Times New Roman" w:hAnsi="Times New Roman" w:cs="Times New Roman"/>
          <w:color w:val="000000" w:themeColor="text1"/>
          <w:sz w:val="24"/>
          <w:szCs w:val="24"/>
        </w:rPr>
        <w:fldChar w:fldCharType="begin"/>
      </w:r>
      <w:r w:rsidR="00D72FE1" w:rsidRPr="00D279FF">
        <w:rPr>
          <w:rFonts w:ascii="Times New Roman" w:hAnsi="Times New Roman" w:cs="Times New Roman"/>
          <w:color w:val="000000" w:themeColor="text1"/>
          <w:sz w:val="24"/>
          <w:szCs w:val="24"/>
        </w:rPr>
        <w:instrText xml:space="preserve"> ADDIN ZOTERO_ITEM CSL_CITATION {"citationID":"taZLbR3I","properties":{"formattedCitation":"\\super 9,10\\nosupersub{}","plainCitation":"9,10","noteIndex":0},"citationItems":[{"id":43,"uris":["http://zotero.org/users/2127173/items/FYVXW6YA"],"uri":["http://zotero.org/users/2127173/items/FYVXW6YA"],"itemData":{"id":43,"type":"book","source":"Google Scholar","title":"Quality Premium: 2015/16 guidance for CCGs. 2015","title-short":"Quality Premium","URL":"https://www.england.nhs.uk/wp-content/uploads/2013/12/qual-prem-guid.pdf","author":[{"family":"NHS England","given":""}],"issued":{"date-parts":[["2015"]]}},"label":"page"},{"id":1621,"uris":["http://zotero.org/users/2127173/items/LB8YPZ5K"],"uri":["http://zotero.org/users/2127173/items/LB8YPZ5K"],"itemData":{"id":1621,"type":"book","source":"Google Scholar","title":"Antimicrobial stewardship: systems and processes for effective antimicrobial medicine use","title-short":"Antimicrobial stewardship","URL":"https://www.nice.org.uk/guidance/ng15/resources/antimicrobial-stewardship-systems-and-processes-for-effective-antimicrobial-medicine-use-pdf-1837273110469","author":[{"family":"National Institute for Clinical Excellence","given":""}],"issued":{"date-parts":[["2015"]]}},"label":"page"}],"schema":"https://github.com/citation-style-language/schema/raw/master/csl-citation.json"}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D72FE1" w:rsidRPr="00D279FF">
        <w:rPr>
          <w:rFonts w:ascii="Times New Roman" w:hAnsi="Times New Roman" w:cs="Times New Roman"/>
          <w:color w:val="000000" w:themeColor="text1"/>
          <w:sz w:val="24"/>
          <w:szCs w:val="24"/>
          <w:vertAlign w:val="superscript"/>
        </w:rPr>
        <w:t>9,10</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The Quality Premium (QP) is a National Health Service (NHS) England </w:t>
      </w:r>
      <w:r w:rsidR="007F6F99" w:rsidRPr="00D279FF">
        <w:rPr>
          <w:rFonts w:ascii="Times New Roman" w:hAnsi="Times New Roman" w:cs="Times New Roman"/>
          <w:color w:val="000000" w:themeColor="text1"/>
          <w:sz w:val="24"/>
          <w:szCs w:val="24"/>
        </w:rPr>
        <w:t xml:space="preserve">performance-related </w:t>
      </w:r>
      <w:r w:rsidRPr="00D279FF">
        <w:rPr>
          <w:rFonts w:ascii="Times New Roman" w:hAnsi="Times New Roman" w:cs="Times New Roman"/>
          <w:color w:val="000000" w:themeColor="text1"/>
          <w:sz w:val="24"/>
          <w:szCs w:val="24"/>
        </w:rPr>
        <w:t>incentive scheme established in 2013 to reward Clinical Commissioning Groups (CCGs) financially based on the quality of specific health services considered to be national or local priorities and commissioned over a specific period.</w:t>
      </w:r>
      <w:r w:rsidRPr="00D279FF">
        <w:rPr>
          <w:rFonts w:ascii="Times New Roman" w:hAnsi="Times New Roman" w:cs="Times New Roman"/>
          <w:color w:val="000000" w:themeColor="text1"/>
          <w:sz w:val="24"/>
          <w:szCs w:val="24"/>
        </w:rPr>
        <w:fldChar w:fldCharType="begin"/>
      </w:r>
      <w:r w:rsidR="00D72FE1" w:rsidRPr="00D279FF">
        <w:rPr>
          <w:rFonts w:ascii="Times New Roman" w:hAnsi="Times New Roman" w:cs="Times New Roman"/>
          <w:color w:val="000000" w:themeColor="text1"/>
          <w:sz w:val="24"/>
          <w:szCs w:val="24"/>
        </w:rPr>
        <w:instrText xml:space="preserve"> ADDIN ZOTERO_ITEM CSL_CITATION {"citationID":"a42x7awE","properties":{"formattedCitation":"\\super 9\\nosupersub{}","plainCitation":"9","noteIndex":0},"citationItems":[{"id":43,"uris":["http://zotero.org/users/2127173/items/FYVXW6YA"],"uri":["http://zotero.org/users/2127173/items/FYVXW6YA"],"itemData":{"id":43,"type":"book","source":"Google Scholar","title":"Quality Premium: 2015/16 guidance for CCGs. 2015","title-short":"Quality Premium","URL":"https://www.england.nhs.uk/wp-content/uploads/2013/12/qual-prem-guid.pdf","author":[{"family":"NHS England","given":""}],"issued":{"date-parts":[["2015"]]}}}],"schema":"https://github.com/citation-style-language/schema/raw/master/csl-citation.json"}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D72FE1" w:rsidRPr="00D279FF">
        <w:rPr>
          <w:rFonts w:ascii="Times New Roman" w:hAnsi="Times New Roman" w:cs="Times New Roman"/>
          <w:color w:val="000000" w:themeColor="text1"/>
          <w:sz w:val="24"/>
          <w:szCs w:val="24"/>
          <w:vertAlign w:val="superscript"/>
        </w:rPr>
        <w:t>9</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w:t>
      </w:r>
      <w:r w:rsidR="007F6F99" w:rsidRPr="00D279FF">
        <w:rPr>
          <w:rFonts w:ascii="Times New Roman" w:hAnsi="Times New Roman" w:cs="Times New Roman"/>
          <w:color w:val="000000" w:themeColor="text1"/>
          <w:sz w:val="24"/>
          <w:szCs w:val="24"/>
        </w:rPr>
        <w:t xml:space="preserve">Individual GP practices did not receive financial remuneration in relation to this award. </w:t>
      </w:r>
      <w:r w:rsidRPr="00D279FF">
        <w:rPr>
          <w:rFonts w:ascii="Times New Roman" w:hAnsi="Times New Roman" w:cs="Times New Roman"/>
          <w:color w:val="000000" w:themeColor="text1"/>
          <w:sz w:val="24"/>
          <w:szCs w:val="24"/>
        </w:rPr>
        <w:t>Reducing antibiotic prescribing in primary care was included as one of the national priorities in the 2015/16 QP guidance, targeting a reduction of 1% of the mean value in England in 2013/14 [1.161 antibiotic items per age and sex standardisation -Specific Therapeutic group Age-sex Related Prescribing Unit (STAR-PU)] for a CCG to obtain the financial incentive (provided other non-antibiotic targets such as early cancer diagnosis, improving GP access and experience, continuing healthcare, and mental health were also met).</w:t>
      </w:r>
    </w:p>
    <w:bookmarkEnd w:id="0"/>
    <w:p w:rsidR="00676D27" w:rsidRPr="00D279FF" w:rsidRDefault="00676D27" w:rsidP="00676D27">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The QP intervention </w:t>
      </w:r>
      <w:r w:rsidRPr="00D279FF">
        <w:rPr>
          <w:rFonts w:ascii="Times New Roman" w:hAnsi="Times New Roman" w:cs="Times New Roman"/>
          <w:noProof/>
          <w:color w:val="000000" w:themeColor="text1"/>
          <w:sz w:val="24"/>
          <w:szCs w:val="24"/>
        </w:rPr>
        <w:t xml:space="preserve">has been associated with </w:t>
      </w:r>
      <w:r w:rsidRPr="00D279FF">
        <w:rPr>
          <w:rFonts w:ascii="Times New Roman" w:hAnsi="Times New Roman" w:cs="Times New Roman"/>
          <w:color w:val="000000" w:themeColor="text1"/>
          <w:sz w:val="24"/>
          <w:szCs w:val="24"/>
        </w:rPr>
        <w:t>substantial reductions in antibiotic prescribing in primary care practices in England,</w:t>
      </w:r>
      <w:r w:rsidRPr="00D279FF">
        <w:rPr>
          <w:rFonts w:ascii="Times New Roman" w:hAnsi="Times New Roman" w:cs="Times New Roman"/>
          <w:color w:val="000000" w:themeColor="text1"/>
          <w:sz w:val="24"/>
          <w:szCs w:val="24"/>
        </w:rPr>
        <w:fldChar w:fldCharType="begin"/>
      </w:r>
      <w:r w:rsidR="00D72FE1" w:rsidRPr="00D279FF">
        <w:rPr>
          <w:rFonts w:ascii="Times New Roman" w:hAnsi="Times New Roman" w:cs="Times New Roman"/>
          <w:color w:val="000000" w:themeColor="text1"/>
          <w:sz w:val="24"/>
          <w:szCs w:val="24"/>
        </w:rPr>
        <w:instrText xml:space="preserve"> ADDIN ZOTERO_ITEM CSL_CITATION {"citationID":"8E7sS0nn","properties":{"formattedCitation":"\\super 4,11\\uc0\\u8211{}13\\nosupersub{}","plainCitation":"4,11–13","noteIndex":0},"citationItems":[{"id":1025,"uris":["http://zotero.org/users/2127173/items/DACBI4CS"],"uri":["http://zotero.org/users/2127173/items/DACBI4CS"],"itemData":{"id":1025,"type":"article","language":"en","title":"English surveillance programme for antimicrobial utilisation and resistance (ESPAUR) Report 2018","URL":"https://assets.publishing.service.gov.uk/government/uploads/system/uploads/attachment_data/file/759975/ESPAUR_2018_report.pdf","author":[{"family":"Public Health England","given":""}],"accessed":{"date-parts":[["2019",1,21]]},"issued":{"date-parts":[["2018"]]}},"label":"page"},{"id":1207,"uris":["http://zotero.org/users/2127173/items/SXHX58WQ"],"uri":["http://zotero.org/users/2127173/items/SXHX58WQ"],"itemData":{"id":1207,"type":"article-journal","abstract":"This study aimed to evaluate the association between antimicrobial stewardship with financial incentive and a reduction of antibiotic prescribing. This study sh","container-title":"Clinical Infectious Diseases","DOI":"10.1093/cid/ciy902","journalAbbreviation":"Clin Infect Dis","language":"en","source":"academic.oup.com","title":"The Impact of a National Antimicrobial Stewardship Program on Antibiotic Prescribing in Primary Care: An Interrupted Time Series Analysis","title-short":"The Impact of a National Antimicrobial Stewardship Program on Antibiotic Prescribing in Primary Care","URL":"https://academic.oup.com/cid/advance-article/doi/10.1093/cid/ciy902/5136399","author":[{"family":"Balinskaite","given":"Violeta"},{"family":"Johnson","given":"Alan P."},{"family":"Holmes","given":"Alison"},{"family":"Aylin","given":"Paul"}],"accessed":{"date-parts":[["2019",6,7]]}},"label":"page"},{"id":58,"uris":["http://zotero.org/users/2127173/items/GSTHLS2B"],"uri":["http://zotero.org/users/2127173/items/GSTHLS2B"],"itemData":{"id":58,"type":"article-journal","container-title":"Journal of Antimicrobial Chemotherapy","issue":"10","page":"2883–2892","source":"Google Scholar","title":"Age-related decline in antibiotic prescribing for uncomplicated respiratory tract infections in primary care in England following the introduction of a national financial incentive (the Quality Premium) for health commissioners to reduce use of antibiotics in the community: an interrupted time series analysis","title-short":"Age-related decline in antibiotic prescribing for uncomplicated respiratory tract infections in primary care in England following the introduction of a national financial incentive (the Quality Premium) for health commissioners to reduce use of antibiotics in the community","volume":"73","author":[{"family":"Bou-Antoun","given":"Sabine"},{"family":"Costelloe","given":"Ceire"},{"family":"Honeyford","given":"Kate"},{"family":"Mazidi","given":"Mahsa"},{"family":"Hayhoe","given":"Benedict WJ"},{"family":"Holmes","given":"Alison"},{"family":"Johnson","given":"Alan P."},{"family":"Aylin","given":"Paul"}],"issued":{"date-parts":[["2018"]]}},"label":"page"},{"id":39,"uris":["http://zotero.org/users/2127173/items/UGFZTMC7"],"uri":["http://zotero.org/users/2127173/items/UGFZTMC7"],"itemData":{"id":39,"type":"article","title":"English Surveillance Programme for Antimicrobial Utilisation and Resistance (ESPAUR): Report 2017","URL":"https://assets.publishing.service.gov.uk/government/uploads/system/uploads/attachment_data/file/656611/ESPAUR_report_2017.pdf","author":[{"family":"Public Health England","given":""}],"issued":{"date-parts":[["2017"]]}}}],"schema":"https://github.com/citation-style-language/schema/raw/master/csl-citation.json"}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D72FE1" w:rsidRPr="00D279FF">
        <w:rPr>
          <w:rFonts w:ascii="Times New Roman" w:hAnsi="Times New Roman" w:cs="Times New Roman"/>
          <w:color w:val="000000" w:themeColor="text1"/>
          <w:sz w:val="24"/>
          <w:szCs w:val="24"/>
          <w:vertAlign w:val="superscript"/>
        </w:rPr>
        <w:t>4,11–13</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specifically a reduction of about 2.7 million antibiotic items between 2014/15 and 2016/17 financial years (April 1 to March 31).</w:t>
      </w:r>
      <w:r w:rsidRPr="00D279FF">
        <w:rPr>
          <w:rFonts w:ascii="Times New Roman" w:hAnsi="Times New Roman" w:cs="Times New Roman"/>
          <w:color w:val="000000" w:themeColor="text1"/>
          <w:sz w:val="24"/>
          <w:szCs w:val="24"/>
        </w:rPr>
        <w:fldChar w:fldCharType="begin"/>
      </w:r>
      <w:r w:rsidRPr="00D279FF">
        <w:rPr>
          <w:rFonts w:ascii="Times New Roman" w:hAnsi="Times New Roman" w:cs="Times New Roman"/>
          <w:color w:val="000000" w:themeColor="text1"/>
          <w:sz w:val="24"/>
          <w:szCs w:val="24"/>
        </w:rPr>
        <w:instrText xml:space="preserve"> ADDIN ZOTERO_ITEM CSL_CITATION {"citationID":"zlo2QxmC","properties":{"formattedCitation":"\\super 4\\nosupersub{}","plainCitation":"4","noteIndex":0},"citationItems":[{"id":1025,"uris":["http://zotero.org/users/2127173/items/DACBI4CS"],"uri":["http://zotero.org/users/2127173/items/DACBI4CS"],"itemData":{"id":1025,"type":"article","language":"en","title":"English surveillance programme for antimicrobial utilisation and resistance (ESPAUR) Report 2018","URL":"https://assets.publishing.service.gov.uk/government/uploads/system/uploads/attachment_data/file/759975/ESPAUR_2018_report.pdf","author":[{"family":"Public Health England","given":""}],"accessed":{"date-parts":[["2019",1,21]]},"issued":{"date-parts":[["2018"]]}}}],"schema":"https://github.com/citation-style-language/schema/raw/master/csl-citation.json"}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Pr="00D279FF">
        <w:rPr>
          <w:rFonts w:ascii="Times New Roman" w:hAnsi="Times New Roman" w:cs="Times New Roman"/>
          <w:color w:val="000000" w:themeColor="text1"/>
          <w:sz w:val="24"/>
          <w:szCs w:val="24"/>
          <w:vertAlign w:val="superscript"/>
        </w:rPr>
        <w:t>4</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Such reductions in antibiotic prescribing would be expected to contribute to reductions in the development of resistance.</w:t>
      </w:r>
      <w:r w:rsidRPr="00D279FF">
        <w:rPr>
          <w:rFonts w:ascii="Times New Roman" w:hAnsi="Times New Roman" w:cs="Times New Roman"/>
          <w:color w:val="000000" w:themeColor="text1"/>
          <w:sz w:val="24"/>
          <w:szCs w:val="24"/>
        </w:rPr>
        <w:fldChar w:fldCharType="begin"/>
      </w:r>
      <w:r w:rsidR="00D72FE1" w:rsidRPr="00D279FF">
        <w:rPr>
          <w:rFonts w:ascii="Times New Roman" w:hAnsi="Times New Roman" w:cs="Times New Roman"/>
          <w:color w:val="000000" w:themeColor="text1"/>
          <w:sz w:val="24"/>
          <w:szCs w:val="24"/>
        </w:rPr>
        <w:instrText xml:space="preserve"> ADDIN ZOTERO_ITEM CSL_CITATION {"citationID":"996jS9kQ","properties":{"formattedCitation":"\\super 14\\nosupersub{}","plainCitation":"14","noteIndex":0},"citationItems":[{"id":70,"uris":["http://zotero.org/users/2127173/items/R8VVF8TS"],"uri":["http://zotero.org/users/2127173/items/R8VVF8TS"],"itemData":{"id":70,"type":"article-journal","abstract":"Background GPs are urged to prescribe antibiotics less frequently, despite lack of evidence linking reduced antibiotic prescribing with reductions in resistance at a local level.\nAim To investigate associations between changes in antibiotic dispensing and changes in antibiotic resistance at general-practice level.\nDesign of study Seven-year study of dispensed antibiotics and antibiotic resistance in coliform isolates from urine samples routinely submitted from general practice.\nSetting General practices in Wales.\nMethod Multilevel modelling of trends in resistance to ampicillin and trimethoprim, and changes in practice total antibiotic dispensing and amoxicillin and trimethoprim dispensing.\nResults The primary analysis included data on 164 225 coliform isolates from urine samples submitted from 240 general practices over the 7-year study period. These practices served a population of 1.7 million patients. The quartile of practices that had the greatest decrease in total antibiotic dispensing demonstrated a 5.2% reduction in ampicillin resistance over the 7-year period with changes of 0.4%, 2.4%, and −0.3% in the other three quartiles. There was a statistically significant overall decrease in ampicillin resistance of 1.03% (95% confidence interval [CI] = 0.37 to 1.67%) per decrease of 50 amoxicillin items dispensed per 1000 patients per annum. There were also significant reductions in trimethoprim resistance in the two quartiles of practices that reduced total antibiotic dispensing most compared with those that reduced it least, with an overall decrease in trimethoprim resistance of 1.08% (95% CI = 0.065 to 2.10%) per decrease of 20 trimethoprim items dispensed per 1000 patients per annum. Main findings were confirmed by secondary analyses of 256 370 isolates from 527 practices that contributed data at some point during the study period.\nConclusion Reducing antibiotic dispensing at general-practice level is associated with reduced local antibiotic resistance. These findings should further encourage clinicians and patients to use antibiotics conservatively.","container-title":"Br J Gen Pract","ISSN":"0960-1643, 1478-5242","issue":"543","journalAbbreviation":"Br J Gen Pract","language":"en","note":"PMID: 17925135","page":"785-792","source":"bjgp.org","title":"Containing antibiotic resistance: decreased antibiotic-resistant coliform urinary tract infections with reduction in antibiotic prescribing by general practices","title-short":"Containing antibiotic resistance","volume":"57","author":[{"family":"Butler","given":"Chris C."},{"family":"Dunstan","given":"Frank"},{"family":"Heginbothom","given":"Margaret"},{"family":"Mason","given":"Brendan"},{"family":"Roberts","given":"Zoë"},{"family":"Hillier","given":"Sharon"},{"family":"Howe","given":"Robin"},{"family":"Palmer","given":"Stephen"},{"family":"Howard","given":"Anthony"}],"issued":{"date-parts":[["2007",10,1]]}}}],"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D72FE1" w:rsidRPr="00D279FF">
        <w:rPr>
          <w:rFonts w:ascii="Times New Roman" w:hAnsi="Times New Roman" w:cs="Times New Roman"/>
          <w:color w:val="000000" w:themeColor="text1"/>
          <w:sz w:val="24"/>
          <w:szCs w:val="24"/>
          <w:vertAlign w:val="superscript"/>
        </w:rPr>
        <w:t>14</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w:t>
      </w:r>
    </w:p>
    <w:p w:rsidR="00676D27" w:rsidRPr="00D279FF" w:rsidRDefault="00676D27" w:rsidP="00676D27">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lastRenderedPageBreak/>
        <w:t xml:space="preserve">However, it is not clear whether these reported reductions can be entirely attributed to the QP as current evaluations have not accounted for other possible explanations, such as variations in practice characteristics over time. The main aim of this study was, therefore, to investigate whether differences in primary care practice characteristics that can contribute to variance in antibiotic prescribing </w:t>
      </w:r>
      <w:bookmarkStart w:id="2" w:name="_Hlk11146805"/>
      <w:r w:rsidRPr="00D279FF">
        <w:rPr>
          <w:rFonts w:ascii="Times New Roman" w:hAnsi="Times New Roman" w:cs="Times New Roman"/>
          <w:color w:val="000000" w:themeColor="text1"/>
          <w:sz w:val="24"/>
          <w:szCs w:val="24"/>
        </w:rPr>
        <w:t xml:space="preserve">(practice </w:t>
      </w:r>
      <w:bookmarkEnd w:id="2"/>
      <w:r w:rsidRPr="00D279FF">
        <w:rPr>
          <w:rFonts w:ascii="Times New Roman" w:hAnsi="Times New Roman" w:cs="Times New Roman"/>
          <w:color w:val="000000" w:themeColor="text1"/>
          <w:sz w:val="24"/>
          <w:szCs w:val="24"/>
        </w:rPr>
        <w:t>workforce, the prevalence of co-morbidities, prescribing rate on non-antibiotic drugs, and deprivation index) explained any of the effects of the quality premium scheme on the prescribing rates in primary care practices. Furthermore, we investigated whether the QP had a differential effect on high prescribing practices and other subgroups of practices.</w:t>
      </w: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METHOD</w:t>
      </w: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Study design</w:t>
      </w:r>
    </w:p>
    <w:p w:rsidR="00676D27" w:rsidRPr="00D279FF" w:rsidRDefault="00676D27" w:rsidP="00676D27">
      <w:pPr>
        <w:pStyle w:val="HTMLPreformatted"/>
        <w:shd w:val="clear" w:color="auto" w:fill="FFFFFF"/>
        <w:spacing w:after="160"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rPr>
        <w:t xml:space="preserve">A new </w:t>
      </w:r>
      <w:r w:rsidRPr="00D279FF">
        <w:rPr>
          <w:rFonts w:ascii="Times New Roman" w:hAnsi="Times New Roman" w:cs="Times New Roman"/>
          <w:noProof/>
          <w:color w:val="000000" w:themeColor="text1"/>
          <w:sz w:val="24"/>
          <w:szCs w:val="24"/>
          <w:shd w:val="clear" w:color="auto" w:fill="FFFFFF"/>
        </w:rPr>
        <w:t>Quality</w:t>
      </w:r>
      <w:r w:rsidRPr="00D279FF">
        <w:rPr>
          <w:rFonts w:ascii="Times New Roman" w:hAnsi="Times New Roman" w:cs="Times New Roman"/>
          <w:color w:val="000000" w:themeColor="text1"/>
          <w:sz w:val="24"/>
          <w:szCs w:val="24"/>
          <w:shd w:val="clear" w:color="auto" w:fill="FFFFFF"/>
        </w:rPr>
        <w:t xml:space="preserve"> Premium </w:t>
      </w:r>
      <w:r w:rsidRPr="00D279FF">
        <w:rPr>
          <w:rFonts w:ascii="Times New Roman" w:hAnsi="Times New Roman" w:cs="Times New Roman"/>
          <w:color w:val="000000" w:themeColor="text1"/>
          <w:sz w:val="24"/>
          <w:szCs w:val="24"/>
        </w:rPr>
        <w:t>guidance was implemented at the start of each financial year in England with changes in the targeted reductions in antibiotic prescribing and its associated award. Our study adopted a natural experimental approach in investigating the mechanism of impact of the 2015/16 QP target on antibiotic prescribing in primary care practices in England, with the preceding financial year as the control, by conducting analyses of longitudinal (</w:t>
      </w:r>
      <w:r w:rsidRPr="00D279FF">
        <w:rPr>
          <w:rFonts w:ascii="Times New Roman" w:hAnsi="Times New Roman" w:cs="Times New Roman"/>
          <w:color w:val="000000" w:themeColor="text1"/>
          <w:sz w:val="24"/>
          <w:szCs w:val="24"/>
          <w:shd w:val="clear" w:color="auto" w:fill="FFFFFF"/>
        </w:rPr>
        <w:t>monthly) prescribing data for 6,251 primary care practices in England from April 2014 to March 2016. While there are more recent antibiotic prescribing data, including data beyond March 2016 means exceeding the period covered by the 2015/16 QP guidance as prescribing in subsequent periods are covered by different QP guidance and targets.</w:t>
      </w:r>
    </w:p>
    <w:p w:rsidR="00676D27" w:rsidRPr="00D279FF" w:rsidRDefault="00676D27" w:rsidP="00676D27">
      <w:pPr>
        <w:pStyle w:val="HTMLPreformatted"/>
        <w:shd w:val="clear" w:color="auto" w:fill="FFFFFF"/>
        <w:spacing w:after="160"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 xml:space="preserve">Like antibiotics, the prescription of </w:t>
      </w:r>
      <w:bookmarkStart w:id="3" w:name="_Hlk14434345"/>
      <w:r w:rsidRPr="00D279FF">
        <w:rPr>
          <w:rFonts w:ascii="Times New Roman" w:hAnsi="Times New Roman" w:cs="Times New Roman"/>
          <w:color w:val="000000" w:themeColor="text1"/>
          <w:sz w:val="24"/>
          <w:szCs w:val="24"/>
          <w:shd w:val="clear" w:color="auto" w:fill="FFFFFF"/>
        </w:rPr>
        <w:t xml:space="preserve">opioids and benzodiazepines </w:t>
      </w:r>
      <w:bookmarkEnd w:id="3"/>
      <w:r w:rsidRPr="00D279FF">
        <w:rPr>
          <w:rFonts w:ascii="Times New Roman" w:hAnsi="Times New Roman" w:cs="Times New Roman"/>
          <w:color w:val="000000" w:themeColor="text1"/>
          <w:sz w:val="24"/>
          <w:szCs w:val="24"/>
          <w:shd w:val="clear" w:color="auto" w:fill="FFFFFF"/>
        </w:rPr>
        <w:t>is monitored in the UK with prescribers encouraged to reduce their prescription.</w:t>
      </w:r>
      <w:r w:rsidRPr="00D279FF">
        <w:rPr>
          <w:rFonts w:ascii="Times New Roman" w:hAnsi="Times New Roman" w:cs="Times New Roman"/>
          <w:color w:val="000000" w:themeColor="text1"/>
          <w:sz w:val="24"/>
          <w:szCs w:val="24"/>
          <w:shd w:val="clear" w:color="auto" w:fill="FFFFFF"/>
        </w:rPr>
        <w:fldChar w:fldCharType="begin"/>
      </w:r>
      <w:r w:rsidR="00D72FE1" w:rsidRPr="00D279FF">
        <w:rPr>
          <w:rFonts w:ascii="Times New Roman" w:hAnsi="Times New Roman" w:cs="Times New Roman"/>
          <w:color w:val="000000" w:themeColor="text1"/>
          <w:sz w:val="24"/>
          <w:szCs w:val="24"/>
          <w:shd w:val="clear" w:color="auto" w:fill="FFFFFF"/>
        </w:rPr>
        <w:instrText xml:space="preserve"> ADDIN ZOTERO_ITEM CSL_CITATION {"citationID":"UaRkFI6F","properties":{"formattedCitation":"\\super 15\\nosupersub{}","plainCitation":"15","noteIndex":0},"citationItems":[{"id":1592,"uris":["http://zotero.org/users/2127173/items/D9HAWR78"],"uri":["http://zotero.org/users/2127173/items/D9HAWR78"],"itemData":{"id":1592,"type":"article","title":"The safer management of controlled drugs: Update report for 2017","URL":"https://www.cqc.org.uk/sites/default/files/20180718_controlleddrugs2017_report.pdf","author":[{"family":"Care Quality Commission","given":""}],"issued":{"date-parts":[["2017"]]}}}],"schema":"https://github.com/citation-style-language/schema/raw/master/csl-citation.json"}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D72FE1" w:rsidRPr="00D279FF">
        <w:rPr>
          <w:rFonts w:ascii="Times New Roman" w:hAnsi="Times New Roman" w:cs="Times New Roman"/>
          <w:color w:val="000000" w:themeColor="text1"/>
          <w:sz w:val="24"/>
          <w:szCs w:val="24"/>
          <w:vertAlign w:val="superscript"/>
        </w:rPr>
        <w:t>15</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The frequency of prescribing of these drugs has been reported as an indicator of antibiotic prescribing rates.</w:t>
      </w:r>
      <w:r w:rsidRPr="00D279FF">
        <w:rPr>
          <w:rFonts w:ascii="Times New Roman" w:hAnsi="Times New Roman" w:cs="Times New Roman"/>
          <w:color w:val="000000" w:themeColor="text1"/>
          <w:sz w:val="24"/>
          <w:szCs w:val="24"/>
          <w:shd w:val="clear" w:color="auto" w:fill="FFFFFF"/>
        </w:rPr>
        <w:fldChar w:fldCharType="begin"/>
      </w:r>
      <w:r w:rsidR="00D72FE1" w:rsidRPr="00D279FF">
        <w:rPr>
          <w:rFonts w:ascii="Times New Roman" w:hAnsi="Times New Roman" w:cs="Times New Roman"/>
          <w:color w:val="000000" w:themeColor="text1"/>
          <w:sz w:val="24"/>
          <w:szCs w:val="24"/>
          <w:shd w:val="clear" w:color="auto" w:fill="FFFFFF"/>
        </w:rPr>
        <w:instrText xml:space="preserve"> ADDIN ZOTERO_ITEM CSL_CITATION {"citationID":"HgtMPXOD","properties":{"formattedCitation":"\\super 16\\nosupersub{}","plainCitation":"16","noteIndex":0},"citationItems":[{"id":1560,"uris":["http://zotero.org/users/2127173/items/7W44NDWL"],"uri":["http://zotero.org/users/2127173/items/7W44NDWL"],"itemData":{"id":1560,"type":"article-journal","abstract":"BACKGROUND: High levels of antibiotic prescribing are a major concern as they drive antimicrobial resistance. It is currently unknown whether practices that prescribe higher levels of antibiotics also prescribe more medicines in general.\nAIM: To evaluate the relationship between antibiotic and general prescribing levels in primary care.\nDESIGN AND SETTING: Cross-sectional study in 2014-2015 of 6517 general practices in England using NHS digital practice prescribing data (NHS-DPPD) for the main study, and of 587 general practices in the UK using the Clinical Practice Research Datalink for a replication study.\nMETHOD: Linear regression to assess determinants of antibiotic prescribing.\nRESULTS: NHS-DPPD practices prescribed an average of 576.1 antibiotics per 1000 patients per year (329.9 at the 5th percentile and 808.7 at the 95th percentile). The levels of prescribing of antibiotics and other medicines were strongly correlated. Practices with high levels of prescribing of other medicines (a rate of 27 159.8 at the 95th percentile) prescribed 80% more antibiotics than low-prescribing practices (rate of 8815.9 at the 5th percentile). After adjustment, NHS-DPPD practices with high prescribing of other medicines gave 60% more antibiotic prescriptions than low-prescribing practices (corresponding to higher prescribing of 276.3 antibiotics per 1000 patients per year). Prescribing of non-opioid painkillers and benzodiazepines were also strong indicators of the level of antibiotic prescribing. General prescribing levels were a much stronger driver for antibiotic prescribing than other risk factors, such as deprivation.\nCONCLUSION: The propensity of GPs to prescribe medications generally is an important driver for antibiotic prescribing. Interventions that aim to optimise antibiotic prescribing will need to target general prescribing behaviours, in addition to specifically targeting antibiotics.","container-title":"The British Journal of General Practice: The Journal of the Royal College of General Practitioners","DOI":"10.3399/bjgp18X700457","ISSN":"1478-5242","issue":"678","journalAbbreviation":"Br J Gen Pract","language":"eng","note":"PMID: 30559110\nPMCID: PMC6301355","page":"e42-e51","source":"PubMed","title":"Relationship between prescribing of antibiotics and other medicines in primary care: a cross-sectional study","title-short":"Relationship between prescribing of antibiotics and other medicines in primary care","volume":"69","author":[{"family":"Li","given":"Yan"},{"family":"Mölter","given":"Anna"},{"family":"White","given":"Andrew"},{"family":"Welfare","given":"William"},{"family":"Palin","given":"Victoria"},{"family":"Belmonte","given":"Miguel"},{"family":"Ashcroft","given":"Darren M."},{"family":"Sperrin","given":"Matthew"},{"family":"Staa","given":"Tjeerd Pieter","non-dropping-particle":"van"}],"issued":{"date-parts":[["2019",1]]}}}],"schema":"https://github.com/citation-style-language/schema/raw/master/csl-citation.json"}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D72FE1" w:rsidRPr="00D279FF">
        <w:rPr>
          <w:rFonts w:ascii="Times New Roman" w:hAnsi="Times New Roman" w:cs="Times New Roman"/>
          <w:color w:val="000000" w:themeColor="text1"/>
          <w:sz w:val="24"/>
          <w:szCs w:val="24"/>
          <w:vertAlign w:val="superscript"/>
        </w:rPr>
        <w:t>16</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Adjusting for the prescribing behaviour of opioids and benzodiazepines was important to account for the overall medicine prescribing behaviour of practices</w:t>
      </w:r>
      <w:r w:rsidRPr="00D279FF">
        <w:rPr>
          <w:rFonts w:ascii="Times New Roman" w:hAnsi="Times New Roman" w:cs="Times New Roman"/>
          <w:color w:val="000000" w:themeColor="text1"/>
          <w:sz w:val="24"/>
          <w:szCs w:val="24"/>
        </w:rPr>
        <w:t xml:space="preserve"> which might not be specific to antibiotics.</w:t>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Variables</w:t>
      </w:r>
    </w:p>
    <w:p w:rsidR="00676D27" w:rsidRPr="00D279FF" w:rsidRDefault="00676D27" w:rsidP="00676D27">
      <w:pPr>
        <w:spacing w:line="360" w:lineRule="auto"/>
        <w:jc w:val="both"/>
        <w:rPr>
          <w:rFonts w:ascii="Times New Roman" w:eastAsia="Times New Roman" w:hAnsi="Times New Roman" w:cs="Times New Roman"/>
          <w:i/>
          <w:color w:val="000000" w:themeColor="text1"/>
          <w:sz w:val="24"/>
          <w:szCs w:val="24"/>
        </w:rPr>
      </w:pPr>
      <w:r w:rsidRPr="00D279FF">
        <w:rPr>
          <w:rFonts w:ascii="Times New Roman" w:eastAsia="Times New Roman" w:hAnsi="Times New Roman" w:cs="Times New Roman"/>
          <w:i/>
          <w:color w:val="000000" w:themeColor="text1"/>
          <w:sz w:val="24"/>
          <w:szCs w:val="24"/>
        </w:rPr>
        <w:t>Outcome</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rPr>
        <w:t>Our primary outcome was a continuous variable indicating the number of antibiotic items per STAR-PU prescribed by a practice in England per month. P</w:t>
      </w:r>
      <w:r w:rsidRPr="00D279FF">
        <w:rPr>
          <w:rFonts w:ascii="Times New Roman" w:hAnsi="Times New Roman" w:cs="Times New Roman"/>
          <w:color w:val="000000" w:themeColor="text1"/>
          <w:sz w:val="24"/>
          <w:szCs w:val="24"/>
          <w:shd w:val="clear" w:color="auto" w:fill="FFFFFF"/>
        </w:rPr>
        <w:t xml:space="preserve">ractice-level antibiotic prescribing data was sourced from </w:t>
      </w:r>
      <w:bookmarkStart w:id="4" w:name="_Hlk11146924"/>
      <w:r w:rsidRPr="00D279FF">
        <w:rPr>
          <w:rFonts w:ascii="Times New Roman" w:hAnsi="Times New Roman" w:cs="Times New Roman"/>
          <w:color w:val="000000" w:themeColor="text1"/>
          <w:sz w:val="24"/>
          <w:szCs w:val="24"/>
          <w:shd w:val="clear" w:color="auto" w:fill="FFFFFF"/>
        </w:rPr>
        <w:t>OpenPrescribing (an Evidence-Based Medicine DataLab project at the University of Oxford</w:t>
      </w:r>
      <w:bookmarkEnd w:id="4"/>
      <w:r w:rsidRPr="00D279FF">
        <w:rPr>
          <w:rFonts w:ascii="Times New Roman" w:hAnsi="Times New Roman" w:cs="Times New Roman"/>
          <w:color w:val="000000" w:themeColor="text1"/>
          <w:sz w:val="24"/>
          <w:szCs w:val="24"/>
          <w:shd w:val="clear" w:color="auto" w:fill="FFFFFF"/>
        </w:rPr>
        <w:t xml:space="preserve">) and </w:t>
      </w:r>
      <w:r w:rsidRPr="00D279FF">
        <w:rPr>
          <w:rFonts w:ascii="Times New Roman" w:hAnsi="Times New Roman" w:cs="Times New Roman"/>
          <w:color w:val="000000" w:themeColor="text1"/>
          <w:sz w:val="24"/>
          <w:szCs w:val="24"/>
        </w:rPr>
        <w:t>STAR-PU weighted using figures from the 2013 Item-based age–</w:t>
      </w:r>
      <w:r w:rsidRPr="00D279FF">
        <w:rPr>
          <w:rFonts w:ascii="Times New Roman" w:hAnsi="Times New Roman" w:cs="Times New Roman"/>
          <w:color w:val="000000" w:themeColor="text1"/>
          <w:sz w:val="24"/>
          <w:szCs w:val="24"/>
        </w:rPr>
        <w:lastRenderedPageBreak/>
        <w:t>sex weighting for oral antibacterials,</w:t>
      </w:r>
      <w:r w:rsidRPr="00D279FF">
        <w:rPr>
          <w:rFonts w:ascii="Times New Roman" w:hAnsi="Times New Roman" w:cs="Times New Roman"/>
          <w:color w:val="000000" w:themeColor="text1"/>
          <w:sz w:val="24"/>
          <w:szCs w:val="24"/>
        </w:rPr>
        <w:fldChar w:fldCharType="begin"/>
      </w:r>
      <w:r w:rsidR="00D72FE1" w:rsidRPr="00D279FF">
        <w:rPr>
          <w:rFonts w:ascii="Times New Roman" w:hAnsi="Times New Roman" w:cs="Times New Roman"/>
          <w:color w:val="000000" w:themeColor="text1"/>
          <w:sz w:val="24"/>
          <w:szCs w:val="24"/>
        </w:rPr>
        <w:instrText xml:space="preserve"> ADDIN ZOTERO_ITEM CSL_CITATION {"citationID":"Sgin1aZF","properties":{"formattedCitation":"\\super 17\\nosupersub{}","plainCitation":"17","noteIndex":0},"citationItems":[{"id":915,"uris":["http://zotero.org/users/2127173/items/K7DM42D5"],"uri":["http://zotero.org/users/2127173/items/K7DM42D5"],"itemData":{"id":915,"type":"article-journal","abstract":"AbstractObjectives.  Primary care practices in England differ in antibiotic prescribing rates, and, anecdotally, prescribers justify high prescribing rates base","container-title":"Journal of Antimicrobial Chemotherapy","DOI":"10.1093/jac/dkx501","ISSN":"0305-7453","issue":"suppl_2","journalAbbreviation":"J Antimicrob Chemother","language":"en","page":"ii27-ii35","source":"academic.oup.com","title":"Explaining variation in antibiotic prescribing between general practices in the UK","volume":"73","author":[{"family":"Pouwels","given":"Koen B."},{"family":"Dolk","given":"F. Christiaan K."},{"family":"Smith","given":"David R. M."},{"family":"Smieszek","given":"Timo"},{"family":"Robotham","given":"Julie V."}],"issued":{"date-parts":[["2018",2,1]]}}}],"schema":"https://github.com/citation-style-language/schema/raw/master/csl-citation.json"}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D72FE1" w:rsidRPr="00D279FF">
        <w:rPr>
          <w:rFonts w:ascii="Times New Roman" w:hAnsi="Times New Roman" w:cs="Times New Roman"/>
          <w:color w:val="000000" w:themeColor="text1"/>
          <w:sz w:val="24"/>
          <w:szCs w:val="24"/>
          <w:vertAlign w:val="superscript"/>
        </w:rPr>
        <w:t>17</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and the number of registered patients in each age-gender category in a practice for each specific month.</w:t>
      </w:r>
      <w:r w:rsidRPr="00D279FF">
        <w:rPr>
          <w:rFonts w:ascii="Times New Roman" w:hAnsi="Times New Roman" w:cs="Times New Roman"/>
          <w:color w:val="000000" w:themeColor="text1"/>
          <w:sz w:val="24"/>
          <w:szCs w:val="24"/>
        </w:rPr>
        <w:fldChar w:fldCharType="begin"/>
      </w:r>
      <w:r w:rsidR="00D72FE1" w:rsidRPr="00D279FF">
        <w:rPr>
          <w:rFonts w:ascii="Times New Roman" w:hAnsi="Times New Roman" w:cs="Times New Roman"/>
          <w:color w:val="000000" w:themeColor="text1"/>
          <w:sz w:val="24"/>
          <w:szCs w:val="24"/>
        </w:rPr>
        <w:instrText xml:space="preserve"> ADDIN ZOTERO_ITEM CSL_CITATION {"citationID":"SaGjyWVW","properties":{"formattedCitation":"\\super 18\\nosupersub{}","plainCitation":"18","noteIndex":0},"citationItems":[{"id":1425,"uris":["http://zotero.org/users/2127173/items/VLI8KXGD"],"uri":["http://zotero.org/users/2127173/items/VLI8KXGD"],"itemData":{"id":1425,"type":"webpage","abstract":"Use our interactive dashboard to find out the number of patients registered at a GP practice. The numbers can be shown at national, CCG or GP practice level, and GP practices can be compared to one another.","container-title":"NHS Digital","language":"en","title":"Patients registered at a GP practice","URL":"https://digital.nhs.uk/data-and-information/data-tools-and-services/data-services/general-practice-data-hub/patients-registered-at-a-gp-practice","author":[{"family":"NHS Digital","given":""}],"accessed":{"date-parts":[["2019",6,26]]},"issued":{"date-parts":[["2019"]]}}}],"schema":"https://github.com/citation-style-language/schema/raw/master/csl-citation.json"}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D72FE1" w:rsidRPr="00D279FF">
        <w:rPr>
          <w:rFonts w:ascii="Times New Roman" w:hAnsi="Times New Roman" w:cs="Times New Roman"/>
          <w:color w:val="000000" w:themeColor="text1"/>
          <w:sz w:val="24"/>
          <w:szCs w:val="24"/>
          <w:vertAlign w:val="superscript"/>
        </w:rPr>
        <w:t>18</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shd w:val="clear" w:color="auto" w:fill="FFFFFF"/>
        </w:rPr>
        <w:t xml:space="preserve"> </w:t>
      </w:r>
    </w:p>
    <w:p w:rsidR="00676D27" w:rsidRPr="00D279FF" w:rsidRDefault="00676D27" w:rsidP="00676D27">
      <w:pPr>
        <w:autoSpaceDE w:val="0"/>
        <w:autoSpaceDN w:val="0"/>
        <w:adjustRightInd w:val="0"/>
        <w:spacing w:line="360" w:lineRule="auto"/>
        <w:jc w:val="both"/>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4"/>
          <w:szCs w:val="24"/>
        </w:rPr>
        <w:t>Predictors</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The main predictor was a binary variable indicating the implementation of the 2015/16 QP. </w:t>
      </w:r>
      <w:r w:rsidRPr="00D279FF">
        <w:rPr>
          <w:rFonts w:ascii="Times New Roman" w:hAnsi="Times New Roman" w:cs="Times New Roman"/>
          <w:color w:val="000000" w:themeColor="text1"/>
          <w:sz w:val="24"/>
          <w:szCs w:val="24"/>
          <w:shd w:val="clear" w:color="auto" w:fill="FFFFFF"/>
        </w:rPr>
        <w:t xml:space="preserve">The intervention period included April 2015 to March 2016 with the control period as the prior 12 months (i.e. April 2014 to March 2015). </w:t>
      </w:r>
      <w:r w:rsidRPr="00D279FF">
        <w:rPr>
          <w:rFonts w:ascii="Times New Roman" w:hAnsi="Times New Roman" w:cs="Times New Roman"/>
          <w:color w:val="000000" w:themeColor="text1"/>
          <w:sz w:val="24"/>
          <w:szCs w:val="24"/>
        </w:rPr>
        <w:t>A continuous variable representing the number of months since 2015/16 QP implementation was used to examine changes in trend in the months following the intervention.</w:t>
      </w:r>
    </w:p>
    <w:p w:rsidR="00676D27" w:rsidRPr="00D279FF" w:rsidRDefault="00676D27" w:rsidP="00676D27">
      <w:pPr>
        <w:spacing w:line="360" w:lineRule="auto"/>
        <w:jc w:val="both"/>
        <w:rPr>
          <w:rFonts w:ascii="Times New Roman" w:hAnsi="Times New Roman" w:cs="Times New Roman"/>
          <w:i/>
          <w:color w:val="000000" w:themeColor="text1"/>
          <w:sz w:val="24"/>
          <w:szCs w:val="24"/>
          <w:shd w:val="clear" w:color="auto" w:fill="FFFFFF"/>
        </w:rPr>
      </w:pPr>
      <w:r w:rsidRPr="00D279FF">
        <w:rPr>
          <w:rFonts w:ascii="Times New Roman" w:hAnsi="Times New Roman" w:cs="Times New Roman"/>
          <w:i/>
          <w:color w:val="000000" w:themeColor="text1"/>
          <w:sz w:val="24"/>
          <w:szCs w:val="24"/>
          <w:shd w:val="clear" w:color="auto" w:fill="FFFFFF"/>
        </w:rPr>
        <w:t xml:space="preserve">Confounder and effect modifiers </w:t>
      </w:r>
    </w:p>
    <w:p w:rsidR="00676D27" w:rsidRPr="00D279FF" w:rsidRDefault="00676D27" w:rsidP="00676D27">
      <w:p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Confounder and effect modifiers in this study included:</w:t>
      </w:r>
    </w:p>
    <w:p w:rsidR="00676D27" w:rsidRPr="00D279FF" w:rsidRDefault="00676D27" w:rsidP="00676D27">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the number of general practitioners (GPs) per 10,000 patients in each practice for each financial year (sourced from the NHS Workforce data),</w:t>
      </w:r>
      <w:r w:rsidRPr="00D279FF">
        <w:rPr>
          <w:rFonts w:ascii="Times New Roman" w:hAnsi="Times New Roman" w:cs="Times New Roman"/>
          <w:color w:val="000000" w:themeColor="text1"/>
          <w:sz w:val="24"/>
          <w:szCs w:val="24"/>
          <w:shd w:val="clear" w:color="auto" w:fill="FFFFFF"/>
        </w:rPr>
        <w:fldChar w:fldCharType="begin"/>
      </w:r>
      <w:r w:rsidR="00D72FE1" w:rsidRPr="00D279FF">
        <w:rPr>
          <w:rFonts w:ascii="Times New Roman" w:hAnsi="Times New Roman" w:cs="Times New Roman"/>
          <w:color w:val="000000" w:themeColor="text1"/>
          <w:sz w:val="24"/>
          <w:szCs w:val="24"/>
          <w:shd w:val="clear" w:color="auto" w:fill="FFFFFF"/>
        </w:rPr>
        <w:instrText xml:space="preserve"> ADDIN ZOTERO_ITEM CSL_CITATION {"citationID":"WHl6QNnz","properties":{"formattedCitation":"\\super 19\\nosupersub{}","plainCitation":"19","noteIndex":0},"citationItems":[{"id":1123,"uris":["http://zotero.org/users/2127173/items/MASVTK5C"],"uri":["http://zotero.org/users/2127173/items/MASVTK5C"],"itemData":{"id":1123,"type":"webpage","abstract":"1.3 million people make up the NHS workforce, all contributing towards the effectiveness of the NHS.","container-title":"NHS Digital","language":"en","title":"Workforce Data","URL":"https://digital.nhs.uk/data-and-information/areas-of-interest/workforce","author":[{"family":"NHS Digital","given":""}],"accessed":{"date-parts":[["2019",2,19]]},"issued":{"date-parts":[["2018"]]}}}],"schema":"https://github.com/citation-style-language/schema/raw/master/csl-citation.json"}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D72FE1" w:rsidRPr="00D279FF">
        <w:rPr>
          <w:rFonts w:ascii="Times New Roman" w:hAnsi="Times New Roman" w:cs="Times New Roman"/>
          <w:color w:val="000000" w:themeColor="text1"/>
          <w:sz w:val="24"/>
          <w:szCs w:val="24"/>
          <w:vertAlign w:val="superscript"/>
        </w:rPr>
        <w:t>19</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w:t>
      </w:r>
    </w:p>
    <w:p w:rsidR="00676D27" w:rsidRPr="00D279FF" w:rsidRDefault="00676D27" w:rsidP="00676D27">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the index of multiple deprivation (IMD) (from the English indices of deprivation 2015 by the Department for Communities and Local Government) computed based on the lower super output area for each practice's postcode</w:t>
      </w:r>
      <w:r w:rsidRPr="00D279FF">
        <w:rPr>
          <w:rFonts w:ascii="Times New Roman" w:hAnsi="Times New Roman" w:cs="Times New Roman"/>
          <w:color w:val="000000" w:themeColor="text1"/>
          <w:sz w:val="24"/>
          <w:szCs w:val="24"/>
          <w:shd w:val="clear" w:color="auto" w:fill="FFFFFF"/>
        </w:rPr>
        <w:fldChar w:fldCharType="begin"/>
      </w:r>
      <w:r w:rsidR="00D72FE1" w:rsidRPr="00D279FF">
        <w:rPr>
          <w:rFonts w:ascii="Times New Roman" w:hAnsi="Times New Roman" w:cs="Times New Roman"/>
          <w:color w:val="000000" w:themeColor="text1"/>
          <w:sz w:val="24"/>
          <w:szCs w:val="24"/>
          <w:shd w:val="clear" w:color="auto" w:fill="FFFFFF"/>
        </w:rPr>
        <w:instrText xml:space="preserve"> ADDIN ZOTERO_ITEM CSL_CITATION {"citationID":"faqWctl9","properties":{"formattedCitation":"\\super 20,21\\nosupersub{}","plainCitation":"20,21","noteIndex":0},"citationItems":[{"id":28,"uris":["http://zotero.org/users/2127173/items/XKQFYVW3"],"uri":["http://zotero.org/users/2127173/items/XKQFYVW3"],"itemData":{"id":28,"type":"article","title":"The English Indices of Deprivation 2015 – Frequently Asked Questions (FAQs)","URL":"https://assets.publishing.service.gov.uk/government/uploads/system/uploads/attachment_data/file/579151/English_Indices_of_Deprivation_2015_-_Frequently_Asked_Questions_Dec_2016.pdf","author":[{"family":"Department for Communities and Local Government","given":""}],"issued":{"date-parts":[["2016"]]}},"label":"page"},{"id":1282,"uris":["http://zotero.org/users/2127173/items/JSBGT9LR"],"uri":["http://zotero.org/users/2127173/items/JSBGT9LR"],"itemData":{"id":1282,"type":"article-journal","container-title":"Environment and planning A","issue":"1","page":"169–185","source":"Google Scholar","title":"Measuring multiple deprivation at the small-area level","volume":"38","author":[{"family":"Noble","given":"Michael"},{"family":"Wright","given":"Gemma"},{"family":"Smith","given":"George"},{"family":"Dibben","given":"Chris"}],"issued":{"date-parts":[["2006"]]}},"label":"page"}],"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D72FE1" w:rsidRPr="00D279FF">
        <w:rPr>
          <w:rFonts w:ascii="Times New Roman" w:hAnsi="Times New Roman" w:cs="Times New Roman"/>
          <w:color w:val="000000" w:themeColor="text1"/>
          <w:sz w:val="24"/>
          <w:szCs w:val="24"/>
          <w:vertAlign w:val="superscript"/>
        </w:rPr>
        <w:t>20,21</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(this </w:t>
      </w:r>
      <w:r w:rsidRPr="00D279FF">
        <w:rPr>
          <w:rFonts w:ascii="Times New Roman" w:hAnsi="Times New Roman" w:cs="Times New Roman"/>
          <w:color w:val="000000" w:themeColor="text1"/>
          <w:sz w:val="24"/>
          <w:szCs w:val="24"/>
        </w:rPr>
        <w:t>only accounts for the site of practice and not patient-level data</w:t>
      </w:r>
      <w:r w:rsidRPr="00D279FF">
        <w:rPr>
          <w:rFonts w:ascii="Times New Roman" w:hAnsi="Times New Roman" w:cs="Times New Roman"/>
          <w:color w:val="000000" w:themeColor="text1"/>
          <w:sz w:val="24"/>
          <w:szCs w:val="24"/>
          <w:shd w:val="clear" w:color="auto" w:fill="FFFFFF"/>
        </w:rPr>
        <w:t>),</w:t>
      </w:r>
    </w:p>
    <w:p w:rsidR="00676D27" w:rsidRPr="00D279FF" w:rsidRDefault="00676D27" w:rsidP="00676D27">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yearly prevalence of specific co-morbidities per 100 patients, namely asthma, chronic obstructive pulmonary disease (COPD), diabetes</w:t>
      </w:r>
      <w:r w:rsidR="003A1D61" w:rsidRPr="00D279FF">
        <w:rPr>
          <w:rFonts w:ascii="Times New Roman" w:hAnsi="Times New Roman" w:cs="Times New Roman"/>
          <w:color w:val="000000" w:themeColor="text1"/>
          <w:sz w:val="24"/>
          <w:szCs w:val="24"/>
          <w:shd w:val="clear" w:color="auto" w:fill="FFFFFF"/>
        </w:rPr>
        <w:t xml:space="preserve"> mellitus</w:t>
      </w:r>
      <w:r w:rsidR="00E80D1B" w:rsidRPr="00D279FF">
        <w:rPr>
          <w:rFonts w:ascii="Times New Roman" w:hAnsi="Times New Roman" w:cs="Times New Roman"/>
          <w:color w:val="000000" w:themeColor="text1"/>
          <w:sz w:val="24"/>
          <w:szCs w:val="24"/>
          <w:shd w:val="clear" w:color="auto" w:fill="FFFFFF"/>
        </w:rPr>
        <w:t xml:space="preserve"> (for type 1 and 2)</w:t>
      </w:r>
      <w:r w:rsidRPr="00D279FF">
        <w:rPr>
          <w:rFonts w:ascii="Times New Roman" w:hAnsi="Times New Roman" w:cs="Times New Roman"/>
          <w:color w:val="000000" w:themeColor="text1"/>
          <w:sz w:val="24"/>
          <w:szCs w:val="24"/>
          <w:shd w:val="clear" w:color="auto" w:fill="FFFFFF"/>
        </w:rPr>
        <w:t>, cancer, chronic kidney disease (CKD) (from the NHS Quality and Outcomes Framework</w:t>
      </w:r>
      <w:r w:rsidR="0094276D" w:rsidRPr="00D279FF">
        <w:rPr>
          <w:rFonts w:ascii="Times New Roman" w:hAnsi="Times New Roman" w:cs="Times New Roman"/>
          <w:color w:val="000000" w:themeColor="text1"/>
          <w:sz w:val="24"/>
          <w:szCs w:val="24"/>
          <w:shd w:val="clear" w:color="auto" w:fill="FFFFFF"/>
        </w:rPr>
        <w:t xml:space="preserve"> (QOF)</w:t>
      </w:r>
      <w:r w:rsidRPr="00D279FF">
        <w:rPr>
          <w:rFonts w:ascii="Times New Roman" w:hAnsi="Times New Roman" w:cs="Times New Roman"/>
          <w:color w:val="000000" w:themeColor="text1"/>
          <w:sz w:val="24"/>
          <w:szCs w:val="24"/>
          <w:shd w:val="clear" w:color="auto" w:fill="FFFFFF"/>
        </w:rPr>
        <w:t xml:space="preserve"> database</w:t>
      </w:r>
      <w:r w:rsidR="003A1D61" w:rsidRPr="00D279FF">
        <w:rPr>
          <w:rFonts w:ascii="Times New Roman" w:hAnsi="Times New Roman" w:cs="Times New Roman"/>
          <w:color w:val="000000" w:themeColor="text1"/>
          <w:sz w:val="24"/>
          <w:szCs w:val="24"/>
          <w:shd w:val="clear" w:color="auto" w:fill="FFFFFF"/>
        </w:rPr>
        <w:t xml:space="preserve"> -QOF data do not distinguish between type 1 and type 2 diabetes mellitus</w:t>
      </w:r>
      <w:r w:rsidRPr="00D279FF">
        <w:rPr>
          <w:rFonts w:ascii="Times New Roman" w:hAnsi="Times New Roman" w:cs="Times New Roman"/>
          <w:color w:val="000000" w:themeColor="text1"/>
          <w:sz w:val="24"/>
          <w:szCs w:val="24"/>
          <w:shd w:val="clear" w:color="auto" w:fill="FFFFFF"/>
        </w:rPr>
        <w:t>)</w:t>
      </w:r>
      <w:r w:rsidR="003A1D61" w:rsidRPr="00D279FF">
        <w:rPr>
          <w:rFonts w:ascii="Times New Roman" w:hAnsi="Times New Roman" w:cs="Times New Roman"/>
          <w:color w:val="000000" w:themeColor="text1"/>
          <w:sz w:val="24"/>
          <w:szCs w:val="24"/>
          <w:shd w:val="clear" w:color="auto" w:fill="FFFFFF"/>
        </w:rPr>
        <w:t>.</w:t>
      </w:r>
      <w:r w:rsidRPr="00D279FF">
        <w:rPr>
          <w:rFonts w:ascii="Times New Roman" w:hAnsi="Times New Roman" w:cs="Times New Roman"/>
          <w:color w:val="000000" w:themeColor="text1"/>
          <w:sz w:val="24"/>
          <w:szCs w:val="24"/>
          <w:shd w:val="clear" w:color="auto" w:fill="FFFFFF"/>
        </w:rPr>
        <w:fldChar w:fldCharType="begin"/>
      </w:r>
      <w:r w:rsidR="00D72FE1" w:rsidRPr="00D279FF">
        <w:rPr>
          <w:rFonts w:ascii="Times New Roman" w:hAnsi="Times New Roman" w:cs="Times New Roman"/>
          <w:color w:val="000000" w:themeColor="text1"/>
          <w:sz w:val="24"/>
          <w:szCs w:val="24"/>
          <w:shd w:val="clear" w:color="auto" w:fill="FFFFFF"/>
        </w:rPr>
        <w:instrText xml:space="preserve"> ADDIN ZOTERO_ITEM CSL_CITATION {"citationID":"GDoRh3dA","properties":{"formattedCitation":"\\super 22\\nosupersub{}","plainCitation":"22","noteIndex":0},"citationItems":[{"id":1127,"uris":["http://zotero.org/users/2127173/items/Y9ZLPW8U"],"uri":["http://zotero.org/users/2127173/items/Y9ZLPW8U"],"itemData":{"id":1127,"type":"article","abstract":"The Quality and Outcome Framework (QOF) rewards practices for the provision of 'quality care' and helps to fund further improvements in the delivery of clinical care. QOF points are achieved based on the proportions of patients on defined disease registers who receive defined interventions.","language":"en","title":"Quality and Outcomes Framework, Achievement, prevalence and exceptions data - 2017-18 [PAS]","URL":"https://digital.nhs.uk/data-and-information/publications/statistical/quality-and-outcomes-framework-achievement-prevalence-and-exceptions-data/2017-18","author":[{"family":"NHS Quality and Outcome Frameworks","given":""}],"accessed":{"date-parts":[["2019",2,19]]},"issued":{"date-parts":[["2018"]]}}}],"schema":"https://github.com/citation-style-language/schema/raw/master/csl-citation.json"}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D72FE1" w:rsidRPr="00D279FF">
        <w:rPr>
          <w:rFonts w:ascii="Times New Roman" w:hAnsi="Times New Roman" w:cs="Times New Roman"/>
          <w:color w:val="000000" w:themeColor="text1"/>
          <w:sz w:val="24"/>
          <w:szCs w:val="24"/>
          <w:vertAlign w:val="superscript"/>
        </w:rPr>
        <w:t>22</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w:t>
      </w:r>
      <w:r w:rsidR="00E84F86" w:rsidRPr="00D279FF">
        <w:rPr>
          <w:rFonts w:ascii="Times New Roman" w:hAnsi="Times New Roman" w:cs="Times New Roman"/>
          <w:color w:val="000000" w:themeColor="text1"/>
          <w:sz w:val="24"/>
          <w:szCs w:val="24"/>
          <w:shd w:val="clear" w:color="auto" w:fill="FFFFFF"/>
        </w:rPr>
        <w:t xml:space="preserve">We have chosen these comorbidities as their prevalence </w:t>
      </w:r>
      <w:r w:rsidR="00776CCC" w:rsidRPr="00D279FF">
        <w:rPr>
          <w:rFonts w:ascii="Times New Roman" w:hAnsi="Times New Roman" w:cs="Times New Roman"/>
          <w:color w:val="000000" w:themeColor="text1"/>
          <w:sz w:val="24"/>
          <w:szCs w:val="24"/>
          <w:shd w:val="clear" w:color="auto" w:fill="FFFFFF"/>
        </w:rPr>
        <w:t>is relevant to</w:t>
      </w:r>
      <w:r w:rsidR="00E84F86" w:rsidRPr="00D279FF">
        <w:rPr>
          <w:rFonts w:ascii="Times New Roman" w:hAnsi="Times New Roman" w:cs="Times New Roman"/>
          <w:color w:val="000000" w:themeColor="text1"/>
          <w:sz w:val="24"/>
          <w:szCs w:val="24"/>
          <w:shd w:val="clear" w:color="auto" w:fill="FFFFFF"/>
        </w:rPr>
        <w:t xml:space="preserve"> </w:t>
      </w:r>
      <w:r w:rsidR="00C23CA6" w:rsidRPr="00D279FF">
        <w:rPr>
          <w:rFonts w:ascii="Times New Roman" w:hAnsi="Times New Roman" w:cs="Times New Roman"/>
          <w:color w:val="000000" w:themeColor="text1"/>
          <w:sz w:val="24"/>
          <w:szCs w:val="24"/>
          <w:shd w:val="clear" w:color="auto" w:fill="FFFFFF"/>
        </w:rPr>
        <w:t xml:space="preserve">the </w:t>
      </w:r>
      <w:r w:rsidR="00E84F86" w:rsidRPr="00D279FF">
        <w:rPr>
          <w:rFonts w:ascii="Times New Roman" w:hAnsi="Times New Roman" w:cs="Times New Roman"/>
          <w:color w:val="000000" w:themeColor="text1"/>
          <w:sz w:val="24"/>
          <w:szCs w:val="24"/>
          <w:shd w:val="clear" w:color="auto" w:fill="FFFFFF"/>
        </w:rPr>
        <w:t xml:space="preserve">antibiotic prescribing rate of </w:t>
      </w:r>
      <w:r w:rsidR="00C23CA6" w:rsidRPr="00D279FF">
        <w:rPr>
          <w:rFonts w:ascii="Times New Roman" w:hAnsi="Times New Roman" w:cs="Times New Roman"/>
          <w:color w:val="000000" w:themeColor="text1"/>
          <w:sz w:val="24"/>
          <w:szCs w:val="24"/>
          <w:shd w:val="clear" w:color="auto" w:fill="FFFFFF"/>
        </w:rPr>
        <w:t xml:space="preserve">a </w:t>
      </w:r>
      <w:r w:rsidR="00E84F86" w:rsidRPr="00D279FF">
        <w:rPr>
          <w:rFonts w:ascii="Times New Roman" w:hAnsi="Times New Roman" w:cs="Times New Roman"/>
          <w:color w:val="000000" w:themeColor="text1"/>
          <w:sz w:val="24"/>
          <w:szCs w:val="24"/>
          <w:shd w:val="clear" w:color="auto" w:fill="FFFFFF"/>
        </w:rPr>
        <w:t>practice given that a</w:t>
      </w:r>
      <w:r w:rsidR="00E84F86" w:rsidRPr="00D279FF">
        <w:rPr>
          <w:rFonts w:ascii="Times New Roman" w:hAnsi="Times New Roman" w:cs="Times New Roman"/>
          <w:color w:val="000000" w:themeColor="text1"/>
          <w:sz w:val="24"/>
          <w:szCs w:val="24"/>
        </w:rPr>
        <w:t xml:space="preserve">ntibiotic prescribing is recommended in the management of some RTI patients with these </w:t>
      </w:r>
      <w:r w:rsidR="00BE694E" w:rsidRPr="00D279FF">
        <w:rPr>
          <w:rFonts w:ascii="Times New Roman" w:hAnsi="Times New Roman" w:cs="Times New Roman"/>
          <w:color w:val="000000" w:themeColor="text1"/>
          <w:sz w:val="24"/>
          <w:szCs w:val="24"/>
        </w:rPr>
        <w:t>co-morbidities</w:t>
      </w:r>
      <w:r w:rsidR="00E84F86" w:rsidRPr="00D279FF">
        <w:rPr>
          <w:rFonts w:ascii="Times New Roman" w:hAnsi="Times New Roman" w:cs="Times New Roman"/>
          <w:color w:val="000000" w:themeColor="text1"/>
          <w:sz w:val="24"/>
          <w:szCs w:val="24"/>
        </w:rPr>
        <w:t>.</w:t>
      </w:r>
      <w:r w:rsidR="00E84F86" w:rsidRPr="00D279FF">
        <w:rPr>
          <w:rFonts w:ascii="Times New Roman" w:hAnsi="Times New Roman" w:cs="Times New Roman"/>
          <w:color w:val="000000" w:themeColor="text1"/>
          <w:sz w:val="24"/>
          <w:szCs w:val="24"/>
        </w:rPr>
        <w:fldChar w:fldCharType="begin"/>
      </w:r>
      <w:r w:rsidR="00BE694E" w:rsidRPr="00D279FF">
        <w:rPr>
          <w:rFonts w:ascii="Times New Roman" w:hAnsi="Times New Roman" w:cs="Times New Roman"/>
          <w:color w:val="000000" w:themeColor="text1"/>
          <w:sz w:val="24"/>
          <w:szCs w:val="24"/>
        </w:rPr>
        <w:instrText xml:space="preserve"> ADDIN ZOTERO_ITEM CSL_CITATION {"citationID":"jZJ1CBJB","properties":{"formattedCitation":"\\super 6,23\\uc0\\u8211{}25\\nosupersub{}","plainCitation":"6,23–25","noteIndex":0},"citationItems":[{"id":1255,"uris":["http://zotero.org/users/2127173/items/729ITZMK"],"uri":["http://zotero.org/users/2127173/items/729ITZMK"],"itemData":{"id":1255,"type":"article","language":"eng","title":"Respiratory tract infections (self-limiting): prescribing antibiotics","title-short":"Overview | Respiratory tract infections (self-limiting)","URL":"https://www.nice.org.uk/guidance/cg69/resources/respiratory-tract-infections-selflimiting-prescribing-antibiotics-pdf-975576354757","author":[{"family":"National Institute for Health and Care Excellence","given":""}],"accessed":{"date-parts":[["2019",6,10]]},"issued":{"date-parts":[["2008"]]}},"label":"page"},{"id":1737,"uris":["http://zotero.org/users/2127173/items/7W66DW4P"],"uri":["http://zotero.org/users/2127173/items/7W66DW4P"],"itemData":{"id":1737,"type":"article-journal","abstract":"</w:instrText>
      </w:r>
      <w:r w:rsidR="00BE694E" w:rsidRPr="00D279FF">
        <w:rPr>
          <w:rFonts w:ascii="Cambria Math" w:hAnsi="Cambria Math" w:cs="Cambria Math"/>
          <w:color w:val="000000" w:themeColor="text1"/>
          <w:sz w:val="24"/>
          <w:szCs w:val="24"/>
        </w:rPr>
        <w:instrText>⇓</w:instrText>
      </w:r>
      <w:r w:rsidR="00BE694E" w:rsidRPr="00D279FF">
        <w:rPr>
          <w:rFonts w:ascii="Times New Roman" w:hAnsi="Times New Roman" w:cs="Times New Roman"/>
          <w:color w:val="000000" w:themeColor="text1"/>
          <w:sz w:val="24"/>
          <w:szCs w:val="24"/>
        </w:rPr>
        <w:instrText xml:space="preserve">","container-title":"European Respiratory Journal","DOI":"10.1183/09031936.05.00055705","ISSN":"0903-1936, 1399-3003","issue":"6","language":"en","note":"PMID: 16319346","page":"1138-1180","source":"erj.ersjournals.com","title":"Guidelines for the management of adult lower respiratory tract infections","volume":"26","author":[{"family":"Woodhead","given":"M."},{"family":"Blasi","given":"F."},{"family":"Ewig","given":"S."},{"family":"Huchon","given":"G."},{"family":"Leven","given":"M."},{"family":"Ortqvist","given":"A."},{"family":"Schaberg","given":"T."},{"family":"Torres","given":"A."},{"family":"Heijden","given":"G.","dropping-particle":"van der"},{"family":"Verheij","given":"T. J. M."}],"issued":{"date-parts":[["2005",12,1]]}}},{"id":1734,"uris":["http://zotero.org/users/2127173/items/QSLTQUBR"],"uri":["http://zotero.org/users/2127173/items/QSLTQUBR"],"itemData":{"id":1734,"type":"article-journal","abstract":"Abstract.  Background. Guidelines on acute lower respiratory tract infections recommend restrictive use of antibiotics, however, in patients with relevant co-mo","container-title":"Family Practice","DOI":"10.1093/fampra/cmm023","ISSN":"0263-2136","issue":"4","journalAbbreviation":"Fam Pract","language":"en","page":"317-322","source":"academic.oup.com","title":"Is co-morbidity taken into account in the antibiotic management of elderly patients with acute bronchitis and COPD exacerbations?","volume":"24","author":[{"family":"Bont","given":"Jettie"},{"family":"Hak","given":"Eelko"},{"family":"Birkhoff","given":"Christine E."},{"family":"Hoes","given":"Arno W."},{"family":"Verheij","given":"Theo JM"}],"issued":{"date-parts":[["2007",8,1]]}}},{"id":1741,"uris":["http://zotero.org/users/2127173/items/FISCTPC6"],"uri":["http://zotero.org/users/2127173/items/FISCTPC6"],"itemData":{"id":1741,"type":"article-journal","abstract":"Comorbid patients are vulnerable to infection but rarely the focus of antimicrobial stewardship. Diagnosis of comorbidity is preceded by rapid increases in anti","container-title":"Clinical Infectious Diseases","DOI":"10.1093/cid/ciz1016","journalAbbreviation":"Clin Infect Dis","language":"en","source":"academic.oup.com","title":"Antibiotic Prescribing Before and After the Diagnosis of Comorbidity: A Cohort Study Using Primary Care Electronic Health Records","title-short":"Antibiotic Prescribing Before and After the Diagnosis of Comorbidity","URL":"https://academic.oup.com/cid/advance-article/doi/10.1093/cid/ciz1016/5601268","author":[{"family":"Rockenschaub","given":"Patrick"},{"family":"Hayward","given":"Andrew"},{"family":"Shallcross","given":"Laura"}],"accessed":{"date-parts":[["2020",2,12]]},"issued":{"date-parts":[["2019"]]}}}],"schema":"https://github.com/citation-style-language/schema/raw/master/csl-citation.json"} </w:instrText>
      </w:r>
      <w:r w:rsidR="00E84F86" w:rsidRPr="00D279FF">
        <w:rPr>
          <w:rFonts w:ascii="Times New Roman" w:hAnsi="Times New Roman" w:cs="Times New Roman"/>
          <w:color w:val="000000" w:themeColor="text1"/>
          <w:sz w:val="24"/>
          <w:szCs w:val="24"/>
        </w:rPr>
        <w:fldChar w:fldCharType="separate"/>
      </w:r>
      <w:r w:rsidR="00BE694E" w:rsidRPr="00D279FF">
        <w:rPr>
          <w:rFonts w:ascii="Times New Roman" w:hAnsi="Times New Roman" w:cs="Times New Roman"/>
          <w:color w:val="000000" w:themeColor="text1"/>
          <w:sz w:val="24"/>
          <w:szCs w:val="24"/>
          <w:vertAlign w:val="superscript"/>
        </w:rPr>
        <w:t>6,23–25</w:t>
      </w:r>
      <w:r w:rsidR="00E84F86" w:rsidRPr="00D279FF">
        <w:rPr>
          <w:rFonts w:ascii="Times New Roman" w:hAnsi="Times New Roman" w:cs="Times New Roman"/>
          <w:color w:val="000000" w:themeColor="text1"/>
          <w:sz w:val="24"/>
          <w:szCs w:val="24"/>
        </w:rPr>
        <w:fldChar w:fldCharType="end"/>
      </w:r>
    </w:p>
    <w:p w:rsidR="00676D27" w:rsidRPr="00D279FF" w:rsidRDefault="00676D27" w:rsidP="00676D27">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the monthly prescribing rate of opioids and benzodiazepines (per 100 patients) (from Practice Level Prescribing Data published by NHS Digital).</w:t>
      </w:r>
      <w:r w:rsidRPr="00D279FF">
        <w:rPr>
          <w:rFonts w:ascii="Times New Roman" w:hAnsi="Times New Roman" w:cs="Times New Roman"/>
          <w:color w:val="000000" w:themeColor="text1"/>
          <w:sz w:val="24"/>
          <w:szCs w:val="24"/>
          <w:shd w:val="clear" w:color="auto" w:fill="FFFFFF"/>
        </w:rPr>
        <w:fldChar w:fldCharType="begin"/>
      </w:r>
      <w:r w:rsidR="00BE694E" w:rsidRPr="00D279FF">
        <w:rPr>
          <w:rFonts w:ascii="Times New Roman" w:hAnsi="Times New Roman" w:cs="Times New Roman"/>
          <w:color w:val="000000" w:themeColor="text1"/>
          <w:sz w:val="24"/>
          <w:szCs w:val="24"/>
          <w:shd w:val="clear" w:color="auto" w:fill="FFFFFF"/>
        </w:rPr>
        <w:instrText xml:space="preserve"> ADDIN ZOTERO_ITEM CSL_CITATION {"citationID":"hAYrALwC","properties":{"formattedCitation":"\\super 26\\nosupersub{}","plainCitation":"26","noteIndex":0},"citationItems":[{"id":24,"uris":["http://zotero.org/users/2127173/items/5R8T9VRZ"],"uri":["http://zotero.org/users/2127173/items/5R8T9VRZ"],"itemData":{"id":24,"type":"article","title":"Information Services Portal. Detailed Prescribing Information","URL":"https://apps.nhsbsa.nhs.uk/infosystems/data/showDataSelector.do?reportId=124","author":[{"family":"NHS Business Services Authority","given":""}],"issued":{"date-parts":[["2018"]]}}}],"schema":"https://github.com/citation-style-language/schema/raw/master/csl-citation.json"}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BE694E" w:rsidRPr="00D279FF">
        <w:rPr>
          <w:rFonts w:ascii="Times New Roman" w:hAnsi="Times New Roman" w:cs="Times New Roman"/>
          <w:color w:val="000000" w:themeColor="text1"/>
          <w:sz w:val="24"/>
          <w:szCs w:val="24"/>
          <w:vertAlign w:val="superscript"/>
        </w:rPr>
        <w:t>26</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w:t>
      </w:r>
    </w:p>
    <w:p w:rsidR="00676D27" w:rsidRPr="00D279FF" w:rsidRDefault="00676D27" w:rsidP="00676D27">
      <w:p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Data from the different sources were linked using practice code, a unique identifier for practices in England. Data from OpenPrescribing and NHS Digital are from the same source, NHS Business Services Authority (BSA) prescribing and dispensing information systems.</w:t>
      </w:r>
    </w:p>
    <w:p w:rsidR="0018466B" w:rsidRPr="00D279FF" w:rsidRDefault="00676D27" w:rsidP="00676D27">
      <w:p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 xml:space="preserve">As our analysis is at a monthly level, all models were adjusted for seasonality </w:t>
      </w:r>
      <w:r w:rsidR="001E78DF" w:rsidRPr="00D279FF">
        <w:rPr>
          <w:rFonts w:ascii="Times New Roman" w:hAnsi="Times New Roman" w:cs="Times New Roman"/>
          <w:color w:val="000000" w:themeColor="text1"/>
          <w:sz w:val="24"/>
          <w:szCs w:val="24"/>
          <w:shd w:val="clear" w:color="auto" w:fill="FFFFFF"/>
        </w:rPr>
        <w:t>(</w:t>
      </w:r>
      <w:r w:rsidRPr="00D279FF">
        <w:rPr>
          <w:rFonts w:ascii="Times New Roman" w:hAnsi="Times New Roman" w:cs="Times New Roman"/>
          <w:color w:val="000000" w:themeColor="text1"/>
          <w:sz w:val="24"/>
          <w:szCs w:val="24"/>
          <w:shd w:val="clear" w:color="auto" w:fill="FFFFFF"/>
        </w:rPr>
        <w:t>using a categorical term</w:t>
      </w:r>
      <w:r w:rsidR="001E78DF" w:rsidRPr="00D279FF">
        <w:rPr>
          <w:rFonts w:ascii="Times New Roman" w:hAnsi="Times New Roman" w:cs="Times New Roman"/>
          <w:color w:val="000000" w:themeColor="text1"/>
          <w:sz w:val="24"/>
          <w:szCs w:val="24"/>
          <w:shd w:val="clear" w:color="auto" w:fill="FFFFFF"/>
        </w:rPr>
        <w:t xml:space="preserve"> with winter as the reference category) to account for the seasonal differences </w:t>
      </w:r>
      <w:r w:rsidR="001E78DF" w:rsidRPr="00D279FF">
        <w:rPr>
          <w:rFonts w:ascii="Times New Roman" w:hAnsi="Times New Roman" w:cs="Times New Roman"/>
          <w:color w:val="000000" w:themeColor="text1"/>
          <w:sz w:val="24"/>
          <w:szCs w:val="24"/>
          <w:shd w:val="clear" w:color="auto" w:fill="FFFFFF"/>
        </w:rPr>
        <w:lastRenderedPageBreak/>
        <w:t xml:space="preserve">in antibiotic prescribing -with increased incidence of </w:t>
      </w:r>
      <w:r w:rsidR="00E84F86" w:rsidRPr="00D279FF">
        <w:rPr>
          <w:rFonts w:ascii="Times New Roman" w:hAnsi="Times New Roman" w:cs="Times New Roman"/>
          <w:color w:val="000000" w:themeColor="text1"/>
          <w:sz w:val="24"/>
          <w:szCs w:val="24"/>
          <w:shd w:val="clear" w:color="auto" w:fill="FFFFFF"/>
        </w:rPr>
        <w:t>RTIs</w:t>
      </w:r>
      <w:r w:rsidR="001E78DF" w:rsidRPr="00D279FF">
        <w:rPr>
          <w:rFonts w:ascii="Times New Roman" w:hAnsi="Times New Roman" w:cs="Times New Roman"/>
          <w:color w:val="000000" w:themeColor="text1"/>
          <w:sz w:val="24"/>
          <w:szCs w:val="24"/>
          <w:shd w:val="clear" w:color="auto" w:fill="FFFFFF"/>
        </w:rPr>
        <w:t xml:space="preserve"> during the winter months associated with higher antibiotic prescribing</w:t>
      </w:r>
      <w:r w:rsidRPr="00D279FF">
        <w:rPr>
          <w:rFonts w:ascii="Times New Roman" w:hAnsi="Times New Roman" w:cs="Times New Roman"/>
          <w:color w:val="000000" w:themeColor="text1"/>
          <w:sz w:val="24"/>
          <w:szCs w:val="24"/>
          <w:shd w:val="clear" w:color="auto" w:fill="FFFFFF"/>
        </w:rPr>
        <w:t>.</w:t>
      </w:r>
      <w:r w:rsidR="001E78DF" w:rsidRPr="00D279FF">
        <w:rPr>
          <w:rFonts w:ascii="Times New Roman" w:hAnsi="Times New Roman" w:cs="Times New Roman"/>
          <w:color w:val="000000" w:themeColor="text1"/>
          <w:sz w:val="24"/>
          <w:szCs w:val="24"/>
          <w:shd w:val="clear" w:color="auto" w:fill="FFFFFF"/>
        </w:rPr>
        <w:fldChar w:fldCharType="begin"/>
      </w:r>
      <w:r w:rsidR="00BE694E" w:rsidRPr="00D279FF">
        <w:rPr>
          <w:rFonts w:ascii="Times New Roman" w:hAnsi="Times New Roman" w:cs="Times New Roman"/>
          <w:color w:val="000000" w:themeColor="text1"/>
          <w:sz w:val="24"/>
          <w:szCs w:val="24"/>
          <w:shd w:val="clear" w:color="auto" w:fill="FFFFFF"/>
        </w:rPr>
        <w:instrText xml:space="preserve"> ADDIN ZOTERO_ITEM CSL_CITATION {"citationID":"iEsGs38f","properties":{"formattedCitation":"\\super 27\\nosupersub{}","plainCitation":"27","noteIndex":0},"citationItems":[{"id":1731,"uris":["http://zotero.org/users/2127173/items/SR22CJCP"],"uri":["http://zotero.org/users/2127173/items/SR22CJCP"],"itemData":{"id":1731,"type":"article-journal","abstract":"Abstract.  Background: The ESAC project, granted by DG SANCO of the European Commission, is an international network of surveillance systems, aiming to collect","container-title":"Journal of Antimicrobial Chemotherapy","DOI":"10.1093/jac/dkl188","ISSN":"0305-7453","issue":"2","journalAbbreviation":"J Antimicrob Chemother","language":"en","page":"401-407","source":"academic.oup.com","title":"European Surveillance of Antimicrobial Consumption (ESAC): outpatient antibiotic use in Europe","title-short":"European Surveillance of Antimicrobial Consumption (ESAC)","volume":"58","author":[{"family":"Ferech","given":"Matus"},{"family":"Coenen","given":"Samuel"},{"family":"Malhotra-Kumar","given":"Surbhi"},{"family":"Dvorakova","given":"Katerina"},{"family":"Hendrickx","given":"Erik"},{"family":"Suetens","given":"Carl"},{"family":"Goossens","given":"Herman"}],"issued":{"date-parts":[["2006",8,1]]}}}],"schema":"https://github.com/citation-style-language/schema/raw/master/csl-citation.json"} </w:instrText>
      </w:r>
      <w:r w:rsidR="001E78DF" w:rsidRPr="00D279FF">
        <w:rPr>
          <w:rFonts w:ascii="Times New Roman" w:hAnsi="Times New Roman" w:cs="Times New Roman"/>
          <w:color w:val="000000" w:themeColor="text1"/>
          <w:sz w:val="24"/>
          <w:szCs w:val="24"/>
          <w:shd w:val="clear" w:color="auto" w:fill="FFFFFF"/>
        </w:rPr>
        <w:fldChar w:fldCharType="separate"/>
      </w:r>
      <w:r w:rsidR="00BE694E" w:rsidRPr="00D279FF">
        <w:rPr>
          <w:rFonts w:ascii="Times New Roman" w:hAnsi="Times New Roman" w:cs="Times New Roman"/>
          <w:color w:val="000000" w:themeColor="text1"/>
          <w:sz w:val="24"/>
          <w:szCs w:val="24"/>
          <w:vertAlign w:val="superscript"/>
        </w:rPr>
        <w:t>27</w:t>
      </w:r>
      <w:r w:rsidR="001E78DF"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w:t>
      </w:r>
    </w:p>
    <w:p w:rsidR="00676D27" w:rsidRPr="00D279FF" w:rsidRDefault="00676D27" w:rsidP="00676D27">
      <w:p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 xml:space="preserve">The dataset covered 7,549 practices existing over the study period. We first dropped practices that did not have complete observations for all variables (11.6%; mostly practices that closed or opened during the study period) and then those that were outliers using the interquartile range rule (5.6%); our final analyses, therefore, included </w:t>
      </w:r>
      <w:r w:rsidRPr="00D279FF">
        <w:rPr>
          <w:rFonts w:ascii="Times New Roman" w:hAnsi="Times New Roman" w:cs="Times New Roman"/>
          <w:color w:val="000000" w:themeColor="text1"/>
          <w:sz w:val="24"/>
          <w:szCs w:val="24"/>
        </w:rPr>
        <w:t xml:space="preserve">6,251 </w:t>
      </w:r>
      <w:r w:rsidRPr="00D279FF">
        <w:rPr>
          <w:rFonts w:ascii="Times New Roman" w:hAnsi="Times New Roman" w:cs="Times New Roman"/>
          <w:color w:val="000000" w:themeColor="text1"/>
          <w:sz w:val="24"/>
          <w:szCs w:val="24"/>
          <w:shd w:val="clear" w:color="auto" w:fill="FFFFFF"/>
        </w:rPr>
        <w:t>(82.8%) practices.</w:t>
      </w:r>
    </w:p>
    <w:p w:rsidR="00676D27" w:rsidRPr="00D279FF" w:rsidRDefault="00676D27" w:rsidP="00676D27">
      <w:pPr>
        <w:spacing w:line="360" w:lineRule="auto"/>
        <w:jc w:val="both"/>
        <w:rPr>
          <w:rFonts w:ascii="Times New Roman" w:hAnsi="Times New Roman" w:cs="Times New Roman"/>
          <w:b/>
          <w:color w:val="000000" w:themeColor="text1"/>
          <w:sz w:val="24"/>
          <w:szCs w:val="24"/>
          <w:shd w:val="clear" w:color="auto" w:fill="FFFFFF"/>
        </w:rPr>
      </w:pPr>
      <w:r w:rsidRPr="00D279FF">
        <w:rPr>
          <w:rFonts w:ascii="Times New Roman" w:hAnsi="Times New Roman" w:cs="Times New Roman"/>
          <w:b/>
          <w:color w:val="000000" w:themeColor="text1"/>
          <w:sz w:val="24"/>
          <w:szCs w:val="24"/>
          <w:shd w:val="clear" w:color="auto" w:fill="FFFFFF"/>
        </w:rPr>
        <w:t>Statistical analysis</w:t>
      </w:r>
    </w:p>
    <w:p w:rsidR="00676D27" w:rsidRPr="00D279FF" w:rsidRDefault="00676D27" w:rsidP="00676D27">
      <w:p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We fitted linear Generalised Estimating Equations models (GEE) with an autoregressive AR(1) covariance structure</w:t>
      </w:r>
      <w:r w:rsidRPr="00D279FF">
        <w:rPr>
          <w:rFonts w:ascii="Times New Roman" w:hAnsi="Times New Roman" w:cs="Times New Roman"/>
          <w:color w:val="000000" w:themeColor="text1"/>
          <w:sz w:val="24"/>
          <w:szCs w:val="24"/>
          <w:shd w:val="clear" w:color="auto" w:fill="FFFFFF"/>
        </w:rPr>
        <w:fldChar w:fldCharType="begin"/>
      </w:r>
      <w:r w:rsidR="00BE694E" w:rsidRPr="00D279FF">
        <w:rPr>
          <w:rFonts w:ascii="Times New Roman" w:hAnsi="Times New Roman" w:cs="Times New Roman"/>
          <w:color w:val="000000" w:themeColor="text1"/>
          <w:sz w:val="24"/>
          <w:szCs w:val="24"/>
          <w:shd w:val="clear" w:color="auto" w:fill="FFFFFF"/>
        </w:rPr>
        <w:instrText xml:space="preserve"> ADDIN ZOTERO_ITEM CSL_CITATION {"citationID":"6ypIERwX","properties":{"formattedCitation":"\\super 28\\nosupersub{}","plainCitation":"28","noteIndex":0},"citationItems":[{"id":1427,"uris":["http://zotero.org/users/2127173/items/N5U3IBRL"],"uri":["http://zotero.org/users/2127173/items/N5U3IBRL"],"itemData":{"id":1427,"type":"book","publisher":"Chapman and Hall/CRC","source":"Google Scholar","title":"Generalized estimating equations","author":[{"family":"Hardin","given":"James W."},{"family":"Hilbe","given":"Joseph M."}],"issued":{"date-parts":[["2002"]]}}}],"schema":"https://github.com/citation-style-language/schema/raw/master/csl-citation.json"}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BE694E" w:rsidRPr="00D279FF">
        <w:rPr>
          <w:rFonts w:ascii="Times New Roman" w:hAnsi="Times New Roman" w:cs="Times New Roman"/>
          <w:color w:val="000000" w:themeColor="text1"/>
          <w:sz w:val="24"/>
          <w:szCs w:val="24"/>
          <w:vertAlign w:val="superscript"/>
        </w:rPr>
        <w:t>28</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to investigate the effect of the 2015/16 QP on antibiotic prescribing. The first model included variables reflecting the 2015/16 QP and the number of months since its implementation as the predictors, adjusting for seasonality. </w:t>
      </w:r>
    </w:p>
    <w:p w:rsidR="00676D27" w:rsidRPr="00D279FF" w:rsidRDefault="00676D27" w:rsidP="00676D27">
      <w:p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rPr>
        <w:t xml:space="preserve">To examine whether this estimated effect of the 2015/16 QP on antibiotic prescribing was explained </w:t>
      </w:r>
      <w:r w:rsidRPr="00D279FF">
        <w:rPr>
          <w:rFonts w:ascii="Times New Roman" w:hAnsi="Times New Roman" w:cs="Times New Roman"/>
          <w:color w:val="000000" w:themeColor="text1"/>
          <w:sz w:val="24"/>
          <w:szCs w:val="24"/>
          <w:shd w:val="clear" w:color="auto" w:fill="FFFFFF"/>
        </w:rPr>
        <w:t>by differences in practice characteristics that can contribute to variance in antibiotic prescribing, we introduced variables reflecting practice characteristics (</w:t>
      </w:r>
      <w:r w:rsidRPr="00D279FF">
        <w:rPr>
          <w:rFonts w:ascii="Times New Roman" w:hAnsi="Times New Roman" w:cs="Times New Roman"/>
          <w:color w:val="000000" w:themeColor="text1"/>
          <w:sz w:val="24"/>
          <w:szCs w:val="24"/>
        </w:rPr>
        <w:t xml:space="preserve">workforce size, prevalence of co-morbidities, rate of prescribing of non-antibiotic drugs, and IMD) to investigate whether the effect of the QP was retained, declined or intensified. </w:t>
      </w:r>
    </w:p>
    <w:p w:rsidR="00676D27" w:rsidRPr="00D279FF" w:rsidRDefault="00676D27" w:rsidP="00676D27">
      <w:pPr>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In the multivariable model, we excluded variables causing multicollinearity (defined by opposite effects in univariable and multivariable models and high Spearman correlation &gt;0.5). To address non-linearity, we modelled the association between the outcome and workforce using linear spline terms with knots equally spaced over the range of the workforce data (at 4.91, 9.81 and 14.72). A principal component analysis (PCA) was used to compute a summary score reflecting respiratory diseases comorbidity (using asthma and COPD prevalence). The PCA produced two components with eigenvalues of 1.41 and 0.59. We retained the first component (with an eigenvalue above 1) which explained 71% of the variation in the data</w:t>
      </w:r>
      <w:r w:rsidRPr="00D279FF">
        <w:rPr>
          <w:rFonts w:ascii="Times New Roman" w:hAnsi="Times New Roman" w:cs="Times New Roman"/>
          <w:color w:val="000000" w:themeColor="text1"/>
          <w:sz w:val="24"/>
          <w:szCs w:val="24"/>
        </w:rPr>
        <w:t xml:space="preserve"> on </w:t>
      </w:r>
      <w:r w:rsidRPr="00D279FF">
        <w:rPr>
          <w:rFonts w:ascii="Times New Roman" w:hAnsi="Times New Roman" w:cs="Times New Roman"/>
          <w:color w:val="000000" w:themeColor="text1"/>
          <w:sz w:val="24"/>
          <w:szCs w:val="24"/>
          <w:shd w:val="clear" w:color="auto" w:fill="FFFFFF"/>
        </w:rPr>
        <w:t xml:space="preserve">respiratory diseases prevalence.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We also conducted subgroup analyses using interaction terms to examine whether the 2015/16 QP had a differential effect on antibiotic prescribing among high prescribing practices (the top 20% prescribing practices based on the mean antibiotic items per STAR-PU prescribed in 2014/15); practices with a higher prevalence of comorbidities; low workforce; and in deprived areas. For more detailed analysis of differential effect of QP based on levels of comorbidity prevalence, we used linear spline functions </w:t>
      </w:r>
      <w:r w:rsidRPr="00D279FF">
        <w:rPr>
          <w:rFonts w:ascii="Times New Roman" w:hAnsi="Times New Roman" w:cs="Times New Roman"/>
          <w:color w:val="000000" w:themeColor="text1"/>
          <w:sz w:val="24"/>
          <w:szCs w:val="24"/>
          <w:shd w:val="clear" w:color="auto" w:fill="FFFFFF"/>
        </w:rPr>
        <w:t xml:space="preserve">with knots equally spaced over the range of the </w:t>
      </w:r>
      <w:r w:rsidRPr="00D279FF">
        <w:rPr>
          <w:rFonts w:ascii="Times New Roman" w:hAnsi="Times New Roman" w:cs="Times New Roman"/>
          <w:color w:val="000000" w:themeColor="text1"/>
          <w:sz w:val="24"/>
          <w:szCs w:val="24"/>
        </w:rPr>
        <w:lastRenderedPageBreak/>
        <w:t>variables on diabetes prevalence (knots at 3.93, 7.60, and 11.28) and the PCA summary score for respiratory diseases (knots at -2.05, 0.32, and 2.70).</w:t>
      </w:r>
    </w:p>
    <w:p w:rsidR="00676D27" w:rsidRPr="00D279FF" w:rsidRDefault="00676D27" w:rsidP="00676D27">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All analyses were conducted using </w:t>
      </w:r>
      <w:r w:rsidRPr="00D279FF">
        <w:rPr>
          <w:rFonts w:ascii="Times New Roman" w:hAnsi="Times New Roman" w:cs="Times New Roman"/>
          <w:noProof/>
          <w:color w:val="000000" w:themeColor="text1"/>
          <w:sz w:val="24"/>
          <w:szCs w:val="24"/>
        </w:rPr>
        <w:t>Stata</w:t>
      </w:r>
      <w:r w:rsidRPr="00D279FF">
        <w:rPr>
          <w:rFonts w:ascii="Times New Roman" w:hAnsi="Times New Roman" w:cs="Times New Roman"/>
          <w:color w:val="000000" w:themeColor="text1"/>
          <w:sz w:val="24"/>
          <w:szCs w:val="24"/>
        </w:rPr>
        <w:t xml:space="preserve"> version 15.1. Results for all models are presented as coefficients with 95% confidence intervals (95% CIs).</w:t>
      </w: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RESULTS</w:t>
      </w:r>
    </w:p>
    <w:p w:rsidR="00676D27" w:rsidRPr="00D279FF" w:rsidRDefault="00676D27" w:rsidP="00676D27">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The data constituted 150,024 observations for 6,251 practices; each practice contributed data for 24 months. The mean number of antibiotic items prescribed in 2014/15 QP was 1.106 items/STAR-PU (95% CI: 1.103 to 1.108); this was 0.097 items higher than the mean in the post-intervention period (Table 1). The top 20% prescribing practices had fewer GPs per 10,000 patients, higher rates of prescriptions for non-antibiotic drugs and higher prevalence of co-morbidities (apart from cancer) compared to the entire population.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Univariable models showed the predictors and covariates (apart from the last spline term for workforce) were all significantly associated with the antibiotic prescribing rate in primary care practices in England</w:t>
      </w:r>
      <w:r w:rsidR="00BC44E2" w:rsidRPr="00D279FF">
        <w:rPr>
          <w:rFonts w:ascii="Times New Roman" w:hAnsi="Times New Roman" w:cs="Times New Roman"/>
          <w:color w:val="000000" w:themeColor="text1"/>
          <w:sz w:val="24"/>
          <w:szCs w:val="24"/>
        </w:rPr>
        <w:t xml:space="preserve"> (</w:t>
      </w:r>
      <w:r w:rsidR="00CD589E" w:rsidRPr="00D279FF">
        <w:rPr>
          <w:rFonts w:ascii="Times New Roman" w:hAnsi="Times New Roman" w:cs="Times New Roman"/>
          <w:color w:val="000000" w:themeColor="text1"/>
          <w:sz w:val="24"/>
          <w:szCs w:val="24"/>
        </w:rPr>
        <w:t>see supplementary table 1</w:t>
      </w:r>
      <w:r w:rsidR="00BC44E2" w:rsidRPr="00D279FF">
        <w:rPr>
          <w:rFonts w:ascii="Times New Roman" w:hAnsi="Times New Roman" w:cs="Times New Roman"/>
          <w:color w:val="000000" w:themeColor="text1"/>
          <w:sz w:val="24"/>
          <w:szCs w:val="24"/>
        </w:rPr>
        <w:t>)</w:t>
      </w:r>
      <w:r w:rsidRPr="00D279FF">
        <w:rPr>
          <w:rFonts w:ascii="Times New Roman" w:hAnsi="Times New Roman" w:cs="Times New Roman"/>
          <w:color w:val="000000" w:themeColor="text1"/>
          <w:sz w:val="24"/>
          <w:szCs w:val="24"/>
        </w:rPr>
        <w:t>.</w:t>
      </w:r>
    </w:p>
    <w:p w:rsidR="00940F93" w:rsidRPr="00D279FF" w:rsidRDefault="00940F93" w:rsidP="00940F93">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Effect of the 2015/16 QP on antibiotic prescribing (adjusting for seasonality)</w:t>
      </w:r>
    </w:p>
    <w:p w:rsidR="00940F93" w:rsidRPr="00D279FF" w:rsidRDefault="00940F93" w:rsidP="00940F93">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Antibiotic prescribing in general practices in England reduced by -0.172 items/STAR-PU (95% CI: -0.176 to -0.168) after 2015/16 QP </w:t>
      </w:r>
      <w:bookmarkStart w:id="5" w:name="_Hlk11147106"/>
      <w:r w:rsidRPr="00D279FF">
        <w:rPr>
          <w:rFonts w:ascii="Times New Roman" w:hAnsi="Times New Roman" w:cs="Times New Roman"/>
          <w:color w:val="000000" w:themeColor="text1"/>
          <w:sz w:val="24"/>
          <w:szCs w:val="24"/>
        </w:rPr>
        <w:t>implementation in April 2015 compared to the 12 months before</w:t>
      </w:r>
      <w:bookmarkEnd w:id="5"/>
      <w:r w:rsidRPr="00D279FF">
        <w:rPr>
          <w:rFonts w:ascii="Times New Roman" w:hAnsi="Times New Roman" w:cs="Times New Roman"/>
          <w:color w:val="000000" w:themeColor="text1"/>
          <w:sz w:val="24"/>
          <w:szCs w:val="24"/>
        </w:rPr>
        <w:t xml:space="preserve"> (table 2) (fig. 1). </w:t>
      </w:r>
      <w:bookmarkStart w:id="6" w:name="_Hlk11147095"/>
      <w:r w:rsidRPr="00D279FF">
        <w:rPr>
          <w:rFonts w:ascii="Times New Roman" w:hAnsi="Times New Roman" w:cs="Times New Roman"/>
          <w:color w:val="000000" w:themeColor="text1"/>
          <w:sz w:val="24"/>
          <w:szCs w:val="24"/>
        </w:rPr>
        <w:t xml:space="preserve">There was a slight increase in the months following April 2015 </w:t>
      </w:r>
      <w:bookmarkEnd w:id="6"/>
      <w:r w:rsidRPr="00D279FF">
        <w:rPr>
          <w:rFonts w:ascii="Times New Roman" w:hAnsi="Times New Roman" w:cs="Times New Roman"/>
          <w:color w:val="000000" w:themeColor="text1"/>
          <w:sz w:val="24"/>
          <w:szCs w:val="24"/>
        </w:rPr>
        <w:t>(month-on-month increase +0.014 items/STAR-PU (95% CI: +0.013 to +0.014).</w:t>
      </w:r>
    </w:p>
    <w:p w:rsidR="00940F93" w:rsidRDefault="00940F93">
      <w:pPr>
        <w:rPr>
          <w:rFonts w:ascii="Times New Roman" w:hAnsi="Times New Roman" w:cs="Times New Roman"/>
          <w:i/>
          <w:sz w:val="24"/>
          <w:szCs w:val="24"/>
        </w:rPr>
      </w:pPr>
      <w:r>
        <w:rPr>
          <w:rFonts w:ascii="Times New Roman" w:hAnsi="Times New Roman" w:cs="Times New Roman"/>
          <w:i/>
          <w:sz w:val="24"/>
          <w:szCs w:val="24"/>
        </w:rPr>
        <w:br w:type="page"/>
      </w:r>
    </w:p>
    <w:p w:rsidR="00940F93" w:rsidRDefault="00940F93" w:rsidP="00940F93">
      <w:pPr>
        <w:rPr>
          <w:rFonts w:ascii="Times New Roman" w:hAnsi="Times New Roman" w:cs="Times New Roman"/>
          <w:i/>
          <w:sz w:val="24"/>
          <w:szCs w:val="24"/>
        </w:rPr>
      </w:pPr>
      <w:r w:rsidRPr="00951148">
        <w:rPr>
          <w:rFonts w:ascii="Times New Roman" w:hAnsi="Times New Roman" w:cs="Times New Roman"/>
          <w:i/>
          <w:sz w:val="24"/>
          <w:szCs w:val="24"/>
        </w:rPr>
        <w:lastRenderedPageBreak/>
        <w:t>Table 1: Characteristics of general practices</w:t>
      </w:r>
    </w:p>
    <w:tbl>
      <w:tblPr>
        <w:tblStyle w:val="TableGrid"/>
        <w:tblW w:w="5095" w:type="pct"/>
        <w:tblInd w:w="-176" w:type="dxa"/>
        <w:tblLook w:val="0000" w:firstRow="0" w:lastRow="0" w:firstColumn="0" w:lastColumn="0" w:noHBand="0" w:noVBand="0"/>
      </w:tblPr>
      <w:tblGrid>
        <w:gridCol w:w="2296"/>
        <w:gridCol w:w="1700"/>
        <w:gridCol w:w="1821"/>
        <w:gridCol w:w="1685"/>
        <w:gridCol w:w="1685"/>
      </w:tblGrid>
      <w:tr w:rsidR="00940F93" w:rsidRPr="00B42B26" w:rsidTr="00663E9F">
        <w:trPr>
          <w:trHeight w:val="1402"/>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p>
        </w:tc>
        <w:tc>
          <w:tcPr>
            <w:tcW w:w="925" w:type="pct"/>
          </w:tcPr>
          <w:p w:rsidR="00940F93" w:rsidRPr="00B42B26" w:rsidRDefault="00940F93" w:rsidP="00663E9F">
            <w:pPr>
              <w:spacing w:line="276" w:lineRule="auto"/>
              <w:jc w:val="center"/>
              <w:rPr>
                <w:rFonts w:ascii="Times New Roman" w:hAnsi="Times New Roman" w:cs="Times New Roman"/>
                <w:b/>
                <w:sz w:val="20"/>
                <w:szCs w:val="20"/>
              </w:rPr>
            </w:pPr>
            <w:r w:rsidRPr="00B42B26">
              <w:rPr>
                <w:rFonts w:ascii="Times New Roman" w:hAnsi="Times New Roman" w:cs="Times New Roman"/>
                <w:b/>
                <w:sz w:val="20"/>
                <w:szCs w:val="20"/>
              </w:rPr>
              <w:t>Mean</w:t>
            </w:r>
          </w:p>
          <w:p w:rsidR="00940F93" w:rsidRDefault="00940F93" w:rsidP="00663E9F">
            <w:pPr>
              <w:spacing w:line="276" w:lineRule="auto"/>
              <w:jc w:val="center"/>
              <w:rPr>
                <w:rFonts w:ascii="Times New Roman" w:hAnsi="Times New Roman" w:cs="Times New Roman"/>
                <w:b/>
                <w:sz w:val="20"/>
                <w:szCs w:val="20"/>
              </w:rPr>
            </w:pPr>
            <w:r w:rsidRPr="00B42B26">
              <w:rPr>
                <w:rFonts w:ascii="Times New Roman" w:hAnsi="Times New Roman" w:cs="Times New Roman"/>
                <w:b/>
                <w:sz w:val="20"/>
                <w:szCs w:val="20"/>
              </w:rPr>
              <w:t>Entire study</w:t>
            </w:r>
            <w:r>
              <w:rPr>
                <w:rFonts w:ascii="Times New Roman" w:hAnsi="Times New Roman" w:cs="Times New Roman"/>
                <w:b/>
                <w:sz w:val="20"/>
                <w:szCs w:val="20"/>
              </w:rPr>
              <w:t xml:space="preserve"> population</w:t>
            </w:r>
          </w:p>
          <w:p w:rsidR="00940F93" w:rsidRDefault="00940F93" w:rsidP="00663E9F">
            <w:pPr>
              <w:spacing w:line="276" w:lineRule="auto"/>
              <w:jc w:val="center"/>
              <w:rPr>
                <w:rFonts w:ascii="Times New Roman" w:hAnsi="Times New Roman" w:cs="Times New Roman"/>
                <w:sz w:val="16"/>
                <w:szCs w:val="16"/>
              </w:rPr>
            </w:pPr>
            <w:r w:rsidRPr="00287630">
              <w:rPr>
                <w:rFonts w:ascii="Times New Roman" w:hAnsi="Times New Roman" w:cs="Times New Roman"/>
                <w:sz w:val="16"/>
                <w:szCs w:val="16"/>
              </w:rPr>
              <w:t>(2014/15 &amp; 2015/16)</w:t>
            </w:r>
          </w:p>
          <w:p w:rsidR="00940F93" w:rsidRPr="00287630" w:rsidRDefault="00940F93" w:rsidP="00663E9F">
            <w:pPr>
              <w:spacing w:line="276" w:lineRule="auto"/>
              <w:jc w:val="center"/>
              <w:rPr>
                <w:rFonts w:ascii="Times New Roman" w:hAnsi="Times New Roman" w:cs="Times New Roman"/>
                <w:sz w:val="16"/>
                <w:szCs w:val="16"/>
              </w:rPr>
            </w:pPr>
            <w:r>
              <w:rPr>
                <w:rFonts w:ascii="Times New Roman" w:hAnsi="Times New Roman" w:cs="Times New Roman"/>
                <w:sz w:val="16"/>
                <w:szCs w:val="16"/>
              </w:rPr>
              <w:t>(n = 6,251)</w:t>
            </w:r>
          </w:p>
          <w:p w:rsidR="00940F93" w:rsidRPr="00B42B26" w:rsidRDefault="00940F93" w:rsidP="00663E9F">
            <w:pPr>
              <w:spacing w:line="276" w:lineRule="auto"/>
              <w:jc w:val="center"/>
              <w:rPr>
                <w:rFonts w:ascii="Times New Roman" w:hAnsi="Times New Roman" w:cs="Times New Roman"/>
                <w:b/>
                <w:sz w:val="20"/>
                <w:szCs w:val="20"/>
              </w:rPr>
            </w:pPr>
            <w:r w:rsidRPr="00287630">
              <w:rPr>
                <w:rFonts w:ascii="Times New Roman" w:hAnsi="Times New Roman" w:cs="Times New Roman"/>
                <w:sz w:val="16"/>
                <w:szCs w:val="16"/>
              </w:rPr>
              <w:t>(95% CI)</w:t>
            </w:r>
          </w:p>
        </w:tc>
        <w:tc>
          <w:tcPr>
            <w:tcW w:w="991" w:type="pct"/>
          </w:tcPr>
          <w:p w:rsidR="00940F93" w:rsidRPr="00B42B26" w:rsidRDefault="00940F93" w:rsidP="00663E9F">
            <w:pPr>
              <w:spacing w:line="276" w:lineRule="auto"/>
              <w:jc w:val="center"/>
              <w:rPr>
                <w:rFonts w:ascii="Times New Roman" w:hAnsi="Times New Roman" w:cs="Times New Roman"/>
                <w:b/>
                <w:sz w:val="20"/>
                <w:szCs w:val="20"/>
              </w:rPr>
            </w:pPr>
            <w:r w:rsidRPr="00B42B26">
              <w:rPr>
                <w:rFonts w:ascii="Times New Roman" w:hAnsi="Times New Roman" w:cs="Times New Roman"/>
                <w:b/>
                <w:sz w:val="20"/>
                <w:szCs w:val="20"/>
              </w:rPr>
              <w:t>Mean</w:t>
            </w:r>
          </w:p>
          <w:p w:rsidR="00940F93" w:rsidRPr="00B42B26" w:rsidRDefault="00940F93" w:rsidP="00663E9F">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w:t>
            </w:r>
            <w:r w:rsidRPr="005D3C8A">
              <w:rPr>
                <w:rFonts w:ascii="Times New Roman" w:hAnsi="Times New Roman" w:cs="Times New Roman"/>
                <w:b/>
                <w:sz w:val="20"/>
                <w:szCs w:val="20"/>
              </w:rPr>
              <w:t>eriod before QP</w:t>
            </w:r>
          </w:p>
          <w:p w:rsidR="00940F93" w:rsidRDefault="00940F93" w:rsidP="00663E9F">
            <w:pPr>
              <w:spacing w:line="276" w:lineRule="auto"/>
              <w:jc w:val="center"/>
              <w:rPr>
                <w:rFonts w:ascii="Times New Roman" w:hAnsi="Times New Roman" w:cs="Times New Roman"/>
                <w:sz w:val="20"/>
                <w:szCs w:val="20"/>
              </w:rPr>
            </w:pPr>
          </w:p>
          <w:p w:rsidR="00940F93" w:rsidRPr="00287630" w:rsidRDefault="00940F93" w:rsidP="00663E9F">
            <w:pPr>
              <w:spacing w:line="276" w:lineRule="auto"/>
              <w:jc w:val="center"/>
              <w:rPr>
                <w:rFonts w:ascii="Times New Roman" w:hAnsi="Times New Roman" w:cs="Times New Roman"/>
                <w:sz w:val="16"/>
                <w:szCs w:val="16"/>
              </w:rPr>
            </w:pPr>
            <w:r w:rsidRPr="00287630">
              <w:rPr>
                <w:rFonts w:ascii="Times New Roman" w:hAnsi="Times New Roman" w:cs="Times New Roman"/>
                <w:sz w:val="16"/>
                <w:szCs w:val="16"/>
              </w:rPr>
              <w:t>(</w:t>
            </w:r>
            <w:r w:rsidRPr="005D3C8A">
              <w:rPr>
                <w:rFonts w:ascii="Times New Roman" w:hAnsi="Times New Roman" w:cs="Times New Roman"/>
                <w:sz w:val="16"/>
                <w:szCs w:val="16"/>
              </w:rPr>
              <w:t>2014/15</w:t>
            </w:r>
            <w:r w:rsidRPr="00287630">
              <w:rPr>
                <w:rFonts w:ascii="Times New Roman" w:hAnsi="Times New Roman" w:cs="Times New Roman"/>
                <w:sz w:val="16"/>
                <w:szCs w:val="16"/>
              </w:rPr>
              <w:t>)</w:t>
            </w:r>
          </w:p>
          <w:p w:rsidR="00940F93" w:rsidRPr="00287630" w:rsidRDefault="00940F93" w:rsidP="00663E9F">
            <w:pPr>
              <w:spacing w:line="276" w:lineRule="auto"/>
              <w:jc w:val="center"/>
              <w:rPr>
                <w:rFonts w:ascii="Times New Roman" w:hAnsi="Times New Roman" w:cs="Times New Roman"/>
                <w:sz w:val="16"/>
                <w:szCs w:val="16"/>
              </w:rPr>
            </w:pPr>
            <w:r>
              <w:rPr>
                <w:rFonts w:ascii="Times New Roman" w:hAnsi="Times New Roman" w:cs="Times New Roman"/>
                <w:sz w:val="16"/>
                <w:szCs w:val="16"/>
              </w:rPr>
              <w:t>(n = 6,251)</w:t>
            </w:r>
          </w:p>
          <w:p w:rsidR="00940F93" w:rsidRPr="00B42B26" w:rsidRDefault="00940F93" w:rsidP="00663E9F">
            <w:pPr>
              <w:spacing w:line="276" w:lineRule="auto"/>
              <w:jc w:val="center"/>
              <w:rPr>
                <w:rFonts w:ascii="Times New Roman" w:hAnsi="Times New Roman" w:cs="Times New Roman"/>
                <w:b/>
                <w:sz w:val="20"/>
                <w:szCs w:val="20"/>
              </w:rPr>
            </w:pPr>
            <w:r w:rsidRPr="00287630">
              <w:rPr>
                <w:rFonts w:ascii="Times New Roman" w:hAnsi="Times New Roman" w:cs="Times New Roman"/>
                <w:sz w:val="16"/>
                <w:szCs w:val="16"/>
              </w:rPr>
              <w:t xml:space="preserve"> (95% CI)</w:t>
            </w:r>
          </w:p>
        </w:tc>
        <w:tc>
          <w:tcPr>
            <w:tcW w:w="917" w:type="pct"/>
          </w:tcPr>
          <w:p w:rsidR="00940F93" w:rsidRPr="000C5B73" w:rsidRDefault="00940F93" w:rsidP="00663E9F">
            <w:pPr>
              <w:spacing w:line="276" w:lineRule="auto"/>
              <w:jc w:val="center"/>
              <w:rPr>
                <w:rFonts w:ascii="Times New Roman" w:hAnsi="Times New Roman" w:cs="Times New Roman"/>
                <w:b/>
                <w:sz w:val="20"/>
                <w:szCs w:val="20"/>
              </w:rPr>
            </w:pPr>
            <w:r w:rsidRPr="000C5B73">
              <w:rPr>
                <w:rFonts w:ascii="Times New Roman" w:hAnsi="Times New Roman" w:cs="Times New Roman"/>
                <w:b/>
                <w:sz w:val="20"/>
                <w:szCs w:val="20"/>
              </w:rPr>
              <w:t>Mean</w:t>
            </w:r>
          </w:p>
          <w:p w:rsidR="00940F93" w:rsidRPr="000C5B73" w:rsidRDefault="00940F93" w:rsidP="00663E9F">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w:t>
            </w:r>
            <w:r w:rsidRPr="005D3C8A">
              <w:rPr>
                <w:rFonts w:ascii="Times New Roman" w:hAnsi="Times New Roman" w:cs="Times New Roman"/>
                <w:b/>
                <w:sz w:val="20"/>
                <w:szCs w:val="20"/>
              </w:rPr>
              <w:t>eriod after QP</w:t>
            </w:r>
          </w:p>
          <w:p w:rsidR="00940F93" w:rsidRDefault="00940F93" w:rsidP="00663E9F">
            <w:pPr>
              <w:spacing w:line="276" w:lineRule="auto"/>
              <w:jc w:val="center"/>
              <w:rPr>
                <w:rFonts w:ascii="Times New Roman" w:hAnsi="Times New Roman" w:cs="Times New Roman"/>
                <w:sz w:val="16"/>
                <w:szCs w:val="16"/>
              </w:rPr>
            </w:pPr>
          </w:p>
          <w:p w:rsidR="00940F93" w:rsidRPr="00287630" w:rsidRDefault="00940F93" w:rsidP="00663E9F">
            <w:pPr>
              <w:spacing w:line="276" w:lineRule="auto"/>
              <w:jc w:val="center"/>
              <w:rPr>
                <w:rFonts w:ascii="Times New Roman" w:hAnsi="Times New Roman" w:cs="Times New Roman"/>
                <w:sz w:val="16"/>
                <w:szCs w:val="16"/>
              </w:rPr>
            </w:pPr>
            <w:r w:rsidRPr="00287630">
              <w:rPr>
                <w:rFonts w:ascii="Times New Roman" w:hAnsi="Times New Roman" w:cs="Times New Roman"/>
                <w:sz w:val="16"/>
                <w:szCs w:val="16"/>
              </w:rPr>
              <w:t>(</w:t>
            </w:r>
            <w:r w:rsidRPr="005D3C8A">
              <w:rPr>
                <w:rFonts w:ascii="Times New Roman" w:hAnsi="Times New Roman" w:cs="Times New Roman"/>
                <w:sz w:val="16"/>
                <w:szCs w:val="16"/>
              </w:rPr>
              <w:t>2015/16</w:t>
            </w:r>
            <w:r w:rsidRPr="00287630">
              <w:rPr>
                <w:rFonts w:ascii="Times New Roman" w:hAnsi="Times New Roman" w:cs="Times New Roman"/>
                <w:sz w:val="16"/>
                <w:szCs w:val="16"/>
              </w:rPr>
              <w:t>)</w:t>
            </w:r>
          </w:p>
          <w:p w:rsidR="00940F93" w:rsidRPr="00287630" w:rsidRDefault="00940F93" w:rsidP="00663E9F">
            <w:pPr>
              <w:spacing w:line="276" w:lineRule="auto"/>
              <w:jc w:val="center"/>
              <w:rPr>
                <w:rFonts w:ascii="Times New Roman" w:hAnsi="Times New Roman" w:cs="Times New Roman"/>
                <w:sz w:val="16"/>
                <w:szCs w:val="16"/>
              </w:rPr>
            </w:pPr>
            <w:r>
              <w:rPr>
                <w:rFonts w:ascii="Times New Roman" w:hAnsi="Times New Roman" w:cs="Times New Roman"/>
                <w:sz w:val="16"/>
                <w:szCs w:val="16"/>
              </w:rPr>
              <w:t>(n = 6,251)</w:t>
            </w:r>
          </w:p>
          <w:p w:rsidR="00940F93" w:rsidRPr="000C5B73" w:rsidRDefault="00940F93" w:rsidP="00663E9F">
            <w:pPr>
              <w:spacing w:line="276" w:lineRule="auto"/>
              <w:jc w:val="center"/>
              <w:rPr>
                <w:rFonts w:ascii="Times New Roman" w:hAnsi="Times New Roman" w:cs="Times New Roman"/>
                <w:b/>
                <w:sz w:val="20"/>
                <w:szCs w:val="20"/>
              </w:rPr>
            </w:pPr>
            <w:r w:rsidRPr="00287630">
              <w:rPr>
                <w:rFonts w:ascii="Times New Roman" w:hAnsi="Times New Roman" w:cs="Times New Roman"/>
                <w:sz w:val="16"/>
                <w:szCs w:val="16"/>
              </w:rPr>
              <w:t>(95% CI)</w:t>
            </w:r>
          </w:p>
        </w:tc>
        <w:tc>
          <w:tcPr>
            <w:tcW w:w="917" w:type="pct"/>
          </w:tcPr>
          <w:p w:rsidR="00940F93" w:rsidRPr="00B42B26" w:rsidRDefault="00940F93" w:rsidP="00663E9F">
            <w:pPr>
              <w:spacing w:line="276" w:lineRule="auto"/>
              <w:jc w:val="center"/>
              <w:rPr>
                <w:rFonts w:ascii="Times New Roman" w:hAnsi="Times New Roman" w:cs="Times New Roman"/>
                <w:b/>
                <w:sz w:val="20"/>
                <w:szCs w:val="20"/>
              </w:rPr>
            </w:pPr>
            <w:r w:rsidRPr="00B42B26">
              <w:rPr>
                <w:rFonts w:ascii="Times New Roman" w:hAnsi="Times New Roman" w:cs="Times New Roman"/>
                <w:b/>
                <w:sz w:val="20"/>
                <w:szCs w:val="20"/>
              </w:rPr>
              <w:t>Mean</w:t>
            </w:r>
          </w:p>
          <w:p w:rsidR="00940F93" w:rsidRDefault="00940F93" w:rsidP="00663E9F">
            <w:pPr>
              <w:spacing w:line="276" w:lineRule="auto"/>
              <w:jc w:val="center"/>
              <w:rPr>
                <w:rFonts w:ascii="Times New Roman" w:hAnsi="Times New Roman" w:cs="Times New Roman"/>
                <w:b/>
                <w:sz w:val="20"/>
                <w:szCs w:val="20"/>
              </w:rPr>
            </w:pPr>
            <w:r w:rsidRPr="00B42B26">
              <w:rPr>
                <w:rFonts w:ascii="Times New Roman" w:hAnsi="Times New Roman" w:cs="Times New Roman"/>
                <w:b/>
                <w:sz w:val="20"/>
                <w:szCs w:val="20"/>
              </w:rPr>
              <w:t>Top 20% prescribers</w:t>
            </w:r>
            <w:r>
              <w:rPr>
                <w:rFonts w:ascii="Times New Roman" w:hAnsi="Times New Roman" w:cs="Times New Roman"/>
                <w:b/>
                <w:sz w:val="20"/>
                <w:szCs w:val="20"/>
              </w:rPr>
              <w:t xml:space="preserve"> </w:t>
            </w:r>
          </w:p>
          <w:p w:rsidR="00940F93" w:rsidRPr="00287630" w:rsidRDefault="00940F93" w:rsidP="00663E9F">
            <w:pPr>
              <w:spacing w:line="276" w:lineRule="auto"/>
              <w:jc w:val="center"/>
              <w:rPr>
                <w:rFonts w:ascii="Times New Roman" w:hAnsi="Times New Roman" w:cs="Times New Roman"/>
                <w:sz w:val="16"/>
                <w:szCs w:val="16"/>
              </w:rPr>
            </w:pPr>
            <w:r w:rsidRPr="00287630">
              <w:rPr>
                <w:rFonts w:ascii="Times New Roman" w:hAnsi="Times New Roman" w:cs="Times New Roman"/>
                <w:sz w:val="16"/>
                <w:szCs w:val="16"/>
              </w:rPr>
              <w:t>(2014/15 &amp; 2015/16)</w:t>
            </w:r>
          </w:p>
          <w:p w:rsidR="00940F93" w:rsidRPr="00287630" w:rsidRDefault="00940F93" w:rsidP="00663E9F">
            <w:pPr>
              <w:spacing w:line="276" w:lineRule="auto"/>
              <w:jc w:val="center"/>
              <w:rPr>
                <w:rFonts w:ascii="Times New Roman" w:hAnsi="Times New Roman" w:cs="Times New Roman"/>
                <w:sz w:val="16"/>
                <w:szCs w:val="16"/>
              </w:rPr>
            </w:pPr>
            <w:r>
              <w:rPr>
                <w:rFonts w:ascii="Times New Roman" w:hAnsi="Times New Roman" w:cs="Times New Roman"/>
                <w:sz w:val="16"/>
                <w:szCs w:val="16"/>
              </w:rPr>
              <w:t>(n = 6,251)</w:t>
            </w:r>
          </w:p>
          <w:p w:rsidR="00940F93" w:rsidRPr="00B42B26" w:rsidRDefault="00940F93" w:rsidP="00663E9F">
            <w:pPr>
              <w:spacing w:line="276" w:lineRule="auto"/>
              <w:jc w:val="center"/>
              <w:rPr>
                <w:rFonts w:ascii="Times New Roman" w:hAnsi="Times New Roman" w:cs="Times New Roman"/>
                <w:b/>
                <w:sz w:val="20"/>
                <w:szCs w:val="20"/>
              </w:rPr>
            </w:pPr>
            <w:r w:rsidRPr="00287630">
              <w:rPr>
                <w:rFonts w:ascii="Times New Roman" w:hAnsi="Times New Roman" w:cs="Times New Roman"/>
                <w:sz w:val="16"/>
                <w:szCs w:val="16"/>
              </w:rPr>
              <w:t>(95% CI)</w:t>
            </w:r>
          </w:p>
        </w:tc>
      </w:tr>
      <w:tr w:rsidR="00940F93" w:rsidRPr="00B42B26" w:rsidTr="00663E9F">
        <w:trPr>
          <w:trHeight w:val="701"/>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Antibiotic items per STAR-PU</w:t>
            </w:r>
          </w:p>
        </w:tc>
        <w:tc>
          <w:tcPr>
            <w:tcW w:w="925" w:type="pct"/>
          </w:tcPr>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hAnsi="Times New Roman" w:cs="Times New Roman"/>
                <w:sz w:val="20"/>
                <w:szCs w:val="20"/>
              </w:rPr>
              <w:t xml:space="preserve">1.057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hAnsi="Times New Roman" w:cs="Times New Roman"/>
                <w:sz w:val="20"/>
                <w:szCs w:val="20"/>
              </w:rPr>
              <w:t xml:space="preserve">(1.055 to 1.059) </w:t>
            </w:r>
          </w:p>
        </w:tc>
        <w:tc>
          <w:tcPr>
            <w:tcW w:w="991" w:type="pct"/>
          </w:tcPr>
          <w:p w:rsidR="00940F93" w:rsidRPr="00B42B26" w:rsidRDefault="00940F93" w:rsidP="00663E9F">
            <w:pPr>
              <w:spacing w:line="276" w:lineRule="auto"/>
              <w:jc w:val="right"/>
              <w:rPr>
                <w:rFonts w:ascii="Times New Roman" w:hAnsi="Times New Roman" w:cs="Times New Roman"/>
                <w:sz w:val="20"/>
                <w:szCs w:val="20"/>
              </w:rPr>
            </w:pPr>
            <w:r w:rsidRPr="00B42B26">
              <w:rPr>
                <w:rFonts w:ascii="Times New Roman" w:hAnsi="Times New Roman" w:cs="Times New Roman"/>
                <w:sz w:val="20"/>
                <w:szCs w:val="20"/>
              </w:rPr>
              <w:t>1.1</w:t>
            </w:r>
            <w:r>
              <w:rPr>
                <w:rFonts w:ascii="Times New Roman" w:hAnsi="Times New Roman" w:cs="Times New Roman"/>
                <w:sz w:val="20"/>
                <w:szCs w:val="20"/>
              </w:rPr>
              <w:t>06</w:t>
            </w:r>
          </w:p>
          <w:p w:rsidR="00940F93" w:rsidRPr="00B42B26" w:rsidRDefault="00940F93" w:rsidP="00663E9F">
            <w:pPr>
              <w:spacing w:line="276" w:lineRule="auto"/>
              <w:jc w:val="right"/>
              <w:rPr>
                <w:rFonts w:ascii="Times New Roman" w:hAnsi="Times New Roman" w:cs="Times New Roman"/>
                <w:sz w:val="20"/>
                <w:szCs w:val="20"/>
              </w:rPr>
            </w:pPr>
            <w:r w:rsidRPr="00B42B26">
              <w:rPr>
                <w:rFonts w:ascii="Times New Roman" w:hAnsi="Times New Roman" w:cs="Times New Roman"/>
                <w:sz w:val="20"/>
                <w:szCs w:val="20"/>
              </w:rPr>
              <w:t>(1.1</w:t>
            </w:r>
            <w:r>
              <w:rPr>
                <w:rFonts w:ascii="Times New Roman" w:hAnsi="Times New Roman" w:cs="Times New Roman"/>
                <w:sz w:val="20"/>
                <w:szCs w:val="20"/>
              </w:rPr>
              <w:t>03</w:t>
            </w:r>
            <w:r w:rsidRPr="00B42B26">
              <w:rPr>
                <w:rFonts w:ascii="Times New Roman" w:hAnsi="Times New Roman" w:cs="Times New Roman"/>
                <w:sz w:val="20"/>
                <w:szCs w:val="20"/>
              </w:rPr>
              <w:t xml:space="preserve"> to 1.1</w:t>
            </w:r>
            <w:r>
              <w:rPr>
                <w:rFonts w:ascii="Times New Roman" w:hAnsi="Times New Roman" w:cs="Times New Roman"/>
                <w:sz w:val="20"/>
                <w:szCs w:val="20"/>
              </w:rPr>
              <w:t>08</w:t>
            </w:r>
            <w:r w:rsidRPr="00B42B26">
              <w:rPr>
                <w:rFonts w:ascii="Times New Roman" w:hAnsi="Times New Roman" w:cs="Times New Roman"/>
                <w:sz w:val="20"/>
                <w:szCs w:val="20"/>
              </w:rPr>
              <w:t>)</w:t>
            </w:r>
          </w:p>
        </w:tc>
        <w:tc>
          <w:tcPr>
            <w:tcW w:w="917" w:type="pct"/>
          </w:tcPr>
          <w:p w:rsidR="00940F93" w:rsidRPr="000C5B73" w:rsidRDefault="00940F93" w:rsidP="00663E9F">
            <w:pPr>
              <w:spacing w:line="276" w:lineRule="auto"/>
              <w:jc w:val="right"/>
              <w:rPr>
                <w:rFonts w:ascii="Times New Roman" w:hAnsi="Times New Roman" w:cs="Times New Roman"/>
                <w:sz w:val="20"/>
                <w:szCs w:val="20"/>
              </w:rPr>
            </w:pPr>
            <w:r w:rsidRPr="000C5B73">
              <w:rPr>
                <w:rFonts w:ascii="Times New Roman" w:hAnsi="Times New Roman" w:cs="Times New Roman"/>
                <w:sz w:val="20"/>
                <w:szCs w:val="20"/>
              </w:rPr>
              <w:t>1.009</w:t>
            </w:r>
          </w:p>
          <w:p w:rsidR="00940F93" w:rsidRPr="000C5B73" w:rsidRDefault="00940F93" w:rsidP="00663E9F">
            <w:pPr>
              <w:spacing w:line="276" w:lineRule="auto"/>
              <w:jc w:val="right"/>
              <w:rPr>
                <w:rFonts w:ascii="Times New Roman" w:hAnsi="Times New Roman" w:cs="Times New Roman"/>
                <w:sz w:val="20"/>
                <w:szCs w:val="20"/>
              </w:rPr>
            </w:pPr>
            <w:r w:rsidRPr="000C5B73">
              <w:rPr>
                <w:rFonts w:ascii="Times New Roman" w:hAnsi="Times New Roman" w:cs="Times New Roman"/>
                <w:sz w:val="20"/>
                <w:szCs w:val="20"/>
              </w:rPr>
              <w:t>(1.007 to 1.011)</w:t>
            </w:r>
          </w:p>
        </w:tc>
        <w:tc>
          <w:tcPr>
            <w:tcW w:w="917" w:type="pct"/>
          </w:tcPr>
          <w:p w:rsidR="00940F93" w:rsidRDefault="00940F93" w:rsidP="00663E9F">
            <w:pPr>
              <w:spacing w:line="276" w:lineRule="auto"/>
              <w:jc w:val="right"/>
              <w:rPr>
                <w:rFonts w:ascii="Times New Roman" w:hAnsi="Times New Roman" w:cs="Times New Roman"/>
                <w:sz w:val="20"/>
                <w:szCs w:val="20"/>
              </w:rPr>
            </w:pPr>
            <w:r>
              <w:rPr>
                <w:rFonts w:ascii="Times New Roman" w:hAnsi="Times New Roman" w:cs="Times New Roman"/>
                <w:sz w:val="20"/>
                <w:szCs w:val="20"/>
              </w:rPr>
              <w:t>1.357</w:t>
            </w:r>
          </w:p>
          <w:p w:rsidR="00940F93" w:rsidRPr="00B42B26" w:rsidRDefault="00940F93" w:rsidP="00663E9F">
            <w:pPr>
              <w:spacing w:line="276" w:lineRule="auto"/>
              <w:jc w:val="right"/>
              <w:rPr>
                <w:rFonts w:ascii="Times New Roman" w:hAnsi="Times New Roman" w:cs="Times New Roman"/>
                <w:sz w:val="20"/>
                <w:szCs w:val="20"/>
              </w:rPr>
            </w:pPr>
            <w:r>
              <w:rPr>
                <w:rFonts w:ascii="Times New Roman" w:hAnsi="Times New Roman" w:cs="Times New Roman"/>
                <w:sz w:val="20"/>
                <w:szCs w:val="20"/>
              </w:rPr>
              <w:t>(1.354 to 1.360)</w:t>
            </w:r>
          </w:p>
        </w:tc>
      </w:tr>
      <w:tr w:rsidR="00940F93" w:rsidRPr="00B42B26" w:rsidTr="00663E9F">
        <w:trPr>
          <w:trHeight w:val="696"/>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Asthma prevalence</w:t>
            </w:r>
            <w:r>
              <w:rPr>
                <w:rFonts w:ascii="Times New Roman" w:hAnsi="Times New Roman" w:cs="Times New Roman"/>
                <w:b/>
                <w:sz w:val="20"/>
                <w:szCs w:val="20"/>
              </w:rPr>
              <w:t xml:space="preserve"> (%)</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5.941</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5.935</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5.947</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5.980</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(5.9</w:t>
            </w:r>
            <w:r>
              <w:rPr>
                <w:rFonts w:ascii="Times New Roman" w:hAnsi="Times New Roman" w:cs="Times New Roman"/>
                <w:color w:val="010205"/>
                <w:sz w:val="20"/>
                <w:szCs w:val="20"/>
              </w:rPr>
              <w:t>71</w:t>
            </w:r>
            <w:r w:rsidRPr="00B42B26">
              <w:rPr>
                <w:rFonts w:ascii="Times New Roman" w:hAnsi="Times New Roman" w:cs="Times New Roman"/>
                <w:color w:val="010205"/>
                <w:sz w:val="20"/>
                <w:szCs w:val="20"/>
              </w:rPr>
              <w:t xml:space="preserve"> to</w:t>
            </w:r>
            <w:r>
              <w:rPr>
                <w:rFonts w:ascii="Times New Roman" w:hAnsi="Times New Roman" w:cs="Times New Roman"/>
                <w:color w:val="010205"/>
                <w:sz w:val="20"/>
                <w:szCs w:val="20"/>
              </w:rPr>
              <w:t xml:space="preserve"> 5.989</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5.901</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(5.893 to 5.911)</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6.</w:t>
            </w:r>
            <w:r>
              <w:rPr>
                <w:rFonts w:ascii="Times New Roman" w:hAnsi="Times New Roman" w:cs="Times New Roman"/>
                <w:color w:val="010205"/>
                <w:sz w:val="20"/>
                <w:szCs w:val="20"/>
              </w:rPr>
              <w:t>295</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(6.</w:t>
            </w:r>
            <w:r>
              <w:rPr>
                <w:rFonts w:ascii="Times New Roman" w:hAnsi="Times New Roman" w:cs="Times New Roman"/>
                <w:color w:val="010205"/>
                <w:sz w:val="20"/>
                <w:szCs w:val="20"/>
              </w:rPr>
              <w:t>281</w:t>
            </w:r>
            <w:r w:rsidRPr="00B42B26">
              <w:rPr>
                <w:rFonts w:ascii="Times New Roman" w:hAnsi="Times New Roman" w:cs="Times New Roman"/>
                <w:color w:val="010205"/>
                <w:sz w:val="20"/>
                <w:szCs w:val="20"/>
              </w:rPr>
              <w:t xml:space="preserve"> to 6.3</w:t>
            </w:r>
            <w:r>
              <w:rPr>
                <w:rFonts w:ascii="Times New Roman" w:hAnsi="Times New Roman" w:cs="Times New Roman"/>
                <w:color w:val="010205"/>
                <w:sz w:val="20"/>
                <w:szCs w:val="20"/>
              </w:rPr>
              <w:t>09</w:t>
            </w:r>
            <w:r w:rsidRPr="00B42B26">
              <w:rPr>
                <w:rFonts w:ascii="Times New Roman" w:hAnsi="Times New Roman" w:cs="Times New Roman"/>
                <w:color w:val="010205"/>
                <w:sz w:val="20"/>
                <w:szCs w:val="20"/>
              </w:rPr>
              <w:t>)</w:t>
            </w:r>
          </w:p>
        </w:tc>
      </w:tr>
      <w:tr w:rsidR="00940F93" w:rsidRPr="00B42B26" w:rsidTr="00663E9F">
        <w:trPr>
          <w:trHeight w:val="706"/>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COPD prevalence</w:t>
            </w:r>
            <w:r>
              <w:rPr>
                <w:rFonts w:ascii="Times New Roman" w:hAnsi="Times New Roman" w:cs="Times New Roman"/>
                <w:b/>
                <w:sz w:val="20"/>
                <w:szCs w:val="20"/>
              </w:rPr>
              <w:t xml:space="preserve"> (%)</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1.878</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1.873</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1.882</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1.</w:t>
            </w:r>
            <w:r>
              <w:rPr>
                <w:rFonts w:ascii="Times New Roman" w:hAnsi="Times New Roman" w:cs="Times New Roman"/>
                <w:color w:val="010205"/>
                <w:sz w:val="20"/>
                <w:szCs w:val="20"/>
              </w:rPr>
              <w:t>861</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(1.</w:t>
            </w:r>
            <w:r>
              <w:rPr>
                <w:rFonts w:ascii="Times New Roman" w:hAnsi="Times New Roman" w:cs="Times New Roman"/>
                <w:color w:val="010205"/>
                <w:sz w:val="20"/>
                <w:szCs w:val="20"/>
              </w:rPr>
              <w:t>855</w:t>
            </w:r>
            <w:r w:rsidRPr="00B42B26">
              <w:rPr>
                <w:rFonts w:ascii="Times New Roman" w:hAnsi="Times New Roman" w:cs="Times New Roman"/>
                <w:color w:val="010205"/>
                <w:sz w:val="20"/>
                <w:szCs w:val="20"/>
              </w:rPr>
              <w:t xml:space="preserve"> to 1.</w:t>
            </w:r>
            <w:r>
              <w:rPr>
                <w:rFonts w:ascii="Times New Roman" w:hAnsi="Times New Roman" w:cs="Times New Roman"/>
                <w:color w:val="010205"/>
                <w:sz w:val="20"/>
                <w:szCs w:val="20"/>
              </w:rPr>
              <w:t>867</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1.894</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(1.888 to 1.900)</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2.3</w:t>
            </w:r>
            <w:r>
              <w:rPr>
                <w:rFonts w:ascii="Times New Roman" w:hAnsi="Times New Roman" w:cs="Times New Roman"/>
                <w:color w:val="010205"/>
                <w:sz w:val="20"/>
                <w:szCs w:val="20"/>
              </w:rPr>
              <w:t>01</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(2.</w:t>
            </w:r>
            <w:r>
              <w:rPr>
                <w:rFonts w:ascii="Times New Roman" w:hAnsi="Times New Roman" w:cs="Times New Roman"/>
                <w:color w:val="010205"/>
                <w:sz w:val="20"/>
                <w:szCs w:val="20"/>
              </w:rPr>
              <w:t>291</w:t>
            </w:r>
            <w:r w:rsidRPr="00B42B26">
              <w:rPr>
                <w:rFonts w:ascii="Times New Roman" w:hAnsi="Times New Roman" w:cs="Times New Roman"/>
                <w:color w:val="010205"/>
                <w:sz w:val="20"/>
                <w:szCs w:val="20"/>
              </w:rPr>
              <w:t xml:space="preserve"> to 2.</w:t>
            </w:r>
            <w:r>
              <w:rPr>
                <w:rFonts w:ascii="Times New Roman" w:hAnsi="Times New Roman" w:cs="Times New Roman"/>
                <w:color w:val="010205"/>
                <w:sz w:val="20"/>
                <w:szCs w:val="20"/>
              </w:rPr>
              <w:t>312</w:t>
            </w:r>
            <w:r w:rsidRPr="00B42B26">
              <w:rPr>
                <w:rFonts w:ascii="Times New Roman" w:hAnsi="Times New Roman" w:cs="Times New Roman"/>
                <w:color w:val="010205"/>
                <w:sz w:val="20"/>
                <w:szCs w:val="20"/>
              </w:rPr>
              <w:t>)</w:t>
            </w:r>
          </w:p>
        </w:tc>
      </w:tr>
      <w:tr w:rsidR="00940F93" w:rsidRPr="00B42B26" w:rsidTr="00663E9F">
        <w:trPr>
          <w:trHeight w:val="688"/>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Cancer prevalence</w:t>
            </w:r>
            <w:r>
              <w:rPr>
                <w:rFonts w:ascii="Times New Roman" w:hAnsi="Times New Roman" w:cs="Times New Roman"/>
                <w:b/>
                <w:sz w:val="20"/>
                <w:szCs w:val="20"/>
              </w:rPr>
              <w:t xml:space="preserve"> (%)</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2.346</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2.342</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2.350</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2.2</w:t>
            </w:r>
            <w:r>
              <w:rPr>
                <w:rFonts w:ascii="Times New Roman" w:hAnsi="Times New Roman" w:cs="Times New Roman"/>
                <w:color w:val="010205"/>
                <w:sz w:val="20"/>
                <w:szCs w:val="20"/>
              </w:rPr>
              <w:t>64</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(2.2</w:t>
            </w:r>
            <w:r>
              <w:rPr>
                <w:rFonts w:ascii="Times New Roman" w:hAnsi="Times New Roman" w:cs="Times New Roman"/>
                <w:color w:val="010205"/>
                <w:sz w:val="20"/>
                <w:szCs w:val="20"/>
              </w:rPr>
              <w:t>58</w:t>
            </w:r>
            <w:r w:rsidRPr="00B42B26">
              <w:rPr>
                <w:rFonts w:ascii="Times New Roman" w:hAnsi="Times New Roman" w:cs="Times New Roman"/>
                <w:color w:val="010205"/>
                <w:sz w:val="20"/>
                <w:szCs w:val="20"/>
              </w:rPr>
              <w:t xml:space="preserve"> to 2.2</w:t>
            </w:r>
            <w:r>
              <w:rPr>
                <w:rFonts w:ascii="Times New Roman" w:hAnsi="Times New Roman" w:cs="Times New Roman"/>
                <w:color w:val="010205"/>
                <w:sz w:val="20"/>
                <w:szCs w:val="20"/>
              </w:rPr>
              <w:t>70</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2.428</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(2.421 to 2.434)</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2.23</w:t>
            </w:r>
            <w:r>
              <w:rPr>
                <w:rFonts w:ascii="Times New Roman" w:hAnsi="Times New Roman" w:cs="Times New Roman"/>
                <w:color w:val="010205"/>
                <w:sz w:val="20"/>
                <w:szCs w:val="20"/>
              </w:rPr>
              <w:t>0</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(2.2</w:t>
            </w:r>
            <w:r>
              <w:rPr>
                <w:rFonts w:ascii="Times New Roman" w:hAnsi="Times New Roman" w:cs="Times New Roman"/>
                <w:color w:val="010205"/>
                <w:sz w:val="20"/>
                <w:szCs w:val="20"/>
              </w:rPr>
              <w:t>91</w:t>
            </w:r>
            <w:r w:rsidRPr="00B42B26">
              <w:rPr>
                <w:rFonts w:ascii="Times New Roman" w:hAnsi="Times New Roman" w:cs="Times New Roman"/>
                <w:color w:val="010205"/>
                <w:sz w:val="20"/>
                <w:szCs w:val="20"/>
              </w:rPr>
              <w:t xml:space="preserve"> to 2.</w:t>
            </w:r>
            <w:r>
              <w:rPr>
                <w:rFonts w:ascii="Times New Roman" w:hAnsi="Times New Roman" w:cs="Times New Roman"/>
                <w:color w:val="010205"/>
                <w:sz w:val="20"/>
                <w:szCs w:val="20"/>
              </w:rPr>
              <w:t>309</w:t>
            </w:r>
            <w:r w:rsidRPr="00B42B26">
              <w:rPr>
                <w:rFonts w:ascii="Times New Roman" w:hAnsi="Times New Roman" w:cs="Times New Roman"/>
                <w:color w:val="010205"/>
                <w:sz w:val="20"/>
                <w:szCs w:val="20"/>
              </w:rPr>
              <w:t>)</w:t>
            </w:r>
          </w:p>
        </w:tc>
      </w:tr>
      <w:tr w:rsidR="00940F93" w:rsidRPr="00B42B26" w:rsidTr="00663E9F">
        <w:trPr>
          <w:trHeight w:val="713"/>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CKD prevalence</w:t>
            </w:r>
            <w:r>
              <w:rPr>
                <w:rFonts w:ascii="Times New Roman" w:hAnsi="Times New Roman" w:cs="Times New Roman"/>
                <w:b/>
                <w:sz w:val="20"/>
                <w:szCs w:val="20"/>
              </w:rPr>
              <w:t xml:space="preserve"> (%)</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4.129</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4.119</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4.139</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spacing w:line="276" w:lineRule="auto"/>
              <w:jc w:val="right"/>
              <w:rPr>
                <w:rFonts w:ascii="Times New Roman" w:hAnsi="Times New Roman" w:cs="Times New Roman"/>
                <w:sz w:val="20"/>
                <w:szCs w:val="20"/>
              </w:rPr>
            </w:pPr>
            <w:r w:rsidRPr="00B42B26">
              <w:rPr>
                <w:rFonts w:ascii="Times New Roman" w:hAnsi="Times New Roman" w:cs="Times New Roman"/>
                <w:sz w:val="20"/>
                <w:szCs w:val="20"/>
              </w:rPr>
              <w:t>4.1</w:t>
            </w:r>
            <w:r>
              <w:rPr>
                <w:rFonts w:ascii="Times New Roman" w:hAnsi="Times New Roman" w:cs="Times New Roman"/>
                <w:sz w:val="20"/>
                <w:szCs w:val="20"/>
              </w:rPr>
              <w:t>43</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sz w:val="20"/>
                <w:szCs w:val="20"/>
              </w:rPr>
              <w:t>(4.1</w:t>
            </w:r>
            <w:r>
              <w:rPr>
                <w:rFonts w:ascii="Times New Roman" w:hAnsi="Times New Roman" w:cs="Times New Roman"/>
                <w:sz w:val="20"/>
                <w:szCs w:val="20"/>
              </w:rPr>
              <w:t>29</w:t>
            </w:r>
            <w:r w:rsidRPr="00B42B26">
              <w:rPr>
                <w:rFonts w:ascii="Times New Roman" w:hAnsi="Times New Roman" w:cs="Times New Roman"/>
                <w:sz w:val="20"/>
                <w:szCs w:val="20"/>
              </w:rPr>
              <w:t xml:space="preserve"> to 4.</w:t>
            </w:r>
            <w:r>
              <w:rPr>
                <w:rFonts w:ascii="Times New Roman" w:hAnsi="Times New Roman" w:cs="Times New Roman"/>
                <w:sz w:val="20"/>
                <w:szCs w:val="20"/>
              </w:rPr>
              <w:t>157</w:t>
            </w:r>
            <w:r w:rsidRPr="00B42B26">
              <w:rPr>
                <w:rFonts w:ascii="Times New Roman" w:hAnsi="Times New Roman" w:cs="Times New Roman"/>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4.115</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(4.101 to 4.129)</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4.4</w:t>
            </w:r>
            <w:r>
              <w:rPr>
                <w:rFonts w:ascii="Times New Roman" w:hAnsi="Times New Roman" w:cs="Times New Roman"/>
                <w:color w:val="010205"/>
                <w:sz w:val="20"/>
                <w:szCs w:val="20"/>
              </w:rPr>
              <w:t>20</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(4.</w:t>
            </w:r>
            <w:r>
              <w:rPr>
                <w:rFonts w:ascii="Times New Roman" w:hAnsi="Times New Roman" w:cs="Times New Roman"/>
                <w:color w:val="010205"/>
                <w:sz w:val="20"/>
                <w:szCs w:val="20"/>
              </w:rPr>
              <w:t>398</w:t>
            </w:r>
            <w:r w:rsidRPr="00B42B26">
              <w:rPr>
                <w:rFonts w:ascii="Times New Roman" w:hAnsi="Times New Roman" w:cs="Times New Roman"/>
                <w:color w:val="010205"/>
                <w:sz w:val="20"/>
                <w:szCs w:val="20"/>
              </w:rPr>
              <w:t xml:space="preserve"> to 4.4</w:t>
            </w:r>
            <w:r>
              <w:rPr>
                <w:rFonts w:ascii="Times New Roman" w:hAnsi="Times New Roman" w:cs="Times New Roman"/>
                <w:color w:val="010205"/>
                <w:sz w:val="20"/>
                <w:szCs w:val="20"/>
              </w:rPr>
              <w:t>42</w:t>
            </w:r>
            <w:r w:rsidRPr="00B42B26">
              <w:rPr>
                <w:rFonts w:ascii="Times New Roman" w:hAnsi="Times New Roman" w:cs="Times New Roman"/>
                <w:color w:val="010205"/>
                <w:sz w:val="20"/>
                <w:szCs w:val="20"/>
              </w:rPr>
              <w:t>)</w:t>
            </w:r>
          </w:p>
        </w:tc>
      </w:tr>
      <w:tr w:rsidR="00940F93" w:rsidRPr="00B42B26" w:rsidTr="00663E9F">
        <w:trPr>
          <w:trHeight w:val="680"/>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Diabetes prevalence</w:t>
            </w:r>
            <w:r>
              <w:rPr>
                <w:rFonts w:ascii="Times New Roman" w:hAnsi="Times New Roman" w:cs="Times New Roman"/>
                <w:b/>
                <w:sz w:val="20"/>
                <w:szCs w:val="20"/>
              </w:rPr>
              <w:t xml:space="preserve"> (%)</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6.635</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6.626</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6.645</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6.</w:t>
            </w:r>
            <w:r>
              <w:rPr>
                <w:rFonts w:ascii="Times New Roman" w:hAnsi="Times New Roman" w:cs="Times New Roman"/>
                <w:color w:val="010205"/>
                <w:sz w:val="20"/>
                <w:szCs w:val="20"/>
              </w:rPr>
              <w:t>544</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(6.</w:t>
            </w:r>
            <w:r>
              <w:rPr>
                <w:rFonts w:ascii="Times New Roman" w:hAnsi="Times New Roman" w:cs="Times New Roman"/>
                <w:color w:val="010205"/>
                <w:sz w:val="20"/>
                <w:szCs w:val="20"/>
              </w:rPr>
              <w:t>532</w:t>
            </w:r>
            <w:r w:rsidRPr="00B42B26">
              <w:rPr>
                <w:rFonts w:ascii="Times New Roman" w:hAnsi="Times New Roman" w:cs="Times New Roman"/>
                <w:color w:val="010205"/>
                <w:sz w:val="20"/>
                <w:szCs w:val="20"/>
              </w:rPr>
              <w:t xml:space="preserve"> to 6.</w:t>
            </w:r>
            <w:r>
              <w:rPr>
                <w:rFonts w:ascii="Times New Roman" w:hAnsi="Times New Roman" w:cs="Times New Roman"/>
                <w:color w:val="010205"/>
                <w:sz w:val="20"/>
                <w:szCs w:val="20"/>
              </w:rPr>
              <w:t>557</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6.726</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(6.713 to 6.740)</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7.</w:t>
            </w:r>
            <w:r>
              <w:rPr>
                <w:rFonts w:ascii="Times New Roman" w:hAnsi="Times New Roman" w:cs="Times New Roman"/>
                <w:color w:val="010205"/>
                <w:sz w:val="20"/>
                <w:szCs w:val="20"/>
              </w:rPr>
              <w:t>316</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(7.</w:t>
            </w:r>
            <w:r>
              <w:rPr>
                <w:rFonts w:ascii="Times New Roman" w:hAnsi="Times New Roman" w:cs="Times New Roman"/>
                <w:color w:val="010205"/>
                <w:sz w:val="20"/>
                <w:szCs w:val="20"/>
              </w:rPr>
              <w:t>298</w:t>
            </w:r>
            <w:r w:rsidRPr="00B42B26">
              <w:rPr>
                <w:rFonts w:ascii="Times New Roman" w:hAnsi="Times New Roman" w:cs="Times New Roman"/>
                <w:color w:val="010205"/>
                <w:sz w:val="20"/>
                <w:szCs w:val="20"/>
              </w:rPr>
              <w:t xml:space="preserve"> to 7.</w:t>
            </w:r>
            <w:r>
              <w:rPr>
                <w:rFonts w:ascii="Times New Roman" w:hAnsi="Times New Roman" w:cs="Times New Roman"/>
                <w:color w:val="010205"/>
                <w:sz w:val="20"/>
                <w:szCs w:val="20"/>
              </w:rPr>
              <w:t>335</w:t>
            </w:r>
            <w:r w:rsidRPr="00B42B26">
              <w:rPr>
                <w:rFonts w:ascii="Times New Roman" w:hAnsi="Times New Roman" w:cs="Times New Roman"/>
                <w:color w:val="010205"/>
                <w:sz w:val="20"/>
                <w:szCs w:val="20"/>
              </w:rPr>
              <w:t>)</w:t>
            </w:r>
          </w:p>
        </w:tc>
      </w:tr>
      <w:tr w:rsidR="00940F93" w:rsidRPr="00B42B26" w:rsidTr="00663E9F">
        <w:trPr>
          <w:trHeight w:val="704"/>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Opioids</w:t>
            </w:r>
            <w:r>
              <w:rPr>
                <w:rFonts w:ascii="Times New Roman" w:hAnsi="Times New Roman" w:cs="Times New Roman"/>
                <w:b/>
                <w:sz w:val="20"/>
                <w:szCs w:val="20"/>
              </w:rPr>
              <w:t xml:space="preserve"> prescription</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3.273</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3.265</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3.282</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3.</w:t>
            </w:r>
            <w:r>
              <w:rPr>
                <w:rFonts w:ascii="Times New Roman" w:hAnsi="Times New Roman" w:cs="Times New Roman"/>
                <w:color w:val="010205"/>
                <w:sz w:val="20"/>
                <w:szCs w:val="20"/>
              </w:rPr>
              <w:t>241</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(3.</w:t>
            </w:r>
            <w:r>
              <w:rPr>
                <w:rFonts w:ascii="Times New Roman" w:hAnsi="Times New Roman" w:cs="Times New Roman"/>
                <w:color w:val="010205"/>
                <w:sz w:val="20"/>
                <w:szCs w:val="20"/>
              </w:rPr>
              <w:t>229</w:t>
            </w:r>
            <w:r w:rsidRPr="00B42B26">
              <w:rPr>
                <w:rFonts w:ascii="Times New Roman" w:hAnsi="Times New Roman" w:cs="Times New Roman"/>
                <w:color w:val="010205"/>
                <w:sz w:val="20"/>
                <w:szCs w:val="20"/>
              </w:rPr>
              <w:t xml:space="preserve"> to 3.</w:t>
            </w:r>
            <w:r>
              <w:rPr>
                <w:rFonts w:ascii="Times New Roman" w:hAnsi="Times New Roman" w:cs="Times New Roman"/>
                <w:color w:val="010205"/>
                <w:sz w:val="20"/>
                <w:szCs w:val="20"/>
              </w:rPr>
              <w:t>253</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3.306</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(3.293 to 3.318)</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4.</w:t>
            </w:r>
            <w:r>
              <w:rPr>
                <w:rFonts w:ascii="Times New Roman" w:hAnsi="Times New Roman" w:cs="Times New Roman"/>
                <w:color w:val="010205"/>
                <w:sz w:val="20"/>
                <w:szCs w:val="20"/>
              </w:rPr>
              <w:t>306</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(4.</w:t>
            </w:r>
            <w:r>
              <w:rPr>
                <w:rFonts w:ascii="Times New Roman" w:hAnsi="Times New Roman" w:cs="Times New Roman"/>
                <w:color w:val="010205"/>
                <w:sz w:val="20"/>
                <w:szCs w:val="20"/>
              </w:rPr>
              <w:t>285</w:t>
            </w:r>
            <w:r w:rsidRPr="00B42B26">
              <w:rPr>
                <w:rFonts w:ascii="Times New Roman" w:hAnsi="Times New Roman" w:cs="Times New Roman"/>
                <w:color w:val="010205"/>
                <w:sz w:val="20"/>
                <w:szCs w:val="20"/>
              </w:rPr>
              <w:t xml:space="preserve"> to 4.</w:t>
            </w:r>
            <w:r>
              <w:rPr>
                <w:rFonts w:ascii="Times New Roman" w:hAnsi="Times New Roman" w:cs="Times New Roman"/>
                <w:color w:val="010205"/>
                <w:sz w:val="20"/>
                <w:szCs w:val="20"/>
              </w:rPr>
              <w:t>328</w:t>
            </w:r>
            <w:r w:rsidRPr="00B42B26">
              <w:rPr>
                <w:rFonts w:ascii="Times New Roman" w:hAnsi="Times New Roman" w:cs="Times New Roman"/>
                <w:color w:val="010205"/>
                <w:sz w:val="20"/>
                <w:szCs w:val="20"/>
              </w:rPr>
              <w:t>)</w:t>
            </w:r>
          </w:p>
        </w:tc>
      </w:tr>
      <w:tr w:rsidR="00940F93" w:rsidRPr="00B42B26" w:rsidTr="00663E9F">
        <w:trPr>
          <w:trHeight w:val="841"/>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Benzodiazepine</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-anxiolytics</w:t>
            </w:r>
            <w:r>
              <w:rPr>
                <w:rFonts w:ascii="Times New Roman" w:hAnsi="Times New Roman" w:cs="Times New Roman"/>
                <w:b/>
                <w:sz w:val="20"/>
                <w:szCs w:val="20"/>
              </w:rPr>
              <w:t xml:space="preserve"> prescription</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0.917</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0.914</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0.919</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0.920</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(0.9</w:t>
            </w:r>
            <w:r>
              <w:rPr>
                <w:rFonts w:ascii="Times New Roman" w:hAnsi="Times New Roman" w:cs="Times New Roman"/>
                <w:color w:val="010205"/>
                <w:sz w:val="20"/>
                <w:szCs w:val="20"/>
              </w:rPr>
              <w:t>16</w:t>
            </w:r>
            <w:r w:rsidRPr="00B42B26">
              <w:rPr>
                <w:rFonts w:ascii="Times New Roman" w:hAnsi="Times New Roman" w:cs="Times New Roman"/>
                <w:color w:val="010205"/>
                <w:sz w:val="20"/>
                <w:szCs w:val="20"/>
              </w:rPr>
              <w:t xml:space="preserve"> to </w:t>
            </w:r>
            <w:r>
              <w:rPr>
                <w:rFonts w:ascii="Times New Roman" w:hAnsi="Times New Roman" w:cs="Times New Roman"/>
                <w:color w:val="010205"/>
                <w:sz w:val="20"/>
                <w:szCs w:val="20"/>
              </w:rPr>
              <w:t>0.924</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0.913</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(0.910 to 0.917)</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1.</w:t>
            </w:r>
            <w:r>
              <w:rPr>
                <w:rFonts w:ascii="Times New Roman" w:hAnsi="Times New Roman" w:cs="Times New Roman"/>
                <w:color w:val="010205"/>
                <w:sz w:val="20"/>
                <w:szCs w:val="20"/>
              </w:rPr>
              <w:t>151</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(1.</w:t>
            </w:r>
            <w:r>
              <w:rPr>
                <w:rFonts w:ascii="Times New Roman" w:hAnsi="Times New Roman" w:cs="Times New Roman"/>
                <w:color w:val="010205"/>
                <w:sz w:val="20"/>
                <w:szCs w:val="20"/>
              </w:rPr>
              <w:t>145</w:t>
            </w:r>
            <w:r w:rsidRPr="00B42B26">
              <w:rPr>
                <w:rFonts w:ascii="Times New Roman" w:hAnsi="Times New Roman" w:cs="Times New Roman"/>
                <w:color w:val="010205"/>
                <w:sz w:val="20"/>
                <w:szCs w:val="20"/>
              </w:rPr>
              <w:t xml:space="preserve"> to 1.</w:t>
            </w:r>
            <w:r>
              <w:rPr>
                <w:rFonts w:ascii="Times New Roman" w:hAnsi="Times New Roman" w:cs="Times New Roman"/>
                <w:color w:val="010205"/>
                <w:sz w:val="20"/>
                <w:szCs w:val="20"/>
              </w:rPr>
              <w:t>158</w:t>
            </w:r>
            <w:r w:rsidRPr="00B42B26">
              <w:rPr>
                <w:rFonts w:ascii="Times New Roman" w:hAnsi="Times New Roman" w:cs="Times New Roman"/>
                <w:color w:val="010205"/>
                <w:sz w:val="20"/>
                <w:szCs w:val="20"/>
              </w:rPr>
              <w:t>)</w:t>
            </w:r>
          </w:p>
        </w:tc>
      </w:tr>
      <w:tr w:rsidR="00940F93" w:rsidRPr="00B42B26" w:rsidTr="00663E9F">
        <w:trPr>
          <w:trHeight w:val="840"/>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Benzodiazepine</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-hypnotics</w:t>
            </w:r>
            <w:r>
              <w:rPr>
                <w:rFonts w:ascii="Times New Roman" w:hAnsi="Times New Roman" w:cs="Times New Roman"/>
                <w:b/>
                <w:sz w:val="20"/>
                <w:szCs w:val="20"/>
              </w:rPr>
              <w:t xml:space="preserve"> prescription</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1.311</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1.308</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1.315</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1.</w:t>
            </w:r>
            <w:r>
              <w:rPr>
                <w:rFonts w:ascii="Times New Roman" w:hAnsi="Times New Roman" w:cs="Times New Roman"/>
                <w:color w:val="010205"/>
                <w:sz w:val="20"/>
                <w:szCs w:val="20"/>
              </w:rPr>
              <w:t>333</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w:t>
            </w:r>
            <w:r>
              <w:rPr>
                <w:rFonts w:ascii="Times New Roman" w:hAnsi="Times New Roman" w:cs="Times New Roman"/>
                <w:color w:val="010205"/>
                <w:sz w:val="20"/>
                <w:szCs w:val="20"/>
              </w:rPr>
              <w:t>1.328</w:t>
            </w:r>
            <w:r w:rsidRPr="00B42B26">
              <w:rPr>
                <w:rFonts w:ascii="Times New Roman" w:hAnsi="Times New Roman" w:cs="Times New Roman"/>
                <w:color w:val="010205"/>
                <w:sz w:val="20"/>
                <w:szCs w:val="20"/>
              </w:rPr>
              <w:t xml:space="preserve"> to 1.</w:t>
            </w:r>
            <w:r>
              <w:rPr>
                <w:rFonts w:ascii="Times New Roman" w:hAnsi="Times New Roman" w:cs="Times New Roman"/>
                <w:color w:val="010205"/>
                <w:sz w:val="20"/>
                <w:szCs w:val="20"/>
              </w:rPr>
              <w:t>338</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1.289</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(1.284 to 1.294)</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1.</w:t>
            </w:r>
            <w:r>
              <w:rPr>
                <w:rFonts w:ascii="Times New Roman" w:hAnsi="Times New Roman" w:cs="Times New Roman"/>
                <w:color w:val="010205"/>
                <w:sz w:val="20"/>
                <w:szCs w:val="20"/>
              </w:rPr>
              <w:t>673</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(1.</w:t>
            </w:r>
            <w:r>
              <w:rPr>
                <w:rFonts w:ascii="Times New Roman" w:hAnsi="Times New Roman" w:cs="Times New Roman"/>
                <w:color w:val="010205"/>
                <w:sz w:val="20"/>
                <w:szCs w:val="20"/>
              </w:rPr>
              <w:t>664</w:t>
            </w:r>
            <w:r w:rsidRPr="00B42B26">
              <w:rPr>
                <w:rFonts w:ascii="Times New Roman" w:hAnsi="Times New Roman" w:cs="Times New Roman"/>
                <w:color w:val="010205"/>
                <w:sz w:val="20"/>
                <w:szCs w:val="20"/>
              </w:rPr>
              <w:t xml:space="preserve"> to 1.</w:t>
            </w:r>
            <w:r>
              <w:rPr>
                <w:rFonts w:ascii="Times New Roman" w:hAnsi="Times New Roman" w:cs="Times New Roman"/>
                <w:color w:val="010205"/>
                <w:sz w:val="20"/>
                <w:szCs w:val="20"/>
              </w:rPr>
              <w:t>682</w:t>
            </w:r>
            <w:r w:rsidRPr="00B42B26">
              <w:rPr>
                <w:rFonts w:ascii="Times New Roman" w:hAnsi="Times New Roman" w:cs="Times New Roman"/>
                <w:color w:val="010205"/>
                <w:sz w:val="20"/>
                <w:szCs w:val="20"/>
              </w:rPr>
              <w:t>)</w:t>
            </w:r>
          </w:p>
        </w:tc>
      </w:tr>
      <w:tr w:rsidR="00940F93" w:rsidRPr="00B42B26" w:rsidTr="00663E9F">
        <w:trPr>
          <w:trHeight w:val="554"/>
        </w:trPr>
        <w:tc>
          <w:tcPr>
            <w:tcW w:w="1249" w:type="pct"/>
          </w:tcPr>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GP workforce</w:t>
            </w:r>
          </w:p>
          <w:p w:rsidR="00940F93" w:rsidRPr="00B42B26" w:rsidRDefault="00940F93" w:rsidP="00663E9F">
            <w:pPr>
              <w:spacing w:line="276" w:lineRule="auto"/>
              <w:jc w:val="right"/>
              <w:rPr>
                <w:rFonts w:ascii="Times New Roman" w:hAnsi="Times New Roman" w:cs="Times New Roman"/>
                <w:b/>
                <w:sz w:val="20"/>
                <w:szCs w:val="20"/>
              </w:rPr>
            </w:pPr>
            <w:r w:rsidRPr="00B42B26">
              <w:rPr>
                <w:rFonts w:ascii="Times New Roman" w:hAnsi="Times New Roman" w:cs="Times New Roman"/>
                <w:b/>
                <w:sz w:val="20"/>
                <w:szCs w:val="20"/>
              </w:rPr>
              <w:t>(per 10,000 patients)</w:t>
            </w:r>
          </w:p>
        </w:tc>
        <w:tc>
          <w:tcPr>
            <w:tcW w:w="925" w:type="pct"/>
          </w:tcPr>
          <w:p w:rsidR="00940F93" w:rsidRPr="00003809" w:rsidRDefault="00940F93" w:rsidP="00663E9F">
            <w:pPr>
              <w:spacing w:line="276" w:lineRule="auto"/>
              <w:jc w:val="right"/>
              <w:rPr>
                <w:rFonts w:ascii="Times New Roman" w:eastAsia="Times New Roman" w:hAnsi="Times New Roman" w:cs="Times New Roman"/>
                <w:color w:val="000000"/>
                <w:sz w:val="20"/>
                <w:szCs w:val="20"/>
                <w:lang w:eastAsia="en-GB"/>
              </w:rPr>
            </w:pPr>
            <w:r w:rsidRPr="001B65E9">
              <w:rPr>
                <w:rFonts w:ascii="Times New Roman" w:eastAsia="Times New Roman" w:hAnsi="Times New Roman" w:cs="Times New Roman"/>
                <w:color w:val="000000"/>
                <w:sz w:val="20"/>
                <w:szCs w:val="20"/>
                <w:lang w:eastAsia="en-GB"/>
              </w:rPr>
              <w:t>6.126</w:t>
            </w:r>
            <w:r w:rsidRPr="00003809">
              <w:rPr>
                <w:rFonts w:ascii="Times New Roman" w:eastAsia="Times New Roman" w:hAnsi="Times New Roman" w:cs="Times New Roman"/>
                <w:color w:val="000000"/>
                <w:sz w:val="20"/>
                <w:szCs w:val="20"/>
                <w:lang w:eastAsia="en-GB"/>
              </w:rPr>
              <w:t xml:space="preserve"> </w:t>
            </w:r>
          </w:p>
          <w:p w:rsidR="00940F93" w:rsidRPr="00003809" w:rsidRDefault="00940F93" w:rsidP="00663E9F">
            <w:pPr>
              <w:spacing w:line="276" w:lineRule="auto"/>
              <w:jc w:val="right"/>
              <w:rPr>
                <w:rFonts w:ascii="Times New Roman" w:hAnsi="Times New Roman" w:cs="Times New Roman"/>
                <w:sz w:val="20"/>
                <w:szCs w:val="20"/>
              </w:rPr>
            </w:pPr>
            <w:r w:rsidRPr="00003809">
              <w:rPr>
                <w:rFonts w:ascii="Times New Roman" w:eastAsia="Times New Roman" w:hAnsi="Times New Roman" w:cs="Times New Roman"/>
                <w:color w:val="000000"/>
                <w:sz w:val="20"/>
                <w:szCs w:val="20"/>
                <w:lang w:eastAsia="en-GB"/>
              </w:rPr>
              <w:t>(</w:t>
            </w:r>
            <w:r w:rsidRPr="001B65E9">
              <w:rPr>
                <w:rFonts w:ascii="Times New Roman" w:eastAsia="Times New Roman" w:hAnsi="Times New Roman" w:cs="Times New Roman"/>
                <w:color w:val="000000"/>
                <w:sz w:val="20"/>
                <w:szCs w:val="20"/>
                <w:lang w:eastAsia="en-GB"/>
              </w:rPr>
              <w:t>6.112</w:t>
            </w:r>
            <w:r w:rsidRPr="00003809">
              <w:rPr>
                <w:rFonts w:ascii="Times New Roman" w:eastAsia="Times New Roman" w:hAnsi="Times New Roman" w:cs="Times New Roman"/>
                <w:color w:val="000000"/>
                <w:sz w:val="20"/>
                <w:szCs w:val="20"/>
                <w:lang w:eastAsia="en-GB"/>
              </w:rPr>
              <w:t xml:space="preserve"> to </w:t>
            </w:r>
            <w:r w:rsidRPr="001B65E9">
              <w:rPr>
                <w:rFonts w:ascii="Times New Roman" w:eastAsia="Times New Roman" w:hAnsi="Times New Roman" w:cs="Times New Roman"/>
                <w:color w:val="000000"/>
                <w:sz w:val="20"/>
                <w:szCs w:val="20"/>
                <w:lang w:eastAsia="en-GB"/>
              </w:rPr>
              <w:t>6.139</w:t>
            </w:r>
            <w:r w:rsidRPr="00003809">
              <w:rPr>
                <w:rFonts w:ascii="Times New Roman" w:eastAsia="Times New Roman" w:hAnsi="Times New Roman" w:cs="Times New Roman"/>
                <w:color w:val="000000"/>
                <w:sz w:val="20"/>
                <w:szCs w:val="20"/>
                <w:lang w:eastAsia="en-GB"/>
              </w:rPr>
              <w:t>)</w:t>
            </w:r>
          </w:p>
        </w:tc>
        <w:tc>
          <w:tcPr>
            <w:tcW w:w="991"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6.</w:t>
            </w:r>
            <w:r>
              <w:rPr>
                <w:rFonts w:ascii="Times New Roman" w:hAnsi="Times New Roman" w:cs="Times New Roman"/>
                <w:color w:val="010205"/>
                <w:sz w:val="20"/>
                <w:szCs w:val="20"/>
              </w:rPr>
              <w:t>429</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(6.</w:t>
            </w:r>
            <w:r>
              <w:rPr>
                <w:rFonts w:ascii="Times New Roman" w:hAnsi="Times New Roman" w:cs="Times New Roman"/>
                <w:color w:val="010205"/>
                <w:sz w:val="20"/>
                <w:szCs w:val="20"/>
              </w:rPr>
              <w:t>412</w:t>
            </w:r>
            <w:r w:rsidRPr="00B42B26">
              <w:rPr>
                <w:rFonts w:ascii="Times New Roman" w:hAnsi="Times New Roman" w:cs="Times New Roman"/>
                <w:color w:val="010205"/>
                <w:sz w:val="20"/>
                <w:szCs w:val="20"/>
              </w:rPr>
              <w:t xml:space="preserve"> to 6.</w:t>
            </w:r>
            <w:r>
              <w:rPr>
                <w:rFonts w:ascii="Times New Roman" w:hAnsi="Times New Roman" w:cs="Times New Roman"/>
                <w:color w:val="010205"/>
                <w:sz w:val="20"/>
                <w:szCs w:val="20"/>
              </w:rPr>
              <w:t>446</w:t>
            </w:r>
            <w:r w:rsidRPr="00B42B26">
              <w:rPr>
                <w:rFonts w:ascii="Times New Roman" w:hAnsi="Times New Roman" w:cs="Times New Roman"/>
                <w:color w:val="010205"/>
                <w:sz w:val="20"/>
                <w:szCs w:val="20"/>
              </w:rPr>
              <w:t>)</w:t>
            </w:r>
          </w:p>
        </w:tc>
        <w:tc>
          <w:tcPr>
            <w:tcW w:w="917" w:type="pct"/>
          </w:tcPr>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 xml:space="preserve">5.822 </w:t>
            </w:r>
          </w:p>
          <w:p w:rsidR="00940F93" w:rsidRPr="000C5B73"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0C5B73">
              <w:rPr>
                <w:rFonts w:ascii="Times New Roman" w:hAnsi="Times New Roman" w:cs="Times New Roman"/>
                <w:color w:val="010205"/>
                <w:sz w:val="20"/>
                <w:szCs w:val="20"/>
              </w:rPr>
              <w:t>(5.802 to 5.842)</w:t>
            </w:r>
          </w:p>
        </w:tc>
        <w:tc>
          <w:tcPr>
            <w:tcW w:w="917" w:type="pct"/>
          </w:tcPr>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5.835</w:t>
            </w:r>
          </w:p>
          <w:p w:rsidR="00940F93" w:rsidRPr="00B42B26" w:rsidRDefault="00940F93" w:rsidP="00663E9F">
            <w:pPr>
              <w:autoSpaceDE w:val="0"/>
              <w:autoSpaceDN w:val="0"/>
              <w:adjustRightInd w:val="0"/>
              <w:spacing w:line="276" w:lineRule="auto"/>
              <w:ind w:left="60" w:right="60"/>
              <w:jc w:val="right"/>
              <w:rPr>
                <w:rFonts w:ascii="Times New Roman" w:hAnsi="Times New Roman" w:cs="Times New Roman"/>
                <w:color w:val="010205"/>
                <w:sz w:val="20"/>
                <w:szCs w:val="20"/>
              </w:rPr>
            </w:pPr>
            <w:r w:rsidRPr="00B42B26">
              <w:rPr>
                <w:rFonts w:ascii="Times New Roman" w:hAnsi="Times New Roman" w:cs="Times New Roman"/>
                <w:color w:val="010205"/>
                <w:sz w:val="20"/>
                <w:szCs w:val="20"/>
              </w:rPr>
              <w:t>(5.</w:t>
            </w:r>
            <w:r>
              <w:rPr>
                <w:rFonts w:ascii="Times New Roman" w:hAnsi="Times New Roman" w:cs="Times New Roman"/>
                <w:color w:val="010205"/>
                <w:sz w:val="20"/>
                <w:szCs w:val="20"/>
              </w:rPr>
              <w:t>805</w:t>
            </w:r>
            <w:r w:rsidRPr="00B42B26">
              <w:rPr>
                <w:rFonts w:ascii="Times New Roman" w:hAnsi="Times New Roman" w:cs="Times New Roman"/>
                <w:color w:val="010205"/>
                <w:sz w:val="20"/>
                <w:szCs w:val="20"/>
              </w:rPr>
              <w:t xml:space="preserve"> </w:t>
            </w:r>
            <w:r>
              <w:rPr>
                <w:rFonts w:ascii="Times New Roman" w:hAnsi="Times New Roman" w:cs="Times New Roman"/>
                <w:color w:val="010205"/>
                <w:sz w:val="20"/>
                <w:szCs w:val="20"/>
              </w:rPr>
              <w:t>to</w:t>
            </w:r>
            <w:r w:rsidRPr="00B42B26">
              <w:rPr>
                <w:rFonts w:ascii="Times New Roman" w:hAnsi="Times New Roman" w:cs="Times New Roman"/>
                <w:color w:val="010205"/>
                <w:sz w:val="20"/>
                <w:szCs w:val="20"/>
              </w:rPr>
              <w:t xml:space="preserve"> </w:t>
            </w:r>
            <w:r>
              <w:rPr>
                <w:rFonts w:ascii="Times New Roman" w:hAnsi="Times New Roman" w:cs="Times New Roman"/>
                <w:color w:val="010205"/>
                <w:sz w:val="20"/>
                <w:szCs w:val="20"/>
              </w:rPr>
              <w:t>5.864</w:t>
            </w:r>
            <w:r w:rsidRPr="00B42B26">
              <w:rPr>
                <w:rFonts w:ascii="Times New Roman" w:hAnsi="Times New Roman" w:cs="Times New Roman"/>
                <w:color w:val="010205"/>
                <w:sz w:val="20"/>
                <w:szCs w:val="20"/>
              </w:rPr>
              <w:t>)</w:t>
            </w:r>
          </w:p>
        </w:tc>
      </w:tr>
    </w:tbl>
    <w:p w:rsidR="00940F93" w:rsidRDefault="00940F93" w:rsidP="00940F93"/>
    <w:p w:rsidR="00940F93" w:rsidRDefault="00940F93" w:rsidP="00940F93"/>
    <w:p w:rsidR="00940F93" w:rsidRDefault="00940F93" w:rsidP="00940F93"/>
    <w:p w:rsidR="00D279FF" w:rsidRDefault="00D279FF" w:rsidP="00D279FF">
      <w:pPr>
        <w:spacing w:after="0" w:line="240" w:lineRule="auto"/>
        <w:jc w:val="center"/>
        <w:rPr>
          <w:rFonts w:ascii="Times New Roman" w:hAnsi="Times New Roman" w:cs="Times New Roman"/>
          <w:b/>
          <w:color w:val="000000" w:themeColor="text1"/>
          <w:sz w:val="24"/>
          <w:szCs w:val="24"/>
        </w:rPr>
      </w:pPr>
      <w:r>
        <w:rPr>
          <w:noProof/>
        </w:rPr>
        <w:lastRenderedPageBreak/>
        <w:drawing>
          <wp:inline distT="0" distB="0" distL="0" distR="0">
            <wp:extent cx="3867150" cy="23915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0198" cy="2430518"/>
                    </a:xfrm>
                    <a:prstGeom prst="rect">
                      <a:avLst/>
                    </a:prstGeom>
                    <a:noFill/>
                    <a:ln>
                      <a:noFill/>
                    </a:ln>
                  </pic:spPr>
                </pic:pic>
              </a:graphicData>
            </a:graphic>
          </wp:inline>
        </w:drawing>
      </w:r>
    </w:p>
    <w:p w:rsidR="00CD589E" w:rsidRPr="00D279FF" w:rsidRDefault="00CD589E" w:rsidP="00D279FF">
      <w:pPr>
        <w:spacing w:after="0" w:line="240" w:lineRule="auto"/>
        <w:jc w:val="center"/>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Fig. 1: Effect of Quality Premium on Antibiotic Prescribing.</w:t>
      </w:r>
    </w:p>
    <w:p w:rsidR="00CD589E" w:rsidRDefault="00CD589E" w:rsidP="00D279FF">
      <w:pPr>
        <w:spacing w:after="0" w:line="240" w:lineRule="auto"/>
        <w:jc w:val="center"/>
        <w:rPr>
          <w:rFonts w:ascii="Times New Roman" w:hAnsi="Times New Roman" w:cs="Times New Roman"/>
          <w:i/>
          <w:color w:val="000000" w:themeColor="text1"/>
          <w:sz w:val="20"/>
          <w:szCs w:val="20"/>
        </w:rPr>
      </w:pPr>
      <w:r w:rsidRPr="00D279FF">
        <w:rPr>
          <w:rFonts w:ascii="Times New Roman" w:hAnsi="Times New Roman" w:cs="Times New Roman"/>
          <w:i/>
          <w:color w:val="000000" w:themeColor="text1"/>
          <w:sz w:val="20"/>
          <w:szCs w:val="20"/>
        </w:rPr>
        <w:t>The shaded portion around the line represents the 95% confidence interval. The horizontal line indicates implementation of the 2015/16 QP in April 2015</w:t>
      </w:r>
    </w:p>
    <w:p w:rsidR="00D279FF" w:rsidRPr="00D279FF" w:rsidRDefault="00D279FF" w:rsidP="00CD589E">
      <w:pPr>
        <w:spacing w:after="0" w:line="240" w:lineRule="auto"/>
        <w:jc w:val="both"/>
        <w:rPr>
          <w:rFonts w:ascii="Times New Roman" w:hAnsi="Times New Roman" w:cs="Times New Roman"/>
          <w:i/>
          <w:color w:val="000000" w:themeColor="text1"/>
          <w:sz w:val="20"/>
          <w:szCs w:val="20"/>
        </w:rPr>
      </w:pP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Effect of 2015/16 QP on antibiotic prescribing (further adjusting for practice characteristics)</w:t>
      </w:r>
    </w:p>
    <w:p w:rsidR="00676D27" w:rsidRPr="00D279FF" w:rsidRDefault="00676D27" w:rsidP="00676D27">
      <w:pPr>
        <w:spacing w:line="360" w:lineRule="auto"/>
        <w:jc w:val="both"/>
        <w:rPr>
          <w:rFonts w:ascii="Times New Roman" w:hAnsi="Times New Roman" w:cs="Times New Roman"/>
          <w:color w:val="000000" w:themeColor="text1"/>
          <w:sz w:val="24"/>
          <w:szCs w:val="24"/>
        </w:rPr>
      </w:pPr>
      <w:bookmarkStart w:id="7" w:name="_Hlk11147174"/>
      <w:r w:rsidRPr="00D279FF">
        <w:rPr>
          <w:rFonts w:ascii="Times New Roman" w:hAnsi="Times New Roman" w:cs="Times New Roman"/>
          <w:color w:val="000000" w:themeColor="text1"/>
          <w:sz w:val="24"/>
          <w:szCs w:val="24"/>
        </w:rPr>
        <w:t>After extending the model to adjust for practice characteristics</w:t>
      </w:r>
      <w:bookmarkEnd w:id="7"/>
      <w:r w:rsidRPr="00D279FF">
        <w:rPr>
          <w:rFonts w:ascii="Times New Roman" w:hAnsi="Times New Roman" w:cs="Times New Roman"/>
          <w:color w:val="000000" w:themeColor="text1"/>
          <w:sz w:val="24"/>
          <w:szCs w:val="24"/>
        </w:rPr>
        <w:t xml:space="preserve"> (comorbidities (respiratory diseases and diabetes), prescribing rate of benzodiazepine, and GP workforce) the immediate and month-on-month effects seen after 2015/16 QP implementation remained consistent, with only a slight attenuation </w:t>
      </w:r>
      <w:bookmarkStart w:id="8" w:name="_Hlk11147231"/>
      <w:r w:rsidRPr="00D279FF">
        <w:rPr>
          <w:rFonts w:ascii="Times New Roman" w:hAnsi="Times New Roman" w:cs="Times New Roman"/>
          <w:color w:val="000000" w:themeColor="text1"/>
          <w:sz w:val="24"/>
          <w:szCs w:val="24"/>
        </w:rPr>
        <w:t xml:space="preserve">in mean reduction in items prescribed immediately following the QP from </w:t>
      </w:r>
      <w:bookmarkStart w:id="9" w:name="_Hlk17373921"/>
      <w:r w:rsidRPr="00D279FF">
        <w:rPr>
          <w:rFonts w:ascii="Times New Roman" w:hAnsi="Times New Roman" w:cs="Times New Roman"/>
          <w:color w:val="000000" w:themeColor="text1"/>
          <w:sz w:val="24"/>
          <w:szCs w:val="24"/>
        </w:rPr>
        <w:t xml:space="preserve">-0.172 to -0.166 </w:t>
      </w:r>
      <w:bookmarkEnd w:id="9"/>
      <w:r w:rsidRPr="00D279FF">
        <w:rPr>
          <w:rFonts w:ascii="Times New Roman" w:hAnsi="Times New Roman" w:cs="Times New Roman"/>
          <w:color w:val="000000" w:themeColor="text1"/>
          <w:sz w:val="24"/>
          <w:szCs w:val="24"/>
        </w:rPr>
        <w:t>items/STAR-PU</w:t>
      </w:r>
      <w:bookmarkEnd w:id="8"/>
      <w:r w:rsidRPr="00D279FF">
        <w:rPr>
          <w:rFonts w:ascii="Times New Roman" w:hAnsi="Times New Roman" w:cs="Times New Roman"/>
          <w:color w:val="000000" w:themeColor="text1"/>
          <w:sz w:val="24"/>
          <w:szCs w:val="24"/>
        </w:rPr>
        <w:t>, a 3.5% relative reduction in effect size (table 2).</w:t>
      </w:r>
    </w:p>
    <w:p w:rsidR="00940F93" w:rsidRDefault="00940F93">
      <w:pPr>
        <w:rPr>
          <w:rFonts w:ascii="Times New Roman" w:hAnsi="Times New Roman" w:cs="Times New Roman"/>
          <w:i/>
          <w:sz w:val="24"/>
          <w:szCs w:val="24"/>
        </w:rPr>
      </w:pPr>
      <w:r>
        <w:rPr>
          <w:rFonts w:ascii="Times New Roman" w:hAnsi="Times New Roman" w:cs="Times New Roman"/>
          <w:i/>
          <w:sz w:val="24"/>
          <w:szCs w:val="24"/>
        </w:rPr>
        <w:br w:type="page"/>
      </w:r>
    </w:p>
    <w:p w:rsidR="00940F93" w:rsidRDefault="00940F93" w:rsidP="00940F93">
      <w:pPr>
        <w:spacing w:line="360" w:lineRule="auto"/>
        <w:rPr>
          <w:rFonts w:ascii="Times New Roman" w:hAnsi="Times New Roman" w:cs="Times New Roman"/>
          <w:i/>
          <w:sz w:val="24"/>
          <w:szCs w:val="24"/>
        </w:rPr>
      </w:pPr>
      <w:r w:rsidRPr="00BA25C6">
        <w:rPr>
          <w:rFonts w:ascii="Times New Roman" w:hAnsi="Times New Roman" w:cs="Times New Roman"/>
          <w:i/>
          <w:sz w:val="24"/>
          <w:szCs w:val="24"/>
        </w:rPr>
        <w:lastRenderedPageBreak/>
        <w:t xml:space="preserve">Table </w:t>
      </w:r>
      <w:r>
        <w:rPr>
          <w:rFonts w:ascii="Times New Roman" w:hAnsi="Times New Roman" w:cs="Times New Roman"/>
          <w:i/>
          <w:sz w:val="24"/>
          <w:szCs w:val="24"/>
        </w:rPr>
        <w:t>2</w:t>
      </w:r>
      <w:r w:rsidRPr="00BA25C6">
        <w:rPr>
          <w:rFonts w:ascii="Times New Roman" w:hAnsi="Times New Roman" w:cs="Times New Roman"/>
          <w:i/>
          <w:sz w:val="24"/>
          <w:szCs w:val="24"/>
        </w:rPr>
        <w:t>: Association between QP and antibiotic prescribing</w:t>
      </w:r>
    </w:p>
    <w:tbl>
      <w:tblPr>
        <w:tblStyle w:val="TableGrid"/>
        <w:tblW w:w="0" w:type="auto"/>
        <w:jc w:val="center"/>
        <w:tblLook w:val="04A0" w:firstRow="1" w:lastRow="0" w:firstColumn="1" w:lastColumn="0" w:noHBand="0" w:noVBand="1"/>
      </w:tblPr>
      <w:tblGrid>
        <w:gridCol w:w="1439"/>
        <w:gridCol w:w="113"/>
        <w:gridCol w:w="1768"/>
        <w:gridCol w:w="1183"/>
        <w:gridCol w:w="771"/>
        <w:gridCol w:w="762"/>
        <w:gridCol w:w="1183"/>
        <w:gridCol w:w="884"/>
        <w:gridCol w:w="913"/>
      </w:tblGrid>
      <w:tr w:rsidR="00940F93" w:rsidRPr="00227985" w:rsidTr="00663E9F">
        <w:trPr>
          <w:trHeight w:val="443"/>
          <w:jc w:val="center"/>
        </w:trPr>
        <w:tc>
          <w:tcPr>
            <w:tcW w:w="3320" w:type="dxa"/>
            <w:gridSpan w:val="3"/>
            <w:vMerge w:val="restart"/>
          </w:tcPr>
          <w:p w:rsidR="00940F93" w:rsidRPr="00227985" w:rsidRDefault="00940F93" w:rsidP="00663E9F">
            <w:pPr>
              <w:spacing w:line="480" w:lineRule="auto"/>
              <w:jc w:val="both"/>
              <w:rPr>
                <w:rFonts w:ascii="Bell MT" w:hAnsi="Bell MT" w:cs="Times New Roman"/>
                <w:sz w:val="20"/>
                <w:szCs w:val="20"/>
              </w:rPr>
            </w:pPr>
          </w:p>
        </w:tc>
        <w:tc>
          <w:tcPr>
            <w:tcW w:w="2716" w:type="dxa"/>
            <w:gridSpan w:val="3"/>
          </w:tcPr>
          <w:p w:rsidR="00940F93" w:rsidRDefault="00940F93" w:rsidP="00663E9F">
            <w:pPr>
              <w:jc w:val="center"/>
              <w:rPr>
                <w:rFonts w:ascii="Bell MT" w:hAnsi="Bell MT" w:cs="Times New Roman"/>
                <w:b/>
                <w:sz w:val="20"/>
                <w:szCs w:val="20"/>
              </w:rPr>
            </w:pPr>
            <w:r>
              <w:rPr>
                <w:rFonts w:ascii="Bell MT" w:hAnsi="Bell MT" w:cs="Times New Roman"/>
                <w:b/>
                <w:sz w:val="20"/>
                <w:szCs w:val="20"/>
              </w:rPr>
              <w:t>Model without adjustment for practice characteristics</w:t>
            </w:r>
          </w:p>
          <w:p w:rsidR="00940F93" w:rsidRPr="00227985" w:rsidRDefault="00940F93" w:rsidP="00663E9F">
            <w:pPr>
              <w:spacing w:line="276" w:lineRule="auto"/>
              <w:jc w:val="center"/>
              <w:rPr>
                <w:rFonts w:ascii="Bell MT" w:hAnsi="Bell MT" w:cs="Times New Roman"/>
                <w:b/>
                <w:sz w:val="20"/>
                <w:szCs w:val="20"/>
              </w:rPr>
            </w:pPr>
            <w:r>
              <w:rPr>
                <w:rFonts w:ascii="Times New Roman" w:hAnsi="Times New Roman" w:cs="Times New Roman"/>
                <w:sz w:val="16"/>
                <w:szCs w:val="16"/>
              </w:rPr>
              <w:t>(n = 6,251)</w:t>
            </w:r>
          </w:p>
        </w:tc>
        <w:tc>
          <w:tcPr>
            <w:tcW w:w="2980" w:type="dxa"/>
            <w:gridSpan w:val="3"/>
          </w:tcPr>
          <w:p w:rsidR="00940F93" w:rsidRDefault="00940F93" w:rsidP="00663E9F">
            <w:pPr>
              <w:spacing w:line="276" w:lineRule="auto"/>
              <w:jc w:val="center"/>
              <w:rPr>
                <w:rFonts w:ascii="Bell MT" w:hAnsi="Bell MT" w:cs="Times New Roman"/>
                <w:b/>
                <w:sz w:val="20"/>
                <w:szCs w:val="20"/>
              </w:rPr>
            </w:pPr>
            <w:r w:rsidRPr="00F72E40">
              <w:rPr>
                <w:rFonts w:ascii="Bell MT" w:hAnsi="Bell MT" w:cs="Times New Roman"/>
                <w:b/>
                <w:sz w:val="20"/>
                <w:szCs w:val="20"/>
              </w:rPr>
              <w:t>Model with adjustment for practice characteristics</w:t>
            </w:r>
          </w:p>
          <w:p w:rsidR="00940F93" w:rsidRPr="00B41CB1" w:rsidRDefault="00940F93" w:rsidP="00663E9F">
            <w:pPr>
              <w:spacing w:line="276" w:lineRule="auto"/>
              <w:jc w:val="center"/>
              <w:rPr>
                <w:rFonts w:ascii="Times New Roman" w:hAnsi="Times New Roman" w:cs="Times New Roman"/>
                <w:sz w:val="16"/>
                <w:szCs w:val="16"/>
              </w:rPr>
            </w:pPr>
            <w:r>
              <w:rPr>
                <w:rFonts w:ascii="Times New Roman" w:hAnsi="Times New Roman" w:cs="Times New Roman"/>
                <w:sz w:val="16"/>
                <w:szCs w:val="16"/>
              </w:rPr>
              <w:t>(n = 6,251)</w:t>
            </w:r>
          </w:p>
        </w:tc>
      </w:tr>
      <w:tr w:rsidR="00940F93" w:rsidRPr="00227985" w:rsidTr="00663E9F">
        <w:trPr>
          <w:trHeight w:val="374"/>
          <w:jc w:val="center"/>
        </w:trPr>
        <w:tc>
          <w:tcPr>
            <w:tcW w:w="3320" w:type="dxa"/>
            <w:gridSpan w:val="3"/>
            <w:vMerge/>
          </w:tcPr>
          <w:p w:rsidR="00940F93" w:rsidRPr="00227985" w:rsidRDefault="00940F93" w:rsidP="00663E9F">
            <w:pPr>
              <w:spacing w:line="480" w:lineRule="auto"/>
              <w:jc w:val="both"/>
              <w:rPr>
                <w:rFonts w:ascii="Bell MT" w:hAnsi="Bell MT" w:cs="Times New Roman"/>
                <w:sz w:val="20"/>
                <w:szCs w:val="20"/>
              </w:rPr>
            </w:pPr>
          </w:p>
        </w:tc>
        <w:tc>
          <w:tcPr>
            <w:tcW w:w="1183" w:type="dxa"/>
            <w:vMerge w:val="restart"/>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Coefficient</w:t>
            </w:r>
          </w:p>
        </w:tc>
        <w:tc>
          <w:tcPr>
            <w:tcW w:w="1533" w:type="dxa"/>
            <w:gridSpan w:val="2"/>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95% CI</w:t>
            </w:r>
          </w:p>
        </w:tc>
        <w:tc>
          <w:tcPr>
            <w:tcW w:w="1183" w:type="dxa"/>
            <w:vMerge w:val="restart"/>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Coefficient</w:t>
            </w:r>
          </w:p>
        </w:tc>
        <w:tc>
          <w:tcPr>
            <w:tcW w:w="1797" w:type="dxa"/>
            <w:gridSpan w:val="2"/>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95% CI</w:t>
            </w:r>
          </w:p>
        </w:tc>
      </w:tr>
      <w:tr w:rsidR="00940F93" w:rsidRPr="00227985" w:rsidTr="00663E9F">
        <w:trPr>
          <w:trHeight w:val="456"/>
          <w:jc w:val="center"/>
        </w:trPr>
        <w:tc>
          <w:tcPr>
            <w:tcW w:w="3320" w:type="dxa"/>
            <w:gridSpan w:val="3"/>
            <w:vMerge/>
          </w:tcPr>
          <w:p w:rsidR="00940F93" w:rsidRPr="00227985" w:rsidRDefault="00940F93" w:rsidP="00663E9F">
            <w:pPr>
              <w:spacing w:line="480" w:lineRule="auto"/>
              <w:jc w:val="both"/>
              <w:rPr>
                <w:rFonts w:ascii="Bell MT" w:hAnsi="Bell MT" w:cs="Times New Roman"/>
                <w:sz w:val="20"/>
                <w:szCs w:val="20"/>
              </w:rPr>
            </w:pPr>
          </w:p>
        </w:tc>
        <w:tc>
          <w:tcPr>
            <w:tcW w:w="1183" w:type="dxa"/>
            <w:vMerge/>
          </w:tcPr>
          <w:p w:rsidR="00940F93" w:rsidRPr="00227985" w:rsidRDefault="00940F93" w:rsidP="00663E9F">
            <w:pPr>
              <w:spacing w:line="480" w:lineRule="auto"/>
              <w:jc w:val="center"/>
              <w:rPr>
                <w:rFonts w:ascii="Bell MT" w:hAnsi="Bell MT" w:cs="Times New Roman"/>
                <w:b/>
                <w:sz w:val="20"/>
                <w:szCs w:val="20"/>
              </w:rPr>
            </w:pPr>
          </w:p>
        </w:tc>
        <w:tc>
          <w:tcPr>
            <w:tcW w:w="771" w:type="dxa"/>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Lower</w:t>
            </w:r>
          </w:p>
        </w:tc>
        <w:tc>
          <w:tcPr>
            <w:tcW w:w="762" w:type="dxa"/>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Upper</w:t>
            </w:r>
          </w:p>
        </w:tc>
        <w:tc>
          <w:tcPr>
            <w:tcW w:w="1183" w:type="dxa"/>
            <w:vMerge/>
          </w:tcPr>
          <w:p w:rsidR="00940F93" w:rsidRPr="00227985" w:rsidRDefault="00940F93" w:rsidP="00663E9F">
            <w:pPr>
              <w:spacing w:line="480" w:lineRule="auto"/>
              <w:jc w:val="center"/>
              <w:rPr>
                <w:rFonts w:ascii="Bell MT" w:hAnsi="Bell MT" w:cs="Times New Roman"/>
                <w:b/>
                <w:sz w:val="20"/>
                <w:szCs w:val="20"/>
              </w:rPr>
            </w:pPr>
          </w:p>
        </w:tc>
        <w:tc>
          <w:tcPr>
            <w:tcW w:w="884" w:type="dxa"/>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Lower</w:t>
            </w:r>
          </w:p>
        </w:tc>
        <w:tc>
          <w:tcPr>
            <w:tcW w:w="913" w:type="dxa"/>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Upper</w:t>
            </w:r>
          </w:p>
        </w:tc>
      </w:tr>
      <w:tr w:rsidR="00940F93" w:rsidRPr="00227985" w:rsidTr="00663E9F">
        <w:trPr>
          <w:trHeight w:val="443"/>
          <w:jc w:val="center"/>
        </w:trPr>
        <w:tc>
          <w:tcPr>
            <w:tcW w:w="3320" w:type="dxa"/>
            <w:gridSpan w:val="3"/>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2015/16 QP</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-0.17</w:t>
            </w:r>
            <w:r>
              <w:rPr>
                <w:rFonts w:ascii="Bell MT" w:hAnsi="Bell MT" w:cs="Times New Roman"/>
                <w:sz w:val="20"/>
                <w:szCs w:val="20"/>
              </w:rPr>
              <w:t>2</w:t>
            </w:r>
          </w:p>
        </w:tc>
        <w:tc>
          <w:tcPr>
            <w:tcW w:w="771"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76</w:t>
            </w:r>
          </w:p>
        </w:tc>
        <w:tc>
          <w:tcPr>
            <w:tcW w:w="76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68</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-0.16</w:t>
            </w:r>
            <w:r>
              <w:rPr>
                <w:rFonts w:ascii="Bell MT" w:hAnsi="Bell MT" w:cs="Times New Roman"/>
                <w:sz w:val="20"/>
                <w:szCs w:val="20"/>
              </w:rPr>
              <w:t>6</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-0.170</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-0.16</w:t>
            </w:r>
            <w:r>
              <w:rPr>
                <w:rFonts w:ascii="Bell MT" w:hAnsi="Bell MT" w:cs="Times New Roman"/>
                <w:sz w:val="20"/>
                <w:szCs w:val="20"/>
              </w:rPr>
              <w:t>2</w:t>
            </w:r>
          </w:p>
        </w:tc>
      </w:tr>
      <w:tr w:rsidR="00940F93" w:rsidRPr="00227985" w:rsidTr="00663E9F">
        <w:trPr>
          <w:trHeight w:val="443"/>
          <w:jc w:val="center"/>
        </w:trPr>
        <w:tc>
          <w:tcPr>
            <w:tcW w:w="3320" w:type="dxa"/>
            <w:gridSpan w:val="3"/>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Months since QP</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0.014</w:t>
            </w:r>
          </w:p>
        </w:tc>
        <w:tc>
          <w:tcPr>
            <w:tcW w:w="771"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0.013</w:t>
            </w:r>
          </w:p>
        </w:tc>
        <w:tc>
          <w:tcPr>
            <w:tcW w:w="76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0.01</w:t>
            </w:r>
            <w:r>
              <w:rPr>
                <w:rFonts w:ascii="Bell MT" w:hAnsi="Bell MT" w:cs="Times New Roman"/>
                <w:sz w:val="20"/>
                <w:szCs w:val="20"/>
              </w:rPr>
              <w:t>4</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0.01</w:t>
            </w:r>
            <w:r>
              <w:rPr>
                <w:rFonts w:ascii="Bell MT" w:hAnsi="Bell MT" w:cs="Times New Roman"/>
                <w:sz w:val="20"/>
                <w:szCs w:val="20"/>
              </w:rPr>
              <w:t>4</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13</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0.01</w:t>
            </w:r>
            <w:r>
              <w:rPr>
                <w:rFonts w:ascii="Bell MT" w:hAnsi="Bell MT" w:cs="Times New Roman"/>
                <w:sz w:val="20"/>
                <w:szCs w:val="20"/>
              </w:rPr>
              <w:t>4</w:t>
            </w:r>
          </w:p>
        </w:tc>
      </w:tr>
      <w:tr w:rsidR="00940F93" w:rsidRPr="00227985" w:rsidTr="00663E9F">
        <w:trPr>
          <w:trHeight w:val="443"/>
          <w:jc w:val="center"/>
        </w:trPr>
        <w:tc>
          <w:tcPr>
            <w:tcW w:w="1552" w:type="dxa"/>
            <w:gridSpan w:val="2"/>
            <w:vMerge w:val="restart"/>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Season</w:t>
            </w:r>
          </w:p>
        </w:tc>
        <w:tc>
          <w:tcPr>
            <w:tcW w:w="1768"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Winter</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c>
          <w:tcPr>
            <w:tcW w:w="771"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c>
          <w:tcPr>
            <w:tcW w:w="76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r>
      <w:tr w:rsidR="00940F93" w:rsidRPr="00227985" w:rsidTr="00663E9F">
        <w:trPr>
          <w:trHeight w:val="469"/>
          <w:jc w:val="center"/>
        </w:trPr>
        <w:tc>
          <w:tcPr>
            <w:tcW w:w="1552" w:type="dxa"/>
            <w:gridSpan w:val="2"/>
            <w:vMerge/>
          </w:tcPr>
          <w:p w:rsidR="00940F93" w:rsidRPr="00227985" w:rsidRDefault="00940F93" w:rsidP="00663E9F">
            <w:pPr>
              <w:spacing w:line="480" w:lineRule="auto"/>
              <w:jc w:val="right"/>
              <w:rPr>
                <w:rFonts w:ascii="Bell MT" w:hAnsi="Bell MT" w:cs="Times New Roman"/>
                <w:b/>
                <w:sz w:val="20"/>
                <w:szCs w:val="20"/>
              </w:rPr>
            </w:pPr>
          </w:p>
        </w:tc>
        <w:tc>
          <w:tcPr>
            <w:tcW w:w="1768"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 xml:space="preserve">Spring </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-0.040</w:t>
            </w:r>
          </w:p>
        </w:tc>
        <w:tc>
          <w:tcPr>
            <w:tcW w:w="771"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-0.043</w:t>
            </w:r>
          </w:p>
        </w:tc>
        <w:tc>
          <w:tcPr>
            <w:tcW w:w="76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-0.038</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w:t>
            </w:r>
            <w:r>
              <w:rPr>
                <w:rFonts w:ascii="Bell MT" w:hAnsi="Bell MT" w:cs="Times New Roman"/>
                <w:sz w:val="20"/>
                <w:szCs w:val="20"/>
              </w:rPr>
              <w:t>4</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w:t>
            </w:r>
            <w:r>
              <w:rPr>
                <w:rFonts w:ascii="Bell MT" w:hAnsi="Bell MT" w:cs="Times New Roman"/>
                <w:sz w:val="20"/>
                <w:szCs w:val="20"/>
              </w:rPr>
              <w:t>6</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w:t>
            </w:r>
            <w:r>
              <w:rPr>
                <w:rFonts w:ascii="Bell MT" w:hAnsi="Bell MT" w:cs="Times New Roman"/>
                <w:sz w:val="20"/>
                <w:szCs w:val="20"/>
              </w:rPr>
              <w:t>1</w:t>
            </w:r>
          </w:p>
        </w:tc>
      </w:tr>
      <w:tr w:rsidR="00940F93" w:rsidRPr="00227985" w:rsidTr="00663E9F">
        <w:trPr>
          <w:trHeight w:val="456"/>
          <w:jc w:val="center"/>
        </w:trPr>
        <w:tc>
          <w:tcPr>
            <w:tcW w:w="1552" w:type="dxa"/>
            <w:gridSpan w:val="2"/>
            <w:vMerge/>
          </w:tcPr>
          <w:p w:rsidR="00940F93" w:rsidRPr="00227985" w:rsidRDefault="00940F93" w:rsidP="00663E9F">
            <w:pPr>
              <w:spacing w:line="480" w:lineRule="auto"/>
              <w:jc w:val="right"/>
              <w:rPr>
                <w:rFonts w:ascii="Bell MT" w:hAnsi="Bell MT" w:cs="Times New Roman"/>
                <w:b/>
                <w:sz w:val="20"/>
                <w:szCs w:val="20"/>
              </w:rPr>
            </w:pPr>
          </w:p>
        </w:tc>
        <w:tc>
          <w:tcPr>
            <w:tcW w:w="1768"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Summer</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-0.15</w:t>
            </w:r>
            <w:r>
              <w:rPr>
                <w:rFonts w:ascii="Bell MT" w:hAnsi="Bell MT" w:cs="Times New Roman"/>
                <w:sz w:val="20"/>
                <w:szCs w:val="20"/>
              </w:rPr>
              <w:t>3</w:t>
            </w:r>
          </w:p>
        </w:tc>
        <w:tc>
          <w:tcPr>
            <w:tcW w:w="771"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56</w:t>
            </w:r>
          </w:p>
        </w:tc>
        <w:tc>
          <w:tcPr>
            <w:tcW w:w="76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-0.15</w:t>
            </w:r>
            <w:r>
              <w:rPr>
                <w:rFonts w:ascii="Bell MT" w:hAnsi="Bell MT" w:cs="Times New Roman"/>
                <w:sz w:val="20"/>
                <w:szCs w:val="20"/>
              </w:rPr>
              <w:t>0</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39</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42</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36</w:t>
            </w:r>
          </w:p>
        </w:tc>
      </w:tr>
      <w:tr w:rsidR="00940F93" w:rsidRPr="00227985" w:rsidTr="00663E9F">
        <w:trPr>
          <w:trHeight w:val="456"/>
          <w:jc w:val="center"/>
        </w:trPr>
        <w:tc>
          <w:tcPr>
            <w:tcW w:w="1552" w:type="dxa"/>
            <w:gridSpan w:val="2"/>
            <w:vMerge/>
          </w:tcPr>
          <w:p w:rsidR="00940F93" w:rsidRPr="00227985" w:rsidRDefault="00940F93" w:rsidP="00663E9F">
            <w:pPr>
              <w:spacing w:line="480" w:lineRule="auto"/>
              <w:jc w:val="right"/>
              <w:rPr>
                <w:rFonts w:ascii="Bell MT" w:hAnsi="Bell MT" w:cs="Times New Roman"/>
                <w:b/>
                <w:sz w:val="20"/>
                <w:szCs w:val="20"/>
              </w:rPr>
            </w:pPr>
          </w:p>
        </w:tc>
        <w:tc>
          <w:tcPr>
            <w:tcW w:w="1768"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Autumn</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-0.13</w:t>
            </w:r>
            <w:r>
              <w:rPr>
                <w:rFonts w:ascii="Bell MT" w:hAnsi="Bell MT" w:cs="Times New Roman"/>
                <w:sz w:val="20"/>
                <w:szCs w:val="20"/>
              </w:rPr>
              <w:t>2</w:t>
            </w:r>
          </w:p>
        </w:tc>
        <w:tc>
          <w:tcPr>
            <w:tcW w:w="771"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-0.13</w:t>
            </w:r>
            <w:r>
              <w:rPr>
                <w:rFonts w:ascii="Bell MT" w:hAnsi="Bell MT" w:cs="Times New Roman"/>
                <w:sz w:val="20"/>
                <w:szCs w:val="20"/>
              </w:rPr>
              <w:t>5</w:t>
            </w:r>
          </w:p>
        </w:tc>
        <w:tc>
          <w:tcPr>
            <w:tcW w:w="76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29</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19</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21</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16</w:t>
            </w:r>
          </w:p>
        </w:tc>
      </w:tr>
      <w:tr w:rsidR="00940F93" w:rsidRPr="00227985" w:rsidTr="00663E9F">
        <w:trPr>
          <w:trHeight w:val="443"/>
          <w:jc w:val="center"/>
        </w:trPr>
        <w:tc>
          <w:tcPr>
            <w:tcW w:w="1552" w:type="dxa"/>
            <w:gridSpan w:val="2"/>
            <w:vMerge w:val="restart"/>
          </w:tcPr>
          <w:p w:rsidR="00940F93" w:rsidRPr="00227985" w:rsidRDefault="00940F93" w:rsidP="00663E9F">
            <w:pPr>
              <w:spacing w:line="480" w:lineRule="auto"/>
              <w:jc w:val="right"/>
              <w:rPr>
                <w:rFonts w:ascii="Bell MT" w:hAnsi="Bell MT" w:cs="Times New Roman"/>
                <w:b/>
                <w:sz w:val="20"/>
                <w:szCs w:val="20"/>
              </w:rPr>
            </w:pPr>
            <w:r>
              <w:rPr>
                <w:rFonts w:ascii="Bell MT" w:hAnsi="Bell MT" w:cs="Times New Roman"/>
                <w:b/>
                <w:sz w:val="20"/>
                <w:szCs w:val="20"/>
              </w:rPr>
              <w:t>Comorbidities</w:t>
            </w:r>
          </w:p>
        </w:tc>
        <w:tc>
          <w:tcPr>
            <w:tcW w:w="1768" w:type="dxa"/>
          </w:tcPr>
          <w:p w:rsidR="00940F93" w:rsidRPr="00227985" w:rsidRDefault="00940F93" w:rsidP="00663E9F">
            <w:pPr>
              <w:spacing w:line="276" w:lineRule="auto"/>
              <w:jc w:val="right"/>
              <w:rPr>
                <w:rFonts w:ascii="Bell MT" w:hAnsi="Bell MT" w:cs="Times New Roman"/>
                <w:b/>
                <w:sz w:val="20"/>
                <w:szCs w:val="20"/>
              </w:rPr>
            </w:pPr>
            <w:r>
              <w:rPr>
                <w:rFonts w:ascii="Bell MT" w:hAnsi="Bell MT" w:cs="Times New Roman"/>
                <w:b/>
                <w:sz w:val="20"/>
                <w:szCs w:val="20"/>
              </w:rPr>
              <w:t>Respiratory disease</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21</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18</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24</w:t>
            </w:r>
          </w:p>
        </w:tc>
      </w:tr>
      <w:tr w:rsidR="00940F93" w:rsidRPr="00227985" w:rsidTr="00663E9F">
        <w:trPr>
          <w:trHeight w:val="443"/>
          <w:jc w:val="center"/>
        </w:trPr>
        <w:tc>
          <w:tcPr>
            <w:tcW w:w="1552" w:type="dxa"/>
            <w:gridSpan w:val="2"/>
            <w:vMerge/>
          </w:tcPr>
          <w:p w:rsidR="00940F93" w:rsidRPr="00227985" w:rsidRDefault="00940F93" w:rsidP="00663E9F">
            <w:pPr>
              <w:spacing w:line="480" w:lineRule="auto"/>
              <w:jc w:val="right"/>
              <w:rPr>
                <w:rFonts w:ascii="Bell MT" w:hAnsi="Bell MT" w:cs="Times New Roman"/>
                <w:b/>
                <w:sz w:val="20"/>
                <w:szCs w:val="20"/>
              </w:rPr>
            </w:pPr>
          </w:p>
        </w:tc>
        <w:tc>
          <w:tcPr>
            <w:tcW w:w="1768" w:type="dxa"/>
          </w:tcPr>
          <w:p w:rsidR="00940F93" w:rsidRPr="00227985" w:rsidRDefault="00940F93" w:rsidP="00663E9F">
            <w:pPr>
              <w:spacing w:line="276" w:lineRule="auto"/>
              <w:jc w:val="right"/>
              <w:rPr>
                <w:rFonts w:ascii="Bell MT" w:hAnsi="Bell MT" w:cs="Times New Roman"/>
                <w:b/>
                <w:sz w:val="20"/>
                <w:szCs w:val="20"/>
              </w:rPr>
            </w:pPr>
            <w:r>
              <w:rPr>
                <w:rFonts w:ascii="Bell MT" w:hAnsi="Bell MT" w:cs="Times New Roman"/>
                <w:b/>
                <w:sz w:val="20"/>
                <w:szCs w:val="20"/>
              </w:rPr>
              <w:t>Diabetes prevalence %</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0.02</w:t>
            </w:r>
            <w:r>
              <w:rPr>
                <w:rFonts w:ascii="Bell MT" w:hAnsi="Bell MT" w:cs="Times New Roman"/>
                <w:sz w:val="20"/>
                <w:szCs w:val="20"/>
              </w:rPr>
              <w:t>8</w:t>
            </w:r>
          </w:p>
        </w:tc>
        <w:tc>
          <w:tcPr>
            <w:tcW w:w="884"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0.02</w:t>
            </w:r>
            <w:r>
              <w:rPr>
                <w:rFonts w:ascii="Bell MT" w:hAnsi="Bell MT" w:cs="Times New Roman"/>
                <w:sz w:val="20"/>
                <w:szCs w:val="20"/>
              </w:rPr>
              <w:t>6</w:t>
            </w:r>
          </w:p>
        </w:tc>
        <w:tc>
          <w:tcPr>
            <w:tcW w:w="91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30</w:t>
            </w:r>
          </w:p>
        </w:tc>
      </w:tr>
      <w:tr w:rsidR="00940F93" w:rsidRPr="00227985" w:rsidTr="00663E9F">
        <w:trPr>
          <w:trHeight w:val="443"/>
          <w:jc w:val="center"/>
        </w:trPr>
        <w:tc>
          <w:tcPr>
            <w:tcW w:w="3320" w:type="dxa"/>
            <w:gridSpan w:val="3"/>
          </w:tcPr>
          <w:p w:rsidR="00940F93" w:rsidRPr="00227985" w:rsidRDefault="00940F93" w:rsidP="00663E9F">
            <w:pPr>
              <w:spacing w:line="276" w:lineRule="auto"/>
              <w:jc w:val="right"/>
              <w:rPr>
                <w:rFonts w:ascii="Bell MT" w:hAnsi="Bell MT" w:cs="Times New Roman"/>
                <w:b/>
                <w:sz w:val="20"/>
                <w:szCs w:val="20"/>
              </w:rPr>
            </w:pPr>
            <w:r w:rsidRPr="00227985">
              <w:rPr>
                <w:rFonts w:ascii="Bell MT" w:hAnsi="Bell MT" w:cs="Times New Roman"/>
                <w:b/>
                <w:sz w:val="20"/>
                <w:szCs w:val="20"/>
              </w:rPr>
              <w:t>Benzodiazepine anxiolytics</w:t>
            </w:r>
            <w:r>
              <w:rPr>
                <w:rFonts w:ascii="Bell MT" w:hAnsi="Bell MT" w:cs="Times New Roman"/>
                <w:b/>
                <w:sz w:val="20"/>
                <w:szCs w:val="20"/>
              </w:rPr>
              <w:t xml:space="preserve"> prescription</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0.123</w:t>
            </w:r>
          </w:p>
        </w:tc>
        <w:tc>
          <w:tcPr>
            <w:tcW w:w="884"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0.118</w:t>
            </w:r>
          </w:p>
        </w:tc>
        <w:tc>
          <w:tcPr>
            <w:tcW w:w="91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0.127</w:t>
            </w:r>
          </w:p>
        </w:tc>
      </w:tr>
      <w:tr w:rsidR="00940F93" w:rsidRPr="00227985" w:rsidTr="00663E9F">
        <w:trPr>
          <w:trHeight w:val="443"/>
          <w:jc w:val="center"/>
        </w:trPr>
        <w:tc>
          <w:tcPr>
            <w:tcW w:w="3320" w:type="dxa"/>
            <w:gridSpan w:val="3"/>
          </w:tcPr>
          <w:p w:rsidR="00940F93" w:rsidRPr="00227985" w:rsidRDefault="00940F93" w:rsidP="00663E9F">
            <w:pPr>
              <w:spacing w:line="276" w:lineRule="auto"/>
              <w:jc w:val="right"/>
              <w:rPr>
                <w:rFonts w:ascii="Bell MT" w:hAnsi="Bell MT" w:cs="Times New Roman"/>
                <w:b/>
                <w:sz w:val="20"/>
                <w:szCs w:val="20"/>
              </w:rPr>
            </w:pPr>
            <w:r w:rsidRPr="00227985">
              <w:rPr>
                <w:rFonts w:ascii="Bell MT" w:hAnsi="Bell MT" w:cs="Times New Roman"/>
                <w:b/>
                <w:sz w:val="20"/>
                <w:szCs w:val="20"/>
              </w:rPr>
              <w:t>Benzodiazepine hypnotics</w:t>
            </w:r>
            <w:r>
              <w:rPr>
                <w:rFonts w:ascii="Bell MT" w:hAnsi="Bell MT" w:cs="Times New Roman"/>
                <w:b/>
                <w:sz w:val="20"/>
                <w:szCs w:val="20"/>
              </w:rPr>
              <w:t xml:space="preserve"> prescription</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0.160</w:t>
            </w:r>
          </w:p>
        </w:tc>
        <w:tc>
          <w:tcPr>
            <w:tcW w:w="884"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0.157</w:t>
            </w:r>
          </w:p>
        </w:tc>
        <w:tc>
          <w:tcPr>
            <w:tcW w:w="91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0.164</w:t>
            </w:r>
          </w:p>
        </w:tc>
      </w:tr>
      <w:tr w:rsidR="00940F93" w:rsidRPr="00227985" w:rsidTr="00663E9F">
        <w:trPr>
          <w:trHeight w:val="443"/>
          <w:jc w:val="center"/>
        </w:trPr>
        <w:tc>
          <w:tcPr>
            <w:tcW w:w="1439" w:type="dxa"/>
            <w:vMerge w:val="restart"/>
          </w:tcPr>
          <w:p w:rsidR="00940F93" w:rsidRDefault="00940F93" w:rsidP="00663E9F">
            <w:pPr>
              <w:spacing w:line="276" w:lineRule="auto"/>
              <w:jc w:val="right"/>
              <w:rPr>
                <w:rFonts w:ascii="Bell MT" w:hAnsi="Bell MT" w:cs="Times New Roman"/>
                <w:b/>
                <w:sz w:val="20"/>
                <w:szCs w:val="20"/>
              </w:rPr>
            </w:pPr>
          </w:p>
          <w:p w:rsidR="00940F93" w:rsidRDefault="00940F93" w:rsidP="00663E9F">
            <w:pPr>
              <w:spacing w:line="276" w:lineRule="auto"/>
              <w:jc w:val="right"/>
              <w:rPr>
                <w:rFonts w:ascii="Bell MT" w:hAnsi="Bell MT" w:cs="Times New Roman"/>
                <w:b/>
                <w:sz w:val="20"/>
                <w:szCs w:val="20"/>
              </w:rPr>
            </w:pPr>
            <w:r w:rsidRPr="00227985">
              <w:rPr>
                <w:rFonts w:ascii="Bell MT" w:hAnsi="Bell MT" w:cs="Times New Roman"/>
                <w:b/>
                <w:sz w:val="20"/>
                <w:szCs w:val="20"/>
              </w:rPr>
              <w:t xml:space="preserve">GP head </w:t>
            </w:r>
            <w:r w:rsidRPr="00DA488D">
              <w:rPr>
                <w:rFonts w:ascii="Bell MT" w:hAnsi="Bell MT" w:cs="Times New Roman"/>
                <w:b/>
                <w:sz w:val="20"/>
                <w:szCs w:val="20"/>
              </w:rPr>
              <w:t>count</w:t>
            </w:r>
            <w:r>
              <w:rPr>
                <w:rFonts w:ascii="Bell MT" w:hAnsi="Bell MT" w:cs="Times New Roman"/>
                <w:b/>
                <w:sz w:val="20"/>
                <w:szCs w:val="20"/>
              </w:rPr>
              <w:t xml:space="preserve"> (GPHC) </w:t>
            </w:r>
            <w:r w:rsidRPr="00C846DF">
              <w:rPr>
                <w:rFonts w:ascii="Bell MT" w:hAnsi="Bell MT" w:cs="Times New Roman"/>
                <w:b/>
                <w:sz w:val="20"/>
                <w:szCs w:val="20"/>
              </w:rPr>
              <w:t>per 10,000 patients</w:t>
            </w:r>
            <w:r w:rsidRPr="00DA488D">
              <w:rPr>
                <w:rFonts w:ascii="Bell MT" w:hAnsi="Bell MT" w:cs="Times New Roman"/>
                <w:b/>
                <w:sz w:val="20"/>
                <w:szCs w:val="20"/>
              </w:rPr>
              <w:t xml:space="preserve"> </w:t>
            </w:r>
          </w:p>
          <w:p w:rsidR="00940F93" w:rsidRPr="00227985" w:rsidRDefault="00940F93" w:rsidP="00663E9F">
            <w:pPr>
              <w:spacing w:line="276" w:lineRule="auto"/>
              <w:jc w:val="right"/>
              <w:rPr>
                <w:rFonts w:ascii="Bell MT" w:hAnsi="Bell MT" w:cs="Times New Roman"/>
                <w:b/>
                <w:sz w:val="20"/>
                <w:szCs w:val="20"/>
              </w:rPr>
            </w:pPr>
            <w:r w:rsidRPr="00DA488D">
              <w:rPr>
                <w:rFonts w:ascii="Bell MT" w:hAnsi="Bell MT" w:cs="Times New Roman"/>
                <w:sz w:val="20"/>
                <w:szCs w:val="20"/>
              </w:rPr>
              <w:t xml:space="preserve">(spline </w:t>
            </w:r>
            <w:r>
              <w:rPr>
                <w:rFonts w:ascii="Bell MT" w:hAnsi="Bell MT" w:cs="Times New Roman"/>
                <w:sz w:val="20"/>
                <w:szCs w:val="20"/>
              </w:rPr>
              <w:t>term</w:t>
            </w:r>
            <w:r w:rsidRPr="00DA488D">
              <w:rPr>
                <w:rFonts w:ascii="Bell MT" w:hAnsi="Bell MT" w:cs="Times New Roman"/>
                <w:sz w:val="20"/>
                <w:szCs w:val="20"/>
              </w:rPr>
              <w:t>s)</w:t>
            </w:r>
          </w:p>
        </w:tc>
        <w:tc>
          <w:tcPr>
            <w:tcW w:w="1881" w:type="dxa"/>
            <w:gridSpan w:val="2"/>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GPHC1 (</w:t>
            </w:r>
            <w:r w:rsidRPr="004D1528">
              <w:rPr>
                <w:rFonts w:ascii="Bell MT" w:hAnsi="Bell MT" w:cs="Times New Roman"/>
                <w:b/>
                <w:sz w:val="20"/>
                <w:szCs w:val="20"/>
              </w:rPr>
              <w:t>&lt; 4.91</w:t>
            </w:r>
            <w:r>
              <w:rPr>
                <w:rFonts w:ascii="Bell MT" w:hAnsi="Bell MT" w:cs="Times New Roman"/>
                <w:b/>
                <w:sz w:val="20"/>
                <w:szCs w:val="20"/>
              </w:rPr>
              <w:t>)</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0.013</w:t>
            </w:r>
          </w:p>
        </w:tc>
        <w:tc>
          <w:tcPr>
            <w:tcW w:w="884"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0.011</w:t>
            </w:r>
          </w:p>
        </w:tc>
        <w:tc>
          <w:tcPr>
            <w:tcW w:w="91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0.015</w:t>
            </w:r>
          </w:p>
        </w:tc>
      </w:tr>
      <w:tr w:rsidR="00940F93" w:rsidRPr="00227985" w:rsidTr="00663E9F">
        <w:trPr>
          <w:trHeight w:val="443"/>
          <w:jc w:val="center"/>
        </w:trPr>
        <w:tc>
          <w:tcPr>
            <w:tcW w:w="1439" w:type="dxa"/>
            <w:vMerge/>
          </w:tcPr>
          <w:p w:rsidR="00940F93" w:rsidRPr="00227985" w:rsidRDefault="00940F93" w:rsidP="00663E9F">
            <w:pPr>
              <w:spacing w:line="480" w:lineRule="auto"/>
              <w:jc w:val="right"/>
              <w:rPr>
                <w:rFonts w:ascii="Bell MT" w:hAnsi="Bell MT" w:cs="Times New Roman"/>
                <w:b/>
                <w:sz w:val="20"/>
                <w:szCs w:val="20"/>
              </w:rPr>
            </w:pPr>
          </w:p>
        </w:tc>
        <w:tc>
          <w:tcPr>
            <w:tcW w:w="1881" w:type="dxa"/>
            <w:gridSpan w:val="2"/>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GPHC2 (&gt;</w:t>
            </w:r>
            <w:r w:rsidRPr="004D1528">
              <w:rPr>
                <w:rFonts w:ascii="Bell MT" w:hAnsi="Bell MT" w:cs="Times New Roman"/>
                <w:b/>
                <w:sz w:val="20"/>
                <w:szCs w:val="20"/>
              </w:rPr>
              <w:t xml:space="preserve"> 4.91</w:t>
            </w:r>
            <w:r>
              <w:t xml:space="preserve"> </w:t>
            </w:r>
            <w:r>
              <w:rPr>
                <w:rFonts w:ascii="Bell MT" w:hAnsi="Bell MT" w:cs="Times New Roman"/>
                <w:b/>
                <w:sz w:val="20"/>
                <w:szCs w:val="20"/>
              </w:rPr>
              <w:t>but &lt;9.81)</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-0.008</w:t>
            </w:r>
          </w:p>
        </w:tc>
        <w:tc>
          <w:tcPr>
            <w:tcW w:w="884"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-0.010</w:t>
            </w:r>
          </w:p>
        </w:tc>
        <w:tc>
          <w:tcPr>
            <w:tcW w:w="91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-0.006</w:t>
            </w:r>
          </w:p>
        </w:tc>
      </w:tr>
      <w:tr w:rsidR="00940F93" w:rsidRPr="00227985" w:rsidTr="00663E9F">
        <w:trPr>
          <w:trHeight w:val="369"/>
          <w:jc w:val="center"/>
        </w:trPr>
        <w:tc>
          <w:tcPr>
            <w:tcW w:w="1439" w:type="dxa"/>
            <w:vMerge/>
          </w:tcPr>
          <w:p w:rsidR="00940F93" w:rsidRPr="00227985" w:rsidRDefault="00940F93" w:rsidP="00663E9F">
            <w:pPr>
              <w:spacing w:line="480" w:lineRule="auto"/>
              <w:jc w:val="right"/>
              <w:rPr>
                <w:rFonts w:ascii="Bell MT" w:hAnsi="Bell MT" w:cs="Times New Roman"/>
                <w:b/>
                <w:sz w:val="20"/>
                <w:szCs w:val="20"/>
              </w:rPr>
            </w:pPr>
          </w:p>
        </w:tc>
        <w:tc>
          <w:tcPr>
            <w:tcW w:w="1881" w:type="dxa"/>
            <w:gridSpan w:val="2"/>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GPHC3 (</w:t>
            </w:r>
            <w:r w:rsidRPr="00C846DF">
              <w:rPr>
                <w:rFonts w:ascii="Bell MT" w:hAnsi="Bell MT" w:cs="Times New Roman"/>
                <w:b/>
                <w:sz w:val="20"/>
                <w:szCs w:val="20"/>
              </w:rPr>
              <w:t xml:space="preserve">&gt;9.81 </w:t>
            </w:r>
            <w:r>
              <w:rPr>
                <w:rFonts w:ascii="Bell MT" w:hAnsi="Bell MT" w:cs="Times New Roman"/>
                <w:b/>
                <w:sz w:val="20"/>
                <w:szCs w:val="20"/>
              </w:rPr>
              <w:t>but</w:t>
            </w:r>
            <w:r w:rsidRPr="00C846DF">
              <w:rPr>
                <w:rFonts w:ascii="Bell MT" w:hAnsi="Bell MT" w:cs="Times New Roman"/>
                <w:b/>
                <w:sz w:val="20"/>
                <w:szCs w:val="20"/>
              </w:rPr>
              <w:t xml:space="preserve"> &lt;14.72</w:t>
            </w:r>
            <w:r>
              <w:rPr>
                <w:rFonts w:ascii="Bell MT" w:hAnsi="Bell MT" w:cs="Times New Roman"/>
                <w:b/>
                <w:sz w:val="20"/>
                <w:szCs w:val="20"/>
              </w:rPr>
              <w:t>)</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0.07</w:t>
            </w:r>
          </w:p>
        </w:tc>
        <w:tc>
          <w:tcPr>
            <w:tcW w:w="884"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0.002</w:t>
            </w:r>
          </w:p>
        </w:tc>
        <w:tc>
          <w:tcPr>
            <w:tcW w:w="91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0.011</w:t>
            </w:r>
          </w:p>
        </w:tc>
      </w:tr>
      <w:tr w:rsidR="00940F93" w:rsidRPr="00227985" w:rsidTr="00663E9F">
        <w:trPr>
          <w:trHeight w:val="346"/>
          <w:jc w:val="center"/>
        </w:trPr>
        <w:tc>
          <w:tcPr>
            <w:tcW w:w="1439" w:type="dxa"/>
            <w:vMerge/>
          </w:tcPr>
          <w:p w:rsidR="00940F93" w:rsidRPr="00227985" w:rsidRDefault="00940F93" w:rsidP="00663E9F">
            <w:pPr>
              <w:spacing w:line="480" w:lineRule="auto"/>
              <w:jc w:val="right"/>
              <w:rPr>
                <w:rFonts w:ascii="Bell MT" w:hAnsi="Bell MT" w:cs="Times New Roman"/>
                <w:b/>
                <w:sz w:val="20"/>
                <w:szCs w:val="20"/>
              </w:rPr>
            </w:pPr>
          </w:p>
        </w:tc>
        <w:tc>
          <w:tcPr>
            <w:tcW w:w="1881" w:type="dxa"/>
            <w:gridSpan w:val="2"/>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GPHC4 (</w:t>
            </w:r>
            <w:r w:rsidRPr="00C846DF">
              <w:rPr>
                <w:rFonts w:ascii="Bell MT" w:hAnsi="Bell MT" w:cs="Times New Roman"/>
                <w:b/>
                <w:sz w:val="20"/>
                <w:szCs w:val="20"/>
              </w:rPr>
              <w:t>&gt;14.972</w:t>
            </w:r>
            <w:r>
              <w:rPr>
                <w:rFonts w:ascii="Bell MT" w:hAnsi="Bell MT" w:cs="Times New Roman"/>
                <w:b/>
                <w:sz w:val="20"/>
                <w:szCs w:val="20"/>
              </w:rPr>
              <w:t>)</w:t>
            </w:r>
            <w:r w:rsidRPr="00FB7AFA">
              <w:rPr>
                <w:rFonts w:ascii="Bell MT" w:hAnsi="Bell MT" w:cs="Times New Roman"/>
                <w:b/>
                <w:sz w:val="20"/>
                <w:szCs w:val="20"/>
              </w:rPr>
              <w:t xml:space="preserve"> </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71"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76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-0.006</w:t>
            </w:r>
          </w:p>
        </w:tc>
        <w:tc>
          <w:tcPr>
            <w:tcW w:w="884"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-0.021</w:t>
            </w:r>
          </w:p>
        </w:tc>
        <w:tc>
          <w:tcPr>
            <w:tcW w:w="91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0.008</w:t>
            </w:r>
          </w:p>
        </w:tc>
      </w:tr>
      <w:tr w:rsidR="00940F93" w:rsidRPr="00227985" w:rsidTr="00663E9F">
        <w:trPr>
          <w:trHeight w:val="346"/>
          <w:jc w:val="center"/>
        </w:trPr>
        <w:tc>
          <w:tcPr>
            <w:tcW w:w="9016" w:type="dxa"/>
            <w:gridSpan w:val="9"/>
          </w:tcPr>
          <w:p w:rsidR="00940F93" w:rsidRDefault="00940F93" w:rsidP="00663E9F">
            <w:pPr>
              <w:spacing w:line="360" w:lineRule="auto"/>
              <w:jc w:val="both"/>
              <w:rPr>
                <w:rFonts w:ascii="Bell MT" w:hAnsi="Bell MT" w:cs="Times New Roman"/>
                <w:sz w:val="20"/>
                <w:szCs w:val="20"/>
              </w:rPr>
            </w:pPr>
            <w:r w:rsidRPr="006D0943">
              <w:rPr>
                <w:rFonts w:ascii="Times New Roman" w:hAnsi="Times New Roman" w:cs="Times New Roman"/>
                <w:i/>
                <w:sz w:val="24"/>
                <w:szCs w:val="24"/>
              </w:rPr>
              <w:t xml:space="preserve">Note: effects of GP headcount </w:t>
            </w:r>
            <w:r>
              <w:rPr>
                <w:rFonts w:ascii="Times New Roman" w:hAnsi="Times New Roman" w:cs="Times New Roman"/>
                <w:i/>
                <w:sz w:val="24"/>
                <w:szCs w:val="24"/>
              </w:rPr>
              <w:t xml:space="preserve">(GPHC) are </w:t>
            </w:r>
            <w:r w:rsidRPr="006D0943">
              <w:rPr>
                <w:rFonts w:ascii="Times New Roman" w:hAnsi="Times New Roman" w:cs="Times New Roman"/>
                <w:i/>
                <w:sz w:val="24"/>
                <w:szCs w:val="24"/>
              </w:rPr>
              <w:t>per</w:t>
            </w:r>
            <w:r>
              <w:rPr>
                <w:rFonts w:ascii="Times New Roman" w:hAnsi="Times New Roman" w:cs="Times New Roman"/>
                <w:i/>
                <w:sz w:val="24"/>
                <w:szCs w:val="24"/>
              </w:rPr>
              <w:t xml:space="preserve"> </w:t>
            </w:r>
            <w:r w:rsidRPr="006D0943">
              <w:rPr>
                <w:rFonts w:ascii="Times New Roman" w:hAnsi="Times New Roman" w:cs="Times New Roman"/>
                <w:i/>
                <w:sz w:val="24"/>
                <w:szCs w:val="24"/>
              </w:rPr>
              <w:t xml:space="preserve">1 </w:t>
            </w:r>
            <w:r>
              <w:rPr>
                <w:rFonts w:ascii="Times New Roman" w:hAnsi="Times New Roman" w:cs="Times New Roman"/>
                <w:i/>
                <w:sz w:val="24"/>
                <w:szCs w:val="24"/>
              </w:rPr>
              <w:t>increase</w:t>
            </w:r>
            <w:r w:rsidRPr="006D0943">
              <w:rPr>
                <w:rFonts w:ascii="Times New Roman" w:hAnsi="Times New Roman" w:cs="Times New Roman"/>
                <w:i/>
                <w:sz w:val="24"/>
                <w:szCs w:val="24"/>
              </w:rPr>
              <w:t xml:space="preserve"> </w:t>
            </w:r>
            <w:r>
              <w:rPr>
                <w:rFonts w:ascii="Times New Roman" w:hAnsi="Times New Roman" w:cs="Times New Roman"/>
                <w:i/>
                <w:sz w:val="24"/>
                <w:szCs w:val="24"/>
              </w:rPr>
              <w:t xml:space="preserve">in GP number </w:t>
            </w:r>
            <w:r w:rsidRPr="006D0943">
              <w:rPr>
                <w:rFonts w:ascii="Times New Roman" w:hAnsi="Times New Roman" w:cs="Times New Roman"/>
                <w:i/>
                <w:sz w:val="24"/>
                <w:szCs w:val="24"/>
              </w:rPr>
              <w:t xml:space="preserve">per 10,000 patients within each </w:t>
            </w:r>
            <w:r>
              <w:rPr>
                <w:rFonts w:ascii="Times New Roman" w:hAnsi="Times New Roman" w:cs="Times New Roman"/>
                <w:i/>
                <w:sz w:val="24"/>
                <w:szCs w:val="24"/>
              </w:rPr>
              <w:t>spline term</w:t>
            </w:r>
          </w:p>
        </w:tc>
      </w:tr>
    </w:tbl>
    <w:p w:rsidR="00940F93" w:rsidRPr="00470628" w:rsidRDefault="00940F93" w:rsidP="00940F93"/>
    <w:p w:rsidR="00676D27" w:rsidRPr="00D279FF" w:rsidRDefault="00676D27" w:rsidP="00676D27">
      <w:pPr>
        <w:spacing w:line="360" w:lineRule="auto"/>
        <w:jc w:val="both"/>
        <w:rPr>
          <w:rFonts w:ascii="Times New Roman" w:hAnsi="Times New Roman" w:cs="Times New Roman"/>
          <w:b/>
          <w:color w:val="000000" w:themeColor="text1"/>
          <w:sz w:val="24"/>
          <w:szCs w:val="24"/>
        </w:rPr>
      </w:pPr>
      <w:bookmarkStart w:id="10" w:name="_GoBack"/>
      <w:bookmarkEnd w:id="10"/>
      <w:r w:rsidRPr="00D279FF">
        <w:rPr>
          <w:rFonts w:ascii="Times New Roman" w:hAnsi="Times New Roman" w:cs="Times New Roman"/>
          <w:b/>
          <w:color w:val="000000" w:themeColor="text1"/>
          <w:sz w:val="24"/>
          <w:szCs w:val="24"/>
        </w:rPr>
        <w:t xml:space="preserve">Subgroup analysis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With the subgroup analyses, we examined whether the effect of the QP on antibiotic prescribing </w:t>
      </w:r>
      <w:r w:rsidRPr="00D279FF">
        <w:rPr>
          <w:rFonts w:ascii="Times New Roman" w:hAnsi="Times New Roman" w:cs="Times New Roman"/>
          <w:noProof/>
          <w:color w:val="000000" w:themeColor="text1"/>
          <w:sz w:val="24"/>
          <w:szCs w:val="24"/>
        </w:rPr>
        <w:t xml:space="preserve">was greater </w:t>
      </w:r>
      <w:r w:rsidRPr="00D279FF">
        <w:rPr>
          <w:rFonts w:ascii="Times New Roman" w:hAnsi="Times New Roman" w:cs="Times New Roman"/>
          <w:color w:val="000000" w:themeColor="text1"/>
          <w:sz w:val="24"/>
          <w:szCs w:val="24"/>
        </w:rPr>
        <w:t xml:space="preserve">within </w:t>
      </w:r>
      <w:r w:rsidRPr="00D279FF">
        <w:rPr>
          <w:rFonts w:ascii="Times New Roman" w:hAnsi="Times New Roman" w:cs="Times New Roman"/>
          <w:noProof/>
          <w:color w:val="000000" w:themeColor="text1"/>
          <w:sz w:val="24"/>
          <w:szCs w:val="24"/>
        </w:rPr>
        <w:t>specific</w:t>
      </w:r>
      <w:r w:rsidRPr="00D279FF">
        <w:rPr>
          <w:rFonts w:ascii="Times New Roman" w:hAnsi="Times New Roman" w:cs="Times New Roman"/>
          <w:color w:val="000000" w:themeColor="text1"/>
          <w:sz w:val="24"/>
          <w:szCs w:val="24"/>
        </w:rPr>
        <w:t xml:space="preserve"> subgroups of practices, such as those that are among the top 20% prescribers, with a more complex patient population in relation to the prevalence of comorbidities, size of workforce, and deprivation index using interaction terms.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We found a differential effect of the QP among top 20% prescribers in 2014/2015. The reduction in antibiotic prescribing following the QP implementation was greater among top 20% prescribers (-0.200 items/STAR-PU for top 20% prescribers; 35.2% reduction from the </w:t>
      </w:r>
      <w:r w:rsidRPr="00D279FF">
        <w:rPr>
          <w:rFonts w:ascii="Times New Roman" w:hAnsi="Times New Roman" w:cs="Times New Roman"/>
          <w:color w:val="000000" w:themeColor="text1"/>
          <w:sz w:val="24"/>
          <w:szCs w:val="24"/>
        </w:rPr>
        <w:lastRenderedPageBreak/>
        <w:t>rate before QP) compared to other practices (-0.116 items/STAR-PU; interaction p&lt;0.001) (table 3).</w:t>
      </w:r>
    </w:p>
    <w:p w:rsidR="00940F93" w:rsidRDefault="00940F93" w:rsidP="00940F93">
      <w:pPr>
        <w:spacing w:line="360" w:lineRule="auto"/>
        <w:rPr>
          <w:rFonts w:ascii="Times New Roman" w:hAnsi="Times New Roman" w:cs="Times New Roman"/>
          <w:i/>
          <w:sz w:val="24"/>
          <w:szCs w:val="24"/>
        </w:rPr>
      </w:pPr>
      <w:r w:rsidRPr="00BA25C6">
        <w:rPr>
          <w:rFonts w:ascii="Times New Roman" w:hAnsi="Times New Roman" w:cs="Times New Roman"/>
          <w:i/>
          <w:sz w:val="24"/>
          <w:szCs w:val="24"/>
        </w:rPr>
        <w:t xml:space="preserve">Table </w:t>
      </w:r>
      <w:r>
        <w:rPr>
          <w:rFonts w:ascii="Times New Roman" w:hAnsi="Times New Roman" w:cs="Times New Roman"/>
          <w:i/>
          <w:sz w:val="24"/>
          <w:szCs w:val="24"/>
        </w:rPr>
        <w:t>3</w:t>
      </w:r>
      <w:r w:rsidRPr="00BA25C6">
        <w:rPr>
          <w:rFonts w:ascii="Times New Roman" w:hAnsi="Times New Roman" w:cs="Times New Roman"/>
          <w:i/>
          <w:sz w:val="24"/>
          <w:szCs w:val="24"/>
        </w:rPr>
        <w:t xml:space="preserve">: </w:t>
      </w:r>
      <w:r>
        <w:rPr>
          <w:rFonts w:ascii="Times New Roman" w:hAnsi="Times New Roman" w:cs="Times New Roman"/>
          <w:i/>
          <w:sz w:val="24"/>
          <w:szCs w:val="24"/>
        </w:rPr>
        <w:t>Subgroup analysis</w:t>
      </w:r>
    </w:p>
    <w:tbl>
      <w:tblPr>
        <w:tblStyle w:val="TableGrid"/>
        <w:tblW w:w="9067" w:type="dxa"/>
        <w:jc w:val="center"/>
        <w:tblLook w:val="04A0" w:firstRow="1" w:lastRow="0" w:firstColumn="1" w:lastColumn="0" w:noHBand="0" w:noVBand="1"/>
      </w:tblPr>
      <w:tblGrid>
        <w:gridCol w:w="1830"/>
        <w:gridCol w:w="3657"/>
        <w:gridCol w:w="1183"/>
        <w:gridCol w:w="1122"/>
        <w:gridCol w:w="1275"/>
      </w:tblGrid>
      <w:tr w:rsidR="00940F93" w:rsidRPr="00227985" w:rsidTr="00663E9F">
        <w:trPr>
          <w:trHeight w:val="396"/>
          <w:jc w:val="center"/>
        </w:trPr>
        <w:tc>
          <w:tcPr>
            <w:tcW w:w="5487" w:type="dxa"/>
            <w:gridSpan w:val="2"/>
            <w:vMerge w:val="restart"/>
          </w:tcPr>
          <w:p w:rsidR="00940F93" w:rsidRPr="00227985" w:rsidRDefault="00940F93" w:rsidP="00663E9F">
            <w:pPr>
              <w:spacing w:line="480" w:lineRule="auto"/>
              <w:jc w:val="both"/>
              <w:rPr>
                <w:rFonts w:ascii="Bell MT" w:hAnsi="Bell MT" w:cs="Times New Roman"/>
                <w:sz w:val="20"/>
                <w:szCs w:val="20"/>
              </w:rPr>
            </w:pPr>
            <w:bookmarkStart w:id="11" w:name="_Hlk18580021"/>
          </w:p>
        </w:tc>
        <w:tc>
          <w:tcPr>
            <w:tcW w:w="1183" w:type="dxa"/>
            <w:vMerge w:val="restart"/>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Coefficient</w:t>
            </w:r>
          </w:p>
        </w:tc>
        <w:tc>
          <w:tcPr>
            <w:tcW w:w="2397" w:type="dxa"/>
            <w:gridSpan w:val="2"/>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95% CI</w:t>
            </w:r>
          </w:p>
        </w:tc>
      </w:tr>
      <w:tr w:rsidR="00940F93" w:rsidRPr="00227985" w:rsidTr="00663E9F">
        <w:trPr>
          <w:trHeight w:val="483"/>
          <w:jc w:val="center"/>
        </w:trPr>
        <w:tc>
          <w:tcPr>
            <w:tcW w:w="5487" w:type="dxa"/>
            <w:gridSpan w:val="2"/>
            <w:vMerge/>
          </w:tcPr>
          <w:p w:rsidR="00940F93" w:rsidRPr="00227985" w:rsidRDefault="00940F93" w:rsidP="00663E9F">
            <w:pPr>
              <w:spacing w:line="480" w:lineRule="auto"/>
              <w:jc w:val="both"/>
              <w:rPr>
                <w:rFonts w:ascii="Bell MT" w:hAnsi="Bell MT" w:cs="Times New Roman"/>
                <w:sz w:val="20"/>
                <w:szCs w:val="20"/>
              </w:rPr>
            </w:pPr>
          </w:p>
        </w:tc>
        <w:tc>
          <w:tcPr>
            <w:tcW w:w="1183" w:type="dxa"/>
            <w:vMerge/>
          </w:tcPr>
          <w:p w:rsidR="00940F93" w:rsidRPr="00227985" w:rsidRDefault="00940F93" w:rsidP="00663E9F">
            <w:pPr>
              <w:spacing w:line="480" w:lineRule="auto"/>
              <w:jc w:val="center"/>
              <w:rPr>
                <w:rFonts w:ascii="Bell MT" w:hAnsi="Bell MT" w:cs="Times New Roman"/>
                <w:b/>
                <w:sz w:val="20"/>
                <w:szCs w:val="20"/>
              </w:rPr>
            </w:pPr>
          </w:p>
        </w:tc>
        <w:tc>
          <w:tcPr>
            <w:tcW w:w="1122" w:type="dxa"/>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Lower</w:t>
            </w:r>
          </w:p>
        </w:tc>
        <w:tc>
          <w:tcPr>
            <w:tcW w:w="1275" w:type="dxa"/>
          </w:tcPr>
          <w:p w:rsidR="00940F93" w:rsidRPr="00227985" w:rsidRDefault="00940F93" w:rsidP="00663E9F">
            <w:pPr>
              <w:spacing w:line="480" w:lineRule="auto"/>
              <w:jc w:val="center"/>
              <w:rPr>
                <w:rFonts w:ascii="Bell MT" w:hAnsi="Bell MT" w:cs="Times New Roman"/>
                <w:b/>
                <w:sz w:val="20"/>
                <w:szCs w:val="20"/>
              </w:rPr>
            </w:pPr>
            <w:r w:rsidRPr="00227985">
              <w:rPr>
                <w:rFonts w:ascii="Bell MT" w:hAnsi="Bell MT" w:cs="Times New Roman"/>
                <w:b/>
                <w:sz w:val="20"/>
                <w:szCs w:val="20"/>
              </w:rPr>
              <w:t>Upper</w:t>
            </w:r>
          </w:p>
        </w:tc>
      </w:tr>
      <w:tr w:rsidR="00940F93" w:rsidRPr="00227985" w:rsidTr="00663E9F">
        <w:trPr>
          <w:trHeight w:val="470"/>
          <w:jc w:val="center"/>
        </w:trPr>
        <w:tc>
          <w:tcPr>
            <w:tcW w:w="5487" w:type="dxa"/>
            <w:gridSpan w:val="2"/>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2015/16 QP</w:t>
            </w:r>
            <w:r>
              <w:rPr>
                <w:rFonts w:ascii="Bell MT" w:hAnsi="Bell MT" w:cs="Times New Roman"/>
                <w:b/>
                <w:sz w:val="20"/>
                <w:szCs w:val="20"/>
              </w:rPr>
              <w:t xml:space="preserve"> in Bottom 80% prescribers </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16</w:t>
            </w:r>
          </w:p>
        </w:tc>
        <w:tc>
          <w:tcPr>
            <w:tcW w:w="112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25</w:t>
            </w:r>
          </w:p>
        </w:tc>
        <w:tc>
          <w:tcPr>
            <w:tcW w:w="1275"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w:t>
            </w:r>
            <w:r>
              <w:rPr>
                <w:rFonts w:ascii="Bell MT" w:hAnsi="Bell MT" w:cs="Times New Roman"/>
                <w:sz w:val="20"/>
                <w:szCs w:val="20"/>
              </w:rPr>
              <w:t>106</w:t>
            </w:r>
          </w:p>
        </w:tc>
      </w:tr>
      <w:tr w:rsidR="00940F93" w:rsidRPr="00227985" w:rsidTr="00663E9F">
        <w:trPr>
          <w:trHeight w:val="470"/>
          <w:jc w:val="center"/>
        </w:trPr>
        <w:tc>
          <w:tcPr>
            <w:tcW w:w="5487" w:type="dxa"/>
            <w:gridSpan w:val="2"/>
          </w:tcPr>
          <w:p w:rsidR="00940F93" w:rsidRPr="00481700" w:rsidRDefault="00940F93" w:rsidP="00663E9F">
            <w:pPr>
              <w:spacing w:line="276" w:lineRule="auto"/>
              <w:jc w:val="right"/>
              <w:rPr>
                <w:rFonts w:ascii="Bell MT" w:hAnsi="Bell MT" w:cs="Times New Roman"/>
                <w:b/>
                <w:sz w:val="20"/>
                <w:szCs w:val="20"/>
              </w:rPr>
            </w:pPr>
            <w:r>
              <w:rPr>
                <w:rFonts w:ascii="Bell MT" w:hAnsi="Bell MT" w:cs="Times New Roman"/>
                <w:b/>
                <w:sz w:val="20"/>
                <w:szCs w:val="20"/>
              </w:rPr>
              <w:t xml:space="preserve">Effect of </w:t>
            </w:r>
            <w:r w:rsidRPr="00227985">
              <w:rPr>
                <w:rFonts w:ascii="Bell MT" w:hAnsi="Bell MT" w:cs="Times New Roman"/>
                <w:b/>
                <w:sz w:val="20"/>
                <w:szCs w:val="20"/>
              </w:rPr>
              <w:t>2015/16 QP</w:t>
            </w:r>
            <w:r>
              <w:rPr>
                <w:rFonts w:ascii="Bell MT" w:hAnsi="Bell MT" w:cs="Times New Roman"/>
                <w:b/>
                <w:sz w:val="20"/>
                <w:szCs w:val="20"/>
              </w:rPr>
              <w:t xml:space="preserve"> in </w:t>
            </w:r>
            <w:r w:rsidRPr="00481700">
              <w:rPr>
                <w:rFonts w:ascii="Bell MT" w:hAnsi="Bell MT" w:cs="Times New Roman"/>
                <w:b/>
                <w:sz w:val="20"/>
                <w:szCs w:val="20"/>
              </w:rPr>
              <w:t>Top 20% prescribers</w:t>
            </w:r>
          </w:p>
          <w:p w:rsidR="00940F93" w:rsidRPr="00227985" w:rsidRDefault="00940F93" w:rsidP="00663E9F">
            <w:pPr>
              <w:spacing w:line="276" w:lineRule="auto"/>
              <w:jc w:val="right"/>
              <w:rPr>
                <w:rFonts w:ascii="Bell MT" w:hAnsi="Bell MT" w:cs="Times New Roman"/>
                <w:b/>
                <w:sz w:val="20"/>
                <w:szCs w:val="20"/>
              </w:rPr>
            </w:pP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-0.200</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-0.210</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-0.187</w:t>
            </w:r>
          </w:p>
        </w:tc>
      </w:tr>
      <w:tr w:rsidR="00940F93" w:rsidRPr="00227985" w:rsidTr="00663E9F">
        <w:trPr>
          <w:trHeight w:val="470"/>
          <w:jc w:val="center"/>
        </w:trPr>
        <w:tc>
          <w:tcPr>
            <w:tcW w:w="5487" w:type="dxa"/>
            <w:gridSpan w:val="2"/>
          </w:tcPr>
          <w:p w:rsidR="00940F93" w:rsidRPr="00227985" w:rsidRDefault="00940F93" w:rsidP="00663E9F">
            <w:pPr>
              <w:spacing w:line="276" w:lineRule="auto"/>
              <w:jc w:val="right"/>
              <w:rPr>
                <w:rFonts w:ascii="Bell MT" w:hAnsi="Bell MT" w:cs="Times New Roman"/>
                <w:b/>
                <w:sz w:val="20"/>
                <w:szCs w:val="20"/>
              </w:rPr>
            </w:pPr>
            <w:r>
              <w:rPr>
                <w:rFonts w:ascii="Bell MT" w:hAnsi="Bell MT" w:cs="Times New Roman"/>
                <w:b/>
                <w:sz w:val="20"/>
                <w:szCs w:val="20"/>
              </w:rPr>
              <w:t>Top 20% prescribers</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0.309</w:t>
            </w:r>
          </w:p>
        </w:tc>
        <w:tc>
          <w:tcPr>
            <w:tcW w:w="112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0.302</w:t>
            </w:r>
          </w:p>
        </w:tc>
        <w:tc>
          <w:tcPr>
            <w:tcW w:w="1275"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0.316</w:t>
            </w:r>
          </w:p>
        </w:tc>
      </w:tr>
      <w:tr w:rsidR="00940F93" w:rsidRPr="00227985" w:rsidTr="00663E9F">
        <w:trPr>
          <w:trHeight w:val="470"/>
          <w:jc w:val="center"/>
        </w:trPr>
        <w:tc>
          <w:tcPr>
            <w:tcW w:w="5487" w:type="dxa"/>
            <w:gridSpan w:val="2"/>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Months since QP</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0.01</w:t>
            </w:r>
            <w:r>
              <w:rPr>
                <w:rFonts w:ascii="Bell MT" w:hAnsi="Bell MT" w:cs="Times New Roman"/>
                <w:sz w:val="20"/>
                <w:szCs w:val="20"/>
              </w:rPr>
              <w:t>3</w:t>
            </w:r>
          </w:p>
        </w:tc>
        <w:tc>
          <w:tcPr>
            <w:tcW w:w="112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13</w:t>
            </w:r>
          </w:p>
        </w:tc>
        <w:tc>
          <w:tcPr>
            <w:tcW w:w="1275"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0.01</w:t>
            </w:r>
            <w:r>
              <w:rPr>
                <w:rFonts w:ascii="Bell MT" w:hAnsi="Bell MT" w:cs="Times New Roman"/>
                <w:sz w:val="20"/>
                <w:szCs w:val="20"/>
              </w:rPr>
              <w:t>4</w:t>
            </w:r>
          </w:p>
        </w:tc>
      </w:tr>
      <w:tr w:rsidR="00940F93" w:rsidRPr="00227985" w:rsidTr="00663E9F">
        <w:trPr>
          <w:trHeight w:val="470"/>
          <w:jc w:val="center"/>
        </w:trPr>
        <w:tc>
          <w:tcPr>
            <w:tcW w:w="1830" w:type="dxa"/>
            <w:vMerge w:val="restart"/>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Season</w:t>
            </w:r>
          </w:p>
        </w:tc>
        <w:tc>
          <w:tcPr>
            <w:tcW w:w="3657"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Winter</w:t>
            </w:r>
            <w:r>
              <w:rPr>
                <w:rFonts w:ascii="Bell MT" w:hAnsi="Bell MT" w:cs="Times New Roman"/>
                <w:b/>
                <w:sz w:val="20"/>
                <w:szCs w:val="20"/>
              </w:rPr>
              <w:t xml:space="preserve"> </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c>
          <w:tcPr>
            <w:tcW w:w="112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c>
          <w:tcPr>
            <w:tcW w:w="1275"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Ref</w:t>
            </w:r>
          </w:p>
        </w:tc>
      </w:tr>
      <w:tr w:rsidR="00940F93" w:rsidRPr="00227985" w:rsidTr="00663E9F">
        <w:trPr>
          <w:trHeight w:val="497"/>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 xml:space="preserve">Spring </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w:t>
            </w:r>
            <w:r>
              <w:rPr>
                <w:rFonts w:ascii="Bell MT" w:hAnsi="Bell MT" w:cs="Times New Roman"/>
                <w:sz w:val="20"/>
                <w:szCs w:val="20"/>
              </w:rPr>
              <w:t>6</w:t>
            </w:r>
          </w:p>
        </w:tc>
        <w:tc>
          <w:tcPr>
            <w:tcW w:w="112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w:t>
            </w:r>
            <w:r>
              <w:rPr>
                <w:rFonts w:ascii="Bell MT" w:hAnsi="Bell MT" w:cs="Times New Roman"/>
                <w:sz w:val="20"/>
                <w:szCs w:val="20"/>
              </w:rPr>
              <w:t>9</w:t>
            </w:r>
          </w:p>
        </w:tc>
        <w:tc>
          <w:tcPr>
            <w:tcW w:w="1275"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-0.04</w:t>
            </w:r>
            <w:r>
              <w:rPr>
                <w:rFonts w:ascii="Bell MT" w:hAnsi="Bell MT" w:cs="Times New Roman"/>
                <w:sz w:val="20"/>
                <w:szCs w:val="20"/>
              </w:rPr>
              <w:t>4</w:t>
            </w:r>
          </w:p>
        </w:tc>
      </w:tr>
      <w:tr w:rsidR="00940F93" w:rsidRPr="00227985" w:rsidTr="00663E9F">
        <w:trPr>
          <w:trHeight w:val="483"/>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Summer</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48</w:t>
            </w:r>
          </w:p>
        </w:tc>
        <w:tc>
          <w:tcPr>
            <w:tcW w:w="112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51</w:t>
            </w:r>
          </w:p>
        </w:tc>
        <w:tc>
          <w:tcPr>
            <w:tcW w:w="1275"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45</w:t>
            </w:r>
          </w:p>
        </w:tc>
      </w:tr>
      <w:tr w:rsidR="00940F93" w:rsidRPr="00227985" w:rsidTr="00663E9F">
        <w:trPr>
          <w:trHeight w:val="483"/>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Pr="00227985" w:rsidRDefault="00940F93" w:rsidP="00663E9F">
            <w:pPr>
              <w:spacing w:line="480" w:lineRule="auto"/>
              <w:jc w:val="right"/>
              <w:rPr>
                <w:rFonts w:ascii="Bell MT" w:hAnsi="Bell MT" w:cs="Times New Roman"/>
                <w:b/>
                <w:sz w:val="20"/>
                <w:szCs w:val="20"/>
              </w:rPr>
            </w:pPr>
            <w:r w:rsidRPr="00227985">
              <w:rPr>
                <w:rFonts w:ascii="Bell MT" w:hAnsi="Bell MT" w:cs="Times New Roman"/>
                <w:b/>
                <w:sz w:val="20"/>
                <w:szCs w:val="20"/>
              </w:rPr>
              <w:t>Autumn</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24</w:t>
            </w:r>
          </w:p>
        </w:tc>
        <w:tc>
          <w:tcPr>
            <w:tcW w:w="112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26</w:t>
            </w:r>
          </w:p>
        </w:tc>
        <w:tc>
          <w:tcPr>
            <w:tcW w:w="1275"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-0.1</w:t>
            </w:r>
            <w:r>
              <w:rPr>
                <w:rFonts w:ascii="Bell MT" w:hAnsi="Bell MT" w:cs="Times New Roman"/>
                <w:sz w:val="20"/>
                <w:szCs w:val="20"/>
              </w:rPr>
              <w:t>21</w:t>
            </w:r>
          </w:p>
        </w:tc>
      </w:tr>
      <w:tr w:rsidR="00940F93" w:rsidRPr="00227985" w:rsidTr="00663E9F">
        <w:trPr>
          <w:trHeight w:val="470"/>
          <w:jc w:val="center"/>
        </w:trPr>
        <w:tc>
          <w:tcPr>
            <w:tcW w:w="1830" w:type="dxa"/>
            <w:vMerge w:val="restart"/>
          </w:tcPr>
          <w:p w:rsidR="00940F93" w:rsidRDefault="00940F93" w:rsidP="00663E9F">
            <w:pPr>
              <w:jc w:val="right"/>
              <w:rPr>
                <w:rFonts w:ascii="Bell MT" w:hAnsi="Bell MT" w:cs="Times New Roman"/>
                <w:b/>
                <w:sz w:val="20"/>
                <w:szCs w:val="20"/>
              </w:rPr>
            </w:pPr>
          </w:p>
          <w:p w:rsidR="00940F93" w:rsidRDefault="00940F93" w:rsidP="00663E9F">
            <w:pPr>
              <w:jc w:val="right"/>
              <w:rPr>
                <w:rFonts w:ascii="Bell MT" w:hAnsi="Bell MT" w:cs="Times New Roman"/>
                <w:b/>
                <w:sz w:val="20"/>
                <w:szCs w:val="20"/>
              </w:rPr>
            </w:pPr>
            <w:r>
              <w:rPr>
                <w:rFonts w:ascii="Bell MT" w:hAnsi="Bell MT" w:cs="Times New Roman"/>
                <w:b/>
                <w:sz w:val="20"/>
                <w:szCs w:val="20"/>
              </w:rPr>
              <w:t>Comorbidities</w:t>
            </w:r>
          </w:p>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Prevalence per 100 patients</w:t>
            </w:r>
          </w:p>
        </w:tc>
        <w:tc>
          <w:tcPr>
            <w:tcW w:w="3657" w:type="dxa"/>
          </w:tcPr>
          <w:p w:rsidR="00940F93" w:rsidRPr="00227985" w:rsidRDefault="00940F93" w:rsidP="00663E9F">
            <w:pPr>
              <w:spacing w:line="276" w:lineRule="auto"/>
              <w:jc w:val="right"/>
              <w:rPr>
                <w:rFonts w:ascii="Bell MT" w:hAnsi="Bell MT" w:cs="Times New Roman"/>
                <w:b/>
                <w:sz w:val="20"/>
                <w:szCs w:val="20"/>
              </w:rPr>
            </w:pPr>
            <w:r>
              <w:rPr>
                <w:rFonts w:ascii="Bell MT" w:hAnsi="Bell MT" w:cs="Times New Roman"/>
                <w:b/>
                <w:sz w:val="20"/>
                <w:szCs w:val="20"/>
              </w:rPr>
              <w:t>Respiratory diseases</w:t>
            </w:r>
          </w:p>
        </w:tc>
        <w:tc>
          <w:tcPr>
            <w:tcW w:w="1183"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13</w:t>
            </w:r>
          </w:p>
        </w:tc>
        <w:tc>
          <w:tcPr>
            <w:tcW w:w="1122"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11</w:t>
            </w:r>
          </w:p>
        </w:tc>
        <w:tc>
          <w:tcPr>
            <w:tcW w:w="1275" w:type="dxa"/>
          </w:tcPr>
          <w:p w:rsidR="00940F93" w:rsidRPr="00227985" w:rsidRDefault="00940F93" w:rsidP="00663E9F">
            <w:pPr>
              <w:spacing w:line="480" w:lineRule="auto"/>
              <w:jc w:val="right"/>
              <w:rPr>
                <w:rFonts w:ascii="Bell MT" w:hAnsi="Bell MT" w:cs="Times New Roman"/>
                <w:sz w:val="20"/>
                <w:szCs w:val="20"/>
              </w:rPr>
            </w:pPr>
            <w:r w:rsidRPr="00227985">
              <w:rPr>
                <w:rFonts w:ascii="Bell MT" w:hAnsi="Bell MT" w:cs="Times New Roman"/>
                <w:sz w:val="20"/>
                <w:szCs w:val="20"/>
              </w:rPr>
              <w:t>0.0</w:t>
            </w:r>
            <w:r>
              <w:rPr>
                <w:rFonts w:ascii="Bell MT" w:hAnsi="Bell MT" w:cs="Times New Roman"/>
                <w:sz w:val="20"/>
                <w:szCs w:val="20"/>
              </w:rPr>
              <w:t>15</w:t>
            </w:r>
          </w:p>
        </w:tc>
      </w:tr>
      <w:tr w:rsidR="00940F93" w:rsidRPr="00227985" w:rsidTr="00663E9F">
        <w:trPr>
          <w:trHeight w:val="470"/>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Pr="00227985" w:rsidRDefault="00940F93" w:rsidP="00663E9F">
            <w:pPr>
              <w:spacing w:line="480" w:lineRule="auto"/>
              <w:jc w:val="right"/>
              <w:rPr>
                <w:rFonts w:ascii="Bell MT" w:hAnsi="Bell MT" w:cs="Times New Roman"/>
                <w:b/>
                <w:sz w:val="20"/>
                <w:szCs w:val="20"/>
              </w:rPr>
            </w:pPr>
            <w:r>
              <w:rPr>
                <w:rFonts w:ascii="Bell MT" w:hAnsi="Bell MT" w:cs="Times New Roman"/>
                <w:b/>
                <w:sz w:val="20"/>
                <w:szCs w:val="20"/>
              </w:rPr>
              <w:t>Diabetes (&lt;3.93%)</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0.097</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0.089</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0.106</w:t>
            </w:r>
          </w:p>
        </w:tc>
      </w:tr>
      <w:tr w:rsidR="00940F93" w:rsidRPr="00227985" w:rsidTr="00663E9F">
        <w:trPr>
          <w:trHeight w:val="470"/>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Default="00940F93" w:rsidP="00663E9F">
            <w:pPr>
              <w:spacing w:line="480" w:lineRule="auto"/>
              <w:jc w:val="right"/>
              <w:rPr>
                <w:rFonts w:ascii="Bell MT" w:hAnsi="Bell MT" w:cs="Times New Roman"/>
                <w:b/>
                <w:sz w:val="20"/>
                <w:szCs w:val="20"/>
              </w:rPr>
            </w:pPr>
            <w:r>
              <w:rPr>
                <w:rFonts w:ascii="Bell MT" w:hAnsi="Bell MT" w:cs="Times New Roman"/>
                <w:b/>
                <w:sz w:val="20"/>
                <w:szCs w:val="20"/>
              </w:rPr>
              <w:t>Diabetes (&gt;3.93% but &lt;7.60%)</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0.015</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0.012</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0.017</w:t>
            </w:r>
          </w:p>
        </w:tc>
      </w:tr>
      <w:tr w:rsidR="00940F93" w:rsidRPr="00227985" w:rsidTr="00663E9F">
        <w:trPr>
          <w:trHeight w:val="470"/>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Default="00940F93" w:rsidP="00663E9F">
            <w:pPr>
              <w:jc w:val="right"/>
              <w:rPr>
                <w:rFonts w:ascii="Bell MT" w:hAnsi="Bell MT" w:cs="Times New Roman"/>
                <w:b/>
                <w:sz w:val="20"/>
                <w:szCs w:val="20"/>
              </w:rPr>
            </w:pPr>
            <w:r>
              <w:rPr>
                <w:rFonts w:ascii="Bell MT" w:hAnsi="Bell MT" w:cs="Times New Roman"/>
                <w:b/>
                <w:sz w:val="20"/>
                <w:szCs w:val="20"/>
              </w:rPr>
              <w:t>Diabetes (&gt;7.60% but &lt;11.28%) before QP</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0.016</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0.012</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0.021</w:t>
            </w:r>
          </w:p>
        </w:tc>
      </w:tr>
      <w:tr w:rsidR="00940F93" w:rsidRPr="00227985" w:rsidTr="00663E9F">
        <w:trPr>
          <w:trHeight w:val="457"/>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Default="00940F93" w:rsidP="00663E9F">
            <w:pPr>
              <w:jc w:val="right"/>
              <w:rPr>
                <w:rFonts w:ascii="Bell MT" w:hAnsi="Bell MT" w:cs="Times New Roman"/>
                <w:b/>
                <w:sz w:val="20"/>
                <w:szCs w:val="20"/>
              </w:rPr>
            </w:pPr>
            <w:r>
              <w:rPr>
                <w:rFonts w:ascii="Bell MT" w:hAnsi="Bell MT" w:cs="Times New Roman"/>
                <w:b/>
                <w:sz w:val="20"/>
                <w:szCs w:val="20"/>
              </w:rPr>
              <w:t>Diabetes (&gt;7.60% but &lt;11.28%) after QP</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0.007</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0.002</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0.011</w:t>
            </w:r>
          </w:p>
        </w:tc>
      </w:tr>
      <w:tr w:rsidR="00940F93" w:rsidRPr="00227985" w:rsidTr="00663E9F">
        <w:trPr>
          <w:trHeight w:val="470"/>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Default="00940F93" w:rsidP="00663E9F">
            <w:pPr>
              <w:spacing w:line="480" w:lineRule="auto"/>
              <w:jc w:val="right"/>
              <w:rPr>
                <w:rFonts w:ascii="Bell MT" w:hAnsi="Bell MT" w:cs="Times New Roman"/>
                <w:b/>
                <w:sz w:val="20"/>
                <w:szCs w:val="20"/>
              </w:rPr>
            </w:pPr>
            <w:r>
              <w:rPr>
                <w:rFonts w:ascii="Bell MT" w:hAnsi="Bell MT" w:cs="Times New Roman"/>
                <w:b/>
                <w:sz w:val="20"/>
                <w:szCs w:val="20"/>
              </w:rPr>
              <w:t>Diabetes (&gt;11.28%)</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0.041</w:t>
            </w:r>
          </w:p>
        </w:tc>
        <w:tc>
          <w:tcPr>
            <w:tcW w:w="112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0.030</w:t>
            </w:r>
          </w:p>
        </w:tc>
        <w:tc>
          <w:tcPr>
            <w:tcW w:w="1275"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0.052</w:t>
            </w:r>
          </w:p>
        </w:tc>
      </w:tr>
      <w:tr w:rsidR="00940F93" w:rsidRPr="00227985" w:rsidTr="00663E9F">
        <w:trPr>
          <w:trHeight w:val="470"/>
          <w:jc w:val="center"/>
        </w:trPr>
        <w:tc>
          <w:tcPr>
            <w:tcW w:w="1830" w:type="dxa"/>
            <w:vMerge w:val="restart"/>
          </w:tcPr>
          <w:p w:rsidR="00940F93" w:rsidRDefault="00940F93" w:rsidP="00663E9F">
            <w:pPr>
              <w:spacing w:line="276" w:lineRule="auto"/>
              <w:jc w:val="right"/>
              <w:rPr>
                <w:rFonts w:ascii="Bell MT" w:hAnsi="Bell MT" w:cs="Times New Roman"/>
                <w:b/>
                <w:sz w:val="20"/>
                <w:szCs w:val="20"/>
              </w:rPr>
            </w:pPr>
            <w:bookmarkStart w:id="12" w:name="_Hlk17899660"/>
          </w:p>
          <w:p w:rsidR="00940F93" w:rsidRDefault="00940F93" w:rsidP="00663E9F">
            <w:pPr>
              <w:spacing w:line="276" w:lineRule="auto"/>
              <w:jc w:val="right"/>
              <w:rPr>
                <w:rFonts w:ascii="Bell MT" w:hAnsi="Bell MT" w:cs="Times New Roman"/>
                <w:b/>
                <w:sz w:val="20"/>
                <w:szCs w:val="20"/>
              </w:rPr>
            </w:pPr>
          </w:p>
          <w:p w:rsidR="00940F93" w:rsidRDefault="00940F93" w:rsidP="00663E9F">
            <w:pPr>
              <w:jc w:val="right"/>
              <w:rPr>
                <w:rFonts w:ascii="Bell MT" w:hAnsi="Bell MT" w:cs="Times New Roman"/>
                <w:b/>
                <w:sz w:val="20"/>
                <w:szCs w:val="20"/>
              </w:rPr>
            </w:pPr>
            <w:r w:rsidRPr="00227985">
              <w:rPr>
                <w:rFonts w:ascii="Bell MT" w:hAnsi="Bell MT" w:cs="Times New Roman"/>
                <w:b/>
                <w:sz w:val="20"/>
                <w:szCs w:val="20"/>
              </w:rPr>
              <w:t>GP head</w:t>
            </w:r>
            <w:r w:rsidRPr="00DA488D">
              <w:rPr>
                <w:rFonts w:ascii="Bell MT" w:hAnsi="Bell MT" w:cs="Times New Roman"/>
                <w:b/>
                <w:sz w:val="20"/>
                <w:szCs w:val="20"/>
              </w:rPr>
              <w:t>count</w:t>
            </w:r>
            <w:r>
              <w:rPr>
                <w:rFonts w:ascii="Bell MT" w:hAnsi="Bell MT" w:cs="Times New Roman"/>
                <w:b/>
                <w:sz w:val="20"/>
                <w:szCs w:val="20"/>
              </w:rPr>
              <w:t xml:space="preserve"> (GPHC) </w:t>
            </w:r>
            <w:r w:rsidRPr="00C846DF">
              <w:rPr>
                <w:rFonts w:ascii="Bell MT" w:hAnsi="Bell MT" w:cs="Times New Roman"/>
                <w:b/>
                <w:sz w:val="20"/>
                <w:szCs w:val="20"/>
              </w:rPr>
              <w:t>per 10,000 patients</w:t>
            </w:r>
            <w:r w:rsidRPr="00DA488D">
              <w:rPr>
                <w:rFonts w:ascii="Bell MT" w:hAnsi="Bell MT" w:cs="Times New Roman"/>
                <w:b/>
                <w:sz w:val="20"/>
                <w:szCs w:val="20"/>
              </w:rPr>
              <w:t xml:space="preserve"> </w:t>
            </w:r>
          </w:p>
          <w:p w:rsidR="00940F93" w:rsidRPr="00227985" w:rsidRDefault="00940F93" w:rsidP="00663E9F">
            <w:pPr>
              <w:jc w:val="right"/>
              <w:rPr>
                <w:rFonts w:ascii="Bell MT" w:hAnsi="Bell MT" w:cs="Times New Roman"/>
                <w:b/>
                <w:sz w:val="20"/>
                <w:szCs w:val="20"/>
              </w:rPr>
            </w:pPr>
            <w:r w:rsidRPr="00DA488D">
              <w:rPr>
                <w:rFonts w:ascii="Bell MT" w:hAnsi="Bell MT" w:cs="Times New Roman"/>
                <w:sz w:val="20"/>
                <w:szCs w:val="20"/>
              </w:rPr>
              <w:t xml:space="preserve">(spline </w:t>
            </w:r>
            <w:r>
              <w:rPr>
                <w:rFonts w:ascii="Bell MT" w:hAnsi="Bell MT" w:cs="Times New Roman"/>
                <w:sz w:val="20"/>
                <w:szCs w:val="20"/>
              </w:rPr>
              <w:t>term</w:t>
            </w:r>
            <w:r w:rsidRPr="00DA488D">
              <w:rPr>
                <w:rFonts w:ascii="Bell MT" w:hAnsi="Bell MT" w:cs="Times New Roman"/>
                <w:sz w:val="20"/>
                <w:szCs w:val="20"/>
              </w:rPr>
              <w:t>s)</w:t>
            </w:r>
          </w:p>
        </w:tc>
        <w:tc>
          <w:tcPr>
            <w:tcW w:w="3657" w:type="dxa"/>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GPHC1 (</w:t>
            </w:r>
            <w:r w:rsidRPr="004D1528">
              <w:rPr>
                <w:rFonts w:ascii="Bell MT" w:hAnsi="Bell MT" w:cs="Times New Roman"/>
                <w:b/>
                <w:sz w:val="20"/>
                <w:szCs w:val="20"/>
              </w:rPr>
              <w:t>&lt; 4.91</w:t>
            </w:r>
            <w:r>
              <w:rPr>
                <w:rFonts w:ascii="Bell MT" w:hAnsi="Bell MT" w:cs="Times New Roman"/>
                <w:b/>
                <w:sz w:val="20"/>
                <w:szCs w:val="20"/>
              </w:rPr>
              <w:t>) before QP</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0.015</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0.013</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0.017</w:t>
            </w:r>
          </w:p>
        </w:tc>
      </w:tr>
      <w:tr w:rsidR="00940F93" w:rsidRPr="00227985" w:rsidTr="00663E9F">
        <w:trPr>
          <w:trHeight w:val="470"/>
          <w:jc w:val="center"/>
        </w:trPr>
        <w:tc>
          <w:tcPr>
            <w:tcW w:w="1830" w:type="dxa"/>
            <w:vMerge/>
          </w:tcPr>
          <w:p w:rsidR="00940F93" w:rsidRDefault="00940F93" w:rsidP="00663E9F">
            <w:pPr>
              <w:spacing w:line="276" w:lineRule="auto"/>
              <w:jc w:val="right"/>
              <w:rPr>
                <w:rFonts w:ascii="Bell MT" w:hAnsi="Bell MT" w:cs="Times New Roman"/>
                <w:b/>
                <w:sz w:val="20"/>
                <w:szCs w:val="20"/>
              </w:rPr>
            </w:pPr>
          </w:p>
        </w:tc>
        <w:tc>
          <w:tcPr>
            <w:tcW w:w="3657" w:type="dxa"/>
          </w:tcPr>
          <w:p w:rsidR="00940F93" w:rsidRDefault="00940F93" w:rsidP="00663E9F">
            <w:pPr>
              <w:jc w:val="right"/>
              <w:rPr>
                <w:rFonts w:ascii="Bell MT" w:hAnsi="Bell MT" w:cs="Times New Roman"/>
                <w:b/>
                <w:sz w:val="20"/>
                <w:szCs w:val="20"/>
              </w:rPr>
            </w:pPr>
            <w:r>
              <w:rPr>
                <w:rFonts w:ascii="Bell MT" w:hAnsi="Bell MT" w:cs="Times New Roman"/>
                <w:b/>
                <w:sz w:val="20"/>
                <w:szCs w:val="20"/>
              </w:rPr>
              <w:t>GPHC1 (</w:t>
            </w:r>
            <w:r w:rsidRPr="004D1528">
              <w:rPr>
                <w:rFonts w:ascii="Bell MT" w:hAnsi="Bell MT" w:cs="Times New Roman"/>
                <w:b/>
                <w:sz w:val="20"/>
                <w:szCs w:val="20"/>
              </w:rPr>
              <w:t>&lt; 4.91</w:t>
            </w:r>
            <w:r>
              <w:rPr>
                <w:rFonts w:ascii="Bell MT" w:hAnsi="Bell MT" w:cs="Times New Roman"/>
                <w:b/>
                <w:sz w:val="20"/>
                <w:szCs w:val="20"/>
              </w:rPr>
              <w:t>) after QP</w:t>
            </w:r>
          </w:p>
          <w:p w:rsidR="00940F93" w:rsidRDefault="00940F93" w:rsidP="00663E9F">
            <w:pPr>
              <w:rPr>
                <w:rFonts w:ascii="Bell MT" w:hAnsi="Bell MT" w:cs="Times New Roman"/>
                <w:b/>
                <w:sz w:val="20"/>
                <w:szCs w:val="20"/>
              </w:rPr>
            </w:pP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0.007</w:t>
            </w:r>
          </w:p>
        </w:tc>
        <w:tc>
          <w:tcPr>
            <w:tcW w:w="112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0.005</w:t>
            </w:r>
          </w:p>
        </w:tc>
        <w:tc>
          <w:tcPr>
            <w:tcW w:w="1275"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0.009</w:t>
            </w:r>
          </w:p>
        </w:tc>
      </w:tr>
      <w:bookmarkEnd w:id="12"/>
      <w:tr w:rsidR="00940F93" w:rsidRPr="00227985" w:rsidTr="00663E9F">
        <w:trPr>
          <w:trHeight w:val="470"/>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GPHC2 (&gt;</w:t>
            </w:r>
            <w:r w:rsidRPr="004D1528">
              <w:rPr>
                <w:rFonts w:ascii="Bell MT" w:hAnsi="Bell MT" w:cs="Times New Roman"/>
                <w:b/>
                <w:sz w:val="20"/>
                <w:szCs w:val="20"/>
              </w:rPr>
              <w:t xml:space="preserve"> 4.91</w:t>
            </w:r>
            <w:r>
              <w:t xml:space="preserve"> </w:t>
            </w:r>
            <w:r>
              <w:rPr>
                <w:rFonts w:ascii="Bell MT" w:hAnsi="Bell MT" w:cs="Times New Roman"/>
                <w:b/>
                <w:sz w:val="20"/>
                <w:szCs w:val="20"/>
              </w:rPr>
              <w:t>but &lt;9.81) before QP</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-0.007</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-0.009</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-0.005</w:t>
            </w:r>
          </w:p>
        </w:tc>
      </w:tr>
      <w:tr w:rsidR="00940F93" w:rsidRPr="00227985" w:rsidTr="00663E9F">
        <w:trPr>
          <w:trHeight w:val="470"/>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Default="00940F93" w:rsidP="00663E9F">
            <w:pPr>
              <w:jc w:val="right"/>
              <w:rPr>
                <w:rFonts w:ascii="Bell MT" w:hAnsi="Bell MT" w:cs="Times New Roman"/>
                <w:b/>
                <w:sz w:val="20"/>
                <w:szCs w:val="20"/>
              </w:rPr>
            </w:pPr>
            <w:r>
              <w:rPr>
                <w:rFonts w:ascii="Bell MT" w:hAnsi="Bell MT" w:cs="Times New Roman"/>
                <w:b/>
                <w:sz w:val="20"/>
                <w:szCs w:val="20"/>
              </w:rPr>
              <w:t>GPHC2 (&gt;</w:t>
            </w:r>
            <w:r w:rsidRPr="004D1528">
              <w:rPr>
                <w:rFonts w:ascii="Bell MT" w:hAnsi="Bell MT" w:cs="Times New Roman"/>
                <w:b/>
                <w:sz w:val="20"/>
                <w:szCs w:val="20"/>
              </w:rPr>
              <w:t xml:space="preserve"> 4.91</w:t>
            </w:r>
            <w:r>
              <w:t xml:space="preserve"> </w:t>
            </w:r>
            <w:r>
              <w:rPr>
                <w:rFonts w:ascii="Bell MT" w:hAnsi="Bell MT" w:cs="Times New Roman"/>
                <w:b/>
                <w:sz w:val="20"/>
                <w:szCs w:val="20"/>
              </w:rPr>
              <w:t>but &lt;9.81) after QP</w:t>
            </w:r>
          </w:p>
          <w:p w:rsidR="00940F93" w:rsidRDefault="00940F93" w:rsidP="00663E9F">
            <w:pPr>
              <w:jc w:val="right"/>
              <w:rPr>
                <w:rFonts w:ascii="Bell MT" w:hAnsi="Bell MT" w:cs="Times New Roman"/>
                <w:b/>
                <w:sz w:val="20"/>
                <w:szCs w:val="20"/>
              </w:rPr>
            </w:pP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-0.005</w:t>
            </w:r>
          </w:p>
        </w:tc>
        <w:tc>
          <w:tcPr>
            <w:tcW w:w="112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-0.007</w:t>
            </w:r>
          </w:p>
        </w:tc>
        <w:tc>
          <w:tcPr>
            <w:tcW w:w="1275"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-0.003</w:t>
            </w:r>
          </w:p>
        </w:tc>
      </w:tr>
      <w:tr w:rsidR="00940F93" w:rsidRPr="00227985" w:rsidTr="00663E9F">
        <w:trPr>
          <w:trHeight w:val="320"/>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GPHC3 (</w:t>
            </w:r>
            <w:r w:rsidRPr="00C846DF">
              <w:rPr>
                <w:rFonts w:ascii="Bell MT" w:hAnsi="Bell MT" w:cs="Times New Roman"/>
                <w:b/>
                <w:sz w:val="20"/>
                <w:szCs w:val="20"/>
              </w:rPr>
              <w:t xml:space="preserve">&gt;9.81 </w:t>
            </w:r>
            <w:r>
              <w:rPr>
                <w:rFonts w:ascii="Bell MT" w:hAnsi="Bell MT" w:cs="Times New Roman"/>
                <w:b/>
                <w:sz w:val="20"/>
                <w:szCs w:val="20"/>
              </w:rPr>
              <w:t>but</w:t>
            </w:r>
            <w:r w:rsidRPr="00C846DF">
              <w:rPr>
                <w:rFonts w:ascii="Bell MT" w:hAnsi="Bell MT" w:cs="Times New Roman"/>
                <w:b/>
                <w:sz w:val="20"/>
                <w:szCs w:val="20"/>
              </w:rPr>
              <w:t xml:space="preserve"> &lt;14.72</w:t>
            </w:r>
            <w:r>
              <w:rPr>
                <w:rFonts w:ascii="Bell MT" w:hAnsi="Bell MT" w:cs="Times New Roman"/>
                <w:b/>
                <w:sz w:val="20"/>
                <w:szCs w:val="20"/>
              </w:rPr>
              <w:t>)</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0.005</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-0.000</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0.010</w:t>
            </w:r>
          </w:p>
        </w:tc>
      </w:tr>
      <w:tr w:rsidR="00940F93" w:rsidRPr="00227985" w:rsidTr="00663E9F">
        <w:trPr>
          <w:trHeight w:val="371"/>
          <w:jc w:val="center"/>
        </w:trPr>
        <w:tc>
          <w:tcPr>
            <w:tcW w:w="1830" w:type="dxa"/>
            <w:vMerge/>
          </w:tcPr>
          <w:p w:rsidR="00940F93" w:rsidRPr="00227985" w:rsidRDefault="00940F93" w:rsidP="00663E9F">
            <w:pPr>
              <w:spacing w:line="480" w:lineRule="auto"/>
              <w:jc w:val="right"/>
              <w:rPr>
                <w:rFonts w:ascii="Bell MT" w:hAnsi="Bell MT" w:cs="Times New Roman"/>
                <w:b/>
                <w:sz w:val="20"/>
                <w:szCs w:val="20"/>
              </w:rPr>
            </w:pPr>
          </w:p>
        </w:tc>
        <w:tc>
          <w:tcPr>
            <w:tcW w:w="3657" w:type="dxa"/>
          </w:tcPr>
          <w:p w:rsidR="00940F93" w:rsidRPr="00227985" w:rsidRDefault="00940F93" w:rsidP="00663E9F">
            <w:pPr>
              <w:jc w:val="right"/>
              <w:rPr>
                <w:rFonts w:ascii="Bell MT" w:hAnsi="Bell MT" w:cs="Times New Roman"/>
                <w:b/>
                <w:sz w:val="20"/>
                <w:szCs w:val="20"/>
              </w:rPr>
            </w:pPr>
            <w:r>
              <w:rPr>
                <w:rFonts w:ascii="Bell MT" w:hAnsi="Bell MT" w:cs="Times New Roman"/>
                <w:b/>
                <w:sz w:val="20"/>
                <w:szCs w:val="20"/>
              </w:rPr>
              <w:t>GPHC4 (</w:t>
            </w:r>
            <w:r w:rsidRPr="00C846DF">
              <w:rPr>
                <w:rFonts w:ascii="Bell MT" w:hAnsi="Bell MT" w:cs="Times New Roman"/>
                <w:b/>
                <w:sz w:val="20"/>
                <w:szCs w:val="20"/>
              </w:rPr>
              <w:t>&gt;14.972</w:t>
            </w:r>
            <w:r>
              <w:rPr>
                <w:rFonts w:ascii="Bell MT" w:hAnsi="Bell MT" w:cs="Times New Roman"/>
                <w:b/>
                <w:sz w:val="20"/>
                <w:szCs w:val="20"/>
              </w:rPr>
              <w:t>)</w:t>
            </w:r>
            <w:r w:rsidRPr="00FB7AFA">
              <w:rPr>
                <w:rFonts w:ascii="Bell MT" w:hAnsi="Bell MT" w:cs="Times New Roman"/>
                <w:b/>
                <w:sz w:val="20"/>
                <w:szCs w:val="20"/>
              </w:rPr>
              <w:t xml:space="preserve"> </w:t>
            </w:r>
          </w:p>
        </w:tc>
        <w:tc>
          <w:tcPr>
            <w:tcW w:w="1183"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-0.007</w:t>
            </w:r>
          </w:p>
        </w:tc>
        <w:tc>
          <w:tcPr>
            <w:tcW w:w="1122"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-0.022</w:t>
            </w:r>
          </w:p>
        </w:tc>
        <w:tc>
          <w:tcPr>
            <w:tcW w:w="1275" w:type="dxa"/>
          </w:tcPr>
          <w:p w:rsidR="00940F93" w:rsidRPr="00227985" w:rsidRDefault="00940F93" w:rsidP="00663E9F">
            <w:pPr>
              <w:spacing w:line="480" w:lineRule="auto"/>
              <w:jc w:val="right"/>
              <w:rPr>
                <w:rFonts w:ascii="Bell MT" w:hAnsi="Bell MT" w:cs="Times New Roman"/>
                <w:sz w:val="20"/>
                <w:szCs w:val="20"/>
              </w:rPr>
            </w:pPr>
            <w:r>
              <w:rPr>
                <w:rFonts w:ascii="Bell MT" w:hAnsi="Bell MT" w:cs="Times New Roman"/>
                <w:sz w:val="20"/>
                <w:szCs w:val="20"/>
              </w:rPr>
              <w:t>0.008</w:t>
            </w:r>
          </w:p>
        </w:tc>
      </w:tr>
      <w:tr w:rsidR="00940F93" w:rsidRPr="00227985" w:rsidTr="00663E9F">
        <w:trPr>
          <w:trHeight w:val="371"/>
          <w:jc w:val="center"/>
        </w:trPr>
        <w:tc>
          <w:tcPr>
            <w:tcW w:w="5487" w:type="dxa"/>
            <w:gridSpan w:val="2"/>
          </w:tcPr>
          <w:p w:rsidR="00940F93" w:rsidRDefault="00940F93" w:rsidP="00663E9F">
            <w:pPr>
              <w:jc w:val="right"/>
              <w:rPr>
                <w:rFonts w:ascii="Bell MT" w:hAnsi="Bell MT" w:cs="Times New Roman"/>
                <w:b/>
                <w:sz w:val="20"/>
                <w:szCs w:val="20"/>
              </w:rPr>
            </w:pPr>
            <w:r w:rsidRPr="00227985">
              <w:rPr>
                <w:rFonts w:ascii="Bell MT" w:hAnsi="Bell MT" w:cs="Times New Roman"/>
                <w:b/>
                <w:sz w:val="20"/>
                <w:szCs w:val="20"/>
              </w:rPr>
              <w:t>Benzodiazepine anxiolytics</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0.093</w:t>
            </w:r>
          </w:p>
        </w:tc>
        <w:tc>
          <w:tcPr>
            <w:tcW w:w="112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0.089</w:t>
            </w:r>
          </w:p>
        </w:tc>
        <w:tc>
          <w:tcPr>
            <w:tcW w:w="1275"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0.097</w:t>
            </w:r>
          </w:p>
        </w:tc>
      </w:tr>
      <w:tr w:rsidR="00940F93" w:rsidRPr="00227985" w:rsidTr="00663E9F">
        <w:trPr>
          <w:trHeight w:val="371"/>
          <w:jc w:val="center"/>
        </w:trPr>
        <w:tc>
          <w:tcPr>
            <w:tcW w:w="5487" w:type="dxa"/>
            <w:gridSpan w:val="2"/>
          </w:tcPr>
          <w:p w:rsidR="00940F93" w:rsidRDefault="00940F93" w:rsidP="00663E9F">
            <w:pPr>
              <w:jc w:val="right"/>
              <w:rPr>
                <w:rFonts w:ascii="Bell MT" w:hAnsi="Bell MT" w:cs="Times New Roman"/>
                <w:b/>
                <w:sz w:val="20"/>
                <w:szCs w:val="20"/>
              </w:rPr>
            </w:pPr>
            <w:r w:rsidRPr="00227985">
              <w:rPr>
                <w:rFonts w:ascii="Bell MT" w:hAnsi="Bell MT" w:cs="Times New Roman"/>
                <w:b/>
                <w:sz w:val="20"/>
                <w:szCs w:val="20"/>
              </w:rPr>
              <w:t>Benzodiazepine hypnotics</w:t>
            </w:r>
          </w:p>
        </w:tc>
        <w:tc>
          <w:tcPr>
            <w:tcW w:w="1183"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0.118</w:t>
            </w:r>
          </w:p>
        </w:tc>
        <w:tc>
          <w:tcPr>
            <w:tcW w:w="1122"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0.115</w:t>
            </w:r>
          </w:p>
        </w:tc>
        <w:tc>
          <w:tcPr>
            <w:tcW w:w="1275" w:type="dxa"/>
          </w:tcPr>
          <w:p w:rsidR="00940F93" w:rsidRDefault="00940F93" w:rsidP="00663E9F">
            <w:pPr>
              <w:spacing w:line="480" w:lineRule="auto"/>
              <w:jc w:val="right"/>
              <w:rPr>
                <w:rFonts w:ascii="Bell MT" w:hAnsi="Bell MT" w:cs="Times New Roman"/>
                <w:sz w:val="20"/>
                <w:szCs w:val="20"/>
              </w:rPr>
            </w:pPr>
            <w:r>
              <w:rPr>
                <w:rFonts w:ascii="Bell MT" w:hAnsi="Bell MT" w:cs="Times New Roman"/>
                <w:sz w:val="20"/>
                <w:szCs w:val="20"/>
              </w:rPr>
              <w:t>0.121</w:t>
            </w:r>
          </w:p>
        </w:tc>
      </w:tr>
      <w:tr w:rsidR="00940F93" w:rsidRPr="00227985" w:rsidTr="00663E9F">
        <w:trPr>
          <w:trHeight w:val="371"/>
          <w:jc w:val="center"/>
        </w:trPr>
        <w:tc>
          <w:tcPr>
            <w:tcW w:w="9067" w:type="dxa"/>
            <w:gridSpan w:val="5"/>
          </w:tcPr>
          <w:p w:rsidR="00940F93" w:rsidRDefault="00940F93" w:rsidP="00663E9F">
            <w:pPr>
              <w:spacing w:line="276" w:lineRule="auto"/>
              <w:jc w:val="both"/>
              <w:rPr>
                <w:rFonts w:ascii="Bell MT" w:hAnsi="Bell MT" w:cs="Times New Roman"/>
                <w:sz w:val="20"/>
                <w:szCs w:val="20"/>
              </w:rPr>
            </w:pPr>
            <w:bookmarkStart w:id="13" w:name="_Hlk17896973"/>
            <w:r w:rsidRPr="009F6D15">
              <w:rPr>
                <w:rFonts w:ascii="Times New Roman" w:hAnsi="Times New Roman" w:cs="Times New Roman"/>
                <w:i/>
                <w:sz w:val="24"/>
                <w:szCs w:val="24"/>
              </w:rPr>
              <w:t>Note</w:t>
            </w:r>
            <w:r>
              <w:rPr>
                <w:rFonts w:ascii="Times New Roman" w:hAnsi="Times New Roman" w:cs="Times New Roman"/>
                <w:i/>
                <w:sz w:val="24"/>
                <w:szCs w:val="24"/>
              </w:rPr>
              <w:t>:</w:t>
            </w:r>
            <w:r w:rsidRPr="009F6D15">
              <w:rPr>
                <w:rFonts w:ascii="Times New Roman" w:hAnsi="Times New Roman" w:cs="Times New Roman"/>
                <w:i/>
                <w:sz w:val="24"/>
                <w:szCs w:val="24"/>
              </w:rPr>
              <w:t xml:space="preserve"> effects of diabetes are per 1% higher within each </w:t>
            </w:r>
            <w:r>
              <w:rPr>
                <w:rFonts w:ascii="Times New Roman" w:hAnsi="Times New Roman" w:cs="Times New Roman"/>
                <w:i/>
                <w:sz w:val="24"/>
                <w:szCs w:val="24"/>
              </w:rPr>
              <w:t>spline term</w:t>
            </w:r>
            <w:r w:rsidRPr="009F6D15">
              <w:rPr>
                <w:rFonts w:ascii="Times New Roman" w:hAnsi="Times New Roman" w:cs="Times New Roman"/>
                <w:i/>
                <w:sz w:val="24"/>
                <w:szCs w:val="24"/>
              </w:rPr>
              <w:t xml:space="preserve"> and of GP headcount per 1 higher per 10,000 patients</w:t>
            </w:r>
            <w:r>
              <w:rPr>
                <w:rFonts w:ascii="Times New Roman" w:hAnsi="Times New Roman" w:cs="Times New Roman"/>
                <w:i/>
                <w:sz w:val="24"/>
                <w:szCs w:val="24"/>
              </w:rPr>
              <w:t xml:space="preserve"> within each spline term</w:t>
            </w:r>
            <w:r w:rsidRPr="009F6D15">
              <w:rPr>
                <w:rFonts w:ascii="Times New Roman" w:hAnsi="Times New Roman" w:cs="Times New Roman"/>
                <w:i/>
                <w:sz w:val="24"/>
                <w:szCs w:val="24"/>
              </w:rPr>
              <w:t>.</w:t>
            </w:r>
          </w:p>
        </w:tc>
      </w:tr>
    </w:tbl>
    <w:bookmarkEnd w:id="11"/>
    <w:bookmarkEnd w:id="13"/>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lastRenderedPageBreak/>
        <w:t xml:space="preserve">For the interaction between QP and diabetes prevalence, a significant variation in prescribing behaviour before versus after QP was seen only in practices with diabetes prevalence of between 7.60% and 11.28% (figure 2). Before the QP, a 1% higher diabetes prevalence in these practices was associated with +0.016 items/STAR-PU greater prescribing (95% CI: +0.012 to +0.021); this changed to +0.007 items/STAR-PU (95% CI: +0.002 to +0.011) per 1% higher diabetes prevalence after the QP (interaction p&lt;0.001). </w:t>
      </w:r>
    </w:p>
    <w:p w:rsidR="00940F93" w:rsidRDefault="00D279FF" w:rsidP="00D279FF">
      <w:pPr>
        <w:autoSpaceDE w:val="0"/>
        <w:autoSpaceDN w:val="0"/>
        <w:adjustRightInd w:val="0"/>
        <w:spacing w:after="0" w:line="240" w:lineRule="auto"/>
        <w:jc w:val="center"/>
        <w:rPr>
          <w:rFonts w:ascii="Times New Roman" w:hAnsi="Times New Roman" w:cs="Times New Roman"/>
          <w:b/>
          <w:color w:val="000000" w:themeColor="text1"/>
          <w:sz w:val="24"/>
          <w:szCs w:val="24"/>
        </w:rPr>
      </w:pPr>
      <w:r>
        <w:rPr>
          <w:noProof/>
        </w:rPr>
        <w:drawing>
          <wp:inline distT="0" distB="0" distL="0" distR="0">
            <wp:extent cx="4391025" cy="2423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4323" cy="2447359"/>
                    </a:xfrm>
                    <a:prstGeom prst="rect">
                      <a:avLst/>
                    </a:prstGeom>
                    <a:noFill/>
                    <a:ln>
                      <a:noFill/>
                    </a:ln>
                  </pic:spPr>
                </pic:pic>
              </a:graphicData>
            </a:graphic>
          </wp:inline>
        </w:drawing>
      </w:r>
    </w:p>
    <w:p w:rsidR="00CD589E" w:rsidRPr="00D279FF" w:rsidRDefault="00CD589E" w:rsidP="00940F93">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D279FF">
        <w:rPr>
          <w:rFonts w:ascii="Times New Roman" w:hAnsi="Times New Roman" w:cs="Times New Roman"/>
          <w:b/>
          <w:color w:val="000000" w:themeColor="text1"/>
          <w:sz w:val="24"/>
          <w:szCs w:val="24"/>
        </w:rPr>
        <w:t>Figure 2: Association between diabetes prevalence and antibiotic prescribing before and after the 2015/16QP (for diabetes prevalence spline terms).</w:t>
      </w:r>
    </w:p>
    <w:p w:rsidR="00CD589E" w:rsidRPr="00D279FF" w:rsidRDefault="00CD589E" w:rsidP="00940F93">
      <w:pPr>
        <w:autoSpaceDE w:val="0"/>
        <w:autoSpaceDN w:val="0"/>
        <w:adjustRightInd w:val="0"/>
        <w:spacing w:after="0" w:line="240" w:lineRule="auto"/>
        <w:jc w:val="center"/>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0"/>
          <w:szCs w:val="20"/>
        </w:rPr>
        <w:t>The shaded portion around the line represents the 95% confidence interval.</w:t>
      </w:r>
    </w:p>
    <w:p w:rsidR="00CD589E" w:rsidRPr="00D279FF" w:rsidRDefault="00CD589E" w:rsidP="00676D27">
      <w:pPr>
        <w:autoSpaceDE w:val="0"/>
        <w:autoSpaceDN w:val="0"/>
        <w:adjustRightInd w:val="0"/>
        <w:spacing w:line="360" w:lineRule="auto"/>
        <w:jc w:val="both"/>
        <w:rPr>
          <w:rFonts w:ascii="Times New Roman" w:hAnsi="Times New Roman" w:cs="Times New Roman"/>
          <w:color w:val="000000" w:themeColor="text1"/>
          <w:sz w:val="24"/>
          <w:szCs w:val="24"/>
        </w:rPr>
      </w:pP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We also found a significant interaction in practices where GP headcount was fewer than 4.91 and those between 4.91 to 9.81 per 10,000 patients. Following the implementation of QP, the understaffed practices (with fewer than 4.91 GPs per 10,000 patients) experienced a decrease in the pre-QP increasing-trend in antibiotic prescribing (difference -0.008 items/STAR-PU per increase; 95% CI: -0.010 to -0.005) (interaction p&lt;0.001) (figure 3). This was different among practices with between 4.91 and 9.81 GPs per 10,000 patients where the pre-QP reduction associated with a higher GP workforce slightly attenuated. We found no evidence of significant interaction between QP and other spline terms for workforce (interaction p&gt;</w:t>
      </w:r>
      <w:r w:rsidRPr="00D279FF">
        <w:rPr>
          <w:color w:val="000000" w:themeColor="text1"/>
        </w:rPr>
        <w:t xml:space="preserve"> </w:t>
      </w:r>
      <w:r w:rsidRPr="00D279FF">
        <w:rPr>
          <w:rFonts w:ascii="Times New Roman" w:hAnsi="Times New Roman" w:cs="Times New Roman"/>
          <w:color w:val="000000" w:themeColor="text1"/>
          <w:sz w:val="24"/>
          <w:szCs w:val="24"/>
        </w:rPr>
        <w:t>0.23).</w:t>
      </w:r>
    </w:p>
    <w:p w:rsidR="00940F93" w:rsidRDefault="00940F93" w:rsidP="00940F93">
      <w:pPr>
        <w:autoSpaceDE w:val="0"/>
        <w:autoSpaceDN w:val="0"/>
        <w:adjustRightInd w:val="0"/>
        <w:spacing w:after="0" w:line="240" w:lineRule="auto"/>
        <w:jc w:val="center"/>
        <w:rPr>
          <w:rFonts w:ascii="Times New Roman" w:hAnsi="Times New Roman" w:cs="Times New Roman"/>
          <w:b/>
          <w:color w:val="000000" w:themeColor="text1"/>
          <w:sz w:val="24"/>
          <w:szCs w:val="24"/>
        </w:rPr>
      </w:pPr>
      <w:r>
        <w:rPr>
          <w:noProof/>
        </w:rPr>
        <w:lastRenderedPageBreak/>
        <w:drawing>
          <wp:inline distT="0" distB="0" distL="0" distR="0">
            <wp:extent cx="4724400" cy="304251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566" cy="3054857"/>
                    </a:xfrm>
                    <a:prstGeom prst="rect">
                      <a:avLst/>
                    </a:prstGeom>
                    <a:noFill/>
                    <a:ln>
                      <a:noFill/>
                    </a:ln>
                  </pic:spPr>
                </pic:pic>
              </a:graphicData>
            </a:graphic>
          </wp:inline>
        </w:drawing>
      </w:r>
    </w:p>
    <w:p w:rsidR="00CD589E" w:rsidRPr="00D279FF" w:rsidRDefault="00CD589E" w:rsidP="00940F93">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D279FF">
        <w:rPr>
          <w:rFonts w:ascii="Times New Roman" w:hAnsi="Times New Roman" w:cs="Times New Roman"/>
          <w:b/>
          <w:color w:val="000000" w:themeColor="text1"/>
          <w:sz w:val="24"/>
          <w:szCs w:val="24"/>
        </w:rPr>
        <w:t>Figure 3: Association between GP Workforce and antibiotic prescribing before and after the 2015/16 QP (for workforce spline terms).</w:t>
      </w:r>
    </w:p>
    <w:p w:rsidR="00CD589E" w:rsidRPr="00D279FF" w:rsidRDefault="00CD589E" w:rsidP="00940F93">
      <w:pPr>
        <w:autoSpaceDE w:val="0"/>
        <w:autoSpaceDN w:val="0"/>
        <w:adjustRightInd w:val="0"/>
        <w:spacing w:after="0" w:line="240" w:lineRule="auto"/>
        <w:jc w:val="center"/>
        <w:rPr>
          <w:rFonts w:ascii="Times New Roman" w:hAnsi="Times New Roman" w:cs="Times New Roman"/>
          <w:i/>
          <w:color w:val="000000" w:themeColor="text1"/>
          <w:sz w:val="24"/>
          <w:szCs w:val="24"/>
        </w:rPr>
      </w:pPr>
      <w:r w:rsidRPr="00D279FF">
        <w:rPr>
          <w:rFonts w:ascii="Times New Roman" w:hAnsi="Times New Roman" w:cs="Times New Roman"/>
          <w:i/>
          <w:color w:val="000000" w:themeColor="text1"/>
          <w:sz w:val="20"/>
          <w:szCs w:val="20"/>
        </w:rPr>
        <w:t>The shaded portion around the line represents the 95% confidence interval.</w:t>
      </w:r>
    </w:p>
    <w:p w:rsidR="00CD589E" w:rsidRPr="00D279FF" w:rsidRDefault="00CD589E" w:rsidP="00676D27">
      <w:pPr>
        <w:autoSpaceDE w:val="0"/>
        <w:autoSpaceDN w:val="0"/>
        <w:adjustRightInd w:val="0"/>
        <w:spacing w:line="360" w:lineRule="auto"/>
        <w:jc w:val="both"/>
        <w:rPr>
          <w:rFonts w:ascii="Times New Roman" w:hAnsi="Times New Roman" w:cs="Times New Roman"/>
          <w:color w:val="000000" w:themeColor="text1"/>
          <w:sz w:val="24"/>
          <w:szCs w:val="24"/>
        </w:rPr>
      </w:pPr>
    </w:p>
    <w:p w:rsidR="00676D27" w:rsidRPr="00D279FF" w:rsidRDefault="00676D27" w:rsidP="00676D27">
      <w:pPr>
        <w:spacing w:line="360" w:lineRule="auto"/>
        <w:jc w:val="both"/>
        <w:rPr>
          <w:rFonts w:ascii="Times New Roman" w:hAnsi="Times New Roman" w:cs="Times New Roman"/>
          <w:i/>
          <w:color w:val="000000" w:themeColor="text1"/>
          <w:sz w:val="24"/>
          <w:szCs w:val="24"/>
        </w:rPr>
      </w:pPr>
      <w:r w:rsidRPr="00D279FF">
        <w:rPr>
          <w:rFonts w:ascii="Times New Roman" w:hAnsi="Times New Roman" w:cs="Times New Roman"/>
          <w:color w:val="000000" w:themeColor="text1"/>
          <w:sz w:val="24"/>
          <w:szCs w:val="24"/>
        </w:rPr>
        <w:t>The reduction in antibiotic prescribing after the implementation of the QP was similar for all subgroups of practices based on deprivation (interaction p&gt;0.13) or respiratory diseases prevalence (interaction p&gt;0.29 for all spline terms).</w:t>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DISCUSSION</w:t>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Summary</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bookmarkStart w:id="14" w:name="_Hlk18579362"/>
      <w:r w:rsidRPr="00D279FF">
        <w:rPr>
          <w:rFonts w:ascii="Times New Roman" w:hAnsi="Times New Roman" w:cs="Times New Roman"/>
          <w:color w:val="000000" w:themeColor="text1"/>
          <w:sz w:val="24"/>
          <w:szCs w:val="24"/>
          <w:shd w:val="clear" w:color="auto" w:fill="FFFFFF"/>
        </w:rPr>
        <w:t>Using a longitudinal dataset covering 24 months</w:t>
      </w:r>
      <w:bookmarkEnd w:id="14"/>
      <w:r w:rsidRPr="00D279FF">
        <w:rPr>
          <w:rFonts w:ascii="Times New Roman" w:hAnsi="Times New Roman" w:cs="Times New Roman"/>
          <w:color w:val="000000" w:themeColor="text1"/>
          <w:sz w:val="24"/>
          <w:szCs w:val="24"/>
          <w:shd w:val="clear" w:color="auto" w:fill="FFFFFF"/>
        </w:rPr>
        <w:t xml:space="preserve">, our study found that variations in practice characteristics did not strongly affect estimates of the impact of the 2015/16 QP on antibiotic prescribing in primary care practices in England. The consistency of the immediate and month-on-month effects after accounting for differences in practice characteristics indicates the inclusiveness of the QP in reaching diverse populations. Although consistent in both models, the gradual month-on-month increase after the dip in prescribing at the implementation of the intervention indicates issues of sustainability.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 xml:space="preserve">We also found a differential effect of the 2015/16 QP on subgroups of practices with a significantly greater reduction seen among high prescribing practices, understaffed practices, and those with a higher prevalence of comorbidities. The greater reduction among high prescribing practices might be explained by the targeted implementation of the QP by CCGs on these practices who have more need to reduce prescribing (QP is implemented at CCG level </w:t>
      </w:r>
      <w:r w:rsidRPr="00D279FF">
        <w:rPr>
          <w:rFonts w:ascii="Times New Roman" w:hAnsi="Times New Roman" w:cs="Times New Roman"/>
          <w:color w:val="000000" w:themeColor="text1"/>
          <w:sz w:val="24"/>
          <w:szCs w:val="24"/>
          <w:shd w:val="clear" w:color="auto" w:fill="FFFFFF"/>
        </w:rPr>
        <w:lastRenderedPageBreak/>
        <w:t xml:space="preserve">although the outcome is measured at practice level). The reduction reported in practices with higher diabetes prevalence indicates their ability to work towards reducing prescribing rate while coping with other needs arising from the complexity of their patient population. </w:t>
      </w:r>
      <w:r w:rsidR="00CB0042" w:rsidRPr="00D279FF">
        <w:rPr>
          <w:rFonts w:ascii="Times New Roman" w:hAnsi="Times New Roman" w:cs="Times New Roman"/>
          <w:color w:val="000000" w:themeColor="text1"/>
          <w:sz w:val="24"/>
          <w:szCs w:val="24"/>
          <w:shd w:val="clear" w:color="auto" w:fill="FFFFFF"/>
        </w:rPr>
        <w:t>This finding is important considering the increasing trend in diabetes prevalence in the UK</w:t>
      </w:r>
      <w:r w:rsidR="00C36E9B" w:rsidRPr="00D279FF">
        <w:rPr>
          <w:rFonts w:ascii="Times New Roman" w:hAnsi="Times New Roman" w:cs="Times New Roman"/>
          <w:color w:val="000000" w:themeColor="text1"/>
          <w:sz w:val="24"/>
          <w:szCs w:val="24"/>
          <w:shd w:val="clear" w:color="auto" w:fill="FFFFFF"/>
        </w:rPr>
        <w:t>,</w:t>
      </w:r>
      <w:r w:rsidR="00DB7299" w:rsidRPr="00D279FF">
        <w:rPr>
          <w:rFonts w:ascii="Times New Roman" w:hAnsi="Times New Roman" w:cs="Times New Roman"/>
          <w:color w:val="000000" w:themeColor="text1"/>
          <w:sz w:val="24"/>
          <w:szCs w:val="24"/>
          <w:shd w:val="clear" w:color="auto" w:fill="FFFFFF"/>
        </w:rPr>
        <w:fldChar w:fldCharType="begin"/>
      </w:r>
      <w:r w:rsidR="00DB7299" w:rsidRPr="00D279FF">
        <w:rPr>
          <w:rFonts w:ascii="Times New Roman" w:hAnsi="Times New Roman" w:cs="Times New Roman"/>
          <w:color w:val="000000" w:themeColor="text1"/>
          <w:sz w:val="24"/>
          <w:szCs w:val="24"/>
          <w:shd w:val="clear" w:color="auto" w:fill="FFFFFF"/>
        </w:rPr>
        <w:instrText xml:space="preserve"> ADDIN ZOTERO_ITEM CSL_CITATION {"citationID":"Wo1dMilZ","properties":{"formattedCitation":"\\super 29\\nosupersub{}","plainCitation":"29","noteIndex":0},"citationItems":[{"id":1744,"uris":["http://zotero.org/users/2127173/items/SQTUU2UG"],"uri":["http://zotero.org/users/2127173/items/SQTUU2UG"],"itemData":{"id":1744,"type":"article","publisher":"Diabetes UK","title":"Tackling the crisis: Transforming diabetes care for a better future England","URL":"https://www.diabetes.org.uk/resources-s3/2019-04/Diabetes%20UK%20Tackling%20the%20Crisis.pdf","author":[{"family":"Diabetes UK","given":""}],"issued":{"date-parts":[["2019"]]}}}],"schema":"https://github.com/citation-style-language/schema/raw/master/csl-citation.json"} </w:instrText>
      </w:r>
      <w:r w:rsidR="00DB7299" w:rsidRPr="00D279FF">
        <w:rPr>
          <w:rFonts w:ascii="Times New Roman" w:hAnsi="Times New Roman" w:cs="Times New Roman"/>
          <w:color w:val="000000" w:themeColor="text1"/>
          <w:sz w:val="24"/>
          <w:szCs w:val="24"/>
          <w:shd w:val="clear" w:color="auto" w:fill="FFFFFF"/>
        </w:rPr>
        <w:fldChar w:fldCharType="separate"/>
      </w:r>
      <w:r w:rsidR="00DB7299" w:rsidRPr="00D279FF">
        <w:rPr>
          <w:rFonts w:ascii="Times New Roman" w:hAnsi="Times New Roman" w:cs="Times New Roman"/>
          <w:color w:val="000000" w:themeColor="text1"/>
          <w:sz w:val="24"/>
          <w:szCs w:val="24"/>
          <w:vertAlign w:val="superscript"/>
        </w:rPr>
        <w:t>29</w:t>
      </w:r>
      <w:r w:rsidR="00DB7299" w:rsidRPr="00D279FF">
        <w:rPr>
          <w:rFonts w:ascii="Times New Roman" w:hAnsi="Times New Roman" w:cs="Times New Roman"/>
          <w:color w:val="000000" w:themeColor="text1"/>
          <w:sz w:val="24"/>
          <w:szCs w:val="24"/>
          <w:shd w:val="clear" w:color="auto" w:fill="FFFFFF"/>
        </w:rPr>
        <w:fldChar w:fldCharType="end"/>
      </w:r>
      <w:r w:rsidR="00CB0042" w:rsidRPr="00D279FF">
        <w:rPr>
          <w:rFonts w:ascii="Times New Roman" w:hAnsi="Times New Roman" w:cs="Times New Roman"/>
          <w:color w:val="000000" w:themeColor="text1"/>
          <w:sz w:val="24"/>
          <w:szCs w:val="24"/>
          <w:shd w:val="clear" w:color="auto" w:fill="FFFFFF"/>
        </w:rPr>
        <w:t xml:space="preserve"> and the </w:t>
      </w:r>
      <w:r w:rsidR="007D4025" w:rsidRPr="00D279FF">
        <w:rPr>
          <w:rFonts w:ascii="Times New Roman" w:hAnsi="Times New Roman" w:cs="Times New Roman"/>
          <w:color w:val="000000" w:themeColor="text1"/>
          <w:sz w:val="24"/>
          <w:szCs w:val="24"/>
          <w:shd w:val="clear" w:color="auto" w:fill="FFFFFF"/>
        </w:rPr>
        <w:t>higher</w:t>
      </w:r>
      <w:r w:rsidR="00CB0042" w:rsidRPr="00D279FF">
        <w:rPr>
          <w:rFonts w:ascii="Times New Roman" w:hAnsi="Times New Roman" w:cs="Times New Roman"/>
          <w:color w:val="000000" w:themeColor="text1"/>
          <w:sz w:val="24"/>
          <w:szCs w:val="24"/>
          <w:shd w:val="clear" w:color="auto" w:fill="FFFFFF"/>
        </w:rPr>
        <w:t xml:space="preserve"> antibiotic</w:t>
      </w:r>
      <w:r w:rsidR="00C36E9B" w:rsidRPr="00D279FF">
        <w:rPr>
          <w:rFonts w:ascii="Times New Roman" w:hAnsi="Times New Roman" w:cs="Times New Roman"/>
          <w:color w:val="000000" w:themeColor="text1"/>
          <w:sz w:val="24"/>
          <w:szCs w:val="24"/>
          <w:shd w:val="clear" w:color="auto" w:fill="FFFFFF"/>
        </w:rPr>
        <w:t xml:space="preserve"> prescribing </w:t>
      </w:r>
      <w:r w:rsidR="00354F97" w:rsidRPr="00D279FF">
        <w:rPr>
          <w:rFonts w:ascii="Times New Roman" w:hAnsi="Times New Roman" w:cs="Times New Roman"/>
          <w:color w:val="000000" w:themeColor="text1"/>
          <w:sz w:val="24"/>
          <w:szCs w:val="24"/>
          <w:shd w:val="clear" w:color="auto" w:fill="FFFFFF"/>
        </w:rPr>
        <w:t xml:space="preserve">in diabetic patients </w:t>
      </w:r>
      <w:r w:rsidR="00C7245A" w:rsidRPr="00D279FF">
        <w:rPr>
          <w:rFonts w:ascii="Times New Roman" w:hAnsi="Times New Roman" w:cs="Times New Roman"/>
          <w:color w:val="000000" w:themeColor="text1"/>
          <w:sz w:val="24"/>
          <w:szCs w:val="24"/>
          <w:shd w:val="clear" w:color="auto" w:fill="FFFFFF"/>
        </w:rPr>
        <w:t>due to higher susceptibility to infection and infection-related adverse outcomes</w:t>
      </w:r>
      <w:r w:rsidR="00CB0042" w:rsidRPr="00D279FF">
        <w:rPr>
          <w:rFonts w:ascii="Times New Roman" w:hAnsi="Times New Roman" w:cs="Times New Roman"/>
          <w:color w:val="000000" w:themeColor="text1"/>
          <w:sz w:val="24"/>
          <w:szCs w:val="24"/>
          <w:shd w:val="clear" w:color="auto" w:fill="FFFFFF"/>
        </w:rPr>
        <w:t>.</w:t>
      </w:r>
      <w:r w:rsidR="00C36E9B"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{"citationID":"aU1TTZUr","properties":{"formattedCitation":"\\super 25,30,31\\nosupersub{}","plainCitation":"25,30,31","noteIndex":0},"citationItems":[{"id":1741,"uris":["http://zotero.org/users/2127173/items/FISCTPC6"],"uri":["http://zotero.org/users/2127173/items/FISCTPC6"],"itemData":{"id":1741,"type":"article-journal","abstract":"Comorbid patients are vulnerable to infection but rarely the focus of antimicrobial stewardship. Diagnosis of comorbidity is preceded by rapid increases in anti","container-title":"Clinical Infectious Diseases","DOI":"10.1093/cid/ciz1016","journalAbbreviation":"Clin Infect Dis","language":"en","source":"academic.oup.com","title":"Antibiotic Prescribing Before and After the Diagnosis of Comorbidity: A Cohort Study Using Primary Care Electronic Health Records","title-short":"Antibiotic Prescribing Before and After the Diagnosis of Comorbidity","URL":"https://academic.oup.com/cid/advance-article/doi/10.1093/cid/ciz1016/5601268","author":[{"family":"Rockenschaub","given":"Patrick"},{"family":"Hayward","given":"Andrew"},{"family":"Shallcross","given":"Laura"}],"accessed":{"date-parts":[["2020",2,12]]},"issued":{"date-parts":[["2019"]]}}},{"id":1745,"uris":["http://zotero.org/users/2127173/items/MJX99XID"],"uri":["http://zotero.org/users/2127173/items/MJX99XID"],"itemData":{"id":1745,"type":"article-journal","abstract":"Diabetes is a leading cause of morbidity and mortality. The global burden of diabetes is rising because of increased obesity and population ageing. Although preventive and treatment measures are well documented for macrovascular and microvascular complications, little such guidance exists for infections in people with diabetes, despite evidence suggesting greater susceptibility to infections, and worse outcomes. In particular, few studies have characterised the relation between glycaemic control and infectious disease, which we discuss in this Review. Some large population-based observational studies have reported strong associations between higher HbA1c and infection risks for both type 1 and type 2 diabetes. However, studies are contradictory, underpowered, or do not control for confounders. Evidence suggests that better glycaemic control might reduce infection risk, but further longitudinal studies with more frequent measures of HbA1c are needed. Older people (aged 70 years or older) with diabetes are at increased risk of complications, including infectious diseases. There is more uncertainty about appropriate glycaemic control targets in this age group, and evidence suggests that glycaemic control is often neglected. Robust evidence from cohorts with sufficient numbers of older people would help to develop clinically relevant guidelines and targets to reduce mortality, morbidity, and antibiotic use, and to improve quality of life.","container-title":"The Lancet Diabetes &amp; Endocrinology","DOI":"10.1016/S2213-8587(15)00379-4","ISSN":"2213-8587","issue":"2","journalAbbreviation":"The Lancet Diabetes &amp; Endocrinology","language":"en","page":"148-158","source":"ScienceDirect","title":"Diabetes and infection: assessing the association with glycaemic control in population-based studies","title-short":"Diabetes and infection","volume":"4","author":[{"family":"Pearson-Stuttard","given":"Jonathan"},{"family":"Blundell","given":"Samkeliso"},{"family":"Harris","given":"Tess"},{"family":"Cook","given":"Derek G"},{"family":"Critchley","given":"Julia"}],"issued":{"date-parts":[["2016",2,1]]}}},{"id":1748,"uris":["http://zotero.org/users/2127173/items/UPXHAX25"],"uri":["http://zotero.org/users/2127173/items/UPXHAX25"],"itemData":{"id":1748,"type":"article-journal","abstract":"OBJECTIVE(S): To evaluate whether acute glucose elevation (AGE) is predictive of infection and outcome in critically injured trauma patients during the first 14 days of ICU admission.\nMETHODS: A prospective study was conducted on 2200 patients admitted to the ICU over a 2 1/2 year period. The diagnosis of infection was made via a multidisciplinary fashion utilizing CDC criteria. After early glucose stabilization occurred (no significant change for 48 hours after admission) monitoring for AGE was performed utilizing a computational and graded algorithmic model. Iatrogenic causes of AGE were excluded. Stepwise regression models were performed controlling for age, gender, mechanism of injury, diabetes, injury severity, and APACHE 2 score. ROC curves were used to evaluate the positive predictive value of the test.\nRESULTS: Seventy-seven percent of the patients in the cohort were males, and were admitted for blunt injuries (n = 1870 or 85%). The mean age, Injury Severity Score, and APACHE score were 44 ± 20 years, 29 ± 13, and 13 ± 7, respectively. The mean admission serum glucose value was 141 ± 36 mg/dL (range, 64-418 mg/dL). A total of 616 (28%) patients were diagnosed with an infection during the first 14 days of admission. AGE had a 91% positive predictive value for infection diagnosis. In addition, AGE was associated with a significant increase in ventilator, ICU, and hospital days as well as mortality even when adjusted for age, injury severity, APACHE score, and diabetes (P &lt; 0.001).\nCONCLUSIONS: AGE is a highly accurate predictor of infection and should stimulate clinicians to identify a new source of infection.","container-title":"Annals of Surgery","DOI":"10.1097/SLA.0b013e3181f4e499","ISSN":"1528-1140","issue":"4","journalAbbreviation":"Ann. Surg.","language":"eng","note":"PMID: 20881765","page":"597-602","source":"PubMed","title":"Acute glucose elevation is highly predictive of infection and outcome in critically injured trauma patients","volume":"252","author":[{"family":"Bochicchio","given":"Grant V."},{"family":"Bochicchio","given":"Kelly M."},{"family":"Joshi","given":"Manjari"},{"family":"Ilahi","given":"Obeid"},{"family":"Scalea","given":"Thomas M."}],"issued":{"date-parts":[["2010",10]]}}}],"schema":"https://github.com/citation-style-language/schema/raw/master/csl-citation.json"} </w:instrText>
      </w:r>
      <w:r w:rsidR="00C36E9B"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25,30,31</w:t>
      </w:r>
      <w:r w:rsidR="00C36E9B" w:rsidRPr="00D279FF">
        <w:rPr>
          <w:rFonts w:ascii="Times New Roman" w:hAnsi="Times New Roman" w:cs="Times New Roman"/>
          <w:color w:val="000000" w:themeColor="text1"/>
          <w:sz w:val="24"/>
          <w:szCs w:val="24"/>
          <w:shd w:val="clear" w:color="auto" w:fill="FFFFFF"/>
        </w:rPr>
        <w:fldChar w:fldCharType="end"/>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shd w:val="clear" w:color="auto" w:fill="FFFFFF"/>
        </w:rPr>
      </w:pPr>
      <w:r w:rsidRPr="00D279FF">
        <w:rPr>
          <w:rFonts w:ascii="Times New Roman" w:hAnsi="Times New Roman" w:cs="Times New Roman"/>
          <w:b/>
          <w:color w:val="000000" w:themeColor="text1"/>
          <w:sz w:val="24"/>
          <w:szCs w:val="24"/>
          <w:shd w:val="clear" w:color="auto" w:fill="FFFFFF"/>
        </w:rPr>
        <w:t>Strengths and limitations</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Our study is the first to account for other possible explanations of the effect of the QP on antibiotic prescribing in primary care practices (practice workforce size, prevalence of comorbidities, prescribing rate of non-antibiotic drugs, and deprivation), strengthening the evidence on the effectiveness of this financial incentive scheme. We used a large dataset including most (82.8%) practices in England over the observation period, with 12 months observations before as well as after the implementation to capture the temporal trend in antibiotic prescribing.</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shd w:val="clear" w:color="auto" w:fill="FFFFFF"/>
        </w:rPr>
        <w:t xml:space="preserve">One of the limitations of our study is that some </w:t>
      </w:r>
      <w:r w:rsidRPr="00D279FF">
        <w:rPr>
          <w:rFonts w:ascii="Times New Roman" w:hAnsi="Times New Roman" w:cs="Times New Roman"/>
          <w:color w:val="000000" w:themeColor="text1"/>
          <w:sz w:val="24"/>
          <w:szCs w:val="24"/>
        </w:rPr>
        <w:t>practice characteristics that could be associated with antibiotic prescribing behaviours, such as consultation rates</w:t>
      </w:r>
      <w:r w:rsidRPr="00D279FF">
        <w:rPr>
          <w:rFonts w:ascii="Times New Roman" w:hAnsi="Times New Roman" w:cs="Times New Roman"/>
          <w:color w:val="000000" w:themeColor="text1"/>
          <w:sz w:val="24"/>
          <w:szCs w:val="24"/>
        </w:rPr>
        <w:fldChar w:fldCharType="begin"/>
      </w:r>
      <w:r w:rsidR="00354F97" w:rsidRPr="00D279FF">
        <w:rPr>
          <w:rFonts w:ascii="Times New Roman" w:hAnsi="Times New Roman" w:cs="Times New Roman"/>
          <w:color w:val="000000" w:themeColor="text1"/>
          <w:sz w:val="24"/>
          <w:szCs w:val="24"/>
        </w:rPr>
        <w:instrText xml:space="preserve"> ADDIN ZOTERO_ITEM CSL_CITATION {"citationID":"kadIS5Ai","properties":{"formattedCitation":"\\super 32\\nosupersub{}","plainCitation":"32","noteIndex":0},"citationItems":[{"id":1600,"uris":["http://zotero.org/users/2127173/items/LJLNJ8DH"],"uri":["http://zotero.org/users/2127173/items/LJLNJ8DH"],"itemData":{"id":1600,"type":"article-journal","abstract":"Abstract.  Objectives: In Denmark, general practice is responsible for 75% of antibiotic prescribing in the primary care sector. We aimed to identify practice-r","container-title":"Journal of Antimicrobial Chemotherapy","DOI":"10.1093/jac/dkx115","ISSN":"0305-7453","issue":"8","journalAbbreviation":"J Antimicrob Chemother","language":"en","page":"2385-2391","source":"academic.oup.com","title":"Identifying practice-related factors for high-volume prescribers of antibiotics in Danish general practice","volume":"72","author":[{"family":"Aabenhus","given":"Rune"},{"family":"Siersma","given":"Volkert"},{"family":"Sandholdt","given":"Håkon"},{"family":"Køster-Rasmussen","given":"Rasmus"},{"family":"Hansen","given":"Malene Plejdrup"},{"family":"Bjerrum","given":"Lars"}],"issued":{"date-parts":[["2017",8,1]]}}}],"schema":"https://github.com/citation-style-language/schema/raw/master/csl-citation.json"}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354F97" w:rsidRPr="00D279FF">
        <w:rPr>
          <w:rFonts w:ascii="Times New Roman" w:hAnsi="Times New Roman" w:cs="Times New Roman"/>
          <w:color w:val="000000" w:themeColor="text1"/>
          <w:sz w:val="24"/>
          <w:szCs w:val="24"/>
          <w:vertAlign w:val="superscript"/>
        </w:rPr>
        <w:t>32</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and severity of illness, have not been accounted for in our analyses as this data is not available nationally at a practice level.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Also, we recognise that the QP is not the only antibiotic stewardship intervention in England in the period covered by this study;</w:t>
      </w:r>
      <w:r w:rsidRPr="00D279FF">
        <w:rPr>
          <w:rFonts w:ascii="Times New Roman" w:hAnsi="Times New Roman" w:cs="Times New Roman"/>
          <w:color w:val="000000" w:themeColor="text1"/>
          <w:sz w:val="24"/>
          <w:szCs w:val="24"/>
        </w:rPr>
        <w:t xml:space="preserve"> </w:t>
      </w:r>
      <w:r w:rsidRPr="00D279FF">
        <w:rPr>
          <w:rFonts w:ascii="Times New Roman" w:hAnsi="Times New Roman" w:cs="Times New Roman"/>
          <w:color w:val="000000" w:themeColor="text1"/>
          <w:sz w:val="24"/>
          <w:szCs w:val="24"/>
        </w:rPr>
        <w:fldChar w:fldCharType="begin"/>
      </w:r>
      <w:r w:rsidR="00354F97" w:rsidRPr="00D279FF">
        <w:rPr>
          <w:rFonts w:ascii="Times New Roman" w:hAnsi="Times New Roman" w:cs="Times New Roman"/>
          <w:color w:val="000000" w:themeColor="text1"/>
          <w:sz w:val="24"/>
          <w:szCs w:val="24"/>
        </w:rPr>
        <w:instrText xml:space="preserve"> ADDIN ZOTERO_ITEM CSL_CITATION {"citationID":"WY4GAMvz","properties":{"formattedCitation":"\\super 33\\nosupersub{}","plainCitation":"33","noteIndex":0},"citationItems":[{"id":1612,"uris":["http://zotero.org/users/2127173/items/Y4ZM727T"],"uri":["http://zotero.org/users/2127173/items/Y4ZM727T"],"itemData":{"id":1612,"type":"article-journal","abstract":"Introduction The persistent development and spread of resistance to antibiotics remain an important public health concern in the UK and globally. About 74% of antibiotics prescribed in England in 2016 was in primary care. The Quality Premium (QP) initiative that rewards Clinical Commissioning Groups (CCGs) financially based on the quality of specific health services commissioned is one of the National Health Service (NHS) England interventions to reduce antimicrobial resistance through reduced prescribing. Emerging evidence suggests a reduction in antibiotic prescribing in primary care practices in the UK following QP initiative. This study aims to investigate the mechanism of impact of this high-cost health-system level intervention on antibiotic prescribing in primary care practices in England.\nMethods and analysis The study will constitute secondary analyses of antibiotic prescribing data for almost all primary care practices in England from the NHS England Antibiotic Quality Premium Monitoring Dashboard and OpenPrescribing covering the period 2013 to 2018. The primary outcome is the number of antibiotic items per Specific Therapeutic group Age-sex Related Prescribing Unit (STAR-PU) prescribed monthly in each practice or CCG. We will first conduct an interrupted time series using ordinary least square regression method to examine whether antibiotic prescribing rate in England has changed over time, and how such changes, if any, are associated with QP implementation. Single and sequential multiple-mediator models using a unified approach for the natural direct and indirect effects will be conducted to investigate the relationship between QP initiative, the potential mediators and antibiotic prescribing rate with adjustment for practice and CCG characteristics.\nEthics and dissemination This study will use secondary data that are anonymised and obtained from studies that have either undergone ethical review or generated data from routine collection systems. Multiple channels will be used in disseminating the findings from this study to academic and non-academic audiences.","container-title":"BMJ Open","DOI":"10.1136/bmjopen-2019-030093","ISSN":"2044-6055, 2044-6055","issue":"8","language":"en","note":"PMID: 31481371","page":"e030093","source":"bmjopen.bmj.com","title":"Investigating the mechanism of impact of the Quality Premium initiative on antibiotic prescribing in primary care practices in England: a study protocol","title-short":"Investigating the mechanism of impact of the Quality Premium initiative on antibiotic prescribing in primary care practices in England","volume":"9","author":[{"family":"Anyanwu","given":"Philip Emeka"},{"family":"Tonkin-Crine","given":"Sarah"},{"family":"Borek","given":"Aleksandra"},{"family":"Costelloe","given":"Ceire"}],"issued":{"date-parts":[["2019",8,1]]}}}],"schema":"https://github.com/citation-style-language/schema/raw/master/csl-citation.json"}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354F97" w:rsidRPr="00D279FF">
        <w:rPr>
          <w:rFonts w:ascii="Times New Roman" w:hAnsi="Times New Roman" w:cs="Times New Roman"/>
          <w:color w:val="000000" w:themeColor="text1"/>
          <w:sz w:val="24"/>
          <w:szCs w:val="24"/>
          <w:vertAlign w:val="superscript"/>
        </w:rPr>
        <w:t>33</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shd w:val="clear" w:color="auto" w:fill="FFFFFF"/>
        </w:rPr>
        <w:t xml:space="preserve"> this limits the causal interpretation of the observed effect of the 2015/16 QP. However, the QP is the most relevant difference in antibiotic stewardship between 2014/15 and 2015/16 financial years as most of the national interventions, such as the TARGET toolkit (introduced in 2012),</w:t>
      </w:r>
      <w:r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{"citationID":"uRrWCU5U","properties":{"formattedCitation":"\\super 34\\uc0\\u8211{}36\\nosupersub{}","plainCitation":"34–36","noteIndex":0},"citationItems":[{"id":32,"uris":["http://zotero.org/users/2127173/items/IA4A6JRY"],"uri":["http://zotero.org/users/2127173/items/IA4A6JRY"],"itemData":{"id":32,"type":"book","publisher":"London","source":"Google Scholar","title":"Target antibiotics toolkit","author":[{"family":"Royal College of General Practitioners","given":""}],"issued":{"date-parts":[["2012"]]}},"label":"page"},{"id":1346,"uris":["http://zotero.org/users/2127173/items/9252U3SM"],"uri":["http://zotero.org/users/2127173/items/9252U3SM"],"itemData":{"id":1346,"type":"article-journal","abstract":"AbstractObjectives.  To assess and compare the implementation of antimicrobial stewardship (AMS) interventions recommended within the national AMS toolkits, TAR","container-title":"Journal of Antimicrobial Chemotherapy","DOI":"10.1093/jac/dkv492","ISSN":"0305-7453","issue":"5","journalAbbreviation":"J Antimicrob Chemother","language":"en","page":"1408-1414","source":"academic.oup.com","title":"Implementation of antimicrobial stewardship interventions recommended by national toolkits in primary and secondary healthcare sectors in England: TARGET and Start Smart Then Focus","title-short":"Implementation of antimicrobial stewardship interventions recommended by national toolkits in primary and secondary healthcare sectors in England","volume":"71","author":[{"family":"Ashiru-Oredope","given":"D."},{"family":"Budd","given":"E. L."},{"family":"Bhattacharya","given":"A."},{"family":"Din","given":"N."},{"family":"McNulty","given":"C. a. M."},{"family":"Micallef","given":"C."},{"family":"Ladenheim","given":"D."},{"family":"Beech","given":"E."},{"family":"Murdan","given":"S."},{"family":"Hopkins","given":"S."},{"family":"Hopkins","given":"Susan"},{"family":"Ashiru-Oredope","given":"Diane"},{"family":"Brown","given":"Nicholas"},{"family":"Brown","given":"Brian"},{"family":"Budd","given":"Emma"},{"family":"Carter","given":"Sue"},{"family":"Chadborn","given":"Tim"},{"family":"Charlett","given":"Andre"},{"family":"Cichowska","given":"Anna"},{"family":"Dobra","given":"Stephen"},{"family":"Eckford","given":"Susan"},{"family":"Faulding","given":"Sue"},{"family":"Gallagher","given":"Rose"},{"family":"Geoghegan","given":"Lourda"},{"family":"Gurney","given":"Lene"},{"family":"Heginbothom","given":"Maggie"},{"family":"Ironmonger","given":"Dean"},{"family":"Johnson","given":"Alan"},{"family":"McNulty","given":"Cliodna"},{"family":"Moore","given":"Michael"},{"family":"Morrow","given":"Kate"},{"family":"Patel","given":"Bharat"},{"family":"Pinder","given":"Richard"},{"family":"Puleston","given":"Richard"},{"family":"Richman","given":"Colin"},{"family":"Robotham","given":"Julie"},{"family":"Seal","given":"Richard"},{"family":"Sharland","given":"Mike"},{"family":"Stephens","given":"Pete"},{"family":"Stokle","given":"Liz"},{"family":"Underhill","given":"Jonathan"},{"family":"Warner","given":"Bruce"},{"family":"Watson","given":"John"},{"family":"West","given":"Tony"},{"family":"Whitney","given":"Laura"},{"family":"Wight","given":"Ailsa"},{"family":"Wiuff","given":"Camilla"},{"family":"Woodford","given":"Neil"},{"family":"Young","given":"Tony"}],"issued":{"date-parts":[["2016",5,1]]}},"label":"page"},{"id":1674,"uris":["http://zotero.org/users/2127173/items/KLKQWTMX"],"uri":["http://zotero.org/users/2127173/items/KLKQWTMX"],"itemData":{"id":1674,"type":"article","publisher":"PHE","title":"Antimicrobial Resistance Resource Handbook","URL":"https://assets.publishing.service.gov.uk/government/uploads/system/uploads/attachment_data/file/768999/PHE_AMR_resource_handbook.pdf","author":[{"family":"Public Health England","given":""}],"issued":{"date-parts":[["2016"]]}},"label":"page"}],"schema":"https://github.com/citation-style-language/schema/raw/master/csl-citation.json"}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34–36</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and the Chief Medical Officer’s letter to high prescribers (introduced in 2014),</w:t>
      </w:r>
      <w:r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{"citationID":"B6tjrgUr","properties":{"formattedCitation":"\\super 37\\nosupersub{}","plainCitation":"37","noteIndex":0},"citationItems":[{"id":47,"uris":["http://zotero.org/users/2127173/items/IQH3I86U"],"uri":["http://zotero.org/users/2127173/items/IQH3I86U"],"itemData":{"id":47,"type":"article-journal","container-title":"The Lancet","issue":"10029","page":"1743–1752","source":"Google Scholar","title":"Provision of social norm feedback to high prescribers of antibiotics in general practice: a pragmatic national randomised controlled trial","title-short":"Provision of social norm feedback to high prescribers of antibiotics in general practice","volume":"387","author":[{"family":"Hallsworth","given":"Michael"},{"family":"Chadborn","given":"Tim"},{"family":"Sallis","given":"Anna"},{"family":"Sanders","given":"Michael"},{"family":"Berry","given":"Daniel"},{"family":"Greaves","given":"Felix"},{"family":"Clements","given":"Lara"},{"family":"Davies","given":"Sally C."}],"issued":{"date-parts":[["2016"]]}}}],"schema":"https://github.com/citation-style-language/schema/raw/master/csl-citation.json"}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37</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were implemented in both periods.</w:t>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Comparison with existing literature</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Financial incentives have been used to improve performance and quality of care in different clinical areas and settings.</w:t>
      </w:r>
      <w:r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{"citationID":"p06PmLdN","properties":{"formattedCitation":"\\super 11,12,38\\uc0\\u8211{}42\\nosupersub{}","plainCitation":"11,12,38–42","noteIndex":0},"citationItems":[{"id":1207,"uris":["http://zotero.org/users/2127173/items/SXHX58WQ"],"uri":["http://zotero.org/users/2127173/items/SXHX58WQ"],"itemData":{"id":1207,"type":"article-journal","abstract":"This study aimed to evaluate the association between antimicrobial stewardship with financial incentive and a reduction of antibiotic prescribing. This study sh","container-title":"Clinical Infectious Diseases","DOI":"10.1093/cid/ciy902","journalAbbreviation":"Clin Infect Dis","language":"en","source":"academic.oup.com","title":"The Impact of a National Antimicrobial Stewardship Program on Antibiotic Prescribing in Primary Care: An Interrupted Time Series Analysis","title-short":"The Impact of a National Antimicrobial Stewardship Program on Antibiotic Prescribing in Primary Care","URL":"https://academic.oup.com/cid/advance-article/doi/10.1093/cid/ciy902/5136399","author":[{"family":"Balinskaite","given":"Violeta"},{"family":"Johnson","given":"Alan P."},{"family":"Holmes","given":"Alison"},{"family":"Aylin","given":"Paul"}],"accessed":{"date-parts":[["2019",6,7]]}},"label":"page"},{"id":58,"uris":["http://zotero.org/users/2127173/items/GSTHLS2B"],"uri":["http://zotero.org/users/2127173/items/GSTHLS2B"],"itemData":{"id":58,"type":"article-journal","container-title":"Journal of Antimicrobial Chemotherapy","issue":"10","page":"2883–2892","source":"Google Scholar","title":"Age-related decline in antibiotic prescribing for uncomplicated respiratory tract infections in primary care in England following the introduction of a national financial incentive (the Quality Premium) for health commissioners to reduce use of antibiotics in the community: an interrupted time series analysis","title-short":"Age-related decline in antibiotic prescribing for uncomplicated respiratory tract infections in primary care in England following the introduction of a national financial incentive (the Quality Premium) for health commissioners to reduce use of antibiotics in the community","volume":"73","author":[{"family":"Bou-Antoun","given":"Sabine"},{"family":"Costelloe","given":"Ceire"},{"family":"Honeyford","given":"Kate"},{"family":"Mazidi","given":"Mahsa"},{"family":"Hayhoe","given":"Benedict WJ"},{"family":"Holmes","given":"Alison"},{"family":"Johnson","given":"Alan P."},{"family":"Aylin","given":"Paul"}],"issued":{"date-parts":[["2018"]]}},"label":"page"},{"id":1334,"uris":["http://zotero.org/users/2127173/items/YWF73X66"],"uri":["http://zotero.org/users/2127173/items/YWF73X66"],"itemData":{"id":1334,"type":"article-journal","abstract":"Pay-for-performance in health care holds promise as a policy lever to improve the quality and efficiency of care. Although the approach has become increasingly popular in developing countries in recent years, most policy designs do not permit the rigorous evaluation of its impact. Thus, evidence of its effect is limited. In collaboration with the government of Ningxia Province, a predominantly rural area in northwest China, we conducted a matched-pair cluster-randomized experiment between 2009 and 2012 to evaluate the effects of capitation with pay-for-performance on primary care providers’ antibiotic prescribing practices, health spending, outpatient visit volume, and patient satisfaction. We found that the intervention led to a reduction of approximately 15 percent in antibiotic prescriptions and a small reduction in total spending per visit to village posts—essentially, community health clinics. We found no effect on other outcomes. Our results suggest that capitation with pay-for-performance can improve drug prescribing practices by reducing overprescribing and inappropriate prescribing. Our study also shows that rigorous evaluations of health system interventions are feasible when conducted in close collaboration with the government.","container-title":"Health Affairs","DOI":"10.1377/hlthaff.2013.0702","ISSN":"0278-2715","issue":"3","journalAbbreviation":"Health Affairs","page":"502-510","source":"healthaffairs.org (Atypon)","title":"Capitation Combined With Pay-For-Performance Improves Antibiotic Prescribing Practices In Rural China","volume":"33","author":[{"family":"Yip","given":"Winnie"},{"family":"Powell-Jackson","given":"Timothy"},{"family":"Chen","given":"Wen"},{"family":"Hu","given":"Min"},{"family":"Fe","given":"Eduardo"},{"family":"Hu","given":"Mu"},{"family":"Jian","given":"Weiyan"},{"family":"Lu","given":"Ming"},{"family":"Han","given":"Wei"},{"family":"Hsiao","given":"William C."}],"issued":{"date-parts":[["2014",3,1]]}},"label":"page"},{"id":22,"uris":["http://zotero.org/users/2127173/items/SCWUIQC4"],"uri":["http://zotero.org/users/2127173/items/SCWUIQC4"],"itemData":{"id":22,"type":"article-journal","container-title":"New England Journal of Medicine","issue":"4","page":"368–378","source":"Google Scholar","title":"Effects of pay for performance on the quality of primary care in England","volume":"361","author":[{"family":"Campbell","given":"Stephen M."},{"family":"Reeves","given":"David"},{"family":"Kontopantelis","given":"Evangelos"},{"family":"Sibbald","given":"Bonnie"},{"family":"Roland","given":"Martin"}],"issued":{"date-parts":[["2009"]]}},"label":"page"},{"id":1331,"uris":["http://zotero.org/users/2127173/items/FEKLMY35"],"uri":["http://zotero.org/users/2127173/items/FEKLMY35"],"itemData":{"id":1331,"type":"article-journal","abstract":"Rationale and objectives It is difficult to keep control over prescribing behaviour in general practice. The purpose of this study was to assess the initial effects of a behaviour independent financial incentive on the volume of drug prescribing of general practitioners (GPs). Design 2-Year Controlled Before After study with an intervention region and a concurrent control region. Setting and participants GPs in two regions in the Netherlands (n = 119 and n = 118). Intervention A financial incentive for prescribing according to local guidelines on specific drugs or drug categories. The financial incentive consisted of a non-recurrent, behaviour-independent allowance. Main outcome measure Change in the number of prescriptions for 10 targeted drugs or drug groups. Results Significant changes were seen only in three types of antibiotics and in recommended gastric medicines. In almost all cases, effects were temporary. Conclusion Behaviour independent financial incentives can be a help in changing prescription behaviour of GPs, but effects are small-scale and temporary.","container-title":"Journal of Evaluation in Clinical Practice","DOI":"10.1111/j.1365-2753.2006.00707.x","ISSN":"1365-2753","issue":"3","language":"en","page":"369-373","source":"Wiley Online Library","title":"Effects of a behaviour independent financial incentive on prescribing behaviour of general practitioners","volume":"13","author":[{"family":"Martens","given":"Jody D."},{"family":"Werkhoven","given":"Mirjam J."},{"family":"Severens","given":"Johan L."},{"family":"Winkens","given":"Ron A. G."}],"issued":{"date-parts":[["2007"]]}},"label":"page"},{"id":1337,"uris":["http://zotero.org/users/2127173/items/JZCJGKLI"],"uri":["http://zotero.org/users/2127173/items/JZCJGKLI"],"itemData":{"id":1337,"type":"article-journal","container-title":"The Rand journal of economics","issue":"1","page":"64–91","source":"Google Scholar","title":"Can you get what you pay for? Pay-for-performance and the quality of healthcare providers","title-short":"Can you get what you pay for?","volume":"41","author":[{"family":"Mullen","given":"Kathleen J."},{"family":"Frank","given":"Richard G."},{"family":"Rosenthal","given":"Meredith B."}],"issued":{"date-parts":[["2010"]]}},"label":"page"},{"id":1728,"uris":["http://zotero.org/users/2127173/items/VWE2WQED"],"uri":["http://zotero.org/users/2127173/items/VWE2WQED"],"itemData":{"id":1728,"type":"article-journal","abstract":"Background: In order to tackle the public health threat of antimicrobial resistance, improvement in antibiotic prescribing in primary care was included as one of the priorities of the Quality Premium (QP) financial incentive scheme for Clinical Commissioning Groups (CCGs) in England. This paper briefly reports the outcome of a workshop exploring the experiences of antimicrobial stewardship (AMS) leads within CCGs in selecting and adopting strategies to help achieve the QP antibiotic targets. Methods: We conducted a thematic analysis of the notes on discussions and observations from the workshop to identify key themes. Results: Practice visits, needs assessment, peer feedback and audits were identified as strategies integrated in increasing engagement with practices towards the QP antibiotic targets. The conceptual model developed by AMS leads demonstrated possible pathways for the impact of the QP on antibiotic prescribing. Participants raised a concern that the constant targeting of high prescribing practices for AMS interventions might lead to disengagement by these practices. Most of the participants suggested that the effect of the QP might be less about the financial incentive and more about having national targets and guidelines that promote antibiotic prudency. Conclusions: Our results suggest that national targets, rather than financial incentives are key for engaging stakeholders in quality improvement in antibiotic prescribing.","container-title":"Antibiotics","DOI":"10.3390/antibiotics9020044","issue":"2","language":"en","page":"44","source":"www.mdpi.com","title":"Conceptualising the Integration of Strategies by Clinical Commissioning Groups in England towards the Antibiotic Prescribing Targets for the Quality Premium Financial Incentive Scheme: A Short Report","title-short":"Conceptualising the Integration of Strategies by Clinical Commissioning Groups in England towards the Antibiotic Prescribing Targets for the Quality Premium Financial Incentive Scheme","volume":"9","author":[{"family":"Anyanwu","given":"Philip Emeka"},{"family":"Borek","given":"Aleksandra J."},{"family":"Tonkin-Crine","given":"Sarah"},{"family":"Beech","given":"Elizabeth"},{"family":"Costelloe","given":"Céire"}],"issued":{"date-parts":[["2020",2]]}}}],"schema":"https://github.com/citation-style-language/schema/raw/master/csl-citation.json"}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11,12,38–42</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Evaluation studies have reported mixed effects from such incentive schemes. While our finding on the immediate effect of the 2015/16 QP on antibiotic prescribing confirms those of other UK studies on this incentive scheme,</w:t>
      </w:r>
      <w:r w:rsidRPr="00D279FF">
        <w:rPr>
          <w:rFonts w:ascii="Times New Roman" w:hAnsi="Times New Roman" w:cs="Times New Roman"/>
          <w:color w:val="000000" w:themeColor="text1"/>
          <w:sz w:val="24"/>
          <w:szCs w:val="24"/>
          <w:shd w:val="clear" w:color="auto" w:fill="FFFFFF"/>
        </w:rPr>
        <w:fldChar w:fldCharType="begin"/>
      </w:r>
      <w:r w:rsidR="00D72FE1" w:rsidRPr="00D279FF">
        <w:rPr>
          <w:rFonts w:ascii="Times New Roman" w:hAnsi="Times New Roman" w:cs="Times New Roman"/>
          <w:color w:val="000000" w:themeColor="text1"/>
          <w:sz w:val="24"/>
          <w:szCs w:val="24"/>
          <w:shd w:val="clear" w:color="auto" w:fill="FFFFFF"/>
        </w:rPr>
        <w:instrText xml:space="preserve"> ADDIN ZOTERO_ITEM CSL_CITATION {"citationID":"KqslN26n","properties":{"formattedCitation":"\\super 11,12\\nosupersub{}","plainCitation":"11,12","noteIndex":0},"citationItems":[{"id":1207,"uris":["http://zotero.org/users/2127173/items/SXHX58WQ"],"uri":["http://zotero.org/users/2127173/items/SXHX58WQ"],"itemData":{"id":1207,"type":"article-journal","abstract":"This study aimed to evaluate the association between antimicrobial stewardship with financial incentive and a reduction of antibiotic prescribing. This study sh","container-title":"Clinical Infectious Diseases","DOI":"10.1093/cid/ciy902","journalAbbreviation":"Clin Infect Dis","language":"en","source":"academic.oup.com","title":"The Impact of a National Antimicrobial Stewardship Program on Antibiotic Prescribing in Primary Care: An Interrupted Time Series Analysis","title-short":"The Impact of a National Antimicrobial Stewardship Program on Antibiotic Prescribing in Primary Care","URL":"https://academic.oup.com/cid/advance-article/doi/10.1093/cid/ciy902/5136399","author":[{"family":"Balinskaite","given":"Violeta"},{"family":"Johnson","given":"Alan P."},{"family":"Holmes","given":"Alison"},{"family":"Aylin","given":"Paul"}],"accessed":{"date-parts":[["2019",6,7]]}},"label":"page"},{"id":58,"uris":["http://zotero.org/users/2127173/items/GSTHLS2B"],"uri":["http://zotero.org/users/2127173/items/GSTHLS2B"],"itemData":{"id":58,"type":"article-journal","container-title":"Journal of Antimicrobial Chemotherapy","issue":"10","page":"2883–2892","source":"Google Scholar","title":"Age-related decline in antibiotic prescribing for uncomplicated respiratory tract infections in primary care in England following the introduction of a national financial incentive (the Quality Premium) for health commissioners to reduce use of antibiotics in the community: an interrupted time series analysis","title-short":"Age-related decline in antibiotic prescribing for uncomplicated respiratory tract infections in primary care in England following the introduction of a national financial incentive (the Quality Premium) for health commissioners to reduce use of antibiotics in the community","volume":"73","author":[{"family":"Bou-Antoun","given":"Sabine"},{"family":"Costelloe","given":"Ceire"},{"family":"Honeyford","given":"Kate"},{"family":"Mazidi","given":"Mahsa"},{"family":"Hayhoe","given":"Benedict WJ"},{"family":"Holmes","given":"Alison"},{"family":"Johnson","given":"Alan P."},{"family":"Aylin","given":"Paul"}],"issued":{"date-parts":[["2018"]]}},"label":"page"}],"schema":"https://github.com/citation-style-language/schema/raw/master/csl-citation.json"}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D72FE1" w:rsidRPr="00D279FF">
        <w:rPr>
          <w:rFonts w:ascii="Times New Roman" w:hAnsi="Times New Roman" w:cs="Times New Roman"/>
          <w:color w:val="000000" w:themeColor="text1"/>
          <w:sz w:val="24"/>
          <w:szCs w:val="24"/>
          <w:vertAlign w:val="superscript"/>
        </w:rPr>
        <w:t>11,12</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some studies have shown a limited effect of similar schemes as seen in the month-on-month increase post-QP reported in our study. A study in the Netherlands showed a limited, temporary effect of a one-off behaviour-independent financial bonus on the volume of drug prescriptions and the quality </w:t>
      </w:r>
      <w:r w:rsidRPr="00D279FF">
        <w:rPr>
          <w:rFonts w:ascii="Times New Roman" w:hAnsi="Times New Roman" w:cs="Times New Roman"/>
          <w:color w:val="000000" w:themeColor="text1"/>
          <w:sz w:val="24"/>
          <w:szCs w:val="24"/>
          <w:shd w:val="clear" w:color="auto" w:fill="FFFFFF"/>
        </w:rPr>
        <w:lastRenderedPageBreak/>
        <w:t>of prescribing behaviour in general practice.</w:t>
      </w:r>
      <w:r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{"citationID":"K9NCUOyq","properties":{"formattedCitation":"\\super 40\\nosupersub{}","plainCitation":"40","noteIndex":0},"citationItems":[{"id":1331,"uris":["http://zotero.org/users/2127173/items/FEKLMY35"],"uri":["http://zotero.org/users/2127173/items/FEKLMY35"],"itemData":{"id":1331,"type":"article-journal","abstract":"Rationale and objectives It is difficult to keep control over prescribing behaviour in general practice. The purpose of this study was to assess the initial effects of a behaviour independent financial incentive on the volume of drug prescribing of general practitioners (GPs). Design 2-Year Controlled Before After study with an intervention region and a concurrent control region. Setting and participants GPs in two regions in the Netherlands (n = 119 and n = 118). Intervention A financial incentive for prescribing according to local guidelines on specific drugs or drug categories. The financial incentive consisted of a non-recurrent, behaviour-independent allowance. Main outcome measure Change in the number of prescriptions for 10 targeted drugs or drug groups. Results Significant changes were seen only in three types of antibiotics and in recommended gastric medicines. In almost all cases, effects were temporary. Conclusion Behaviour independent financial incentives can be a help in changing prescription behaviour of GPs, but effects are small-scale and temporary.","container-title":"Journal of Evaluation in Clinical Practice","DOI":"10.1111/j.1365-2753.2006.00707.x","ISSN":"1365-2753","issue":"3","language":"en","page":"369-373","source":"Wiley Online Library","title":"Effects of a behaviour independent financial incentive on prescribing behaviour of general practitioners","volume":"13","author":[{"family":"Martens","given":"Jody D."},{"family":"Werkhoven","given":"Mirjam J."},{"family":"Severens","given":"Johan L."},{"family":"Winkens","given":"Ron A. G."}],"issued":{"date-parts":[["2007"]]}}}],"schema":"https://github.com/citation-style-language/schema/raw/master/csl-citation.json"}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40</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Similar results were reported in a UK study that demonstrated reduction in some measures of quality-of-care following the removal of a financial incentive scheme to improve clinical performance.</w:t>
      </w:r>
      <w:r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{"citationID":"zh6psuOh","properties":{"formattedCitation":"\\super 43\\nosupersub{}","plainCitation":"43","noteIndex":0},"citationItems":[{"id":1558,"uris":["http://zotero.org/users/2127173/items/AD4JA3ML"],"uri":["http://zotero.org/users/2127173/items/AD4JA3ML"],"itemData":{"id":1558,"type":"article-journal","abstract":"Special Article from The New England Journal of Medicine — Quality of Care in the United Kingdom after Removal of Financial Incentives","archive_location":"world","container-title":"New England Journal of Medicine","DOI":"10.1056/NEJMsa1801495","language":"en","source":"www.nejm.org","title":"Quality of Care in the United Kingdom after Removal of Financial Incentives","URL":"https://www.nejm.org/doi/10.1056/NEJMsa1801495","author":[{"family":"Minchin","given":"Mark"},{"family":"Roland","given":"Martin"},{"family":"Richardson","given":"Judith"},{"family":"Rowark","given":"Shaun"},{"family":"Guthrie","given":"Bruce"}],"accessed":{"date-parts":[["2019",7,19]]},"issued":{"date-parts":[["2018",9,5]]}}}],"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43</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w:t>
      </w:r>
      <w:r w:rsidR="007D4025" w:rsidRPr="00D279FF">
        <w:rPr>
          <w:rFonts w:ascii="Times New Roman" w:hAnsi="Times New Roman" w:cs="Times New Roman"/>
          <w:color w:val="000000" w:themeColor="text1"/>
          <w:sz w:val="24"/>
          <w:szCs w:val="24"/>
          <w:shd w:val="clear" w:color="auto" w:fill="FFFFFF"/>
        </w:rPr>
        <w:t>However, u</w:t>
      </w:r>
      <w:r w:rsidRPr="00D279FF">
        <w:rPr>
          <w:rFonts w:ascii="Times New Roman" w:hAnsi="Times New Roman" w:cs="Times New Roman"/>
          <w:color w:val="000000" w:themeColor="text1"/>
          <w:sz w:val="24"/>
          <w:szCs w:val="24"/>
          <w:shd w:val="clear" w:color="auto" w:fill="FFFFFF"/>
        </w:rPr>
        <w:t>nlike the Quality and Outcomes Framework evaluated in the study by Minchin et al.,</w:t>
      </w:r>
      <w:r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{"citationID":"omZ9QDpp","properties":{"formattedCitation":"\\super 43\\nosupersub{}","plainCitation":"43","noteIndex":0},"citationItems":[{"id":1558,"uris":["http://zotero.org/users/2127173/items/AD4JA3ML"],"uri":["http://zotero.org/users/2127173/items/AD4JA3ML"],"itemData":{"id":1558,"type":"article-journal","abstract":"Special Article from The New England Journal of Medicine — Quality of Care in the United Kingdom after Removal of Financial Incentives","archive_location":"world","container-title":"New England Journal of Medicine","DOI":"10.1056/NEJMsa1801495","language":"en","source":"www.nejm.org","title":"Quality of Care in the United Kingdom after Removal of Financial Incentives","URL":"https://www.nejm.org/doi/10.1056/NEJMsa1801495","author":[{"family":"Minchin","given":"Mark"},{"family":"Roland","given":"Martin"},{"family":"Richardson","given":"Judith"},{"family":"Rowark","given":"Shaun"},{"family":"Guthrie","given":"Bruce"}],"accessed":{"date-parts":[["2019",7,19]]},"issued":{"date-parts":[["2018",9,5]]}},"suppress-author":true}],"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43</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QP is paid at CCG level only</w:t>
      </w:r>
      <w:r w:rsidR="007D4025" w:rsidRPr="00D279FF">
        <w:rPr>
          <w:rFonts w:ascii="Times New Roman" w:hAnsi="Times New Roman" w:cs="Times New Roman"/>
          <w:color w:val="000000" w:themeColor="text1"/>
          <w:sz w:val="24"/>
          <w:szCs w:val="24"/>
          <w:shd w:val="clear" w:color="auto" w:fill="FFFFFF"/>
        </w:rPr>
        <w:t xml:space="preserve"> (individual GP practices did not receive financial bonuses based on performance)</w:t>
      </w:r>
      <w:r w:rsidRPr="00D279FF">
        <w:rPr>
          <w:rFonts w:ascii="Times New Roman" w:hAnsi="Times New Roman" w:cs="Times New Roman"/>
          <w:color w:val="000000" w:themeColor="text1"/>
          <w:sz w:val="24"/>
          <w:szCs w:val="24"/>
          <w:shd w:val="clear" w:color="auto" w:fill="FFFFFF"/>
        </w:rPr>
        <w:t xml:space="preserve">, and CCGs need to meet other core criteria to receive the reward.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Furthermore, evaluations of other antibiotic stewardship interventions on high prescribers have also shown mixed effects. A behaviour change intervention that provided social norm feedback to high prescribing primary care practices in England on their prescribing behaviour showed an overall significant impact in reducing antibiotic prescribing.</w:t>
      </w:r>
      <w:r w:rsidRPr="00D279FF">
        <w:rPr>
          <w:rFonts w:ascii="Times New Roman" w:hAnsi="Times New Roman" w:cs="Times New Roman"/>
          <w:color w:val="000000" w:themeColor="text1"/>
          <w:sz w:val="24"/>
          <w:szCs w:val="24"/>
          <w:shd w:val="clear" w:color="auto" w:fill="FFFFFF"/>
        </w:rPr>
        <w:fldChar w:fldCharType="begin"/>
      </w:r>
      <w:r w:rsidR="00354F97" w:rsidRPr="00D279FF">
        <w:rPr>
          <w:rFonts w:ascii="Times New Roman" w:hAnsi="Times New Roman" w:cs="Times New Roman"/>
          <w:color w:val="000000" w:themeColor="text1"/>
          <w:sz w:val="24"/>
          <w:szCs w:val="24"/>
          <w:shd w:val="clear" w:color="auto" w:fill="FFFFFF"/>
        </w:rPr>
        <w:instrText xml:space="preserve"> ADDIN ZOTERO_ITEM CSL_CITATION {"citationID":"qpteSmB3","properties":{"formattedCitation":"\\super 37\\nosupersub{}","plainCitation":"37","noteIndex":0},"citationItems":[{"id":47,"uris":["http://zotero.org/users/2127173/items/IQH3I86U"],"uri":["http://zotero.org/users/2127173/items/IQH3I86U"],"itemData":{"id":47,"type":"article-journal","container-title":"The Lancet","issue":"10029","page":"1743–1752","source":"Google Scholar","title":"Provision of social norm feedback to high prescribers of antibiotics in general practice: a pragmatic national randomised controlled trial","title-short":"Provision of social norm feedback to high prescribers of antibiotics in general practice","volume":"387","author":[{"family":"Hallsworth","given":"Michael"},{"family":"Chadborn","given":"Tim"},{"family":"Sallis","given":"Anna"},{"family":"Sanders","given":"Michael"},{"family":"Berry","given":"Daniel"},{"family":"Greaves","given":"Felix"},{"family":"Clements","given":"Lara"},{"family":"Davies","given":"Sally C."}],"issued":{"date-parts":[["2016"]]}}}],"schema":"https://github.com/citation-style-language/schema/raw/master/csl-citation.json"} </w:instrText>
      </w:r>
      <w:r w:rsidRPr="00D279FF">
        <w:rPr>
          <w:rFonts w:ascii="Times New Roman" w:hAnsi="Times New Roman" w:cs="Times New Roman"/>
          <w:color w:val="000000" w:themeColor="text1"/>
          <w:sz w:val="24"/>
          <w:szCs w:val="24"/>
          <w:shd w:val="clear" w:color="auto" w:fill="FFFFFF"/>
        </w:rPr>
        <w:fldChar w:fldCharType="separate"/>
      </w:r>
      <w:r w:rsidR="00354F97" w:rsidRPr="00D279FF">
        <w:rPr>
          <w:rFonts w:ascii="Times New Roman" w:hAnsi="Times New Roman" w:cs="Times New Roman"/>
          <w:color w:val="000000" w:themeColor="text1"/>
          <w:sz w:val="24"/>
          <w:szCs w:val="24"/>
          <w:vertAlign w:val="superscript"/>
        </w:rPr>
        <w:t>37</w:t>
      </w:r>
      <w:r w:rsidRPr="00D279FF">
        <w:rPr>
          <w:rFonts w:ascii="Times New Roman" w:hAnsi="Times New Roman" w:cs="Times New Roman"/>
          <w:color w:val="000000" w:themeColor="text1"/>
          <w:sz w:val="24"/>
          <w:szCs w:val="24"/>
          <w:shd w:val="clear" w:color="auto" w:fill="FFFFFF"/>
        </w:rPr>
        <w:fldChar w:fldCharType="end"/>
      </w:r>
      <w:r w:rsidRPr="00D279FF">
        <w:rPr>
          <w:rFonts w:ascii="Times New Roman" w:hAnsi="Times New Roman" w:cs="Times New Roman"/>
          <w:color w:val="000000" w:themeColor="text1"/>
          <w:sz w:val="24"/>
          <w:szCs w:val="24"/>
          <w:shd w:val="clear" w:color="auto" w:fill="FFFFFF"/>
        </w:rPr>
        <w:t xml:space="preserve"> However, a similar randomized clinical trial in Switzerland demonstrated that personalised prescription feedback to physicians to reduce antibiotic prescribing in primary care made no significant </w:t>
      </w:r>
      <w:r w:rsidRPr="00D279FF">
        <w:rPr>
          <w:rFonts w:ascii="Times New Roman" w:hAnsi="Times New Roman" w:cs="Times New Roman"/>
          <w:color w:val="000000" w:themeColor="text1"/>
          <w:sz w:val="24"/>
          <w:szCs w:val="24"/>
        </w:rPr>
        <w:t>difference in overall antibiotic prescribing.</w:t>
      </w:r>
      <w:r w:rsidRPr="00D279FF">
        <w:rPr>
          <w:rFonts w:ascii="Times New Roman" w:hAnsi="Times New Roman" w:cs="Times New Roman"/>
          <w:color w:val="000000" w:themeColor="text1"/>
          <w:sz w:val="24"/>
          <w:szCs w:val="24"/>
        </w:rPr>
        <w:fldChar w:fldCharType="begin"/>
      </w:r>
      <w:r w:rsidR="00354F97" w:rsidRPr="00D279FF">
        <w:rPr>
          <w:rFonts w:ascii="Times New Roman" w:hAnsi="Times New Roman" w:cs="Times New Roman"/>
          <w:color w:val="000000" w:themeColor="text1"/>
          <w:sz w:val="24"/>
          <w:szCs w:val="24"/>
        </w:rPr>
        <w:instrText xml:space="preserve"> ADDIN ZOTERO_ITEM CSL_CITATION {"citationID":"E1F3tuQK","properties":{"formattedCitation":"\\super 44\\nosupersub{}","plainCitation":"44","noteIndex":0},"citationItems":[{"id":1340,"uris":["http://zotero.org/users/2127173/items/MR57Y5T8"],"uri":["http://zotero.org/users/2127173/items/MR57Y5T8"],"itemData":{"id":1340,"type":"article-journal","abstract":"&lt;h3&gt;Importance&lt;/h3&gt;&lt;p&gt;Feedback interventions using routinely collected health data might reduce antibiotic use nationwide without requiring the substantial resources and structural efforts of other antibiotic stewardship programs.&lt;/p&gt;&lt;h3&gt;Objective&lt;/h3&gt;&lt;p&gt;To determine if quarterly antibiotic prescription feedback over 2 years reduces antibiotic use when implemented in a complex health care system.&lt;/p&gt;&lt;h3&gt;Design, Setting, and Participants&lt;/h3&gt;&lt;p&gt;Pragmatic randomized trial using routinely collected claims data on 2900 primary care physicians with the highest antibiotic prescription rates in Switzerland.&lt;/p&gt;&lt;h3&gt;Interventions&lt;/h3&gt;&lt;p&gt;Physicians were randomized to quarterly updated personalized antibiotic prescription feedback over 2 years (n = 1450) or usual care (n = 1450). Feedback was provided both by mail and online from October 2013 to October 2015 and was supported by an initial 1-time provision of evidence-based guidelines.&lt;/p&gt;&lt;h3&gt;Main Outcomes and Measures&lt;/h3&gt;&lt;p&gt;The primary outcome was the prescribed defined daily doses (DDD) of any antibiotic to any patient per 100 consultations in the first year analyzed by intention-to-treat. We further analyzed prescriptions of specific antibiotics, age groups, and sex for the first and second year to investigate persistency of effects over time.&lt;/p&gt;&lt;h3&gt;Results&lt;/h3&gt;&lt;p&gt;The 2900 physicians had 10 660 124 consultations over 2 years of follow-up, prescribed 1 175 780 packages of antibiotics with 10 290 182 DDD. Physicians receiving feedback prescribed the same amount of antibiotics to all patients in the first year (between-group difference, 0.81%; 95% CI, −2.56% to 4.30%;&lt;i&gt;P&lt;/i&gt; = .64) and second year (between-group difference, −1.73%; 95% CI, −5.07% to 1.72%;&lt;i&gt;P&lt;/i&gt; = .32) compared with the control group. Prescribing to children aged 6 to 18 years was −8.61% lower in the feedback than in the control group in the first year (95% CI, −14.87% to −1.90%;&lt;i&gt;P&lt;/i&gt; = .01). This difference diminished in the second year (between-group difference, −4.10%; 95% CI, −10.78% to 3.07%;&lt;i&gt;P&lt;/i&gt; = .25). Physicians receiving feedback prescribed fewer antibiotics to adults aged 19 to 65 years in the second year (between-group difference, −4.59%; 95% CI, −7.91% to −1.16%;&lt;i&gt;P&lt;/i&gt; &amp;lt; .01). Prescribing to other patient groups or of specific antibiotic types was not significantly different between groups.&lt;/p&gt;&lt;h3&gt;Conclusions and Relevance&lt;/h3&gt;&lt;p&gt;This nationwide antibiotic stewardship program with routine feedback on antibiotic prescribing was not associated with a change of antibiotic use. In older children, adolescents, and younger adults less antibiotics were prescribed, but not consistently over the entire intervention period.&lt;/p&gt;&lt;h3&gt;Trial Registration&lt;/h3&gt;&lt;p&gt;clinicaltrials.gov Identifier:NCT01773824&lt;/p&gt;","container-title":"JAMA Internal Medicine","DOI":"10.1001/jamainternmed.2016.8040","ISSN":"2168-6106","issue":"2","journalAbbreviation":"JAMA Intern Med","language":"en","page":"176-183","source":"jamanetwork.com","title":"Personalized Prescription Feedback Using Routinely Collected Data to Reduce Antibiotic Use in Primary Care: A Randomized Clinical Trial","title-short":"Personalized Prescription Feedback Using Routinely Collected Data to Reduce Antibiotic Use in Primary Care","volume":"177","author":[{"family":"Hemkens","given":"Lars G."},{"family":"Saccilotto","given":"Ramon"},{"family":"Reyes","given":"Selene Leon"},{"family":"Glinz","given":"Dominik"},{"family":"Zumbrunn","given":"Thomas"},{"family":"Grolimund","given":"Oliver"},{"family":"Gloy","given":"Viktoria"},{"family":"Raatz","given":"Heike"},{"family":"Widmer","given":"Andreas"},{"family":"Zeller","given":"Andreas"},{"family":"Bucher","given":"Heiner C."}],"issued":{"date-parts":[["2017",2,1]]}}}],"schema":"https://github.com/citation-style-language/schema/raw/master/csl-citation.json"} </w:instrText>
      </w:r>
      <w:r w:rsidRPr="00D279FF">
        <w:rPr>
          <w:rFonts w:ascii="Times New Roman" w:hAnsi="Times New Roman" w:cs="Times New Roman"/>
          <w:color w:val="000000" w:themeColor="text1"/>
          <w:sz w:val="24"/>
          <w:szCs w:val="24"/>
        </w:rPr>
        <w:fldChar w:fldCharType="separate"/>
      </w:r>
      <w:r w:rsidR="00354F97" w:rsidRPr="00D279FF">
        <w:rPr>
          <w:rFonts w:ascii="Times New Roman" w:hAnsi="Times New Roman" w:cs="Times New Roman"/>
          <w:color w:val="000000" w:themeColor="text1"/>
          <w:sz w:val="24"/>
          <w:szCs w:val="24"/>
          <w:vertAlign w:val="superscript"/>
        </w:rPr>
        <w:t>44</w:t>
      </w:r>
      <w:r w:rsidRPr="00D279FF">
        <w:rPr>
          <w:rFonts w:ascii="Times New Roman" w:hAnsi="Times New Roman" w:cs="Times New Roman"/>
          <w:color w:val="000000" w:themeColor="text1"/>
          <w:sz w:val="24"/>
          <w:szCs w:val="24"/>
        </w:rPr>
        <w:fldChar w:fldCharType="end"/>
      </w:r>
      <w:r w:rsidRPr="00D279FF">
        <w:rPr>
          <w:rFonts w:ascii="Times New Roman" w:hAnsi="Times New Roman" w:cs="Times New Roman"/>
          <w:color w:val="000000" w:themeColor="text1"/>
          <w:sz w:val="24"/>
          <w:szCs w:val="24"/>
        </w:rPr>
        <w:t xml:space="preserve"> </w:t>
      </w:r>
      <w:r w:rsidRPr="00D279FF">
        <w:rPr>
          <w:rFonts w:ascii="Times New Roman" w:hAnsi="Times New Roman" w:cs="Times New Roman"/>
          <w:color w:val="000000" w:themeColor="text1"/>
          <w:sz w:val="24"/>
          <w:szCs w:val="24"/>
          <w:shd w:val="clear" w:color="auto" w:fill="FFFFFF"/>
        </w:rPr>
        <w:t xml:space="preserve">These studies have mostly focused on interventions that are specifically designed to target high prescribers alone. </w:t>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Implications for research and practice</w:t>
      </w:r>
    </w:p>
    <w:p w:rsidR="00354F9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Our study provides novel evidence on the differential effect of the 2015/16 QP</w:t>
      </w:r>
      <w:r w:rsidR="00354F97" w:rsidRPr="00D279FF">
        <w:rPr>
          <w:rFonts w:ascii="Times New Roman" w:hAnsi="Times New Roman" w:cs="Times New Roman"/>
          <w:color w:val="000000" w:themeColor="text1"/>
          <w:sz w:val="24"/>
          <w:szCs w:val="24"/>
          <w:shd w:val="clear" w:color="auto" w:fill="FFFFFF"/>
        </w:rPr>
        <w:t xml:space="preserve">. Highlighting the ability of high prescribing practices, understaffed practices and those dealing with a higher prevalence of comorbidities to make substantial improvements when adequately supported, this study emphasises the role of Clinical Commissioning Groups in identifying and working with these practices. </w:t>
      </w:r>
    </w:p>
    <w:p w:rsidR="00676D27" w:rsidRPr="00D279FF" w:rsidRDefault="00354F97" w:rsidP="00E63058">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rPr>
        <w:t>The substantial scope for change in high antibiotic prescribing practices illustrated by this study should prompt these</w:t>
      </w:r>
      <w:r w:rsidR="00E63058" w:rsidRPr="00D279FF">
        <w:rPr>
          <w:rFonts w:ascii="Times New Roman" w:hAnsi="Times New Roman" w:cs="Times New Roman"/>
          <w:color w:val="000000" w:themeColor="text1"/>
          <w:sz w:val="24"/>
          <w:szCs w:val="24"/>
        </w:rPr>
        <w:t xml:space="preserve"> </w:t>
      </w:r>
      <w:r w:rsidRPr="00D279FF">
        <w:rPr>
          <w:rFonts w:ascii="Times New Roman" w:hAnsi="Times New Roman" w:cs="Times New Roman"/>
          <w:color w:val="000000" w:themeColor="text1"/>
          <w:sz w:val="24"/>
          <w:szCs w:val="24"/>
        </w:rPr>
        <w:t xml:space="preserve">practices to </w:t>
      </w:r>
      <w:proofErr w:type="gramStart"/>
      <w:r w:rsidRPr="00D279FF">
        <w:rPr>
          <w:rFonts w:ascii="Times New Roman" w:hAnsi="Times New Roman" w:cs="Times New Roman"/>
          <w:color w:val="000000" w:themeColor="text1"/>
          <w:sz w:val="24"/>
          <w:szCs w:val="24"/>
        </w:rPr>
        <w:t>take action</w:t>
      </w:r>
      <w:proofErr w:type="gramEnd"/>
      <w:r w:rsidRPr="00D279FF">
        <w:rPr>
          <w:rFonts w:ascii="Times New Roman" w:hAnsi="Times New Roman" w:cs="Times New Roman"/>
          <w:color w:val="000000" w:themeColor="text1"/>
          <w:sz w:val="24"/>
          <w:szCs w:val="24"/>
        </w:rPr>
        <w:t xml:space="preserve"> on this issue, and </w:t>
      </w:r>
      <w:r w:rsidR="00E63058" w:rsidRPr="00D279FF">
        <w:rPr>
          <w:rFonts w:ascii="Times New Roman" w:hAnsi="Times New Roman" w:cs="Times New Roman"/>
          <w:color w:val="000000" w:themeColor="text1"/>
          <w:sz w:val="24"/>
          <w:szCs w:val="24"/>
        </w:rPr>
        <w:t xml:space="preserve">to </w:t>
      </w:r>
      <w:r w:rsidRPr="00D279FF">
        <w:rPr>
          <w:rFonts w:ascii="Times New Roman" w:hAnsi="Times New Roman" w:cs="Times New Roman"/>
          <w:color w:val="000000" w:themeColor="text1"/>
          <w:sz w:val="24"/>
          <w:szCs w:val="24"/>
        </w:rPr>
        <w:t>actively seek support from CCGs in addressing overprescribing</w:t>
      </w:r>
      <w:r w:rsidR="00E63058" w:rsidRPr="00D279FF">
        <w:rPr>
          <w:rFonts w:ascii="Times New Roman" w:hAnsi="Times New Roman" w:cs="Times New Roman"/>
          <w:color w:val="000000" w:themeColor="text1"/>
          <w:sz w:val="24"/>
          <w:szCs w:val="24"/>
        </w:rPr>
        <w:t xml:space="preserve">. Also, </w:t>
      </w:r>
      <w:r w:rsidR="00676D27" w:rsidRPr="00D279FF">
        <w:rPr>
          <w:rFonts w:ascii="Times New Roman" w:hAnsi="Times New Roman" w:cs="Times New Roman"/>
          <w:color w:val="000000" w:themeColor="text1"/>
          <w:sz w:val="24"/>
          <w:szCs w:val="24"/>
        </w:rPr>
        <w:t xml:space="preserve">policymakers and antibiotic stewardship programs </w:t>
      </w:r>
      <w:r w:rsidR="00E63058" w:rsidRPr="00D279FF">
        <w:rPr>
          <w:rFonts w:ascii="Times New Roman" w:hAnsi="Times New Roman" w:cs="Times New Roman"/>
          <w:color w:val="000000" w:themeColor="text1"/>
          <w:sz w:val="24"/>
          <w:szCs w:val="24"/>
        </w:rPr>
        <w:t xml:space="preserve">should target these practices specifically </w:t>
      </w:r>
      <w:r w:rsidR="00676D27" w:rsidRPr="00D279FF">
        <w:rPr>
          <w:rFonts w:ascii="Times New Roman" w:hAnsi="Times New Roman" w:cs="Times New Roman"/>
          <w:color w:val="000000" w:themeColor="text1"/>
          <w:sz w:val="24"/>
          <w:szCs w:val="24"/>
        </w:rPr>
        <w:t xml:space="preserve">in the design and targeted implementation of antibiotic stewardship interventions. </w:t>
      </w:r>
      <w:r w:rsidR="00676D27" w:rsidRPr="00D279FF">
        <w:rPr>
          <w:rFonts w:ascii="Times New Roman" w:hAnsi="Times New Roman" w:cs="Times New Roman"/>
          <w:color w:val="000000" w:themeColor="text1"/>
          <w:sz w:val="24"/>
          <w:szCs w:val="24"/>
          <w:shd w:val="clear" w:color="auto" w:fill="FFFFFF"/>
        </w:rPr>
        <w:t xml:space="preserve">The </w:t>
      </w:r>
      <w:r w:rsidR="00BC4A86" w:rsidRPr="00D279FF">
        <w:rPr>
          <w:rFonts w:ascii="Times New Roman" w:hAnsi="Times New Roman" w:cs="Times New Roman"/>
          <w:color w:val="000000" w:themeColor="text1"/>
          <w:sz w:val="24"/>
          <w:szCs w:val="24"/>
          <w:shd w:val="clear" w:color="auto" w:fill="FFFFFF"/>
        </w:rPr>
        <w:t xml:space="preserve">shortage of GPs in NHS primary care is of increasing concern, and the </w:t>
      </w:r>
      <w:r w:rsidR="00676D27" w:rsidRPr="00D279FF">
        <w:rPr>
          <w:rFonts w:ascii="Times New Roman" w:hAnsi="Times New Roman" w:cs="Times New Roman"/>
          <w:color w:val="000000" w:themeColor="text1"/>
          <w:sz w:val="24"/>
          <w:szCs w:val="24"/>
          <w:shd w:val="clear" w:color="auto" w:fill="FFFFFF"/>
        </w:rPr>
        <w:t xml:space="preserve">greater effect on understaffed practices underlines the need for appropriate resourcing. </w:t>
      </w:r>
      <w:r w:rsidR="00B53054" w:rsidRPr="00D279FF">
        <w:rPr>
          <w:rFonts w:ascii="Times New Roman" w:hAnsi="Times New Roman" w:cs="Times New Roman"/>
          <w:color w:val="000000" w:themeColor="text1"/>
          <w:sz w:val="24"/>
          <w:szCs w:val="24"/>
          <w:shd w:val="clear" w:color="auto" w:fill="FFFFFF"/>
        </w:rPr>
        <w:t xml:space="preserve">The current </w:t>
      </w:r>
      <w:r w:rsidR="00BC4A86" w:rsidRPr="00D279FF">
        <w:rPr>
          <w:rFonts w:ascii="Times New Roman" w:hAnsi="Times New Roman" w:cs="Times New Roman"/>
          <w:color w:val="000000" w:themeColor="text1"/>
          <w:sz w:val="24"/>
          <w:szCs w:val="24"/>
          <w:shd w:val="clear" w:color="auto" w:fill="FFFFFF"/>
        </w:rPr>
        <w:t>Government</w:t>
      </w:r>
      <w:r w:rsidR="00B53054" w:rsidRPr="00D279FF">
        <w:rPr>
          <w:rFonts w:ascii="Times New Roman" w:hAnsi="Times New Roman" w:cs="Times New Roman"/>
          <w:color w:val="000000" w:themeColor="text1"/>
          <w:sz w:val="24"/>
          <w:szCs w:val="24"/>
          <w:shd w:val="clear" w:color="auto" w:fill="FFFFFF"/>
        </w:rPr>
        <w:t>’s</w:t>
      </w:r>
      <w:r w:rsidR="00BC4A86" w:rsidRPr="00D279FF">
        <w:rPr>
          <w:rFonts w:ascii="Times New Roman" w:hAnsi="Times New Roman" w:cs="Times New Roman"/>
          <w:color w:val="000000" w:themeColor="text1"/>
          <w:sz w:val="24"/>
          <w:szCs w:val="24"/>
          <w:shd w:val="clear" w:color="auto" w:fill="FFFFFF"/>
        </w:rPr>
        <w:t xml:space="preserve"> promises regarding increas</w:t>
      </w:r>
      <w:r w:rsidR="00B53054" w:rsidRPr="00D279FF">
        <w:rPr>
          <w:rFonts w:ascii="Times New Roman" w:hAnsi="Times New Roman" w:cs="Times New Roman"/>
          <w:color w:val="000000" w:themeColor="text1"/>
          <w:sz w:val="24"/>
          <w:szCs w:val="24"/>
          <w:shd w:val="clear" w:color="auto" w:fill="FFFFFF"/>
        </w:rPr>
        <w:t>ed</w:t>
      </w:r>
      <w:r w:rsidR="00BC4A86" w:rsidRPr="00D279FF">
        <w:rPr>
          <w:rFonts w:ascii="Times New Roman" w:hAnsi="Times New Roman" w:cs="Times New Roman"/>
          <w:color w:val="000000" w:themeColor="text1"/>
          <w:sz w:val="24"/>
          <w:szCs w:val="24"/>
          <w:shd w:val="clear" w:color="auto" w:fill="FFFFFF"/>
        </w:rPr>
        <w:t xml:space="preserve"> GP numbers notwithstanding,</w:t>
      </w:r>
      <w:r w:rsidR="00B53054" w:rsidRPr="00D279FF">
        <w:rPr>
          <w:rFonts w:ascii="Times New Roman" w:hAnsi="Times New Roman" w:cs="Times New Roman"/>
          <w:color w:val="000000" w:themeColor="text1"/>
          <w:sz w:val="24"/>
          <w:szCs w:val="24"/>
          <w:shd w:val="clear" w:color="auto" w:fill="FFFFFF"/>
        </w:rPr>
        <w:fldChar w:fldCharType="begin"/>
      </w:r>
      <w:r w:rsidR="00B53054" w:rsidRPr="00D279FF">
        <w:rPr>
          <w:rFonts w:ascii="Times New Roman" w:hAnsi="Times New Roman" w:cs="Times New Roman"/>
          <w:color w:val="000000" w:themeColor="text1"/>
          <w:sz w:val="24"/>
          <w:szCs w:val="24"/>
          <w:shd w:val="clear" w:color="auto" w:fill="FFFFFF"/>
        </w:rPr>
        <w:instrText xml:space="preserve"> ADDIN ZOTERO_ITEM CSL_CITATION {"citationID":"1RQDGuSm","properties":{"formattedCitation":"\\super 45\\nosupersub{}","plainCitation":"45","noteIndex":0},"citationItems":[{"id":1750,"uris":["http://zotero.org/users/2127173/items/IHR47PUS"],"uri":["http://zotero.org/users/2127173/items/IHR47PUS"],"itemData":{"id":1750,"type":"article-journal","abstract":"General practice hit the headlines this week when the Conservatives promised to deliver 6000 more GPs by 2024-25 as part of a pledge to provide 50 million more appointments in GP surgeries every year.1\n\nThe announcement was immediately dismissed as “empty promises” in some quarters,2 given that the government has failed to achieve a very similar pledge made in 2015 for 5000 extra GPs by 2020. The number of GPs has actually fallen,3 and workforce and workload pressures mean that the new target looks highly unachievable.\n\nLabour’s Jonathan Ashworth was quick to pounce, arguing that the Conservatives “always make election promises which they fail to deliver on.” Labour has pledged to increase GP training places in England by around 43%—from 3500 to 5000 places—if elected.4\n\nBut the health and …","container-title":"BMJ","DOI":"10.1136/bmj.l6463","ISSN":"0959-8138, 1756-1833","journalAbbreviation":"BMJ","language":"en","note":"PMID: 31719121","source":"www.bmj.com","title":"Tories promise 6000 extra GPs by 2024","URL":"https://www.bmj.com/content/367/bmj.l6463","volume":"367","author":[{"family":"Iacobucci","given":"Gareth"}],"accessed":{"date-parts":[["2020",2,12]]},"issued":{"date-parts":[["2019",11,12]]}}}],"schema":"https://github.com/citation-style-language/schema/raw/master/csl-citation.json"} </w:instrText>
      </w:r>
      <w:r w:rsidR="00B53054" w:rsidRPr="00D279FF">
        <w:rPr>
          <w:rFonts w:ascii="Times New Roman" w:hAnsi="Times New Roman" w:cs="Times New Roman"/>
          <w:color w:val="000000" w:themeColor="text1"/>
          <w:sz w:val="24"/>
          <w:szCs w:val="24"/>
          <w:shd w:val="clear" w:color="auto" w:fill="FFFFFF"/>
        </w:rPr>
        <w:fldChar w:fldCharType="separate"/>
      </w:r>
      <w:r w:rsidR="00B53054" w:rsidRPr="00D279FF">
        <w:rPr>
          <w:rFonts w:ascii="Times New Roman" w:hAnsi="Times New Roman" w:cs="Times New Roman"/>
          <w:color w:val="000000" w:themeColor="text1"/>
          <w:sz w:val="24"/>
          <w:szCs w:val="24"/>
          <w:vertAlign w:val="superscript"/>
        </w:rPr>
        <w:t>45</w:t>
      </w:r>
      <w:r w:rsidR="00B53054" w:rsidRPr="00D279FF">
        <w:rPr>
          <w:rFonts w:ascii="Times New Roman" w:hAnsi="Times New Roman" w:cs="Times New Roman"/>
          <w:color w:val="000000" w:themeColor="text1"/>
          <w:sz w:val="24"/>
          <w:szCs w:val="24"/>
          <w:shd w:val="clear" w:color="auto" w:fill="FFFFFF"/>
        </w:rPr>
        <w:fldChar w:fldCharType="end"/>
      </w:r>
      <w:r w:rsidR="00BC4A86" w:rsidRPr="00D279FF">
        <w:rPr>
          <w:rFonts w:ascii="Times New Roman" w:hAnsi="Times New Roman" w:cs="Times New Roman"/>
          <w:color w:val="000000" w:themeColor="text1"/>
          <w:sz w:val="24"/>
          <w:szCs w:val="24"/>
          <w:shd w:val="clear" w:color="auto" w:fill="FFFFFF"/>
        </w:rPr>
        <w:t xml:space="preserve"> </w:t>
      </w:r>
      <w:r w:rsidR="00676D27" w:rsidRPr="00D279FF">
        <w:rPr>
          <w:rFonts w:ascii="Times New Roman" w:hAnsi="Times New Roman" w:cs="Times New Roman"/>
          <w:color w:val="000000" w:themeColor="text1"/>
          <w:sz w:val="24"/>
          <w:szCs w:val="24"/>
          <w:shd w:val="clear" w:color="auto" w:fill="FFFFFF"/>
        </w:rPr>
        <w:t xml:space="preserve">CCGs </w:t>
      </w:r>
      <w:r w:rsidR="00BC4A86" w:rsidRPr="00D279FF">
        <w:rPr>
          <w:rFonts w:ascii="Times New Roman" w:hAnsi="Times New Roman" w:cs="Times New Roman"/>
          <w:color w:val="000000" w:themeColor="text1"/>
          <w:sz w:val="24"/>
          <w:szCs w:val="24"/>
          <w:shd w:val="clear" w:color="auto" w:fill="FFFFFF"/>
        </w:rPr>
        <w:t xml:space="preserve">have an important responsibility to </w:t>
      </w:r>
      <w:r w:rsidR="00676D27" w:rsidRPr="00D279FF">
        <w:rPr>
          <w:rFonts w:ascii="Times New Roman" w:hAnsi="Times New Roman" w:cs="Times New Roman"/>
          <w:color w:val="000000" w:themeColor="text1"/>
          <w:sz w:val="24"/>
          <w:szCs w:val="24"/>
          <w:shd w:val="clear" w:color="auto" w:fill="FFFFFF"/>
        </w:rPr>
        <w:t xml:space="preserve">identify and </w:t>
      </w:r>
      <w:r w:rsidR="00BC4A86" w:rsidRPr="00D279FF">
        <w:rPr>
          <w:rFonts w:ascii="Times New Roman" w:hAnsi="Times New Roman" w:cs="Times New Roman"/>
          <w:color w:val="000000" w:themeColor="text1"/>
          <w:sz w:val="24"/>
          <w:szCs w:val="24"/>
          <w:shd w:val="clear" w:color="auto" w:fill="FFFFFF"/>
        </w:rPr>
        <w:t xml:space="preserve">work with understaffed </w:t>
      </w:r>
      <w:r w:rsidR="00676D27" w:rsidRPr="00D279FF">
        <w:rPr>
          <w:rFonts w:ascii="Times New Roman" w:hAnsi="Times New Roman" w:cs="Times New Roman"/>
          <w:color w:val="000000" w:themeColor="text1"/>
          <w:sz w:val="24"/>
          <w:szCs w:val="24"/>
          <w:shd w:val="clear" w:color="auto" w:fill="FFFFFF"/>
        </w:rPr>
        <w:t xml:space="preserve">practices in the implementation of </w:t>
      </w:r>
      <w:r w:rsidR="00BC4A86" w:rsidRPr="00D279FF">
        <w:rPr>
          <w:rFonts w:ascii="Times New Roman" w:hAnsi="Times New Roman" w:cs="Times New Roman"/>
          <w:color w:val="000000" w:themeColor="text1"/>
          <w:sz w:val="24"/>
          <w:szCs w:val="24"/>
          <w:shd w:val="clear" w:color="auto" w:fill="FFFFFF"/>
        </w:rPr>
        <w:t>antimicrobial stewardship</w:t>
      </w:r>
      <w:r w:rsidR="00676D27" w:rsidRPr="00D279FF">
        <w:rPr>
          <w:rFonts w:ascii="Times New Roman" w:hAnsi="Times New Roman" w:cs="Times New Roman"/>
          <w:color w:val="000000" w:themeColor="text1"/>
          <w:sz w:val="24"/>
          <w:szCs w:val="24"/>
          <w:shd w:val="clear" w:color="auto" w:fill="FFFFFF"/>
        </w:rPr>
        <w:t xml:space="preserve"> interventions to facilitate performance improvements.</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shd w:val="clear" w:color="auto" w:fill="FFFFFF"/>
        </w:rPr>
      </w:pPr>
      <w:r w:rsidRPr="00D279FF">
        <w:rPr>
          <w:rFonts w:ascii="Times New Roman" w:hAnsi="Times New Roman" w:cs="Times New Roman"/>
          <w:color w:val="000000" w:themeColor="text1"/>
          <w:sz w:val="24"/>
          <w:szCs w:val="24"/>
          <w:shd w:val="clear" w:color="auto" w:fill="FFFFFF"/>
        </w:rPr>
        <w:t xml:space="preserve">The gradual increase in antibiotic prescribing in the months following the 2015/16 QP (countering some of the immediate effects of the intervention) demonstrates the need for more </w:t>
      </w:r>
      <w:r w:rsidRPr="00D279FF">
        <w:rPr>
          <w:rFonts w:ascii="Times New Roman" w:hAnsi="Times New Roman" w:cs="Times New Roman"/>
          <w:color w:val="000000" w:themeColor="text1"/>
          <w:sz w:val="24"/>
          <w:szCs w:val="24"/>
          <w:shd w:val="clear" w:color="auto" w:fill="FFFFFF"/>
        </w:rPr>
        <w:lastRenderedPageBreak/>
        <w:t>efforts towards the sustainability of the effects of AMS interventions. Approaches to maintain or improve the immediate effects of such interventions should be considered at the design stage.</w:t>
      </w: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 xml:space="preserve">Ethics </w:t>
      </w:r>
    </w:p>
    <w:p w:rsidR="00676D27" w:rsidRPr="00D279FF" w:rsidRDefault="00676D27" w:rsidP="00676D27">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This study used secondary data that are anonymised and obtained from studies that have either undergone ethical review or generated data from routine collection systems. Prescribing data from NHS Digital are generated from routinely collected prescribing data on items that have been prescribed in primary care practices in England. </w:t>
      </w:r>
    </w:p>
    <w:p w:rsidR="00676D27" w:rsidRPr="00D279FF" w:rsidRDefault="00676D27" w:rsidP="00676D27">
      <w:pPr>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Contributors</w:t>
      </w:r>
    </w:p>
    <w:p w:rsidR="00676D27" w:rsidRPr="00D279FF" w:rsidRDefault="00676D27" w:rsidP="00676D27">
      <w:pPr>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All authors contributed to the conception and study design. CC, PEA, SW and KP developed </w:t>
      </w:r>
      <w:r w:rsidRPr="00D279FF">
        <w:rPr>
          <w:rFonts w:ascii="Times New Roman" w:hAnsi="Times New Roman" w:cs="Times New Roman"/>
          <w:noProof/>
          <w:color w:val="000000" w:themeColor="text1"/>
          <w:sz w:val="24"/>
          <w:szCs w:val="24"/>
        </w:rPr>
        <w:t>the analytical</w:t>
      </w:r>
      <w:r w:rsidRPr="00D279FF">
        <w:rPr>
          <w:rFonts w:ascii="Times New Roman" w:hAnsi="Times New Roman" w:cs="Times New Roman"/>
          <w:color w:val="000000" w:themeColor="text1"/>
          <w:sz w:val="24"/>
          <w:szCs w:val="24"/>
        </w:rPr>
        <w:t xml:space="preserve"> methods. Data management and analyses were conducted by PEA and CC. The manuscript was drafted by PEA and further revised by CC, SW, KP, MM. All authors approved the publication of the manuscript.</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b/>
          <w:color w:val="000000" w:themeColor="text1"/>
          <w:sz w:val="24"/>
          <w:szCs w:val="24"/>
        </w:rPr>
        <w:t>Funding</w:t>
      </w:r>
      <w:r w:rsidRPr="00D279FF">
        <w:rPr>
          <w:rFonts w:ascii="Times New Roman" w:hAnsi="Times New Roman" w:cs="Times New Roman"/>
          <w:color w:val="000000" w:themeColor="text1"/>
          <w:sz w:val="24"/>
          <w:szCs w:val="24"/>
        </w:rPr>
        <w:t xml:space="preserve">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The study was funded by the Economic and Social Research Council (ESRC) through the Antimicrobial Resistance Cross Council Initiative supported by the seven research councils in partnership with other funders (grant reference: ES/P008232/1). The support of the ESRC is gratefully acknowledged.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CC is supported through a personal NIHR Career development fellowship (NIHR- CDF-016-015).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ASW is supported by the NIHR Oxford Biomedical Research Centre and is an NIHR Senior Investigator. </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STC is funded by the National Institute for Health Research Health Protection Research Unit (NIHR HPRU) in Healthcare Associated Infections and Antimicrobial Resistance at the University of Oxford in partnership with Public Health England (PHE) [HPRU-2012-10041].</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Imperial College London is grateful for support from the NW London NIHR Applied Research Collaboration</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The funders had no influence on the design of the study, data collection, analysis and interpretation of the findings.</w:t>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t>Acknowledgement:</w:t>
      </w:r>
    </w:p>
    <w:p w:rsidR="00676D27" w:rsidRPr="00D279FF" w:rsidRDefault="00676D27" w:rsidP="00676D27">
      <w:pPr>
        <w:autoSpaceDE w:val="0"/>
        <w:autoSpaceDN w:val="0"/>
        <w:adjustRightInd w:val="0"/>
        <w:spacing w:line="360" w:lineRule="auto"/>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lastRenderedPageBreak/>
        <w:t>The authors would like to thank Prof. Christopher Butler, Prof Alison Holmes, and the wider STEP-UP team for their contributions to the study.</w:t>
      </w:r>
    </w:p>
    <w:p w:rsidR="00676D27" w:rsidRPr="00D279FF" w:rsidRDefault="00676D27" w:rsidP="00676D27">
      <w:pPr>
        <w:rPr>
          <w:rFonts w:ascii="Times New Roman" w:hAnsi="Times New Roman" w:cs="Times New Roman"/>
          <w:b/>
          <w:color w:val="000000" w:themeColor="text1"/>
          <w:sz w:val="24"/>
          <w:szCs w:val="24"/>
        </w:rPr>
      </w:pPr>
      <w:r w:rsidRPr="00D279FF">
        <w:rPr>
          <w:rFonts w:ascii="Times New Roman" w:hAnsi="Times New Roman" w:cs="Times New Roman"/>
          <w:b/>
          <w:color w:val="000000" w:themeColor="text1"/>
          <w:sz w:val="24"/>
          <w:szCs w:val="24"/>
        </w:rPr>
        <w:br w:type="page"/>
      </w:r>
    </w:p>
    <w:p w:rsidR="00676D27" w:rsidRPr="00D279FF" w:rsidRDefault="00676D27" w:rsidP="00676D27">
      <w:pPr>
        <w:autoSpaceDE w:val="0"/>
        <w:autoSpaceDN w:val="0"/>
        <w:adjustRightInd w:val="0"/>
        <w:spacing w:line="360" w:lineRule="auto"/>
        <w:jc w:val="both"/>
        <w:rPr>
          <w:rFonts w:ascii="Times New Roman" w:hAnsi="Times New Roman" w:cs="Times New Roman"/>
          <w:b/>
          <w:color w:val="000000" w:themeColor="text1"/>
          <w:sz w:val="24"/>
          <w:szCs w:val="24"/>
        </w:rPr>
      </w:pPr>
      <w:bookmarkStart w:id="15" w:name="_Hlk19529975"/>
      <w:bookmarkStart w:id="16" w:name="_Hlk19526188"/>
      <w:r w:rsidRPr="00D279FF">
        <w:rPr>
          <w:rFonts w:ascii="Times New Roman" w:hAnsi="Times New Roman" w:cs="Times New Roman"/>
          <w:b/>
          <w:color w:val="000000" w:themeColor="text1"/>
          <w:sz w:val="24"/>
          <w:szCs w:val="24"/>
        </w:rPr>
        <w:lastRenderedPageBreak/>
        <w:t>References</w:t>
      </w:r>
    </w:p>
    <w:p w:rsidR="00CD5C25" w:rsidRPr="00D279FF" w:rsidRDefault="00676D27"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fldChar w:fldCharType="begin"/>
      </w:r>
      <w:r w:rsidR="00CD5C25" w:rsidRPr="00D279FF">
        <w:rPr>
          <w:rFonts w:ascii="Times New Roman" w:hAnsi="Times New Roman" w:cs="Times New Roman"/>
          <w:color w:val="000000" w:themeColor="text1"/>
          <w:sz w:val="24"/>
          <w:szCs w:val="24"/>
        </w:rPr>
        <w:instrText xml:space="preserve"> ADDIN ZOTERO_BIBL {"uncited":[],"omitted":[],"custom":[]} CSL_BIBLIOGRAPHY </w:instrText>
      </w:r>
      <w:r w:rsidRPr="00D279FF">
        <w:rPr>
          <w:rFonts w:ascii="Times New Roman" w:hAnsi="Times New Roman" w:cs="Times New Roman"/>
          <w:color w:val="000000" w:themeColor="text1"/>
          <w:sz w:val="24"/>
          <w:szCs w:val="24"/>
        </w:rPr>
        <w:fldChar w:fldCharType="separate"/>
      </w:r>
      <w:r w:rsidR="00CD5C25" w:rsidRPr="00D279FF">
        <w:rPr>
          <w:rFonts w:ascii="Times New Roman" w:hAnsi="Times New Roman" w:cs="Times New Roman"/>
          <w:color w:val="000000" w:themeColor="text1"/>
          <w:sz w:val="24"/>
          <w:szCs w:val="24"/>
        </w:rPr>
        <w:t xml:space="preserve">1. </w:t>
      </w:r>
      <w:r w:rsidR="00CD5C25" w:rsidRPr="00D279FF">
        <w:rPr>
          <w:rFonts w:ascii="Times New Roman" w:hAnsi="Times New Roman" w:cs="Times New Roman"/>
          <w:color w:val="000000" w:themeColor="text1"/>
          <w:sz w:val="24"/>
          <w:szCs w:val="24"/>
        </w:rPr>
        <w:tab/>
        <w:t xml:space="preserve">Knight GM, Budd EL, Whitney L, et al. Shift in dominant hospital-associated methicillin-resistant Staphylococcus aureus (HA-MRSA) clones over time. </w:t>
      </w:r>
      <w:r w:rsidR="00CD5C25" w:rsidRPr="00D279FF">
        <w:rPr>
          <w:rFonts w:ascii="Times New Roman" w:hAnsi="Times New Roman" w:cs="Times New Roman"/>
          <w:i/>
          <w:iCs/>
          <w:color w:val="000000" w:themeColor="text1"/>
          <w:sz w:val="24"/>
          <w:szCs w:val="24"/>
        </w:rPr>
        <w:t>J Antimicrob Chemother</w:t>
      </w:r>
      <w:r w:rsidR="00CD5C25" w:rsidRPr="00D279FF">
        <w:rPr>
          <w:rFonts w:ascii="Times New Roman" w:hAnsi="Times New Roman" w:cs="Times New Roman"/>
          <w:color w:val="000000" w:themeColor="text1"/>
          <w:sz w:val="24"/>
          <w:szCs w:val="24"/>
        </w:rPr>
        <w:t>. 2012;67(10):2514-2522. doi:10.1093/jac/dks245</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 </w:t>
      </w:r>
      <w:r w:rsidRPr="00D279FF">
        <w:rPr>
          <w:rFonts w:ascii="Times New Roman" w:hAnsi="Times New Roman" w:cs="Times New Roman"/>
          <w:color w:val="000000" w:themeColor="text1"/>
          <w:sz w:val="24"/>
          <w:szCs w:val="24"/>
        </w:rPr>
        <w:tab/>
        <w:t xml:space="preserve">Zaman SB, Hussain MA, Nye R, Mehta V, Mamun KT, Hossain N. A Review on Antibiotic Resistance: Alarm Bells are Ringing. </w:t>
      </w:r>
      <w:r w:rsidRPr="00D279FF">
        <w:rPr>
          <w:rFonts w:ascii="Times New Roman" w:hAnsi="Times New Roman" w:cs="Times New Roman"/>
          <w:i/>
          <w:iCs/>
          <w:color w:val="000000" w:themeColor="text1"/>
          <w:sz w:val="24"/>
          <w:szCs w:val="24"/>
        </w:rPr>
        <w:t>Cureus</w:t>
      </w:r>
      <w:r w:rsidRPr="00D279FF">
        <w:rPr>
          <w:rFonts w:ascii="Times New Roman" w:hAnsi="Times New Roman" w:cs="Times New Roman"/>
          <w:color w:val="000000" w:themeColor="text1"/>
          <w:sz w:val="24"/>
          <w:szCs w:val="24"/>
        </w:rPr>
        <w:t>. 9(6). doi:10.7759/cureus.1403</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 </w:t>
      </w:r>
      <w:r w:rsidRPr="00D279FF">
        <w:rPr>
          <w:rFonts w:ascii="Times New Roman" w:hAnsi="Times New Roman" w:cs="Times New Roman"/>
          <w:color w:val="000000" w:themeColor="text1"/>
          <w:sz w:val="24"/>
          <w:szCs w:val="24"/>
        </w:rPr>
        <w:tab/>
        <w:t xml:space="preserve">O’Neill J. Tackling drug-resistant infections globally: Final report and recommendations. 2016. </w:t>
      </w:r>
      <w:r w:rsidRPr="00D279FF">
        <w:rPr>
          <w:rFonts w:ascii="Times New Roman" w:hAnsi="Times New Roman" w:cs="Times New Roman"/>
          <w:i/>
          <w:iCs/>
          <w:color w:val="000000" w:themeColor="text1"/>
          <w:sz w:val="24"/>
          <w:szCs w:val="24"/>
        </w:rPr>
        <w:t>HM Gov Welcome Trust UK</w:t>
      </w:r>
      <w:r w:rsidRPr="00D279FF">
        <w:rPr>
          <w:rFonts w:ascii="Times New Roman" w:hAnsi="Times New Roman" w:cs="Times New Roman"/>
          <w:color w:val="000000" w:themeColor="text1"/>
          <w:sz w:val="24"/>
          <w:szCs w:val="24"/>
        </w:rPr>
        <w:t>. 2018.</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4. </w:t>
      </w:r>
      <w:r w:rsidRPr="00D279FF">
        <w:rPr>
          <w:rFonts w:ascii="Times New Roman" w:hAnsi="Times New Roman" w:cs="Times New Roman"/>
          <w:color w:val="000000" w:themeColor="text1"/>
          <w:sz w:val="24"/>
          <w:szCs w:val="24"/>
        </w:rPr>
        <w:tab/>
        <w:t>Public Health England. English surveillance programme for antimicrobial utilisation and resistance (ESPAUR) Report 2018. 2018. https://assets.publishing.service.gov.uk/government/uploads/system/uploads/attachment_data/file/759975/ESPAUR_2018_report.pdf. Accessed January 21, 2019.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5. </w:t>
      </w:r>
      <w:r w:rsidRPr="00D279FF">
        <w:rPr>
          <w:rFonts w:ascii="Times New Roman" w:hAnsi="Times New Roman" w:cs="Times New Roman"/>
          <w:color w:val="000000" w:themeColor="text1"/>
          <w:sz w:val="24"/>
          <w:szCs w:val="24"/>
        </w:rPr>
        <w:tab/>
        <w:t xml:space="preserve">Smieszek T, Pouwels KB, Dolk FCK, et al. Potential for reducing inappropriate antibiotic prescribing in English primary care. </w:t>
      </w:r>
      <w:r w:rsidRPr="00D279FF">
        <w:rPr>
          <w:rFonts w:ascii="Times New Roman" w:hAnsi="Times New Roman" w:cs="Times New Roman"/>
          <w:i/>
          <w:iCs/>
          <w:color w:val="000000" w:themeColor="text1"/>
          <w:sz w:val="24"/>
          <w:szCs w:val="24"/>
        </w:rPr>
        <w:t>J Antimicrob Chemother</w:t>
      </w:r>
      <w:r w:rsidRPr="00D279FF">
        <w:rPr>
          <w:rFonts w:ascii="Times New Roman" w:hAnsi="Times New Roman" w:cs="Times New Roman"/>
          <w:color w:val="000000" w:themeColor="text1"/>
          <w:sz w:val="24"/>
          <w:szCs w:val="24"/>
        </w:rPr>
        <w:t>. 2018;73(suppl_2):ii36-ii43. doi:10.1093/jac/dkx500</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6. </w:t>
      </w:r>
      <w:r w:rsidRPr="00D279FF">
        <w:rPr>
          <w:rFonts w:ascii="Times New Roman" w:hAnsi="Times New Roman" w:cs="Times New Roman"/>
          <w:color w:val="000000" w:themeColor="text1"/>
          <w:sz w:val="24"/>
          <w:szCs w:val="24"/>
        </w:rPr>
        <w:tab/>
        <w:t>National Institute for Health and Care Excellence. Respiratory tract infections (self-limiting): prescribing antibiotics. 2008. https://www.nice.org.uk/guidance/cg69/resources/respiratory-tract-infections-selflimiting-prescribing-antibiotics-pdf-975576354757. Accessed June 10, 2019.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7. </w:t>
      </w:r>
      <w:r w:rsidRPr="00D279FF">
        <w:rPr>
          <w:rFonts w:ascii="Times New Roman" w:hAnsi="Times New Roman" w:cs="Times New Roman"/>
          <w:color w:val="000000" w:themeColor="text1"/>
          <w:sz w:val="24"/>
          <w:szCs w:val="24"/>
        </w:rPr>
        <w:tab/>
        <w:t xml:space="preserve">Baan EJ, Janssens HM, Kerckaert T, et al. Antibiotic use in children with asthma: cohort study in UK and Dutch primary care databases. </w:t>
      </w:r>
      <w:r w:rsidRPr="00D279FF">
        <w:rPr>
          <w:rFonts w:ascii="Times New Roman" w:hAnsi="Times New Roman" w:cs="Times New Roman"/>
          <w:i/>
          <w:iCs/>
          <w:color w:val="000000" w:themeColor="text1"/>
          <w:sz w:val="24"/>
          <w:szCs w:val="24"/>
        </w:rPr>
        <w:t>BMJ Open</w:t>
      </w:r>
      <w:r w:rsidRPr="00D279FF">
        <w:rPr>
          <w:rFonts w:ascii="Times New Roman" w:hAnsi="Times New Roman" w:cs="Times New Roman"/>
          <w:color w:val="000000" w:themeColor="text1"/>
          <w:sz w:val="24"/>
          <w:szCs w:val="24"/>
        </w:rPr>
        <w:t>. 2018;8(11):e022979. doi:10.1136/bmjopen-2018-022979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8. </w:t>
      </w:r>
      <w:r w:rsidRPr="00D279FF">
        <w:rPr>
          <w:rFonts w:ascii="Times New Roman" w:hAnsi="Times New Roman" w:cs="Times New Roman"/>
          <w:color w:val="000000" w:themeColor="text1"/>
          <w:sz w:val="24"/>
          <w:szCs w:val="24"/>
        </w:rPr>
        <w:tab/>
        <w:t xml:space="preserve">Hope EC, Crump RE, Hollingsworth TD, Smieszek T, Robotham JV, Pouwels KB. Identifying English Practices that Are High Antibiotic Prescribers Accounting for Comorbidities and Other Legitimate Medical Reasons for Variation. </w:t>
      </w:r>
      <w:r w:rsidRPr="00D279FF">
        <w:rPr>
          <w:rFonts w:ascii="Times New Roman" w:hAnsi="Times New Roman" w:cs="Times New Roman"/>
          <w:i/>
          <w:iCs/>
          <w:color w:val="000000" w:themeColor="text1"/>
          <w:sz w:val="24"/>
          <w:szCs w:val="24"/>
        </w:rPr>
        <w:t>EClinicalMedicine</w:t>
      </w:r>
      <w:r w:rsidRPr="00D279FF">
        <w:rPr>
          <w:rFonts w:ascii="Times New Roman" w:hAnsi="Times New Roman" w:cs="Times New Roman"/>
          <w:color w:val="000000" w:themeColor="text1"/>
          <w:sz w:val="24"/>
          <w:szCs w:val="24"/>
        </w:rPr>
        <w:t>. 2018;6:36-41. doi:10.1016/j.eclinm.2018.12.003</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9. </w:t>
      </w:r>
      <w:r w:rsidRPr="00D279FF">
        <w:rPr>
          <w:rFonts w:ascii="Times New Roman" w:hAnsi="Times New Roman" w:cs="Times New Roman"/>
          <w:color w:val="000000" w:themeColor="text1"/>
          <w:sz w:val="24"/>
          <w:szCs w:val="24"/>
        </w:rPr>
        <w:tab/>
        <w:t xml:space="preserve">NHS England. </w:t>
      </w:r>
      <w:r w:rsidRPr="00D279FF">
        <w:rPr>
          <w:rFonts w:ascii="Times New Roman" w:hAnsi="Times New Roman" w:cs="Times New Roman"/>
          <w:i/>
          <w:iCs/>
          <w:color w:val="000000" w:themeColor="text1"/>
          <w:sz w:val="24"/>
          <w:szCs w:val="24"/>
        </w:rPr>
        <w:t>Quality Premium: 2015/16 Guidance for CCGs. 2015</w:t>
      </w:r>
      <w:r w:rsidRPr="00D279FF">
        <w:rPr>
          <w:rFonts w:ascii="Times New Roman" w:hAnsi="Times New Roman" w:cs="Times New Roman"/>
          <w:color w:val="000000" w:themeColor="text1"/>
          <w:sz w:val="24"/>
          <w:szCs w:val="24"/>
        </w:rPr>
        <w:t>.; 2015. https://www.england.nhs.uk/wp-content/uploads/2013/12/qual-prem-guid.pdf.</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10. </w:t>
      </w:r>
      <w:r w:rsidRPr="00D279FF">
        <w:rPr>
          <w:rFonts w:ascii="Times New Roman" w:hAnsi="Times New Roman" w:cs="Times New Roman"/>
          <w:color w:val="000000" w:themeColor="text1"/>
          <w:sz w:val="24"/>
          <w:szCs w:val="24"/>
        </w:rPr>
        <w:tab/>
        <w:t xml:space="preserve">National Institute for Clinical Excellence. </w:t>
      </w:r>
      <w:r w:rsidRPr="00D279FF">
        <w:rPr>
          <w:rFonts w:ascii="Times New Roman" w:hAnsi="Times New Roman" w:cs="Times New Roman"/>
          <w:i/>
          <w:iCs/>
          <w:color w:val="000000" w:themeColor="text1"/>
          <w:sz w:val="24"/>
          <w:szCs w:val="24"/>
        </w:rPr>
        <w:t>Antimicrobial Stewardship: Systems and Processes for Effective Antimicrobial Medicine Use</w:t>
      </w:r>
      <w:r w:rsidRPr="00D279FF">
        <w:rPr>
          <w:rFonts w:ascii="Times New Roman" w:hAnsi="Times New Roman" w:cs="Times New Roman"/>
          <w:color w:val="000000" w:themeColor="text1"/>
          <w:sz w:val="24"/>
          <w:szCs w:val="24"/>
        </w:rPr>
        <w:t>.; 2015. https://www.nice.org.uk/guidance/ng15/resources/antimicrobial-stewardship-systems-and-processes-for-effective-antimicrobial-medicine-use-pdf-1837273110469.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11. </w:t>
      </w:r>
      <w:r w:rsidRPr="00D279FF">
        <w:rPr>
          <w:rFonts w:ascii="Times New Roman" w:hAnsi="Times New Roman" w:cs="Times New Roman"/>
          <w:color w:val="000000" w:themeColor="text1"/>
          <w:sz w:val="24"/>
          <w:szCs w:val="24"/>
        </w:rPr>
        <w:tab/>
        <w:t xml:space="preserve">Balinskaite V, Johnson AP, Holmes A, Aylin P. The Impact of a National Antimicrobial Stewardship Program on Antibiotic Prescribing in Primary Care: An Interrupted Time Series Analysis. </w:t>
      </w:r>
      <w:r w:rsidRPr="00D279FF">
        <w:rPr>
          <w:rFonts w:ascii="Times New Roman" w:hAnsi="Times New Roman" w:cs="Times New Roman"/>
          <w:i/>
          <w:iCs/>
          <w:color w:val="000000" w:themeColor="text1"/>
          <w:sz w:val="24"/>
          <w:szCs w:val="24"/>
        </w:rPr>
        <w:t>Clin Infect Dis</w:t>
      </w:r>
      <w:r w:rsidRPr="00D279FF">
        <w:rPr>
          <w:rFonts w:ascii="Times New Roman" w:hAnsi="Times New Roman" w:cs="Times New Roman"/>
          <w:color w:val="000000" w:themeColor="text1"/>
          <w:sz w:val="24"/>
          <w:szCs w:val="24"/>
        </w:rPr>
        <w:t>. doi:10.1093/cid/ciy902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12. </w:t>
      </w:r>
      <w:r w:rsidRPr="00D279FF">
        <w:rPr>
          <w:rFonts w:ascii="Times New Roman" w:hAnsi="Times New Roman" w:cs="Times New Roman"/>
          <w:color w:val="000000" w:themeColor="text1"/>
          <w:sz w:val="24"/>
          <w:szCs w:val="24"/>
        </w:rPr>
        <w:tab/>
        <w:t xml:space="preserve">Bou-Antoun S, Costelloe C, Honeyford K, et al. Age-related decline in antibiotic prescribing for uncomplicated respiratory tract infections in primary care in England following the introduction of a national financial incentive (the Quality Premium) for </w:t>
      </w:r>
      <w:r w:rsidRPr="00D279FF">
        <w:rPr>
          <w:rFonts w:ascii="Times New Roman" w:hAnsi="Times New Roman" w:cs="Times New Roman"/>
          <w:color w:val="000000" w:themeColor="text1"/>
          <w:sz w:val="24"/>
          <w:szCs w:val="24"/>
        </w:rPr>
        <w:lastRenderedPageBreak/>
        <w:t xml:space="preserve">health commissioners to reduce use of antibiotics in the community: an interrupted time series analysis. </w:t>
      </w:r>
      <w:r w:rsidRPr="00D279FF">
        <w:rPr>
          <w:rFonts w:ascii="Times New Roman" w:hAnsi="Times New Roman" w:cs="Times New Roman"/>
          <w:i/>
          <w:iCs/>
          <w:color w:val="000000" w:themeColor="text1"/>
          <w:sz w:val="24"/>
          <w:szCs w:val="24"/>
        </w:rPr>
        <w:t>J Antimicrob Chemother</w:t>
      </w:r>
      <w:r w:rsidRPr="00D279FF">
        <w:rPr>
          <w:rFonts w:ascii="Times New Roman" w:hAnsi="Times New Roman" w:cs="Times New Roman"/>
          <w:color w:val="000000" w:themeColor="text1"/>
          <w:sz w:val="24"/>
          <w:szCs w:val="24"/>
        </w:rPr>
        <w:t>. 2018;73(10):2883–2892.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13. </w:t>
      </w:r>
      <w:r w:rsidRPr="00D279FF">
        <w:rPr>
          <w:rFonts w:ascii="Times New Roman" w:hAnsi="Times New Roman" w:cs="Times New Roman"/>
          <w:color w:val="000000" w:themeColor="text1"/>
          <w:sz w:val="24"/>
          <w:szCs w:val="24"/>
        </w:rPr>
        <w:tab/>
        <w:t>Public Health England. English Surveillance Programme for Antimicrobial Utilisation and Resistance (ESPAUR): Report 2017. 2017. https://assets.publishing.service.gov.uk/government/uploads/system/uploads/attachment_data/file/656611/ESPAUR_report_2017.pdf.</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14. </w:t>
      </w:r>
      <w:r w:rsidRPr="00D279FF">
        <w:rPr>
          <w:rFonts w:ascii="Times New Roman" w:hAnsi="Times New Roman" w:cs="Times New Roman"/>
          <w:color w:val="000000" w:themeColor="text1"/>
          <w:sz w:val="24"/>
          <w:szCs w:val="24"/>
        </w:rPr>
        <w:tab/>
        <w:t xml:space="preserve">Butler CC, Dunstan F, Heginbothom M, et al. Containing antibiotic resistance: decreased antibiotic-resistant coliform urinary tract infections with reduction in antibiotic prescribing by general practices. </w:t>
      </w:r>
      <w:r w:rsidRPr="00D279FF">
        <w:rPr>
          <w:rFonts w:ascii="Times New Roman" w:hAnsi="Times New Roman" w:cs="Times New Roman"/>
          <w:i/>
          <w:iCs/>
          <w:color w:val="000000" w:themeColor="text1"/>
          <w:sz w:val="24"/>
          <w:szCs w:val="24"/>
        </w:rPr>
        <w:t>Br J Gen Pr</w:t>
      </w:r>
      <w:r w:rsidRPr="00D279FF">
        <w:rPr>
          <w:rFonts w:ascii="Times New Roman" w:hAnsi="Times New Roman" w:cs="Times New Roman"/>
          <w:color w:val="000000" w:themeColor="text1"/>
          <w:sz w:val="24"/>
          <w:szCs w:val="24"/>
        </w:rPr>
        <w:t>. 2007;57(543):785-792.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15. </w:t>
      </w:r>
      <w:r w:rsidRPr="00D279FF">
        <w:rPr>
          <w:rFonts w:ascii="Times New Roman" w:hAnsi="Times New Roman" w:cs="Times New Roman"/>
          <w:color w:val="000000" w:themeColor="text1"/>
          <w:sz w:val="24"/>
          <w:szCs w:val="24"/>
        </w:rPr>
        <w:tab/>
        <w:t>Care Quality Commission. The safer management of controlled drugs: Update report for 2017. 2017. https://www.cqc.org.uk/sites/default/files/20180718_controlleddrugs2017_report.pdf.</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16. </w:t>
      </w:r>
      <w:r w:rsidRPr="00D279FF">
        <w:rPr>
          <w:rFonts w:ascii="Times New Roman" w:hAnsi="Times New Roman" w:cs="Times New Roman"/>
          <w:color w:val="000000" w:themeColor="text1"/>
          <w:sz w:val="24"/>
          <w:szCs w:val="24"/>
        </w:rPr>
        <w:tab/>
        <w:t xml:space="preserve">Li Y, Mölter A, White A, et al. Relationship between prescribing of antibiotics and other medicines in primary care: a cross-sectional study. </w:t>
      </w:r>
      <w:r w:rsidRPr="00D279FF">
        <w:rPr>
          <w:rFonts w:ascii="Times New Roman" w:hAnsi="Times New Roman" w:cs="Times New Roman"/>
          <w:i/>
          <w:iCs/>
          <w:color w:val="000000" w:themeColor="text1"/>
          <w:sz w:val="24"/>
          <w:szCs w:val="24"/>
        </w:rPr>
        <w:t>Br J Gen Pract J R Coll Gen Pract</w:t>
      </w:r>
      <w:r w:rsidRPr="00D279FF">
        <w:rPr>
          <w:rFonts w:ascii="Times New Roman" w:hAnsi="Times New Roman" w:cs="Times New Roman"/>
          <w:color w:val="000000" w:themeColor="text1"/>
          <w:sz w:val="24"/>
          <w:szCs w:val="24"/>
        </w:rPr>
        <w:t>. 2019;69(678):e42-e51. doi:10.3399/bjgp18X700457</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17. </w:t>
      </w:r>
      <w:r w:rsidRPr="00D279FF">
        <w:rPr>
          <w:rFonts w:ascii="Times New Roman" w:hAnsi="Times New Roman" w:cs="Times New Roman"/>
          <w:color w:val="000000" w:themeColor="text1"/>
          <w:sz w:val="24"/>
          <w:szCs w:val="24"/>
        </w:rPr>
        <w:tab/>
        <w:t xml:space="preserve">Pouwels KB, Dolk FCK, Smith DRM, Smieszek T, Robotham JV. Explaining variation in antibiotic prescribing between general practices in the UK. </w:t>
      </w:r>
      <w:r w:rsidRPr="00D279FF">
        <w:rPr>
          <w:rFonts w:ascii="Times New Roman" w:hAnsi="Times New Roman" w:cs="Times New Roman"/>
          <w:i/>
          <w:iCs/>
          <w:color w:val="000000" w:themeColor="text1"/>
          <w:sz w:val="24"/>
          <w:szCs w:val="24"/>
        </w:rPr>
        <w:t>J Antimicrob Chemother</w:t>
      </w:r>
      <w:r w:rsidRPr="00D279FF">
        <w:rPr>
          <w:rFonts w:ascii="Times New Roman" w:hAnsi="Times New Roman" w:cs="Times New Roman"/>
          <w:color w:val="000000" w:themeColor="text1"/>
          <w:sz w:val="24"/>
          <w:szCs w:val="24"/>
        </w:rPr>
        <w:t>. 2018;73(suppl_2):ii27-ii35. doi:10.1093/jac/dkx501</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18. </w:t>
      </w:r>
      <w:r w:rsidRPr="00D279FF">
        <w:rPr>
          <w:rFonts w:ascii="Times New Roman" w:hAnsi="Times New Roman" w:cs="Times New Roman"/>
          <w:color w:val="000000" w:themeColor="text1"/>
          <w:sz w:val="24"/>
          <w:szCs w:val="24"/>
        </w:rPr>
        <w:tab/>
        <w:t>NHS Digital. Patients registered at a GP practice. NHS Digital. https://digital.nhs.uk/data-and-information/data-tools-and-services/data-services/general-practice-data-hub/patients-registered-at-a-gp-practice. Published 2019. Accessed June 26, 2019.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19. </w:t>
      </w:r>
      <w:r w:rsidRPr="00D279FF">
        <w:rPr>
          <w:rFonts w:ascii="Times New Roman" w:hAnsi="Times New Roman" w:cs="Times New Roman"/>
          <w:color w:val="000000" w:themeColor="text1"/>
          <w:sz w:val="24"/>
          <w:szCs w:val="24"/>
        </w:rPr>
        <w:tab/>
        <w:t>NHS Digital. Workforce Data. NHS Digital. https://digital.nhs.uk/data-and-information/areas-of-interest/workforce. Published 2018. Accessed February 19, 2019.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20. </w:t>
      </w:r>
      <w:r w:rsidRPr="00D279FF">
        <w:rPr>
          <w:rFonts w:ascii="Times New Roman" w:hAnsi="Times New Roman" w:cs="Times New Roman"/>
          <w:color w:val="000000" w:themeColor="text1"/>
          <w:sz w:val="24"/>
          <w:szCs w:val="24"/>
        </w:rPr>
        <w:tab/>
        <w:t>Department for Communities and Local Government. The English Indices of Deprivation 2015 – Frequently Asked Questions (FAQs). 2016. https://assets.publishing.service.gov.uk/government/uploads/system/uploads/attachment_data/file/579151/English_Indices_of_Deprivation_2015_-_Frequently_Asked_Questions_Dec_2016.pdf.</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21. </w:t>
      </w:r>
      <w:r w:rsidRPr="00D279FF">
        <w:rPr>
          <w:rFonts w:ascii="Times New Roman" w:hAnsi="Times New Roman" w:cs="Times New Roman"/>
          <w:color w:val="000000" w:themeColor="text1"/>
          <w:sz w:val="24"/>
          <w:szCs w:val="24"/>
        </w:rPr>
        <w:tab/>
        <w:t xml:space="preserve">Noble M, Wright G, Smith G, Dibben C. Measuring multiple deprivation at the small-area level. </w:t>
      </w:r>
      <w:r w:rsidRPr="00D279FF">
        <w:rPr>
          <w:rFonts w:ascii="Times New Roman" w:hAnsi="Times New Roman" w:cs="Times New Roman"/>
          <w:i/>
          <w:iCs/>
          <w:color w:val="000000" w:themeColor="text1"/>
          <w:sz w:val="24"/>
          <w:szCs w:val="24"/>
        </w:rPr>
        <w:t>Environ Plan A</w:t>
      </w:r>
      <w:r w:rsidRPr="00D279FF">
        <w:rPr>
          <w:rFonts w:ascii="Times New Roman" w:hAnsi="Times New Roman" w:cs="Times New Roman"/>
          <w:color w:val="000000" w:themeColor="text1"/>
          <w:sz w:val="24"/>
          <w:szCs w:val="24"/>
        </w:rPr>
        <w:t>. 2006;38(1):169–185.</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22. </w:t>
      </w:r>
      <w:r w:rsidRPr="00D279FF">
        <w:rPr>
          <w:rFonts w:ascii="Times New Roman" w:hAnsi="Times New Roman" w:cs="Times New Roman"/>
          <w:color w:val="000000" w:themeColor="text1"/>
          <w:sz w:val="24"/>
          <w:szCs w:val="24"/>
        </w:rPr>
        <w:tab/>
        <w:t>NHS Quality and Outcome Frameworks. Quality and Outcomes Framework, Achievement, prevalence and exceptions data - 2017-18 [PAS]. 2018. https://digital.nhs.uk/data-and-information/publications/statistical/quality-and-outcomes-framework-achievement-prevalence-and-exceptions-data/2017-18. Accessed February 19, 2019.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23. </w:t>
      </w:r>
      <w:r w:rsidRPr="00D279FF">
        <w:rPr>
          <w:rFonts w:ascii="Times New Roman" w:hAnsi="Times New Roman" w:cs="Times New Roman"/>
          <w:color w:val="000000" w:themeColor="text1"/>
          <w:sz w:val="24"/>
          <w:szCs w:val="24"/>
        </w:rPr>
        <w:tab/>
        <w:t xml:space="preserve">Woodhead M, Blasi F, Ewig S, et al. Guidelines for the management of adult lower respiratory tract infections. </w:t>
      </w:r>
      <w:r w:rsidRPr="00D279FF">
        <w:rPr>
          <w:rFonts w:ascii="Times New Roman" w:hAnsi="Times New Roman" w:cs="Times New Roman"/>
          <w:i/>
          <w:iCs/>
          <w:color w:val="000000" w:themeColor="text1"/>
          <w:sz w:val="24"/>
          <w:szCs w:val="24"/>
        </w:rPr>
        <w:t>Eur Respir J</w:t>
      </w:r>
      <w:r w:rsidRPr="00D279FF">
        <w:rPr>
          <w:rFonts w:ascii="Times New Roman" w:hAnsi="Times New Roman" w:cs="Times New Roman"/>
          <w:color w:val="000000" w:themeColor="text1"/>
          <w:sz w:val="24"/>
          <w:szCs w:val="24"/>
        </w:rPr>
        <w:t>. 2005;26(6):1138-1180. doi:10.1183/09031936.05.00055705</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lastRenderedPageBreak/>
        <w:t xml:space="preserve">24. </w:t>
      </w:r>
      <w:r w:rsidRPr="00D279FF">
        <w:rPr>
          <w:rFonts w:ascii="Times New Roman" w:hAnsi="Times New Roman" w:cs="Times New Roman"/>
          <w:color w:val="000000" w:themeColor="text1"/>
          <w:sz w:val="24"/>
          <w:szCs w:val="24"/>
        </w:rPr>
        <w:tab/>
        <w:t xml:space="preserve">Bont J, Hak E, Birkhoff CE, Hoes AW, Verheij TJ. Is co-morbidity taken into account in the antibiotic management of elderly patients with acute bronchitis and COPD exacerbations? </w:t>
      </w:r>
      <w:r w:rsidRPr="00D279FF">
        <w:rPr>
          <w:rFonts w:ascii="Times New Roman" w:hAnsi="Times New Roman" w:cs="Times New Roman"/>
          <w:i/>
          <w:iCs/>
          <w:color w:val="000000" w:themeColor="text1"/>
          <w:sz w:val="24"/>
          <w:szCs w:val="24"/>
        </w:rPr>
        <w:t>Fam Pract</w:t>
      </w:r>
      <w:r w:rsidRPr="00D279FF">
        <w:rPr>
          <w:rFonts w:ascii="Times New Roman" w:hAnsi="Times New Roman" w:cs="Times New Roman"/>
          <w:color w:val="000000" w:themeColor="text1"/>
          <w:sz w:val="24"/>
          <w:szCs w:val="24"/>
        </w:rPr>
        <w:t>. 2007;24(4):317-322. doi:10.1093/fampra/cmm023</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25. </w:t>
      </w:r>
      <w:r w:rsidRPr="00D279FF">
        <w:rPr>
          <w:rFonts w:ascii="Times New Roman" w:hAnsi="Times New Roman" w:cs="Times New Roman"/>
          <w:color w:val="000000" w:themeColor="text1"/>
          <w:sz w:val="24"/>
          <w:szCs w:val="24"/>
        </w:rPr>
        <w:tab/>
        <w:t xml:space="preserve">Rockenschaub P, Hayward A, Shallcross L. Antibiotic Prescribing Before and After the Diagnosis of Comorbidity: A Cohort Study Using Primary Care Electronic Health Records. </w:t>
      </w:r>
      <w:r w:rsidRPr="00D279FF">
        <w:rPr>
          <w:rFonts w:ascii="Times New Roman" w:hAnsi="Times New Roman" w:cs="Times New Roman"/>
          <w:i/>
          <w:iCs/>
          <w:color w:val="000000" w:themeColor="text1"/>
          <w:sz w:val="24"/>
          <w:szCs w:val="24"/>
        </w:rPr>
        <w:t>Clin Infect Dis</w:t>
      </w:r>
      <w:r w:rsidRPr="00D279FF">
        <w:rPr>
          <w:rFonts w:ascii="Times New Roman" w:hAnsi="Times New Roman" w:cs="Times New Roman"/>
          <w:color w:val="000000" w:themeColor="text1"/>
          <w:sz w:val="24"/>
          <w:szCs w:val="24"/>
        </w:rPr>
        <w:t>. 2019. doi:10.1093/cid/ciz1016</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26. </w:t>
      </w:r>
      <w:r w:rsidRPr="00D279FF">
        <w:rPr>
          <w:rFonts w:ascii="Times New Roman" w:hAnsi="Times New Roman" w:cs="Times New Roman"/>
          <w:color w:val="000000" w:themeColor="text1"/>
          <w:sz w:val="24"/>
          <w:szCs w:val="24"/>
        </w:rPr>
        <w:tab/>
        <w:t>NHS Business Services Authority. Information Services Portal. Detailed Prescribing Information. 2018. https://apps.nhsbsa.nhs.uk/infosystems/data/showDataSelector.do?reportId=124.</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27. </w:t>
      </w:r>
      <w:r w:rsidRPr="00D279FF">
        <w:rPr>
          <w:rFonts w:ascii="Times New Roman" w:hAnsi="Times New Roman" w:cs="Times New Roman"/>
          <w:color w:val="000000" w:themeColor="text1"/>
          <w:sz w:val="24"/>
          <w:szCs w:val="24"/>
        </w:rPr>
        <w:tab/>
        <w:t xml:space="preserve">Ferech M, Coenen S, Malhotra-Kumar S, et al. European Surveillance of Antimicrobial Consumption (ESAC): outpatient antibiotic use in Europe. </w:t>
      </w:r>
      <w:r w:rsidRPr="00D279FF">
        <w:rPr>
          <w:rFonts w:ascii="Times New Roman" w:hAnsi="Times New Roman" w:cs="Times New Roman"/>
          <w:i/>
          <w:iCs/>
          <w:color w:val="000000" w:themeColor="text1"/>
          <w:sz w:val="24"/>
          <w:szCs w:val="24"/>
        </w:rPr>
        <w:t>J Antimicrob Chemother</w:t>
      </w:r>
      <w:r w:rsidRPr="00D279FF">
        <w:rPr>
          <w:rFonts w:ascii="Times New Roman" w:hAnsi="Times New Roman" w:cs="Times New Roman"/>
          <w:color w:val="000000" w:themeColor="text1"/>
          <w:sz w:val="24"/>
          <w:szCs w:val="24"/>
        </w:rPr>
        <w:t>. 2006;58(2):401-407. doi:10.1093/jac/dkl188</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28. </w:t>
      </w:r>
      <w:r w:rsidRPr="00D279FF">
        <w:rPr>
          <w:rFonts w:ascii="Times New Roman" w:hAnsi="Times New Roman" w:cs="Times New Roman"/>
          <w:color w:val="000000" w:themeColor="text1"/>
          <w:sz w:val="24"/>
          <w:szCs w:val="24"/>
        </w:rPr>
        <w:tab/>
        <w:t xml:space="preserve">Hardin JW, Hilbe JM. </w:t>
      </w:r>
      <w:r w:rsidRPr="00D279FF">
        <w:rPr>
          <w:rFonts w:ascii="Times New Roman" w:hAnsi="Times New Roman" w:cs="Times New Roman"/>
          <w:i/>
          <w:iCs/>
          <w:color w:val="000000" w:themeColor="text1"/>
          <w:sz w:val="24"/>
          <w:szCs w:val="24"/>
        </w:rPr>
        <w:t>Generalized Estimating Equations</w:t>
      </w:r>
      <w:r w:rsidRPr="00D279FF">
        <w:rPr>
          <w:rFonts w:ascii="Times New Roman" w:hAnsi="Times New Roman" w:cs="Times New Roman"/>
          <w:color w:val="000000" w:themeColor="text1"/>
          <w:sz w:val="24"/>
          <w:szCs w:val="24"/>
        </w:rPr>
        <w:t>. Chapman and Hall/CRC; 2002.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29. </w:t>
      </w:r>
      <w:r w:rsidRPr="00D279FF">
        <w:rPr>
          <w:rFonts w:ascii="Times New Roman" w:hAnsi="Times New Roman" w:cs="Times New Roman"/>
          <w:color w:val="000000" w:themeColor="text1"/>
          <w:sz w:val="24"/>
          <w:szCs w:val="24"/>
        </w:rPr>
        <w:tab/>
        <w:t>Diabetes UK. Tackling the crisis: Transforming diabetes care for a better future England. 2019. https://www.diabetes.org.uk/resources-s3/2019-04/Diabetes%20UK%20Tackling%20the%20Crisis.pdf.</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30. </w:t>
      </w:r>
      <w:r w:rsidRPr="00D279FF">
        <w:rPr>
          <w:rFonts w:ascii="Times New Roman" w:hAnsi="Times New Roman" w:cs="Times New Roman"/>
          <w:color w:val="000000" w:themeColor="text1"/>
          <w:sz w:val="24"/>
          <w:szCs w:val="24"/>
        </w:rPr>
        <w:tab/>
        <w:t xml:space="preserve">Pearson-Stuttard J, Blundell S, Harris T, Cook DG, Critchley J. Diabetes and infection: assessing the association with glycaemic control in population-based studies. </w:t>
      </w:r>
      <w:r w:rsidRPr="00D279FF">
        <w:rPr>
          <w:rFonts w:ascii="Times New Roman" w:hAnsi="Times New Roman" w:cs="Times New Roman"/>
          <w:i/>
          <w:iCs/>
          <w:color w:val="000000" w:themeColor="text1"/>
          <w:sz w:val="24"/>
          <w:szCs w:val="24"/>
        </w:rPr>
        <w:t>Lancet Diabetes Endocrinol</w:t>
      </w:r>
      <w:r w:rsidRPr="00D279FF">
        <w:rPr>
          <w:rFonts w:ascii="Times New Roman" w:hAnsi="Times New Roman" w:cs="Times New Roman"/>
          <w:color w:val="000000" w:themeColor="text1"/>
          <w:sz w:val="24"/>
          <w:szCs w:val="24"/>
        </w:rPr>
        <w:t>. 2016;4(2):148-158. doi:10.1016/S2213-8587(15)00379-4</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31. </w:t>
      </w:r>
      <w:r w:rsidRPr="00D279FF">
        <w:rPr>
          <w:rFonts w:ascii="Times New Roman" w:hAnsi="Times New Roman" w:cs="Times New Roman"/>
          <w:color w:val="000000" w:themeColor="text1"/>
          <w:sz w:val="24"/>
          <w:szCs w:val="24"/>
        </w:rPr>
        <w:tab/>
        <w:t xml:space="preserve">Bochicchio GV, Bochicchio KM, Joshi M, Ilahi O, Scalea TM. Acute glucose elevation is highly predictive of infection and outcome in critically injured trauma patients. </w:t>
      </w:r>
      <w:r w:rsidRPr="00D279FF">
        <w:rPr>
          <w:rFonts w:ascii="Times New Roman" w:hAnsi="Times New Roman" w:cs="Times New Roman"/>
          <w:i/>
          <w:iCs/>
          <w:color w:val="000000" w:themeColor="text1"/>
          <w:sz w:val="24"/>
          <w:szCs w:val="24"/>
        </w:rPr>
        <w:t>Ann Surg</w:t>
      </w:r>
      <w:r w:rsidRPr="00D279FF">
        <w:rPr>
          <w:rFonts w:ascii="Times New Roman" w:hAnsi="Times New Roman" w:cs="Times New Roman"/>
          <w:color w:val="000000" w:themeColor="text1"/>
          <w:sz w:val="24"/>
          <w:szCs w:val="24"/>
        </w:rPr>
        <w:t>. 2010;252(4):597-602. doi:10.1097/SLA.0b013e3181f4e499</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32. </w:t>
      </w:r>
      <w:r w:rsidRPr="00D279FF">
        <w:rPr>
          <w:rFonts w:ascii="Times New Roman" w:hAnsi="Times New Roman" w:cs="Times New Roman"/>
          <w:color w:val="000000" w:themeColor="text1"/>
          <w:sz w:val="24"/>
          <w:szCs w:val="24"/>
        </w:rPr>
        <w:tab/>
        <w:t xml:space="preserve">Aabenhus R, Siersma V, Sandholdt H, Køster-Rasmussen R, Hansen MP, Bjerrum L. Identifying practice-related factors for high-volume prescribers of antibiotics in Danish general practice. </w:t>
      </w:r>
      <w:r w:rsidRPr="00D279FF">
        <w:rPr>
          <w:rFonts w:ascii="Times New Roman" w:hAnsi="Times New Roman" w:cs="Times New Roman"/>
          <w:i/>
          <w:iCs/>
          <w:color w:val="000000" w:themeColor="text1"/>
          <w:sz w:val="24"/>
          <w:szCs w:val="24"/>
        </w:rPr>
        <w:t>J Antimicrob Chemother</w:t>
      </w:r>
      <w:r w:rsidRPr="00D279FF">
        <w:rPr>
          <w:rFonts w:ascii="Times New Roman" w:hAnsi="Times New Roman" w:cs="Times New Roman"/>
          <w:color w:val="000000" w:themeColor="text1"/>
          <w:sz w:val="24"/>
          <w:szCs w:val="24"/>
        </w:rPr>
        <w:t>. 2017;72(8):2385-2391. doi:10.1093/jac/dkx115</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33. </w:t>
      </w:r>
      <w:r w:rsidRPr="00D279FF">
        <w:rPr>
          <w:rFonts w:ascii="Times New Roman" w:hAnsi="Times New Roman" w:cs="Times New Roman"/>
          <w:color w:val="000000" w:themeColor="text1"/>
          <w:sz w:val="24"/>
          <w:szCs w:val="24"/>
        </w:rPr>
        <w:tab/>
        <w:t xml:space="preserve">Anyanwu PE, Tonkin-Crine S, Borek A, Costelloe C. Investigating the mechanism of impact of the Quality Premium initiative on antibiotic prescribing in primary care practices in England: a study protocol. </w:t>
      </w:r>
      <w:r w:rsidRPr="00D279FF">
        <w:rPr>
          <w:rFonts w:ascii="Times New Roman" w:hAnsi="Times New Roman" w:cs="Times New Roman"/>
          <w:i/>
          <w:iCs/>
          <w:color w:val="000000" w:themeColor="text1"/>
          <w:sz w:val="24"/>
          <w:szCs w:val="24"/>
        </w:rPr>
        <w:t>BMJ Open</w:t>
      </w:r>
      <w:r w:rsidRPr="00D279FF">
        <w:rPr>
          <w:rFonts w:ascii="Times New Roman" w:hAnsi="Times New Roman" w:cs="Times New Roman"/>
          <w:color w:val="000000" w:themeColor="text1"/>
          <w:sz w:val="24"/>
          <w:szCs w:val="24"/>
        </w:rPr>
        <w:t>. 2019;9(8):e030093. doi:10.1136/bmjopen-2019-030093</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34. </w:t>
      </w:r>
      <w:r w:rsidRPr="00D279FF">
        <w:rPr>
          <w:rFonts w:ascii="Times New Roman" w:hAnsi="Times New Roman" w:cs="Times New Roman"/>
          <w:color w:val="000000" w:themeColor="text1"/>
          <w:sz w:val="24"/>
          <w:szCs w:val="24"/>
        </w:rPr>
        <w:tab/>
        <w:t xml:space="preserve">Royal College of General Practitioners. </w:t>
      </w:r>
      <w:r w:rsidRPr="00D279FF">
        <w:rPr>
          <w:rFonts w:ascii="Times New Roman" w:hAnsi="Times New Roman" w:cs="Times New Roman"/>
          <w:i/>
          <w:iCs/>
          <w:color w:val="000000" w:themeColor="text1"/>
          <w:sz w:val="24"/>
          <w:szCs w:val="24"/>
        </w:rPr>
        <w:t>Target Antibiotics Toolkit</w:t>
      </w:r>
      <w:r w:rsidRPr="00D279FF">
        <w:rPr>
          <w:rFonts w:ascii="Times New Roman" w:hAnsi="Times New Roman" w:cs="Times New Roman"/>
          <w:color w:val="000000" w:themeColor="text1"/>
          <w:sz w:val="24"/>
          <w:szCs w:val="24"/>
        </w:rPr>
        <w:t>. London; 2012.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35. </w:t>
      </w:r>
      <w:r w:rsidRPr="00D279FF">
        <w:rPr>
          <w:rFonts w:ascii="Times New Roman" w:hAnsi="Times New Roman" w:cs="Times New Roman"/>
          <w:color w:val="000000" w:themeColor="text1"/>
          <w:sz w:val="24"/>
          <w:szCs w:val="24"/>
        </w:rPr>
        <w:tab/>
        <w:t xml:space="preserve">Ashiru-Oredope D, Budd EL, Bhattacharya A, et al. Implementation of antimicrobial stewardship interventions recommended by national toolkits in primary and secondary healthcare sectors in England: TARGET and Start Smart Then Focus. </w:t>
      </w:r>
      <w:r w:rsidRPr="00D279FF">
        <w:rPr>
          <w:rFonts w:ascii="Times New Roman" w:hAnsi="Times New Roman" w:cs="Times New Roman"/>
          <w:i/>
          <w:iCs/>
          <w:color w:val="000000" w:themeColor="text1"/>
          <w:sz w:val="24"/>
          <w:szCs w:val="24"/>
        </w:rPr>
        <w:t>J Antimicrob Chemother</w:t>
      </w:r>
      <w:r w:rsidRPr="00D279FF">
        <w:rPr>
          <w:rFonts w:ascii="Times New Roman" w:hAnsi="Times New Roman" w:cs="Times New Roman"/>
          <w:color w:val="000000" w:themeColor="text1"/>
          <w:sz w:val="24"/>
          <w:szCs w:val="24"/>
        </w:rPr>
        <w:t>. 2016;71(5):1408-1414. doi:10.1093/jac/dkv492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36. </w:t>
      </w:r>
      <w:r w:rsidRPr="00D279FF">
        <w:rPr>
          <w:rFonts w:ascii="Times New Roman" w:hAnsi="Times New Roman" w:cs="Times New Roman"/>
          <w:color w:val="000000" w:themeColor="text1"/>
          <w:sz w:val="24"/>
          <w:szCs w:val="24"/>
        </w:rPr>
        <w:tab/>
        <w:t>Public Health England. Antimicrobial Resistance Resource Handbook. 2016. https://assets.publishing.service.gov.uk/government/uploads/system/uploads/attachment_data/file/768999/PHE_AMR_resource_handbook.pdf.</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lastRenderedPageBreak/>
        <w:t xml:space="preserve">37. </w:t>
      </w:r>
      <w:r w:rsidRPr="00D279FF">
        <w:rPr>
          <w:rFonts w:ascii="Times New Roman" w:hAnsi="Times New Roman" w:cs="Times New Roman"/>
          <w:color w:val="000000" w:themeColor="text1"/>
          <w:sz w:val="24"/>
          <w:szCs w:val="24"/>
        </w:rPr>
        <w:tab/>
        <w:t xml:space="preserve">Hallsworth M, Chadborn T, Sallis A, et al. Provision of social norm feedback to high prescribers of antibiotics in general practice: a pragmatic national randomised controlled trial. </w:t>
      </w:r>
      <w:r w:rsidRPr="00D279FF">
        <w:rPr>
          <w:rFonts w:ascii="Times New Roman" w:hAnsi="Times New Roman" w:cs="Times New Roman"/>
          <w:i/>
          <w:iCs/>
          <w:color w:val="000000" w:themeColor="text1"/>
          <w:sz w:val="24"/>
          <w:szCs w:val="24"/>
        </w:rPr>
        <w:t>The Lancet</w:t>
      </w:r>
      <w:r w:rsidRPr="00D279FF">
        <w:rPr>
          <w:rFonts w:ascii="Times New Roman" w:hAnsi="Times New Roman" w:cs="Times New Roman"/>
          <w:color w:val="000000" w:themeColor="text1"/>
          <w:sz w:val="24"/>
          <w:szCs w:val="24"/>
        </w:rPr>
        <w:t>. 2016;387(10029):1743–1752.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38. </w:t>
      </w:r>
      <w:r w:rsidRPr="00D279FF">
        <w:rPr>
          <w:rFonts w:ascii="Times New Roman" w:hAnsi="Times New Roman" w:cs="Times New Roman"/>
          <w:color w:val="000000" w:themeColor="text1"/>
          <w:sz w:val="24"/>
          <w:szCs w:val="24"/>
        </w:rPr>
        <w:tab/>
        <w:t xml:space="preserve">Yip W, Powell-Jackson T, Chen W, et al. Capitation Combined With Pay-For-Performance Improves Antibiotic Prescribing Practices In Rural China. </w:t>
      </w:r>
      <w:r w:rsidRPr="00D279FF">
        <w:rPr>
          <w:rFonts w:ascii="Times New Roman" w:hAnsi="Times New Roman" w:cs="Times New Roman"/>
          <w:i/>
          <w:iCs/>
          <w:color w:val="000000" w:themeColor="text1"/>
          <w:sz w:val="24"/>
          <w:szCs w:val="24"/>
        </w:rPr>
        <w:t>Health Aff (Millwood)</w:t>
      </w:r>
      <w:r w:rsidRPr="00D279FF">
        <w:rPr>
          <w:rFonts w:ascii="Times New Roman" w:hAnsi="Times New Roman" w:cs="Times New Roman"/>
          <w:color w:val="000000" w:themeColor="text1"/>
          <w:sz w:val="24"/>
          <w:szCs w:val="24"/>
        </w:rPr>
        <w:t>. 2014;33(3):502-510. doi:10.1377/hlthaff.2013.0702</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39. </w:t>
      </w:r>
      <w:r w:rsidRPr="00D279FF">
        <w:rPr>
          <w:rFonts w:ascii="Times New Roman" w:hAnsi="Times New Roman" w:cs="Times New Roman"/>
          <w:color w:val="000000" w:themeColor="text1"/>
          <w:sz w:val="24"/>
          <w:szCs w:val="24"/>
        </w:rPr>
        <w:tab/>
        <w:t xml:space="preserve">Campbell SM, Reeves D, Kontopantelis E, Sibbald B, Roland M. Effects of pay for performance on the quality of primary care in England. </w:t>
      </w:r>
      <w:r w:rsidRPr="00D279FF">
        <w:rPr>
          <w:rFonts w:ascii="Times New Roman" w:hAnsi="Times New Roman" w:cs="Times New Roman"/>
          <w:i/>
          <w:iCs/>
          <w:color w:val="000000" w:themeColor="text1"/>
          <w:sz w:val="24"/>
          <w:szCs w:val="24"/>
        </w:rPr>
        <w:t>N Engl J Med</w:t>
      </w:r>
      <w:r w:rsidRPr="00D279FF">
        <w:rPr>
          <w:rFonts w:ascii="Times New Roman" w:hAnsi="Times New Roman" w:cs="Times New Roman"/>
          <w:color w:val="000000" w:themeColor="text1"/>
          <w:sz w:val="24"/>
          <w:szCs w:val="24"/>
        </w:rPr>
        <w:t>. 2009;361(4):368–378.</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40. </w:t>
      </w:r>
      <w:r w:rsidRPr="00D279FF">
        <w:rPr>
          <w:rFonts w:ascii="Times New Roman" w:hAnsi="Times New Roman" w:cs="Times New Roman"/>
          <w:color w:val="000000" w:themeColor="text1"/>
          <w:sz w:val="24"/>
          <w:szCs w:val="24"/>
        </w:rPr>
        <w:tab/>
        <w:t xml:space="preserve">Martens JD, Werkhoven MJ, Severens JL, Winkens RAG. Effects of a behaviour independent financial incentive on prescribing behaviour of general practitioners. </w:t>
      </w:r>
      <w:r w:rsidRPr="00D279FF">
        <w:rPr>
          <w:rFonts w:ascii="Times New Roman" w:hAnsi="Times New Roman" w:cs="Times New Roman"/>
          <w:i/>
          <w:iCs/>
          <w:color w:val="000000" w:themeColor="text1"/>
          <w:sz w:val="24"/>
          <w:szCs w:val="24"/>
        </w:rPr>
        <w:t>J Eval Clin Pract</w:t>
      </w:r>
      <w:r w:rsidRPr="00D279FF">
        <w:rPr>
          <w:rFonts w:ascii="Times New Roman" w:hAnsi="Times New Roman" w:cs="Times New Roman"/>
          <w:color w:val="000000" w:themeColor="text1"/>
          <w:sz w:val="24"/>
          <w:szCs w:val="24"/>
        </w:rPr>
        <w:t>. 2007;13(3):369-373. doi:10.1111/j.1365-2753.2006.00707.x</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41. </w:t>
      </w:r>
      <w:r w:rsidRPr="00D279FF">
        <w:rPr>
          <w:rFonts w:ascii="Times New Roman" w:hAnsi="Times New Roman" w:cs="Times New Roman"/>
          <w:color w:val="000000" w:themeColor="text1"/>
          <w:sz w:val="24"/>
          <w:szCs w:val="24"/>
        </w:rPr>
        <w:tab/>
        <w:t xml:space="preserve">Mullen KJ, Frank RG, Rosenthal MB. Can you get what you pay for? Pay-for-performance and the quality of healthcare providers. </w:t>
      </w:r>
      <w:r w:rsidRPr="00D279FF">
        <w:rPr>
          <w:rFonts w:ascii="Times New Roman" w:hAnsi="Times New Roman" w:cs="Times New Roman"/>
          <w:i/>
          <w:iCs/>
          <w:color w:val="000000" w:themeColor="text1"/>
          <w:sz w:val="24"/>
          <w:szCs w:val="24"/>
        </w:rPr>
        <w:t>Rand J Econ</w:t>
      </w:r>
      <w:r w:rsidRPr="00D279FF">
        <w:rPr>
          <w:rFonts w:ascii="Times New Roman" w:hAnsi="Times New Roman" w:cs="Times New Roman"/>
          <w:color w:val="000000" w:themeColor="text1"/>
          <w:sz w:val="24"/>
          <w:szCs w:val="24"/>
        </w:rPr>
        <w:t>. 2010;41(1):64–91.</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42. </w:t>
      </w:r>
      <w:r w:rsidRPr="00D279FF">
        <w:rPr>
          <w:rFonts w:ascii="Times New Roman" w:hAnsi="Times New Roman" w:cs="Times New Roman"/>
          <w:color w:val="000000" w:themeColor="text1"/>
          <w:sz w:val="24"/>
          <w:szCs w:val="24"/>
        </w:rPr>
        <w:tab/>
        <w:t xml:space="preserve">Anyanwu PE, Borek AJ, Tonkin-Crine S, Beech E, Costelloe C. Conceptualising the Integration of Strategies by Clinical Commissioning Groups in England towards the Antibiotic Prescribing Targets for the Quality Premium Financial Incentive Scheme: A Short Report. </w:t>
      </w:r>
      <w:r w:rsidRPr="00D279FF">
        <w:rPr>
          <w:rFonts w:ascii="Times New Roman" w:hAnsi="Times New Roman" w:cs="Times New Roman"/>
          <w:i/>
          <w:iCs/>
          <w:color w:val="000000" w:themeColor="text1"/>
          <w:sz w:val="24"/>
          <w:szCs w:val="24"/>
        </w:rPr>
        <w:t>Antibiotics</w:t>
      </w:r>
      <w:r w:rsidRPr="00D279FF">
        <w:rPr>
          <w:rFonts w:ascii="Times New Roman" w:hAnsi="Times New Roman" w:cs="Times New Roman"/>
          <w:color w:val="000000" w:themeColor="text1"/>
          <w:sz w:val="24"/>
          <w:szCs w:val="24"/>
        </w:rPr>
        <w:t>. 2020;9(2):44. doi:10.3390/antibiotics9020044</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43. </w:t>
      </w:r>
      <w:r w:rsidRPr="00D279FF">
        <w:rPr>
          <w:rFonts w:ascii="Times New Roman" w:hAnsi="Times New Roman" w:cs="Times New Roman"/>
          <w:color w:val="000000" w:themeColor="text1"/>
          <w:sz w:val="24"/>
          <w:szCs w:val="24"/>
        </w:rPr>
        <w:tab/>
        <w:t xml:space="preserve">Minchin M, Roland M, Richardson J, Rowark S, Guthrie B. Quality of Care in the United Kingdom after Removal of Financial Incentives. </w:t>
      </w:r>
      <w:r w:rsidRPr="00D279FF">
        <w:rPr>
          <w:rFonts w:ascii="Times New Roman" w:hAnsi="Times New Roman" w:cs="Times New Roman"/>
          <w:i/>
          <w:iCs/>
          <w:color w:val="000000" w:themeColor="text1"/>
          <w:sz w:val="24"/>
          <w:szCs w:val="24"/>
        </w:rPr>
        <w:t>N Engl J Med</w:t>
      </w:r>
      <w:r w:rsidRPr="00D279FF">
        <w:rPr>
          <w:rFonts w:ascii="Times New Roman" w:hAnsi="Times New Roman" w:cs="Times New Roman"/>
          <w:color w:val="000000" w:themeColor="text1"/>
          <w:sz w:val="24"/>
          <w:szCs w:val="24"/>
        </w:rPr>
        <w:t>. September 2018. doi:10.1056/NEJMsa1801495</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44. </w:t>
      </w:r>
      <w:r w:rsidRPr="00D279FF">
        <w:rPr>
          <w:rFonts w:ascii="Times New Roman" w:hAnsi="Times New Roman" w:cs="Times New Roman"/>
          <w:color w:val="000000" w:themeColor="text1"/>
          <w:sz w:val="24"/>
          <w:szCs w:val="24"/>
        </w:rPr>
        <w:tab/>
        <w:t xml:space="preserve">Hemkens LG, Saccilotto R, Reyes SL, et al. Personalized Prescription Feedback Using Routinely Collected Data to Reduce Antibiotic Use in Primary Care: A Randomized Clinical Trial. </w:t>
      </w:r>
      <w:r w:rsidRPr="00D279FF">
        <w:rPr>
          <w:rFonts w:ascii="Times New Roman" w:hAnsi="Times New Roman" w:cs="Times New Roman"/>
          <w:i/>
          <w:iCs/>
          <w:color w:val="000000" w:themeColor="text1"/>
          <w:sz w:val="24"/>
          <w:szCs w:val="24"/>
        </w:rPr>
        <w:t>JAMA Intern Med</w:t>
      </w:r>
      <w:r w:rsidRPr="00D279FF">
        <w:rPr>
          <w:rFonts w:ascii="Times New Roman" w:hAnsi="Times New Roman" w:cs="Times New Roman"/>
          <w:color w:val="000000" w:themeColor="text1"/>
          <w:sz w:val="24"/>
          <w:szCs w:val="24"/>
        </w:rPr>
        <w:t>. 2017;177(2):176-183. doi:10.1001/jamainternmed.2016.8040</w:t>
      </w:r>
    </w:p>
    <w:p w:rsidR="00CD5C25" w:rsidRPr="00D279FF" w:rsidRDefault="00CD5C25" w:rsidP="00CD5C25">
      <w:pPr>
        <w:pStyle w:val="Bibliography"/>
        <w:jc w:val="both"/>
        <w:rPr>
          <w:rFonts w:ascii="Times New Roman" w:hAnsi="Times New Roman" w:cs="Times New Roman"/>
          <w:color w:val="000000" w:themeColor="text1"/>
          <w:sz w:val="24"/>
          <w:szCs w:val="24"/>
        </w:rPr>
      </w:pPr>
      <w:r w:rsidRPr="00D279FF">
        <w:rPr>
          <w:rFonts w:ascii="Times New Roman" w:hAnsi="Times New Roman" w:cs="Times New Roman"/>
          <w:color w:val="000000" w:themeColor="text1"/>
          <w:sz w:val="24"/>
          <w:szCs w:val="24"/>
        </w:rPr>
        <w:t xml:space="preserve">45. </w:t>
      </w:r>
      <w:r w:rsidRPr="00D279FF">
        <w:rPr>
          <w:rFonts w:ascii="Times New Roman" w:hAnsi="Times New Roman" w:cs="Times New Roman"/>
          <w:color w:val="000000" w:themeColor="text1"/>
          <w:sz w:val="24"/>
          <w:szCs w:val="24"/>
        </w:rPr>
        <w:tab/>
        <w:t xml:space="preserve">Iacobucci G. Tories promise 6000 extra GPs by 2024. </w:t>
      </w:r>
      <w:r w:rsidRPr="00D279FF">
        <w:rPr>
          <w:rFonts w:ascii="Times New Roman" w:hAnsi="Times New Roman" w:cs="Times New Roman"/>
          <w:i/>
          <w:iCs/>
          <w:color w:val="000000" w:themeColor="text1"/>
          <w:sz w:val="24"/>
          <w:szCs w:val="24"/>
        </w:rPr>
        <w:t>BMJ</w:t>
      </w:r>
      <w:r w:rsidRPr="00D279FF">
        <w:rPr>
          <w:rFonts w:ascii="Times New Roman" w:hAnsi="Times New Roman" w:cs="Times New Roman"/>
          <w:color w:val="000000" w:themeColor="text1"/>
          <w:sz w:val="24"/>
          <w:szCs w:val="24"/>
        </w:rPr>
        <w:t>. 2019;367. doi:10.1136/bmj.l6463</w:t>
      </w:r>
    </w:p>
    <w:p w:rsidR="00676D27" w:rsidRPr="00D279FF" w:rsidRDefault="00676D27" w:rsidP="00CD5C25">
      <w:pPr>
        <w:pStyle w:val="Bibliography"/>
        <w:ind w:left="426" w:hanging="426"/>
        <w:jc w:val="both"/>
        <w:rPr>
          <w:rFonts w:ascii="Times New Roman" w:hAnsi="Times New Roman" w:cs="Times New Roman"/>
          <w:color w:val="000000" w:themeColor="text1"/>
          <w:sz w:val="24"/>
          <w:szCs w:val="24"/>
        </w:rPr>
      </w:pPr>
      <w:r w:rsidRPr="00D279FF">
        <w:rPr>
          <w:rFonts w:ascii="Times New Roman" w:hAnsi="Times New Roman" w:cs="Times New Roman"/>
          <w:b/>
          <w:color w:val="000000" w:themeColor="text1"/>
          <w:sz w:val="24"/>
          <w:szCs w:val="24"/>
        </w:rPr>
        <w:fldChar w:fldCharType="end"/>
      </w:r>
      <w:bookmarkEnd w:id="15"/>
      <w:bookmarkEnd w:id="16"/>
    </w:p>
    <w:p w:rsidR="00D279FF" w:rsidRDefault="00D279FF">
      <w:pPr>
        <w:rPr>
          <w:color w:val="000000" w:themeColor="text1"/>
        </w:rPr>
      </w:pPr>
      <w:r>
        <w:rPr>
          <w:color w:val="000000" w:themeColor="text1"/>
        </w:rPr>
        <w:br w:type="page"/>
      </w:r>
    </w:p>
    <w:p w:rsidR="00940F93" w:rsidRPr="00AC6F49" w:rsidRDefault="00940F93" w:rsidP="00940F93">
      <w:pPr>
        <w:autoSpaceDE w:val="0"/>
        <w:autoSpaceDN w:val="0"/>
        <w:adjustRightInd w:val="0"/>
        <w:spacing w:line="3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Supplementary t</w:t>
      </w:r>
      <w:r w:rsidRPr="00AC6F49">
        <w:rPr>
          <w:rFonts w:ascii="Times New Roman" w:hAnsi="Times New Roman" w:cs="Times New Roman"/>
          <w:i/>
          <w:sz w:val="24"/>
          <w:szCs w:val="24"/>
        </w:rPr>
        <w:t>able</w:t>
      </w:r>
      <w:r>
        <w:rPr>
          <w:rFonts w:ascii="Times New Roman" w:hAnsi="Times New Roman" w:cs="Times New Roman"/>
          <w:i/>
          <w:sz w:val="24"/>
          <w:szCs w:val="24"/>
        </w:rPr>
        <w:t xml:space="preserve"> 1</w:t>
      </w:r>
      <w:r w:rsidRPr="00AC6F49">
        <w:rPr>
          <w:rFonts w:ascii="Times New Roman" w:hAnsi="Times New Roman" w:cs="Times New Roman"/>
          <w:i/>
          <w:sz w:val="24"/>
          <w:szCs w:val="24"/>
        </w:rPr>
        <w:t>: Univariate models</w:t>
      </w:r>
    </w:p>
    <w:tbl>
      <w:tblPr>
        <w:tblStyle w:val="TableGrid"/>
        <w:tblW w:w="0" w:type="auto"/>
        <w:jc w:val="center"/>
        <w:tblLook w:val="04A0" w:firstRow="1" w:lastRow="0" w:firstColumn="1" w:lastColumn="0" w:noHBand="0" w:noVBand="1"/>
      </w:tblPr>
      <w:tblGrid>
        <w:gridCol w:w="1683"/>
        <w:gridCol w:w="2609"/>
        <w:gridCol w:w="1244"/>
        <w:gridCol w:w="1228"/>
        <w:gridCol w:w="1214"/>
      </w:tblGrid>
      <w:tr w:rsidR="00940F93" w:rsidRPr="00973926" w:rsidTr="00663E9F">
        <w:trPr>
          <w:trHeight w:val="331"/>
          <w:jc w:val="center"/>
        </w:trPr>
        <w:tc>
          <w:tcPr>
            <w:tcW w:w="4292" w:type="dxa"/>
            <w:gridSpan w:val="2"/>
            <w:vMerge w:val="restart"/>
          </w:tcPr>
          <w:p w:rsidR="00940F93" w:rsidRPr="00973926" w:rsidRDefault="00940F93" w:rsidP="00663E9F">
            <w:pPr>
              <w:spacing w:line="360" w:lineRule="auto"/>
              <w:jc w:val="both"/>
              <w:rPr>
                <w:rFonts w:ascii="Times New Roman" w:hAnsi="Times New Roman" w:cs="Times New Roman"/>
                <w:sz w:val="20"/>
                <w:szCs w:val="20"/>
              </w:rPr>
            </w:pPr>
          </w:p>
        </w:tc>
        <w:tc>
          <w:tcPr>
            <w:tcW w:w="1244" w:type="dxa"/>
            <w:vMerge w:val="restart"/>
          </w:tcPr>
          <w:p w:rsidR="00940F93" w:rsidRPr="00973926" w:rsidRDefault="00940F93" w:rsidP="00663E9F">
            <w:pPr>
              <w:spacing w:line="360" w:lineRule="auto"/>
              <w:jc w:val="center"/>
              <w:rPr>
                <w:rFonts w:ascii="Times New Roman" w:hAnsi="Times New Roman" w:cs="Times New Roman"/>
                <w:b/>
                <w:sz w:val="20"/>
                <w:szCs w:val="20"/>
              </w:rPr>
            </w:pPr>
            <w:r w:rsidRPr="00973926">
              <w:rPr>
                <w:rFonts w:ascii="Times New Roman" w:hAnsi="Times New Roman" w:cs="Times New Roman"/>
                <w:b/>
                <w:sz w:val="20"/>
                <w:szCs w:val="20"/>
              </w:rPr>
              <w:t>Coefficient</w:t>
            </w:r>
          </w:p>
        </w:tc>
        <w:tc>
          <w:tcPr>
            <w:tcW w:w="2442" w:type="dxa"/>
            <w:gridSpan w:val="2"/>
          </w:tcPr>
          <w:p w:rsidR="00940F93" w:rsidRPr="00973926" w:rsidRDefault="00940F93" w:rsidP="00663E9F">
            <w:pPr>
              <w:spacing w:line="360" w:lineRule="auto"/>
              <w:jc w:val="center"/>
              <w:rPr>
                <w:rFonts w:ascii="Times New Roman" w:hAnsi="Times New Roman" w:cs="Times New Roman"/>
                <w:b/>
                <w:sz w:val="20"/>
                <w:szCs w:val="20"/>
              </w:rPr>
            </w:pPr>
            <w:r w:rsidRPr="00973926">
              <w:rPr>
                <w:rFonts w:ascii="Times New Roman" w:hAnsi="Times New Roman" w:cs="Times New Roman"/>
                <w:b/>
                <w:sz w:val="20"/>
                <w:szCs w:val="20"/>
              </w:rPr>
              <w:t>95% CI</w:t>
            </w:r>
          </w:p>
        </w:tc>
      </w:tr>
      <w:tr w:rsidR="00940F93" w:rsidRPr="00973926" w:rsidTr="00663E9F">
        <w:trPr>
          <w:trHeight w:val="331"/>
          <w:jc w:val="center"/>
        </w:trPr>
        <w:tc>
          <w:tcPr>
            <w:tcW w:w="4292" w:type="dxa"/>
            <w:gridSpan w:val="2"/>
            <w:vMerge/>
          </w:tcPr>
          <w:p w:rsidR="00940F93" w:rsidRPr="00973926" w:rsidRDefault="00940F93" w:rsidP="00663E9F">
            <w:pPr>
              <w:spacing w:line="360" w:lineRule="auto"/>
              <w:jc w:val="both"/>
              <w:rPr>
                <w:rFonts w:ascii="Times New Roman" w:hAnsi="Times New Roman" w:cs="Times New Roman"/>
                <w:sz w:val="20"/>
                <w:szCs w:val="20"/>
              </w:rPr>
            </w:pPr>
          </w:p>
        </w:tc>
        <w:tc>
          <w:tcPr>
            <w:tcW w:w="1244" w:type="dxa"/>
            <w:vMerge/>
          </w:tcPr>
          <w:p w:rsidR="00940F93" w:rsidRPr="00973926" w:rsidRDefault="00940F93" w:rsidP="00663E9F">
            <w:pPr>
              <w:spacing w:line="360" w:lineRule="auto"/>
              <w:jc w:val="center"/>
              <w:rPr>
                <w:rFonts w:ascii="Times New Roman" w:hAnsi="Times New Roman" w:cs="Times New Roman"/>
                <w:b/>
                <w:sz w:val="20"/>
                <w:szCs w:val="20"/>
              </w:rPr>
            </w:pPr>
          </w:p>
        </w:tc>
        <w:tc>
          <w:tcPr>
            <w:tcW w:w="1228" w:type="dxa"/>
          </w:tcPr>
          <w:p w:rsidR="00940F93" w:rsidRPr="00973926" w:rsidRDefault="00940F93" w:rsidP="00663E9F">
            <w:pPr>
              <w:spacing w:line="360" w:lineRule="auto"/>
              <w:jc w:val="center"/>
              <w:rPr>
                <w:rFonts w:ascii="Times New Roman" w:hAnsi="Times New Roman" w:cs="Times New Roman"/>
                <w:b/>
                <w:sz w:val="20"/>
                <w:szCs w:val="20"/>
              </w:rPr>
            </w:pPr>
            <w:r w:rsidRPr="00973926">
              <w:rPr>
                <w:rFonts w:ascii="Times New Roman" w:hAnsi="Times New Roman" w:cs="Times New Roman"/>
                <w:b/>
                <w:sz w:val="20"/>
                <w:szCs w:val="20"/>
              </w:rPr>
              <w:t>Lower</w:t>
            </w:r>
          </w:p>
        </w:tc>
        <w:tc>
          <w:tcPr>
            <w:tcW w:w="1214" w:type="dxa"/>
          </w:tcPr>
          <w:p w:rsidR="00940F93" w:rsidRPr="00973926" w:rsidRDefault="00940F93" w:rsidP="00663E9F">
            <w:pPr>
              <w:spacing w:line="360" w:lineRule="auto"/>
              <w:jc w:val="center"/>
              <w:rPr>
                <w:rFonts w:ascii="Times New Roman" w:hAnsi="Times New Roman" w:cs="Times New Roman"/>
                <w:b/>
                <w:sz w:val="20"/>
                <w:szCs w:val="20"/>
              </w:rPr>
            </w:pPr>
            <w:r w:rsidRPr="00973926">
              <w:rPr>
                <w:rFonts w:ascii="Times New Roman" w:hAnsi="Times New Roman" w:cs="Times New Roman"/>
                <w:b/>
                <w:sz w:val="20"/>
                <w:szCs w:val="20"/>
              </w:rPr>
              <w:t>Upper</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2015/16 QP</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-0.142</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-0.146</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-0.138</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Pr>
                <w:rFonts w:ascii="Times New Roman" w:hAnsi="Times New Roman" w:cs="Times New Roman"/>
                <w:b/>
                <w:sz w:val="20"/>
                <w:szCs w:val="20"/>
              </w:rPr>
              <w:t>Month-on-month effect post QP implementation</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0.004</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0.004</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0.005</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Asthma</w:t>
            </w:r>
            <w:r>
              <w:rPr>
                <w:rFonts w:ascii="Times New Roman" w:hAnsi="Times New Roman" w:cs="Times New Roman"/>
                <w:b/>
                <w:sz w:val="20"/>
                <w:szCs w:val="20"/>
              </w:rPr>
              <w:t xml:space="preserve"> prevalence (%)</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0.06</w:t>
            </w:r>
            <w:r>
              <w:rPr>
                <w:rFonts w:ascii="Times New Roman" w:hAnsi="Times New Roman" w:cs="Times New Roman"/>
                <w:sz w:val="20"/>
                <w:szCs w:val="20"/>
              </w:rPr>
              <w:t>4</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0.06</w:t>
            </w:r>
            <w:r>
              <w:rPr>
                <w:rFonts w:ascii="Times New Roman" w:hAnsi="Times New Roman" w:cs="Times New Roman"/>
                <w:sz w:val="20"/>
                <w:szCs w:val="20"/>
              </w:rPr>
              <w:t>1</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0.06</w:t>
            </w:r>
            <w:r>
              <w:rPr>
                <w:rFonts w:ascii="Times New Roman" w:hAnsi="Times New Roman" w:cs="Times New Roman"/>
                <w:sz w:val="20"/>
                <w:szCs w:val="20"/>
              </w:rPr>
              <w:t>7</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Diabetes</w:t>
            </w:r>
            <w:r>
              <w:rPr>
                <w:rFonts w:ascii="Times New Roman" w:hAnsi="Times New Roman" w:cs="Times New Roman"/>
                <w:b/>
                <w:sz w:val="20"/>
                <w:szCs w:val="20"/>
              </w:rPr>
              <w:t xml:space="preserve"> prevalence (%)</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0.03</w:t>
            </w:r>
            <w:r>
              <w:rPr>
                <w:rFonts w:ascii="Times New Roman" w:hAnsi="Times New Roman" w:cs="Times New Roman"/>
                <w:sz w:val="20"/>
                <w:szCs w:val="20"/>
              </w:rPr>
              <w:t>3</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w:t>
            </w:r>
            <w:r>
              <w:rPr>
                <w:rFonts w:ascii="Times New Roman" w:hAnsi="Times New Roman" w:cs="Times New Roman"/>
                <w:sz w:val="20"/>
                <w:szCs w:val="20"/>
              </w:rPr>
              <w:t>31</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0.03</w:t>
            </w:r>
            <w:r>
              <w:rPr>
                <w:rFonts w:ascii="Times New Roman" w:hAnsi="Times New Roman" w:cs="Times New Roman"/>
                <w:sz w:val="20"/>
                <w:szCs w:val="20"/>
              </w:rPr>
              <w:t>5</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COPD</w:t>
            </w:r>
            <w:r>
              <w:rPr>
                <w:rFonts w:ascii="Times New Roman" w:hAnsi="Times New Roman" w:cs="Times New Roman"/>
                <w:b/>
                <w:sz w:val="20"/>
                <w:szCs w:val="20"/>
              </w:rPr>
              <w:t xml:space="preserve"> prevalence (%)</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0.10</w:t>
            </w:r>
            <w:r>
              <w:rPr>
                <w:rFonts w:ascii="Times New Roman" w:hAnsi="Times New Roman" w:cs="Times New Roman"/>
                <w:sz w:val="20"/>
                <w:szCs w:val="20"/>
              </w:rPr>
              <w:t>2</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w:t>
            </w:r>
            <w:r>
              <w:rPr>
                <w:rFonts w:ascii="Times New Roman" w:hAnsi="Times New Roman" w:cs="Times New Roman"/>
                <w:sz w:val="20"/>
                <w:szCs w:val="20"/>
              </w:rPr>
              <w:t>099</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0.10</w:t>
            </w:r>
            <w:r>
              <w:rPr>
                <w:rFonts w:ascii="Times New Roman" w:hAnsi="Times New Roman" w:cs="Times New Roman"/>
                <w:sz w:val="20"/>
                <w:szCs w:val="20"/>
              </w:rPr>
              <w:t>6</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Cancer</w:t>
            </w:r>
            <w:r>
              <w:rPr>
                <w:rFonts w:ascii="Times New Roman" w:hAnsi="Times New Roman" w:cs="Times New Roman"/>
                <w:b/>
                <w:sz w:val="20"/>
                <w:szCs w:val="20"/>
              </w:rPr>
              <w:t xml:space="preserve"> prevalence (%)</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0.016</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0.011</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w:t>
            </w:r>
            <w:r>
              <w:rPr>
                <w:rFonts w:ascii="Times New Roman" w:hAnsi="Times New Roman" w:cs="Times New Roman"/>
                <w:sz w:val="20"/>
                <w:szCs w:val="20"/>
              </w:rPr>
              <w:t>20</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CKD</w:t>
            </w:r>
            <w:r>
              <w:rPr>
                <w:rFonts w:ascii="Times New Roman" w:hAnsi="Times New Roman" w:cs="Times New Roman"/>
                <w:b/>
                <w:sz w:val="20"/>
                <w:szCs w:val="20"/>
              </w:rPr>
              <w:t xml:space="preserve"> prevalence (%)</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0.027</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0.025</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w:t>
            </w:r>
            <w:r>
              <w:rPr>
                <w:rFonts w:ascii="Times New Roman" w:hAnsi="Times New Roman" w:cs="Times New Roman"/>
                <w:sz w:val="20"/>
                <w:szCs w:val="20"/>
              </w:rPr>
              <w:t>29</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Opioid</w:t>
            </w:r>
            <w:r>
              <w:rPr>
                <w:rFonts w:ascii="Times New Roman" w:hAnsi="Times New Roman" w:cs="Times New Roman"/>
                <w:b/>
                <w:sz w:val="20"/>
                <w:szCs w:val="20"/>
              </w:rPr>
              <w:t xml:space="preserve"> (items </w:t>
            </w:r>
            <w:r w:rsidRPr="00716900">
              <w:rPr>
                <w:rFonts w:ascii="Times New Roman" w:hAnsi="Times New Roman" w:cs="Times New Roman"/>
                <w:b/>
                <w:sz w:val="20"/>
                <w:szCs w:val="20"/>
              </w:rPr>
              <w:t>per 100 patients</w:t>
            </w:r>
            <w:r>
              <w:rPr>
                <w:rFonts w:ascii="Times New Roman" w:hAnsi="Times New Roman" w:cs="Times New Roman"/>
                <w:b/>
                <w:sz w:val="20"/>
                <w:szCs w:val="20"/>
              </w:rPr>
              <w:t>)</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w:t>
            </w:r>
            <w:r>
              <w:rPr>
                <w:rFonts w:ascii="Times New Roman" w:hAnsi="Times New Roman" w:cs="Times New Roman"/>
                <w:sz w:val="20"/>
                <w:szCs w:val="20"/>
              </w:rPr>
              <w:t>124</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0.12</w:t>
            </w:r>
            <w:r>
              <w:rPr>
                <w:rFonts w:ascii="Times New Roman" w:hAnsi="Times New Roman" w:cs="Times New Roman"/>
                <w:sz w:val="20"/>
                <w:szCs w:val="20"/>
              </w:rPr>
              <w:t>2</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0.12</w:t>
            </w:r>
            <w:r>
              <w:rPr>
                <w:rFonts w:ascii="Times New Roman" w:hAnsi="Times New Roman" w:cs="Times New Roman"/>
                <w:sz w:val="20"/>
                <w:szCs w:val="20"/>
              </w:rPr>
              <w:t>5</w:t>
            </w:r>
          </w:p>
        </w:tc>
      </w:tr>
      <w:tr w:rsidR="00940F93" w:rsidRPr="00973926" w:rsidTr="00663E9F">
        <w:trPr>
          <w:trHeight w:val="331"/>
          <w:jc w:val="center"/>
        </w:trPr>
        <w:tc>
          <w:tcPr>
            <w:tcW w:w="4292" w:type="dxa"/>
            <w:gridSpan w:val="2"/>
          </w:tcPr>
          <w:p w:rsidR="00940F93"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Benzodiazepine anxiolytics</w:t>
            </w:r>
          </w:p>
          <w:p w:rsidR="00940F93" w:rsidRPr="00973926" w:rsidRDefault="00940F93" w:rsidP="00663E9F">
            <w:pPr>
              <w:spacing w:line="360" w:lineRule="auto"/>
              <w:jc w:val="right"/>
              <w:rPr>
                <w:rFonts w:ascii="Times New Roman" w:hAnsi="Times New Roman" w:cs="Times New Roman"/>
                <w:b/>
                <w:sz w:val="20"/>
                <w:szCs w:val="20"/>
              </w:rPr>
            </w:pPr>
            <w:r>
              <w:rPr>
                <w:rFonts w:ascii="Times New Roman" w:hAnsi="Times New Roman" w:cs="Times New Roman"/>
                <w:b/>
                <w:sz w:val="20"/>
                <w:szCs w:val="20"/>
              </w:rPr>
              <w:t xml:space="preserve">(items </w:t>
            </w:r>
            <w:r w:rsidRPr="00716900">
              <w:rPr>
                <w:rFonts w:ascii="Times New Roman" w:hAnsi="Times New Roman" w:cs="Times New Roman"/>
                <w:b/>
                <w:sz w:val="20"/>
                <w:szCs w:val="20"/>
              </w:rPr>
              <w:t>per 100 patients</w:t>
            </w:r>
            <w:r>
              <w:rPr>
                <w:rFonts w:ascii="Times New Roman" w:hAnsi="Times New Roman" w:cs="Times New Roman"/>
                <w:b/>
                <w:sz w:val="20"/>
                <w:szCs w:val="20"/>
              </w:rPr>
              <w:t>)</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w:t>
            </w:r>
            <w:r>
              <w:rPr>
                <w:rFonts w:ascii="Times New Roman" w:hAnsi="Times New Roman" w:cs="Times New Roman"/>
                <w:sz w:val="20"/>
                <w:szCs w:val="20"/>
              </w:rPr>
              <w:t>261</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w:t>
            </w:r>
            <w:r>
              <w:rPr>
                <w:rFonts w:ascii="Times New Roman" w:hAnsi="Times New Roman" w:cs="Times New Roman"/>
                <w:sz w:val="20"/>
                <w:szCs w:val="20"/>
              </w:rPr>
              <w:t>257</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w:t>
            </w:r>
            <w:r>
              <w:rPr>
                <w:rFonts w:ascii="Times New Roman" w:hAnsi="Times New Roman" w:cs="Times New Roman"/>
                <w:sz w:val="20"/>
                <w:szCs w:val="20"/>
              </w:rPr>
              <w:t>265</w:t>
            </w:r>
          </w:p>
        </w:tc>
      </w:tr>
      <w:tr w:rsidR="00940F93" w:rsidRPr="00973926" w:rsidTr="00663E9F">
        <w:trPr>
          <w:trHeight w:val="331"/>
          <w:jc w:val="center"/>
        </w:trPr>
        <w:tc>
          <w:tcPr>
            <w:tcW w:w="4292" w:type="dxa"/>
            <w:gridSpan w:val="2"/>
          </w:tcPr>
          <w:p w:rsidR="00940F93"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Benzodiazepine hypnotics</w:t>
            </w:r>
          </w:p>
          <w:p w:rsidR="00940F93" w:rsidRPr="00973926" w:rsidRDefault="00940F93" w:rsidP="00663E9F">
            <w:pPr>
              <w:spacing w:line="360" w:lineRule="auto"/>
              <w:jc w:val="right"/>
              <w:rPr>
                <w:rFonts w:ascii="Times New Roman" w:hAnsi="Times New Roman" w:cs="Times New Roman"/>
                <w:b/>
                <w:sz w:val="20"/>
                <w:szCs w:val="20"/>
              </w:rPr>
            </w:pPr>
            <w:r>
              <w:rPr>
                <w:rFonts w:ascii="Times New Roman" w:hAnsi="Times New Roman" w:cs="Times New Roman"/>
                <w:b/>
                <w:sz w:val="20"/>
                <w:szCs w:val="20"/>
              </w:rPr>
              <w:t xml:space="preserve">(items </w:t>
            </w:r>
            <w:r w:rsidRPr="00716900">
              <w:rPr>
                <w:rFonts w:ascii="Times New Roman" w:hAnsi="Times New Roman" w:cs="Times New Roman"/>
                <w:b/>
                <w:sz w:val="20"/>
                <w:szCs w:val="20"/>
              </w:rPr>
              <w:t>per 100 patients</w:t>
            </w:r>
            <w:r>
              <w:rPr>
                <w:rFonts w:ascii="Times New Roman" w:hAnsi="Times New Roman" w:cs="Times New Roman"/>
                <w:b/>
                <w:sz w:val="20"/>
                <w:szCs w:val="20"/>
              </w:rPr>
              <w:t>)</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0.2</w:t>
            </w:r>
            <w:r>
              <w:rPr>
                <w:rFonts w:ascii="Times New Roman" w:hAnsi="Times New Roman" w:cs="Times New Roman"/>
                <w:sz w:val="20"/>
                <w:szCs w:val="20"/>
              </w:rPr>
              <w:t>50</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0.2</w:t>
            </w:r>
            <w:r>
              <w:rPr>
                <w:rFonts w:ascii="Times New Roman" w:hAnsi="Times New Roman" w:cs="Times New Roman"/>
                <w:sz w:val="20"/>
                <w:szCs w:val="20"/>
              </w:rPr>
              <w:t>46</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0.2</w:t>
            </w:r>
            <w:r>
              <w:rPr>
                <w:rFonts w:ascii="Times New Roman" w:hAnsi="Times New Roman" w:cs="Times New Roman"/>
                <w:sz w:val="20"/>
                <w:szCs w:val="20"/>
              </w:rPr>
              <w:t>53</w:t>
            </w:r>
          </w:p>
        </w:tc>
      </w:tr>
      <w:tr w:rsidR="00940F93" w:rsidRPr="00973926" w:rsidTr="00663E9F">
        <w:trPr>
          <w:trHeight w:val="331"/>
          <w:jc w:val="center"/>
        </w:trPr>
        <w:tc>
          <w:tcPr>
            <w:tcW w:w="1683" w:type="dxa"/>
            <w:vMerge w:val="restart"/>
          </w:tcPr>
          <w:p w:rsidR="00940F93"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GP headcount</w:t>
            </w:r>
            <w:r>
              <w:rPr>
                <w:rFonts w:ascii="Times New Roman" w:hAnsi="Times New Roman" w:cs="Times New Roman"/>
                <w:b/>
                <w:sz w:val="20"/>
                <w:szCs w:val="20"/>
              </w:rPr>
              <w:t xml:space="preserve"> (GPHC) per 10,000 patients</w:t>
            </w:r>
          </w:p>
          <w:p w:rsidR="00940F93" w:rsidRPr="00973926" w:rsidRDefault="00940F93" w:rsidP="00663E9F">
            <w:pPr>
              <w:spacing w:line="360" w:lineRule="auto"/>
              <w:jc w:val="right"/>
              <w:rPr>
                <w:rFonts w:ascii="Times New Roman" w:hAnsi="Times New Roman" w:cs="Times New Roman"/>
                <w:b/>
                <w:sz w:val="20"/>
                <w:szCs w:val="20"/>
              </w:rPr>
            </w:pPr>
            <w:r>
              <w:rPr>
                <w:rFonts w:ascii="Times New Roman" w:hAnsi="Times New Roman" w:cs="Times New Roman"/>
                <w:sz w:val="20"/>
                <w:szCs w:val="20"/>
              </w:rPr>
              <w:t>(spline terms)</w:t>
            </w:r>
          </w:p>
        </w:tc>
        <w:tc>
          <w:tcPr>
            <w:tcW w:w="2609" w:type="dxa"/>
          </w:tcPr>
          <w:p w:rsidR="00940F93" w:rsidRPr="00973926" w:rsidRDefault="00940F93" w:rsidP="00663E9F">
            <w:pPr>
              <w:jc w:val="right"/>
              <w:rPr>
                <w:rFonts w:ascii="Times New Roman" w:hAnsi="Times New Roman" w:cs="Times New Roman"/>
                <w:b/>
                <w:sz w:val="20"/>
                <w:szCs w:val="20"/>
              </w:rPr>
            </w:pPr>
            <w:r>
              <w:rPr>
                <w:rFonts w:ascii="Bell MT" w:hAnsi="Bell MT" w:cs="Times New Roman"/>
                <w:b/>
                <w:sz w:val="20"/>
                <w:szCs w:val="20"/>
              </w:rPr>
              <w:t>GPHC1 (</w:t>
            </w:r>
            <w:r w:rsidRPr="004D1528">
              <w:rPr>
                <w:rFonts w:ascii="Bell MT" w:hAnsi="Bell MT" w:cs="Times New Roman"/>
                <w:b/>
                <w:sz w:val="20"/>
                <w:szCs w:val="20"/>
              </w:rPr>
              <w:t>&lt; 4.91</w:t>
            </w:r>
            <w:r>
              <w:rPr>
                <w:rFonts w:ascii="Bell MT" w:hAnsi="Bell MT" w:cs="Times New Roman"/>
                <w:b/>
                <w:sz w:val="20"/>
                <w:szCs w:val="20"/>
              </w:rPr>
              <w:t>)</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w:t>
            </w:r>
            <w:r>
              <w:rPr>
                <w:rFonts w:ascii="Times New Roman" w:hAnsi="Times New Roman" w:cs="Times New Roman"/>
                <w:sz w:val="20"/>
                <w:szCs w:val="20"/>
              </w:rPr>
              <w:t>14</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w:t>
            </w:r>
            <w:r>
              <w:rPr>
                <w:rFonts w:ascii="Times New Roman" w:hAnsi="Times New Roman" w:cs="Times New Roman"/>
                <w:sz w:val="20"/>
                <w:szCs w:val="20"/>
              </w:rPr>
              <w:t>12</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w:t>
            </w:r>
            <w:r>
              <w:rPr>
                <w:rFonts w:ascii="Times New Roman" w:hAnsi="Times New Roman" w:cs="Times New Roman"/>
                <w:sz w:val="20"/>
                <w:szCs w:val="20"/>
              </w:rPr>
              <w:t>15</w:t>
            </w:r>
          </w:p>
        </w:tc>
      </w:tr>
      <w:tr w:rsidR="00940F93" w:rsidRPr="00973926" w:rsidTr="00663E9F">
        <w:trPr>
          <w:trHeight w:val="331"/>
          <w:jc w:val="center"/>
        </w:trPr>
        <w:tc>
          <w:tcPr>
            <w:tcW w:w="1683" w:type="dxa"/>
            <w:vMerge/>
          </w:tcPr>
          <w:p w:rsidR="00940F93" w:rsidRPr="00973926" w:rsidRDefault="00940F93" w:rsidP="00663E9F">
            <w:pPr>
              <w:spacing w:line="360" w:lineRule="auto"/>
              <w:jc w:val="right"/>
              <w:rPr>
                <w:rFonts w:ascii="Times New Roman" w:hAnsi="Times New Roman" w:cs="Times New Roman"/>
                <w:b/>
                <w:sz w:val="20"/>
                <w:szCs w:val="20"/>
              </w:rPr>
            </w:pPr>
          </w:p>
        </w:tc>
        <w:tc>
          <w:tcPr>
            <w:tcW w:w="2609" w:type="dxa"/>
          </w:tcPr>
          <w:p w:rsidR="00940F93" w:rsidRPr="00973926" w:rsidRDefault="00940F93" w:rsidP="00663E9F">
            <w:pPr>
              <w:spacing w:line="360" w:lineRule="auto"/>
              <w:jc w:val="center"/>
              <w:rPr>
                <w:rFonts w:ascii="Times New Roman" w:hAnsi="Times New Roman" w:cs="Times New Roman"/>
                <w:b/>
                <w:sz w:val="20"/>
                <w:szCs w:val="20"/>
              </w:rPr>
            </w:pPr>
            <w:r>
              <w:rPr>
                <w:rFonts w:ascii="Bell MT" w:hAnsi="Bell MT" w:cs="Times New Roman"/>
                <w:b/>
                <w:sz w:val="20"/>
                <w:szCs w:val="20"/>
              </w:rPr>
              <w:t>GPHC2 (&gt;</w:t>
            </w:r>
            <w:r w:rsidRPr="004D1528">
              <w:rPr>
                <w:rFonts w:ascii="Bell MT" w:hAnsi="Bell MT" w:cs="Times New Roman"/>
                <w:b/>
                <w:sz w:val="20"/>
                <w:szCs w:val="20"/>
              </w:rPr>
              <w:t xml:space="preserve"> 4.91</w:t>
            </w:r>
            <w:r>
              <w:t xml:space="preserve"> </w:t>
            </w:r>
            <w:r>
              <w:rPr>
                <w:rFonts w:ascii="Bell MT" w:hAnsi="Bell MT" w:cs="Times New Roman"/>
                <w:b/>
                <w:sz w:val="20"/>
                <w:szCs w:val="20"/>
              </w:rPr>
              <w:t>but &lt;9.81)</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0.003</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0.001</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0.005</w:t>
            </w:r>
          </w:p>
        </w:tc>
      </w:tr>
      <w:tr w:rsidR="00940F93" w:rsidRPr="00973926" w:rsidTr="00663E9F">
        <w:trPr>
          <w:trHeight w:val="331"/>
          <w:jc w:val="center"/>
        </w:trPr>
        <w:tc>
          <w:tcPr>
            <w:tcW w:w="1683" w:type="dxa"/>
            <w:vMerge/>
          </w:tcPr>
          <w:p w:rsidR="00940F93" w:rsidRPr="00973926" w:rsidRDefault="00940F93" w:rsidP="00663E9F">
            <w:pPr>
              <w:spacing w:line="360" w:lineRule="auto"/>
              <w:jc w:val="right"/>
              <w:rPr>
                <w:rFonts w:ascii="Times New Roman" w:hAnsi="Times New Roman" w:cs="Times New Roman"/>
                <w:b/>
                <w:sz w:val="20"/>
                <w:szCs w:val="20"/>
              </w:rPr>
            </w:pPr>
          </w:p>
        </w:tc>
        <w:tc>
          <w:tcPr>
            <w:tcW w:w="2609" w:type="dxa"/>
          </w:tcPr>
          <w:p w:rsidR="00940F93" w:rsidRPr="00973926" w:rsidRDefault="00940F93" w:rsidP="00663E9F">
            <w:pPr>
              <w:spacing w:line="360" w:lineRule="auto"/>
              <w:jc w:val="right"/>
              <w:rPr>
                <w:rFonts w:ascii="Times New Roman" w:hAnsi="Times New Roman" w:cs="Times New Roman"/>
                <w:b/>
                <w:sz w:val="20"/>
                <w:szCs w:val="20"/>
              </w:rPr>
            </w:pPr>
            <w:r>
              <w:rPr>
                <w:rFonts w:ascii="Bell MT" w:hAnsi="Bell MT" w:cs="Times New Roman"/>
                <w:b/>
                <w:sz w:val="20"/>
                <w:szCs w:val="20"/>
              </w:rPr>
              <w:t>GPHC3 (</w:t>
            </w:r>
            <w:r w:rsidRPr="00C846DF">
              <w:rPr>
                <w:rFonts w:ascii="Bell MT" w:hAnsi="Bell MT" w:cs="Times New Roman"/>
                <w:b/>
                <w:sz w:val="20"/>
                <w:szCs w:val="20"/>
              </w:rPr>
              <w:t xml:space="preserve">&gt;9.81 </w:t>
            </w:r>
            <w:r>
              <w:rPr>
                <w:rFonts w:ascii="Bell MT" w:hAnsi="Bell MT" w:cs="Times New Roman"/>
                <w:b/>
                <w:sz w:val="20"/>
                <w:szCs w:val="20"/>
              </w:rPr>
              <w:t>but</w:t>
            </w:r>
            <w:r w:rsidRPr="00C846DF">
              <w:rPr>
                <w:rFonts w:ascii="Bell MT" w:hAnsi="Bell MT" w:cs="Times New Roman"/>
                <w:b/>
                <w:sz w:val="20"/>
                <w:szCs w:val="20"/>
              </w:rPr>
              <w:t xml:space="preserve"> &lt;14.72</w:t>
            </w:r>
            <w:r>
              <w:rPr>
                <w:rFonts w:ascii="Bell MT" w:hAnsi="Bell MT" w:cs="Times New Roman"/>
                <w:b/>
                <w:sz w:val="20"/>
                <w:szCs w:val="20"/>
              </w:rPr>
              <w:t>)</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0.007</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0.002</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0.012</w:t>
            </w:r>
          </w:p>
        </w:tc>
      </w:tr>
      <w:tr w:rsidR="00940F93" w:rsidRPr="00973926" w:rsidTr="00663E9F">
        <w:trPr>
          <w:trHeight w:val="331"/>
          <w:jc w:val="center"/>
        </w:trPr>
        <w:tc>
          <w:tcPr>
            <w:tcW w:w="1683" w:type="dxa"/>
            <w:vMerge/>
          </w:tcPr>
          <w:p w:rsidR="00940F93" w:rsidRPr="00973926" w:rsidRDefault="00940F93" w:rsidP="00663E9F">
            <w:pPr>
              <w:spacing w:line="360" w:lineRule="auto"/>
              <w:jc w:val="right"/>
              <w:rPr>
                <w:rFonts w:ascii="Times New Roman" w:hAnsi="Times New Roman" w:cs="Times New Roman"/>
                <w:b/>
                <w:sz w:val="20"/>
                <w:szCs w:val="20"/>
              </w:rPr>
            </w:pPr>
          </w:p>
        </w:tc>
        <w:tc>
          <w:tcPr>
            <w:tcW w:w="2609" w:type="dxa"/>
          </w:tcPr>
          <w:p w:rsidR="00940F93" w:rsidRPr="00973926" w:rsidRDefault="00940F93" w:rsidP="00663E9F">
            <w:pPr>
              <w:spacing w:line="360" w:lineRule="auto"/>
              <w:jc w:val="right"/>
              <w:rPr>
                <w:rFonts w:ascii="Times New Roman" w:hAnsi="Times New Roman" w:cs="Times New Roman"/>
                <w:b/>
                <w:sz w:val="20"/>
                <w:szCs w:val="20"/>
              </w:rPr>
            </w:pPr>
            <w:r>
              <w:rPr>
                <w:rFonts w:ascii="Bell MT" w:hAnsi="Bell MT" w:cs="Times New Roman"/>
                <w:b/>
                <w:sz w:val="20"/>
                <w:szCs w:val="20"/>
              </w:rPr>
              <w:t>GPHC4 (</w:t>
            </w:r>
            <w:r w:rsidRPr="00C846DF">
              <w:rPr>
                <w:rFonts w:ascii="Bell MT" w:hAnsi="Bell MT" w:cs="Times New Roman"/>
                <w:b/>
                <w:sz w:val="20"/>
                <w:szCs w:val="20"/>
              </w:rPr>
              <w:t>&gt;14.972</w:t>
            </w:r>
            <w:r>
              <w:rPr>
                <w:rFonts w:ascii="Bell MT" w:hAnsi="Bell MT" w:cs="Times New Roman"/>
                <w:b/>
                <w:sz w:val="20"/>
                <w:szCs w:val="20"/>
              </w:rPr>
              <w:t>)</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0.009</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-0.006</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0.024</w:t>
            </w:r>
          </w:p>
        </w:tc>
      </w:tr>
      <w:tr w:rsidR="00940F93" w:rsidRPr="00973926" w:rsidTr="00663E9F">
        <w:trPr>
          <w:trHeight w:val="331"/>
          <w:jc w:val="center"/>
        </w:trPr>
        <w:tc>
          <w:tcPr>
            <w:tcW w:w="4292" w:type="dxa"/>
            <w:gridSpan w:val="2"/>
          </w:tcPr>
          <w:p w:rsidR="00940F93" w:rsidRPr="00973926" w:rsidRDefault="00940F93" w:rsidP="00663E9F">
            <w:pPr>
              <w:spacing w:line="360" w:lineRule="auto"/>
              <w:jc w:val="right"/>
              <w:rPr>
                <w:rFonts w:ascii="Times New Roman" w:hAnsi="Times New Roman" w:cs="Times New Roman"/>
                <w:b/>
                <w:sz w:val="20"/>
                <w:szCs w:val="20"/>
              </w:rPr>
            </w:pPr>
            <w:r w:rsidRPr="00973926">
              <w:rPr>
                <w:rFonts w:ascii="Times New Roman" w:hAnsi="Times New Roman" w:cs="Times New Roman"/>
                <w:b/>
                <w:sz w:val="20"/>
                <w:szCs w:val="20"/>
              </w:rPr>
              <w:t>IMD</w:t>
            </w:r>
          </w:p>
        </w:tc>
        <w:tc>
          <w:tcPr>
            <w:tcW w:w="1244"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-0.01</w:t>
            </w:r>
            <w:r>
              <w:rPr>
                <w:rFonts w:ascii="Times New Roman" w:hAnsi="Times New Roman" w:cs="Times New Roman"/>
                <w:sz w:val="20"/>
                <w:szCs w:val="20"/>
              </w:rPr>
              <w:t>0</w:t>
            </w:r>
          </w:p>
        </w:tc>
        <w:tc>
          <w:tcPr>
            <w:tcW w:w="1228" w:type="dxa"/>
          </w:tcPr>
          <w:p w:rsidR="00940F93" w:rsidRPr="00973926" w:rsidRDefault="00940F93" w:rsidP="00663E9F">
            <w:pPr>
              <w:spacing w:line="360" w:lineRule="auto"/>
              <w:jc w:val="right"/>
              <w:rPr>
                <w:rFonts w:ascii="Times New Roman" w:hAnsi="Times New Roman" w:cs="Times New Roman"/>
                <w:sz w:val="20"/>
                <w:szCs w:val="20"/>
              </w:rPr>
            </w:pPr>
            <w:r w:rsidRPr="00973926">
              <w:rPr>
                <w:rFonts w:ascii="Times New Roman" w:hAnsi="Times New Roman" w:cs="Times New Roman"/>
                <w:sz w:val="20"/>
                <w:szCs w:val="20"/>
              </w:rPr>
              <w:t>-0.0</w:t>
            </w:r>
            <w:r>
              <w:rPr>
                <w:rFonts w:ascii="Times New Roman" w:hAnsi="Times New Roman" w:cs="Times New Roman"/>
                <w:sz w:val="20"/>
                <w:szCs w:val="20"/>
              </w:rPr>
              <w:t>11</w:t>
            </w:r>
          </w:p>
        </w:tc>
        <w:tc>
          <w:tcPr>
            <w:tcW w:w="1214" w:type="dxa"/>
          </w:tcPr>
          <w:p w:rsidR="00940F93" w:rsidRPr="00973926" w:rsidRDefault="00940F93" w:rsidP="00663E9F">
            <w:pPr>
              <w:spacing w:line="360" w:lineRule="auto"/>
              <w:jc w:val="right"/>
              <w:rPr>
                <w:rFonts w:ascii="Times New Roman" w:hAnsi="Times New Roman" w:cs="Times New Roman"/>
                <w:sz w:val="20"/>
                <w:szCs w:val="20"/>
              </w:rPr>
            </w:pPr>
            <w:r>
              <w:rPr>
                <w:rFonts w:ascii="Times New Roman" w:hAnsi="Times New Roman" w:cs="Times New Roman"/>
                <w:sz w:val="20"/>
                <w:szCs w:val="20"/>
              </w:rPr>
              <w:t>-</w:t>
            </w:r>
            <w:r w:rsidRPr="00973926">
              <w:rPr>
                <w:rFonts w:ascii="Times New Roman" w:hAnsi="Times New Roman" w:cs="Times New Roman"/>
                <w:sz w:val="20"/>
                <w:szCs w:val="20"/>
              </w:rPr>
              <w:t>0.00</w:t>
            </w:r>
            <w:r>
              <w:rPr>
                <w:rFonts w:ascii="Times New Roman" w:hAnsi="Times New Roman" w:cs="Times New Roman"/>
                <w:sz w:val="20"/>
                <w:szCs w:val="20"/>
              </w:rPr>
              <w:t>9</w:t>
            </w:r>
          </w:p>
        </w:tc>
      </w:tr>
    </w:tbl>
    <w:p w:rsidR="00E665A1" w:rsidRPr="00D279FF" w:rsidRDefault="00940F93">
      <w:pPr>
        <w:rPr>
          <w:color w:val="000000" w:themeColor="text1"/>
        </w:rPr>
      </w:pPr>
    </w:p>
    <w:sectPr w:rsidR="00E665A1" w:rsidRPr="00D279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A8" w:rsidRDefault="00636E4A">
      <w:pPr>
        <w:spacing w:after="0" w:line="240" w:lineRule="auto"/>
      </w:pPr>
      <w:r>
        <w:separator/>
      </w:r>
    </w:p>
  </w:endnote>
  <w:endnote w:type="continuationSeparator" w:id="0">
    <w:p w:rsidR="00F31AA8" w:rsidRDefault="0063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236143"/>
      <w:docPartObj>
        <w:docPartGallery w:val="Page Numbers (Bottom of Page)"/>
        <w:docPartUnique/>
      </w:docPartObj>
    </w:sdtPr>
    <w:sdtEndPr>
      <w:rPr>
        <w:noProof/>
      </w:rPr>
    </w:sdtEndPr>
    <w:sdtContent>
      <w:p w:rsidR="00FC284D" w:rsidRDefault="00CA1A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284D" w:rsidRDefault="0094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A8" w:rsidRDefault="00636E4A">
      <w:pPr>
        <w:spacing w:after="0" w:line="240" w:lineRule="auto"/>
      </w:pPr>
      <w:r>
        <w:separator/>
      </w:r>
    </w:p>
  </w:footnote>
  <w:footnote w:type="continuationSeparator" w:id="0">
    <w:p w:rsidR="00F31AA8" w:rsidRDefault="00636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1527E"/>
    <w:multiLevelType w:val="hybridMultilevel"/>
    <w:tmpl w:val="F3DE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zQzNbc0MzE1NjNV0lEKTi0uzszPAykwrQUAa/RhmiwAAAA="/>
  </w:docVars>
  <w:rsids>
    <w:rsidRoot w:val="00676D27"/>
    <w:rsid w:val="00021697"/>
    <w:rsid w:val="00044B8E"/>
    <w:rsid w:val="00051C00"/>
    <w:rsid w:val="0018466B"/>
    <w:rsid w:val="001E78DF"/>
    <w:rsid w:val="00354F97"/>
    <w:rsid w:val="003A1D61"/>
    <w:rsid w:val="00592B6A"/>
    <w:rsid w:val="00636E4A"/>
    <w:rsid w:val="00676D27"/>
    <w:rsid w:val="007228D6"/>
    <w:rsid w:val="00776CCC"/>
    <w:rsid w:val="007D4025"/>
    <w:rsid w:val="007F6F99"/>
    <w:rsid w:val="008B1BE8"/>
    <w:rsid w:val="00940F93"/>
    <w:rsid w:val="0094276D"/>
    <w:rsid w:val="00AB1066"/>
    <w:rsid w:val="00B53054"/>
    <w:rsid w:val="00BC44E2"/>
    <w:rsid w:val="00BC4A86"/>
    <w:rsid w:val="00BD1CE2"/>
    <w:rsid w:val="00BE694E"/>
    <w:rsid w:val="00BF6658"/>
    <w:rsid w:val="00C23CA6"/>
    <w:rsid w:val="00C36E9B"/>
    <w:rsid w:val="00C7245A"/>
    <w:rsid w:val="00CA1A15"/>
    <w:rsid w:val="00CB0042"/>
    <w:rsid w:val="00CD589E"/>
    <w:rsid w:val="00CD5C25"/>
    <w:rsid w:val="00D279FF"/>
    <w:rsid w:val="00D72FE1"/>
    <w:rsid w:val="00DB7299"/>
    <w:rsid w:val="00E63058"/>
    <w:rsid w:val="00E80D1B"/>
    <w:rsid w:val="00E84F86"/>
    <w:rsid w:val="00F149A0"/>
    <w:rsid w:val="00F31AA8"/>
    <w:rsid w:val="00F34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CB81"/>
  <w15:chartTrackingRefBased/>
  <w15:docId w15:val="{7AEDF183-7C08-4559-A7FC-87DF3B7D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76D27"/>
    <w:pPr>
      <w:tabs>
        <w:tab w:val="left" w:pos="504"/>
      </w:tabs>
      <w:spacing w:after="240" w:line="240" w:lineRule="auto"/>
      <w:ind w:left="504" w:hanging="504"/>
    </w:pPr>
  </w:style>
  <w:style w:type="paragraph" w:styleId="HTMLPreformatted">
    <w:name w:val="HTML Preformatted"/>
    <w:basedOn w:val="Normal"/>
    <w:link w:val="HTMLPreformattedChar"/>
    <w:uiPriority w:val="99"/>
    <w:unhideWhenUsed/>
    <w:rsid w:val="00676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76D27"/>
    <w:rPr>
      <w:rFonts w:ascii="Courier New" w:eastAsia="Times New Roman" w:hAnsi="Courier New" w:cs="Courier New"/>
      <w:sz w:val="20"/>
      <w:szCs w:val="20"/>
      <w:lang w:eastAsia="en-GB"/>
    </w:rPr>
  </w:style>
  <w:style w:type="paragraph" w:styleId="ListParagraph">
    <w:name w:val="List Paragraph"/>
    <w:basedOn w:val="Normal"/>
    <w:uiPriority w:val="34"/>
    <w:qFormat/>
    <w:rsid w:val="00676D27"/>
    <w:pPr>
      <w:ind w:left="720"/>
      <w:contextualSpacing/>
    </w:pPr>
  </w:style>
  <w:style w:type="paragraph" w:styleId="Footer">
    <w:name w:val="footer"/>
    <w:basedOn w:val="Normal"/>
    <w:link w:val="FooterChar"/>
    <w:uiPriority w:val="99"/>
    <w:unhideWhenUsed/>
    <w:rsid w:val="00676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D27"/>
  </w:style>
  <w:style w:type="character" w:styleId="CommentReference">
    <w:name w:val="annotation reference"/>
    <w:basedOn w:val="DefaultParagraphFont"/>
    <w:uiPriority w:val="99"/>
    <w:semiHidden/>
    <w:unhideWhenUsed/>
    <w:rsid w:val="007F6F99"/>
    <w:rPr>
      <w:sz w:val="16"/>
      <w:szCs w:val="16"/>
    </w:rPr>
  </w:style>
  <w:style w:type="paragraph" w:styleId="CommentText">
    <w:name w:val="annotation text"/>
    <w:basedOn w:val="Normal"/>
    <w:link w:val="CommentTextChar"/>
    <w:uiPriority w:val="99"/>
    <w:semiHidden/>
    <w:unhideWhenUsed/>
    <w:rsid w:val="007F6F99"/>
    <w:pPr>
      <w:spacing w:line="240" w:lineRule="auto"/>
    </w:pPr>
    <w:rPr>
      <w:sz w:val="20"/>
      <w:szCs w:val="20"/>
    </w:rPr>
  </w:style>
  <w:style w:type="character" w:customStyle="1" w:styleId="CommentTextChar">
    <w:name w:val="Comment Text Char"/>
    <w:basedOn w:val="DefaultParagraphFont"/>
    <w:link w:val="CommentText"/>
    <w:uiPriority w:val="99"/>
    <w:semiHidden/>
    <w:rsid w:val="007F6F99"/>
    <w:rPr>
      <w:sz w:val="20"/>
      <w:szCs w:val="20"/>
    </w:rPr>
  </w:style>
  <w:style w:type="paragraph" w:styleId="BalloonText">
    <w:name w:val="Balloon Text"/>
    <w:basedOn w:val="Normal"/>
    <w:link w:val="BalloonTextChar"/>
    <w:uiPriority w:val="99"/>
    <w:semiHidden/>
    <w:unhideWhenUsed/>
    <w:rsid w:val="007F6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99"/>
    <w:rPr>
      <w:rFonts w:ascii="Segoe UI" w:hAnsi="Segoe UI" w:cs="Segoe UI"/>
      <w:sz w:val="18"/>
      <w:szCs w:val="18"/>
    </w:rPr>
  </w:style>
  <w:style w:type="table" w:styleId="TableGrid">
    <w:name w:val="Table Grid"/>
    <w:basedOn w:val="TableNormal"/>
    <w:uiPriority w:val="39"/>
    <w:rsid w:val="0094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957275">
      <w:bodyDiv w:val="1"/>
      <w:marLeft w:val="0"/>
      <w:marRight w:val="0"/>
      <w:marTop w:val="0"/>
      <w:marBottom w:val="0"/>
      <w:divBdr>
        <w:top w:val="none" w:sz="0" w:space="0" w:color="auto"/>
        <w:left w:val="none" w:sz="0" w:space="0" w:color="auto"/>
        <w:bottom w:val="none" w:sz="0" w:space="0" w:color="auto"/>
        <w:right w:val="none" w:sz="0" w:space="0" w:color="auto"/>
      </w:divBdr>
      <w:divsChild>
        <w:div w:id="1586264514">
          <w:marLeft w:val="0"/>
          <w:marRight w:val="0"/>
          <w:marTop w:val="0"/>
          <w:marBottom w:val="0"/>
          <w:divBdr>
            <w:top w:val="none" w:sz="0" w:space="0" w:color="auto"/>
            <w:left w:val="none" w:sz="0" w:space="0" w:color="auto"/>
            <w:bottom w:val="none" w:sz="0" w:space="0" w:color="auto"/>
            <w:right w:val="none" w:sz="0" w:space="0" w:color="auto"/>
          </w:divBdr>
        </w:div>
        <w:div w:id="913858820">
          <w:marLeft w:val="0"/>
          <w:marRight w:val="0"/>
          <w:marTop w:val="0"/>
          <w:marBottom w:val="0"/>
          <w:divBdr>
            <w:top w:val="none" w:sz="0" w:space="0" w:color="auto"/>
            <w:left w:val="none" w:sz="0" w:space="0" w:color="auto"/>
            <w:bottom w:val="none" w:sz="0" w:space="0" w:color="auto"/>
            <w:right w:val="none" w:sz="0" w:space="0" w:color="auto"/>
          </w:divBdr>
        </w:div>
        <w:div w:id="182016640">
          <w:marLeft w:val="0"/>
          <w:marRight w:val="0"/>
          <w:marTop w:val="0"/>
          <w:marBottom w:val="0"/>
          <w:divBdr>
            <w:top w:val="none" w:sz="0" w:space="0" w:color="auto"/>
            <w:left w:val="none" w:sz="0" w:space="0" w:color="auto"/>
            <w:bottom w:val="none" w:sz="0" w:space="0" w:color="auto"/>
            <w:right w:val="none" w:sz="0" w:space="0" w:color="auto"/>
          </w:divBdr>
        </w:div>
        <w:div w:id="326058924">
          <w:marLeft w:val="0"/>
          <w:marRight w:val="0"/>
          <w:marTop w:val="0"/>
          <w:marBottom w:val="0"/>
          <w:divBdr>
            <w:top w:val="none" w:sz="0" w:space="0" w:color="auto"/>
            <w:left w:val="none" w:sz="0" w:space="0" w:color="auto"/>
            <w:bottom w:val="none" w:sz="0" w:space="0" w:color="auto"/>
            <w:right w:val="none" w:sz="0" w:space="0" w:color="auto"/>
          </w:divBdr>
        </w:div>
        <w:div w:id="687487987">
          <w:marLeft w:val="0"/>
          <w:marRight w:val="0"/>
          <w:marTop w:val="0"/>
          <w:marBottom w:val="0"/>
          <w:divBdr>
            <w:top w:val="none" w:sz="0" w:space="0" w:color="auto"/>
            <w:left w:val="none" w:sz="0" w:space="0" w:color="auto"/>
            <w:bottom w:val="none" w:sz="0" w:space="0" w:color="auto"/>
            <w:right w:val="none" w:sz="0" w:space="0" w:color="auto"/>
          </w:divBdr>
        </w:div>
        <w:div w:id="169033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18235</Words>
  <Characters>103946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Anyanwu, Philip E</dc:creator>
  <cp:keywords/>
  <dc:description/>
  <cp:lastModifiedBy>Anyanwu, Philip E</cp:lastModifiedBy>
  <cp:revision>2</cp:revision>
  <dcterms:created xsi:type="dcterms:W3CDTF">2020-02-17T10:27:00Z</dcterms:created>
  <dcterms:modified xsi:type="dcterms:W3CDTF">2020-02-17T10:27:00Z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id="MHCNxphL"/&gt;&lt;style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