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02083" w14:textId="77777777" w:rsidR="00DC4F50" w:rsidRPr="00B84FF9" w:rsidRDefault="00433B0A" w:rsidP="00ED4081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lk18947270"/>
      <w:r w:rsidRPr="00B84FF9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nternational </w:t>
      </w:r>
      <w:r w:rsidR="00BD6664">
        <w:rPr>
          <w:rFonts w:ascii="Times New Roman" w:hAnsi="Times New Roman" w:cs="Times New Roman"/>
          <w:b/>
          <w:color w:val="000000"/>
          <w:sz w:val="28"/>
          <w:szCs w:val="28"/>
        </w:rPr>
        <w:t>P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rognostic </w:t>
      </w:r>
      <w:r w:rsidR="00BD6664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core for </w:t>
      </w:r>
    </w:p>
    <w:p w14:paraId="568C337B" w14:textId="50DFEF96" w:rsidR="00476FD4" w:rsidRPr="00B84FF9" w:rsidRDefault="00693393" w:rsidP="00ED4081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Asymptomatic Early </w:t>
      </w:r>
      <w:r w:rsidR="00BD6664">
        <w:rPr>
          <w:rFonts w:ascii="Times New Roman" w:hAnsi="Times New Roman" w:cs="Times New Roman"/>
          <w:b/>
          <w:color w:val="000000"/>
          <w:sz w:val="28"/>
          <w:szCs w:val="28"/>
        </w:rPr>
        <w:t>stage C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hronic </w:t>
      </w:r>
      <w:r w:rsidR="00BD6664">
        <w:rPr>
          <w:rFonts w:ascii="Times New Roman" w:hAnsi="Times New Roman" w:cs="Times New Roman"/>
          <w:b/>
          <w:color w:val="000000"/>
          <w:sz w:val="28"/>
          <w:szCs w:val="28"/>
        </w:rPr>
        <w:t>L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>ymphocytic</w:t>
      </w:r>
      <w:r w:rsidR="00BD66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</w:t>
      </w:r>
      <w:r w:rsidR="00B84FF9" w:rsidRPr="00B84FF9">
        <w:rPr>
          <w:rFonts w:ascii="Times New Roman" w:hAnsi="Times New Roman" w:cs="Times New Roman"/>
          <w:b/>
          <w:color w:val="000000"/>
          <w:sz w:val="28"/>
          <w:szCs w:val="28"/>
        </w:rPr>
        <w:t>eukemia</w:t>
      </w:r>
    </w:p>
    <w:p w14:paraId="5B9FD31E" w14:textId="77777777" w:rsidR="00677F03" w:rsidRDefault="00677F03" w:rsidP="00677F03">
      <w:pPr>
        <w:spacing w:after="0"/>
        <w:jc w:val="both"/>
        <w:rPr>
          <w:rFonts w:ascii="Times New Roman" w:hAnsi="Times New Roman" w:cs="Times New Roman"/>
          <w:b/>
        </w:rPr>
      </w:pPr>
    </w:p>
    <w:p w14:paraId="1D731325" w14:textId="77777777" w:rsidR="00677F03" w:rsidRDefault="00677F03" w:rsidP="00677F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Running title</w:t>
      </w:r>
      <w:r>
        <w:rPr>
          <w:rFonts w:ascii="Times New Roman" w:hAnsi="Times New Roman" w:cs="Times New Roman"/>
        </w:rPr>
        <w:t>: CLL IPS-E</w:t>
      </w:r>
    </w:p>
    <w:p w14:paraId="62B245D6" w14:textId="77777777" w:rsidR="00EC7078" w:rsidRDefault="00EC7078" w:rsidP="00ED4081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C2E02F3" w14:textId="13766EF9" w:rsidR="00966A75" w:rsidRPr="00677F03" w:rsidRDefault="00966A75" w:rsidP="00966A75">
      <w:pPr>
        <w:jc w:val="both"/>
        <w:rPr>
          <w:rFonts w:ascii="Times New Roman" w:hAnsi="Times New Roman" w:cs="Times New Roman"/>
          <w:szCs w:val="20"/>
        </w:rPr>
      </w:pPr>
      <w:r w:rsidRPr="00677F03">
        <w:rPr>
          <w:rFonts w:ascii="Times New Roman" w:hAnsi="Times New Roman" w:cs="Times New Roman"/>
          <w:szCs w:val="20"/>
        </w:rPr>
        <w:t>Adalgisa Condoluci</w:t>
      </w:r>
      <w:r w:rsidRPr="00677F03">
        <w:rPr>
          <w:rFonts w:ascii="Times New Roman" w:hAnsi="Times New Roman" w:cs="Times New Roman"/>
          <w:szCs w:val="20"/>
          <w:vertAlign w:val="superscript"/>
        </w:rPr>
        <w:t>1,2</w:t>
      </w:r>
      <w:r w:rsidRPr="00677F03">
        <w:rPr>
          <w:rFonts w:ascii="Times New Roman" w:hAnsi="Times New Roman" w:cs="Times New Roman"/>
          <w:szCs w:val="20"/>
        </w:rPr>
        <w:t>*,</w:t>
      </w:r>
      <w:r w:rsidRPr="00677F03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677F03">
        <w:rPr>
          <w:rFonts w:ascii="Times New Roman" w:hAnsi="Times New Roman" w:cs="Times New Roman"/>
          <w:szCs w:val="20"/>
        </w:rPr>
        <w:t>Lodovico Terzi Di Bergamo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Pr="00677F03">
        <w:rPr>
          <w:rFonts w:ascii="Times New Roman" w:hAnsi="Times New Roman" w:cs="Times New Roman"/>
          <w:szCs w:val="20"/>
        </w:rPr>
        <w:t>*, Petra Langerbeins</w:t>
      </w:r>
      <w:r w:rsidRPr="00677F03">
        <w:rPr>
          <w:rFonts w:ascii="Times New Roman" w:hAnsi="Times New Roman" w:cs="Times New Roman"/>
          <w:szCs w:val="20"/>
          <w:vertAlign w:val="superscript"/>
        </w:rPr>
        <w:t>3</w:t>
      </w:r>
      <w:r w:rsidR="00031E1E" w:rsidRPr="00677F03">
        <w:rPr>
          <w:rFonts w:ascii="Times New Roman" w:hAnsi="Times New Roman" w:cs="Times New Roman"/>
          <w:szCs w:val="20"/>
        </w:rPr>
        <w:t>*</w:t>
      </w:r>
      <w:r w:rsidRPr="00677F03">
        <w:rPr>
          <w:rFonts w:ascii="Times New Roman" w:hAnsi="Times New Roman" w:cs="Times New Roman"/>
          <w:szCs w:val="20"/>
        </w:rPr>
        <w:t>, Manuela Hoechstetter</w:t>
      </w:r>
      <w:r w:rsidRPr="00677F03">
        <w:rPr>
          <w:rFonts w:ascii="Times New Roman" w:hAnsi="Times New Roman" w:cs="Times New Roman"/>
          <w:szCs w:val="20"/>
          <w:vertAlign w:val="superscript"/>
        </w:rPr>
        <w:t>4</w:t>
      </w:r>
      <w:r w:rsidR="00031E1E" w:rsidRPr="00677F03">
        <w:rPr>
          <w:rFonts w:ascii="Times New Roman" w:hAnsi="Times New Roman" w:cs="Times New Roman"/>
          <w:szCs w:val="20"/>
        </w:rPr>
        <w:t>*</w:t>
      </w:r>
      <w:r w:rsidRPr="00677F03">
        <w:rPr>
          <w:rFonts w:ascii="Times New Roman" w:hAnsi="Times New Roman" w:cs="Times New Roman"/>
          <w:szCs w:val="20"/>
        </w:rPr>
        <w:t>, Carmen</w:t>
      </w:r>
      <w:r w:rsidR="00031E1E" w:rsidRPr="00677F03">
        <w:rPr>
          <w:rFonts w:ascii="Times New Roman" w:hAnsi="Times New Roman" w:cs="Times New Roman"/>
          <w:szCs w:val="20"/>
        </w:rPr>
        <w:t xml:space="preserve"> D.</w:t>
      </w:r>
      <w:r w:rsidRPr="00677F03">
        <w:rPr>
          <w:rFonts w:ascii="Times New Roman" w:hAnsi="Times New Roman" w:cs="Times New Roman"/>
          <w:szCs w:val="20"/>
        </w:rPr>
        <w:t xml:space="preserve"> Herling</w:t>
      </w:r>
      <w:r w:rsidRPr="00677F03">
        <w:rPr>
          <w:rFonts w:ascii="Times New Roman" w:hAnsi="Times New Roman" w:cs="Times New Roman"/>
          <w:szCs w:val="20"/>
          <w:vertAlign w:val="superscript"/>
        </w:rPr>
        <w:t>3</w:t>
      </w:r>
      <w:r w:rsidRPr="00677F03">
        <w:rPr>
          <w:rFonts w:ascii="Times New Roman" w:hAnsi="Times New Roman" w:cs="Times New Roman"/>
          <w:szCs w:val="20"/>
        </w:rPr>
        <w:t>, Lorenzo De Paoli</w:t>
      </w:r>
      <w:r w:rsidRPr="00677F03">
        <w:rPr>
          <w:rFonts w:ascii="Times New Roman" w:hAnsi="Times New Roman" w:cs="Times New Roman"/>
          <w:szCs w:val="20"/>
          <w:vertAlign w:val="superscript"/>
        </w:rPr>
        <w:t>5</w:t>
      </w:r>
      <w:r w:rsidRPr="00677F03">
        <w:rPr>
          <w:rFonts w:ascii="Times New Roman" w:hAnsi="Times New Roman" w:cs="Times New Roman"/>
          <w:szCs w:val="20"/>
        </w:rPr>
        <w:t>, Julio Delgado</w:t>
      </w:r>
      <w:r w:rsidRPr="00677F03">
        <w:rPr>
          <w:rFonts w:ascii="Times New Roman" w:hAnsi="Times New Roman" w:cs="Times New Roman"/>
          <w:szCs w:val="20"/>
          <w:vertAlign w:val="superscript"/>
        </w:rPr>
        <w:t>6</w:t>
      </w:r>
      <w:r w:rsidRPr="00677F03">
        <w:rPr>
          <w:rFonts w:ascii="Times New Roman" w:hAnsi="Times New Roman" w:cs="Times New Roman"/>
          <w:szCs w:val="20"/>
        </w:rPr>
        <w:t>, Kari G. Rabe</w:t>
      </w:r>
      <w:r w:rsidRPr="00677F03">
        <w:rPr>
          <w:rFonts w:ascii="Times New Roman" w:hAnsi="Times New Roman" w:cs="Times New Roman"/>
          <w:szCs w:val="20"/>
          <w:vertAlign w:val="superscript"/>
        </w:rPr>
        <w:t>7</w:t>
      </w:r>
      <w:r w:rsidRPr="00677F03">
        <w:rPr>
          <w:rFonts w:ascii="Times New Roman" w:hAnsi="Times New Roman" w:cs="Times New Roman"/>
          <w:szCs w:val="20"/>
        </w:rPr>
        <w:t>, Massimo Gentile</w:t>
      </w:r>
      <w:r w:rsidRPr="00677F03">
        <w:rPr>
          <w:rFonts w:ascii="Times New Roman" w:hAnsi="Times New Roman" w:cs="Times New Roman"/>
          <w:szCs w:val="20"/>
          <w:vertAlign w:val="superscript"/>
        </w:rPr>
        <w:t>8</w:t>
      </w:r>
      <w:r w:rsidRPr="00677F03">
        <w:rPr>
          <w:rFonts w:ascii="Times New Roman" w:hAnsi="Times New Roman" w:cs="Times New Roman"/>
          <w:szCs w:val="20"/>
        </w:rPr>
        <w:t>, Michael Doubek</w:t>
      </w:r>
      <w:r w:rsidRPr="00677F03">
        <w:rPr>
          <w:rFonts w:ascii="Times New Roman" w:hAnsi="Times New Roman" w:cs="Times New Roman"/>
          <w:szCs w:val="20"/>
          <w:vertAlign w:val="superscript"/>
        </w:rPr>
        <w:t>9,10</w:t>
      </w:r>
      <w:r w:rsidRPr="00677F03">
        <w:rPr>
          <w:rFonts w:ascii="Times New Roman" w:hAnsi="Times New Roman" w:cs="Times New Roman"/>
          <w:szCs w:val="20"/>
        </w:rPr>
        <w:t>, Francesca R</w:t>
      </w:r>
      <w:r w:rsidR="00031E1E" w:rsidRPr="00677F03">
        <w:rPr>
          <w:rFonts w:ascii="Times New Roman" w:hAnsi="Times New Roman" w:cs="Times New Roman"/>
          <w:szCs w:val="20"/>
        </w:rPr>
        <w:t>.</w:t>
      </w:r>
      <w:r w:rsidRPr="00677F03">
        <w:rPr>
          <w:rFonts w:ascii="Times New Roman" w:hAnsi="Times New Roman" w:cs="Times New Roman"/>
          <w:szCs w:val="20"/>
        </w:rPr>
        <w:t xml:space="preserve"> Mauro</w:t>
      </w:r>
      <w:r w:rsidRPr="00677F03">
        <w:rPr>
          <w:rFonts w:ascii="Times New Roman" w:hAnsi="Times New Roman" w:cs="Times New Roman"/>
          <w:szCs w:val="20"/>
          <w:vertAlign w:val="superscript"/>
        </w:rPr>
        <w:t>11</w:t>
      </w:r>
      <w:r w:rsidRPr="00677F03">
        <w:rPr>
          <w:rFonts w:ascii="Times New Roman" w:hAnsi="Times New Roman" w:cs="Times New Roman"/>
          <w:szCs w:val="20"/>
        </w:rPr>
        <w:t>, Giorgia Chiodin</w:t>
      </w:r>
      <w:r w:rsidRPr="00677F03">
        <w:rPr>
          <w:rFonts w:ascii="Times New Roman" w:hAnsi="Times New Roman" w:cs="Times New Roman"/>
          <w:szCs w:val="20"/>
          <w:vertAlign w:val="superscript"/>
        </w:rPr>
        <w:t>12</w:t>
      </w:r>
      <w:r w:rsidRPr="00677F0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77F03">
        <w:rPr>
          <w:rFonts w:ascii="Times New Roman" w:hAnsi="Times New Roman" w:cs="Times New Roman"/>
          <w:szCs w:val="20"/>
        </w:rPr>
        <w:t>Mattias</w:t>
      </w:r>
      <w:proofErr w:type="spellEnd"/>
      <w:r w:rsidRPr="00677F03">
        <w:rPr>
          <w:rFonts w:ascii="Times New Roman" w:hAnsi="Times New Roman" w:cs="Times New Roman"/>
          <w:szCs w:val="20"/>
        </w:rPr>
        <w:t xml:space="preserve"> Mattsson</w:t>
      </w:r>
      <w:r w:rsidRPr="00677F03">
        <w:rPr>
          <w:rFonts w:ascii="Times New Roman" w:hAnsi="Times New Roman" w:cs="Times New Roman"/>
          <w:szCs w:val="20"/>
          <w:vertAlign w:val="superscript"/>
        </w:rPr>
        <w:t>13</w:t>
      </w:r>
      <w:r w:rsidRPr="00677F03">
        <w:rPr>
          <w:rFonts w:ascii="Times New Roman" w:hAnsi="Times New Roman" w:cs="Times New Roman"/>
          <w:szCs w:val="20"/>
        </w:rPr>
        <w:t>, Jasmin Bahlo</w:t>
      </w:r>
      <w:r w:rsidRPr="00677F03">
        <w:rPr>
          <w:rFonts w:ascii="Times New Roman" w:hAnsi="Times New Roman" w:cs="Times New Roman"/>
          <w:szCs w:val="20"/>
          <w:vertAlign w:val="superscript"/>
        </w:rPr>
        <w:t>3</w:t>
      </w:r>
      <w:r w:rsidRPr="00677F03">
        <w:rPr>
          <w:rFonts w:ascii="Times New Roman" w:hAnsi="Times New Roman" w:cs="Times New Roman"/>
          <w:szCs w:val="20"/>
        </w:rPr>
        <w:t>, Giovanna Cutrona</w:t>
      </w:r>
      <w:r w:rsidRPr="00677F03">
        <w:rPr>
          <w:rFonts w:ascii="Times New Roman" w:hAnsi="Times New Roman" w:cs="Times New Roman"/>
          <w:szCs w:val="20"/>
          <w:vertAlign w:val="superscript"/>
        </w:rPr>
        <w:t>14</w:t>
      </w:r>
      <w:r w:rsidRPr="00677F03">
        <w:rPr>
          <w:rFonts w:ascii="Times New Roman" w:hAnsi="Times New Roman" w:cs="Times New Roman"/>
          <w:szCs w:val="20"/>
        </w:rPr>
        <w:t>, Jana Kotaskova</w:t>
      </w:r>
      <w:r w:rsidRPr="00677F03">
        <w:rPr>
          <w:rFonts w:ascii="Times New Roman" w:hAnsi="Times New Roman" w:cs="Times New Roman"/>
          <w:szCs w:val="20"/>
          <w:vertAlign w:val="superscript"/>
        </w:rPr>
        <w:t>9,10</w:t>
      </w:r>
      <w:r w:rsidRPr="00677F03">
        <w:rPr>
          <w:rFonts w:ascii="Times New Roman" w:hAnsi="Times New Roman" w:cs="Times New Roman"/>
          <w:szCs w:val="20"/>
        </w:rPr>
        <w:t>, Clara Deambrogi</w:t>
      </w:r>
      <w:r w:rsidRPr="00677F03">
        <w:rPr>
          <w:rFonts w:ascii="Times New Roman" w:hAnsi="Times New Roman" w:cs="Times New Roman"/>
          <w:szCs w:val="20"/>
          <w:vertAlign w:val="superscript"/>
        </w:rPr>
        <w:t>5</w:t>
      </w:r>
      <w:r w:rsidRPr="00677F03">
        <w:rPr>
          <w:rFonts w:ascii="Times New Roman" w:hAnsi="Times New Roman" w:cs="Times New Roman"/>
          <w:szCs w:val="20"/>
        </w:rPr>
        <w:t xml:space="preserve">, </w:t>
      </w:r>
      <w:r w:rsidR="002B7CC3" w:rsidRPr="00677F03">
        <w:rPr>
          <w:rFonts w:ascii="Times New Roman" w:hAnsi="Times New Roman" w:cs="Times New Roman"/>
          <w:szCs w:val="20"/>
        </w:rPr>
        <w:t>Karin E. Smedby</w:t>
      </w:r>
      <w:r w:rsidR="002B7CC3" w:rsidRPr="00677F03">
        <w:rPr>
          <w:rFonts w:ascii="Times New Roman" w:hAnsi="Times New Roman" w:cs="Times New Roman"/>
          <w:szCs w:val="20"/>
          <w:vertAlign w:val="superscript"/>
        </w:rPr>
        <w:t>15</w:t>
      </w:r>
      <w:r w:rsidR="002B7CC3" w:rsidRPr="00677F03">
        <w:rPr>
          <w:rFonts w:ascii="Times New Roman" w:hAnsi="Times New Roman" w:cs="Times New Roman"/>
          <w:szCs w:val="20"/>
        </w:rPr>
        <w:t xml:space="preserve">, </w:t>
      </w:r>
      <w:r w:rsidRPr="00677F03">
        <w:rPr>
          <w:rFonts w:ascii="Times New Roman" w:hAnsi="Times New Roman" w:cs="Times New Roman"/>
          <w:szCs w:val="20"/>
        </w:rPr>
        <w:t>Valeria Spina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Pr="00677F03">
        <w:rPr>
          <w:rFonts w:ascii="Times New Roman" w:hAnsi="Times New Roman" w:cs="Times New Roman"/>
          <w:szCs w:val="20"/>
        </w:rPr>
        <w:t>, Alessio Bruscaggin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Pr="00677F03">
        <w:rPr>
          <w:rFonts w:ascii="Times New Roman" w:hAnsi="Times New Roman" w:cs="Times New Roman"/>
          <w:szCs w:val="20"/>
        </w:rPr>
        <w:t>,</w:t>
      </w:r>
      <w:r w:rsidR="00031E1E" w:rsidRPr="00677F03">
        <w:rPr>
          <w:rFonts w:ascii="Times New Roman" w:hAnsi="Times New Roman" w:cs="Times New Roman"/>
          <w:szCs w:val="20"/>
        </w:rPr>
        <w:t xml:space="preserve"> Wei Wu</w:t>
      </w:r>
      <w:r w:rsidR="00863155" w:rsidRPr="00677F03">
        <w:rPr>
          <w:rFonts w:ascii="Times New Roman" w:hAnsi="Times New Roman" w:cs="Times New Roman"/>
          <w:szCs w:val="20"/>
          <w:vertAlign w:val="superscript"/>
        </w:rPr>
        <w:t>1,16</w:t>
      </w:r>
      <w:r w:rsidR="00031E1E" w:rsidRPr="00677F03">
        <w:rPr>
          <w:rFonts w:ascii="Times New Roman" w:hAnsi="Times New Roman" w:cs="Times New Roman"/>
          <w:szCs w:val="20"/>
        </w:rPr>
        <w:t>,</w:t>
      </w:r>
      <w:r w:rsidRPr="00677F03">
        <w:rPr>
          <w:rFonts w:ascii="Times New Roman" w:hAnsi="Times New Roman" w:cs="Times New Roman"/>
          <w:szCs w:val="20"/>
        </w:rPr>
        <w:t xml:space="preserve"> Riccardo Moia</w:t>
      </w:r>
      <w:r w:rsidRPr="00677F03">
        <w:rPr>
          <w:rFonts w:ascii="Times New Roman" w:hAnsi="Times New Roman" w:cs="Times New Roman"/>
          <w:szCs w:val="20"/>
          <w:vertAlign w:val="superscript"/>
        </w:rPr>
        <w:t>5</w:t>
      </w:r>
      <w:r w:rsidRPr="00677F03">
        <w:rPr>
          <w:rFonts w:ascii="Times New Roman" w:hAnsi="Times New Roman" w:cs="Times New Roman"/>
          <w:szCs w:val="20"/>
        </w:rPr>
        <w:t>,</w:t>
      </w:r>
      <w:r w:rsidRPr="00677F03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677F03">
        <w:rPr>
          <w:rFonts w:ascii="Times New Roman" w:hAnsi="Times New Roman" w:cs="Times New Roman"/>
          <w:szCs w:val="20"/>
        </w:rPr>
        <w:t>Elena Bianchi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>, Bernhard Gerber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>, Emanuele Zucca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>, Michele Ghielmini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>, Franco Cavalli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>, Georg Stussi</w:t>
      </w:r>
      <w:r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Pr="00677F03">
        <w:rPr>
          <w:rFonts w:ascii="Times New Roman" w:hAnsi="Times New Roman" w:cs="Times New Roman"/>
          <w:szCs w:val="20"/>
        </w:rPr>
        <w:t xml:space="preserve">, </w:t>
      </w:r>
      <w:r w:rsidR="009C44BE">
        <w:rPr>
          <w:rFonts w:ascii="Times New Roman" w:hAnsi="Times New Roman" w:cs="Times New Roman"/>
          <w:szCs w:val="20"/>
        </w:rPr>
        <w:t>Mark A. Hess</w:t>
      </w:r>
      <w:r w:rsidR="00562BDF">
        <w:rPr>
          <w:rFonts w:ascii="Times New Roman" w:hAnsi="Times New Roman" w:cs="Times New Roman"/>
          <w:szCs w:val="20"/>
          <w:vertAlign w:val="superscript"/>
        </w:rPr>
        <w:t>17</w:t>
      </w:r>
      <w:r w:rsidR="009C44BE">
        <w:rPr>
          <w:rFonts w:ascii="Times New Roman" w:hAnsi="Times New Roman" w:cs="Times New Roman"/>
          <w:szCs w:val="20"/>
        </w:rPr>
        <w:t xml:space="preserve">, </w:t>
      </w:r>
      <w:r w:rsidRPr="00677F03">
        <w:rPr>
          <w:rFonts w:ascii="Times New Roman" w:hAnsi="Times New Roman" w:cs="Times New Roman"/>
          <w:szCs w:val="20"/>
        </w:rPr>
        <w:t>Antonino Neri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="009C44BE">
        <w:rPr>
          <w:rFonts w:ascii="Times New Roman" w:hAnsi="Times New Roman" w:cs="Times New Roman"/>
          <w:szCs w:val="20"/>
          <w:vertAlign w:val="superscript"/>
        </w:rPr>
        <w:t>8</w:t>
      </w:r>
      <w:r w:rsidRPr="00677F0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77F03">
        <w:rPr>
          <w:rFonts w:ascii="Times New Roman" w:hAnsi="Times New Roman" w:cs="Times New Roman"/>
          <w:szCs w:val="20"/>
        </w:rPr>
        <w:t>Manlio</w:t>
      </w:r>
      <w:proofErr w:type="spellEnd"/>
      <w:r w:rsidRPr="00677F03">
        <w:rPr>
          <w:rFonts w:ascii="Times New Roman" w:hAnsi="Times New Roman" w:cs="Times New Roman"/>
          <w:szCs w:val="20"/>
        </w:rPr>
        <w:t xml:space="preserve"> Ferrarini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="009C44BE">
        <w:rPr>
          <w:rFonts w:ascii="Times New Roman" w:hAnsi="Times New Roman" w:cs="Times New Roman"/>
          <w:szCs w:val="20"/>
          <w:vertAlign w:val="superscript"/>
        </w:rPr>
        <w:t>9</w:t>
      </w:r>
      <w:r w:rsidRPr="00677F03">
        <w:rPr>
          <w:rFonts w:ascii="Times New Roman" w:hAnsi="Times New Roman" w:cs="Times New Roman"/>
          <w:szCs w:val="20"/>
        </w:rPr>
        <w:t>, Richard Rosenquist</w:t>
      </w:r>
      <w:r w:rsidRPr="00677F03">
        <w:rPr>
          <w:rFonts w:ascii="Times New Roman" w:hAnsi="Times New Roman" w:cs="Times New Roman"/>
          <w:szCs w:val="20"/>
          <w:vertAlign w:val="superscript"/>
        </w:rPr>
        <w:t>1</w:t>
      </w:r>
      <w:r w:rsidR="002B7CC3" w:rsidRPr="00677F03">
        <w:rPr>
          <w:rFonts w:ascii="Times New Roman" w:hAnsi="Times New Roman" w:cs="Times New Roman"/>
          <w:szCs w:val="20"/>
          <w:vertAlign w:val="superscript"/>
        </w:rPr>
        <w:t>5</w:t>
      </w:r>
      <w:r w:rsidRPr="00677F03">
        <w:rPr>
          <w:rFonts w:ascii="Times New Roman" w:hAnsi="Times New Roman" w:cs="Times New Roman"/>
          <w:szCs w:val="20"/>
        </w:rPr>
        <w:t>, Francesco Forconi</w:t>
      </w:r>
      <w:r w:rsidR="009C44BE">
        <w:rPr>
          <w:rFonts w:ascii="Times New Roman" w:hAnsi="Times New Roman" w:cs="Times New Roman"/>
          <w:szCs w:val="20"/>
          <w:vertAlign w:val="superscript"/>
        </w:rPr>
        <w:t>12,20</w:t>
      </w:r>
      <w:r w:rsidRPr="00677F03">
        <w:rPr>
          <w:rFonts w:ascii="Times New Roman" w:hAnsi="Times New Roman" w:cs="Times New Roman"/>
          <w:szCs w:val="20"/>
        </w:rPr>
        <w:t>, Robin Foà</w:t>
      </w:r>
      <w:r w:rsidRPr="00677F03">
        <w:rPr>
          <w:rFonts w:ascii="Times New Roman" w:hAnsi="Times New Roman" w:cs="Times New Roman"/>
          <w:szCs w:val="20"/>
          <w:vertAlign w:val="superscript"/>
        </w:rPr>
        <w:t>11</w:t>
      </w:r>
      <w:r w:rsidRPr="00677F0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77F03">
        <w:rPr>
          <w:rFonts w:ascii="Times New Roman" w:hAnsi="Times New Roman" w:cs="Times New Roman"/>
          <w:szCs w:val="20"/>
        </w:rPr>
        <w:t>Sarka</w:t>
      </w:r>
      <w:proofErr w:type="spellEnd"/>
      <w:r w:rsidRPr="00677F03">
        <w:rPr>
          <w:rFonts w:ascii="Times New Roman" w:hAnsi="Times New Roman" w:cs="Times New Roman"/>
          <w:szCs w:val="20"/>
        </w:rPr>
        <w:t xml:space="preserve"> Pospisilova</w:t>
      </w:r>
      <w:r w:rsidRPr="00677F03">
        <w:rPr>
          <w:rFonts w:ascii="Times New Roman" w:hAnsi="Times New Roman" w:cs="Times New Roman"/>
          <w:szCs w:val="20"/>
          <w:vertAlign w:val="superscript"/>
        </w:rPr>
        <w:t>9,10</w:t>
      </w:r>
      <w:r w:rsidRPr="00677F03">
        <w:rPr>
          <w:rFonts w:ascii="Times New Roman" w:hAnsi="Times New Roman" w:cs="Times New Roman"/>
          <w:szCs w:val="20"/>
        </w:rPr>
        <w:t>, Fortunato Morabito</w:t>
      </w:r>
      <w:r w:rsidR="009C44BE">
        <w:rPr>
          <w:rFonts w:ascii="Times New Roman" w:hAnsi="Times New Roman" w:cs="Times New Roman"/>
          <w:szCs w:val="20"/>
          <w:vertAlign w:val="superscript"/>
        </w:rPr>
        <w:t>21,22</w:t>
      </w:r>
      <w:r w:rsidRPr="00677F03">
        <w:rPr>
          <w:rFonts w:ascii="Times New Roman" w:hAnsi="Times New Roman" w:cs="Times New Roman"/>
          <w:szCs w:val="20"/>
        </w:rPr>
        <w:t>,</w:t>
      </w:r>
      <w:r w:rsidR="009323E0" w:rsidRPr="00677F03">
        <w:rPr>
          <w:rFonts w:ascii="Times New Roman" w:hAnsi="Times New Roman" w:cs="Times New Roman"/>
          <w:szCs w:val="20"/>
        </w:rPr>
        <w:t xml:space="preserve"> Stephan Stilgenbauer</w:t>
      </w:r>
      <w:r w:rsidR="009323E0"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="009C44BE">
        <w:rPr>
          <w:rFonts w:ascii="Times New Roman" w:hAnsi="Times New Roman" w:cs="Times New Roman"/>
          <w:szCs w:val="20"/>
          <w:vertAlign w:val="superscript"/>
        </w:rPr>
        <w:t>3</w:t>
      </w:r>
      <w:r w:rsidR="009323E0" w:rsidRPr="00677F03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323E0" w:rsidRPr="00677F03">
        <w:rPr>
          <w:rFonts w:ascii="Times New Roman" w:hAnsi="Times New Roman" w:cs="Times New Roman"/>
          <w:szCs w:val="20"/>
        </w:rPr>
        <w:t>Hartmut</w:t>
      </w:r>
      <w:proofErr w:type="spellEnd"/>
      <w:r w:rsidR="009323E0" w:rsidRPr="00677F03">
        <w:rPr>
          <w:rFonts w:ascii="Times New Roman" w:hAnsi="Times New Roman" w:cs="Times New Roman"/>
          <w:szCs w:val="20"/>
        </w:rPr>
        <w:t xml:space="preserve"> Döhner</w:t>
      </w:r>
      <w:r w:rsidR="009323E0" w:rsidRPr="00677F03">
        <w:rPr>
          <w:rFonts w:ascii="Times New Roman" w:hAnsi="Times New Roman" w:cs="Times New Roman"/>
          <w:szCs w:val="20"/>
          <w:vertAlign w:val="superscript"/>
        </w:rPr>
        <w:t>2</w:t>
      </w:r>
      <w:r w:rsidR="009C44BE">
        <w:rPr>
          <w:rFonts w:ascii="Times New Roman" w:hAnsi="Times New Roman" w:cs="Times New Roman"/>
          <w:szCs w:val="20"/>
          <w:vertAlign w:val="superscript"/>
        </w:rPr>
        <w:t>3</w:t>
      </w:r>
      <w:r w:rsidR="009323E0" w:rsidRPr="00677F03">
        <w:rPr>
          <w:rFonts w:ascii="Times New Roman" w:hAnsi="Times New Roman" w:cs="Times New Roman"/>
          <w:szCs w:val="20"/>
        </w:rPr>
        <w:t>,</w:t>
      </w:r>
      <w:r w:rsidRPr="00677F03">
        <w:rPr>
          <w:rFonts w:ascii="Times New Roman" w:hAnsi="Times New Roman" w:cs="Times New Roman"/>
          <w:szCs w:val="20"/>
        </w:rPr>
        <w:t xml:space="preserve"> Sameer A. Parikh</w:t>
      </w:r>
      <w:r w:rsidR="003E63E4" w:rsidRPr="00677F03">
        <w:rPr>
          <w:rFonts w:ascii="Times New Roman" w:hAnsi="Times New Roman" w:cs="Times New Roman"/>
          <w:szCs w:val="20"/>
          <w:vertAlign w:val="superscript"/>
        </w:rPr>
        <w:t>7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>, William G. Wierda</w:t>
      </w:r>
      <w:r w:rsidR="009C44BE" w:rsidRPr="00CD0B61">
        <w:rPr>
          <w:rFonts w:ascii="Times New Roman" w:hAnsi="Times New Roman" w:cs="Times New Roman"/>
          <w:szCs w:val="20"/>
          <w:vertAlign w:val="superscript"/>
        </w:rPr>
        <w:t>17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>, Emili Montserrat</w:t>
      </w:r>
      <w:r w:rsidRPr="00677F03">
        <w:rPr>
          <w:rFonts w:ascii="Times New Roman" w:hAnsi="Times New Roman" w:cs="Times New Roman"/>
          <w:szCs w:val="20"/>
          <w:vertAlign w:val="superscript"/>
        </w:rPr>
        <w:t>6,2</w:t>
      </w:r>
      <w:r w:rsidR="00863155" w:rsidRPr="00677F03">
        <w:rPr>
          <w:rFonts w:ascii="Times New Roman" w:hAnsi="Times New Roman" w:cs="Times New Roman"/>
          <w:szCs w:val="20"/>
          <w:vertAlign w:val="superscript"/>
        </w:rPr>
        <w:t>4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>, Gianluca Gaidano</w:t>
      </w:r>
      <w:r w:rsidRPr="00677F03">
        <w:rPr>
          <w:rFonts w:ascii="Times New Roman" w:hAnsi="Times New Roman" w:cs="Times New Roman"/>
          <w:szCs w:val="20"/>
          <w:vertAlign w:val="superscript"/>
        </w:rPr>
        <w:t>5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>, Michael Hallek</w:t>
      </w:r>
      <w:r w:rsidRPr="00677F03">
        <w:rPr>
          <w:rFonts w:ascii="Times New Roman" w:hAnsi="Times New Roman" w:cs="Times New Roman"/>
          <w:szCs w:val="20"/>
          <w:vertAlign w:val="superscript"/>
        </w:rPr>
        <w:t>3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>,</w:t>
      </w:r>
      <w:r w:rsidR="003D51A8" w:rsidRPr="00677F03">
        <w:rPr>
          <w:rFonts w:ascii="Times New Roman" w:hAnsi="Times New Roman" w:cs="Times New Roman"/>
          <w:szCs w:val="20"/>
        </w:rPr>
        <w:t xml:space="preserve"> and</w:t>
      </w:r>
      <w:r w:rsidRPr="00677F03">
        <w:rPr>
          <w:rFonts w:ascii="Times New Roman" w:hAnsi="Times New Roman" w:cs="Times New Roman"/>
          <w:szCs w:val="20"/>
        </w:rPr>
        <w:t xml:space="preserve"> Davide Rossi</w:t>
      </w:r>
      <w:r w:rsidRPr="00677F03">
        <w:rPr>
          <w:rFonts w:ascii="Times New Roman" w:hAnsi="Times New Roman" w:cs="Times New Roman"/>
          <w:szCs w:val="20"/>
          <w:vertAlign w:val="superscript"/>
        </w:rPr>
        <w:t>1,2</w:t>
      </w:r>
      <w:r w:rsidR="000C11DF" w:rsidRPr="00677F03">
        <w:rPr>
          <w:rFonts w:ascii="Times New Roman" w:hAnsi="Times New Roman" w:cs="Times New Roman"/>
          <w:szCs w:val="20"/>
          <w:vertAlign w:val="superscript"/>
        </w:rPr>
        <w:t>†</w:t>
      </w:r>
      <w:r w:rsidRPr="00677F03">
        <w:rPr>
          <w:rFonts w:ascii="Times New Roman" w:hAnsi="Times New Roman" w:cs="Times New Roman"/>
          <w:szCs w:val="20"/>
        </w:rPr>
        <w:t xml:space="preserve"> </w:t>
      </w:r>
    </w:p>
    <w:p w14:paraId="3C3406CF" w14:textId="77777777" w:rsidR="00966A75" w:rsidRPr="00677F03" w:rsidRDefault="00966A75" w:rsidP="00966A75">
      <w:pPr>
        <w:jc w:val="both"/>
        <w:rPr>
          <w:rFonts w:ascii="Times New Roman" w:hAnsi="Times New Roman" w:cs="Times New Roman"/>
          <w:szCs w:val="20"/>
        </w:rPr>
      </w:pPr>
    </w:p>
    <w:p w14:paraId="32F607A5" w14:textId="7E03994A" w:rsidR="00966A75" w:rsidRPr="006A1A74" w:rsidRDefault="00966A75" w:rsidP="00966A75">
      <w:pPr>
        <w:spacing w:after="0"/>
        <w:jc w:val="both"/>
        <w:rPr>
          <w:rFonts w:ascii="Times New Roman" w:hAnsi="Times New Roman" w:cs="Times New Roman"/>
        </w:rPr>
      </w:pPr>
      <w:r w:rsidRPr="006A1A74">
        <w:rPr>
          <w:rFonts w:ascii="Times New Roman" w:hAnsi="Times New Roman" w:cs="Times New Roman"/>
          <w:bCs/>
          <w:szCs w:val="23"/>
          <w:vertAlign w:val="superscript"/>
          <w:lang w:eastAsia="it-IT"/>
        </w:rPr>
        <w:t>1</w:t>
      </w:r>
      <w:r w:rsidRPr="006A1A74">
        <w:rPr>
          <w:rFonts w:ascii="Times New Roman" w:hAnsi="Times New Roman" w:cs="Times New Roman"/>
        </w:rPr>
        <w:t xml:space="preserve">Institute of Oncology Research, </w:t>
      </w:r>
      <w:proofErr w:type="spellStart"/>
      <w:r w:rsidRPr="006A1A74">
        <w:rPr>
          <w:rFonts w:ascii="Times New Roman" w:hAnsi="Times New Roman" w:cs="Times New Roman"/>
          <w:bCs/>
          <w:szCs w:val="23"/>
          <w:lang w:eastAsia="it-IT"/>
        </w:rPr>
        <w:t>Università</w:t>
      </w:r>
      <w:proofErr w:type="spellEnd"/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 </w:t>
      </w:r>
      <w:proofErr w:type="spellStart"/>
      <w:r w:rsidRPr="006A1A74">
        <w:rPr>
          <w:rFonts w:ascii="Times New Roman" w:hAnsi="Times New Roman" w:cs="Times New Roman"/>
          <w:bCs/>
          <w:szCs w:val="23"/>
          <w:lang w:eastAsia="it-IT"/>
        </w:rPr>
        <w:t>della</w:t>
      </w:r>
      <w:proofErr w:type="spellEnd"/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 </w:t>
      </w:r>
      <w:proofErr w:type="spellStart"/>
      <w:r w:rsidRPr="006A1A74">
        <w:rPr>
          <w:rFonts w:ascii="Times New Roman" w:hAnsi="Times New Roman" w:cs="Times New Roman"/>
          <w:bCs/>
          <w:szCs w:val="23"/>
          <w:lang w:eastAsia="it-IT"/>
        </w:rPr>
        <w:t>Svizzera</w:t>
      </w:r>
      <w:proofErr w:type="spellEnd"/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 </w:t>
      </w:r>
      <w:proofErr w:type="spellStart"/>
      <w:r w:rsidRPr="006A1A74">
        <w:rPr>
          <w:rFonts w:ascii="Times New Roman" w:hAnsi="Times New Roman" w:cs="Times New Roman"/>
          <w:bCs/>
          <w:szCs w:val="23"/>
          <w:lang w:eastAsia="it-IT"/>
        </w:rPr>
        <w:t>Italiana</w:t>
      </w:r>
      <w:proofErr w:type="spellEnd"/>
      <w:r w:rsidRPr="006A1A74">
        <w:rPr>
          <w:rFonts w:ascii="Times New Roman" w:hAnsi="Times New Roman" w:cs="Times New Roman"/>
          <w:bCs/>
          <w:szCs w:val="23"/>
          <w:lang w:eastAsia="it-IT"/>
        </w:rPr>
        <w:t>,</w:t>
      </w:r>
      <w:r w:rsidRPr="006A1A74">
        <w:rPr>
          <w:rFonts w:ascii="Times New Roman" w:hAnsi="Times New Roman" w:cs="Times New Roman"/>
        </w:rPr>
        <w:t xml:space="preserve"> Bellinzona, Switzerland; </w:t>
      </w:r>
      <w:r w:rsidRPr="006A1A74">
        <w:rPr>
          <w:rFonts w:ascii="Times New Roman" w:hAnsi="Times New Roman" w:cs="Times New Roman"/>
          <w:vertAlign w:val="superscript"/>
        </w:rPr>
        <w:t>2</w:t>
      </w:r>
      <w:r w:rsidRPr="006A1A74">
        <w:rPr>
          <w:rFonts w:ascii="Times New Roman" w:hAnsi="Times New Roman" w:cs="Times New Roman"/>
        </w:rPr>
        <w:t xml:space="preserve">Oncology Institute of Southern Switzerland, Bellinzona, Switzerland; </w:t>
      </w:r>
      <w:r w:rsidRPr="002B7CC3">
        <w:rPr>
          <w:rFonts w:ascii="Times New Roman" w:hAnsi="Times New Roman" w:cs="Times New Roman"/>
          <w:vertAlign w:val="superscript"/>
        </w:rPr>
        <w:t>3</w:t>
      </w:r>
      <w:r w:rsidRPr="009323E0">
        <w:rPr>
          <w:rFonts w:ascii="Times New Roman" w:hAnsi="Times New Roman" w:cs="Times New Roman"/>
          <w:bCs/>
          <w:szCs w:val="23"/>
          <w:lang w:eastAsia="it-IT"/>
        </w:rPr>
        <w:t>Center</w:t>
      </w:r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 of Integrated Oncology Cologne</w:t>
      </w:r>
      <w:r w:rsidR="002B7CC3">
        <w:rPr>
          <w:rFonts w:ascii="Times New Roman" w:hAnsi="Times New Roman" w:cs="Times New Roman"/>
          <w:bCs/>
          <w:szCs w:val="23"/>
          <w:lang w:eastAsia="it-IT"/>
        </w:rPr>
        <w:t xml:space="preserve"> </w:t>
      </w:r>
      <w:r w:rsidRPr="006A1A74">
        <w:rPr>
          <w:rFonts w:ascii="Times New Roman" w:hAnsi="Times New Roman" w:cs="Times New Roman"/>
          <w:bCs/>
          <w:szCs w:val="23"/>
          <w:lang w:eastAsia="it-IT"/>
        </w:rPr>
        <w:t>Bonn</w:t>
      </w:r>
      <w:r w:rsidR="002B7CC3">
        <w:rPr>
          <w:rFonts w:ascii="Times New Roman" w:hAnsi="Times New Roman" w:cs="Times New Roman"/>
          <w:bCs/>
          <w:szCs w:val="23"/>
          <w:lang w:eastAsia="it-IT"/>
        </w:rPr>
        <w:t xml:space="preserve"> </w:t>
      </w:r>
      <w:r w:rsidRPr="006A1A74">
        <w:rPr>
          <w:rFonts w:ascii="Times New Roman" w:hAnsi="Times New Roman" w:cs="Times New Roman"/>
          <w:bCs/>
          <w:szCs w:val="23"/>
          <w:lang w:eastAsia="it-IT"/>
        </w:rPr>
        <w:t>and German CLL Study Group, University of Cologne, Cologne, Germany</w:t>
      </w:r>
      <w:r w:rsidRPr="006A1A74">
        <w:rPr>
          <w:rFonts w:ascii="Times New Roman" w:hAnsi="Times New Roman" w:cs="Times New Roman"/>
        </w:rPr>
        <w:t xml:space="preserve">; </w:t>
      </w:r>
      <w:r w:rsidRPr="006A1A74">
        <w:rPr>
          <w:rFonts w:ascii="Times New Roman" w:hAnsi="Times New Roman" w:cs="Times New Roman"/>
          <w:vertAlign w:val="superscript"/>
        </w:rPr>
        <w:t>4</w:t>
      </w:r>
      <w:r w:rsidRPr="006A1A74">
        <w:rPr>
          <w:rFonts w:ascii="Times New Roman" w:hAnsi="Times New Roman" w:cs="Times New Roman"/>
        </w:rPr>
        <w:t>Hospital Munich-</w:t>
      </w:r>
      <w:proofErr w:type="spellStart"/>
      <w:r w:rsidRPr="006A1A74">
        <w:rPr>
          <w:rFonts w:ascii="Times New Roman" w:hAnsi="Times New Roman" w:cs="Times New Roman"/>
        </w:rPr>
        <w:t>Schwabing</w:t>
      </w:r>
      <w:proofErr w:type="spellEnd"/>
      <w:r w:rsidRPr="006A1A74">
        <w:rPr>
          <w:rFonts w:ascii="Times New Roman" w:hAnsi="Times New Roman" w:cs="Times New Roman"/>
        </w:rPr>
        <w:t>, German CLL Study Group, Munich, Germany</w:t>
      </w:r>
      <w:r w:rsidR="00D4107B">
        <w:rPr>
          <w:rFonts w:ascii="Times New Roman" w:hAnsi="Times New Roman" w:cs="Times New Roman"/>
        </w:rPr>
        <w:t xml:space="preserve">; </w:t>
      </w:r>
      <w:r w:rsidR="003E63E4">
        <w:rPr>
          <w:rFonts w:ascii="Times New Roman" w:hAnsi="Times New Roman" w:cs="Times New Roman"/>
          <w:vertAlign w:val="superscript"/>
        </w:rPr>
        <w:t>5</w:t>
      </w:r>
      <w:r w:rsidRPr="006A1A74">
        <w:rPr>
          <w:rFonts w:ascii="Times New Roman" w:hAnsi="Times New Roman" w:cs="Times New Roman"/>
        </w:rPr>
        <w:t>University of Eastern Piedmont, Novara, Italy</w:t>
      </w:r>
      <w:r w:rsidR="003E63E4">
        <w:rPr>
          <w:rFonts w:ascii="Times New Roman" w:hAnsi="Times New Roman" w:cs="Times New Roman"/>
        </w:rPr>
        <w:t>;</w:t>
      </w:r>
      <w:r w:rsidRPr="006A1A74">
        <w:rPr>
          <w:rFonts w:ascii="Times New Roman" w:hAnsi="Times New Roman" w:cs="Times New Roman"/>
        </w:rPr>
        <w:t xml:space="preserve"> </w:t>
      </w:r>
      <w:r w:rsidR="003E63E4">
        <w:rPr>
          <w:rFonts w:ascii="Times New Roman" w:hAnsi="Times New Roman" w:cs="Times New Roman"/>
          <w:bCs/>
          <w:szCs w:val="23"/>
          <w:vertAlign w:val="superscript"/>
          <w:lang w:eastAsia="it-IT"/>
        </w:rPr>
        <w:t>6</w:t>
      </w:r>
      <w:r w:rsidRPr="006A1A74">
        <w:rPr>
          <w:rFonts w:ascii="Times New Roman" w:hAnsi="Times New Roman" w:cs="Times New Roman"/>
        </w:rPr>
        <w:t xml:space="preserve">Hospital Clinic, Barcelona, Spain; </w:t>
      </w:r>
      <w:r w:rsidR="003E63E4">
        <w:rPr>
          <w:rFonts w:ascii="Times New Roman" w:hAnsi="Times New Roman" w:cs="Times New Roman"/>
          <w:vertAlign w:val="superscript"/>
        </w:rPr>
        <w:t>7</w:t>
      </w:r>
      <w:r w:rsidR="003E63E4" w:rsidRPr="00F662D0">
        <w:rPr>
          <w:rFonts w:ascii="Times New Roman" w:hAnsi="Times New Roman" w:cs="Times New Roman"/>
        </w:rPr>
        <w:t>Mayo Clinic, Rochester,</w:t>
      </w:r>
      <w:r w:rsidR="00A942A9">
        <w:rPr>
          <w:rFonts w:ascii="Times New Roman" w:hAnsi="Times New Roman" w:cs="Times New Roman"/>
        </w:rPr>
        <w:t xml:space="preserve"> MN,</w:t>
      </w:r>
      <w:r w:rsidR="003E63E4" w:rsidRPr="00F662D0">
        <w:rPr>
          <w:rFonts w:ascii="Times New Roman" w:hAnsi="Times New Roman" w:cs="Times New Roman"/>
        </w:rPr>
        <w:t xml:space="preserve"> USA;</w:t>
      </w:r>
      <w:r w:rsidR="003E63E4">
        <w:rPr>
          <w:rFonts w:ascii="Times New Roman" w:hAnsi="Times New Roman" w:cs="Times New Roman"/>
        </w:rPr>
        <w:t xml:space="preserve"> </w:t>
      </w:r>
      <w:r w:rsidRPr="006A1A74">
        <w:rPr>
          <w:rFonts w:ascii="Times New Roman" w:hAnsi="Times New Roman" w:cs="Times New Roman"/>
          <w:vertAlign w:val="superscript"/>
        </w:rPr>
        <w:t>8</w:t>
      </w:r>
      <w:r w:rsidRPr="006A1A74">
        <w:rPr>
          <w:rFonts w:ascii="Times New Roman" w:hAnsi="Times New Roman" w:cs="Times New Roman"/>
        </w:rPr>
        <w:t xml:space="preserve">Azienda </w:t>
      </w:r>
      <w:proofErr w:type="spellStart"/>
      <w:r w:rsidRPr="006A1A74">
        <w:rPr>
          <w:rFonts w:ascii="Times New Roman" w:hAnsi="Times New Roman" w:cs="Times New Roman"/>
        </w:rPr>
        <w:t>Ospedaliera</w:t>
      </w:r>
      <w:proofErr w:type="spellEnd"/>
      <w:r w:rsidRPr="006A1A74">
        <w:rPr>
          <w:rFonts w:ascii="Times New Roman" w:hAnsi="Times New Roman" w:cs="Times New Roman"/>
        </w:rPr>
        <w:t xml:space="preserve"> (AO) of Cosenza, Cosenza, Italy; </w:t>
      </w:r>
      <w:r w:rsidRPr="006A1A74">
        <w:rPr>
          <w:rFonts w:ascii="Times New Roman" w:hAnsi="Times New Roman" w:cs="Times New Roman"/>
          <w:vertAlign w:val="superscript"/>
        </w:rPr>
        <w:t>9</w:t>
      </w:r>
      <w:r w:rsidR="004F2197">
        <w:rPr>
          <w:rFonts w:ascii="Times New Roman" w:hAnsi="Times New Roman" w:cs="Times New Roman"/>
        </w:rPr>
        <w:t>IHOK, U</w:t>
      </w:r>
      <w:r w:rsidRPr="006A1A74">
        <w:rPr>
          <w:rFonts w:ascii="Times New Roman" w:hAnsi="Times New Roman" w:cs="Times New Roman"/>
        </w:rPr>
        <w:t xml:space="preserve">niversity Hospital Brno and Medical Faculty, Masaryk University, Brno, Czech Republic; </w:t>
      </w:r>
      <w:r w:rsidRPr="006A1A74">
        <w:rPr>
          <w:rFonts w:ascii="Times New Roman" w:hAnsi="Times New Roman" w:cs="Times New Roman"/>
          <w:vertAlign w:val="superscript"/>
        </w:rPr>
        <w:t>10</w:t>
      </w:r>
      <w:r w:rsidRPr="006A1A74">
        <w:rPr>
          <w:rFonts w:ascii="Times New Roman" w:hAnsi="Times New Roman" w:cs="Times New Roman"/>
        </w:rPr>
        <w:t xml:space="preserve">Central European Institute of Technology, Masaryk University, Brno, Czech Republic; </w:t>
      </w:r>
      <w:r w:rsidRPr="006A1A74">
        <w:rPr>
          <w:rFonts w:ascii="Times New Roman" w:hAnsi="Times New Roman" w:cs="Times New Roman"/>
          <w:vertAlign w:val="superscript"/>
        </w:rPr>
        <w:t>11</w:t>
      </w:r>
      <w:r w:rsidRPr="006A1A74">
        <w:rPr>
          <w:rFonts w:ascii="Times New Roman" w:hAnsi="Times New Roman" w:cs="Times New Roman"/>
        </w:rPr>
        <w:t xml:space="preserve">Sapienza University, Rome, Italy; </w:t>
      </w:r>
      <w:r w:rsidRPr="006A1A74">
        <w:rPr>
          <w:rFonts w:ascii="Times New Roman" w:hAnsi="Times New Roman" w:cs="Times New Roman"/>
          <w:vertAlign w:val="superscript"/>
        </w:rPr>
        <w:t>12</w:t>
      </w:r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University of Southampton, Southampton, United Kingdom; </w:t>
      </w:r>
      <w:r w:rsidRPr="006A1A74">
        <w:rPr>
          <w:rFonts w:ascii="Times New Roman" w:hAnsi="Times New Roman" w:cs="Times New Roman"/>
          <w:bCs/>
          <w:szCs w:val="23"/>
          <w:vertAlign w:val="superscript"/>
          <w:lang w:eastAsia="it-IT"/>
        </w:rPr>
        <w:t>13</w:t>
      </w:r>
      <w:r w:rsidRPr="006A1A74">
        <w:rPr>
          <w:rFonts w:ascii="Times New Roman" w:hAnsi="Times New Roman" w:cs="Times New Roman"/>
        </w:rPr>
        <w:t>Uppsala University</w:t>
      </w:r>
      <w:r w:rsidR="00113383">
        <w:rPr>
          <w:rFonts w:ascii="Times New Roman" w:hAnsi="Times New Roman" w:cs="Times New Roman"/>
        </w:rPr>
        <w:t xml:space="preserve"> Hospital</w:t>
      </w:r>
      <w:r w:rsidRPr="006A1A74">
        <w:rPr>
          <w:rFonts w:ascii="Times New Roman" w:hAnsi="Times New Roman" w:cs="Times New Roman"/>
        </w:rPr>
        <w:t>,</w:t>
      </w:r>
      <w:r w:rsidR="00113383">
        <w:rPr>
          <w:rFonts w:ascii="Times New Roman" w:hAnsi="Times New Roman" w:cs="Times New Roman"/>
        </w:rPr>
        <w:t xml:space="preserve"> Uppsala,</w:t>
      </w:r>
      <w:r w:rsidRPr="006A1A74">
        <w:rPr>
          <w:rFonts w:ascii="Times New Roman" w:hAnsi="Times New Roman" w:cs="Times New Roman"/>
        </w:rPr>
        <w:t xml:space="preserve"> Sweden; </w:t>
      </w:r>
      <w:r w:rsidRPr="006A1A74">
        <w:rPr>
          <w:rFonts w:ascii="Times New Roman" w:hAnsi="Times New Roman" w:cs="Times New Roman"/>
          <w:vertAlign w:val="superscript"/>
        </w:rPr>
        <w:t>14</w:t>
      </w:r>
      <w:r w:rsidRPr="006A1A74">
        <w:rPr>
          <w:rFonts w:ascii="Times New Roman" w:hAnsi="Times New Roman" w:cs="Times New Roman"/>
        </w:rPr>
        <w:t xml:space="preserve">IRCCS </w:t>
      </w:r>
      <w:proofErr w:type="spellStart"/>
      <w:r w:rsidRPr="006A1A74">
        <w:rPr>
          <w:rFonts w:ascii="Times New Roman" w:hAnsi="Times New Roman" w:cs="Times New Roman"/>
        </w:rPr>
        <w:t>Ospedale</w:t>
      </w:r>
      <w:proofErr w:type="spellEnd"/>
      <w:r w:rsidRPr="006A1A74">
        <w:rPr>
          <w:rFonts w:ascii="Times New Roman" w:hAnsi="Times New Roman" w:cs="Times New Roman"/>
        </w:rPr>
        <w:t xml:space="preserve"> </w:t>
      </w:r>
      <w:proofErr w:type="spellStart"/>
      <w:r w:rsidRPr="006A1A74">
        <w:rPr>
          <w:rFonts w:ascii="Times New Roman" w:hAnsi="Times New Roman" w:cs="Times New Roman"/>
        </w:rPr>
        <w:t>Policlinico</w:t>
      </w:r>
      <w:proofErr w:type="spellEnd"/>
      <w:r w:rsidRPr="006A1A74">
        <w:rPr>
          <w:rFonts w:ascii="Times New Roman" w:hAnsi="Times New Roman" w:cs="Times New Roman"/>
        </w:rPr>
        <w:t xml:space="preserve"> San Martino, Genoa, Italy; </w:t>
      </w:r>
      <w:r w:rsidR="002B7CC3" w:rsidRPr="006A1A74">
        <w:rPr>
          <w:rFonts w:ascii="Times New Roman" w:hAnsi="Times New Roman" w:cs="Times New Roman"/>
          <w:vertAlign w:val="superscript"/>
        </w:rPr>
        <w:t>1</w:t>
      </w:r>
      <w:r w:rsidR="002B7CC3">
        <w:rPr>
          <w:rFonts w:ascii="Times New Roman" w:hAnsi="Times New Roman" w:cs="Times New Roman"/>
          <w:vertAlign w:val="superscript"/>
        </w:rPr>
        <w:t>5</w:t>
      </w:r>
      <w:r w:rsidR="002B7CC3" w:rsidRPr="006A1A74">
        <w:rPr>
          <w:rFonts w:ascii="Times New Roman" w:hAnsi="Times New Roman" w:cs="Times New Roman"/>
        </w:rPr>
        <w:t>Karolinska Institute, Stockholm, Sweden</w:t>
      </w:r>
      <w:r w:rsidR="00863155">
        <w:rPr>
          <w:rFonts w:ascii="Times New Roman" w:hAnsi="Times New Roman" w:cs="Times New Roman"/>
        </w:rPr>
        <w:t xml:space="preserve">; </w:t>
      </w:r>
      <w:r w:rsidR="00863155" w:rsidRPr="00B03E22">
        <w:rPr>
          <w:rFonts w:ascii="Times New Roman" w:hAnsi="Times New Roman" w:cs="Times New Roman"/>
          <w:vertAlign w:val="superscript"/>
        </w:rPr>
        <w:t>16</w:t>
      </w:r>
      <w:r w:rsidR="00863155">
        <w:rPr>
          <w:rFonts w:ascii="Times New Roman" w:hAnsi="Times New Roman" w:cs="Times New Roman"/>
        </w:rPr>
        <w:t>The First Affiliated Hospital of Nanjing Medical University, Jiangsu Province Hospital, Nanjing, China;</w:t>
      </w:r>
      <w:r w:rsidR="002B7CC3" w:rsidRPr="006A1A74">
        <w:rPr>
          <w:rFonts w:ascii="Times New Roman" w:hAnsi="Times New Roman" w:cs="Times New Roman"/>
          <w:vertAlign w:val="superscript"/>
        </w:rPr>
        <w:t xml:space="preserve"> </w:t>
      </w:r>
      <w:r w:rsidR="009C44BE">
        <w:rPr>
          <w:rFonts w:ascii="Times New Roman" w:hAnsi="Times New Roman" w:cs="Times New Roman"/>
          <w:vertAlign w:val="superscript"/>
        </w:rPr>
        <w:t>17</w:t>
      </w:r>
      <w:r w:rsidR="009C44BE" w:rsidRPr="006A1A74">
        <w:rPr>
          <w:rFonts w:ascii="Times New Roman" w:hAnsi="Times New Roman" w:cs="Times New Roman"/>
        </w:rPr>
        <w:t>University of Texas MD Anderson Cancer Center, Houston,</w:t>
      </w:r>
      <w:r w:rsidR="009C44BE">
        <w:rPr>
          <w:rFonts w:ascii="Times New Roman" w:hAnsi="Times New Roman" w:cs="Times New Roman"/>
        </w:rPr>
        <w:t xml:space="preserve"> TX,</w:t>
      </w:r>
      <w:r w:rsidR="009C44BE" w:rsidRPr="006A1A74">
        <w:rPr>
          <w:rFonts w:ascii="Times New Roman" w:hAnsi="Times New Roman" w:cs="Times New Roman"/>
        </w:rPr>
        <w:t xml:space="preserve"> USA;</w:t>
      </w:r>
      <w:r w:rsidR="009C44BE">
        <w:rPr>
          <w:rFonts w:ascii="Times New Roman" w:hAnsi="Times New Roman" w:cs="Times New Roman"/>
        </w:rPr>
        <w:t xml:space="preserve"> </w:t>
      </w:r>
      <w:r w:rsidRPr="006A1A74">
        <w:rPr>
          <w:rFonts w:ascii="Times New Roman" w:hAnsi="Times New Roman" w:cs="Times New Roman"/>
          <w:vertAlign w:val="superscript"/>
        </w:rPr>
        <w:t>1</w:t>
      </w:r>
      <w:r w:rsidR="009C44BE">
        <w:rPr>
          <w:rFonts w:ascii="Times New Roman" w:hAnsi="Times New Roman" w:cs="Times New Roman"/>
          <w:vertAlign w:val="superscript"/>
        </w:rPr>
        <w:t>8</w:t>
      </w:r>
      <w:r w:rsidR="009C44BE" w:rsidRPr="009C44BE">
        <w:rPr>
          <w:rFonts w:ascii="Times New Roman" w:hAnsi="Times New Roman" w:cs="Times New Roman"/>
        </w:rPr>
        <w:t>U</w:t>
      </w:r>
      <w:r w:rsidRPr="006A1A74">
        <w:rPr>
          <w:rFonts w:ascii="Times New Roman" w:hAnsi="Times New Roman" w:cs="Times New Roman"/>
        </w:rPr>
        <w:t xml:space="preserve">niversity of Milano, Milan, Italy; </w:t>
      </w:r>
      <w:r w:rsidRPr="006A1A74">
        <w:rPr>
          <w:rFonts w:ascii="Times New Roman" w:hAnsi="Times New Roman" w:cs="Times New Roman"/>
          <w:vertAlign w:val="superscript"/>
        </w:rPr>
        <w:t>1</w:t>
      </w:r>
      <w:r w:rsidR="009C44BE">
        <w:rPr>
          <w:rFonts w:ascii="Times New Roman" w:hAnsi="Times New Roman" w:cs="Times New Roman"/>
          <w:vertAlign w:val="superscript"/>
        </w:rPr>
        <w:t>9</w:t>
      </w:r>
      <w:r w:rsidRPr="006A1A74">
        <w:rPr>
          <w:rFonts w:ascii="Times New Roman" w:hAnsi="Times New Roman" w:cs="Times New Roman"/>
        </w:rPr>
        <w:t xml:space="preserve">University of Genova, Genoa, Italy; </w:t>
      </w:r>
      <w:r w:rsidR="009C44BE">
        <w:rPr>
          <w:rFonts w:ascii="Times New Roman" w:hAnsi="Times New Roman" w:cs="Times New Roman"/>
          <w:vertAlign w:val="superscript"/>
        </w:rPr>
        <w:t>20</w:t>
      </w:r>
      <w:r w:rsidRPr="006A1A74">
        <w:rPr>
          <w:rFonts w:ascii="Times New Roman" w:hAnsi="Times New Roman" w:cs="Times New Roman"/>
          <w:bCs/>
          <w:szCs w:val="23"/>
          <w:lang w:eastAsia="it-IT"/>
        </w:rPr>
        <w:t xml:space="preserve">Southampton University Hospital Trust, Southampton, United Kingdom; </w:t>
      </w:r>
      <w:r w:rsidR="00863155">
        <w:rPr>
          <w:rFonts w:ascii="Times New Roman" w:hAnsi="Times New Roman" w:cs="Times New Roman"/>
          <w:bCs/>
          <w:szCs w:val="23"/>
          <w:vertAlign w:val="superscript"/>
          <w:lang w:eastAsia="it-IT"/>
        </w:rPr>
        <w:t>2</w:t>
      </w:r>
      <w:r w:rsidR="009C44BE">
        <w:rPr>
          <w:rFonts w:ascii="Times New Roman" w:hAnsi="Times New Roman" w:cs="Times New Roman"/>
          <w:bCs/>
          <w:szCs w:val="23"/>
          <w:vertAlign w:val="superscript"/>
          <w:lang w:eastAsia="it-IT"/>
        </w:rPr>
        <w:t>1</w:t>
      </w:r>
      <w:r w:rsidRPr="006A1A74">
        <w:rPr>
          <w:rFonts w:ascii="Times New Roman" w:hAnsi="Times New Roman" w:cs="Times New Roman"/>
        </w:rPr>
        <w:t xml:space="preserve">Biotechnology Research Unit </w:t>
      </w:r>
      <w:proofErr w:type="spellStart"/>
      <w:r w:rsidRPr="006A1A74">
        <w:rPr>
          <w:rFonts w:ascii="Times New Roman" w:hAnsi="Times New Roman" w:cs="Times New Roman"/>
        </w:rPr>
        <w:t>Aprigliano</w:t>
      </w:r>
      <w:proofErr w:type="spellEnd"/>
      <w:r w:rsidRPr="006A1A74">
        <w:rPr>
          <w:rFonts w:ascii="Times New Roman" w:hAnsi="Times New Roman" w:cs="Times New Roman"/>
        </w:rPr>
        <w:t xml:space="preserve">, Cosenza, Italy; </w:t>
      </w:r>
      <w:r w:rsidRPr="006A1A74">
        <w:rPr>
          <w:rFonts w:ascii="Times New Roman" w:hAnsi="Times New Roman" w:cs="Times New Roman"/>
          <w:vertAlign w:val="superscript"/>
        </w:rPr>
        <w:t>2</w:t>
      </w:r>
      <w:r w:rsidR="009C44BE">
        <w:rPr>
          <w:rFonts w:ascii="Times New Roman" w:hAnsi="Times New Roman" w:cs="Times New Roman"/>
          <w:vertAlign w:val="superscript"/>
        </w:rPr>
        <w:t>2</w:t>
      </w:r>
      <w:r w:rsidRPr="006A1A74">
        <w:rPr>
          <w:rFonts w:ascii="Times New Roman" w:hAnsi="Times New Roman" w:cs="Times New Roman"/>
        </w:rPr>
        <w:t xml:space="preserve">Augusta Victoria Hospital, Jerusalem, Israel; </w:t>
      </w:r>
      <w:r w:rsidR="009323E0" w:rsidRPr="005F389B">
        <w:rPr>
          <w:rFonts w:ascii="Times New Roman" w:hAnsi="Times New Roman" w:cs="Times New Roman"/>
          <w:vertAlign w:val="superscript"/>
        </w:rPr>
        <w:t>2</w:t>
      </w:r>
      <w:r w:rsidR="009C44BE">
        <w:rPr>
          <w:rFonts w:ascii="Times New Roman" w:hAnsi="Times New Roman" w:cs="Times New Roman"/>
          <w:vertAlign w:val="superscript"/>
        </w:rPr>
        <w:t>3</w:t>
      </w:r>
      <w:r w:rsidR="005F389B">
        <w:rPr>
          <w:rFonts w:ascii="Times New Roman" w:hAnsi="Times New Roman" w:cs="Times New Roman"/>
        </w:rPr>
        <w:t xml:space="preserve">Department of Internal Medicine III, </w:t>
      </w:r>
      <w:r w:rsidR="009323E0" w:rsidRPr="005F389B">
        <w:rPr>
          <w:rFonts w:ascii="Times New Roman" w:hAnsi="Times New Roman" w:cs="Times New Roman"/>
        </w:rPr>
        <w:t>University</w:t>
      </w:r>
      <w:r w:rsidR="009323E0" w:rsidRPr="009323E0">
        <w:rPr>
          <w:rFonts w:ascii="Times New Roman" w:hAnsi="Times New Roman" w:cs="Times New Roman"/>
        </w:rPr>
        <w:t xml:space="preserve"> Hospital of Ulm, Ulm</w:t>
      </w:r>
      <w:r w:rsidR="009C44BE">
        <w:rPr>
          <w:rFonts w:ascii="Times New Roman" w:hAnsi="Times New Roman" w:cs="Times New Roman"/>
        </w:rPr>
        <w:t>;</w:t>
      </w:r>
      <w:r w:rsidRPr="006A1A74">
        <w:rPr>
          <w:rFonts w:ascii="Times New Roman" w:hAnsi="Times New Roman" w:cs="Times New Roman"/>
        </w:rPr>
        <w:t xml:space="preserve"> </w:t>
      </w:r>
      <w:r w:rsidRPr="006A1A74">
        <w:rPr>
          <w:rFonts w:ascii="Times New Roman" w:hAnsi="Times New Roman" w:cs="Times New Roman"/>
          <w:vertAlign w:val="superscript"/>
        </w:rPr>
        <w:t>2</w:t>
      </w:r>
      <w:r w:rsidR="00863155">
        <w:rPr>
          <w:rFonts w:ascii="Times New Roman" w:hAnsi="Times New Roman" w:cs="Times New Roman"/>
          <w:vertAlign w:val="superscript"/>
        </w:rPr>
        <w:t>4</w:t>
      </w:r>
      <w:r w:rsidRPr="006A1A74">
        <w:rPr>
          <w:rFonts w:ascii="Times New Roman" w:hAnsi="Times New Roman" w:cs="Times New Roman"/>
        </w:rPr>
        <w:t xml:space="preserve">University of Barcelona, Barcelona, Spain. </w:t>
      </w:r>
    </w:p>
    <w:p w14:paraId="2390139E" w14:textId="77777777" w:rsidR="00966A75" w:rsidRDefault="00966A75" w:rsidP="00966A75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694D6398" w14:textId="77777777" w:rsidR="005B5974" w:rsidRPr="00AB6C90" w:rsidRDefault="005B5974" w:rsidP="005B5974">
      <w:pPr>
        <w:spacing w:after="0"/>
        <w:jc w:val="both"/>
        <w:rPr>
          <w:rFonts w:ascii="Times New Roman" w:hAnsi="Times New Roman" w:cs="Times New Roman"/>
          <w:szCs w:val="20"/>
        </w:rPr>
      </w:pPr>
      <w:r w:rsidRPr="00AB6C90">
        <w:rPr>
          <w:rFonts w:ascii="Times New Roman" w:hAnsi="Times New Roman" w:cs="Times New Roman"/>
          <w:szCs w:val="20"/>
        </w:rPr>
        <w:t>*A</w:t>
      </w:r>
      <w:r>
        <w:rPr>
          <w:rFonts w:ascii="Times New Roman" w:hAnsi="Times New Roman" w:cs="Times New Roman"/>
          <w:szCs w:val="20"/>
        </w:rPr>
        <w:t>.</w:t>
      </w:r>
      <w:r w:rsidRPr="00AB6C90">
        <w:rPr>
          <w:rFonts w:ascii="Times New Roman" w:hAnsi="Times New Roman" w:cs="Times New Roman"/>
          <w:szCs w:val="20"/>
        </w:rPr>
        <w:t>C</w:t>
      </w:r>
      <w:r>
        <w:rPr>
          <w:rFonts w:ascii="Times New Roman" w:hAnsi="Times New Roman" w:cs="Times New Roman"/>
          <w:szCs w:val="20"/>
        </w:rPr>
        <w:t xml:space="preserve">., </w:t>
      </w:r>
      <w:r w:rsidRPr="00AB6C90">
        <w:rPr>
          <w:rFonts w:ascii="Times New Roman" w:hAnsi="Times New Roman" w:cs="Times New Roman"/>
          <w:szCs w:val="20"/>
        </w:rPr>
        <w:t>L</w:t>
      </w:r>
      <w:r>
        <w:rPr>
          <w:rFonts w:ascii="Times New Roman" w:hAnsi="Times New Roman" w:cs="Times New Roman"/>
          <w:szCs w:val="20"/>
        </w:rPr>
        <w:t>.</w:t>
      </w:r>
      <w:r w:rsidRPr="00AB6C90">
        <w:rPr>
          <w:rFonts w:ascii="Times New Roman" w:hAnsi="Times New Roman" w:cs="Times New Roman"/>
          <w:szCs w:val="20"/>
        </w:rPr>
        <w:t>T</w:t>
      </w:r>
      <w:r>
        <w:rPr>
          <w:rFonts w:ascii="Times New Roman" w:hAnsi="Times New Roman" w:cs="Times New Roman"/>
          <w:szCs w:val="20"/>
        </w:rPr>
        <w:t>.</w:t>
      </w:r>
      <w:r w:rsidRPr="00AB6C90"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zCs w:val="20"/>
        </w:rPr>
        <w:t>.</w:t>
      </w:r>
      <w:r w:rsidRPr="00AB6C90">
        <w:rPr>
          <w:rFonts w:ascii="Times New Roman" w:hAnsi="Times New Roman" w:cs="Times New Roman"/>
          <w:szCs w:val="20"/>
        </w:rPr>
        <w:t>B</w:t>
      </w:r>
      <w:r>
        <w:rPr>
          <w:rFonts w:ascii="Times New Roman" w:hAnsi="Times New Roman" w:cs="Times New Roman"/>
          <w:szCs w:val="20"/>
        </w:rPr>
        <w:t>., P.L. and M.H.</w:t>
      </w:r>
      <w:r w:rsidRPr="00AB6C90">
        <w:rPr>
          <w:rFonts w:ascii="Times New Roman" w:hAnsi="Times New Roman" w:cs="Times New Roman"/>
          <w:szCs w:val="20"/>
        </w:rPr>
        <w:t xml:space="preserve"> equally contributed</w:t>
      </w:r>
    </w:p>
    <w:p w14:paraId="58F2BE32" w14:textId="77777777" w:rsidR="005B5974" w:rsidRPr="00AB6C90" w:rsidRDefault="000C11DF" w:rsidP="005B5974">
      <w:pPr>
        <w:spacing w:after="0"/>
        <w:jc w:val="both"/>
        <w:rPr>
          <w:rFonts w:ascii="Times New Roman" w:hAnsi="Times New Roman" w:cs="Times New Roman"/>
          <w:szCs w:val="20"/>
        </w:rPr>
      </w:pPr>
      <w:r w:rsidRPr="000C11DF">
        <w:rPr>
          <w:rFonts w:ascii="Times New Roman" w:hAnsi="Times New Roman" w:cs="Times New Roman"/>
          <w:szCs w:val="20"/>
          <w:vertAlign w:val="superscript"/>
          <w:lang w:val="en-GB"/>
        </w:rPr>
        <w:t>†</w:t>
      </w:r>
      <w:r w:rsidR="005B5974" w:rsidRPr="00AB6C90">
        <w:rPr>
          <w:rFonts w:ascii="Times New Roman" w:hAnsi="Times New Roman" w:cs="Times New Roman"/>
          <w:szCs w:val="20"/>
        </w:rPr>
        <w:t>S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A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P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, W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G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W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, E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M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, G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G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, M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H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 xml:space="preserve"> and D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>R</w:t>
      </w:r>
      <w:r w:rsidR="005B5974">
        <w:rPr>
          <w:rFonts w:ascii="Times New Roman" w:hAnsi="Times New Roman" w:cs="Times New Roman"/>
          <w:szCs w:val="20"/>
        </w:rPr>
        <w:t>.</w:t>
      </w:r>
      <w:r w:rsidR="005B5974" w:rsidRPr="00AB6C90">
        <w:rPr>
          <w:rFonts w:ascii="Times New Roman" w:hAnsi="Times New Roman" w:cs="Times New Roman"/>
          <w:szCs w:val="20"/>
        </w:rPr>
        <w:t xml:space="preserve"> equally contributed</w:t>
      </w:r>
    </w:p>
    <w:p w14:paraId="7377674B" w14:textId="77777777" w:rsidR="005B5974" w:rsidRDefault="005B5974" w:rsidP="007E06F8">
      <w:pPr>
        <w:spacing w:after="0"/>
        <w:jc w:val="both"/>
        <w:rPr>
          <w:rFonts w:ascii="Times New Roman" w:hAnsi="Times New Roman" w:cs="Times New Roman"/>
        </w:rPr>
      </w:pPr>
    </w:p>
    <w:p w14:paraId="46C28E00" w14:textId="77777777" w:rsidR="007E06F8" w:rsidRDefault="007E06F8" w:rsidP="007E0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at the 15-International Conference on Malignant Lymphoma</w:t>
      </w:r>
    </w:p>
    <w:p w14:paraId="30CE6341" w14:textId="77777777" w:rsidR="00576BA8" w:rsidRDefault="00576BA8" w:rsidP="00576BA8">
      <w:pPr>
        <w:spacing w:after="0"/>
        <w:jc w:val="both"/>
        <w:rPr>
          <w:rFonts w:ascii="Times New Roman" w:hAnsi="Times New Roman" w:cs="Times New Roman"/>
        </w:rPr>
      </w:pPr>
    </w:p>
    <w:p w14:paraId="78C27280" w14:textId="77777777" w:rsidR="00677F03" w:rsidRDefault="00677F03" w:rsidP="00677F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Corresponding author</w:t>
      </w:r>
      <w:r w:rsidRPr="00DE4355">
        <w:rPr>
          <w:rFonts w:ascii="Times New Roman" w:hAnsi="Times New Roman" w:cs="Times New Roman"/>
        </w:rPr>
        <w:t>: Davide Rossi,</w:t>
      </w:r>
      <w:r>
        <w:rPr>
          <w:rFonts w:ascii="Times New Roman" w:hAnsi="Times New Roman" w:cs="Times New Roman"/>
        </w:rPr>
        <w:t xml:space="preserve"> Department of</w:t>
      </w:r>
      <w:r w:rsidRPr="00DE4355">
        <w:rPr>
          <w:rFonts w:ascii="Times New Roman" w:hAnsi="Times New Roman" w:cs="Times New Roman"/>
        </w:rPr>
        <w:t xml:space="preserve"> Hematology, Oncology Institute of Southern Switzerland,</w:t>
      </w:r>
      <w:r>
        <w:rPr>
          <w:rFonts w:ascii="Times New Roman" w:hAnsi="Times New Roman" w:cs="Times New Roman"/>
        </w:rPr>
        <w:t xml:space="preserve"> Via Ospedale,</w:t>
      </w:r>
      <w:r w:rsidRPr="00DE4355">
        <w:rPr>
          <w:rFonts w:ascii="Times New Roman" w:hAnsi="Times New Roman" w:cs="Times New Roman"/>
        </w:rPr>
        <w:t xml:space="preserve"> 6500 Bellinzona, Switzerland; </w:t>
      </w:r>
      <w:r>
        <w:rPr>
          <w:rFonts w:ascii="Times New Roman" w:hAnsi="Times New Roman" w:cs="Times New Roman"/>
        </w:rPr>
        <w:t>e</w:t>
      </w:r>
      <w:r w:rsidRPr="00DE4355">
        <w:rPr>
          <w:rFonts w:ascii="Times New Roman" w:hAnsi="Times New Roman" w:cs="Times New Roman"/>
        </w:rPr>
        <w:t>-mail</w:t>
      </w:r>
      <w:r>
        <w:rPr>
          <w:rFonts w:ascii="Times New Roman" w:hAnsi="Times New Roman" w:cs="Times New Roman"/>
        </w:rPr>
        <w:t>:</w:t>
      </w:r>
      <w:r w:rsidRPr="00DE4355">
        <w:rPr>
          <w:rFonts w:ascii="Times New Roman" w:hAnsi="Times New Roman" w:cs="Times New Roman"/>
        </w:rPr>
        <w:t xml:space="preserve"> </w:t>
      </w:r>
      <w:r w:rsidRPr="00CA6F67">
        <w:rPr>
          <w:rFonts w:ascii="Times New Roman" w:hAnsi="Times New Roman" w:cs="Times New Roman"/>
        </w:rPr>
        <w:t>davide.rossi@eoc.ch</w:t>
      </w:r>
    </w:p>
    <w:p w14:paraId="56AF9A0D" w14:textId="77777777" w:rsidR="006546F7" w:rsidRDefault="006546F7" w:rsidP="00576BA8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9B5C0D0" w14:textId="376C2393" w:rsidR="00677F03" w:rsidRDefault="00677F03" w:rsidP="00635DBC">
      <w:pPr>
        <w:spacing w:after="0"/>
        <w:jc w:val="both"/>
        <w:rPr>
          <w:rFonts w:ascii="Times New Roman" w:hAnsi="Times New Roman" w:cstheme="minorBidi"/>
          <w:iCs/>
        </w:rPr>
      </w:pPr>
      <w:r>
        <w:rPr>
          <w:rFonts w:ascii="Times New Roman" w:hAnsi="Times New Roman"/>
          <w:b/>
          <w:iCs/>
        </w:rPr>
        <w:t>Text word count</w:t>
      </w:r>
      <w:r w:rsidRPr="00B04B2D">
        <w:rPr>
          <w:rFonts w:ascii="Times New Roman" w:hAnsi="Times New Roman"/>
          <w:iCs/>
        </w:rPr>
        <w:t xml:space="preserve">: </w:t>
      </w:r>
      <w:r w:rsidR="009B0688" w:rsidRPr="00B04B2D">
        <w:rPr>
          <w:rFonts w:ascii="Times New Roman" w:hAnsi="Times New Roman"/>
          <w:iCs/>
        </w:rPr>
        <w:t>3523</w:t>
      </w:r>
      <w:r w:rsidRPr="00B04B2D">
        <w:rPr>
          <w:rFonts w:ascii="Times New Roman" w:hAnsi="Times New Roman"/>
          <w:iCs/>
        </w:rPr>
        <w:t xml:space="preserve">; </w:t>
      </w:r>
      <w:r w:rsidRPr="00B04B2D">
        <w:rPr>
          <w:rFonts w:ascii="Times New Roman" w:hAnsi="Times New Roman"/>
          <w:b/>
          <w:iCs/>
        </w:rPr>
        <w:t>Abstract word count</w:t>
      </w:r>
      <w:r w:rsidRPr="00B04B2D">
        <w:rPr>
          <w:rFonts w:ascii="Times New Roman" w:hAnsi="Times New Roman"/>
          <w:iCs/>
        </w:rPr>
        <w:t xml:space="preserve">: </w:t>
      </w:r>
      <w:r w:rsidR="00EC24E4" w:rsidRPr="00B04B2D">
        <w:rPr>
          <w:rFonts w:ascii="Times New Roman" w:hAnsi="Times New Roman"/>
          <w:iCs/>
        </w:rPr>
        <w:t>248</w:t>
      </w:r>
      <w:r w:rsidRPr="00B04B2D">
        <w:rPr>
          <w:rFonts w:ascii="Times New Roman" w:hAnsi="Times New Roman"/>
          <w:iCs/>
        </w:rPr>
        <w:t xml:space="preserve">; </w:t>
      </w:r>
      <w:r w:rsidRPr="00B04B2D">
        <w:rPr>
          <w:rFonts w:ascii="Times New Roman" w:hAnsi="Times New Roman"/>
          <w:b/>
          <w:iCs/>
        </w:rPr>
        <w:t>Figures</w:t>
      </w:r>
      <w:r w:rsidR="00CB5CC3" w:rsidRPr="00B04B2D">
        <w:rPr>
          <w:rFonts w:ascii="Times New Roman" w:hAnsi="Times New Roman"/>
          <w:iCs/>
        </w:rPr>
        <w:t xml:space="preserve">: </w:t>
      </w:r>
      <w:r w:rsidR="00392D8F" w:rsidRPr="00B04B2D">
        <w:rPr>
          <w:rFonts w:ascii="Times New Roman" w:hAnsi="Times New Roman"/>
          <w:iCs/>
        </w:rPr>
        <w:t>4</w:t>
      </w:r>
      <w:r w:rsidRPr="00B04B2D">
        <w:rPr>
          <w:rFonts w:ascii="Times New Roman" w:hAnsi="Times New Roman"/>
          <w:iCs/>
        </w:rPr>
        <w:t xml:space="preserve">; </w:t>
      </w:r>
      <w:r w:rsidRPr="00B04B2D">
        <w:rPr>
          <w:rFonts w:ascii="Times New Roman" w:hAnsi="Times New Roman"/>
          <w:b/>
          <w:iCs/>
        </w:rPr>
        <w:t>References</w:t>
      </w:r>
      <w:r w:rsidR="00CB5CC3" w:rsidRPr="00B04B2D">
        <w:rPr>
          <w:rFonts w:ascii="Times New Roman" w:hAnsi="Times New Roman"/>
          <w:iCs/>
        </w:rPr>
        <w:t xml:space="preserve">: </w:t>
      </w:r>
      <w:r w:rsidR="00AF4C2A" w:rsidRPr="00B04B2D">
        <w:rPr>
          <w:rFonts w:ascii="Times New Roman" w:hAnsi="Times New Roman"/>
          <w:iCs/>
        </w:rPr>
        <w:t>5</w:t>
      </w:r>
      <w:r w:rsidR="009B0688" w:rsidRPr="00B04B2D">
        <w:rPr>
          <w:rFonts w:ascii="Times New Roman" w:hAnsi="Times New Roman"/>
          <w:iCs/>
        </w:rPr>
        <w:t>7</w:t>
      </w:r>
      <w:r w:rsidRPr="00B04B2D">
        <w:rPr>
          <w:rFonts w:ascii="Times New Roman" w:hAnsi="Times New Roman"/>
          <w:iCs/>
        </w:rPr>
        <w:t>.</w:t>
      </w:r>
    </w:p>
    <w:p w14:paraId="3CB2A81B" w14:textId="1A2C1FE4" w:rsidR="00677F03" w:rsidRDefault="00677F03" w:rsidP="00635DB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Category</w:t>
      </w:r>
      <w:r>
        <w:rPr>
          <w:rFonts w:ascii="Times New Roman" w:hAnsi="Times New Roman"/>
        </w:rPr>
        <w:t xml:space="preserve">: Lymphoid neoplasia </w:t>
      </w:r>
    </w:p>
    <w:p w14:paraId="29D02BB8" w14:textId="77777777" w:rsidR="00CD0B61" w:rsidRDefault="00CD0B61" w:rsidP="00635DBC">
      <w:pPr>
        <w:spacing w:after="0"/>
        <w:jc w:val="both"/>
        <w:rPr>
          <w:rFonts w:ascii="Times New Roman" w:hAnsi="Times New Roman"/>
        </w:rPr>
      </w:pPr>
    </w:p>
    <w:p w14:paraId="2CE7E4A8" w14:textId="77777777" w:rsidR="00677F03" w:rsidRDefault="00677F03" w:rsidP="00677F03">
      <w:pPr>
        <w:spacing w:after="0"/>
        <w:jc w:val="both"/>
        <w:rPr>
          <w:rFonts w:ascii="Times New Roman" w:hAnsi="Times New Roman" w:cstheme="minorBidi"/>
          <w:b/>
        </w:rPr>
      </w:pPr>
      <w:r>
        <w:rPr>
          <w:rFonts w:ascii="Times New Roman" w:hAnsi="Times New Roman"/>
          <w:b/>
        </w:rPr>
        <w:lastRenderedPageBreak/>
        <w:t xml:space="preserve">Key points: </w:t>
      </w:r>
    </w:p>
    <w:p w14:paraId="573BDA7F" w14:textId="77777777" w:rsidR="00A976BA" w:rsidRDefault="00A976BA" w:rsidP="00A976BA">
      <w:pPr>
        <w:pStyle w:val="ListParagraph"/>
        <w:numPr>
          <w:ilvl w:val="0"/>
          <w:numId w:val="13"/>
        </w:numPr>
        <w:jc w:val="both"/>
        <w:rPr>
          <w:rFonts w:eastAsia="Times New Roman"/>
        </w:rPr>
      </w:pPr>
      <w:r>
        <w:rPr>
          <w:rFonts w:eastAsia="Times New Roman"/>
        </w:rPr>
        <w:t>I</w:t>
      </w:r>
      <w:r w:rsidRPr="00A976BA">
        <w:rPr>
          <w:rFonts w:eastAsia="Times New Roman"/>
        </w:rPr>
        <w:t>PS-E is a sim</w:t>
      </w:r>
      <w:r>
        <w:rPr>
          <w:rFonts w:eastAsia="Times New Roman"/>
        </w:rPr>
        <w:t>ple and robust prognostic model for early stage CLL</w:t>
      </w:r>
    </w:p>
    <w:p w14:paraId="046AF784" w14:textId="558A38F6" w:rsidR="001935B2" w:rsidRPr="00B85DC2" w:rsidRDefault="00A976BA" w:rsidP="00EC24E4">
      <w:pPr>
        <w:pStyle w:val="ListParagraph"/>
        <w:numPr>
          <w:ilvl w:val="0"/>
          <w:numId w:val="13"/>
        </w:numPr>
        <w:jc w:val="both"/>
      </w:pPr>
      <w:r w:rsidRPr="00A976BA">
        <w:rPr>
          <w:rFonts w:eastAsia="Times New Roman"/>
        </w:rPr>
        <w:t xml:space="preserve">IPS-E can </w:t>
      </w:r>
      <w:r w:rsidR="00A157A0">
        <w:rPr>
          <w:rFonts w:eastAsia="Times New Roman"/>
        </w:rPr>
        <w:t xml:space="preserve">be helpful in </w:t>
      </w:r>
      <w:r w:rsidRPr="00A976BA">
        <w:rPr>
          <w:rFonts w:eastAsia="Times New Roman"/>
        </w:rPr>
        <w:t>patients’ co</w:t>
      </w:r>
      <w:r>
        <w:rPr>
          <w:rFonts w:eastAsia="Times New Roman"/>
        </w:rPr>
        <w:t>unseling</w:t>
      </w:r>
      <w:r w:rsidR="005347D9">
        <w:rPr>
          <w:szCs w:val="20"/>
        </w:rPr>
        <w:t xml:space="preserve"> and design of clinical trials</w:t>
      </w:r>
    </w:p>
    <w:p w14:paraId="16A628F2" w14:textId="77777777" w:rsidR="006546F7" w:rsidRDefault="006546F7" w:rsidP="00C57174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br w:type="page"/>
      </w:r>
    </w:p>
    <w:p w14:paraId="7F7D82E8" w14:textId="77777777" w:rsidR="00EC7078" w:rsidRDefault="00433B0A" w:rsidP="00C57174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  <w:r w:rsidRPr="00377375">
        <w:rPr>
          <w:rFonts w:ascii="Times New Roman" w:hAnsi="Times New Roman" w:cs="Times New Roman"/>
          <w:b/>
          <w:szCs w:val="20"/>
        </w:rPr>
        <w:lastRenderedPageBreak/>
        <w:t>Abstract</w:t>
      </w:r>
    </w:p>
    <w:p w14:paraId="0D140AED" w14:textId="77777777" w:rsidR="004F1D65" w:rsidRPr="00377375" w:rsidRDefault="004F1D65" w:rsidP="00C57174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4F3D753" w14:textId="0B34D80B" w:rsidR="004F1D65" w:rsidRDefault="003E63E4" w:rsidP="009E5C9E">
      <w:pPr>
        <w:spacing w:after="0" w:line="48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Purpose</w:t>
      </w:r>
      <w:r w:rsidR="004F1D65">
        <w:rPr>
          <w:rFonts w:ascii="Times New Roman" w:hAnsi="Times New Roman" w:cs="Times New Roman"/>
          <w:b/>
          <w:szCs w:val="20"/>
        </w:rPr>
        <w:t>.</w:t>
      </w:r>
      <w:r w:rsidR="004F1D65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 xml:space="preserve">Most </w:t>
      </w:r>
      <w:r w:rsidR="00D4107B">
        <w:rPr>
          <w:rFonts w:ascii="Times New Roman" w:hAnsi="Times New Roman" w:cs="Times New Roman"/>
          <w:szCs w:val="20"/>
        </w:rPr>
        <w:t xml:space="preserve">patients with </w:t>
      </w:r>
      <w:r w:rsidR="001A098C" w:rsidRPr="006A1A74">
        <w:rPr>
          <w:rFonts w:ascii="Times New Roman" w:hAnsi="Times New Roman" w:cs="Times New Roman"/>
          <w:szCs w:val="20"/>
        </w:rPr>
        <w:t xml:space="preserve">chronic lymphocytic leukemia (CLL) are diagnosed </w:t>
      </w:r>
      <w:r w:rsidR="00000EE0">
        <w:rPr>
          <w:rFonts w:ascii="Times New Roman" w:hAnsi="Times New Roman" w:cs="Times New Roman"/>
          <w:szCs w:val="20"/>
        </w:rPr>
        <w:t>with</w:t>
      </w:r>
      <w:r w:rsidR="00000EE0" w:rsidRPr="006A1A74">
        <w:rPr>
          <w:rFonts w:ascii="Times New Roman" w:hAnsi="Times New Roman" w:cs="Times New Roman"/>
          <w:szCs w:val="20"/>
        </w:rPr>
        <w:t xml:space="preserve"> </w:t>
      </w:r>
      <w:r w:rsidR="001A098C">
        <w:rPr>
          <w:rFonts w:ascii="Times New Roman" w:hAnsi="Times New Roman" w:cs="Times New Roman"/>
          <w:szCs w:val="20"/>
        </w:rPr>
        <w:t xml:space="preserve">early </w:t>
      </w:r>
      <w:r w:rsidR="001A098C" w:rsidRPr="006A1A74">
        <w:rPr>
          <w:rFonts w:ascii="Times New Roman" w:hAnsi="Times New Roman" w:cs="Times New Roman"/>
          <w:szCs w:val="20"/>
        </w:rPr>
        <w:t xml:space="preserve">stage </w:t>
      </w:r>
      <w:r w:rsidR="001A098C">
        <w:rPr>
          <w:rFonts w:ascii="Times New Roman" w:hAnsi="Times New Roman" w:cs="Times New Roman"/>
          <w:szCs w:val="20"/>
        </w:rPr>
        <w:t>disease</w:t>
      </w:r>
      <w:r w:rsidR="001A098C" w:rsidRPr="006A1A74">
        <w:rPr>
          <w:rFonts w:ascii="Times New Roman" w:hAnsi="Times New Roman" w:cs="Times New Roman"/>
          <w:szCs w:val="20"/>
        </w:rPr>
        <w:t xml:space="preserve"> and managed with </w:t>
      </w:r>
      <w:r w:rsidR="009234F7">
        <w:rPr>
          <w:rFonts w:ascii="Times New Roman" w:hAnsi="Times New Roman" w:cs="Times New Roman"/>
          <w:szCs w:val="20"/>
        </w:rPr>
        <w:t xml:space="preserve">active </w:t>
      </w:r>
      <w:r w:rsidR="001A098C" w:rsidRPr="006A1A74">
        <w:rPr>
          <w:rFonts w:ascii="Times New Roman" w:hAnsi="Times New Roman" w:cs="Times New Roman"/>
          <w:szCs w:val="20"/>
        </w:rPr>
        <w:t>surveillance.</w:t>
      </w:r>
      <w:r w:rsidR="004217E0">
        <w:rPr>
          <w:rFonts w:ascii="Times New Roman" w:hAnsi="Times New Roman" w:cs="Times New Roman"/>
          <w:szCs w:val="20"/>
        </w:rPr>
        <w:t xml:space="preserve"> T</w:t>
      </w:r>
      <w:r w:rsidR="00680BE9">
        <w:rPr>
          <w:rFonts w:ascii="Times New Roman" w:hAnsi="Times New Roman" w:cs="Times New Roman"/>
          <w:szCs w:val="20"/>
        </w:rPr>
        <w:t xml:space="preserve">he </w:t>
      </w:r>
      <w:r w:rsidR="006E60EC">
        <w:rPr>
          <w:rFonts w:ascii="Times New Roman" w:hAnsi="Times New Roman" w:cs="Times New Roman"/>
          <w:szCs w:val="20"/>
        </w:rPr>
        <w:t>individual</w:t>
      </w:r>
      <w:r w:rsidR="006E60EC" w:rsidDel="004217E0">
        <w:rPr>
          <w:rFonts w:ascii="Times New Roman" w:hAnsi="Times New Roman" w:cs="Times New Roman"/>
          <w:szCs w:val="20"/>
        </w:rPr>
        <w:t xml:space="preserve"> </w:t>
      </w:r>
      <w:r w:rsidR="00680BE9">
        <w:rPr>
          <w:rFonts w:ascii="Times New Roman" w:hAnsi="Times New Roman" w:cs="Times New Roman"/>
          <w:szCs w:val="20"/>
        </w:rPr>
        <w:t xml:space="preserve">course </w:t>
      </w:r>
      <w:r w:rsidR="0068767E">
        <w:rPr>
          <w:rFonts w:ascii="Times New Roman" w:hAnsi="Times New Roman" w:cs="Times New Roman"/>
          <w:szCs w:val="20"/>
        </w:rPr>
        <w:t>of subjects with</w:t>
      </w:r>
      <w:r w:rsidR="001A098C" w:rsidRPr="006A1A74">
        <w:rPr>
          <w:rFonts w:ascii="Times New Roman" w:hAnsi="Times New Roman" w:cs="Times New Roman"/>
          <w:szCs w:val="20"/>
        </w:rPr>
        <w:t xml:space="preserve"> </w:t>
      </w:r>
      <w:r w:rsidR="001A098C">
        <w:rPr>
          <w:rFonts w:ascii="Times New Roman" w:hAnsi="Times New Roman" w:cs="Times New Roman"/>
          <w:szCs w:val="20"/>
        </w:rPr>
        <w:t>early stage CLL</w:t>
      </w:r>
      <w:r w:rsidR="001A098C" w:rsidRPr="006A1A74">
        <w:rPr>
          <w:rFonts w:ascii="Times New Roman" w:hAnsi="Times New Roman" w:cs="Times New Roman"/>
          <w:szCs w:val="20"/>
        </w:rPr>
        <w:t xml:space="preserve"> is heterogeneous and</w:t>
      </w:r>
      <w:r w:rsidR="00000EE0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>their probability of</w:t>
      </w:r>
      <w:r w:rsidR="00C154FE">
        <w:rPr>
          <w:rFonts w:ascii="Times New Roman" w:hAnsi="Times New Roman" w:cs="Times New Roman"/>
          <w:szCs w:val="20"/>
        </w:rPr>
        <w:t xml:space="preserve"> </w:t>
      </w:r>
      <w:r w:rsidR="00134815">
        <w:rPr>
          <w:rFonts w:ascii="Times New Roman" w:hAnsi="Times New Roman" w:cs="Times New Roman"/>
          <w:szCs w:val="20"/>
        </w:rPr>
        <w:t>needing treatment</w:t>
      </w:r>
      <w:r w:rsidR="00CD0B61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>is hardly anticipated</w:t>
      </w:r>
      <w:r w:rsidR="006C6687">
        <w:rPr>
          <w:rFonts w:ascii="Times New Roman" w:hAnsi="Times New Roman" w:cs="Times New Roman"/>
          <w:szCs w:val="20"/>
        </w:rPr>
        <w:t xml:space="preserve"> at diagnosis. </w:t>
      </w:r>
      <w:r w:rsidR="001A098C" w:rsidRPr="006A1A74">
        <w:rPr>
          <w:rFonts w:ascii="Times New Roman" w:hAnsi="Times New Roman" w:cs="Times New Roman"/>
          <w:szCs w:val="20"/>
        </w:rPr>
        <w:t>We aimed at developing an</w:t>
      </w:r>
      <w:r w:rsidR="004F1D65">
        <w:rPr>
          <w:rFonts w:ascii="Times New Roman" w:hAnsi="Times New Roman" w:cs="Times New Roman"/>
          <w:szCs w:val="20"/>
        </w:rPr>
        <w:t xml:space="preserve"> international prognostic s</w:t>
      </w:r>
      <w:r w:rsidR="004F1D65" w:rsidRPr="001A098C">
        <w:rPr>
          <w:rFonts w:ascii="Times New Roman" w:hAnsi="Times New Roman" w:cs="Times New Roman"/>
          <w:szCs w:val="20"/>
        </w:rPr>
        <w:t xml:space="preserve">core </w:t>
      </w:r>
      <w:r w:rsidR="00680BE9">
        <w:rPr>
          <w:rFonts w:ascii="Times New Roman" w:hAnsi="Times New Roman" w:cs="Times New Roman"/>
          <w:szCs w:val="20"/>
        </w:rPr>
        <w:t xml:space="preserve">to predict </w:t>
      </w:r>
      <w:r w:rsidR="001A098C" w:rsidRPr="006A1A74">
        <w:rPr>
          <w:rFonts w:ascii="Times New Roman" w:hAnsi="Times New Roman" w:cs="Times New Roman"/>
          <w:szCs w:val="20"/>
        </w:rPr>
        <w:t>time</w:t>
      </w:r>
      <w:r w:rsidR="001E5CA2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>to</w:t>
      </w:r>
      <w:r w:rsidR="001E5CA2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>first</w:t>
      </w:r>
      <w:r w:rsidR="001E5CA2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szCs w:val="20"/>
        </w:rPr>
        <w:t>treatment (TTFT)</w:t>
      </w:r>
      <w:r w:rsidR="004A7CA2">
        <w:rPr>
          <w:rFonts w:ascii="Times New Roman" w:hAnsi="Times New Roman" w:cs="Times New Roman"/>
          <w:szCs w:val="20"/>
        </w:rPr>
        <w:t xml:space="preserve"> in</w:t>
      </w:r>
      <w:r w:rsidR="001A098C" w:rsidRPr="006A1A74">
        <w:rPr>
          <w:rFonts w:ascii="Times New Roman" w:hAnsi="Times New Roman" w:cs="Times New Roman"/>
          <w:szCs w:val="20"/>
        </w:rPr>
        <w:t xml:space="preserve"> </w:t>
      </w:r>
      <w:r w:rsidR="00680BE9">
        <w:rPr>
          <w:rFonts w:ascii="Times New Roman" w:hAnsi="Times New Roman" w:cs="Times New Roman"/>
          <w:szCs w:val="20"/>
        </w:rPr>
        <w:t xml:space="preserve">CLL patients </w:t>
      </w:r>
      <w:r w:rsidR="005B6282">
        <w:rPr>
          <w:rFonts w:ascii="Times New Roman" w:hAnsi="Times New Roman" w:cs="Times New Roman"/>
          <w:szCs w:val="20"/>
        </w:rPr>
        <w:t xml:space="preserve">with </w:t>
      </w:r>
      <w:r w:rsidR="005347D9">
        <w:rPr>
          <w:rFonts w:ascii="Times New Roman" w:hAnsi="Times New Roman" w:cs="Times New Roman"/>
          <w:szCs w:val="20"/>
        </w:rPr>
        <w:t xml:space="preserve">early, </w:t>
      </w:r>
      <w:r w:rsidR="00C13BF9">
        <w:rPr>
          <w:rFonts w:ascii="Times New Roman" w:hAnsi="Times New Roman" w:cs="Times New Roman"/>
          <w:szCs w:val="20"/>
        </w:rPr>
        <w:t xml:space="preserve">asymptomatic </w:t>
      </w:r>
      <w:r w:rsidR="004A7CA2">
        <w:rPr>
          <w:rFonts w:ascii="Times New Roman" w:hAnsi="Times New Roman" w:cs="Times New Roman"/>
          <w:szCs w:val="20"/>
        </w:rPr>
        <w:t>disease</w:t>
      </w:r>
      <w:r w:rsidR="005347D9">
        <w:rPr>
          <w:rFonts w:ascii="Times New Roman" w:hAnsi="Times New Roman" w:cs="Times New Roman"/>
          <w:szCs w:val="20"/>
        </w:rPr>
        <w:t xml:space="preserve"> (IPS-E)</w:t>
      </w:r>
      <w:r w:rsidR="004A7CA2">
        <w:rPr>
          <w:rFonts w:ascii="Times New Roman" w:hAnsi="Times New Roman" w:cs="Times New Roman"/>
          <w:szCs w:val="20"/>
        </w:rPr>
        <w:t>.</w:t>
      </w:r>
      <w:r w:rsidR="0068767E">
        <w:rPr>
          <w:rFonts w:ascii="Times New Roman" w:hAnsi="Times New Roman" w:cs="Times New Roman"/>
          <w:szCs w:val="20"/>
        </w:rPr>
        <w:t xml:space="preserve"> </w:t>
      </w:r>
      <w:r w:rsidR="001A098C" w:rsidRPr="006A1A74">
        <w:rPr>
          <w:rFonts w:ascii="Times New Roman" w:hAnsi="Times New Roman" w:cs="Times New Roman"/>
          <w:b/>
          <w:szCs w:val="20"/>
        </w:rPr>
        <w:t xml:space="preserve">Patients and </w:t>
      </w:r>
      <w:r w:rsidR="001A098C" w:rsidRPr="00793E7C">
        <w:rPr>
          <w:rFonts w:ascii="Times New Roman" w:hAnsi="Times New Roman" w:cs="Times New Roman"/>
          <w:b/>
          <w:szCs w:val="20"/>
        </w:rPr>
        <w:t>m</w:t>
      </w:r>
      <w:r w:rsidR="00EC7078" w:rsidRPr="006A1A74">
        <w:rPr>
          <w:rFonts w:ascii="Times New Roman" w:hAnsi="Times New Roman" w:cs="Times New Roman"/>
          <w:b/>
          <w:szCs w:val="20"/>
        </w:rPr>
        <w:t>ethods</w:t>
      </w:r>
      <w:r w:rsidR="004F1D65">
        <w:rPr>
          <w:rFonts w:ascii="Times New Roman" w:hAnsi="Times New Roman" w:cs="Times New Roman"/>
          <w:b/>
          <w:szCs w:val="20"/>
        </w:rPr>
        <w:t>.</w:t>
      </w:r>
      <w:r w:rsidR="004F1D65">
        <w:rPr>
          <w:rFonts w:ascii="Times New Roman" w:hAnsi="Times New Roman" w:cs="Times New Roman"/>
          <w:szCs w:val="20"/>
        </w:rPr>
        <w:t xml:space="preserve"> </w:t>
      </w:r>
      <w:r w:rsidR="00132A64">
        <w:rPr>
          <w:rFonts w:ascii="Times New Roman" w:hAnsi="Times New Roman" w:cs="Times New Roman"/>
          <w:szCs w:val="20"/>
        </w:rPr>
        <w:t>I</w:t>
      </w:r>
      <w:r w:rsidR="002577A3" w:rsidRPr="00377375">
        <w:rPr>
          <w:rFonts w:ascii="Times New Roman" w:hAnsi="Times New Roman" w:cs="Times New Roman"/>
          <w:szCs w:val="20"/>
        </w:rPr>
        <w:t xml:space="preserve">ndividual </w:t>
      </w:r>
      <w:r w:rsidR="00EC7078" w:rsidRPr="00377375">
        <w:rPr>
          <w:rFonts w:ascii="Times New Roman" w:hAnsi="Times New Roman" w:cs="Times New Roman"/>
          <w:szCs w:val="20"/>
        </w:rPr>
        <w:t>patient data from</w:t>
      </w:r>
      <w:r w:rsidR="00BB1EB9" w:rsidRPr="00377375">
        <w:rPr>
          <w:rFonts w:ascii="Times New Roman" w:hAnsi="Times New Roman" w:cs="Times New Roman"/>
          <w:szCs w:val="20"/>
        </w:rPr>
        <w:t xml:space="preserve"> 1</w:t>
      </w:r>
      <w:r w:rsidR="00DB6545">
        <w:rPr>
          <w:rFonts w:ascii="Times New Roman" w:hAnsi="Times New Roman" w:cs="Times New Roman"/>
          <w:szCs w:val="20"/>
        </w:rPr>
        <w:t>1</w:t>
      </w:r>
      <w:r w:rsidR="00EC7078" w:rsidRPr="00377375">
        <w:rPr>
          <w:rFonts w:ascii="Times New Roman" w:hAnsi="Times New Roman" w:cs="Times New Roman"/>
          <w:szCs w:val="20"/>
        </w:rPr>
        <w:t xml:space="preserve"> </w:t>
      </w:r>
      <w:r w:rsidR="00132A64">
        <w:rPr>
          <w:rFonts w:ascii="Times New Roman" w:hAnsi="Times New Roman" w:cs="Times New Roman"/>
          <w:szCs w:val="20"/>
        </w:rPr>
        <w:t xml:space="preserve">international </w:t>
      </w:r>
      <w:r w:rsidR="00316904" w:rsidRPr="00377375">
        <w:rPr>
          <w:rFonts w:ascii="Times New Roman" w:hAnsi="Times New Roman" w:cs="Times New Roman"/>
          <w:szCs w:val="20"/>
        </w:rPr>
        <w:t>cohorts</w:t>
      </w:r>
      <w:r w:rsidR="00132A64">
        <w:rPr>
          <w:rFonts w:ascii="Times New Roman" w:hAnsi="Times New Roman" w:cs="Times New Roman"/>
          <w:szCs w:val="20"/>
        </w:rPr>
        <w:t xml:space="preserve"> </w:t>
      </w:r>
      <w:r w:rsidR="004F1D65">
        <w:rPr>
          <w:rFonts w:ascii="Times New Roman" w:hAnsi="Times New Roman" w:cs="Times New Roman"/>
          <w:szCs w:val="20"/>
        </w:rPr>
        <w:t xml:space="preserve">of </w:t>
      </w:r>
      <w:r w:rsidR="006C6687">
        <w:rPr>
          <w:rFonts w:ascii="Times New Roman" w:hAnsi="Times New Roman" w:cs="Times New Roman"/>
          <w:szCs w:val="20"/>
        </w:rPr>
        <w:t xml:space="preserve">patients </w:t>
      </w:r>
      <w:r w:rsidR="005B6282">
        <w:rPr>
          <w:rFonts w:ascii="Times New Roman" w:hAnsi="Times New Roman" w:cs="Times New Roman"/>
          <w:szCs w:val="20"/>
        </w:rPr>
        <w:t>with</w:t>
      </w:r>
      <w:r w:rsidR="006C6687">
        <w:rPr>
          <w:rFonts w:ascii="Times New Roman" w:hAnsi="Times New Roman" w:cs="Times New Roman"/>
          <w:szCs w:val="20"/>
        </w:rPr>
        <w:t xml:space="preserve"> </w:t>
      </w:r>
      <w:r w:rsidR="004F1D65">
        <w:rPr>
          <w:rFonts w:ascii="Times New Roman" w:hAnsi="Times New Roman" w:cs="Times New Roman"/>
          <w:szCs w:val="20"/>
        </w:rPr>
        <w:t xml:space="preserve">early stage CLL </w:t>
      </w:r>
      <w:r w:rsidR="00132A64">
        <w:rPr>
          <w:rFonts w:ascii="Times New Roman" w:hAnsi="Times New Roman" w:cs="Times New Roman"/>
          <w:szCs w:val="20"/>
        </w:rPr>
        <w:t>(n=4</w:t>
      </w:r>
      <w:r w:rsidR="00DB6545">
        <w:rPr>
          <w:rFonts w:ascii="Times New Roman" w:hAnsi="Times New Roman" w:cs="Times New Roman"/>
          <w:szCs w:val="20"/>
        </w:rPr>
        <w:t>933</w:t>
      </w:r>
      <w:r w:rsidR="00132A64">
        <w:rPr>
          <w:rFonts w:ascii="Times New Roman" w:hAnsi="Times New Roman" w:cs="Times New Roman"/>
          <w:szCs w:val="20"/>
        </w:rPr>
        <w:t xml:space="preserve">) </w:t>
      </w:r>
      <w:r w:rsidR="003479FF" w:rsidRPr="00377375">
        <w:rPr>
          <w:rFonts w:ascii="Times New Roman" w:hAnsi="Times New Roman" w:cs="Times New Roman"/>
          <w:szCs w:val="20"/>
        </w:rPr>
        <w:t>were analyzed</w:t>
      </w:r>
      <w:r w:rsidR="00BB1EB9" w:rsidRPr="00377375">
        <w:rPr>
          <w:rFonts w:ascii="Times New Roman" w:hAnsi="Times New Roman" w:cs="Times New Roman"/>
          <w:szCs w:val="20"/>
        </w:rPr>
        <w:t xml:space="preserve"> t</w:t>
      </w:r>
      <w:r w:rsidR="0058395F" w:rsidRPr="00377375">
        <w:rPr>
          <w:rFonts w:ascii="Times New Roman" w:hAnsi="Times New Roman" w:cs="Times New Roman"/>
          <w:szCs w:val="20"/>
        </w:rPr>
        <w:t xml:space="preserve">o build </w:t>
      </w:r>
      <w:r w:rsidR="00BB1EB9" w:rsidRPr="00377375">
        <w:rPr>
          <w:rFonts w:ascii="Times New Roman" w:hAnsi="Times New Roman" w:cs="Times New Roman"/>
          <w:szCs w:val="20"/>
        </w:rPr>
        <w:t xml:space="preserve">and validate </w:t>
      </w:r>
      <w:r w:rsidR="004F1D65">
        <w:rPr>
          <w:rFonts w:ascii="Times New Roman" w:hAnsi="Times New Roman" w:cs="Times New Roman"/>
          <w:szCs w:val="20"/>
        </w:rPr>
        <w:t>the</w:t>
      </w:r>
      <w:r w:rsidR="004A7CA2">
        <w:rPr>
          <w:rFonts w:ascii="Times New Roman" w:hAnsi="Times New Roman" w:cs="Times New Roman"/>
          <w:szCs w:val="20"/>
        </w:rPr>
        <w:t xml:space="preserve"> prognostic</w:t>
      </w:r>
      <w:r w:rsidR="004F1D65">
        <w:rPr>
          <w:rFonts w:ascii="Times New Roman" w:hAnsi="Times New Roman" w:cs="Times New Roman"/>
          <w:szCs w:val="20"/>
        </w:rPr>
        <w:t xml:space="preserve"> score</w:t>
      </w:r>
      <w:r w:rsidR="001A098C">
        <w:rPr>
          <w:rFonts w:ascii="Times New Roman" w:hAnsi="Times New Roman" w:cs="Times New Roman"/>
          <w:szCs w:val="20"/>
        </w:rPr>
        <w:t xml:space="preserve">. </w:t>
      </w:r>
      <w:r w:rsidR="009E5C9E" w:rsidRPr="00377375">
        <w:rPr>
          <w:rFonts w:ascii="Times New Roman" w:hAnsi="Times New Roman" w:cs="Times New Roman"/>
          <w:b/>
          <w:szCs w:val="20"/>
        </w:rPr>
        <w:t>Results</w:t>
      </w:r>
      <w:r w:rsidR="004F1D65">
        <w:rPr>
          <w:rFonts w:ascii="Times New Roman" w:hAnsi="Times New Roman" w:cs="Times New Roman"/>
          <w:b/>
          <w:szCs w:val="20"/>
        </w:rPr>
        <w:t>.</w:t>
      </w:r>
      <w:r w:rsidR="004F1D65">
        <w:rPr>
          <w:rFonts w:ascii="Times New Roman" w:hAnsi="Times New Roman" w:cs="Times New Roman"/>
          <w:szCs w:val="20"/>
        </w:rPr>
        <w:t xml:space="preserve"> </w:t>
      </w:r>
      <w:r w:rsidR="00635DBC">
        <w:rPr>
          <w:rFonts w:ascii="Times New Roman" w:hAnsi="Times New Roman" w:cs="Times New Roman"/>
          <w:szCs w:val="20"/>
        </w:rPr>
        <w:t>T</w:t>
      </w:r>
      <w:r w:rsidR="004F1D65" w:rsidRPr="004F1D65">
        <w:rPr>
          <w:rFonts w:ascii="Times New Roman" w:hAnsi="Times New Roman" w:cs="Times New Roman"/>
          <w:szCs w:val="20"/>
        </w:rPr>
        <w:t>hree covariates were consistently</w:t>
      </w:r>
      <w:r w:rsidR="00CC79A7">
        <w:rPr>
          <w:rFonts w:ascii="Times New Roman" w:hAnsi="Times New Roman" w:cs="Times New Roman"/>
          <w:szCs w:val="20"/>
        </w:rPr>
        <w:t xml:space="preserve"> and independently</w:t>
      </w:r>
      <w:r w:rsidR="004F1D65" w:rsidRPr="004F1D65">
        <w:rPr>
          <w:rFonts w:ascii="Times New Roman" w:hAnsi="Times New Roman" w:cs="Times New Roman"/>
          <w:szCs w:val="20"/>
        </w:rPr>
        <w:t xml:space="preserve"> </w:t>
      </w:r>
      <w:r w:rsidR="00B8068E">
        <w:rPr>
          <w:rFonts w:ascii="Times New Roman" w:hAnsi="Times New Roman" w:cs="Times New Roman"/>
          <w:szCs w:val="20"/>
        </w:rPr>
        <w:t>correlated</w:t>
      </w:r>
      <w:r w:rsidR="00B8068E" w:rsidRPr="004F1D65">
        <w:rPr>
          <w:rFonts w:ascii="Times New Roman" w:hAnsi="Times New Roman" w:cs="Times New Roman"/>
          <w:szCs w:val="20"/>
        </w:rPr>
        <w:t xml:space="preserve"> </w:t>
      </w:r>
      <w:r w:rsidR="004F1D65" w:rsidRPr="004F1D65">
        <w:rPr>
          <w:rFonts w:ascii="Times New Roman" w:hAnsi="Times New Roman" w:cs="Times New Roman"/>
          <w:szCs w:val="20"/>
        </w:rPr>
        <w:t xml:space="preserve">with TTFT: </w:t>
      </w:r>
      <w:proofErr w:type="spellStart"/>
      <w:r w:rsidR="004F1D65" w:rsidRPr="004F1D65">
        <w:rPr>
          <w:rFonts w:ascii="Times New Roman" w:hAnsi="Times New Roman" w:cs="Times New Roman"/>
          <w:szCs w:val="20"/>
        </w:rPr>
        <w:t>unmutated</w:t>
      </w:r>
      <w:proofErr w:type="spellEnd"/>
      <w:r w:rsidR="004F1D65" w:rsidRPr="004F1D65">
        <w:rPr>
          <w:rFonts w:ascii="Times New Roman" w:hAnsi="Times New Roman" w:cs="Times New Roman"/>
          <w:szCs w:val="20"/>
        </w:rPr>
        <w:t xml:space="preserve"> IGHV genes, </w:t>
      </w:r>
      <w:r w:rsidR="00B8068E">
        <w:rPr>
          <w:rFonts w:ascii="Times New Roman" w:hAnsi="Times New Roman" w:cs="Times New Roman"/>
          <w:szCs w:val="20"/>
        </w:rPr>
        <w:t xml:space="preserve">absolute </w:t>
      </w:r>
      <w:r w:rsidR="004F1D65" w:rsidRPr="004F1D65">
        <w:rPr>
          <w:rFonts w:ascii="Times New Roman" w:hAnsi="Times New Roman" w:cs="Times New Roman"/>
          <w:szCs w:val="20"/>
        </w:rPr>
        <w:t>lymphocyte count</w:t>
      </w:r>
      <w:r w:rsidR="006E2D7F">
        <w:rPr>
          <w:rFonts w:ascii="Times New Roman" w:hAnsi="Times New Roman" w:cs="Times New Roman"/>
          <w:szCs w:val="20"/>
        </w:rPr>
        <w:t xml:space="preserve"> &gt;15</w:t>
      </w:r>
      <w:r w:rsidR="002D4608">
        <w:rPr>
          <w:rFonts w:ascii="Times New Roman" w:hAnsi="Times New Roman" w:cs="Times New Roman"/>
          <w:szCs w:val="20"/>
        </w:rPr>
        <w:t xml:space="preserve"> </w:t>
      </w:r>
      <w:r w:rsidR="006E2D7F">
        <w:rPr>
          <w:rFonts w:ascii="Times New Roman" w:hAnsi="Times New Roman" w:cs="Times New Roman"/>
          <w:szCs w:val="20"/>
        </w:rPr>
        <w:t>x10</w:t>
      </w:r>
      <w:r w:rsidR="006E2D7F">
        <w:rPr>
          <w:rFonts w:ascii="Times New Roman" w:hAnsi="Times New Roman" w:cs="Times New Roman"/>
          <w:szCs w:val="20"/>
          <w:vertAlign w:val="superscript"/>
        </w:rPr>
        <w:t>9</w:t>
      </w:r>
      <w:r w:rsidR="006E2D7F">
        <w:rPr>
          <w:rFonts w:ascii="Times New Roman" w:hAnsi="Times New Roman" w:cs="Times New Roman"/>
          <w:szCs w:val="20"/>
        </w:rPr>
        <w:t>/</w:t>
      </w:r>
      <w:r w:rsidR="002D4608">
        <w:rPr>
          <w:rFonts w:ascii="Times New Roman" w:hAnsi="Times New Roman" w:cs="Times New Roman"/>
          <w:szCs w:val="20"/>
        </w:rPr>
        <w:t>l</w:t>
      </w:r>
      <w:r w:rsidR="004F1D65" w:rsidRPr="004F1D65">
        <w:rPr>
          <w:rFonts w:ascii="Times New Roman" w:hAnsi="Times New Roman" w:cs="Times New Roman"/>
          <w:szCs w:val="20"/>
        </w:rPr>
        <w:t xml:space="preserve">, and </w:t>
      </w:r>
      <w:r w:rsidR="00B8068E">
        <w:rPr>
          <w:rFonts w:ascii="Times New Roman" w:hAnsi="Times New Roman" w:cs="Times New Roman"/>
          <w:szCs w:val="20"/>
        </w:rPr>
        <w:t xml:space="preserve">presence of </w:t>
      </w:r>
      <w:r w:rsidR="004F1D65" w:rsidRPr="004F1D65">
        <w:rPr>
          <w:rFonts w:ascii="Times New Roman" w:hAnsi="Times New Roman" w:cs="Times New Roman"/>
          <w:szCs w:val="20"/>
        </w:rPr>
        <w:t xml:space="preserve">palpable lymph nodes. </w:t>
      </w:r>
      <w:r w:rsidR="006C6687">
        <w:rPr>
          <w:rFonts w:ascii="Times New Roman" w:hAnsi="Times New Roman" w:cs="Times New Roman"/>
          <w:szCs w:val="20"/>
        </w:rPr>
        <w:t xml:space="preserve">The </w:t>
      </w:r>
      <w:r w:rsidR="00031E1E">
        <w:rPr>
          <w:rFonts w:ascii="Times New Roman" w:hAnsi="Times New Roman" w:cs="Times New Roman"/>
          <w:szCs w:val="20"/>
        </w:rPr>
        <w:t>IPS-E</w:t>
      </w:r>
      <w:r w:rsidR="004F1D65" w:rsidRPr="004F1D65">
        <w:rPr>
          <w:rFonts w:ascii="Times New Roman" w:hAnsi="Times New Roman" w:cs="Times New Roman"/>
          <w:szCs w:val="20"/>
        </w:rPr>
        <w:t xml:space="preserve"> was the sum of the covariates</w:t>
      </w:r>
      <w:r w:rsidR="006C6687">
        <w:rPr>
          <w:rFonts w:ascii="Times New Roman" w:hAnsi="Times New Roman" w:cs="Times New Roman"/>
          <w:szCs w:val="20"/>
        </w:rPr>
        <w:t xml:space="preserve"> (one point each)</w:t>
      </w:r>
      <w:r w:rsidR="004F1D65" w:rsidRPr="004F1D65">
        <w:rPr>
          <w:rFonts w:ascii="Times New Roman" w:hAnsi="Times New Roman" w:cs="Times New Roman"/>
          <w:szCs w:val="20"/>
        </w:rPr>
        <w:t xml:space="preserve">, and separated low-risk (score 0), intermediate-risk (score 1) and </w:t>
      </w:r>
      <w:r w:rsidR="00A3525A">
        <w:rPr>
          <w:rFonts w:ascii="Times New Roman" w:hAnsi="Times New Roman" w:cs="Times New Roman"/>
          <w:szCs w:val="20"/>
        </w:rPr>
        <w:t xml:space="preserve">high-risk patients (score 2-3) </w:t>
      </w:r>
      <w:r w:rsidR="004217E0">
        <w:rPr>
          <w:rFonts w:ascii="Times New Roman" w:hAnsi="Times New Roman" w:cs="Times New Roman"/>
          <w:szCs w:val="20"/>
        </w:rPr>
        <w:t>showing</w:t>
      </w:r>
      <w:r w:rsidR="00EB0448">
        <w:rPr>
          <w:rFonts w:ascii="Times New Roman" w:hAnsi="Times New Roman" w:cs="Times New Roman"/>
          <w:szCs w:val="20"/>
        </w:rPr>
        <w:t xml:space="preserve"> a</w:t>
      </w:r>
      <w:r w:rsidR="00A3525A">
        <w:rPr>
          <w:rFonts w:ascii="Times New Roman" w:hAnsi="Times New Roman" w:cs="Times New Roman"/>
          <w:szCs w:val="20"/>
        </w:rPr>
        <w:t xml:space="preserve"> distinct TTFT</w:t>
      </w:r>
      <w:r w:rsidR="00680BE9">
        <w:rPr>
          <w:rFonts w:ascii="Times New Roman" w:hAnsi="Times New Roman" w:cs="Times New Roman"/>
          <w:szCs w:val="20"/>
        </w:rPr>
        <w:t xml:space="preserve">. The score accuracy was validated in </w:t>
      </w:r>
      <w:r w:rsidR="004F1D65" w:rsidRPr="004F1D65">
        <w:rPr>
          <w:rFonts w:ascii="Times New Roman" w:hAnsi="Times New Roman" w:cs="Times New Roman"/>
          <w:szCs w:val="20"/>
        </w:rPr>
        <w:t xml:space="preserve">9 cohorts staged </w:t>
      </w:r>
      <w:r w:rsidR="006C6687">
        <w:rPr>
          <w:rFonts w:ascii="Times New Roman" w:hAnsi="Times New Roman" w:cs="Times New Roman"/>
          <w:szCs w:val="20"/>
        </w:rPr>
        <w:t>by</w:t>
      </w:r>
      <w:r w:rsidR="004F1D65" w:rsidRPr="004F1D65">
        <w:rPr>
          <w:rFonts w:ascii="Times New Roman" w:hAnsi="Times New Roman" w:cs="Times New Roman"/>
          <w:szCs w:val="20"/>
        </w:rPr>
        <w:t xml:space="preserve"> the </w:t>
      </w:r>
      <w:proofErr w:type="spellStart"/>
      <w:r w:rsidR="004F1D65" w:rsidRPr="004F1D65">
        <w:rPr>
          <w:rFonts w:ascii="Times New Roman" w:hAnsi="Times New Roman" w:cs="Times New Roman"/>
          <w:szCs w:val="20"/>
        </w:rPr>
        <w:t>Binet</w:t>
      </w:r>
      <w:proofErr w:type="spellEnd"/>
      <w:r w:rsidR="004F1D65" w:rsidRPr="004F1D65">
        <w:rPr>
          <w:rFonts w:ascii="Times New Roman" w:hAnsi="Times New Roman" w:cs="Times New Roman"/>
          <w:szCs w:val="20"/>
        </w:rPr>
        <w:t xml:space="preserve"> system and </w:t>
      </w:r>
      <w:r w:rsidR="00335C1E">
        <w:rPr>
          <w:rFonts w:ascii="Times New Roman" w:hAnsi="Times New Roman" w:cs="Times New Roman"/>
          <w:szCs w:val="20"/>
        </w:rPr>
        <w:t>1</w:t>
      </w:r>
      <w:r w:rsidR="004F1D65" w:rsidRPr="004F1D65">
        <w:rPr>
          <w:rFonts w:ascii="Times New Roman" w:hAnsi="Times New Roman" w:cs="Times New Roman"/>
          <w:szCs w:val="20"/>
        </w:rPr>
        <w:t xml:space="preserve"> co</w:t>
      </w:r>
      <w:r w:rsidR="00A3525A">
        <w:rPr>
          <w:rFonts w:ascii="Times New Roman" w:hAnsi="Times New Roman" w:cs="Times New Roman"/>
          <w:szCs w:val="20"/>
        </w:rPr>
        <w:t xml:space="preserve">hort staged </w:t>
      </w:r>
      <w:r w:rsidR="006C6687">
        <w:rPr>
          <w:rFonts w:ascii="Times New Roman" w:hAnsi="Times New Roman" w:cs="Times New Roman"/>
          <w:szCs w:val="20"/>
        </w:rPr>
        <w:t>by</w:t>
      </w:r>
      <w:r w:rsidR="00A3525A">
        <w:rPr>
          <w:rFonts w:ascii="Times New Roman" w:hAnsi="Times New Roman" w:cs="Times New Roman"/>
          <w:szCs w:val="20"/>
        </w:rPr>
        <w:t xml:space="preserve"> the Rai system</w:t>
      </w:r>
      <w:r w:rsidR="004F1D65" w:rsidRPr="004F1D65">
        <w:rPr>
          <w:rFonts w:ascii="Times New Roman" w:hAnsi="Times New Roman" w:cs="Times New Roman"/>
          <w:szCs w:val="20"/>
        </w:rPr>
        <w:t xml:space="preserve">. </w:t>
      </w:r>
      <w:r w:rsidR="004F1D65">
        <w:rPr>
          <w:rFonts w:ascii="Times New Roman" w:hAnsi="Times New Roman" w:cs="Times New Roman"/>
          <w:szCs w:val="20"/>
        </w:rPr>
        <w:t xml:space="preserve">The c-index was 0.74 in the training series and 0.70 in the aggregate of validation series. </w:t>
      </w:r>
      <w:r w:rsidR="004F1D65" w:rsidRPr="004F1D65">
        <w:rPr>
          <w:rFonts w:ascii="Times New Roman" w:hAnsi="Times New Roman" w:cs="Times New Roman"/>
          <w:szCs w:val="20"/>
        </w:rPr>
        <w:t xml:space="preserve">By meta-analysis of the training and validation cohorts, </w:t>
      </w:r>
      <w:r w:rsidR="00D238B3">
        <w:rPr>
          <w:rFonts w:ascii="Times New Roman" w:hAnsi="Times New Roman" w:cs="Times New Roman"/>
          <w:szCs w:val="20"/>
        </w:rPr>
        <w:t>the</w:t>
      </w:r>
      <w:r w:rsidR="00D238B3" w:rsidRPr="00D238B3">
        <w:rPr>
          <w:rFonts w:ascii="Times New Roman" w:hAnsi="Times New Roman" w:cs="Times New Roman"/>
          <w:szCs w:val="20"/>
        </w:rPr>
        <w:t xml:space="preserve"> </w:t>
      </w:r>
      <w:r w:rsidR="00D238B3">
        <w:rPr>
          <w:rFonts w:ascii="Times New Roman" w:hAnsi="Times New Roman" w:cs="Times New Roman"/>
          <w:szCs w:val="20"/>
        </w:rPr>
        <w:t xml:space="preserve">5-years </w:t>
      </w:r>
      <w:r w:rsidR="00D238B3" w:rsidRPr="00D238B3">
        <w:rPr>
          <w:rFonts w:ascii="Times New Roman" w:hAnsi="Times New Roman" w:cs="Times New Roman"/>
          <w:szCs w:val="20"/>
        </w:rPr>
        <w:t xml:space="preserve">cumulative risk </w:t>
      </w:r>
      <w:r w:rsidR="00680BE9">
        <w:rPr>
          <w:rFonts w:ascii="Times New Roman" w:hAnsi="Times New Roman" w:cs="Times New Roman"/>
          <w:szCs w:val="20"/>
        </w:rPr>
        <w:t>for need of t</w:t>
      </w:r>
      <w:r w:rsidR="00D238B3" w:rsidRPr="00D238B3">
        <w:rPr>
          <w:rFonts w:ascii="Times New Roman" w:hAnsi="Times New Roman" w:cs="Times New Roman"/>
          <w:szCs w:val="20"/>
        </w:rPr>
        <w:t>reatment</w:t>
      </w:r>
      <w:r w:rsidR="00680BE9">
        <w:rPr>
          <w:rFonts w:ascii="Times New Roman" w:hAnsi="Times New Roman" w:cs="Times New Roman"/>
          <w:szCs w:val="20"/>
        </w:rPr>
        <w:t xml:space="preserve"> </w:t>
      </w:r>
      <w:r w:rsidR="004F1D65" w:rsidRPr="004F1D65">
        <w:rPr>
          <w:rFonts w:ascii="Times New Roman" w:hAnsi="Times New Roman" w:cs="Times New Roman"/>
          <w:szCs w:val="20"/>
        </w:rPr>
        <w:t xml:space="preserve">was </w:t>
      </w:r>
      <w:r w:rsidR="005872DE">
        <w:rPr>
          <w:rFonts w:ascii="Times New Roman" w:hAnsi="Times New Roman" w:cs="Times New Roman"/>
          <w:szCs w:val="20"/>
        </w:rPr>
        <w:t>8.4%</w:t>
      </w:r>
      <w:r w:rsidR="004217E0">
        <w:rPr>
          <w:rFonts w:ascii="Times New Roman" w:hAnsi="Times New Roman" w:cs="Times New Roman"/>
          <w:szCs w:val="20"/>
        </w:rPr>
        <w:t>,</w:t>
      </w:r>
      <w:r w:rsidR="004F1D65" w:rsidRPr="004F1D65">
        <w:rPr>
          <w:rFonts w:ascii="Times New Roman" w:hAnsi="Times New Roman" w:cs="Times New Roman"/>
          <w:szCs w:val="20"/>
        </w:rPr>
        <w:t xml:space="preserve"> </w:t>
      </w:r>
      <w:r w:rsidR="00D238B3">
        <w:rPr>
          <w:rFonts w:ascii="Times New Roman" w:hAnsi="Times New Roman" w:cs="Times New Roman"/>
          <w:szCs w:val="20"/>
        </w:rPr>
        <w:t>28.4%</w:t>
      </w:r>
      <w:r w:rsidR="004217E0">
        <w:rPr>
          <w:rFonts w:ascii="Times New Roman" w:hAnsi="Times New Roman" w:cs="Times New Roman"/>
          <w:szCs w:val="20"/>
        </w:rPr>
        <w:t>,</w:t>
      </w:r>
      <w:r w:rsidR="005872DE">
        <w:rPr>
          <w:rFonts w:ascii="Times New Roman" w:hAnsi="Times New Roman" w:cs="Times New Roman"/>
          <w:szCs w:val="20"/>
        </w:rPr>
        <w:t xml:space="preserve"> </w:t>
      </w:r>
      <w:r w:rsidR="004F1D65" w:rsidRPr="004F1D65">
        <w:rPr>
          <w:rFonts w:ascii="Times New Roman" w:hAnsi="Times New Roman" w:cs="Times New Roman"/>
          <w:szCs w:val="20"/>
        </w:rPr>
        <w:t xml:space="preserve">and </w:t>
      </w:r>
      <w:r w:rsidR="00D238B3">
        <w:rPr>
          <w:rFonts w:ascii="Times New Roman" w:hAnsi="Times New Roman" w:cs="Times New Roman"/>
          <w:szCs w:val="20"/>
        </w:rPr>
        <w:t>61.2%</w:t>
      </w:r>
      <w:r w:rsidR="005872DE">
        <w:rPr>
          <w:rFonts w:ascii="Times New Roman" w:hAnsi="Times New Roman" w:cs="Times New Roman"/>
          <w:szCs w:val="20"/>
        </w:rPr>
        <w:t xml:space="preserve"> </w:t>
      </w:r>
      <w:r w:rsidR="004F1D65" w:rsidRPr="004F1D65">
        <w:rPr>
          <w:rFonts w:ascii="Times New Roman" w:hAnsi="Times New Roman" w:cs="Times New Roman"/>
          <w:szCs w:val="20"/>
        </w:rPr>
        <w:t xml:space="preserve">among </w:t>
      </w:r>
      <w:r w:rsidR="004A7CA2">
        <w:rPr>
          <w:rFonts w:ascii="Times New Roman" w:hAnsi="Times New Roman" w:cs="Times New Roman"/>
          <w:szCs w:val="20"/>
        </w:rPr>
        <w:t xml:space="preserve">low-risk, intermediate-risk, and </w:t>
      </w:r>
      <w:r w:rsidR="004F1D65" w:rsidRPr="004F1D65">
        <w:rPr>
          <w:rFonts w:ascii="Times New Roman" w:hAnsi="Times New Roman" w:cs="Times New Roman"/>
          <w:szCs w:val="20"/>
        </w:rPr>
        <w:t>high-risk patients</w:t>
      </w:r>
      <w:r w:rsidR="004A7CA2">
        <w:rPr>
          <w:rFonts w:ascii="Times New Roman" w:hAnsi="Times New Roman" w:cs="Times New Roman"/>
          <w:szCs w:val="20"/>
        </w:rPr>
        <w:t xml:space="preserve">, </w:t>
      </w:r>
      <w:r w:rsidR="00C13BF9">
        <w:rPr>
          <w:rFonts w:ascii="Times New Roman" w:hAnsi="Times New Roman" w:cs="Times New Roman"/>
          <w:szCs w:val="20"/>
        </w:rPr>
        <w:t>respectively</w:t>
      </w:r>
      <w:r w:rsidR="004217E0">
        <w:rPr>
          <w:rFonts w:ascii="Times New Roman" w:hAnsi="Times New Roman" w:cs="Times New Roman"/>
          <w:szCs w:val="20"/>
        </w:rPr>
        <w:t>.</w:t>
      </w:r>
      <w:r w:rsidR="004F1D65" w:rsidRPr="004F1D65">
        <w:rPr>
          <w:rFonts w:ascii="Times New Roman" w:hAnsi="Times New Roman" w:cs="Times New Roman"/>
          <w:szCs w:val="20"/>
        </w:rPr>
        <w:t xml:space="preserve"> </w:t>
      </w:r>
      <w:r w:rsidR="009E5C9E" w:rsidRPr="00377375">
        <w:rPr>
          <w:rFonts w:ascii="Times New Roman" w:hAnsi="Times New Roman" w:cs="Times New Roman"/>
          <w:b/>
          <w:szCs w:val="20"/>
        </w:rPr>
        <w:t>Conclusions</w:t>
      </w:r>
      <w:r w:rsidR="004F1D65">
        <w:rPr>
          <w:rFonts w:ascii="Times New Roman" w:hAnsi="Times New Roman" w:cs="Times New Roman"/>
          <w:b/>
          <w:szCs w:val="20"/>
        </w:rPr>
        <w:t>.</w:t>
      </w:r>
      <w:r w:rsidR="004F1D65">
        <w:rPr>
          <w:rFonts w:ascii="Times New Roman" w:hAnsi="Times New Roman" w:cs="Times New Roman"/>
          <w:szCs w:val="20"/>
        </w:rPr>
        <w:t xml:space="preserve"> </w:t>
      </w:r>
      <w:r w:rsidR="00680BE9">
        <w:rPr>
          <w:rFonts w:ascii="Times New Roman" w:hAnsi="Times New Roman" w:cs="Times New Roman"/>
          <w:szCs w:val="20"/>
        </w:rPr>
        <w:t xml:space="preserve">The </w:t>
      </w:r>
      <w:r w:rsidR="00031E1E">
        <w:rPr>
          <w:rFonts w:ascii="Times New Roman" w:hAnsi="Times New Roman" w:cs="Times New Roman"/>
          <w:szCs w:val="20"/>
        </w:rPr>
        <w:t>IPS-E</w:t>
      </w:r>
      <w:r w:rsidR="00132A64">
        <w:rPr>
          <w:rFonts w:ascii="Times New Roman" w:hAnsi="Times New Roman" w:cs="Times New Roman"/>
          <w:szCs w:val="20"/>
        </w:rPr>
        <w:t xml:space="preserve"> is a simple and robust prognostic model that predicts the likelihood of need for therapy in patients with early </w:t>
      </w:r>
      <w:r w:rsidR="004F1D65">
        <w:rPr>
          <w:rFonts w:ascii="Times New Roman" w:hAnsi="Times New Roman" w:cs="Times New Roman"/>
          <w:szCs w:val="20"/>
        </w:rPr>
        <w:t>stage</w:t>
      </w:r>
      <w:r w:rsidR="00132A64">
        <w:rPr>
          <w:rFonts w:ascii="Times New Roman" w:hAnsi="Times New Roman" w:cs="Times New Roman"/>
          <w:szCs w:val="20"/>
        </w:rPr>
        <w:t xml:space="preserve"> CLL</w:t>
      </w:r>
      <w:r w:rsidR="003528ED" w:rsidRPr="00377375">
        <w:rPr>
          <w:rFonts w:ascii="Times New Roman" w:hAnsi="Times New Roman" w:cs="Times New Roman"/>
          <w:szCs w:val="20"/>
        </w:rPr>
        <w:t>.</w:t>
      </w:r>
      <w:r w:rsidR="00412937">
        <w:rPr>
          <w:rFonts w:ascii="Times New Roman" w:hAnsi="Times New Roman" w:cs="Times New Roman"/>
          <w:szCs w:val="20"/>
        </w:rPr>
        <w:t xml:space="preserve"> The</w:t>
      </w:r>
      <w:r w:rsidR="00022C8B" w:rsidRPr="00377375">
        <w:rPr>
          <w:rFonts w:ascii="Times New Roman" w:hAnsi="Times New Roman" w:cs="Times New Roman"/>
          <w:szCs w:val="20"/>
        </w:rPr>
        <w:t xml:space="preserve"> </w:t>
      </w:r>
      <w:r w:rsidR="00031E1E">
        <w:rPr>
          <w:rFonts w:ascii="Times New Roman" w:hAnsi="Times New Roman" w:cs="Times New Roman"/>
          <w:szCs w:val="20"/>
        </w:rPr>
        <w:t>IPS-E</w:t>
      </w:r>
      <w:r w:rsidR="005F159D" w:rsidRPr="00377375">
        <w:rPr>
          <w:rFonts w:ascii="Times New Roman" w:hAnsi="Times New Roman" w:cs="Times New Roman"/>
          <w:szCs w:val="20"/>
        </w:rPr>
        <w:t xml:space="preserve"> can</w:t>
      </w:r>
      <w:r w:rsidR="004F1D65">
        <w:rPr>
          <w:rFonts w:ascii="Times New Roman" w:hAnsi="Times New Roman" w:cs="Times New Roman"/>
          <w:szCs w:val="20"/>
        </w:rPr>
        <w:t xml:space="preserve"> </w:t>
      </w:r>
      <w:r w:rsidR="00412937">
        <w:rPr>
          <w:rFonts w:ascii="Times New Roman" w:hAnsi="Times New Roman" w:cs="Times New Roman"/>
          <w:szCs w:val="20"/>
        </w:rPr>
        <w:t xml:space="preserve">be useful in </w:t>
      </w:r>
      <w:r w:rsidR="006C6687">
        <w:rPr>
          <w:rFonts w:ascii="Times New Roman" w:hAnsi="Times New Roman" w:cs="Times New Roman"/>
          <w:szCs w:val="20"/>
        </w:rPr>
        <w:t xml:space="preserve">clinical </w:t>
      </w:r>
      <w:r w:rsidR="00A72A65">
        <w:rPr>
          <w:rFonts w:ascii="Times New Roman" w:hAnsi="Times New Roman" w:cs="Times New Roman"/>
          <w:szCs w:val="20"/>
        </w:rPr>
        <w:t xml:space="preserve">management </w:t>
      </w:r>
      <w:r w:rsidR="005B6282">
        <w:rPr>
          <w:rFonts w:ascii="Times New Roman" w:hAnsi="Times New Roman" w:cs="Times New Roman"/>
          <w:szCs w:val="20"/>
        </w:rPr>
        <w:t xml:space="preserve">and </w:t>
      </w:r>
      <w:r w:rsidR="004A7CA2">
        <w:rPr>
          <w:rFonts w:ascii="Times New Roman" w:hAnsi="Times New Roman" w:cs="Times New Roman"/>
          <w:szCs w:val="20"/>
        </w:rPr>
        <w:t xml:space="preserve">in </w:t>
      </w:r>
      <w:r w:rsidR="00412937">
        <w:rPr>
          <w:rFonts w:ascii="Times New Roman" w:hAnsi="Times New Roman" w:cs="Times New Roman"/>
          <w:szCs w:val="20"/>
        </w:rPr>
        <w:t xml:space="preserve">the design of </w:t>
      </w:r>
      <w:r w:rsidR="005B6282">
        <w:rPr>
          <w:rFonts w:ascii="Times New Roman" w:hAnsi="Times New Roman" w:cs="Times New Roman"/>
          <w:szCs w:val="20"/>
        </w:rPr>
        <w:t xml:space="preserve">early intervention </w:t>
      </w:r>
      <w:r w:rsidR="00412937">
        <w:rPr>
          <w:rFonts w:ascii="Times New Roman" w:hAnsi="Times New Roman" w:cs="Times New Roman"/>
          <w:szCs w:val="20"/>
        </w:rPr>
        <w:t>clinical trials</w:t>
      </w:r>
      <w:r w:rsidR="004A7CA2">
        <w:rPr>
          <w:rFonts w:ascii="Times New Roman" w:hAnsi="Times New Roman" w:cs="Times New Roman"/>
          <w:szCs w:val="20"/>
        </w:rPr>
        <w:t xml:space="preserve">. </w:t>
      </w:r>
    </w:p>
    <w:p w14:paraId="299871F5" w14:textId="77777777" w:rsidR="00677F03" w:rsidRDefault="00677F03" w:rsidP="009E5C9E">
      <w:pPr>
        <w:spacing w:after="0" w:line="480" w:lineRule="auto"/>
        <w:jc w:val="both"/>
        <w:rPr>
          <w:rFonts w:ascii="Times New Roman" w:hAnsi="Times New Roman" w:cs="Times New Roman"/>
          <w:szCs w:val="20"/>
        </w:rPr>
      </w:pPr>
    </w:p>
    <w:p w14:paraId="58587F92" w14:textId="77777777" w:rsidR="0094377E" w:rsidRPr="00677F03" w:rsidRDefault="00677F03" w:rsidP="00677F03">
      <w:pPr>
        <w:spacing w:after="0" w:line="480" w:lineRule="auto"/>
        <w:jc w:val="both"/>
        <w:rPr>
          <w:rFonts w:ascii="Times New Roman" w:hAnsi="Times New Roman" w:cs="Times New Roman"/>
          <w:szCs w:val="20"/>
        </w:rPr>
      </w:pPr>
      <w:r w:rsidRPr="00677F03">
        <w:rPr>
          <w:rFonts w:ascii="Times New Roman" w:hAnsi="Times New Roman" w:cs="Times New Roman"/>
          <w:b/>
          <w:szCs w:val="20"/>
        </w:rPr>
        <w:t>Keywords</w:t>
      </w:r>
      <w:r w:rsidRPr="00677F03">
        <w:rPr>
          <w:rFonts w:ascii="Times New Roman" w:hAnsi="Times New Roman" w:cs="Times New Roman"/>
          <w:szCs w:val="20"/>
        </w:rPr>
        <w:t xml:space="preserve">: chronic lymphocytic leukemia, </w:t>
      </w:r>
      <w:proofErr w:type="spellStart"/>
      <w:r w:rsidRPr="00677F03">
        <w:rPr>
          <w:rFonts w:ascii="Times New Roman" w:hAnsi="Times New Roman" w:cs="Times New Roman"/>
          <w:szCs w:val="20"/>
        </w:rPr>
        <w:t>Binet</w:t>
      </w:r>
      <w:proofErr w:type="spellEnd"/>
      <w:r w:rsidRPr="00677F03">
        <w:rPr>
          <w:rFonts w:ascii="Times New Roman" w:hAnsi="Times New Roman" w:cs="Times New Roman"/>
          <w:szCs w:val="20"/>
        </w:rPr>
        <w:t xml:space="preserve"> stage </w:t>
      </w:r>
      <w:proofErr w:type="gramStart"/>
      <w:r w:rsidRPr="00677F03">
        <w:rPr>
          <w:rFonts w:ascii="Times New Roman" w:hAnsi="Times New Roman" w:cs="Times New Roman"/>
          <w:szCs w:val="20"/>
        </w:rPr>
        <w:t>A</w:t>
      </w:r>
      <w:proofErr w:type="gramEnd"/>
      <w:r w:rsidRPr="00677F03">
        <w:rPr>
          <w:rFonts w:ascii="Times New Roman" w:hAnsi="Times New Roman" w:cs="Times New Roman"/>
          <w:szCs w:val="20"/>
        </w:rPr>
        <w:t>, prognosis, IPS-E</w:t>
      </w:r>
      <w:r w:rsidR="0094377E" w:rsidRPr="00677F03">
        <w:rPr>
          <w:rFonts w:ascii="Times New Roman" w:hAnsi="Times New Roman" w:cs="Times New Roman"/>
          <w:szCs w:val="20"/>
        </w:rPr>
        <w:br w:type="page"/>
      </w:r>
    </w:p>
    <w:p w14:paraId="5622ED63" w14:textId="77777777" w:rsidR="00DC332A" w:rsidRPr="00377375" w:rsidRDefault="00433B0A" w:rsidP="0008419E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377375">
        <w:rPr>
          <w:rFonts w:ascii="Times New Roman" w:hAnsi="Times New Roman" w:cs="Times New Roman"/>
          <w:b/>
          <w:color w:val="000000"/>
        </w:rPr>
        <w:lastRenderedPageBreak/>
        <w:t>Introduction</w:t>
      </w:r>
    </w:p>
    <w:p w14:paraId="14F9D7A5" w14:textId="77777777" w:rsidR="00DC332A" w:rsidRPr="00377375" w:rsidRDefault="00DC332A" w:rsidP="00ED4081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4DC6C5C" w14:textId="3A99A9D8" w:rsidR="00800D19" w:rsidRDefault="00F718FD" w:rsidP="00800D19">
      <w:pPr>
        <w:spacing w:after="0" w:line="480" w:lineRule="auto"/>
        <w:ind w:firstLine="708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Chronic lymphocytic leukemia (CLL) is characterized by the relentless accumulation of monoclonal B lymphocytes with a distinct immunophenotype (i</w:t>
      </w:r>
      <w:r w:rsidR="001E2B6A">
        <w:rPr>
          <w:rFonts w:ascii="Times New Roman" w:hAnsi="Times New Roman" w:cs="Times New Roman"/>
          <w:noProof/>
          <w:color w:val="000000"/>
        </w:rPr>
        <w:t>.</w:t>
      </w:r>
      <w:r>
        <w:rPr>
          <w:rFonts w:ascii="Times New Roman" w:hAnsi="Times New Roman" w:cs="Times New Roman"/>
          <w:noProof/>
          <w:color w:val="000000"/>
        </w:rPr>
        <w:t>e</w:t>
      </w:r>
      <w:r w:rsidR="001E2B6A">
        <w:rPr>
          <w:rFonts w:ascii="Times New Roman" w:hAnsi="Times New Roman" w:cs="Times New Roman"/>
          <w:noProof/>
          <w:color w:val="000000"/>
        </w:rPr>
        <w:t>.</w:t>
      </w:r>
      <w:r>
        <w:rPr>
          <w:rFonts w:ascii="Times New Roman" w:hAnsi="Times New Roman" w:cs="Times New Roman"/>
          <w:noProof/>
          <w:color w:val="000000"/>
        </w:rPr>
        <w:t xml:space="preserve"> CD5, CD19, CD20, CD23) in peripheral blood, bone marrow, and lymphoid organs. CLL is the most frequent form of leukemia in Western countries</w:t>
      </w:r>
      <w:r w:rsidR="00D43E6E">
        <w:rPr>
          <w:rFonts w:ascii="Times New Roman" w:hAnsi="Times New Roman" w:cs="Times New Roman"/>
          <w:noProof/>
          <w:color w:val="000000"/>
        </w:rPr>
        <w:t>,</w:t>
      </w:r>
      <w:r>
        <w:rPr>
          <w:rFonts w:ascii="Times New Roman" w:hAnsi="Times New Roman" w:cs="Times New Roman"/>
          <w:noProof/>
          <w:color w:val="000000"/>
        </w:rPr>
        <w:t xml:space="preserve"> where </w:t>
      </w:r>
      <w:r w:rsidR="005973BE" w:rsidRPr="00377375">
        <w:rPr>
          <w:rFonts w:ascii="Times New Roman" w:hAnsi="Times New Roman" w:cs="Times New Roman"/>
          <w:noProof/>
          <w:color w:val="000000"/>
        </w:rPr>
        <w:t xml:space="preserve">0.6% 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of </w:t>
      </w:r>
      <w:r w:rsidR="006C250E">
        <w:rPr>
          <w:rFonts w:ascii="Times New Roman" w:hAnsi="Times New Roman" w:cs="Times New Roman"/>
          <w:noProof/>
          <w:color w:val="000000"/>
        </w:rPr>
        <w:t>the population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 </w:t>
      </w:r>
      <w:r w:rsidR="007D7A86">
        <w:rPr>
          <w:rFonts w:ascii="Times New Roman" w:hAnsi="Times New Roman" w:cs="Times New Roman"/>
          <w:noProof/>
          <w:color w:val="000000"/>
        </w:rPr>
        <w:t>is</w:t>
      </w:r>
      <w:r w:rsidR="007D7A86" w:rsidRPr="00377375">
        <w:rPr>
          <w:rFonts w:ascii="Times New Roman" w:hAnsi="Times New Roman" w:cs="Times New Roman"/>
          <w:noProof/>
          <w:color w:val="000000"/>
        </w:rPr>
        <w:t xml:space="preserve"> </w:t>
      </w:r>
      <w:r w:rsidR="00397B3B" w:rsidRPr="00377375">
        <w:rPr>
          <w:rFonts w:ascii="Times New Roman" w:hAnsi="Times New Roman" w:cs="Times New Roman"/>
          <w:noProof/>
          <w:color w:val="000000"/>
        </w:rPr>
        <w:t>diagnosed with</w:t>
      </w:r>
      <w:r>
        <w:rPr>
          <w:rFonts w:ascii="Times New Roman" w:hAnsi="Times New Roman" w:cs="Times New Roman"/>
          <w:noProof/>
          <w:color w:val="000000"/>
        </w:rPr>
        <w:t xml:space="preserve"> this </w:t>
      </w:r>
      <w:r w:rsidR="001C5012">
        <w:rPr>
          <w:rFonts w:ascii="Times New Roman" w:hAnsi="Times New Roman" w:cs="Times New Roman"/>
          <w:noProof/>
          <w:color w:val="000000"/>
        </w:rPr>
        <w:t>B-cell tumor</w:t>
      </w:r>
      <w:r>
        <w:rPr>
          <w:rFonts w:ascii="Times New Roman" w:hAnsi="Times New Roman" w:cs="Times New Roman"/>
          <w:noProof/>
          <w:color w:val="000000"/>
        </w:rPr>
        <w:t xml:space="preserve"> 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during </w:t>
      </w:r>
      <w:r w:rsidR="00974096">
        <w:rPr>
          <w:rFonts w:ascii="Times New Roman" w:hAnsi="Times New Roman" w:cs="Times New Roman"/>
          <w:noProof/>
          <w:color w:val="000000"/>
        </w:rPr>
        <w:t>its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 lifetime</w:t>
      </w:r>
      <w:r w:rsidR="001B15CD" w:rsidRPr="00377375">
        <w:rPr>
          <w:rFonts w:ascii="Times New Roman" w:hAnsi="Times New Roman" w:cs="Times New Roman"/>
          <w:noProof/>
          <w:color w:val="000000"/>
        </w:rPr>
        <w:t>.</w:t>
      </w:r>
      <w:r w:rsidR="009D50B2" w:rsidRPr="00377375">
        <w:rPr>
          <w:rFonts w:ascii="Times New Roman" w:hAnsi="Times New Roman" w:cs="Times New Roman"/>
          <w:noProof/>
          <w:color w:val="000000"/>
          <w:vertAlign w:val="superscript"/>
        </w:rPr>
        <w:t>1</w:t>
      </w:r>
      <w:r w:rsidR="00281A8A" w:rsidRPr="00377375">
        <w:rPr>
          <w:rFonts w:ascii="Times New Roman" w:hAnsi="Times New Roman" w:cs="Times New Roman"/>
          <w:noProof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color w:val="000000"/>
        </w:rPr>
        <w:t>In most instances CLL is diagnosed in</w:t>
      </w:r>
      <w:r w:rsidR="00335C1E">
        <w:rPr>
          <w:rFonts w:ascii="Times New Roman" w:hAnsi="Times New Roman" w:cs="Times New Roman"/>
          <w:noProof/>
          <w:color w:val="000000"/>
        </w:rPr>
        <w:t xml:space="preserve"> </w:t>
      </w:r>
      <w:r>
        <w:rPr>
          <w:rFonts w:ascii="Times New Roman" w:hAnsi="Times New Roman" w:cs="Times New Roman"/>
          <w:noProof/>
          <w:color w:val="000000"/>
        </w:rPr>
        <w:t>general practice and a</w:t>
      </w:r>
      <w:r w:rsidR="001B15CD" w:rsidRPr="00377375">
        <w:rPr>
          <w:rFonts w:ascii="Times New Roman" w:hAnsi="Times New Roman" w:cs="Times New Roman"/>
          <w:noProof/>
          <w:color w:val="000000"/>
        </w:rPr>
        <w:t>pproximately 7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0% </w:t>
      </w:r>
      <w:r w:rsidR="00507159" w:rsidRPr="00377375">
        <w:rPr>
          <w:rFonts w:ascii="Times New Roman" w:hAnsi="Times New Roman" w:cs="Times New Roman"/>
          <w:noProof/>
          <w:color w:val="000000"/>
        </w:rPr>
        <w:t xml:space="preserve">of </w:t>
      </w:r>
      <w:r>
        <w:rPr>
          <w:rFonts w:ascii="Times New Roman" w:hAnsi="Times New Roman" w:cs="Times New Roman"/>
          <w:noProof/>
          <w:color w:val="000000"/>
        </w:rPr>
        <w:t xml:space="preserve">patients </w:t>
      </w:r>
      <w:r w:rsidR="004948EA" w:rsidRPr="00377375">
        <w:rPr>
          <w:rFonts w:ascii="Times New Roman" w:hAnsi="Times New Roman" w:cs="Times New Roman"/>
          <w:noProof/>
          <w:color w:val="000000"/>
        </w:rPr>
        <w:t>present in</w:t>
      </w:r>
      <w:r w:rsidR="00397B3B" w:rsidRPr="00377375">
        <w:rPr>
          <w:rFonts w:ascii="Times New Roman" w:hAnsi="Times New Roman" w:cs="Times New Roman"/>
          <w:noProof/>
          <w:color w:val="000000"/>
        </w:rPr>
        <w:t xml:space="preserve"> an early</w:t>
      </w:r>
      <w:r>
        <w:rPr>
          <w:rFonts w:ascii="Times New Roman" w:hAnsi="Times New Roman" w:cs="Times New Roman"/>
          <w:noProof/>
          <w:color w:val="000000"/>
        </w:rPr>
        <w:t xml:space="preserve"> phase</w:t>
      </w:r>
      <w:r w:rsidR="006A1A74">
        <w:rPr>
          <w:rFonts w:ascii="Times New Roman" w:hAnsi="Times New Roman" w:cs="Times New Roman"/>
          <w:noProof/>
          <w:color w:val="000000"/>
        </w:rPr>
        <w:t xml:space="preserve"> </w:t>
      </w:r>
      <w:r>
        <w:rPr>
          <w:rFonts w:ascii="Times New Roman" w:hAnsi="Times New Roman" w:cs="Times New Roman"/>
          <w:noProof/>
          <w:color w:val="000000"/>
        </w:rPr>
        <w:t xml:space="preserve">of the disease, </w:t>
      </w:r>
      <w:r w:rsidR="005C0BAD">
        <w:rPr>
          <w:rFonts w:ascii="Times New Roman" w:hAnsi="Times New Roman" w:cs="Times New Roman"/>
          <w:noProof/>
          <w:color w:val="000000"/>
        </w:rPr>
        <w:t>with no anemia</w:t>
      </w:r>
      <w:r w:rsidR="00043818">
        <w:rPr>
          <w:rFonts w:ascii="Times New Roman" w:hAnsi="Times New Roman" w:cs="Times New Roman"/>
          <w:noProof/>
          <w:color w:val="000000"/>
        </w:rPr>
        <w:t xml:space="preserve">, no </w:t>
      </w:r>
      <w:r w:rsidR="005C0BAD">
        <w:rPr>
          <w:rFonts w:ascii="Times New Roman" w:hAnsi="Times New Roman" w:cs="Times New Roman"/>
          <w:noProof/>
          <w:color w:val="000000"/>
        </w:rPr>
        <w:t xml:space="preserve"> thrombocytopenia</w:t>
      </w:r>
      <w:r w:rsidR="002E7A81">
        <w:rPr>
          <w:rFonts w:ascii="Times New Roman" w:hAnsi="Times New Roman" w:cs="Times New Roman"/>
          <w:noProof/>
          <w:color w:val="000000"/>
        </w:rPr>
        <w:t xml:space="preserve"> </w:t>
      </w:r>
      <w:r w:rsidR="00043818">
        <w:rPr>
          <w:rFonts w:ascii="Times New Roman" w:hAnsi="Times New Roman" w:cs="Times New Roman"/>
          <w:noProof/>
          <w:color w:val="000000"/>
        </w:rPr>
        <w:t xml:space="preserve">and no </w:t>
      </w:r>
      <w:r w:rsidR="002E7A81">
        <w:rPr>
          <w:rFonts w:ascii="Times New Roman" w:hAnsi="Times New Roman" w:cs="Times New Roman"/>
          <w:noProof/>
          <w:color w:val="FF0000"/>
        </w:rPr>
        <w:t xml:space="preserve">significantly enlarged </w:t>
      </w:r>
      <w:r w:rsidR="00C2294E" w:rsidRPr="00C2294E">
        <w:rPr>
          <w:rFonts w:ascii="Times New Roman" w:hAnsi="Times New Roman" w:cs="Times New Roman"/>
          <w:noProof/>
          <w:color w:val="FF0000"/>
        </w:rPr>
        <w:t xml:space="preserve">lymph nodes </w:t>
      </w:r>
      <w:r w:rsidR="00C46C85">
        <w:rPr>
          <w:rFonts w:ascii="Times New Roman" w:hAnsi="Times New Roman" w:cs="Times New Roman"/>
          <w:noProof/>
          <w:color w:val="FF0000"/>
        </w:rPr>
        <w:t>or</w:t>
      </w:r>
      <w:r w:rsidR="00C2294E" w:rsidRPr="00C2294E">
        <w:rPr>
          <w:rFonts w:ascii="Times New Roman" w:hAnsi="Times New Roman" w:cs="Times New Roman"/>
          <w:noProof/>
          <w:color w:val="FF0000"/>
        </w:rPr>
        <w:t xml:space="preserve"> spleen</w:t>
      </w:r>
      <w:r w:rsidR="00C154FE">
        <w:rPr>
          <w:rFonts w:ascii="Times New Roman" w:hAnsi="Times New Roman" w:cs="Times New Roman"/>
          <w:noProof/>
          <w:color w:val="000000"/>
        </w:rPr>
        <w:t>.</w:t>
      </w:r>
      <w:r w:rsidR="006F399F" w:rsidRPr="00377375">
        <w:rPr>
          <w:rFonts w:ascii="Times New Roman" w:hAnsi="Times New Roman" w:cs="Times New Roman"/>
          <w:noProof/>
          <w:color w:val="000000"/>
          <w:vertAlign w:val="superscript"/>
        </w:rPr>
        <w:t>2</w:t>
      </w:r>
      <w:r w:rsidR="003C1DC1" w:rsidRPr="00377375">
        <w:rPr>
          <w:rFonts w:ascii="Times New Roman" w:hAnsi="Times New Roman" w:cs="Times New Roman"/>
          <w:noProof/>
          <w:color w:val="000000"/>
        </w:rPr>
        <w:t xml:space="preserve"> </w:t>
      </w:r>
    </w:p>
    <w:p w14:paraId="2DF0D6C2" w14:textId="602FB68D" w:rsidR="00800D19" w:rsidRDefault="00800D19" w:rsidP="00800D19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77375">
        <w:rPr>
          <w:rFonts w:ascii="Times New Roman" w:hAnsi="Times New Roman" w:cs="Times New Roman"/>
          <w:noProof/>
          <w:color w:val="000000"/>
        </w:rPr>
        <w:t xml:space="preserve">According to international guidelines, </w:t>
      </w:r>
      <w:r>
        <w:rPr>
          <w:rFonts w:ascii="Times New Roman" w:hAnsi="Times New Roman" w:cs="Times New Roman"/>
          <w:noProof/>
          <w:color w:val="000000"/>
        </w:rPr>
        <w:t xml:space="preserve">patients with </w:t>
      </w:r>
      <w:r w:rsidR="005347D9">
        <w:rPr>
          <w:rFonts w:ascii="Times New Roman" w:hAnsi="Times New Roman" w:cs="Times New Roman"/>
          <w:noProof/>
          <w:color w:val="000000"/>
        </w:rPr>
        <w:t xml:space="preserve">asymptomatic </w:t>
      </w:r>
      <w:r>
        <w:rPr>
          <w:rFonts w:ascii="Times New Roman" w:hAnsi="Times New Roman" w:cs="Times New Roman"/>
          <w:noProof/>
          <w:color w:val="000000"/>
        </w:rPr>
        <w:t>early stage CLL</w:t>
      </w:r>
      <w:r w:rsidRPr="00377375">
        <w:rPr>
          <w:rFonts w:ascii="Times New Roman" w:hAnsi="Times New Roman" w:cs="Times New Roman"/>
          <w:noProof/>
          <w:color w:val="000000"/>
        </w:rPr>
        <w:t xml:space="preserve"> should not be treated until disease progression</w:t>
      </w:r>
      <w:r w:rsidR="002E7A81">
        <w:rPr>
          <w:rFonts w:ascii="Times New Roman" w:hAnsi="Times New Roman" w:cs="Times New Roman"/>
          <w:noProof/>
          <w:color w:val="000000"/>
        </w:rPr>
        <w:t xml:space="preserve"> occurs</w:t>
      </w:r>
      <w:r w:rsidRPr="00800D19">
        <w:rPr>
          <w:rFonts w:ascii="Times New Roman" w:hAnsi="Times New Roman" w:cs="Times New Roman"/>
          <w:noProof/>
          <w:color w:val="FF0000"/>
        </w:rPr>
        <w:t xml:space="preserve"> </w:t>
      </w:r>
      <w:r>
        <w:rPr>
          <w:rFonts w:ascii="Times New Roman" w:hAnsi="Times New Roman" w:cs="Times New Roman"/>
          <w:noProof/>
          <w:color w:val="FF0000"/>
        </w:rPr>
        <w:t xml:space="preserve">and </w:t>
      </w:r>
      <w:r w:rsidRPr="00800D19">
        <w:rPr>
          <w:rFonts w:ascii="Times New Roman" w:hAnsi="Times New Roman" w:cs="Times New Roman"/>
          <w:noProof/>
          <w:color w:val="FF0000"/>
        </w:rPr>
        <w:t>active surveillance remains the standard for management</w:t>
      </w:r>
      <w:r>
        <w:rPr>
          <w:rFonts w:ascii="Times New Roman" w:hAnsi="Times New Roman" w:cs="Times New Roman"/>
          <w:noProof/>
          <w:color w:val="000000"/>
        </w:rPr>
        <w:t>.</w:t>
      </w:r>
      <w:r w:rsidRPr="00377375">
        <w:rPr>
          <w:rFonts w:ascii="Times New Roman" w:hAnsi="Times New Roman" w:cs="Times New Roman"/>
          <w:noProof/>
          <w:color w:val="000000"/>
          <w:vertAlign w:val="superscript"/>
        </w:rPr>
        <w:t>3-</w:t>
      </w:r>
      <w:r w:rsidR="008213D2">
        <w:rPr>
          <w:rFonts w:ascii="Times New Roman" w:hAnsi="Times New Roman" w:cs="Times New Roman"/>
          <w:noProof/>
          <w:color w:val="000000"/>
          <w:vertAlign w:val="superscript"/>
        </w:rPr>
        <w:t>7</w:t>
      </w:r>
      <w:r w:rsidRPr="00377375">
        <w:rPr>
          <w:rFonts w:ascii="Times New Roman" w:hAnsi="Times New Roman" w:cs="Times New Roman"/>
          <w:noProof/>
          <w:color w:val="000000"/>
          <w:vertAlign w:val="superscript"/>
        </w:rPr>
        <w:t xml:space="preserve"> </w:t>
      </w:r>
      <w:r w:rsidRPr="00800D19">
        <w:rPr>
          <w:rFonts w:ascii="Times New Roman" w:hAnsi="Times New Roman" w:cs="Times New Roman"/>
          <w:noProof/>
          <w:color w:val="FF0000"/>
        </w:rPr>
        <w:t xml:space="preserve">Indeed, </w:t>
      </w:r>
      <w:r>
        <w:rPr>
          <w:rFonts w:ascii="Times New Roman" w:hAnsi="Times New Roman" w:cs="Times New Roman"/>
          <w:noProof/>
          <w:color w:val="FF0000"/>
        </w:rPr>
        <w:t>d</w:t>
      </w:r>
      <w:r w:rsidRPr="00800D19">
        <w:rPr>
          <w:rFonts w:ascii="Times New Roman" w:hAnsi="Times New Roman" w:cs="Times New Roman"/>
          <w:noProof/>
          <w:color w:val="FF0000"/>
        </w:rPr>
        <w:t>ifferent early interven</w:t>
      </w:r>
      <w:r>
        <w:rPr>
          <w:rFonts w:ascii="Times New Roman" w:hAnsi="Times New Roman" w:cs="Times New Roman"/>
          <w:noProof/>
          <w:color w:val="FF0000"/>
        </w:rPr>
        <w:t>tion strategies based on chemo-</w:t>
      </w:r>
      <w:r w:rsidRPr="00800D19">
        <w:rPr>
          <w:rFonts w:ascii="Times New Roman" w:hAnsi="Times New Roman" w:cs="Times New Roman"/>
          <w:noProof/>
          <w:color w:val="FF0000"/>
        </w:rPr>
        <w:t xml:space="preserve">chemoimmunotherapy </w:t>
      </w:r>
      <w:r>
        <w:rPr>
          <w:rFonts w:ascii="Times New Roman" w:hAnsi="Times New Roman" w:cs="Times New Roman"/>
          <w:noProof/>
          <w:color w:val="FF0000"/>
        </w:rPr>
        <w:t xml:space="preserve">failed to show a survival benefit </w:t>
      </w:r>
      <w:r w:rsidRPr="00800D19">
        <w:rPr>
          <w:rFonts w:ascii="Times New Roman" w:hAnsi="Times New Roman" w:cs="Times New Roman"/>
          <w:noProof/>
          <w:color w:val="FF0000"/>
        </w:rPr>
        <w:t>in clinical trials for asymptomatic CLL patients.</w:t>
      </w:r>
      <w:r w:rsidR="008213D2">
        <w:rPr>
          <w:rFonts w:ascii="Times New Roman" w:hAnsi="Times New Roman" w:cs="Times New Roman"/>
          <w:noProof/>
          <w:color w:val="FF0000"/>
          <w:vertAlign w:val="superscript"/>
        </w:rPr>
        <w:t>8-12</w:t>
      </w:r>
      <w:r w:rsidRPr="00800D19">
        <w:rPr>
          <w:rFonts w:ascii="Times New Roman" w:hAnsi="Times New Roman" w:cs="Times New Roman"/>
          <w:noProof/>
          <w:color w:val="FF0000"/>
        </w:rPr>
        <w:t xml:space="preserve"> </w:t>
      </w:r>
      <w:r w:rsidR="0002683F" w:rsidRPr="00377375">
        <w:rPr>
          <w:rFonts w:ascii="Times New Roman" w:hAnsi="Times New Roman" w:cs="Times New Roman"/>
          <w:noProof/>
          <w:color w:val="000000"/>
        </w:rPr>
        <w:t xml:space="preserve">However, </w:t>
      </w:r>
      <w:r w:rsidR="00F718FD">
        <w:rPr>
          <w:rFonts w:ascii="Times New Roman" w:hAnsi="Times New Roman" w:cs="Times New Roman"/>
          <w:noProof/>
          <w:color w:val="000000"/>
        </w:rPr>
        <w:t xml:space="preserve">patients with early </w:t>
      </w:r>
      <w:r w:rsidR="00793E7C">
        <w:rPr>
          <w:rFonts w:ascii="Times New Roman" w:hAnsi="Times New Roman" w:cs="Times New Roman"/>
          <w:noProof/>
          <w:color w:val="000000"/>
        </w:rPr>
        <w:t>stage CLL</w:t>
      </w:r>
      <w:r w:rsidR="00F718FD">
        <w:rPr>
          <w:rFonts w:ascii="Times New Roman" w:hAnsi="Times New Roman" w:cs="Times New Roman"/>
          <w:noProof/>
          <w:color w:val="000000"/>
        </w:rPr>
        <w:t xml:space="preserve"> </w:t>
      </w:r>
      <w:r w:rsidR="0002683F" w:rsidRPr="00377375">
        <w:rPr>
          <w:rFonts w:ascii="Times New Roman" w:hAnsi="Times New Roman" w:cs="Times New Roman"/>
          <w:noProof/>
          <w:color w:val="000000"/>
        </w:rPr>
        <w:t xml:space="preserve">have a variable </w:t>
      </w:r>
      <w:r w:rsidR="005C0BAD">
        <w:rPr>
          <w:rFonts w:ascii="Times New Roman" w:hAnsi="Times New Roman" w:cs="Times New Roman"/>
          <w:noProof/>
          <w:color w:val="000000"/>
        </w:rPr>
        <w:t xml:space="preserve">clinical </w:t>
      </w:r>
      <w:r w:rsidR="0002683F" w:rsidRPr="00377375">
        <w:rPr>
          <w:rFonts w:ascii="Times New Roman" w:hAnsi="Times New Roman" w:cs="Times New Roman"/>
          <w:noProof/>
          <w:color w:val="000000"/>
        </w:rPr>
        <w:t>course</w:t>
      </w:r>
      <w:r w:rsidR="0087646E">
        <w:rPr>
          <w:rFonts w:ascii="Times New Roman" w:hAnsi="Times New Roman" w:cs="Times New Roman"/>
          <w:noProof/>
          <w:color w:val="000000"/>
        </w:rPr>
        <w:t>. S</w:t>
      </w:r>
      <w:r w:rsidR="0002683F" w:rsidRPr="00377375">
        <w:rPr>
          <w:rFonts w:ascii="Times New Roman" w:hAnsi="Times New Roman" w:cs="Times New Roman"/>
          <w:noProof/>
          <w:color w:val="000000"/>
        </w:rPr>
        <w:t>ome requir</w:t>
      </w:r>
      <w:r w:rsidR="0087646E">
        <w:rPr>
          <w:rFonts w:ascii="Times New Roman" w:hAnsi="Times New Roman" w:cs="Times New Roman"/>
          <w:noProof/>
          <w:color w:val="000000"/>
        </w:rPr>
        <w:t>e</w:t>
      </w:r>
      <w:r w:rsidR="0002683F" w:rsidRPr="00377375">
        <w:rPr>
          <w:rFonts w:ascii="Times New Roman" w:hAnsi="Times New Roman" w:cs="Times New Roman"/>
          <w:noProof/>
          <w:color w:val="000000"/>
        </w:rPr>
        <w:t xml:space="preserve"> treatment </w:t>
      </w:r>
      <w:r w:rsidR="00F718FD">
        <w:rPr>
          <w:rFonts w:ascii="Times New Roman" w:hAnsi="Times New Roman" w:cs="Times New Roman"/>
          <w:noProof/>
          <w:color w:val="000000"/>
        </w:rPr>
        <w:t>soon</w:t>
      </w:r>
      <w:r w:rsidR="0002683F" w:rsidRPr="00377375">
        <w:rPr>
          <w:rFonts w:ascii="Times New Roman" w:hAnsi="Times New Roman" w:cs="Times New Roman"/>
          <w:noProof/>
          <w:color w:val="000000"/>
        </w:rPr>
        <w:t xml:space="preserve"> after diagnosis because of development of </w:t>
      </w:r>
      <w:r w:rsidR="00592CEB" w:rsidRPr="00377375">
        <w:rPr>
          <w:rFonts w:ascii="Times New Roman" w:hAnsi="Times New Roman" w:cs="Times New Roman"/>
          <w:noProof/>
          <w:color w:val="000000"/>
        </w:rPr>
        <w:t>cytopenia or bulky</w:t>
      </w:r>
      <w:r w:rsidR="00F718FD">
        <w:rPr>
          <w:rFonts w:ascii="Times New Roman" w:hAnsi="Times New Roman" w:cs="Times New Roman"/>
          <w:noProof/>
          <w:color w:val="000000"/>
        </w:rPr>
        <w:t xml:space="preserve"> lymphadenopathy</w:t>
      </w:r>
      <w:r w:rsidR="0002683F" w:rsidRPr="00377375">
        <w:rPr>
          <w:rFonts w:ascii="Times New Roman" w:hAnsi="Times New Roman" w:cs="Times New Roman"/>
          <w:noProof/>
          <w:color w:val="000000"/>
        </w:rPr>
        <w:t>, while other</w:t>
      </w:r>
      <w:r w:rsidR="0087646E">
        <w:rPr>
          <w:rFonts w:ascii="Times New Roman" w:hAnsi="Times New Roman" w:cs="Times New Roman"/>
          <w:noProof/>
          <w:color w:val="000000"/>
        </w:rPr>
        <w:t>s</w:t>
      </w:r>
      <w:r w:rsidR="0002683F" w:rsidRPr="00377375">
        <w:rPr>
          <w:rFonts w:ascii="Times New Roman" w:hAnsi="Times New Roman" w:cs="Times New Roman"/>
          <w:noProof/>
          <w:color w:val="000000"/>
        </w:rPr>
        <w:t xml:space="preserve"> show a</w:t>
      </w:r>
      <w:r w:rsidR="00592CEB" w:rsidRPr="00377375">
        <w:rPr>
          <w:rFonts w:ascii="Times New Roman" w:hAnsi="Times New Roman" w:cs="Times New Roman"/>
          <w:noProof/>
          <w:color w:val="000000"/>
        </w:rPr>
        <w:t xml:space="preserve"> </w:t>
      </w:r>
      <w:r w:rsidR="004044B2">
        <w:rPr>
          <w:rFonts w:ascii="Times New Roman" w:hAnsi="Times New Roman" w:cs="Times New Roman"/>
          <w:noProof/>
          <w:color w:val="000000"/>
        </w:rPr>
        <w:t xml:space="preserve">stable or a </w:t>
      </w:r>
      <w:r w:rsidR="00592CEB" w:rsidRPr="00377375">
        <w:rPr>
          <w:rFonts w:ascii="Times New Roman" w:hAnsi="Times New Roman" w:cs="Times New Roman"/>
          <w:noProof/>
          <w:color w:val="000000"/>
        </w:rPr>
        <w:t xml:space="preserve">slowly progressive </w:t>
      </w:r>
      <w:r w:rsidR="0002683F" w:rsidRPr="00377375">
        <w:rPr>
          <w:rFonts w:ascii="Times New Roman" w:hAnsi="Times New Roman" w:cs="Times New Roman"/>
          <w:noProof/>
          <w:color w:val="000000"/>
        </w:rPr>
        <w:t>disease not requi</w:t>
      </w:r>
      <w:r w:rsidR="00592CEB" w:rsidRPr="00377375">
        <w:rPr>
          <w:rFonts w:ascii="Times New Roman" w:hAnsi="Times New Roman" w:cs="Times New Roman"/>
          <w:noProof/>
          <w:color w:val="000000"/>
        </w:rPr>
        <w:t>ring treatment for decades</w:t>
      </w:r>
      <w:r w:rsidR="006109CF" w:rsidRPr="00377375">
        <w:rPr>
          <w:rFonts w:ascii="Times New Roman" w:hAnsi="Times New Roman" w:cs="Times New Roman"/>
          <w:noProof/>
          <w:color w:val="000000"/>
        </w:rPr>
        <w:t>.</w:t>
      </w:r>
      <w:r w:rsidR="00147B4D">
        <w:rPr>
          <w:rFonts w:ascii="Times New Roman" w:hAnsi="Times New Roman" w:cs="Times New Roman"/>
          <w:noProof/>
          <w:vertAlign w:val="superscript"/>
        </w:rPr>
        <w:t>1</w:t>
      </w:r>
      <w:r w:rsidR="008213D2">
        <w:rPr>
          <w:rFonts w:ascii="Times New Roman" w:hAnsi="Times New Roman" w:cs="Times New Roman"/>
          <w:noProof/>
          <w:vertAlign w:val="superscript"/>
        </w:rPr>
        <w:t>3</w:t>
      </w:r>
      <w:r w:rsidR="006109CF" w:rsidRPr="00377375">
        <w:rPr>
          <w:rFonts w:ascii="Times New Roman" w:hAnsi="Times New Roman" w:cs="Times New Roman"/>
          <w:noProof/>
          <w:color w:val="000000"/>
        </w:rPr>
        <w:t xml:space="preserve"> </w:t>
      </w:r>
      <w:r w:rsidR="004044B2">
        <w:rPr>
          <w:rFonts w:ascii="Times New Roman" w:hAnsi="Times New Roman" w:cs="Times New Roman"/>
          <w:noProof/>
          <w:color w:val="000000"/>
        </w:rPr>
        <w:t xml:space="preserve">Because of this, </w:t>
      </w:r>
      <w:r w:rsidR="00D4107B">
        <w:rPr>
          <w:rFonts w:ascii="Times New Roman" w:hAnsi="Times New Roman" w:cs="Times New Roman"/>
          <w:noProof/>
          <w:color w:val="000000"/>
        </w:rPr>
        <w:t xml:space="preserve">the </w:t>
      </w:r>
      <w:r w:rsidR="004044B2">
        <w:rPr>
          <w:rFonts w:ascii="Times New Roman" w:hAnsi="Times New Roman" w:cs="Times New Roman"/>
          <w:noProof/>
          <w:color w:val="000000"/>
        </w:rPr>
        <w:t xml:space="preserve">management of patients with early </w:t>
      </w:r>
      <w:r w:rsidR="00793E7C">
        <w:rPr>
          <w:rFonts w:ascii="Times New Roman" w:hAnsi="Times New Roman" w:cs="Times New Roman"/>
          <w:noProof/>
          <w:color w:val="000000"/>
        </w:rPr>
        <w:t xml:space="preserve">stage </w:t>
      </w:r>
      <w:r w:rsidR="004044B2">
        <w:rPr>
          <w:rFonts w:ascii="Times New Roman" w:hAnsi="Times New Roman" w:cs="Times New Roman"/>
          <w:noProof/>
          <w:color w:val="000000"/>
        </w:rPr>
        <w:t xml:space="preserve">CLL is challenging and shaped by </w:t>
      </w:r>
      <w:r w:rsidR="00B010B9">
        <w:rPr>
          <w:rFonts w:ascii="Times New Roman" w:hAnsi="Times New Roman" w:cs="Times New Roman"/>
          <w:noProof/>
          <w:color w:val="000000"/>
        </w:rPr>
        <w:t>uncertainty.</w:t>
      </w:r>
      <w:r w:rsidRPr="00A002D4">
        <w:rPr>
          <w:rFonts w:ascii="Times New Roman" w:hAnsi="Times New Roman" w:cs="Times New Roman"/>
          <w:noProof/>
        </w:rPr>
        <w:t xml:space="preserve"> </w:t>
      </w:r>
      <w:r w:rsidR="002E7A81" w:rsidRPr="00A002D4">
        <w:rPr>
          <w:rFonts w:ascii="Times New Roman" w:hAnsi="Times New Roman" w:cs="Times New Roman"/>
          <w:noProof/>
        </w:rPr>
        <w:t>Of note, it</w:t>
      </w:r>
      <w:r w:rsidR="00B010B9" w:rsidRPr="00A002D4">
        <w:rPr>
          <w:rFonts w:ascii="Times New Roman" w:hAnsi="Times New Roman" w:cs="Times New Roman"/>
        </w:rPr>
        <w:t xml:space="preserve"> </w:t>
      </w:r>
      <w:r w:rsidR="00B010B9">
        <w:rPr>
          <w:rFonts w:ascii="Times New Roman" w:hAnsi="Times New Roman" w:cs="Times New Roman"/>
          <w:color w:val="000000"/>
        </w:rPr>
        <w:t xml:space="preserve">is estimated that </w:t>
      </w:r>
      <w:r w:rsidR="003266AE" w:rsidRPr="00377375">
        <w:rPr>
          <w:rFonts w:ascii="Times New Roman" w:hAnsi="Times New Roman" w:cs="Times New Roman"/>
          <w:color w:val="000000"/>
        </w:rPr>
        <w:t xml:space="preserve">over </w:t>
      </w:r>
      <w:r w:rsidR="00B010B9">
        <w:rPr>
          <w:rFonts w:ascii="Times New Roman" w:hAnsi="Times New Roman" w:cs="Times New Roman"/>
          <w:color w:val="000000"/>
        </w:rPr>
        <w:t>400</w:t>
      </w:r>
      <w:r w:rsidR="00D4107B">
        <w:rPr>
          <w:rFonts w:ascii="Times New Roman" w:hAnsi="Times New Roman" w:cs="Times New Roman"/>
          <w:color w:val="000000"/>
        </w:rPr>
        <w:t>,</w:t>
      </w:r>
      <w:r w:rsidR="00B010B9">
        <w:rPr>
          <w:rFonts w:ascii="Times New Roman" w:hAnsi="Times New Roman" w:cs="Times New Roman"/>
          <w:color w:val="000000"/>
        </w:rPr>
        <w:t xml:space="preserve">000 </w:t>
      </w:r>
      <w:r w:rsidR="00335C1E">
        <w:rPr>
          <w:rFonts w:ascii="Times New Roman" w:hAnsi="Times New Roman" w:cs="Times New Roman"/>
          <w:color w:val="000000"/>
        </w:rPr>
        <w:t xml:space="preserve">individuals </w:t>
      </w:r>
      <w:r w:rsidR="00B010B9">
        <w:rPr>
          <w:rFonts w:ascii="Times New Roman" w:hAnsi="Times New Roman" w:cs="Times New Roman"/>
          <w:color w:val="000000"/>
        </w:rPr>
        <w:t>in Europe and US</w:t>
      </w:r>
      <w:r w:rsidR="00B010B9" w:rsidRPr="00377375">
        <w:rPr>
          <w:rFonts w:ascii="Times New Roman" w:hAnsi="Times New Roman" w:cs="Times New Roman"/>
          <w:color w:val="000000"/>
        </w:rPr>
        <w:t xml:space="preserve"> </w:t>
      </w:r>
      <w:r w:rsidR="00B010B9">
        <w:rPr>
          <w:rFonts w:ascii="Times New Roman" w:hAnsi="Times New Roman" w:cs="Times New Roman"/>
          <w:color w:val="000000"/>
        </w:rPr>
        <w:t>diagnosed</w:t>
      </w:r>
      <w:r w:rsidR="00B010B9" w:rsidRPr="00377375">
        <w:rPr>
          <w:rFonts w:ascii="Times New Roman" w:hAnsi="Times New Roman" w:cs="Times New Roman"/>
          <w:color w:val="000000"/>
        </w:rPr>
        <w:t xml:space="preserve"> </w:t>
      </w:r>
      <w:r w:rsidR="00C437B4" w:rsidRPr="00377375">
        <w:rPr>
          <w:rFonts w:ascii="Times New Roman" w:hAnsi="Times New Roman" w:cs="Times New Roman"/>
          <w:color w:val="000000"/>
        </w:rPr>
        <w:t xml:space="preserve">with CLL are followed </w:t>
      </w:r>
      <w:r w:rsidR="006C250E">
        <w:rPr>
          <w:rFonts w:ascii="Times New Roman" w:hAnsi="Times New Roman" w:cs="Times New Roman"/>
          <w:color w:val="000000"/>
        </w:rPr>
        <w:t>by active surveillance</w:t>
      </w:r>
      <w:r w:rsidR="00CA3595">
        <w:rPr>
          <w:rFonts w:ascii="Times New Roman" w:hAnsi="Times New Roman" w:cs="Times New Roman"/>
          <w:color w:val="000000"/>
        </w:rPr>
        <w:t>.</w:t>
      </w:r>
      <w:r w:rsidR="00147B4D">
        <w:rPr>
          <w:rFonts w:ascii="Times New Roman" w:hAnsi="Times New Roman" w:cs="Times New Roman"/>
          <w:color w:val="000000"/>
          <w:vertAlign w:val="superscript"/>
        </w:rPr>
        <w:t>1</w:t>
      </w:r>
      <w:proofErr w:type="gramStart"/>
      <w:r w:rsidR="00147B4D">
        <w:rPr>
          <w:rFonts w:ascii="Times New Roman" w:hAnsi="Times New Roman" w:cs="Times New Roman"/>
          <w:color w:val="000000"/>
          <w:vertAlign w:val="superscript"/>
        </w:rPr>
        <w:t>,1</w:t>
      </w:r>
      <w:r w:rsidR="008213D2">
        <w:rPr>
          <w:rFonts w:ascii="Times New Roman" w:hAnsi="Times New Roman" w:cs="Times New Roman"/>
          <w:color w:val="000000"/>
          <w:vertAlign w:val="superscript"/>
        </w:rPr>
        <w:t>4</w:t>
      </w:r>
      <w:proofErr w:type="gramEnd"/>
      <w:r w:rsidR="000E6DFD" w:rsidRPr="00377375">
        <w:rPr>
          <w:rFonts w:ascii="Times New Roman" w:hAnsi="Times New Roman" w:cs="Times New Roman"/>
          <w:color w:val="000000"/>
        </w:rPr>
        <w:t xml:space="preserve"> </w:t>
      </w:r>
      <w:r w:rsidR="002E7A81">
        <w:rPr>
          <w:rFonts w:ascii="Times New Roman" w:hAnsi="Times New Roman" w:cs="Times New Roman"/>
          <w:color w:val="000000"/>
        </w:rPr>
        <w:t xml:space="preserve">Unfortunately, there </w:t>
      </w:r>
      <w:r w:rsidR="005C0BAD">
        <w:rPr>
          <w:rFonts w:ascii="Times New Roman" w:hAnsi="Times New Roman" w:cs="Times New Roman"/>
          <w:color w:val="000000"/>
        </w:rPr>
        <w:t>is no</w:t>
      </w:r>
      <w:r w:rsidR="002E7A81">
        <w:rPr>
          <w:rFonts w:ascii="Times New Roman" w:hAnsi="Times New Roman" w:cs="Times New Roman"/>
          <w:color w:val="000000"/>
        </w:rPr>
        <w:t xml:space="preserve"> a</w:t>
      </w:r>
      <w:r w:rsidR="007D7A86">
        <w:rPr>
          <w:rFonts w:ascii="Times New Roman" w:hAnsi="Times New Roman" w:cs="Times New Roman"/>
          <w:color w:val="000000"/>
        </w:rPr>
        <w:t xml:space="preserve"> </w:t>
      </w:r>
      <w:r w:rsidR="005C0BAD">
        <w:rPr>
          <w:rFonts w:ascii="Times New Roman" w:hAnsi="Times New Roman" w:cs="Times New Roman"/>
          <w:color w:val="000000"/>
        </w:rPr>
        <w:t xml:space="preserve">specific, </w:t>
      </w:r>
      <w:r w:rsidR="00F1229D">
        <w:rPr>
          <w:rFonts w:ascii="Times New Roman" w:hAnsi="Times New Roman" w:cs="Times New Roman"/>
          <w:color w:val="000000"/>
        </w:rPr>
        <w:t>simple</w:t>
      </w:r>
      <w:r w:rsidR="002E7A81">
        <w:rPr>
          <w:rFonts w:ascii="Times New Roman" w:hAnsi="Times New Roman" w:cs="Times New Roman"/>
          <w:color w:val="000000"/>
        </w:rPr>
        <w:t xml:space="preserve">, </w:t>
      </w:r>
      <w:r w:rsidR="00F1229D">
        <w:rPr>
          <w:rFonts w:ascii="Times New Roman" w:hAnsi="Times New Roman" w:cs="Times New Roman"/>
          <w:color w:val="000000"/>
        </w:rPr>
        <w:t>accurate</w:t>
      </w:r>
      <w:r w:rsidR="00D1592E">
        <w:rPr>
          <w:rFonts w:ascii="Times New Roman" w:hAnsi="Times New Roman" w:cs="Times New Roman"/>
          <w:color w:val="000000"/>
        </w:rPr>
        <w:t xml:space="preserve"> </w:t>
      </w:r>
      <w:r w:rsidR="002E7A81">
        <w:rPr>
          <w:rFonts w:ascii="Times New Roman" w:hAnsi="Times New Roman" w:cs="Times New Roman"/>
          <w:color w:val="000000"/>
        </w:rPr>
        <w:t xml:space="preserve">and widely accepted </w:t>
      </w:r>
      <w:r w:rsidR="005C0BAD">
        <w:rPr>
          <w:rFonts w:ascii="Times New Roman" w:hAnsi="Times New Roman" w:cs="Times New Roman"/>
          <w:color w:val="000000"/>
        </w:rPr>
        <w:t xml:space="preserve">prognostic model to predict the likelihood of disease progression, and hence need for therapy, in patients </w:t>
      </w:r>
      <w:r w:rsidR="00C46C85">
        <w:rPr>
          <w:rFonts w:ascii="Times New Roman" w:hAnsi="Times New Roman" w:cs="Times New Roman"/>
          <w:color w:val="000000"/>
        </w:rPr>
        <w:t>with</w:t>
      </w:r>
      <w:r w:rsidR="005C0BAD">
        <w:rPr>
          <w:rFonts w:ascii="Times New Roman" w:hAnsi="Times New Roman" w:cs="Times New Roman"/>
          <w:color w:val="000000"/>
        </w:rPr>
        <w:t xml:space="preserve"> </w:t>
      </w:r>
      <w:r w:rsidR="00E415B0">
        <w:rPr>
          <w:rFonts w:ascii="Times New Roman" w:hAnsi="Times New Roman" w:cs="Times New Roman"/>
          <w:color w:val="000000"/>
        </w:rPr>
        <w:t xml:space="preserve">asymptomatic </w:t>
      </w:r>
      <w:r w:rsidR="005C0BAD">
        <w:rPr>
          <w:rFonts w:ascii="Times New Roman" w:hAnsi="Times New Roman" w:cs="Times New Roman"/>
          <w:color w:val="000000"/>
        </w:rPr>
        <w:t xml:space="preserve">early </w:t>
      </w:r>
      <w:r w:rsidR="00C46C85">
        <w:rPr>
          <w:rFonts w:ascii="Times New Roman" w:hAnsi="Times New Roman" w:cs="Times New Roman"/>
          <w:color w:val="000000"/>
        </w:rPr>
        <w:t>stage CLL.</w:t>
      </w:r>
    </w:p>
    <w:p w14:paraId="595B32F7" w14:textId="4282E36F" w:rsidR="00D1592E" w:rsidRPr="00377375" w:rsidRDefault="00D00328" w:rsidP="00D1592E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FF0000"/>
        </w:rPr>
        <w:t>The</w:t>
      </w:r>
      <w:r w:rsidR="002E7A81">
        <w:rPr>
          <w:rFonts w:ascii="Times New Roman" w:hAnsi="Times New Roman" w:cs="Times New Roman"/>
          <w:noProof/>
          <w:color w:val="FF0000"/>
        </w:rPr>
        <w:t xml:space="preserve"> </w:t>
      </w:r>
      <w:r w:rsidR="00800D19">
        <w:rPr>
          <w:rFonts w:ascii="Times New Roman" w:hAnsi="Times New Roman" w:cs="Times New Roman"/>
          <w:noProof/>
          <w:color w:val="FF0000"/>
        </w:rPr>
        <w:t xml:space="preserve">management of </w:t>
      </w:r>
      <w:r>
        <w:rPr>
          <w:rFonts w:ascii="Times New Roman" w:hAnsi="Times New Roman" w:cs="Times New Roman"/>
          <w:noProof/>
          <w:color w:val="FF0000"/>
        </w:rPr>
        <w:t xml:space="preserve">early, </w:t>
      </w:r>
      <w:r w:rsidR="00800D19">
        <w:rPr>
          <w:rFonts w:ascii="Times New Roman" w:hAnsi="Times New Roman" w:cs="Times New Roman"/>
          <w:noProof/>
          <w:color w:val="FF0000"/>
        </w:rPr>
        <w:t xml:space="preserve">asymptomatic CLL </w:t>
      </w:r>
      <w:r w:rsidR="00800D19" w:rsidRPr="00800D19">
        <w:rPr>
          <w:rFonts w:ascii="Times New Roman" w:hAnsi="Times New Roman" w:cs="Times New Roman"/>
          <w:noProof/>
          <w:color w:val="FF0000"/>
        </w:rPr>
        <w:t xml:space="preserve">may change in the future if a survival benefit </w:t>
      </w:r>
      <w:r w:rsidR="00603142">
        <w:rPr>
          <w:rFonts w:ascii="Times New Roman" w:hAnsi="Times New Roman" w:cs="Times New Roman"/>
          <w:noProof/>
          <w:color w:val="FF0000"/>
        </w:rPr>
        <w:t>is proved</w:t>
      </w:r>
      <w:r w:rsidR="00800D19" w:rsidRPr="00800D19">
        <w:rPr>
          <w:rFonts w:ascii="Times New Roman" w:hAnsi="Times New Roman" w:cs="Times New Roman"/>
          <w:noProof/>
          <w:color w:val="FF0000"/>
        </w:rPr>
        <w:t xml:space="preserve"> by early </w:t>
      </w:r>
      <w:r w:rsidR="00F66CDB">
        <w:rPr>
          <w:rFonts w:ascii="Times New Roman" w:hAnsi="Times New Roman" w:cs="Times New Roman"/>
          <w:noProof/>
          <w:color w:val="FF0000"/>
        </w:rPr>
        <w:t>intervention</w:t>
      </w:r>
      <w:r w:rsidR="00800D19" w:rsidRPr="00800D19">
        <w:rPr>
          <w:rFonts w:ascii="Times New Roman" w:hAnsi="Times New Roman" w:cs="Times New Roman"/>
          <w:noProof/>
          <w:color w:val="FF0000"/>
        </w:rPr>
        <w:t xml:space="preserve"> with novel agents </w:t>
      </w:r>
      <w:r w:rsidR="00F66CDB">
        <w:rPr>
          <w:rFonts w:ascii="Times New Roman" w:hAnsi="Times New Roman" w:cs="Times New Roman"/>
          <w:noProof/>
          <w:color w:val="FF0000"/>
        </w:rPr>
        <w:t>in</w:t>
      </w:r>
      <w:r w:rsidR="00800D19" w:rsidRPr="00800D19">
        <w:rPr>
          <w:rFonts w:ascii="Times New Roman" w:hAnsi="Times New Roman" w:cs="Times New Roman"/>
          <w:noProof/>
          <w:color w:val="FF0000"/>
        </w:rPr>
        <w:t xml:space="preserve"> patients who are at r</w:t>
      </w:r>
      <w:r w:rsidR="00800D19">
        <w:rPr>
          <w:rFonts w:ascii="Times New Roman" w:hAnsi="Times New Roman" w:cs="Times New Roman"/>
          <w:noProof/>
          <w:color w:val="FF0000"/>
        </w:rPr>
        <w:t>isk of impending treatment need</w:t>
      </w:r>
      <w:r w:rsidR="00147B4D">
        <w:rPr>
          <w:rFonts w:ascii="Times New Roman" w:hAnsi="Times New Roman" w:cs="Times New Roman"/>
          <w:noProof/>
          <w:color w:val="FF0000"/>
        </w:rPr>
        <w:t>.</w:t>
      </w:r>
      <w:r w:rsidR="00147B4D">
        <w:rPr>
          <w:rFonts w:ascii="Times New Roman" w:hAnsi="Times New Roman" w:cs="Times New Roman"/>
          <w:noProof/>
          <w:color w:val="FF0000"/>
          <w:vertAlign w:val="superscript"/>
        </w:rPr>
        <w:t>1</w:t>
      </w:r>
      <w:r w:rsidR="008213D2">
        <w:rPr>
          <w:rFonts w:ascii="Times New Roman" w:hAnsi="Times New Roman" w:cs="Times New Roman"/>
          <w:noProof/>
          <w:color w:val="FF0000"/>
          <w:vertAlign w:val="superscript"/>
        </w:rPr>
        <w:t>5</w:t>
      </w:r>
      <w:r w:rsidR="00F66CDB">
        <w:rPr>
          <w:rFonts w:ascii="Times New Roman" w:hAnsi="Times New Roman" w:cs="Times New Roman"/>
          <w:noProof/>
          <w:color w:val="FF0000"/>
        </w:rPr>
        <w:t xml:space="preserve"> In this new scenario, upfront</w:t>
      </w:r>
      <w:r w:rsidR="00800D19">
        <w:rPr>
          <w:rFonts w:ascii="Times New Roman" w:hAnsi="Times New Roman" w:cs="Times New Roman"/>
          <w:noProof/>
          <w:color w:val="FF0000"/>
        </w:rPr>
        <w:t xml:space="preserve"> </w:t>
      </w:r>
      <w:r w:rsidR="00F66CDB">
        <w:rPr>
          <w:rFonts w:ascii="Times New Roman" w:hAnsi="Times New Roman" w:cs="Times New Roman"/>
          <w:noProof/>
          <w:color w:val="FF0000"/>
        </w:rPr>
        <w:t xml:space="preserve">identification of </w:t>
      </w:r>
      <w:r w:rsidR="00800D19">
        <w:rPr>
          <w:rFonts w:ascii="Times New Roman" w:hAnsi="Times New Roman" w:cs="Times New Roman"/>
          <w:noProof/>
          <w:color w:val="FF0000"/>
        </w:rPr>
        <w:t>high risk patients</w:t>
      </w:r>
      <w:r w:rsidR="00F66CDB">
        <w:rPr>
          <w:rFonts w:ascii="Times New Roman" w:hAnsi="Times New Roman" w:cs="Times New Roman"/>
          <w:noProof/>
          <w:color w:val="FF0000"/>
        </w:rPr>
        <w:t xml:space="preserve"> is </w:t>
      </w:r>
      <w:r w:rsidR="00F66CDB">
        <w:rPr>
          <w:rFonts w:ascii="Times New Roman" w:hAnsi="Times New Roman" w:cs="Times New Roman"/>
          <w:noProof/>
          <w:color w:val="FF0000"/>
        </w:rPr>
        <w:lastRenderedPageBreak/>
        <w:t>warranted</w:t>
      </w:r>
      <w:r w:rsidR="00800D19">
        <w:rPr>
          <w:rFonts w:ascii="Times New Roman" w:hAnsi="Times New Roman" w:cs="Times New Roman"/>
          <w:noProof/>
          <w:color w:val="FF0000"/>
        </w:rPr>
        <w:t xml:space="preserve">. </w:t>
      </w:r>
      <w:r>
        <w:rPr>
          <w:rFonts w:ascii="Times New Roman" w:hAnsi="Times New Roman" w:cs="Times New Roman"/>
          <w:noProof/>
          <w:color w:val="000000" w:themeColor="text1"/>
        </w:rPr>
        <w:t>The</w:t>
      </w:r>
      <w:r w:rsidR="00D1592E" w:rsidRPr="00800D19">
        <w:rPr>
          <w:rFonts w:ascii="Times New Roman" w:hAnsi="Times New Roman" w:cs="Times New Roman"/>
          <w:color w:val="000000" w:themeColor="text1"/>
        </w:rPr>
        <w:t xml:space="preserve"> </w:t>
      </w:r>
      <w:r w:rsidR="00D1592E">
        <w:rPr>
          <w:rFonts w:ascii="Times New Roman" w:hAnsi="Times New Roman" w:cs="Times New Roman"/>
          <w:color w:val="000000"/>
        </w:rPr>
        <w:t xml:space="preserve">objective of this study was to construct a </w:t>
      </w:r>
      <w:r w:rsidR="003E74CF">
        <w:rPr>
          <w:rFonts w:ascii="Times New Roman" w:hAnsi="Times New Roman" w:cs="Times New Roman"/>
          <w:color w:val="000000"/>
        </w:rPr>
        <w:t xml:space="preserve">simple, </w:t>
      </w:r>
      <w:r w:rsidR="00D1592E">
        <w:rPr>
          <w:rFonts w:ascii="Times New Roman" w:hAnsi="Times New Roman" w:cs="Times New Roman"/>
          <w:color w:val="000000"/>
        </w:rPr>
        <w:t xml:space="preserve">robust, </w:t>
      </w:r>
      <w:r w:rsidR="003E74CF">
        <w:rPr>
          <w:rFonts w:ascii="Times New Roman" w:hAnsi="Times New Roman" w:cs="Times New Roman"/>
          <w:color w:val="000000"/>
        </w:rPr>
        <w:t xml:space="preserve">and </w:t>
      </w:r>
      <w:r w:rsidR="00D1592E">
        <w:rPr>
          <w:rFonts w:ascii="Times New Roman" w:hAnsi="Times New Roman" w:cs="Times New Roman"/>
          <w:color w:val="000000"/>
        </w:rPr>
        <w:t xml:space="preserve">validated predictor of </w:t>
      </w:r>
      <w:r w:rsidR="005C0BAD">
        <w:rPr>
          <w:rFonts w:ascii="Times New Roman" w:hAnsi="Times New Roman" w:cs="Times New Roman"/>
          <w:color w:val="000000"/>
        </w:rPr>
        <w:t xml:space="preserve">disease progression </w:t>
      </w:r>
      <w:r w:rsidR="00D1592E">
        <w:rPr>
          <w:rFonts w:ascii="Times New Roman" w:hAnsi="Times New Roman" w:cs="Times New Roman"/>
          <w:color w:val="000000"/>
        </w:rPr>
        <w:t xml:space="preserve">and </w:t>
      </w:r>
      <w:r w:rsidR="005C0BAD">
        <w:rPr>
          <w:rFonts w:ascii="Times New Roman" w:hAnsi="Times New Roman" w:cs="Times New Roman"/>
          <w:color w:val="000000"/>
        </w:rPr>
        <w:t xml:space="preserve">the </w:t>
      </w:r>
      <w:r w:rsidR="002D2AFB">
        <w:rPr>
          <w:rFonts w:ascii="Times New Roman" w:hAnsi="Times New Roman" w:cs="Times New Roman"/>
          <w:color w:val="000000"/>
        </w:rPr>
        <w:t xml:space="preserve">need </w:t>
      </w:r>
      <w:r w:rsidR="00D1592E">
        <w:rPr>
          <w:rFonts w:ascii="Times New Roman" w:hAnsi="Times New Roman" w:cs="Times New Roman"/>
          <w:color w:val="000000"/>
        </w:rPr>
        <w:t xml:space="preserve">of intervention </w:t>
      </w:r>
      <w:r w:rsidR="002D2AFB">
        <w:rPr>
          <w:rFonts w:ascii="Times New Roman" w:hAnsi="Times New Roman" w:cs="Times New Roman"/>
          <w:color w:val="000000"/>
        </w:rPr>
        <w:t xml:space="preserve">in </w:t>
      </w:r>
      <w:r w:rsidR="00D1592E">
        <w:rPr>
          <w:rFonts w:ascii="Times New Roman" w:hAnsi="Times New Roman" w:cs="Times New Roman"/>
          <w:color w:val="000000"/>
        </w:rPr>
        <w:t xml:space="preserve">patients </w:t>
      </w:r>
      <w:r w:rsidR="00D769BC">
        <w:rPr>
          <w:rFonts w:ascii="Times New Roman" w:hAnsi="Times New Roman" w:cs="Times New Roman"/>
          <w:color w:val="000000"/>
        </w:rPr>
        <w:t>with</w:t>
      </w:r>
      <w:r w:rsidR="0068767E">
        <w:rPr>
          <w:rFonts w:ascii="Times New Roman" w:hAnsi="Times New Roman" w:cs="Times New Roman"/>
          <w:color w:val="000000"/>
        </w:rPr>
        <w:t xml:space="preserve"> asymptomatic</w:t>
      </w:r>
      <w:r w:rsidR="00887C53">
        <w:rPr>
          <w:rFonts w:ascii="Times New Roman" w:hAnsi="Times New Roman" w:cs="Times New Roman"/>
          <w:color w:val="000000"/>
        </w:rPr>
        <w:t xml:space="preserve"> </w:t>
      </w:r>
      <w:r w:rsidR="00D1592E">
        <w:rPr>
          <w:rFonts w:ascii="Times New Roman" w:hAnsi="Times New Roman" w:cs="Times New Roman"/>
          <w:color w:val="000000"/>
        </w:rPr>
        <w:t xml:space="preserve">early </w:t>
      </w:r>
      <w:r w:rsidR="00793E7C">
        <w:rPr>
          <w:rFonts w:ascii="Times New Roman" w:hAnsi="Times New Roman" w:cs="Times New Roman"/>
          <w:color w:val="000000"/>
        </w:rPr>
        <w:t>stage</w:t>
      </w:r>
      <w:r w:rsidR="00D769BC">
        <w:rPr>
          <w:rFonts w:ascii="Times New Roman" w:hAnsi="Times New Roman" w:cs="Times New Roman"/>
          <w:color w:val="000000"/>
        </w:rPr>
        <w:t xml:space="preserve"> CLL</w:t>
      </w:r>
      <w:r w:rsidR="00D1592E">
        <w:rPr>
          <w:rFonts w:ascii="Times New Roman" w:hAnsi="Times New Roman" w:cs="Times New Roman"/>
          <w:color w:val="000000"/>
        </w:rPr>
        <w:t>.</w:t>
      </w:r>
    </w:p>
    <w:p w14:paraId="012DE332" w14:textId="77777777" w:rsidR="005973BE" w:rsidRPr="00377375" w:rsidRDefault="005973BE" w:rsidP="00ED4081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871A2F2" w14:textId="77777777" w:rsidR="001A7574" w:rsidRPr="00377375" w:rsidRDefault="001A7574" w:rsidP="00ED4081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A84F715" w14:textId="77777777" w:rsidR="004455EB" w:rsidRPr="00377375" w:rsidRDefault="00433B0A" w:rsidP="00ED4081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  <w:r w:rsidRPr="00377375">
        <w:rPr>
          <w:rFonts w:ascii="Times New Roman" w:hAnsi="Times New Roman" w:cs="Times New Roman"/>
          <w:b/>
          <w:szCs w:val="20"/>
        </w:rPr>
        <w:t>Methods</w:t>
      </w:r>
    </w:p>
    <w:p w14:paraId="7A07A569" w14:textId="77777777" w:rsidR="00FC25F1" w:rsidRPr="00377375" w:rsidRDefault="00FC25F1" w:rsidP="00ED4081">
      <w:pPr>
        <w:spacing w:after="0" w:line="48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261A39C" w14:textId="77777777" w:rsidR="004455EB" w:rsidRPr="00377375" w:rsidRDefault="001A5318" w:rsidP="00ED4081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77375">
        <w:rPr>
          <w:rFonts w:ascii="Times New Roman" w:hAnsi="Times New Roman" w:cs="Times New Roman"/>
          <w:b/>
        </w:rPr>
        <w:t>Study design</w:t>
      </w:r>
    </w:p>
    <w:p w14:paraId="46CE51E4" w14:textId="39955F8B" w:rsidR="004455EB" w:rsidRPr="00DB6545" w:rsidRDefault="004455EB" w:rsidP="00ED4081">
      <w:pPr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77375">
        <w:rPr>
          <w:rFonts w:ascii="Times New Roman" w:hAnsi="Times New Roman" w:cs="Times New Roman"/>
        </w:rPr>
        <w:tab/>
      </w:r>
      <w:r w:rsidR="001A5318" w:rsidRPr="00377375">
        <w:rPr>
          <w:rFonts w:ascii="Times New Roman" w:hAnsi="Times New Roman" w:cs="Times New Roman"/>
        </w:rPr>
        <w:t xml:space="preserve">This </w:t>
      </w:r>
      <w:r w:rsidR="00671640" w:rsidRPr="00377375">
        <w:rPr>
          <w:rFonts w:ascii="Times New Roman" w:hAnsi="Times New Roman" w:cs="Times New Roman"/>
        </w:rPr>
        <w:t>is</w:t>
      </w:r>
      <w:r w:rsidR="00BF7372" w:rsidRPr="00377375">
        <w:rPr>
          <w:rFonts w:ascii="Times New Roman" w:hAnsi="Times New Roman" w:cs="Times New Roman"/>
        </w:rPr>
        <w:t xml:space="preserve"> </w:t>
      </w:r>
      <w:r w:rsidR="001A5318" w:rsidRPr="00377375">
        <w:rPr>
          <w:rFonts w:ascii="Times New Roman" w:hAnsi="Times New Roman" w:cs="Times New Roman"/>
        </w:rPr>
        <w:t xml:space="preserve">a </w:t>
      </w:r>
      <w:r w:rsidR="00AA5F50" w:rsidRPr="00377375">
        <w:rPr>
          <w:rFonts w:ascii="Times New Roman" w:hAnsi="Times New Roman" w:cs="Times New Roman"/>
        </w:rPr>
        <w:t>multicenter,</w:t>
      </w:r>
      <w:r w:rsidR="001A5318" w:rsidRPr="00377375">
        <w:rPr>
          <w:rFonts w:ascii="Times New Roman" w:hAnsi="Times New Roman" w:cs="Times New Roman"/>
        </w:rPr>
        <w:t xml:space="preserve"> international, retrospective, observational study in which already existing and coded health-related data were further used</w:t>
      </w:r>
      <w:r w:rsidR="00CE3D00" w:rsidRPr="00377375">
        <w:rPr>
          <w:rFonts w:ascii="Times New Roman" w:hAnsi="Times New Roman" w:cs="Times New Roman"/>
        </w:rPr>
        <w:t xml:space="preserve"> (</w:t>
      </w:r>
      <w:r w:rsidR="00ED397B" w:rsidRPr="00377375">
        <w:rPr>
          <w:rFonts w:ascii="Times New Roman" w:hAnsi="Times New Roman" w:cs="Times New Roman"/>
          <w:szCs w:val="20"/>
        </w:rPr>
        <w:t xml:space="preserve">ClinicalTrials.gov number, </w:t>
      </w:r>
      <w:r w:rsidR="00CE3D00" w:rsidRPr="00377375">
        <w:rPr>
          <w:rFonts w:ascii="Times New Roman" w:hAnsi="Times New Roman" w:cs="Times New Roman"/>
        </w:rPr>
        <w:t>NCT03436524)</w:t>
      </w:r>
      <w:r w:rsidR="001A5318" w:rsidRPr="00377375">
        <w:rPr>
          <w:rFonts w:ascii="Times New Roman" w:hAnsi="Times New Roman" w:cs="Times New Roman"/>
        </w:rPr>
        <w:t>.</w:t>
      </w:r>
      <w:r w:rsidR="00CE3D00" w:rsidRPr="00377375">
        <w:rPr>
          <w:rFonts w:ascii="Times New Roman" w:hAnsi="Times New Roman" w:cs="Times New Roman"/>
        </w:rPr>
        <w:t xml:space="preserve"> </w:t>
      </w:r>
      <w:r w:rsidR="0068329E" w:rsidRPr="00377375">
        <w:rPr>
          <w:rFonts w:ascii="Times New Roman" w:hAnsi="Times New Roman" w:cs="Times New Roman"/>
        </w:rPr>
        <w:t>We</w:t>
      </w:r>
      <w:r w:rsidR="0068329E" w:rsidRPr="00377375">
        <w:rPr>
          <w:rFonts w:ascii="Times New Roman" w:hAnsi="Times New Roman" w:cs="Times New Roman"/>
          <w:color w:val="000000"/>
        </w:rPr>
        <w:t xml:space="preserve"> obtained the </w:t>
      </w:r>
      <w:r w:rsidR="003F6379" w:rsidRPr="00377375">
        <w:rPr>
          <w:rFonts w:ascii="Times New Roman" w:hAnsi="Times New Roman" w:cs="Times New Roman"/>
          <w:color w:val="000000"/>
        </w:rPr>
        <w:t xml:space="preserve">individual patient </w:t>
      </w:r>
      <w:r w:rsidR="0068329E" w:rsidRPr="00377375">
        <w:rPr>
          <w:rFonts w:ascii="Times New Roman" w:hAnsi="Times New Roman" w:cs="Times New Roman"/>
          <w:color w:val="000000"/>
        </w:rPr>
        <w:t>datasets f</w:t>
      </w:r>
      <w:r w:rsidR="00672417" w:rsidRPr="00377375">
        <w:rPr>
          <w:rFonts w:ascii="Times New Roman" w:hAnsi="Times New Roman" w:cs="Times New Roman"/>
          <w:color w:val="000000"/>
        </w:rPr>
        <w:t xml:space="preserve">rom </w:t>
      </w:r>
      <w:r w:rsidR="003C1276">
        <w:rPr>
          <w:rFonts w:ascii="Times New Roman" w:hAnsi="Times New Roman" w:cs="Times New Roman"/>
          <w:color w:val="000000"/>
        </w:rPr>
        <w:t>11</w:t>
      </w:r>
      <w:r w:rsidR="003C1276" w:rsidRPr="00377375">
        <w:rPr>
          <w:rFonts w:ascii="Times New Roman" w:hAnsi="Times New Roman" w:cs="Times New Roman"/>
          <w:color w:val="000000"/>
        </w:rPr>
        <w:t xml:space="preserve"> </w:t>
      </w:r>
      <w:r w:rsidR="0068329E" w:rsidRPr="00377375">
        <w:rPr>
          <w:rFonts w:ascii="Times New Roman" w:hAnsi="Times New Roman" w:cs="Times New Roman"/>
          <w:color w:val="000000"/>
        </w:rPr>
        <w:t>cohorts</w:t>
      </w:r>
      <w:r w:rsidR="005A1BB2" w:rsidRPr="00377375">
        <w:rPr>
          <w:rFonts w:ascii="Times New Roman" w:hAnsi="Times New Roman" w:cs="Times New Roman"/>
          <w:color w:val="000000"/>
        </w:rPr>
        <w:t xml:space="preserve">, including </w:t>
      </w:r>
      <w:r w:rsidR="00793E7C">
        <w:rPr>
          <w:rFonts w:ascii="Times New Roman" w:hAnsi="Times New Roman" w:cs="Times New Roman"/>
          <w:color w:val="000000"/>
        </w:rPr>
        <w:t>8</w:t>
      </w:r>
      <w:r w:rsidR="00197FB0" w:rsidRPr="00377375">
        <w:rPr>
          <w:rFonts w:ascii="Times New Roman" w:hAnsi="Times New Roman" w:cs="Times New Roman"/>
          <w:color w:val="000000"/>
        </w:rPr>
        <w:t xml:space="preserve"> </w:t>
      </w:r>
      <w:r w:rsidR="005A1BB2" w:rsidRPr="00377375">
        <w:rPr>
          <w:rFonts w:ascii="Times New Roman" w:hAnsi="Times New Roman" w:cs="Times New Roman"/>
          <w:color w:val="000000"/>
        </w:rPr>
        <w:t>series</w:t>
      </w:r>
      <w:r w:rsidR="00197FB0" w:rsidRPr="00377375">
        <w:rPr>
          <w:rFonts w:ascii="Times New Roman" w:hAnsi="Times New Roman" w:cs="Times New Roman"/>
          <w:color w:val="000000"/>
        </w:rPr>
        <w:t xml:space="preserve"> </w:t>
      </w:r>
      <w:r w:rsidR="0068329E" w:rsidRPr="00377375">
        <w:rPr>
          <w:rFonts w:ascii="Times New Roman" w:hAnsi="Times New Roman" w:cs="Times New Roman"/>
          <w:color w:val="000000"/>
        </w:rPr>
        <w:t xml:space="preserve">that were previously used to generate </w:t>
      </w:r>
      <w:r w:rsidR="00273D0E" w:rsidRPr="00377375">
        <w:rPr>
          <w:rFonts w:ascii="Times New Roman" w:hAnsi="Times New Roman" w:cs="Times New Roman"/>
          <w:color w:val="000000"/>
        </w:rPr>
        <w:t xml:space="preserve">or validate </w:t>
      </w:r>
      <w:r w:rsidR="0068329E" w:rsidRPr="00377375">
        <w:rPr>
          <w:rFonts w:ascii="Times New Roman" w:hAnsi="Times New Roman" w:cs="Times New Roman"/>
          <w:color w:val="000000"/>
        </w:rPr>
        <w:t>scoring systems in CLL</w:t>
      </w:r>
      <w:r w:rsidR="00CF7F1C" w:rsidRPr="00377375">
        <w:rPr>
          <w:rFonts w:ascii="Times New Roman" w:hAnsi="Times New Roman" w:cs="Times New Roman"/>
          <w:color w:val="000000"/>
        </w:rPr>
        <w:t xml:space="preserve"> (Table 1</w:t>
      </w:r>
      <w:r w:rsidR="009D3CFB" w:rsidRPr="00377375">
        <w:rPr>
          <w:rFonts w:ascii="Times New Roman" w:hAnsi="Times New Roman" w:cs="Times New Roman"/>
          <w:color w:val="000000"/>
        </w:rPr>
        <w:t xml:space="preserve"> and 2</w:t>
      </w:r>
      <w:r w:rsidR="00CF7F1C" w:rsidRPr="00377375">
        <w:rPr>
          <w:rFonts w:ascii="Times New Roman" w:hAnsi="Times New Roman" w:cs="Times New Roman"/>
          <w:color w:val="000000"/>
        </w:rPr>
        <w:t>)</w:t>
      </w:r>
      <w:r w:rsidR="0068329E" w:rsidRPr="00377375">
        <w:rPr>
          <w:rFonts w:ascii="Times New Roman" w:hAnsi="Times New Roman" w:cs="Times New Roman"/>
          <w:color w:val="000000"/>
        </w:rPr>
        <w:t>.</w:t>
      </w:r>
      <w:r w:rsidR="002F185F">
        <w:rPr>
          <w:rFonts w:ascii="Times New Roman" w:hAnsi="Times New Roman" w:cs="Times New Roman"/>
          <w:color w:val="000000"/>
          <w:vertAlign w:val="superscript"/>
        </w:rPr>
        <w:t>1</w:t>
      </w:r>
      <w:r w:rsidR="0029485A">
        <w:rPr>
          <w:rFonts w:ascii="Times New Roman" w:hAnsi="Times New Roman" w:cs="Times New Roman"/>
          <w:color w:val="000000"/>
          <w:vertAlign w:val="superscript"/>
        </w:rPr>
        <w:t>1</w:t>
      </w:r>
      <w:proofErr w:type="gramStart"/>
      <w:r w:rsidR="002F185F">
        <w:rPr>
          <w:rFonts w:ascii="Times New Roman" w:hAnsi="Times New Roman" w:cs="Times New Roman"/>
          <w:color w:val="000000"/>
          <w:vertAlign w:val="superscript"/>
        </w:rPr>
        <w:t>,</w:t>
      </w:r>
      <w:r w:rsidR="00E5317B">
        <w:rPr>
          <w:rFonts w:ascii="Times New Roman" w:hAnsi="Times New Roman" w:cs="Times New Roman"/>
          <w:color w:val="000000"/>
          <w:vertAlign w:val="superscript"/>
        </w:rPr>
        <w:t>1</w:t>
      </w:r>
      <w:r w:rsidR="008213D2">
        <w:rPr>
          <w:rFonts w:ascii="Times New Roman" w:hAnsi="Times New Roman" w:cs="Times New Roman"/>
          <w:color w:val="000000"/>
          <w:vertAlign w:val="superscript"/>
        </w:rPr>
        <w:t>6</w:t>
      </w:r>
      <w:proofErr w:type="gramEnd"/>
      <w:r w:rsidR="008213D2">
        <w:rPr>
          <w:rFonts w:ascii="Times New Roman" w:hAnsi="Times New Roman" w:cs="Times New Roman"/>
          <w:color w:val="000000"/>
          <w:vertAlign w:val="superscript"/>
        </w:rPr>
        <w:t>-21</w:t>
      </w:r>
      <w:r w:rsidR="0068329E" w:rsidRPr="00377375">
        <w:rPr>
          <w:rFonts w:ascii="Times New Roman" w:hAnsi="Times New Roman" w:cs="Times New Roman"/>
          <w:color w:val="000000"/>
        </w:rPr>
        <w:t xml:space="preserve"> </w:t>
      </w:r>
      <w:r w:rsidR="00D1592E">
        <w:rPr>
          <w:rFonts w:ascii="Times New Roman" w:hAnsi="Times New Roman" w:cs="Times New Roman"/>
          <w:color w:val="000000"/>
        </w:rPr>
        <w:t xml:space="preserve">Inclusion </w:t>
      </w:r>
      <w:r w:rsidR="0068329E" w:rsidRPr="00377375">
        <w:rPr>
          <w:rFonts w:ascii="Times New Roman" w:hAnsi="Times New Roman" w:cs="Times New Roman"/>
          <w:color w:val="000000"/>
        </w:rPr>
        <w:t>criteria were</w:t>
      </w:r>
      <w:r w:rsidR="007A4728" w:rsidRPr="0037737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7A4728" w:rsidRPr="00377375">
        <w:rPr>
          <w:rFonts w:ascii="Times New Roman" w:hAnsi="Times New Roman" w:cs="Times New Roman"/>
          <w:color w:val="000000"/>
        </w:rPr>
        <w:t>i</w:t>
      </w:r>
      <w:proofErr w:type="spellEnd"/>
      <w:r w:rsidR="007A4728" w:rsidRPr="00377375">
        <w:rPr>
          <w:rFonts w:ascii="Times New Roman" w:hAnsi="Times New Roman" w:cs="Times New Roman"/>
          <w:color w:val="000000"/>
        </w:rPr>
        <w:t>)</w:t>
      </w:r>
      <w:r w:rsidR="0068329E" w:rsidRPr="00377375">
        <w:rPr>
          <w:rFonts w:ascii="Times New Roman" w:hAnsi="Times New Roman" w:cs="Times New Roman"/>
          <w:color w:val="000000"/>
        </w:rPr>
        <w:t xml:space="preserve"> </w:t>
      </w:r>
      <w:r w:rsidR="00CA0111">
        <w:rPr>
          <w:rFonts w:ascii="Times New Roman" w:hAnsi="Times New Roman" w:cs="Times New Roman"/>
          <w:color w:val="000000"/>
        </w:rPr>
        <w:t xml:space="preserve">presentation </w:t>
      </w:r>
      <w:r w:rsidR="00D1592E">
        <w:rPr>
          <w:rFonts w:ascii="Times New Roman" w:hAnsi="Times New Roman" w:cs="Times New Roman"/>
          <w:color w:val="000000"/>
        </w:rPr>
        <w:t xml:space="preserve">after 1996 confirmed by </w:t>
      </w:r>
      <w:r w:rsidR="0068329E" w:rsidRPr="00377375">
        <w:rPr>
          <w:rFonts w:ascii="Times New Roman" w:hAnsi="Times New Roman" w:cs="Times New Roman"/>
          <w:color w:val="000000"/>
        </w:rPr>
        <w:t>flow cytometry</w:t>
      </w:r>
      <w:r w:rsidR="007A4728" w:rsidRPr="00377375">
        <w:rPr>
          <w:rFonts w:ascii="Times New Roman" w:hAnsi="Times New Roman" w:cs="Times New Roman"/>
          <w:color w:val="000000"/>
        </w:rPr>
        <w:t>;</w:t>
      </w:r>
      <w:r w:rsidR="007B25F0" w:rsidRPr="00377375">
        <w:rPr>
          <w:rFonts w:ascii="Times New Roman" w:hAnsi="Times New Roman" w:cs="Times New Roman"/>
          <w:color w:val="000000"/>
          <w:vertAlign w:val="superscript"/>
        </w:rPr>
        <w:t>3</w:t>
      </w:r>
      <w:r w:rsidR="000B2587" w:rsidRPr="00377375">
        <w:rPr>
          <w:rFonts w:ascii="Times New Roman" w:hAnsi="Times New Roman" w:cs="Times New Roman"/>
          <w:color w:val="000000"/>
          <w:vertAlign w:val="superscript"/>
        </w:rPr>
        <w:t>,4</w:t>
      </w:r>
      <w:r w:rsidR="007A4728" w:rsidRPr="00377375">
        <w:rPr>
          <w:rFonts w:ascii="Times New Roman" w:hAnsi="Times New Roman" w:cs="Times New Roman"/>
          <w:color w:val="000000"/>
        </w:rPr>
        <w:t xml:space="preserve"> ii)</w:t>
      </w:r>
      <w:r w:rsidR="0068329E" w:rsidRPr="0037737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8329E" w:rsidRPr="00377375">
        <w:rPr>
          <w:rFonts w:ascii="Times New Roman" w:hAnsi="Times New Roman" w:cs="Times New Roman"/>
          <w:color w:val="000000"/>
        </w:rPr>
        <w:t>Binet</w:t>
      </w:r>
      <w:proofErr w:type="spellEnd"/>
      <w:r w:rsidR="0068329E" w:rsidRPr="00377375">
        <w:rPr>
          <w:rFonts w:ascii="Times New Roman" w:hAnsi="Times New Roman" w:cs="Times New Roman"/>
          <w:color w:val="000000"/>
        </w:rPr>
        <w:t xml:space="preserve"> stage A at diagnosis as defined by blood cell</w:t>
      </w:r>
      <w:r w:rsidR="007A4728" w:rsidRPr="00377375">
        <w:rPr>
          <w:rFonts w:ascii="Times New Roman" w:hAnsi="Times New Roman" w:cs="Times New Roman"/>
          <w:color w:val="000000"/>
        </w:rPr>
        <w:t xml:space="preserve"> count and physical examination;</w:t>
      </w:r>
      <w:r w:rsidR="007B25F0" w:rsidRPr="00377375">
        <w:rPr>
          <w:rFonts w:ascii="Times New Roman" w:hAnsi="Times New Roman" w:cs="Times New Roman"/>
          <w:color w:val="000000"/>
          <w:vertAlign w:val="superscript"/>
        </w:rPr>
        <w:t>3</w:t>
      </w:r>
      <w:r w:rsidR="000B2587" w:rsidRPr="00377375">
        <w:rPr>
          <w:rFonts w:ascii="Times New Roman" w:hAnsi="Times New Roman" w:cs="Times New Roman"/>
          <w:color w:val="000000"/>
          <w:vertAlign w:val="superscript"/>
        </w:rPr>
        <w:t>,4</w:t>
      </w:r>
      <w:r w:rsidR="007A4728" w:rsidRPr="00377375">
        <w:rPr>
          <w:rFonts w:ascii="Times New Roman" w:hAnsi="Times New Roman" w:cs="Times New Roman"/>
          <w:color w:val="000000"/>
        </w:rPr>
        <w:t xml:space="preserve"> </w:t>
      </w:r>
      <w:r w:rsidR="00C61061">
        <w:rPr>
          <w:rFonts w:ascii="Times New Roman" w:hAnsi="Times New Roman" w:cs="Times New Roman"/>
          <w:color w:val="000000"/>
        </w:rPr>
        <w:t xml:space="preserve">and </w:t>
      </w:r>
      <w:r w:rsidR="007A4728" w:rsidRPr="00377375">
        <w:rPr>
          <w:rFonts w:ascii="Times New Roman" w:hAnsi="Times New Roman" w:cs="Times New Roman"/>
          <w:color w:val="000000"/>
        </w:rPr>
        <w:t>iii)</w:t>
      </w:r>
      <w:r w:rsidR="0068329E" w:rsidRPr="00377375">
        <w:rPr>
          <w:rFonts w:ascii="Times New Roman" w:hAnsi="Times New Roman" w:cs="Times New Roman"/>
          <w:color w:val="000000"/>
        </w:rPr>
        <w:t xml:space="preserve"> </w:t>
      </w:r>
      <w:r w:rsidR="00D428A0" w:rsidRPr="00377375">
        <w:rPr>
          <w:rFonts w:ascii="Times New Roman" w:hAnsi="Times New Roman" w:cs="Times New Roman"/>
          <w:szCs w:val="20"/>
        </w:rPr>
        <w:t xml:space="preserve">active surveillance </w:t>
      </w:r>
      <w:r w:rsidR="0068329E" w:rsidRPr="00377375">
        <w:rPr>
          <w:rFonts w:ascii="Times New Roman" w:hAnsi="Times New Roman" w:cs="Times New Roman"/>
          <w:color w:val="000000"/>
        </w:rPr>
        <w:t xml:space="preserve">as initial management, defined by no treatment requirement within the first 3 months after diagnosis. </w:t>
      </w:r>
      <w:r w:rsidR="005A7EBD" w:rsidRPr="00377375">
        <w:rPr>
          <w:rFonts w:ascii="Times New Roman" w:hAnsi="Times New Roman" w:cs="Times New Roman"/>
          <w:color w:val="000000"/>
        </w:rPr>
        <w:t xml:space="preserve">The REMARK criteria were followed throughout </w:t>
      </w:r>
      <w:r w:rsidR="00AA5F50" w:rsidRPr="00377375">
        <w:rPr>
          <w:rFonts w:ascii="Times New Roman" w:hAnsi="Times New Roman" w:cs="Times New Roman"/>
          <w:color w:val="000000"/>
        </w:rPr>
        <w:t>the</w:t>
      </w:r>
      <w:r w:rsidR="005A7EBD" w:rsidRPr="00377375">
        <w:rPr>
          <w:rFonts w:ascii="Times New Roman" w:hAnsi="Times New Roman" w:cs="Times New Roman"/>
          <w:color w:val="000000"/>
        </w:rPr>
        <w:t xml:space="preserve"> study.</w:t>
      </w:r>
      <w:r w:rsidR="002F185F">
        <w:rPr>
          <w:rFonts w:ascii="Times New Roman" w:hAnsi="Times New Roman" w:cs="Times New Roman"/>
          <w:color w:val="000000"/>
          <w:vertAlign w:val="superscript"/>
        </w:rPr>
        <w:t>2</w:t>
      </w:r>
      <w:r w:rsidR="007D378B">
        <w:rPr>
          <w:rFonts w:ascii="Times New Roman" w:hAnsi="Times New Roman" w:cs="Times New Roman"/>
          <w:color w:val="000000"/>
          <w:vertAlign w:val="superscript"/>
        </w:rPr>
        <w:t>2</w:t>
      </w:r>
      <w:r w:rsidR="005A7EBD" w:rsidRPr="00377375">
        <w:rPr>
          <w:rFonts w:ascii="Times New Roman" w:hAnsi="Times New Roman" w:cs="Times New Roman"/>
          <w:color w:val="000000"/>
        </w:rPr>
        <w:t xml:space="preserve"> Patients provided informed consent in accordance with local IRB requirements and Declaration of Helsinki. The </w:t>
      </w:r>
      <w:r w:rsidR="004948EA" w:rsidRPr="00377375">
        <w:rPr>
          <w:rFonts w:ascii="Times New Roman" w:hAnsi="Times New Roman" w:cs="Times New Roman"/>
          <w:color w:val="000000"/>
        </w:rPr>
        <w:t>ethics committee approved the study</w:t>
      </w:r>
      <w:r w:rsidR="00AA5F50" w:rsidRPr="00377375">
        <w:rPr>
          <w:rFonts w:ascii="Times New Roman" w:hAnsi="Times New Roman" w:cs="Times New Roman"/>
          <w:color w:val="000000"/>
        </w:rPr>
        <w:t xml:space="preserve"> (BASEC 2018-00341)</w:t>
      </w:r>
      <w:r w:rsidR="009821AD" w:rsidRPr="00377375">
        <w:rPr>
          <w:rFonts w:ascii="Times New Roman" w:hAnsi="Times New Roman" w:cs="Times New Roman"/>
          <w:color w:val="000000"/>
        </w:rPr>
        <w:t>.</w:t>
      </w:r>
      <w:r w:rsidR="005E1A90" w:rsidRPr="00377375">
        <w:rPr>
          <w:rFonts w:ascii="Times New Roman" w:hAnsi="Times New Roman" w:cs="Times New Roman"/>
          <w:color w:val="000000"/>
        </w:rPr>
        <w:t xml:space="preserve"> </w:t>
      </w:r>
      <w:r w:rsidR="00793E7C">
        <w:rPr>
          <w:rFonts w:ascii="Times New Roman" w:hAnsi="Times New Roman" w:cs="Times New Roman"/>
          <w:color w:val="000000"/>
        </w:rPr>
        <w:t xml:space="preserve">Early stage CLL was defined according to the </w:t>
      </w:r>
      <w:proofErr w:type="spellStart"/>
      <w:r w:rsidR="00793E7C">
        <w:rPr>
          <w:rFonts w:ascii="Times New Roman" w:hAnsi="Times New Roman" w:cs="Times New Roman"/>
          <w:color w:val="000000"/>
        </w:rPr>
        <w:t>Binet</w:t>
      </w:r>
      <w:proofErr w:type="spellEnd"/>
      <w:r w:rsidR="00793E7C">
        <w:rPr>
          <w:rFonts w:ascii="Times New Roman" w:hAnsi="Times New Roman" w:cs="Times New Roman"/>
          <w:color w:val="000000"/>
        </w:rPr>
        <w:t xml:space="preserve"> system in 10 out of 11 cohorts. </w:t>
      </w:r>
      <w:r w:rsidR="00565C74" w:rsidRPr="00377375">
        <w:rPr>
          <w:rFonts w:ascii="Times New Roman" w:hAnsi="Times New Roman" w:cs="Times New Roman"/>
          <w:color w:val="000000"/>
        </w:rPr>
        <w:t xml:space="preserve">Data of </w:t>
      </w:r>
      <w:r w:rsidR="003F6379" w:rsidRPr="00377375">
        <w:rPr>
          <w:rFonts w:ascii="Times New Roman" w:hAnsi="Times New Roman" w:cs="Times New Roman"/>
          <w:color w:val="000000"/>
        </w:rPr>
        <w:t xml:space="preserve">individual </w:t>
      </w:r>
      <w:r w:rsidR="00565C74" w:rsidRPr="00377375">
        <w:rPr>
          <w:rFonts w:ascii="Times New Roman" w:hAnsi="Times New Roman" w:cs="Times New Roman"/>
          <w:color w:val="000000"/>
        </w:rPr>
        <w:t>patients</w:t>
      </w:r>
      <w:r w:rsidR="00D1592E">
        <w:rPr>
          <w:rFonts w:ascii="Times New Roman" w:hAnsi="Times New Roman" w:cs="Times New Roman"/>
          <w:color w:val="000000"/>
        </w:rPr>
        <w:t xml:space="preserve"> with early (</w:t>
      </w:r>
      <w:proofErr w:type="spellStart"/>
      <w:r w:rsidR="00D1592E">
        <w:rPr>
          <w:rFonts w:ascii="Times New Roman" w:hAnsi="Times New Roman" w:cs="Times New Roman"/>
          <w:color w:val="000000"/>
        </w:rPr>
        <w:t>Binet</w:t>
      </w:r>
      <w:proofErr w:type="spellEnd"/>
      <w:r w:rsidR="00D1592E">
        <w:rPr>
          <w:rFonts w:ascii="Times New Roman" w:hAnsi="Times New Roman" w:cs="Times New Roman"/>
          <w:color w:val="000000"/>
        </w:rPr>
        <w:t xml:space="preserve"> stage A) disease</w:t>
      </w:r>
      <w:r w:rsidR="00565C74" w:rsidRPr="00377375">
        <w:rPr>
          <w:rFonts w:ascii="Times New Roman" w:hAnsi="Times New Roman" w:cs="Times New Roman"/>
          <w:color w:val="000000"/>
        </w:rPr>
        <w:t xml:space="preserve"> managed with </w:t>
      </w:r>
      <w:r w:rsidR="00565C74" w:rsidRPr="00377375">
        <w:rPr>
          <w:rFonts w:ascii="Times New Roman" w:hAnsi="Times New Roman" w:cs="Times New Roman"/>
          <w:szCs w:val="20"/>
        </w:rPr>
        <w:t xml:space="preserve">active surveillance </w:t>
      </w:r>
      <w:r w:rsidR="00565C74" w:rsidRPr="00377375">
        <w:rPr>
          <w:rFonts w:ascii="Times New Roman" w:hAnsi="Times New Roman" w:cs="Times New Roman"/>
          <w:color w:val="000000"/>
        </w:rPr>
        <w:t>policy were collected from the CLL1 (</w:t>
      </w:r>
      <w:r w:rsidR="00ED397B" w:rsidRPr="00377375">
        <w:rPr>
          <w:rFonts w:ascii="Times New Roman" w:hAnsi="Times New Roman" w:cs="Times New Roman"/>
          <w:szCs w:val="20"/>
        </w:rPr>
        <w:t xml:space="preserve">ClinicalTrials.gov number, </w:t>
      </w:r>
      <w:r w:rsidR="00565C74" w:rsidRPr="00377375">
        <w:rPr>
          <w:rFonts w:ascii="Times New Roman" w:hAnsi="Times New Roman" w:cs="Times New Roman"/>
          <w:color w:val="000000"/>
        </w:rPr>
        <w:t>NCT00262782) (N=547) and CLL7 (</w:t>
      </w:r>
      <w:r w:rsidR="00ED397B" w:rsidRPr="00377375">
        <w:rPr>
          <w:rFonts w:ascii="Times New Roman" w:hAnsi="Times New Roman" w:cs="Times New Roman"/>
          <w:szCs w:val="20"/>
        </w:rPr>
        <w:t xml:space="preserve">ClinicalTrials.gov number, </w:t>
      </w:r>
      <w:r w:rsidR="00565C74" w:rsidRPr="00377375">
        <w:rPr>
          <w:rFonts w:ascii="Times New Roman" w:hAnsi="Times New Roman" w:cs="Times New Roman"/>
          <w:color w:val="000000"/>
        </w:rPr>
        <w:t>NCT00275054</w:t>
      </w:r>
      <w:r w:rsidR="001A7574" w:rsidRPr="00377375">
        <w:rPr>
          <w:rFonts w:ascii="Times New Roman" w:hAnsi="Times New Roman" w:cs="Times New Roman"/>
          <w:color w:val="000000"/>
        </w:rPr>
        <w:t>) (N=339)</w:t>
      </w:r>
      <w:r w:rsidR="00565C74" w:rsidRPr="00377375">
        <w:rPr>
          <w:rFonts w:ascii="Times New Roman" w:hAnsi="Times New Roman" w:cs="Times New Roman"/>
          <w:color w:val="000000"/>
        </w:rPr>
        <w:t xml:space="preserve"> trials of the German CLL Study Group</w:t>
      </w:r>
      <w:r w:rsidR="001A7574" w:rsidRPr="00377375">
        <w:rPr>
          <w:rFonts w:ascii="Times New Roman" w:hAnsi="Times New Roman" w:cs="Times New Roman"/>
          <w:color w:val="000000"/>
        </w:rPr>
        <w:t>,</w:t>
      </w:r>
      <w:r w:rsidR="00D93FB3">
        <w:rPr>
          <w:rFonts w:ascii="Times New Roman" w:hAnsi="Times New Roman" w:cs="Times New Roman"/>
          <w:color w:val="000000"/>
          <w:vertAlign w:val="superscript"/>
        </w:rPr>
        <w:t>11,20</w:t>
      </w:r>
      <w:r w:rsidR="00D93FB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65C74" w:rsidRPr="00377375">
        <w:rPr>
          <w:rFonts w:ascii="Times New Roman" w:hAnsi="Times New Roman" w:cs="Times New Roman"/>
          <w:color w:val="000000"/>
        </w:rPr>
        <w:t>and the O-CLL1</w:t>
      </w:r>
      <w:r w:rsidR="00C30D72">
        <w:rPr>
          <w:rFonts w:ascii="Times New Roman" w:hAnsi="Times New Roman" w:cs="Times New Roman"/>
          <w:color w:val="000000"/>
        </w:rPr>
        <w:t xml:space="preserve"> GISL</w:t>
      </w:r>
      <w:r w:rsidR="00565C74" w:rsidRPr="00377375">
        <w:rPr>
          <w:rFonts w:ascii="Times New Roman" w:hAnsi="Times New Roman" w:cs="Times New Roman"/>
          <w:color w:val="000000"/>
        </w:rPr>
        <w:t xml:space="preserve"> trial (</w:t>
      </w:r>
      <w:r w:rsidR="00ED397B" w:rsidRPr="00377375">
        <w:rPr>
          <w:rFonts w:ascii="Times New Roman" w:hAnsi="Times New Roman" w:cs="Times New Roman"/>
          <w:szCs w:val="20"/>
        </w:rPr>
        <w:t xml:space="preserve">ClinicalTrials.gov number, </w:t>
      </w:r>
      <w:r w:rsidR="00565C74" w:rsidRPr="00377375">
        <w:rPr>
          <w:rFonts w:ascii="Times New Roman" w:hAnsi="Times New Roman" w:cs="Times New Roman"/>
          <w:color w:val="000000"/>
        </w:rPr>
        <w:t>NCT00917540) (N=312)</w:t>
      </w:r>
      <w:r w:rsidR="00AB2C58">
        <w:rPr>
          <w:rFonts w:ascii="Times New Roman" w:hAnsi="Times New Roman" w:cs="Times New Roman"/>
          <w:color w:val="000000"/>
        </w:rPr>
        <w:t>.</w:t>
      </w:r>
      <w:r w:rsidR="00294971">
        <w:rPr>
          <w:rFonts w:ascii="Times New Roman" w:hAnsi="Times New Roman" w:cs="Times New Roman"/>
          <w:color w:val="000000"/>
          <w:vertAlign w:val="superscript"/>
        </w:rPr>
        <w:t>1</w:t>
      </w:r>
      <w:r w:rsidR="007D378B">
        <w:rPr>
          <w:rFonts w:ascii="Times New Roman" w:hAnsi="Times New Roman" w:cs="Times New Roman"/>
          <w:color w:val="000000"/>
          <w:vertAlign w:val="superscript"/>
        </w:rPr>
        <w:t>7,21</w:t>
      </w:r>
      <w:r w:rsidR="00565C74" w:rsidRPr="00377375">
        <w:rPr>
          <w:rFonts w:ascii="Times New Roman" w:hAnsi="Times New Roman" w:cs="Times New Roman"/>
          <w:color w:val="000000"/>
        </w:rPr>
        <w:t xml:space="preserve"> </w:t>
      </w:r>
      <w:r w:rsidR="00606F92" w:rsidRPr="00377375">
        <w:rPr>
          <w:rFonts w:ascii="Times New Roman" w:hAnsi="Times New Roman" w:cs="Times New Roman"/>
          <w:color w:val="000000"/>
        </w:rPr>
        <w:t xml:space="preserve">The </w:t>
      </w:r>
      <w:r w:rsidR="00A9614B" w:rsidRPr="00377375">
        <w:rPr>
          <w:rFonts w:ascii="Times New Roman" w:hAnsi="Times New Roman" w:cs="Times New Roman"/>
          <w:color w:val="000000"/>
        </w:rPr>
        <w:t>M.D. Anderson Cancer Center (MDACC) (N=1225)</w:t>
      </w:r>
      <w:r w:rsidR="001A7574" w:rsidRPr="00377375">
        <w:rPr>
          <w:rFonts w:ascii="Times New Roman" w:hAnsi="Times New Roman" w:cs="Times New Roman"/>
          <w:color w:val="000000"/>
        </w:rPr>
        <w:t>,</w:t>
      </w:r>
      <w:r w:rsidR="00FE12FB">
        <w:rPr>
          <w:rFonts w:ascii="Times New Roman" w:hAnsi="Times New Roman" w:cs="Times New Roman"/>
          <w:color w:val="000000"/>
          <w:vertAlign w:val="superscript"/>
        </w:rPr>
        <w:t>1</w:t>
      </w:r>
      <w:r w:rsidR="007D378B">
        <w:rPr>
          <w:rFonts w:ascii="Times New Roman" w:hAnsi="Times New Roman" w:cs="Times New Roman"/>
          <w:color w:val="000000"/>
          <w:vertAlign w:val="superscript"/>
        </w:rPr>
        <w:t>6</w:t>
      </w:r>
      <w:r w:rsidR="00A9614B" w:rsidRPr="00377375">
        <w:rPr>
          <w:rFonts w:ascii="Times New Roman" w:hAnsi="Times New Roman" w:cs="Times New Roman"/>
          <w:color w:val="000000"/>
        </w:rPr>
        <w:t xml:space="preserve"> the </w:t>
      </w:r>
      <w:r w:rsidR="00606F92" w:rsidRPr="00377375">
        <w:rPr>
          <w:rFonts w:ascii="Times New Roman" w:hAnsi="Times New Roman" w:cs="Times New Roman"/>
          <w:color w:val="000000"/>
        </w:rPr>
        <w:t>University of Eastern Piedmont (UE</w:t>
      </w:r>
      <w:r w:rsidR="005504DA" w:rsidRPr="00377375">
        <w:rPr>
          <w:rFonts w:ascii="Times New Roman" w:hAnsi="Times New Roman" w:cs="Times New Roman"/>
          <w:color w:val="000000"/>
        </w:rPr>
        <w:t>P) (</w:t>
      </w:r>
      <w:r w:rsidR="00DE5086" w:rsidRPr="00377375">
        <w:rPr>
          <w:rFonts w:ascii="Times New Roman" w:hAnsi="Times New Roman" w:cs="Times New Roman"/>
          <w:color w:val="000000"/>
        </w:rPr>
        <w:t>N=3</w:t>
      </w:r>
      <w:r w:rsidR="009A0400" w:rsidRPr="00377375">
        <w:rPr>
          <w:rFonts w:ascii="Times New Roman" w:hAnsi="Times New Roman" w:cs="Times New Roman"/>
          <w:color w:val="000000"/>
        </w:rPr>
        <w:t>33</w:t>
      </w:r>
      <w:r w:rsidR="005504DA" w:rsidRPr="00377375">
        <w:rPr>
          <w:rFonts w:ascii="Times New Roman" w:hAnsi="Times New Roman" w:cs="Times New Roman"/>
          <w:color w:val="000000"/>
        </w:rPr>
        <w:t>)</w:t>
      </w:r>
      <w:r w:rsidR="00532848" w:rsidRPr="00377375">
        <w:rPr>
          <w:rFonts w:ascii="Times New Roman" w:hAnsi="Times New Roman" w:cs="Times New Roman"/>
          <w:color w:val="000000"/>
        </w:rPr>
        <w:t>,</w:t>
      </w:r>
      <w:r w:rsidR="00FE12FB">
        <w:rPr>
          <w:rFonts w:ascii="Times New Roman" w:hAnsi="Times New Roman" w:cs="Times New Roman"/>
          <w:color w:val="000000"/>
          <w:vertAlign w:val="superscript"/>
        </w:rPr>
        <w:t>1</w:t>
      </w:r>
      <w:r w:rsidR="007D378B">
        <w:rPr>
          <w:rFonts w:ascii="Times New Roman" w:hAnsi="Times New Roman" w:cs="Times New Roman"/>
          <w:color w:val="000000"/>
          <w:vertAlign w:val="superscript"/>
        </w:rPr>
        <w:t>9</w:t>
      </w:r>
      <w:r w:rsidR="00606F92" w:rsidRPr="00377375">
        <w:rPr>
          <w:rFonts w:ascii="Times New Roman" w:hAnsi="Times New Roman" w:cs="Times New Roman"/>
          <w:color w:val="000000"/>
        </w:rPr>
        <w:t xml:space="preserve"> the Barcelo</w:t>
      </w:r>
      <w:r w:rsidR="007D6DDF" w:rsidRPr="00377375">
        <w:rPr>
          <w:rFonts w:ascii="Times New Roman" w:hAnsi="Times New Roman" w:cs="Times New Roman"/>
          <w:color w:val="000000"/>
        </w:rPr>
        <w:t>na (N=3</w:t>
      </w:r>
      <w:r w:rsidR="001A2D57" w:rsidRPr="00377375">
        <w:rPr>
          <w:rFonts w:ascii="Times New Roman" w:hAnsi="Times New Roman" w:cs="Times New Roman"/>
          <w:color w:val="000000"/>
        </w:rPr>
        <w:t>55</w:t>
      </w:r>
      <w:r w:rsidR="00606F92" w:rsidRPr="00377375">
        <w:rPr>
          <w:rFonts w:ascii="Times New Roman" w:hAnsi="Times New Roman" w:cs="Times New Roman"/>
          <w:color w:val="000000"/>
        </w:rPr>
        <w:t>)</w:t>
      </w:r>
      <w:r w:rsidR="00532848" w:rsidRPr="00377375">
        <w:rPr>
          <w:rFonts w:ascii="Times New Roman" w:hAnsi="Times New Roman" w:cs="Times New Roman"/>
          <w:color w:val="000000"/>
        </w:rPr>
        <w:t>,</w:t>
      </w:r>
      <w:r w:rsidR="007D378B">
        <w:rPr>
          <w:rFonts w:ascii="Times New Roman" w:hAnsi="Times New Roman" w:cs="Times New Roman"/>
          <w:color w:val="000000"/>
          <w:vertAlign w:val="superscript"/>
        </w:rPr>
        <w:t>21</w:t>
      </w:r>
      <w:r w:rsidR="00606F92" w:rsidRPr="00377375">
        <w:rPr>
          <w:rFonts w:ascii="Times New Roman" w:hAnsi="Times New Roman" w:cs="Times New Roman"/>
          <w:color w:val="000000"/>
        </w:rPr>
        <w:t xml:space="preserve"> </w:t>
      </w:r>
      <w:r w:rsidR="00952898" w:rsidRPr="00377375">
        <w:rPr>
          <w:rFonts w:ascii="Times New Roman" w:hAnsi="Times New Roman" w:cs="Times New Roman"/>
          <w:color w:val="000000"/>
        </w:rPr>
        <w:t xml:space="preserve">the Brno </w:t>
      </w:r>
      <w:r w:rsidR="00315AB0" w:rsidRPr="00377375">
        <w:rPr>
          <w:rFonts w:ascii="Times New Roman" w:hAnsi="Times New Roman" w:cs="Times New Roman"/>
          <w:color w:val="000000"/>
        </w:rPr>
        <w:t xml:space="preserve">University Hospital </w:t>
      </w:r>
      <w:r w:rsidR="009A0449" w:rsidRPr="00377375">
        <w:rPr>
          <w:rFonts w:ascii="Times New Roman" w:hAnsi="Times New Roman" w:cs="Times New Roman"/>
          <w:color w:val="000000"/>
        </w:rPr>
        <w:t xml:space="preserve">(Brno) </w:t>
      </w:r>
      <w:r w:rsidR="00952898" w:rsidRPr="00377375">
        <w:rPr>
          <w:rFonts w:ascii="Times New Roman" w:hAnsi="Times New Roman" w:cs="Times New Roman"/>
          <w:color w:val="000000"/>
        </w:rPr>
        <w:t>(N=</w:t>
      </w:r>
      <w:r w:rsidR="00B26539" w:rsidRPr="00377375">
        <w:rPr>
          <w:rFonts w:ascii="Times New Roman" w:hAnsi="Times New Roman" w:cs="Times New Roman"/>
          <w:color w:val="000000"/>
        </w:rPr>
        <w:t>26</w:t>
      </w:r>
      <w:r w:rsidR="001A2D57" w:rsidRPr="00377375">
        <w:rPr>
          <w:rFonts w:ascii="Times New Roman" w:hAnsi="Times New Roman" w:cs="Times New Roman"/>
          <w:color w:val="000000"/>
        </w:rPr>
        <w:t>9</w:t>
      </w:r>
      <w:r w:rsidR="00606F92" w:rsidRPr="00377375">
        <w:rPr>
          <w:rFonts w:ascii="Times New Roman" w:hAnsi="Times New Roman" w:cs="Times New Roman"/>
          <w:color w:val="000000"/>
        </w:rPr>
        <w:t>)</w:t>
      </w:r>
      <w:r w:rsidR="00532848" w:rsidRPr="00377375">
        <w:rPr>
          <w:rFonts w:ascii="Times New Roman" w:hAnsi="Times New Roman" w:cs="Times New Roman"/>
          <w:color w:val="000000"/>
        </w:rPr>
        <w:t>,</w:t>
      </w:r>
      <w:r w:rsidR="007D378B">
        <w:rPr>
          <w:rFonts w:ascii="Times New Roman" w:hAnsi="Times New Roman" w:cs="Times New Roman"/>
          <w:color w:val="000000"/>
          <w:vertAlign w:val="superscript"/>
        </w:rPr>
        <w:t>21</w:t>
      </w:r>
      <w:r w:rsidR="005A1BB2" w:rsidRPr="00377375">
        <w:rPr>
          <w:rFonts w:ascii="Times New Roman" w:hAnsi="Times New Roman" w:cs="Times New Roman"/>
          <w:color w:val="000000"/>
        </w:rPr>
        <w:t xml:space="preserve"> </w:t>
      </w:r>
      <w:r w:rsidR="001A2D57" w:rsidRPr="00377375">
        <w:rPr>
          <w:rFonts w:ascii="Times New Roman" w:hAnsi="Times New Roman" w:cs="Times New Roman"/>
          <w:color w:val="000000"/>
        </w:rPr>
        <w:lastRenderedPageBreak/>
        <w:t>the Southampton (N=</w:t>
      </w:r>
      <w:r w:rsidR="009A0400" w:rsidRPr="00377375">
        <w:rPr>
          <w:rFonts w:ascii="Times New Roman" w:hAnsi="Times New Roman" w:cs="Times New Roman"/>
          <w:color w:val="000000"/>
        </w:rPr>
        <w:t>226</w:t>
      </w:r>
      <w:r w:rsidR="001A2D57" w:rsidRPr="00377375">
        <w:rPr>
          <w:rFonts w:ascii="Times New Roman" w:hAnsi="Times New Roman" w:cs="Times New Roman"/>
          <w:color w:val="000000"/>
        </w:rPr>
        <w:t>)</w:t>
      </w:r>
      <w:r w:rsidR="00975322" w:rsidRPr="00377375">
        <w:rPr>
          <w:rFonts w:ascii="Times New Roman" w:hAnsi="Times New Roman" w:cs="Times New Roman"/>
          <w:color w:val="000000"/>
        </w:rPr>
        <w:t>, and</w:t>
      </w:r>
      <w:r w:rsidR="00606F92" w:rsidRPr="00377375">
        <w:rPr>
          <w:rFonts w:ascii="Times New Roman" w:hAnsi="Times New Roman" w:cs="Times New Roman"/>
          <w:color w:val="000000"/>
        </w:rPr>
        <w:t xml:space="preserve"> </w:t>
      </w:r>
      <w:r w:rsidR="00975322" w:rsidRPr="00377375">
        <w:rPr>
          <w:rFonts w:ascii="Times New Roman" w:hAnsi="Times New Roman" w:cs="Times New Roman"/>
          <w:color w:val="000000"/>
        </w:rPr>
        <w:t xml:space="preserve">the Sapienza University (SU) (N=223) </w:t>
      </w:r>
      <w:r w:rsidR="00606F92" w:rsidRPr="00377375">
        <w:rPr>
          <w:rFonts w:ascii="Times New Roman" w:hAnsi="Times New Roman" w:cs="Times New Roman"/>
          <w:color w:val="000000"/>
        </w:rPr>
        <w:t xml:space="preserve">cohorts </w:t>
      </w:r>
      <w:r w:rsidR="00CD7C85" w:rsidRPr="00377375">
        <w:rPr>
          <w:rFonts w:ascii="Times New Roman" w:hAnsi="Times New Roman" w:cs="Times New Roman"/>
          <w:color w:val="000000"/>
        </w:rPr>
        <w:t xml:space="preserve">are </w:t>
      </w:r>
      <w:r w:rsidR="001A5318" w:rsidRPr="00377375">
        <w:rPr>
          <w:rFonts w:ascii="Times New Roman" w:hAnsi="Times New Roman" w:cs="Times New Roman"/>
          <w:color w:val="000000"/>
        </w:rPr>
        <w:t xml:space="preserve">institutional </w:t>
      </w:r>
      <w:r w:rsidR="0021321F" w:rsidRPr="00377375">
        <w:rPr>
          <w:rFonts w:ascii="Times New Roman" w:hAnsi="Times New Roman" w:cs="Times New Roman"/>
          <w:color w:val="000000"/>
        </w:rPr>
        <w:t xml:space="preserve">consecutive </w:t>
      </w:r>
      <w:r w:rsidR="00606F92" w:rsidRPr="00377375">
        <w:rPr>
          <w:rFonts w:ascii="Times New Roman" w:hAnsi="Times New Roman" w:cs="Times New Roman"/>
          <w:color w:val="000000"/>
        </w:rPr>
        <w:t xml:space="preserve">series of newly </w:t>
      </w:r>
      <w:r w:rsidR="00AC1F9B">
        <w:rPr>
          <w:rFonts w:ascii="Times New Roman" w:hAnsi="Times New Roman" w:cs="Times New Roman"/>
          <w:color w:val="000000"/>
        </w:rPr>
        <w:t>presented</w:t>
      </w:r>
      <w:r w:rsidR="00606F92" w:rsidRPr="00377375">
        <w:rPr>
          <w:rFonts w:ascii="Times New Roman" w:hAnsi="Times New Roman" w:cs="Times New Roman"/>
          <w:color w:val="000000"/>
        </w:rPr>
        <w:t xml:space="preserve"> and prospectively observed patients</w:t>
      </w:r>
      <w:r w:rsidR="00D1592E">
        <w:rPr>
          <w:rFonts w:ascii="Times New Roman" w:hAnsi="Times New Roman" w:cs="Times New Roman"/>
          <w:color w:val="000000"/>
        </w:rPr>
        <w:t xml:space="preserve"> with early (</w:t>
      </w:r>
      <w:proofErr w:type="spellStart"/>
      <w:r w:rsidR="00D1592E">
        <w:rPr>
          <w:rFonts w:ascii="Times New Roman" w:hAnsi="Times New Roman" w:cs="Times New Roman"/>
          <w:color w:val="000000"/>
        </w:rPr>
        <w:t>Binet</w:t>
      </w:r>
      <w:proofErr w:type="spellEnd"/>
      <w:r w:rsidR="00D1592E">
        <w:rPr>
          <w:rFonts w:ascii="Times New Roman" w:hAnsi="Times New Roman" w:cs="Times New Roman"/>
          <w:color w:val="000000"/>
        </w:rPr>
        <w:t xml:space="preserve"> </w:t>
      </w:r>
      <w:r w:rsidR="00793E7C">
        <w:rPr>
          <w:rFonts w:ascii="Times New Roman" w:hAnsi="Times New Roman" w:cs="Times New Roman"/>
          <w:color w:val="000000"/>
        </w:rPr>
        <w:t xml:space="preserve">stage </w:t>
      </w:r>
      <w:r w:rsidR="00D1592E">
        <w:rPr>
          <w:rFonts w:ascii="Times New Roman" w:hAnsi="Times New Roman" w:cs="Times New Roman"/>
          <w:color w:val="000000"/>
        </w:rPr>
        <w:t>A) disease</w:t>
      </w:r>
      <w:r w:rsidR="00606F92" w:rsidRPr="00377375">
        <w:rPr>
          <w:rFonts w:ascii="Times New Roman" w:hAnsi="Times New Roman" w:cs="Times New Roman"/>
          <w:color w:val="000000"/>
        </w:rPr>
        <w:t>.</w:t>
      </w:r>
      <w:r w:rsidR="00DB654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E7C">
        <w:rPr>
          <w:rFonts w:ascii="Times New Roman" w:hAnsi="Times New Roman" w:cs="Times New Roman"/>
          <w:color w:val="000000"/>
        </w:rPr>
        <w:t>Binet</w:t>
      </w:r>
      <w:proofErr w:type="spellEnd"/>
      <w:r w:rsidR="00793E7C">
        <w:rPr>
          <w:rFonts w:ascii="Times New Roman" w:hAnsi="Times New Roman" w:cs="Times New Roman"/>
          <w:color w:val="000000"/>
        </w:rPr>
        <w:t xml:space="preserve"> stage A p</w:t>
      </w:r>
      <w:r w:rsidR="00606F92" w:rsidRPr="00377375">
        <w:rPr>
          <w:rFonts w:ascii="Times New Roman" w:hAnsi="Times New Roman" w:cs="Times New Roman"/>
          <w:color w:val="000000"/>
        </w:rPr>
        <w:t>atie</w:t>
      </w:r>
      <w:r w:rsidR="00AB3D57" w:rsidRPr="00377375">
        <w:rPr>
          <w:rFonts w:ascii="Times New Roman" w:hAnsi="Times New Roman" w:cs="Times New Roman"/>
          <w:color w:val="000000"/>
        </w:rPr>
        <w:t>nt</w:t>
      </w:r>
      <w:r w:rsidR="00D1592E">
        <w:rPr>
          <w:rFonts w:ascii="Times New Roman" w:hAnsi="Times New Roman" w:cs="Times New Roman"/>
          <w:color w:val="000000"/>
        </w:rPr>
        <w:t>s’</w:t>
      </w:r>
      <w:r w:rsidR="00AB3D57" w:rsidRPr="00377375">
        <w:rPr>
          <w:rFonts w:ascii="Times New Roman" w:hAnsi="Times New Roman" w:cs="Times New Roman"/>
          <w:color w:val="000000"/>
        </w:rPr>
        <w:t xml:space="preserve"> data of the SCAN cohort (N=</w:t>
      </w:r>
      <w:r w:rsidR="001A2D57" w:rsidRPr="00377375">
        <w:rPr>
          <w:rFonts w:ascii="Times New Roman" w:hAnsi="Times New Roman" w:cs="Times New Roman"/>
          <w:color w:val="000000"/>
        </w:rPr>
        <w:t>22</w:t>
      </w:r>
      <w:r w:rsidR="009A0400" w:rsidRPr="00377375">
        <w:rPr>
          <w:rFonts w:ascii="Times New Roman" w:hAnsi="Times New Roman" w:cs="Times New Roman"/>
          <w:color w:val="000000"/>
        </w:rPr>
        <w:t>3</w:t>
      </w:r>
      <w:r w:rsidR="00606F92" w:rsidRPr="00377375">
        <w:rPr>
          <w:rFonts w:ascii="Times New Roman" w:hAnsi="Times New Roman" w:cs="Times New Roman"/>
          <w:color w:val="000000"/>
        </w:rPr>
        <w:t>) were collected from the SCALE Scandinavian population based case-control study.</w:t>
      </w:r>
      <w:r w:rsidR="00534494" w:rsidRPr="00377375">
        <w:rPr>
          <w:rFonts w:ascii="Times New Roman" w:hAnsi="Times New Roman" w:cs="Times New Roman"/>
          <w:color w:val="000000"/>
          <w:vertAlign w:val="superscript"/>
        </w:rPr>
        <w:t>1</w:t>
      </w:r>
      <w:r w:rsidR="007D378B">
        <w:rPr>
          <w:rFonts w:ascii="Times New Roman" w:hAnsi="Times New Roman" w:cs="Times New Roman"/>
          <w:color w:val="000000"/>
          <w:vertAlign w:val="superscript"/>
        </w:rPr>
        <w:t>8</w:t>
      </w:r>
      <w:r w:rsidR="00DB6545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DB6545">
        <w:rPr>
          <w:rFonts w:ascii="Times New Roman" w:hAnsi="Times New Roman" w:cs="Times New Roman"/>
          <w:color w:val="000000"/>
        </w:rPr>
        <w:t xml:space="preserve">The Mayo Clinic cohort (N=881) is an institutional series of patients with early stage </w:t>
      </w:r>
      <w:r w:rsidR="00793E7C">
        <w:rPr>
          <w:rFonts w:ascii="Times New Roman" w:hAnsi="Times New Roman" w:cs="Times New Roman"/>
          <w:color w:val="000000"/>
        </w:rPr>
        <w:t xml:space="preserve">0, I and II </w:t>
      </w:r>
      <w:r w:rsidR="00DB6545">
        <w:rPr>
          <w:rFonts w:ascii="Times New Roman" w:hAnsi="Times New Roman" w:cs="Times New Roman"/>
          <w:color w:val="000000"/>
        </w:rPr>
        <w:t>disease</w:t>
      </w:r>
      <w:r w:rsidR="00DC12B4">
        <w:rPr>
          <w:rFonts w:ascii="Times New Roman" w:hAnsi="Times New Roman" w:cs="Times New Roman"/>
          <w:color w:val="000000"/>
        </w:rPr>
        <w:t xml:space="preserve"> </w:t>
      </w:r>
      <w:r w:rsidR="00793E7C">
        <w:rPr>
          <w:rFonts w:ascii="Times New Roman" w:hAnsi="Times New Roman" w:cs="Times New Roman"/>
          <w:color w:val="000000"/>
        </w:rPr>
        <w:t>defined according to the Rai system.</w:t>
      </w:r>
    </w:p>
    <w:p w14:paraId="742876D6" w14:textId="77777777" w:rsidR="00342042" w:rsidRDefault="00342042" w:rsidP="00ED4081">
      <w:pPr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</w:p>
    <w:p w14:paraId="4F63D5DE" w14:textId="77777777" w:rsidR="00744286" w:rsidRPr="00377375" w:rsidRDefault="00744286" w:rsidP="00ED4081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377375">
        <w:rPr>
          <w:rFonts w:ascii="Times New Roman" w:hAnsi="Times New Roman" w:cs="Times New Roman"/>
          <w:b/>
          <w:color w:val="000000"/>
        </w:rPr>
        <w:t>Data analysis</w:t>
      </w:r>
    </w:p>
    <w:p w14:paraId="441095AB" w14:textId="7A50BB93" w:rsidR="00125F0C" w:rsidRDefault="00744286" w:rsidP="00CA102D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377375">
        <w:rPr>
          <w:rFonts w:ascii="Times New Roman" w:hAnsi="Times New Roman" w:cs="Times New Roman"/>
        </w:rPr>
        <w:t xml:space="preserve">We consecutively </w:t>
      </w:r>
      <w:r w:rsidR="006D1624" w:rsidRPr="00377375">
        <w:rPr>
          <w:rFonts w:ascii="Times New Roman" w:hAnsi="Times New Roman" w:cs="Times New Roman"/>
        </w:rPr>
        <w:t xml:space="preserve">performed </w:t>
      </w:r>
      <w:r w:rsidRPr="00377375">
        <w:rPr>
          <w:rFonts w:ascii="Times New Roman" w:hAnsi="Times New Roman" w:cs="Times New Roman"/>
        </w:rPr>
        <w:t xml:space="preserve">both </w:t>
      </w:r>
      <w:proofErr w:type="spellStart"/>
      <w:r w:rsidR="006109CF" w:rsidRPr="00377375">
        <w:rPr>
          <w:rFonts w:ascii="Times New Roman" w:hAnsi="Times New Roman" w:cs="Times New Roman"/>
        </w:rPr>
        <w:t>uni</w:t>
      </w:r>
      <w:proofErr w:type="spellEnd"/>
      <w:r w:rsidR="006109CF" w:rsidRPr="00377375">
        <w:rPr>
          <w:rFonts w:ascii="Times New Roman" w:hAnsi="Times New Roman" w:cs="Times New Roman"/>
        </w:rPr>
        <w:t xml:space="preserve">- and </w:t>
      </w:r>
      <w:r w:rsidRPr="00377375">
        <w:rPr>
          <w:rFonts w:ascii="Times New Roman" w:hAnsi="Times New Roman" w:cs="Times New Roman"/>
        </w:rPr>
        <w:t>multivaria</w:t>
      </w:r>
      <w:r w:rsidR="00B8068E">
        <w:rPr>
          <w:rFonts w:ascii="Times New Roman" w:hAnsi="Times New Roman" w:cs="Times New Roman"/>
        </w:rPr>
        <w:t>ble</w:t>
      </w:r>
      <w:r w:rsidRPr="00377375">
        <w:rPr>
          <w:rFonts w:ascii="Times New Roman" w:hAnsi="Times New Roman" w:cs="Times New Roman"/>
        </w:rPr>
        <w:t xml:space="preserve"> analyses using the full dataset of the training cohor</w:t>
      </w:r>
      <w:r w:rsidR="00071795" w:rsidRPr="00377375">
        <w:rPr>
          <w:rFonts w:ascii="Times New Roman" w:hAnsi="Times New Roman" w:cs="Times New Roman"/>
        </w:rPr>
        <w:t>t (UEP). Subsequently, we analyz</w:t>
      </w:r>
      <w:r w:rsidRPr="00377375">
        <w:rPr>
          <w:rFonts w:ascii="Times New Roman" w:hAnsi="Times New Roman" w:cs="Times New Roman"/>
        </w:rPr>
        <w:t>ed th</w:t>
      </w:r>
      <w:r w:rsidR="000D0726" w:rsidRPr="00377375">
        <w:rPr>
          <w:rFonts w:ascii="Times New Roman" w:hAnsi="Times New Roman" w:cs="Times New Roman"/>
        </w:rPr>
        <w:t xml:space="preserve">e external-validation datasets </w:t>
      </w:r>
      <w:r w:rsidRPr="00377375">
        <w:rPr>
          <w:rFonts w:ascii="Times New Roman" w:hAnsi="Times New Roman" w:cs="Times New Roman"/>
        </w:rPr>
        <w:t>to confirm the findings from the full analysis dataset.</w:t>
      </w:r>
      <w:r w:rsidR="00EC1D7F" w:rsidRPr="00377375">
        <w:rPr>
          <w:rFonts w:ascii="Times New Roman" w:hAnsi="Times New Roman" w:cs="Times New Roman"/>
        </w:rPr>
        <w:t xml:space="preserve"> </w:t>
      </w:r>
      <w:r w:rsidR="00DB214E" w:rsidRPr="00377375">
        <w:rPr>
          <w:rFonts w:ascii="Times New Roman" w:hAnsi="Times New Roman" w:cs="Times New Roman"/>
        </w:rPr>
        <w:t xml:space="preserve">The </w:t>
      </w:r>
      <w:r w:rsidR="00E442AC" w:rsidRPr="00377375">
        <w:rPr>
          <w:rFonts w:ascii="Times New Roman" w:hAnsi="Times New Roman" w:cs="Times New Roman"/>
        </w:rPr>
        <w:t xml:space="preserve">study </w:t>
      </w:r>
      <w:r w:rsidR="003177F8" w:rsidRPr="00377375">
        <w:rPr>
          <w:rFonts w:ascii="Times New Roman" w:hAnsi="Times New Roman" w:cs="Times New Roman"/>
        </w:rPr>
        <w:t>endpoint</w:t>
      </w:r>
      <w:r w:rsidR="00E442AC" w:rsidRPr="00377375">
        <w:rPr>
          <w:rFonts w:ascii="Times New Roman" w:hAnsi="Times New Roman" w:cs="Times New Roman"/>
        </w:rPr>
        <w:t xml:space="preserve"> was </w:t>
      </w:r>
      <w:r w:rsidR="00BF7372" w:rsidRPr="00377375">
        <w:rPr>
          <w:rFonts w:ascii="Times New Roman" w:hAnsi="Times New Roman" w:cs="Times New Roman"/>
        </w:rPr>
        <w:t>time to first treatment (TTFT)</w:t>
      </w:r>
      <w:r w:rsidR="00DB214E" w:rsidRPr="00377375">
        <w:rPr>
          <w:rFonts w:ascii="Times New Roman" w:hAnsi="Times New Roman" w:cs="Times New Roman"/>
        </w:rPr>
        <w:t xml:space="preserve">, defined as the time between </w:t>
      </w:r>
      <w:r w:rsidR="00CA0111">
        <w:rPr>
          <w:rFonts w:ascii="Times New Roman" w:hAnsi="Times New Roman" w:cs="Times New Roman"/>
        </w:rPr>
        <w:t>presentation</w:t>
      </w:r>
      <w:r w:rsidR="00CA0111" w:rsidRPr="00377375">
        <w:rPr>
          <w:rFonts w:ascii="Times New Roman" w:hAnsi="Times New Roman" w:cs="Times New Roman"/>
        </w:rPr>
        <w:t xml:space="preserve"> </w:t>
      </w:r>
      <w:r w:rsidR="00DB214E" w:rsidRPr="00377375">
        <w:rPr>
          <w:rFonts w:ascii="Times New Roman" w:hAnsi="Times New Roman" w:cs="Times New Roman"/>
        </w:rPr>
        <w:t>and s</w:t>
      </w:r>
      <w:r w:rsidR="0068329E" w:rsidRPr="00377375">
        <w:rPr>
          <w:rFonts w:ascii="Times New Roman" w:hAnsi="Times New Roman" w:cs="Times New Roman"/>
        </w:rPr>
        <w:t xml:space="preserve">tart of first treatment for CLL because of </w:t>
      </w:r>
      <w:r w:rsidR="0068329E" w:rsidRPr="00377375">
        <w:rPr>
          <w:rFonts w:ascii="Times New Roman" w:hAnsi="Times New Roman" w:cs="Times New Roman"/>
          <w:color w:val="000000"/>
        </w:rPr>
        <w:t>progression to symptomatic disease according to the</w:t>
      </w:r>
      <w:r w:rsidR="000B2587" w:rsidRPr="00377375">
        <w:rPr>
          <w:rFonts w:ascii="Times New Roman" w:hAnsi="Times New Roman" w:cs="Times New Roman"/>
          <w:color w:val="000000"/>
        </w:rPr>
        <w:t xml:space="preserve"> National Cancer Institute-Working Group/International Workshop on Chronic Lymphocytic Leukemia guidelines </w:t>
      </w:r>
      <w:r w:rsidR="00125F0C" w:rsidRPr="00377375">
        <w:rPr>
          <w:rFonts w:ascii="Times New Roman" w:hAnsi="Times New Roman" w:cs="Times New Roman"/>
          <w:color w:val="000000"/>
        </w:rPr>
        <w:t>(pa</w:t>
      </w:r>
      <w:r w:rsidR="00DB214E" w:rsidRPr="00377375">
        <w:rPr>
          <w:rFonts w:ascii="Times New Roman" w:hAnsi="Times New Roman" w:cs="Times New Roman"/>
        </w:rPr>
        <w:t>tients without a documented event were censored at the date of last observation or death</w:t>
      </w:r>
      <w:r w:rsidR="00E33E35" w:rsidRPr="00377375">
        <w:rPr>
          <w:rFonts w:ascii="Times New Roman" w:hAnsi="Times New Roman" w:cs="Times New Roman"/>
        </w:rPr>
        <w:t>).</w:t>
      </w:r>
      <w:r w:rsidR="007B25F0" w:rsidRPr="00377375">
        <w:rPr>
          <w:rFonts w:ascii="Times New Roman" w:hAnsi="Times New Roman" w:cs="Times New Roman"/>
          <w:vertAlign w:val="superscript"/>
        </w:rPr>
        <w:t>3</w:t>
      </w:r>
      <w:r w:rsidR="000B2587" w:rsidRPr="00377375">
        <w:rPr>
          <w:rFonts w:ascii="Times New Roman" w:hAnsi="Times New Roman" w:cs="Times New Roman"/>
          <w:vertAlign w:val="superscript"/>
        </w:rPr>
        <w:t>,4</w:t>
      </w:r>
      <w:r w:rsidR="00EC1D7F" w:rsidRPr="00377375">
        <w:rPr>
          <w:rFonts w:ascii="Times New Roman" w:hAnsi="Times New Roman" w:cs="Times New Roman"/>
          <w:vertAlign w:val="superscript"/>
        </w:rPr>
        <w:t xml:space="preserve"> </w:t>
      </w:r>
      <w:r w:rsidR="00782927" w:rsidRPr="00377375">
        <w:rPr>
          <w:rFonts w:ascii="Times New Roman" w:hAnsi="Times New Roman" w:cs="Times New Roman"/>
        </w:rPr>
        <w:t xml:space="preserve">Nineteen baseline </w:t>
      </w:r>
      <w:r w:rsidR="00D1592E">
        <w:rPr>
          <w:rFonts w:ascii="Times New Roman" w:hAnsi="Times New Roman" w:cs="Times New Roman"/>
        </w:rPr>
        <w:t>bio</w:t>
      </w:r>
      <w:r w:rsidR="00135FCE">
        <w:rPr>
          <w:rFonts w:ascii="Times New Roman" w:hAnsi="Times New Roman" w:cs="Times New Roman"/>
        </w:rPr>
        <w:t xml:space="preserve">markers, </w:t>
      </w:r>
      <w:r w:rsidR="00135FCE" w:rsidRPr="00135FCE">
        <w:rPr>
          <w:rFonts w:ascii="Times New Roman" w:hAnsi="Times New Roman" w:cs="Times New Roman"/>
          <w:color w:val="FF0000"/>
        </w:rPr>
        <w:t>assessed within one month from initial presentation</w:t>
      </w:r>
      <w:r w:rsidR="00135FCE">
        <w:rPr>
          <w:rFonts w:ascii="Times New Roman" w:hAnsi="Times New Roman" w:cs="Times New Roman"/>
        </w:rPr>
        <w:t>,</w:t>
      </w:r>
      <w:r w:rsidR="00135FCE" w:rsidRPr="00135FCE">
        <w:rPr>
          <w:rFonts w:ascii="Times New Roman" w:hAnsi="Times New Roman" w:cs="Times New Roman"/>
        </w:rPr>
        <w:t xml:space="preserve"> </w:t>
      </w:r>
      <w:r w:rsidR="00782927" w:rsidRPr="00377375">
        <w:rPr>
          <w:rFonts w:ascii="Times New Roman" w:hAnsi="Times New Roman" w:cs="Times New Roman"/>
        </w:rPr>
        <w:t xml:space="preserve">were </w:t>
      </w:r>
      <w:r w:rsidR="00A9614B" w:rsidRPr="00377375">
        <w:rPr>
          <w:rFonts w:ascii="Times New Roman" w:hAnsi="Times New Roman" w:cs="Times New Roman"/>
        </w:rPr>
        <w:t xml:space="preserve">initially </w:t>
      </w:r>
      <w:r w:rsidR="00782927" w:rsidRPr="00377375">
        <w:rPr>
          <w:rFonts w:ascii="Times New Roman" w:hAnsi="Times New Roman" w:cs="Times New Roman"/>
        </w:rPr>
        <w:t xml:space="preserve">considered as covariates for construction of the prognostic index. These covariates were clinical characteristics (age, sex, </w:t>
      </w:r>
      <w:r w:rsidR="00F1229D">
        <w:rPr>
          <w:rFonts w:ascii="Times New Roman" w:hAnsi="Times New Roman" w:cs="Times New Roman"/>
          <w:u w:val="single"/>
        </w:rPr>
        <w:t>&gt;</w:t>
      </w:r>
      <w:r w:rsidR="00F1229D">
        <w:rPr>
          <w:rFonts w:ascii="Times New Roman" w:hAnsi="Times New Roman" w:cs="Times New Roman"/>
        </w:rPr>
        <w:t xml:space="preserve">1 </w:t>
      </w:r>
      <w:r w:rsidR="001C696F">
        <w:rPr>
          <w:rFonts w:ascii="Times New Roman" w:hAnsi="Times New Roman" w:cs="Times New Roman"/>
        </w:rPr>
        <w:t xml:space="preserve">palpable lymph </w:t>
      </w:r>
      <w:r w:rsidR="00A73EB9">
        <w:rPr>
          <w:rFonts w:ascii="Times New Roman" w:hAnsi="Times New Roman" w:cs="Times New Roman"/>
        </w:rPr>
        <w:t>node</w:t>
      </w:r>
      <w:r w:rsidR="00F1229D">
        <w:rPr>
          <w:rFonts w:ascii="Times New Roman" w:hAnsi="Times New Roman" w:cs="Times New Roman"/>
        </w:rPr>
        <w:t>s</w:t>
      </w:r>
      <w:r w:rsidR="00A73EB9">
        <w:rPr>
          <w:rFonts w:ascii="Times New Roman" w:hAnsi="Times New Roman" w:cs="Times New Roman"/>
        </w:rPr>
        <w:t xml:space="preserve"> </w:t>
      </w:r>
      <w:r w:rsidR="001C696F">
        <w:rPr>
          <w:rFonts w:ascii="Times New Roman" w:hAnsi="Times New Roman" w:cs="Times New Roman"/>
        </w:rPr>
        <w:t>with</w:t>
      </w:r>
      <w:r w:rsidR="005C58F5">
        <w:rPr>
          <w:rFonts w:ascii="Times New Roman" w:hAnsi="Times New Roman" w:cs="Times New Roman"/>
        </w:rPr>
        <w:t xml:space="preserve"> a diameter </w:t>
      </w:r>
      <w:r w:rsidR="001C696F" w:rsidRPr="001C696F">
        <w:rPr>
          <w:rFonts w:ascii="Times New Roman" w:hAnsi="Times New Roman" w:cs="Times New Roman"/>
          <w:u w:val="single"/>
        </w:rPr>
        <w:t>&gt;</w:t>
      </w:r>
      <w:r w:rsidR="00AB2C58">
        <w:rPr>
          <w:rFonts w:ascii="Times New Roman" w:hAnsi="Times New Roman" w:cs="Times New Roman"/>
        </w:rPr>
        <w:t>1 cm and</w:t>
      </w:r>
      <w:r w:rsidR="009D45DD" w:rsidRPr="00377375">
        <w:rPr>
          <w:rFonts w:ascii="Times New Roman" w:hAnsi="Times New Roman" w:cs="Times New Roman"/>
        </w:rPr>
        <w:t xml:space="preserve"> palpable spleen</w:t>
      </w:r>
      <w:r w:rsidR="00AB2C58" w:rsidRPr="00AB2C58">
        <w:rPr>
          <w:rFonts w:ascii="Times New Roman" w:hAnsi="Times New Roman" w:cs="Times New Roman"/>
        </w:rPr>
        <w:t xml:space="preserve"> </w:t>
      </w:r>
      <w:r w:rsidR="00AB2C58">
        <w:rPr>
          <w:rFonts w:ascii="Times New Roman" w:hAnsi="Times New Roman" w:cs="Times New Roman"/>
        </w:rPr>
        <w:t xml:space="preserve">by investigator’s </w:t>
      </w:r>
      <w:r w:rsidR="00AB2C58" w:rsidRPr="00377375">
        <w:rPr>
          <w:rFonts w:ascii="Times New Roman" w:hAnsi="Times New Roman" w:cs="Times New Roman"/>
          <w:color w:val="000000"/>
        </w:rPr>
        <w:t>physical examination</w:t>
      </w:r>
      <w:r w:rsidR="007A4728" w:rsidRPr="00377375">
        <w:rPr>
          <w:rFonts w:ascii="Times New Roman" w:hAnsi="Times New Roman" w:cs="Times New Roman"/>
        </w:rPr>
        <w:t>)</w:t>
      </w:r>
      <w:proofErr w:type="gramStart"/>
      <w:r w:rsidR="00392D8F">
        <w:rPr>
          <w:rFonts w:ascii="Times New Roman" w:hAnsi="Times New Roman" w:cs="Times New Roman"/>
        </w:rPr>
        <w:t>,</w:t>
      </w:r>
      <w:r w:rsidR="007D378B">
        <w:rPr>
          <w:rFonts w:ascii="Times New Roman" w:hAnsi="Times New Roman" w:cs="Times New Roman"/>
          <w:vertAlign w:val="superscript"/>
        </w:rPr>
        <w:t>6</w:t>
      </w:r>
      <w:proofErr w:type="gramEnd"/>
      <w:r w:rsidR="007A4728" w:rsidRPr="00377375">
        <w:rPr>
          <w:rFonts w:ascii="Times New Roman" w:hAnsi="Times New Roman" w:cs="Times New Roman"/>
        </w:rPr>
        <w:t xml:space="preserve"> laboratory values (h</w:t>
      </w:r>
      <w:r w:rsidR="00782927" w:rsidRPr="00377375">
        <w:rPr>
          <w:rFonts w:ascii="Times New Roman" w:hAnsi="Times New Roman" w:cs="Times New Roman"/>
        </w:rPr>
        <w:t xml:space="preserve">emoglobin </w:t>
      </w:r>
      <w:r w:rsidR="00E442AC" w:rsidRPr="00377375">
        <w:rPr>
          <w:rFonts w:ascii="Times New Roman" w:hAnsi="Times New Roman" w:cs="Times New Roman"/>
        </w:rPr>
        <w:t>level</w:t>
      </w:r>
      <w:r w:rsidR="00782927" w:rsidRPr="00377375">
        <w:rPr>
          <w:rFonts w:ascii="Times New Roman" w:hAnsi="Times New Roman" w:cs="Times New Roman"/>
        </w:rPr>
        <w:t>, platelet</w:t>
      </w:r>
      <w:r w:rsidR="005B51D4" w:rsidRPr="00377375">
        <w:rPr>
          <w:rFonts w:ascii="Times New Roman" w:hAnsi="Times New Roman" w:cs="Times New Roman"/>
        </w:rPr>
        <w:t xml:space="preserve"> count</w:t>
      </w:r>
      <w:r w:rsidR="00782927" w:rsidRPr="00377375">
        <w:rPr>
          <w:rFonts w:ascii="Times New Roman" w:hAnsi="Times New Roman" w:cs="Times New Roman"/>
        </w:rPr>
        <w:t xml:space="preserve">, </w:t>
      </w:r>
      <w:r w:rsidR="00187CB7">
        <w:rPr>
          <w:rFonts w:ascii="Times New Roman" w:hAnsi="Times New Roman" w:cs="Times New Roman"/>
        </w:rPr>
        <w:t xml:space="preserve">absolute </w:t>
      </w:r>
      <w:r w:rsidR="009D45DD" w:rsidRPr="00377375">
        <w:rPr>
          <w:rFonts w:ascii="Times New Roman" w:hAnsi="Times New Roman" w:cs="Times New Roman"/>
        </w:rPr>
        <w:t xml:space="preserve">lymphocyte </w:t>
      </w:r>
      <w:r w:rsidR="005B51D4" w:rsidRPr="00377375">
        <w:rPr>
          <w:rFonts w:ascii="Times New Roman" w:hAnsi="Times New Roman" w:cs="Times New Roman"/>
        </w:rPr>
        <w:t>count</w:t>
      </w:r>
      <w:r w:rsidR="00CF55C5">
        <w:rPr>
          <w:rFonts w:ascii="Times New Roman" w:hAnsi="Times New Roman" w:cs="Times New Roman"/>
        </w:rPr>
        <w:t>,</w:t>
      </w:r>
      <w:r w:rsidR="00A73EB9">
        <w:rPr>
          <w:rFonts w:ascii="Times New Roman" w:hAnsi="Times New Roman" w:cs="Times New Roman"/>
        </w:rPr>
        <w:t xml:space="preserve"> and</w:t>
      </w:r>
      <w:r w:rsidR="009A0449" w:rsidRPr="00377375">
        <w:rPr>
          <w:rFonts w:ascii="Times New Roman" w:hAnsi="Times New Roman" w:cs="Times New Roman"/>
        </w:rPr>
        <w:t xml:space="preserve"> beta-2-microglobulin</w:t>
      </w:r>
      <w:r w:rsidR="00782927" w:rsidRPr="00377375">
        <w:rPr>
          <w:rFonts w:ascii="Times New Roman" w:hAnsi="Times New Roman" w:cs="Times New Roman"/>
        </w:rPr>
        <w:t>), cytogenetic ab</w:t>
      </w:r>
      <w:r w:rsidR="00A9614B" w:rsidRPr="00377375">
        <w:rPr>
          <w:rFonts w:ascii="Times New Roman" w:hAnsi="Times New Roman" w:cs="Times New Roman"/>
        </w:rPr>
        <w:t xml:space="preserve">normalities </w:t>
      </w:r>
      <w:r w:rsidR="00F1229D">
        <w:rPr>
          <w:rFonts w:ascii="Times New Roman" w:hAnsi="Times New Roman" w:cs="Times New Roman"/>
        </w:rPr>
        <w:t>as assessed by</w:t>
      </w:r>
      <w:r w:rsidR="00A9614B" w:rsidRPr="00377375">
        <w:rPr>
          <w:rFonts w:ascii="Times New Roman" w:hAnsi="Times New Roman" w:cs="Times New Roman"/>
        </w:rPr>
        <w:t xml:space="preserve"> FISH [</w:t>
      </w:r>
      <w:r w:rsidR="009D45DD" w:rsidRPr="00377375">
        <w:rPr>
          <w:rFonts w:ascii="Times New Roman" w:hAnsi="Times New Roman" w:cs="Times New Roman"/>
        </w:rPr>
        <w:t>del</w:t>
      </w:r>
      <w:r w:rsidR="00A9614B" w:rsidRPr="00377375">
        <w:rPr>
          <w:rFonts w:ascii="Times New Roman" w:hAnsi="Times New Roman" w:cs="Times New Roman"/>
        </w:rPr>
        <w:t>(</w:t>
      </w:r>
      <w:r w:rsidR="009D45DD" w:rsidRPr="00377375">
        <w:rPr>
          <w:rFonts w:ascii="Times New Roman" w:hAnsi="Times New Roman" w:cs="Times New Roman"/>
        </w:rPr>
        <w:t>17p</w:t>
      </w:r>
      <w:r w:rsidR="00A9614B" w:rsidRPr="00377375">
        <w:rPr>
          <w:rFonts w:ascii="Times New Roman" w:hAnsi="Times New Roman" w:cs="Times New Roman"/>
        </w:rPr>
        <w:t>)</w:t>
      </w:r>
      <w:r w:rsidR="00782927" w:rsidRPr="00377375">
        <w:rPr>
          <w:rFonts w:ascii="Times New Roman" w:hAnsi="Times New Roman" w:cs="Times New Roman"/>
        </w:rPr>
        <w:t>, del</w:t>
      </w:r>
      <w:r w:rsidR="00A9614B" w:rsidRPr="00377375">
        <w:rPr>
          <w:rFonts w:ascii="Times New Roman" w:hAnsi="Times New Roman" w:cs="Times New Roman"/>
        </w:rPr>
        <w:t>(</w:t>
      </w:r>
      <w:r w:rsidR="009D45DD" w:rsidRPr="00377375">
        <w:rPr>
          <w:rFonts w:ascii="Times New Roman" w:hAnsi="Times New Roman" w:cs="Times New Roman"/>
        </w:rPr>
        <w:t>11q</w:t>
      </w:r>
      <w:r w:rsidR="00A9614B" w:rsidRPr="00377375">
        <w:rPr>
          <w:rFonts w:ascii="Times New Roman" w:hAnsi="Times New Roman" w:cs="Times New Roman"/>
        </w:rPr>
        <w:t>)</w:t>
      </w:r>
      <w:r w:rsidR="009D45DD" w:rsidRPr="00377375">
        <w:rPr>
          <w:rFonts w:ascii="Times New Roman" w:hAnsi="Times New Roman" w:cs="Times New Roman"/>
        </w:rPr>
        <w:t>, trisomy 12, del</w:t>
      </w:r>
      <w:r w:rsidR="00A9614B" w:rsidRPr="00377375">
        <w:rPr>
          <w:rFonts w:ascii="Times New Roman" w:hAnsi="Times New Roman" w:cs="Times New Roman"/>
        </w:rPr>
        <w:t>(</w:t>
      </w:r>
      <w:r w:rsidR="009D45DD" w:rsidRPr="00377375">
        <w:rPr>
          <w:rFonts w:ascii="Times New Roman" w:hAnsi="Times New Roman" w:cs="Times New Roman"/>
        </w:rPr>
        <w:t>13q</w:t>
      </w:r>
      <w:r w:rsidR="00A9614B" w:rsidRPr="00377375">
        <w:rPr>
          <w:rFonts w:ascii="Times New Roman" w:hAnsi="Times New Roman" w:cs="Times New Roman"/>
        </w:rPr>
        <w:t>)</w:t>
      </w:r>
      <w:r w:rsidR="00580935" w:rsidRPr="00377375">
        <w:rPr>
          <w:rFonts w:ascii="Times New Roman" w:hAnsi="Times New Roman" w:cs="Times New Roman"/>
          <w:sz w:val="26"/>
        </w:rPr>
        <w:t>]</w:t>
      </w:r>
      <w:r w:rsidR="009D45DD" w:rsidRPr="00377375">
        <w:rPr>
          <w:rFonts w:ascii="Times New Roman" w:hAnsi="Times New Roman" w:cs="Times New Roman"/>
        </w:rPr>
        <w:t>,</w:t>
      </w:r>
      <w:r w:rsidR="00F253DB">
        <w:rPr>
          <w:rFonts w:ascii="Times New Roman" w:hAnsi="Times New Roman" w:cs="Times New Roman"/>
        </w:rPr>
        <w:t xml:space="preserve"> and</w:t>
      </w:r>
      <w:r w:rsidR="00782927" w:rsidRPr="00377375">
        <w:rPr>
          <w:rFonts w:ascii="Times New Roman" w:hAnsi="Times New Roman" w:cs="Times New Roman"/>
        </w:rPr>
        <w:t xml:space="preserve"> gene mutations (</w:t>
      </w:r>
      <w:r w:rsidR="00BE3D81" w:rsidRPr="00377375">
        <w:rPr>
          <w:rFonts w:ascii="Times New Roman" w:hAnsi="Times New Roman" w:cs="Times New Roman"/>
        </w:rPr>
        <w:t xml:space="preserve">IGHV, </w:t>
      </w:r>
      <w:r w:rsidR="009D45DD" w:rsidRPr="00377375">
        <w:rPr>
          <w:rFonts w:ascii="Times New Roman" w:hAnsi="Times New Roman" w:cs="Times New Roman"/>
          <w:i/>
        </w:rPr>
        <w:t>ATM</w:t>
      </w:r>
      <w:r w:rsidR="009D45DD" w:rsidRPr="00377375">
        <w:rPr>
          <w:rFonts w:ascii="Times New Roman" w:hAnsi="Times New Roman" w:cs="Times New Roman"/>
        </w:rPr>
        <w:t xml:space="preserve">, </w:t>
      </w:r>
      <w:r w:rsidR="009D45DD" w:rsidRPr="00377375">
        <w:rPr>
          <w:rFonts w:ascii="Times New Roman" w:hAnsi="Times New Roman" w:cs="Times New Roman"/>
          <w:i/>
        </w:rPr>
        <w:t>MYD88</w:t>
      </w:r>
      <w:r w:rsidR="009D45DD" w:rsidRPr="00377375">
        <w:rPr>
          <w:rFonts w:ascii="Times New Roman" w:hAnsi="Times New Roman" w:cs="Times New Roman"/>
        </w:rPr>
        <w:t xml:space="preserve">, </w:t>
      </w:r>
      <w:r w:rsidR="009D45DD" w:rsidRPr="00377375">
        <w:rPr>
          <w:rFonts w:ascii="Times New Roman" w:hAnsi="Times New Roman" w:cs="Times New Roman"/>
          <w:i/>
        </w:rPr>
        <w:t>NOTCH1</w:t>
      </w:r>
      <w:r w:rsidR="009D45DD" w:rsidRPr="00377375">
        <w:rPr>
          <w:rFonts w:ascii="Times New Roman" w:hAnsi="Times New Roman" w:cs="Times New Roman"/>
        </w:rPr>
        <w:t xml:space="preserve">, </w:t>
      </w:r>
      <w:r w:rsidR="009D45DD" w:rsidRPr="00377375">
        <w:rPr>
          <w:rFonts w:ascii="Times New Roman" w:hAnsi="Times New Roman" w:cs="Times New Roman"/>
          <w:i/>
        </w:rPr>
        <w:t>SF3B1</w:t>
      </w:r>
      <w:r w:rsidR="009D45DD" w:rsidRPr="00377375">
        <w:rPr>
          <w:rFonts w:ascii="Times New Roman" w:hAnsi="Times New Roman" w:cs="Times New Roman"/>
        </w:rPr>
        <w:t xml:space="preserve"> and </w:t>
      </w:r>
      <w:r w:rsidR="009D45DD" w:rsidRPr="00377375">
        <w:rPr>
          <w:rFonts w:ascii="Times New Roman" w:hAnsi="Times New Roman" w:cs="Times New Roman"/>
          <w:i/>
        </w:rPr>
        <w:t>TP53</w:t>
      </w:r>
      <w:r w:rsidR="009D45DD" w:rsidRPr="00377375">
        <w:rPr>
          <w:rFonts w:ascii="Times New Roman" w:hAnsi="Times New Roman" w:cs="Times New Roman"/>
        </w:rPr>
        <w:t>).</w:t>
      </w:r>
      <w:r w:rsidR="00D805E9" w:rsidRPr="00377375">
        <w:rPr>
          <w:rFonts w:ascii="Times New Roman" w:hAnsi="Times New Roman" w:cs="Times New Roman"/>
        </w:rPr>
        <w:t xml:space="preserve"> </w:t>
      </w:r>
      <w:r w:rsidR="00B20A0A" w:rsidRPr="004A21E6">
        <w:rPr>
          <w:rFonts w:ascii="Times New Roman" w:hAnsi="Times New Roman" w:cs="Times New Roman"/>
          <w:color w:val="FF0000"/>
        </w:rPr>
        <w:t>FISH</w:t>
      </w:r>
      <w:r w:rsidR="00E56E90">
        <w:rPr>
          <w:rFonts w:ascii="Times New Roman" w:hAnsi="Times New Roman" w:cs="Times New Roman"/>
          <w:color w:val="FF0000"/>
        </w:rPr>
        <w:t xml:space="preserve"> was performed</w:t>
      </w:r>
      <w:r w:rsidR="00B20A0A" w:rsidRPr="004A21E6">
        <w:rPr>
          <w:rFonts w:ascii="Times New Roman" w:hAnsi="Times New Roman" w:cs="Times New Roman"/>
          <w:color w:val="FF0000"/>
        </w:rPr>
        <w:t xml:space="preserve"> for assessing </w:t>
      </w:r>
      <w:r w:rsidR="004A21E6">
        <w:rPr>
          <w:rFonts w:ascii="Times New Roman" w:hAnsi="Times New Roman" w:cs="Times New Roman"/>
          <w:color w:val="FF0000"/>
        </w:rPr>
        <w:t xml:space="preserve">the </w:t>
      </w:r>
      <w:proofErr w:type="gramStart"/>
      <w:r w:rsidR="00B20A0A" w:rsidRPr="004A21E6">
        <w:rPr>
          <w:rFonts w:ascii="Times New Roman" w:hAnsi="Times New Roman" w:cs="Times New Roman"/>
          <w:color w:val="FF0000"/>
        </w:rPr>
        <w:t>t(</w:t>
      </w:r>
      <w:proofErr w:type="gramEnd"/>
      <w:r w:rsidR="00B20A0A" w:rsidRPr="004A21E6">
        <w:rPr>
          <w:rFonts w:ascii="Times New Roman" w:hAnsi="Times New Roman" w:cs="Times New Roman"/>
          <w:color w:val="FF0000"/>
        </w:rPr>
        <w:t>11;14) in those cases in which a diagnosis of mantle cell lymphoma</w:t>
      </w:r>
      <w:r w:rsidR="004A21E6">
        <w:rPr>
          <w:rFonts w:ascii="Times New Roman" w:hAnsi="Times New Roman" w:cs="Times New Roman"/>
          <w:color w:val="FF0000"/>
        </w:rPr>
        <w:t xml:space="preserve"> could be </w:t>
      </w:r>
      <w:r w:rsidR="00462FF5">
        <w:rPr>
          <w:rFonts w:ascii="Times New Roman" w:hAnsi="Times New Roman" w:cs="Times New Roman"/>
          <w:color w:val="FF0000"/>
        </w:rPr>
        <w:t xml:space="preserve">considered; patients </w:t>
      </w:r>
      <w:r w:rsidR="004A21E6">
        <w:rPr>
          <w:rFonts w:ascii="Times New Roman" w:hAnsi="Times New Roman" w:cs="Times New Roman"/>
          <w:color w:val="FF0000"/>
        </w:rPr>
        <w:t xml:space="preserve">harboring </w:t>
      </w:r>
      <w:r w:rsidR="00462FF5">
        <w:rPr>
          <w:rFonts w:ascii="Times New Roman" w:hAnsi="Times New Roman" w:cs="Times New Roman"/>
          <w:color w:val="FF0000"/>
        </w:rPr>
        <w:t xml:space="preserve">such </w:t>
      </w:r>
      <w:r w:rsidR="004A21E6">
        <w:rPr>
          <w:rFonts w:ascii="Times New Roman" w:hAnsi="Times New Roman" w:cs="Times New Roman"/>
          <w:color w:val="FF0000"/>
        </w:rPr>
        <w:t>translocation were excluded from the study.</w:t>
      </w:r>
      <w:r w:rsidR="00B20A0A" w:rsidRPr="00B20A0A">
        <w:rPr>
          <w:rFonts w:ascii="Times New Roman" w:hAnsi="Times New Roman" w:cs="Times New Roman"/>
        </w:rPr>
        <w:t xml:space="preserve"> </w:t>
      </w:r>
      <w:r w:rsidR="00480507" w:rsidRPr="00377375">
        <w:rPr>
          <w:rFonts w:ascii="Times New Roman" w:hAnsi="Times New Roman" w:cs="Times New Roman"/>
        </w:rPr>
        <w:t>Continuous variables were categorized by published thresholds (age, hemoglobin, platelet count, beta-2-</w:t>
      </w:r>
      <w:r w:rsidR="00480507" w:rsidRPr="00377375">
        <w:rPr>
          <w:rFonts w:ascii="Times New Roman" w:hAnsi="Times New Roman" w:cs="Times New Roman"/>
        </w:rPr>
        <w:lastRenderedPageBreak/>
        <w:t xml:space="preserve">microglobulin, IGHV </w:t>
      </w:r>
      <w:r w:rsidR="001E5CA2">
        <w:rPr>
          <w:rFonts w:ascii="Times New Roman" w:hAnsi="Times New Roman" w:cs="Times New Roman"/>
        </w:rPr>
        <w:t>identity</w:t>
      </w:r>
      <w:r w:rsidR="00480507" w:rsidRPr="00377375">
        <w:rPr>
          <w:rFonts w:ascii="Times New Roman" w:hAnsi="Times New Roman" w:cs="Times New Roman"/>
        </w:rPr>
        <w:t>)</w:t>
      </w:r>
      <w:proofErr w:type="gramStart"/>
      <w:r w:rsidR="00480507" w:rsidRPr="00377375">
        <w:rPr>
          <w:rFonts w:ascii="Times New Roman" w:hAnsi="Times New Roman" w:cs="Times New Roman"/>
        </w:rPr>
        <w:t>,</w:t>
      </w:r>
      <w:r w:rsidR="007D378B">
        <w:rPr>
          <w:rFonts w:ascii="Times New Roman" w:hAnsi="Times New Roman" w:cs="Times New Roman"/>
          <w:vertAlign w:val="superscript"/>
        </w:rPr>
        <w:t>20</w:t>
      </w:r>
      <w:r w:rsidR="00534494" w:rsidRPr="00377375">
        <w:rPr>
          <w:rFonts w:ascii="Times New Roman" w:hAnsi="Times New Roman" w:cs="Times New Roman"/>
          <w:vertAlign w:val="superscript"/>
        </w:rPr>
        <w:t>,</w:t>
      </w:r>
      <w:r w:rsidR="002B5C04">
        <w:rPr>
          <w:rFonts w:ascii="Times New Roman" w:hAnsi="Times New Roman" w:cs="Times New Roman"/>
          <w:vertAlign w:val="superscript"/>
        </w:rPr>
        <w:t>2</w:t>
      </w:r>
      <w:r w:rsidR="00475FB7">
        <w:rPr>
          <w:rFonts w:ascii="Times New Roman" w:hAnsi="Times New Roman" w:cs="Times New Roman"/>
          <w:vertAlign w:val="superscript"/>
        </w:rPr>
        <w:t>3</w:t>
      </w:r>
      <w:proofErr w:type="gramEnd"/>
      <w:r w:rsidR="00534494" w:rsidRPr="00377375">
        <w:rPr>
          <w:rFonts w:ascii="Times New Roman" w:hAnsi="Times New Roman" w:cs="Times New Roman"/>
          <w:vertAlign w:val="superscript"/>
        </w:rPr>
        <w:t>-</w:t>
      </w:r>
      <w:r w:rsidR="002B5C04">
        <w:rPr>
          <w:rFonts w:ascii="Times New Roman" w:hAnsi="Times New Roman" w:cs="Times New Roman"/>
          <w:vertAlign w:val="superscript"/>
        </w:rPr>
        <w:t>2</w:t>
      </w:r>
      <w:r w:rsidR="00475FB7">
        <w:rPr>
          <w:rFonts w:ascii="Times New Roman" w:hAnsi="Times New Roman" w:cs="Times New Roman"/>
          <w:vertAlign w:val="superscript"/>
        </w:rPr>
        <w:t>6</w:t>
      </w:r>
      <w:r w:rsidR="00480507" w:rsidRPr="00377375">
        <w:rPr>
          <w:rFonts w:ascii="Times New Roman" w:hAnsi="Times New Roman" w:cs="Times New Roman"/>
        </w:rPr>
        <w:t xml:space="preserve"> or by identifying the best cut off through recursive partitioning (</w:t>
      </w:r>
      <w:r w:rsidR="00187CB7">
        <w:rPr>
          <w:rFonts w:ascii="Times New Roman" w:hAnsi="Times New Roman" w:cs="Times New Roman"/>
        </w:rPr>
        <w:t xml:space="preserve">absolute </w:t>
      </w:r>
      <w:r w:rsidR="00480507" w:rsidRPr="00377375">
        <w:rPr>
          <w:rFonts w:ascii="Times New Roman" w:hAnsi="Times New Roman" w:cs="Times New Roman"/>
        </w:rPr>
        <w:t>lymphocyte count) (</w:t>
      </w:r>
      <w:r w:rsidR="00EC1D7F" w:rsidRPr="00377375">
        <w:rPr>
          <w:rFonts w:ascii="Times New Roman" w:hAnsi="Times New Roman" w:cs="Times New Roman"/>
        </w:rPr>
        <w:t>Fig</w:t>
      </w:r>
      <w:r w:rsidR="00FB1C32">
        <w:rPr>
          <w:rFonts w:ascii="Times New Roman" w:hAnsi="Times New Roman" w:cs="Times New Roman"/>
        </w:rPr>
        <w:t>ure</w:t>
      </w:r>
      <w:r w:rsidR="00480507" w:rsidRPr="00377375">
        <w:rPr>
          <w:rFonts w:ascii="Times New Roman" w:hAnsi="Times New Roman" w:cs="Times New Roman"/>
        </w:rPr>
        <w:t xml:space="preserve"> </w:t>
      </w:r>
      <w:r w:rsidR="00EC1D7F" w:rsidRPr="00377375">
        <w:rPr>
          <w:rFonts w:ascii="Times New Roman" w:hAnsi="Times New Roman" w:cs="Times New Roman"/>
        </w:rPr>
        <w:t>S</w:t>
      </w:r>
      <w:r w:rsidR="00480507" w:rsidRPr="00377375">
        <w:rPr>
          <w:rFonts w:ascii="Times New Roman" w:hAnsi="Times New Roman" w:cs="Times New Roman"/>
        </w:rPr>
        <w:t>1</w:t>
      </w:r>
      <w:r w:rsidR="00EC1D7F" w:rsidRPr="00377375">
        <w:rPr>
          <w:rFonts w:ascii="Times New Roman" w:hAnsi="Times New Roman" w:cs="Times New Roman"/>
        </w:rPr>
        <w:t xml:space="preserve"> in the Supplementary Appendix</w:t>
      </w:r>
      <w:r w:rsidR="00480507" w:rsidRPr="00377375">
        <w:rPr>
          <w:rFonts w:ascii="Times New Roman" w:hAnsi="Times New Roman" w:cs="Times New Roman"/>
        </w:rPr>
        <w:t xml:space="preserve">). </w:t>
      </w:r>
      <w:r w:rsidR="00CF55C5">
        <w:rPr>
          <w:rFonts w:ascii="Times New Roman" w:hAnsi="Times New Roman" w:cs="Times New Roman"/>
        </w:rPr>
        <w:t>Blood cell count was assessed by local laboratories. B</w:t>
      </w:r>
      <w:r w:rsidR="00CF55C5" w:rsidRPr="00377375">
        <w:rPr>
          <w:rFonts w:ascii="Times New Roman" w:hAnsi="Times New Roman" w:cs="Times New Roman"/>
        </w:rPr>
        <w:t>eta-2-microglobulin</w:t>
      </w:r>
      <w:r w:rsidR="00CF55C5">
        <w:rPr>
          <w:rFonts w:ascii="Times New Roman" w:hAnsi="Times New Roman" w:cs="Times New Roman"/>
        </w:rPr>
        <w:t xml:space="preserve"> was assessed by local laboratories with the exception of </w:t>
      </w:r>
      <w:r w:rsidR="00335C1E">
        <w:rPr>
          <w:rFonts w:ascii="Times New Roman" w:hAnsi="Times New Roman" w:cs="Times New Roman"/>
        </w:rPr>
        <w:t xml:space="preserve">the </w:t>
      </w:r>
      <w:r w:rsidR="00CF55C5">
        <w:rPr>
          <w:rFonts w:ascii="Times New Roman" w:hAnsi="Times New Roman" w:cs="Times New Roman"/>
        </w:rPr>
        <w:t>CLL1</w:t>
      </w:r>
      <w:r w:rsidR="001E5CA2">
        <w:rPr>
          <w:rFonts w:ascii="Times New Roman" w:hAnsi="Times New Roman" w:cs="Times New Roman"/>
        </w:rPr>
        <w:t>,</w:t>
      </w:r>
      <w:r w:rsidR="00CF55C5">
        <w:rPr>
          <w:rFonts w:ascii="Times New Roman" w:hAnsi="Times New Roman" w:cs="Times New Roman"/>
        </w:rPr>
        <w:t xml:space="preserve"> CLL7</w:t>
      </w:r>
      <w:r w:rsidR="001E5CA2">
        <w:rPr>
          <w:rFonts w:ascii="Times New Roman" w:hAnsi="Times New Roman" w:cs="Times New Roman"/>
        </w:rPr>
        <w:t xml:space="preserve"> and SCAN</w:t>
      </w:r>
      <w:r w:rsidR="00CF55C5">
        <w:rPr>
          <w:rFonts w:ascii="Times New Roman" w:hAnsi="Times New Roman" w:cs="Times New Roman"/>
        </w:rPr>
        <w:t xml:space="preserve"> cohorts </w:t>
      </w:r>
      <w:r w:rsidR="00335C1E">
        <w:rPr>
          <w:rFonts w:ascii="Times New Roman" w:hAnsi="Times New Roman" w:cs="Times New Roman"/>
        </w:rPr>
        <w:t xml:space="preserve">for </w:t>
      </w:r>
      <w:r w:rsidR="00CF55C5">
        <w:rPr>
          <w:rFonts w:ascii="Times New Roman" w:hAnsi="Times New Roman" w:cs="Times New Roman"/>
        </w:rPr>
        <w:t xml:space="preserve">which </w:t>
      </w:r>
      <w:r w:rsidR="00335C1E">
        <w:rPr>
          <w:rFonts w:ascii="Times New Roman" w:hAnsi="Times New Roman" w:cs="Times New Roman"/>
        </w:rPr>
        <w:t xml:space="preserve">the information was </w:t>
      </w:r>
      <w:r w:rsidR="00CF55C5">
        <w:rPr>
          <w:rFonts w:ascii="Times New Roman" w:hAnsi="Times New Roman" w:cs="Times New Roman"/>
        </w:rPr>
        <w:t xml:space="preserve">provided </w:t>
      </w:r>
      <w:r w:rsidR="00335C1E">
        <w:rPr>
          <w:rFonts w:ascii="Times New Roman" w:hAnsi="Times New Roman" w:cs="Times New Roman"/>
        </w:rPr>
        <w:t>centrally</w:t>
      </w:r>
      <w:r w:rsidR="00CF55C5">
        <w:rPr>
          <w:rFonts w:ascii="Times New Roman" w:hAnsi="Times New Roman" w:cs="Times New Roman"/>
        </w:rPr>
        <w:t xml:space="preserve">. </w:t>
      </w:r>
      <w:r w:rsidR="00AB2C58">
        <w:rPr>
          <w:rFonts w:ascii="Times New Roman" w:hAnsi="Times New Roman" w:cs="Times New Roman"/>
        </w:rPr>
        <w:t>FISH cytogenetic</w:t>
      </w:r>
      <w:r w:rsidR="007F1F67">
        <w:rPr>
          <w:rFonts w:ascii="Times New Roman" w:hAnsi="Times New Roman" w:cs="Times New Roman"/>
        </w:rPr>
        <w:t>s</w:t>
      </w:r>
      <w:r w:rsidR="00893FCA">
        <w:rPr>
          <w:rFonts w:ascii="Times New Roman" w:hAnsi="Times New Roman" w:cs="Times New Roman"/>
        </w:rPr>
        <w:t xml:space="preserve"> was assessed locally, with the exception of </w:t>
      </w:r>
      <w:r w:rsidR="00335C1E">
        <w:rPr>
          <w:rFonts w:ascii="Times New Roman" w:hAnsi="Times New Roman" w:cs="Times New Roman"/>
        </w:rPr>
        <w:t xml:space="preserve">the </w:t>
      </w:r>
      <w:r w:rsidR="00893FCA">
        <w:rPr>
          <w:rFonts w:ascii="Times New Roman" w:hAnsi="Times New Roman" w:cs="Times New Roman"/>
        </w:rPr>
        <w:t>CLL1, CLL7 and O-CLL1 cohorts</w:t>
      </w:r>
      <w:r w:rsidR="00335C1E">
        <w:rPr>
          <w:rFonts w:ascii="Times New Roman" w:hAnsi="Times New Roman" w:cs="Times New Roman"/>
        </w:rPr>
        <w:t xml:space="preserve"> for which the information was provided centrally</w:t>
      </w:r>
      <w:r w:rsidR="00893FCA">
        <w:rPr>
          <w:rFonts w:ascii="Times New Roman" w:hAnsi="Times New Roman" w:cs="Times New Roman"/>
        </w:rPr>
        <w:t>, and</w:t>
      </w:r>
      <w:r w:rsidR="00AB2C58">
        <w:rPr>
          <w:rFonts w:ascii="Times New Roman" w:hAnsi="Times New Roman" w:cs="Times New Roman"/>
        </w:rPr>
        <w:t xml:space="preserve"> </w:t>
      </w:r>
      <w:r w:rsidR="00893FCA">
        <w:rPr>
          <w:rFonts w:ascii="Times New Roman" w:hAnsi="Times New Roman" w:cs="Times New Roman"/>
        </w:rPr>
        <w:t>scored according to the laboratory cut</w:t>
      </w:r>
      <w:r w:rsidR="00B03E22">
        <w:rPr>
          <w:rFonts w:ascii="Times New Roman" w:hAnsi="Times New Roman" w:cs="Times New Roman"/>
        </w:rPr>
        <w:t xml:space="preserve"> </w:t>
      </w:r>
      <w:r w:rsidR="00893FCA">
        <w:rPr>
          <w:rFonts w:ascii="Times New Roman" w:hAnsi="Times New Roman" w:cs="Times New Roman"/>
        </w:rPr>
        <w:t xml:space="preserve">off. </w:t>
      </w:r>
      <w:r w:rsidR="007F1F67">
        <w:rPr>
          <w:rFonts w:ascii="Times New Roman" w:hAnsi="Times New Roman" w:cs="Times New Roman"/>
        </w:rPr>
        <w:t xml:space="preserve">IGHV and </w:t>
      </w:r>
      <w:r w:rsidR="007F1F67" w:rsidRPr="007F1F67">
        <w:rPr>
          <w:rFonts w:ascii="Times New Roman" w:hAnsi="Times New Roman" w:cs="Times New Roman"/>
          <w:i/>
        </w:rPr>
        <w:t>TP53</w:t>
      </w:r>
      <w:r w:rsidR="007F1F67">
        <w:rPr>
          <w:rFonts w:ascii="Times New Roman" w:hAnsi="Times New Roman" w:cs="Times New Roman"/>
        </w:rPr>
        <w:t xml:space="preserve"> mutations were assessed </w:t>
      </w:r>
      <w:r w:rsidR="00893FCA">
        <w:rPr>
          <w:rFonts w:ascii="Times New Roman" w:hAnsi="Times New Roman" w:cs="Times New Roman"/>
        </w:rPr>
        <w:t xml:space="preserve">by Sanger sequencing locally, with the exception of CLL1, CLL7 and O-CLL1 cohorts, </w:t>
      </w:r>
      <w:r w:rsidR="00053342">
        <w:rPr>
          <w:rFonts w:ascii="Times New Roman" w:hAnsi="Times New Roman" w:cs="Times New Roman"/>
        </w:rPr>
        <w:t>for which the information was provided centrally</w:t>
      </w:r>
      <w:r w:rsidR="007F1F67">
        <w:rPr>
          <w:rFonts w:ascii="Times New Roman" w:hAnsi="Times New Roman" w:cs="Times New Roman"/>
        </w:rPr>
        <w:t>. Mutations of</w:t>
      </w:r>
      <w:r w:rsidR="00AB2C58">
        <w:rPr>
          <w:rFonts w:ascii="Times New Roman" w:hAnsi="Times New Roman" w:cs="Times New Roman"/>
        </w:rPr>
        <w:t xml:space="preserve"> </w:t>
      </w:r>
      <w:r w:rsidR="007F1F67" w:rsidRPr="00377375">
        <w:rPr>
          <w:rFonts w:ascii="Times New Roman" w:hAnsi="Times New Roman" w:cs="Times New Roman"/>
          <w:i/>
        </w:rPr>
        <w:t>ATM</w:t>
      </w:r>
      <w:r w:rsidR="007F1F67" w:rsidRPr="00377375">
        <w:rPr>
          <w:rFonts w:ascii="Times New Roman" w:hAnsi="Times New Roman" w:cs="Times New Roman"/>
        </w:rPr>
        <w:t xml:space="preserve">, </w:t>
      </w:r>
      <w:r w:rsidR="007F1F67" w:rsidRPr="00377375">
        <w:rPr>
          <w:rFonts w:ascii="Times New Roman" w:hAnsi="Times New Roman" w:cs="Times New Roman"/>
          <w:i/>
        </w:rPr>
        <w:t>MYD88</w:t>
      </w:r>
      <w:r w:rsidR="007F1F67" w:rsidRPr="00377375">
        <w:rPr>
          <w:rFonts w:ascii="Times New Roman" w:hAnsi="Times New Roman" w:cs="Times New Roman"/>
        </w:rPr>
        <w:t xml:space="preserve">, </w:t>
      </w:r>
      <w:r w:rsidR="007F1F67" w:rsidRPr="00377375">
        <w:rPr>
          <w:rFonts w:ascii="Times New Roman" w:hAnsi="Times New Roman" w:cs="Times New Roman"/>
          <w:i/>
        </w:rPr>
        <w:t>NOTCH1</w:t>
      </w:r>
      <w:r w:rsidR="007F1F67" w:rsidRPr="00377375">
        <w:rPr>
          <w:rFonts w:ascii="Times New Roman" w:hAnsi="Times New Roman" w:cs="Times New Roman"/>
        </w:rPr>
        <w:t xml:space="preserve">, </w:t>
      </w:r>
      <w:r w:rsidR="007F1F67" w:rsidRPr="00377375">
        <w:rPr>
          <w:rFonts w:ascii="Times New Roman" w:hAnsi="Times New Roman" w:cs="Times New Roman"/>
          <w:i/>
        </w:rPr>
        <w:t>SF3B1</w:t>
      </w:r>
      <w:r w:rsidR="007F1F67">
        <w:rPr>
          <w:rFonts w:ascii="Times New Roman" w:hAnsi="Times New Roman" w:cs="Times New Roman"/>
          <w:i/>
        </w:rPr>
        <w:t xml:space="preserve"> </w:t>
      </w:r>
      <w:r w:rsidR="007F1F67" w:rsidRPr="007F1F67">
        <w:rPr>
          <w:rFonts w:ascii="Times New Roman" w:hAnsi="Times New Roman" w:cs="Times New Roman"/>
        </w:rPr>
        <w:t xml:space="preserve">were assessed in the </w:t>
      </w:r>
      <w:r w:rsidR="007F1F67">
        <w:rPr>
          <w:rFonts w:ascii="Times New Roman" w:hAnsi="Times New Roman" w:cs="Times New Roman"/>
        </w:rPr>
        <w:t>training</w:t>
      </w:r>
      <w:r w:rsidR="007F1F67" w:rsidRPr="007F1F67">
        <w:rPr>
          <w:rFonts w:ascii="Times New Roman" w:hAnsi="Times New Roman" w:cs="Times New Roman"/>
        </w:rPr>
        <w:t xml:space="preserve"> cohort by targeted deep next generation sequencing</w:t>
      </w:r>
      <w:r w:rsidR="00893FCA">
        <w:rPr>
          <w:rFonts w:ascii="Times New Roman" w:hAnsi="Times New Roman" w:cs="Times New Roman"/>
        </w:rPr>
        <w:t xml:space="preserve"> using an allele frequency </w:t>
      </w:r>
      <w:r w:rsidR="00893FCA" w:rsidRPr="00893FCA">
        <w:rPr>
          <w:rFonts w:ascii="Times New Roman" w:hAnsi="Times New Roman" w:cs="Times New Roman"/>
          <w:u w:val="single"/>
        </w:rPr>
        <w:t>&gt;</w:t>
      </w:r>
      <w:r w:rsidR="00893FCA">
        <w:rPr>
          <w:rFonts w:ascii="Times New Roman" w:hAnsi="Times New Roman" w:cs="Times New Roman"/>
        </w:rPr>
        <w:t>10% for defining a positive result</w:t>
      </w:r>
      <w:r w:rsidR="007F1F67" w:rsidRPr="007F1F67">
        <w:rPr>
          <w:rFonts w:ascii="Times New Roman" w:hAnsi="Times New Roman" w:cs="Times New Roman"/>
        </w:rPr>
        <w:t>.</w:t>
      </w:r>
      <w:r w:rsidR="00B35A31" w:rsidRPr="006A1A74">
        <w:rPr>
          <w:rFonts w:ascii="Times New Roman" w:hAnsi="Times New Roman" w:cs="Times New Roman"/>
          <w:vertAlign w:val="superscript"/>
        </w:rPr>
        <w:t>2</w:t>
      </w:r>
      <w:r w:rsidR="00475FB7">
        <w:rPr>
          <w:rFonts w:ascii="Times New Roman" w:hAnsi="Times New Roman" w:cs="Times New Roman"/>
          <w:vertAlign w:val="superscript"/>
        </w:rPr>
        <w:t>7</w:t>
      </w:r>
      <w:r w:rsidR="00893FCA">
        <w:rPr>
          <w:rFonts w:ascii="Times New Roman" w:hAnsi="Times New Roman" w:cs="Times New Roman"/>
        </w:rPr>
        <w:t xml:space="preserve"> </w:t>
      </w:r>
      <w:r w:rsidR="00D805E9" w:rsidRPr="00377375">
        <w:rPr>
          <w:rFonts w:ascii="Times New Roman" w:hAnsi="Times New Roman" w:cs="Times New Roman"/>
        </w:rPr>
        <w:t xml:space="preserve">For the validation datasets, only variables </w:t>
      </w:r>
      <w:r w:rsidR="005B51D4" w:rsidRPr="00377375">
        <w:rPr>
          <w:rFonts w:ascii="Times New Roman" w:hAnsi="Times New Roman" w:cs="Times New Roman"/>
        </w:rPr>
        <w:t>composing</w:t>
      </w:r>
      <w:r w:rsidR="00D805E9" w:rsidRPr="00377375">
        <w:rPr>
          <w:rFonts w:ascii="Times New Roman" w:hAnsi="Times New Roman" w:cs="Times New Roman"/>
        </w:rPr>
        <w:t xml:space="preserve"> the final</w:t>
      </w:r>
      <w:r w:rsidR="00E442AC" w:rsidRPr="00377375">
        <w:rPr>
          <w:rFonts w:ascii="Times New Roman" w:hAnsi="Times New Roman" w:cs="Times New Roman"/>
        </w:rPr>
        <w:t xml:space="preserve"> </w:t>
      </w:r>
      <w:r w:rsidR="00D805E9" w:rsidRPr="00377375">
        <w:rPr>
          <w:rFonts w:ascii="Times New Roman" w:hAnsi="Times New Roman" w:cs="Times New Roman"/>
        </w:rPr>
        <w:t>model were included in the analyses.</w:t>
      </w:r>
      <w:r w:rsidR="00933D2A" w:rsidRPr="00377375">
        <w:rPr>
          <w:rFonts w:ascii="Times New Roman" w:hAnsi="Times New Roman" w:cs="Times New Roman"/>
        </w:rPr>
        <w:t xml:space="preserve"> </w:t>
      </w:r>
      <w:r w:rsidR="001C696F">
        <w:rPr>
          <w:rFonts w:ascii="Times New Roman" w:hAnsi="Times New Roman" w:cs="Times New Roman"/>
        </w:rPr>
        <w:t>I</w:t>
      </w:r>
      <w:r w:rsidR="001C696F" w:rsidRPr="00377375">
        <w:rPr>
          <w:rFonts w:ascii="Times New Roman" w:hAnsi="Times New Roman" w:cs="Times New Roman"/>
        </w:rPr>
        <w:t xml:space="preserve">n the training </w:t>
      </w:r>
      <w:r w:rsidR="00052357">
        <w:rPr>
          <w:rFonts w:ascii="Times New Roman" w:hAnsi="Times New Roman" w:cs="Times New Roman"/>
        </w:rPr>
        <w:t>and validation cohorts</w:t>
      </w:r>
      <w:r w:rsidR="00244D81">
        <w:rPr>
          <w:rFonts w:ascii="Times New Roman" w:hAnsi="Times New Roman" w:cs="Times New Roman"/>
        </w:rPr>
        <w:t>,</w:t>
      </w:r>
      <w:r w:rsidR="001C696F">
        <w:rPr>
          <w:rFonts w:ascii="Times New Roman" w:hAnsi="Times New Roman" w:cs="Times New Roman"/>
        </w:rPr>
        <w:t xml:space="preserve"> </w:t>
      </w:r>
      <w:r w:rsidR="001C696F" w:rsidRPr="00893FCA">
        <w:rPr>
          <w:rFonts w:ascii="Times New Roman" w:hAnsi="Times New Roman" w:cs="Times New Roman"/>
        </w:rPr>
        <w:t>mi</w:t>
      </w:r>
      <w:r w:rsidR="0075528C" w:rsidRPr="00893FCA">
        <w:rPr>
          <w:rFonts w:ascii="Times New Roman" w:hAnsi="Times New Roman" w:cs="Times New Roman"/>
        </w:rPr>
        <w:t xml:space="preserve">nimal </w:t>
      </w:r>
      <w:r w:rsidR="00E71691" w:rsidRPr="00893FCA">
        <w:rPr>
          <w:rFonts w:ascii="Times New Roman" w:hAnsi="Times New Roman" w:cs="Times New Roman"/>
        </w:rPr>
        <w:t>missing data</w:t>
      </w:r>
      <w:r w:rsidR="001C696F">
        <w:rPr>
          <w:rFonts w:ascii="Times New Roman" w:hAnsi="Times New Roman" w:cs="Times New Roman"/>
        </w:rPr>
        <w:t xml:space="preserve"> were documented</w:t>
      </w:r>
      <w:r w:rsidR="00E71691" w:rsidRPr="00377375">
        <w:rPr>
          <w:rFonts w:ascii="Times New Roman" w:hAnsi="Times New Roman" w:cs="Times New Roman"/>
        </w:rPr>
        <w:t xml:space="preserve"> among covariates </w:t>
      </w:r>
      <w:r w:rsidR="001C696F">
        <w:rPr>
          <w:rFonts w:ascii="Times New Roman" w:hAnsi="Times New Roman" w:cs="Times New Roman"/>
        </w:rPr>
        <w:t xml:space="preserve">utilized </w:t>
      </w:r>
      <w:r w:rsidR="00E71691" w:rsidRPr="00377375">
        <w:rPr>
          <w:rFonts w:ascii="Times New Roman" w:hAnsi="Times New Roman" w:cs="Times New Roman"/>
        </w:rPr>
        <w:t xml:space="preserve">for </w:t>
      </w:r>
      <w:r w:rsidR="006A4DAA" w:rsidRPr="00377375">
        <w:rPr>
          <w:rFonts w:ascii="Times New Roman" w:hAnsi="Times New Roman" w:cs="Times New Roman"/>
        </w:rPr>
        <w:t>development</w:t>
      </w:r>
      <w:r w:rsidR="00052357">
        <w:rPr>
          <w:rFonts w:ascii="Times New Roman" w:hAnsi="Times New Roman" w:cs="Times New Roman"/>
        </w:rPr>
        <w:t xml:space="preserve"> and validation </w:t>
      </w:r>
      <w:r w:rsidR="00AB2C58">
        <w:rPr>
          <w:rFonts w:ascii="Times New Roman" w:hAnsi="Times New Roman" w:cs="Times New Roman"/>
        </w:rPr>
        <w:t>of</w:t>
      </w:r>
      <w:r w:rsidR="00E71691" w:rsidRPr="00377375">
        <w:rPr>
          <w:rFonts w:ascii="Times New Roman" w:hAnsi="Times New Roman" w:cs="Times New Roman"/>
        </w:rPr>
        <w:t xml:space="preserve"> the prognostic score. Therefore, n</w:t>
      </w:r>
      <w:r w:rsidR="009A7887" w:rsidRPr="00377375">
        <w:rPr>
          <w:rFonts w:ascii="Times New Roman" w:hAnsi="Times New Roman" w:cs="Times New Roman"/>
        </w:rPr>
        <w:t>o missing data imputation procedures w</w:t>
      </w:r>
      <w:r w:rsidR="00D52E34">
        <w:rPr>
          <w:rFonts w:ascii="Times New Roman" w:hAnsi="Times New Roman" w:cs="Times New Roman"/>
        </w:rPr>
        <w:t>ere</w:t>
      </w:r>
      <w:r w:rsidR="009A7887" w:rsidRPr="00377375">
        <w:rPr>
          <w:rFonts w:ascii="Times New Roman" w:hAnsi="Times New Roman" w:cs="Times New Roman"/>
        </w:rPr>
        <w:t xml:space="preserve"> used. </w:t>
      </w:r>
      <w:r w:rsidR="00125F0C" w:rsidRPr="00377375">
        <w:rPr>
          <w:rFonts w:ascii="Times New Roman" w:hAnsi="Times New Roman" w:cs="Times New Roman"/>
        </w:rPr>
        <w:t xml:space="preserve">All statistical tests were two-sided. Statistical significance was defined as p value &lt;0.05. The analysis was performed with the Statistical Package for the Social Sciences (SPSS) software v.22.0 (Chicago, IL) </w:t>
      </w:r>
      <w:r w:rsidR="00125F0C" w:rsidRPr="00377375">
        <w:rPr>
          <w:rFonts w:ascii="Times New Roman" w:hAnsi="Times New Roman" w:cs="Times New Roman"/>
          <w:lang w:val="en-GB"/>
        </w:rPr>
        <w:t xml:space="preserve">and with </w:t>
      </w:r>
      <w:r w:rsidR="00125F0C" w:rsidRPr="00377375">
        <w:rPr>
          <w:rFonts w:ascii="Times New Roman" w:hAnsi="Times New Roman" w:cs="Times New Roman"/>
        </w:rPr>
        <w:t>R statistical</w:t>
      </w:r>
      <w:r w:rsidR="00125F0C" w:rsidRPr="00377375">
        <w:rPr>
          <w:rFonts w:ascii="Times New Roman" w:hAnsi="Times New Roman" w:cs="Times New Roman"/>
          <w:vertAlign w:val="superscript"/>
        </w:rPr>
        <w:t xml:space="preserve"> </w:t>
      </w:r>
      <w:r w:rsidR="00125F0C" w:rsidRPr="00377375">
        <w:rPr>
          <w:rFonts w:ascii="Times New Roman" w:hAnsi="Times New Roman" w:cs="Times New Roman"/>
        </w:rPr>
        <w:t xml:space="preserve">package </w:t>
      </w:r>
      <w:r w:rsidR="001F3B6A" w:rsidRPr="00377375">
        <w:rPr>
          <w:rFonts w:ascii="Times New Roman" w:hAnsi="Times New Roman" w:cs="Times New Roman"/>
        </w:rPr>
        <w:t>v3.4.1</w:t>
      </w:r>
      <w:r w:rsidR="00125F0C" w:rsidRPr="00377375">
        <w:rPr>
          <w:rFonts w:ascii="Times New Roman" w:hAnsi="Times New Roman" w:cs="Times New Roman"/>
        </w:rPr>
        <w:t xml:space="preserve"> (</w:t>
      </w:r>
      <w:r w:rsidR="00CF55C5" w:rsidRPr="00CA6F67">
        <w:rPr>
          <w:rFonts w:ascii="Times New Roman" w:hAnsi="Times New Roman" w:cs="Times New Roman"/>
        </w:rPr>
        <w:t>http://www.r-project.org</w:t>
      </w:r>
      <w:r w:rsidR="00125F0C" w:rsidRPr="00377375">
        <w:rPr>
          <w:rFonts w:ascii="Times New Roman" w:hAnsi="Times New Roman" w:cs="Times New Roman"/>
        </w:rPr>
        <w:t xml:space="preserve">). </w:t>
      </w:r>
    </w:p>
    <w:p w14:paraId="4B4A89CD" w14:textId="77777777" w:rsidR="00CF55C5" w:rsidRPr="00377375" w:rsidRDefault="00CF55C5" w:rsidP="00E7120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5955EA9" w14:textId="77777777" w:rsidR="00273D0E" w:rsidRPr="00377375" w:rsidRDefault="00273D0E" w:rsidP="00273D0E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77375">
        <w:rPr>
          <w:rFonts w:ascii="Times New Roman" w:hAnsi="Times New Roman" w:cs="Times New Roman"/>
          <w:b/>
        </w:rPr>
        <w:t xml:space="preserve">Development </w:t>
      </w:r>
      <w:r w:rsidR="00684611" w:rsidRPr="00377375">
        <w:rPr>
          <w:rFonts w:ascii="Times New Roman" w:hAnsi="Times New Roman" w:cs="Times New Roman"/>
          <w:b/>
        </w:rPr>
        <w:t xml:space="preserve">and validation </w:t>
      </w:r>
      <w:r w:rsidRPr="00377375">
        <w:rPr>
          <w:rFonts w:ascii="Times New Roman" w:hAnsi="Times New Roman" w:cs="Times New Roman"/>
          <w:b/>
        </w:rPr>
        <w:t xml:space="preserve">of a </w:t>
      </w:r>
      <w:r w:rsidR="00684611" w:rsidRPr="00377375">
        <w:rPr>
          <w:rFonts w:ascii="Times New Roman" w:hAnsi="Times New Roman" w:cs="Times New Roman"/>
          <w:b/>
        </w:rPr>
        <w:t>score</w:t>
      </w:r>
      <w:r w:rsidRPr="00377375">
        <w:rPr>
          <w:rFonts w:ascii="Times New Roman" w:hAnsi="Times New Roman" w:cs="Times New Roman"/>
          <w:b/>
        </w:rPr>
        <w:t xml:space="preserve"> for </w:t>
      </w:r>
      <w:r w:rsidR="006F2D05" w:rsidRPr="00377375">
        <w:rPr>
          <w:rFonts w:ascii="Times New Roman" w:hAnsi="Times New Roman" w:cs="Times New Roman"/>
          <w:b/>
        </w:rPr>
        <w:t>TTFT</w:t>
      </w:r>
      <w:r w:rsidRPr="00377375">
        <w:rPr>
          <w:rFonts w:ascii="Times New Roman" w:hAnsi="Times New Roman" w:cs="Times New Roman"/>
          <w:b/>
        </w:rPr>
        <w:t xml:space="preserve"> prognostication</w:t>
      </w:r>
    </w:p>
    <w:p w14:paraId="03CDFD60" w14:textId="265436BF" w:rsidR="00C67EC3" w:rsidRPr="00543347" w:rsidRDefault="00273D0E" w:rsidP="001C0B74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377375">
        <w:rPr>
          <w:rFonts w:ascii="Times New Roman" w:hAnsi="Times New Roman" w:cs="Times New Roman"/>
        </w:rPr>
        <w:t>Survival analysis was performed by the Kaplan-Meier method and compar</w:t>
      </w:r>
      <w:r w:rsidR="00401BD3" w:rsidRPr="00377375">
        <w:rPr>
          <w:rFonts w:ascii="Times New Roman" w:hAnsi="Times New Roman" w:cs="Times New Roman"/>
        </w:rPr>
        <w:t>ison between strata</w:t>
      </w:r>
      <w:r w:rsidRPr="00377375">
        <w:rPr>
          <w:rFonts w:ascii="Times New Roman" w:hAnsi="Times New Roman" w:cs="Times New Roman"/>
        </w:rPr>
        <w:t xml:space="preserve"> using the </w:t>
      </w:r>
      <w:r w:rsidR="006D1624" w:rsidRPr="00377375">
        <w:rPr>
          <w:rFonts w:ascii="Times New Roman" w:hAnsi="Times New Roman" w:cs="Times New Roman"/>
        </w:rPr>
        <w:t>l</w:t>
      </w:r>
      <w:r w:rsidRPr="00377375">
        <w:rPr>
          <w:rFonts w:ascii="Times New Roman" w:hAnsi="Times New Roman" w:cs="Times New Roman"/>
        </w:rPr>
        <w:t>og-rank test.</w:t>
      </w:r>
      <w:r w:rsidR="00534494" w:rsidRPr="00377375">
        <w:rPr>
          <w:rFonts w:ascii="Times New Roman" w:hAnsi="Times New Roman" w:cs="Times New Roman"/>
          <w:vertAlign w:val="superscript"/>
        </w:rPr>
        <w:t>2</w:t>
      </w:r>
      <w:r w:rsidR="00034A72">
        <w:rPr>
          <w:rFonts w:ascii="Times New Roman" w:hAnsi="Times New Roman" w:cs="Times New Roman"/>
          <w:vertAlign w:val="superscript"/>
        </w:rPr>
        <w:t>8</w:t>
      </w:r>
      <w:r w:rsidRPr="00377375">
        <w:rPr>
          <w:rFonts w:ascii="Times New Roman" w:hAnsi="Times New Roman" w:cs="Times New Roman"/>
        </w:rPr>
        <w:t xml:space="preserve"> </w:t>
      </w:r>
      <w:r w:rsidR="00B60148" w:rsidRPr="00377375">
        <w:rPr>
          <w:rFonts w:ascii="Times New Roman" w:hAnsi="Times New Roman" w:cs="Times New Roman"/>
        </w:rPr>
        <w:t xml:space="preserve">Sensitivity analyses of TTFT were performed by considering death without treatment as a competing risk and </w:t>
      </w:r>
      <w:r w:rsidR="002C5F2D" w:rsidRPr="00377375">
        <w:rPr>
          <w:rFonts w:ascii="Times New Roman" w:hAnsi="Times New Roman" w:cs="Times New Roman"/>
        </w:rPr>
        <w:t xml:space="preserve">by using </w:t>
      </w:r>
      <w:r w:rsidR="00B60148" w:rsidRPr="00377375">
        <w:rPr>
          <w:rFonts w:ascii="Times New Roman" w:hAnsi="Times New Roman" w:cs="Times New Roman"/>
        </w:rPr>
        <w:t>Gray’s test</w:t>
      </w:r>
      <w:r w:rsidR="006114B3" w:rsidRPr="00377375">
        <w:rPr>
          <w:rFonts w:ascii="Times New Roman" w:hAnsi="Times New Roman" w:cs="Times New Roman"/>
        </w:rPr>
        <w:t xml:space="preserve"> for comparisons between strata.</w:t>
      </w:r>
      <w:r w:rsidR="00534494" w:rsidRPr="00377375">
        <w:rPr>
          <w:rFonts w:ascii="Times New Roman" w:hAnsi="Times New Roman" w:cs="Times New Roman"/>
          <w:vertAlign w:val="superscript"/>
        </w:rPr>
        <w:t>2</w:t>
      </w:r>
      <w:r w:rsidR="00034A72">
        <w:rPr>
          <w:rFonts w:ascii="Times New Roman" w:hAnsi="Times New Roman" w:cs="Times New Roman"/>
          <w:vertAlign w:val="superscript"/>
        </w:rPr>
        <w:t>9,30</w:t>
      </w:r>
      <w:r w:rsidR="00B60148" w:rsidRPr="00377375">
        <w:rPr>
          <w:rFonts w:ascii="Times New Roman" w:hAnsi="Times New Roman" w:cs="Times New Roman"/>
        </w:rPr>
        <w:t xml:space="preserve"> </w:t>
      </w:r>
      <w:r w:rsidRPr="00377375">
        <w:rPr>
          <w:rFonts w:ascii="Times New Roman" w:hAnsi="Times New Roman" w:cs="Times New Roman"/>
        </w:rPr>
        <w:t xml:space="preserve">The adjusted association </w:t>
      </w:r>
      <w:r w:rsidR="00DA19E1" w:rsidRPr="00377375">
        <w:rPr>
          <w:rFonts w:ascii="Times New Roman" w:hAnsi="Times New Roman" w:cs="Times New Roman"/>
        </w:rPr>
        <w:t xml:space="preserve">between exposure variables and </w:t>
      </w:r>
      <w:r w:rsidR="00BF7372" w:rsidRPr="00377375">
        <w:rPr>
          <w:rFonts w:ascii="Times New Roman" w:hAnsi="Times New Roman" w:cs="Times New Roman"/>
        </w:rPr>
        <w:t xml:space="preserve">TTFT </w:t>
      </w:r>
      <w:r w:rsidRPr="00377375">
        <w:rPr>
          <w:rFonts w:ascii="Times New Roman" w:hAnsi="Times New Roman" w:cs="Times New Roman"/>
        </w:rPr>
        <w:t>was estimated by Cox regression.</w:t>
      </w:r>
      <w:r w:rsidR="00034A72">
        <w:rPr>
          <w:rFonts w:ascii="Times New Roman" w:hAnsi="Times New Roman" w:cs="Times New Roman"/>
          <w:vertAlign w:val="superscript"/>
        </w:rPr>
        <w:t>31</w:t>
      </w:r>
      <w:r w:rsidRPr="00377375">
        <w:rPr>
          <w:rFonts w:ascii="Times New Roman" w:hAnsi="Times New Roman" w:cs="Times New Roman"/>
        </w:rPr>
        <w:t xml:space="preserve"> </w:t>
      </w:r>
      <w:r w:rsidR="007F4E40" w:rsidRPr="00377375">
        <w:rPr>
          <w:rFonts w:ascii="Times New Roman" w:hAnsi="Times New Roman" w:cs="Times New Roman"/>
        </w:rPr>
        <w:t xml:space="preserve">In the training cohort, </w:t>
      </w:r>
      <w:r w:rsidRPr="00377375">
        <w:rPr>
          <w:rFonts w:ascii="Times New Roman" w:hAnsi="Times New Roman" w:cs="Times New Roman"/>
        </w:rPr>
        <w:t xml:space="preserve">Cox regression included exposure variables showing </w:t>
      </w:r>
      <w:r w:rsidRPr="00377375">
        <w:rPr>
          <w:rFonts w:ascii="Times New Roman" w:hAnsi="Times New Roman" w:cs="Times New Roman"/>
        </w:rPr>
        <w:lastRenderedPageBreak/>
        <w:t xml:space="preserve">an </w:t>
      </w:r>
      <w:proofErr w:type="spellStart"/>
      <w:r w:rsidR="002D4608">
        <w:rPr>
          <w:rFonts w:ascii="Times New Roman" w:hAnsi="Times New Roman" w:cs="Times New Roman"/>
        </w:rPr>
        <w:t>univariable</w:t>
      </w:r>
      <w:proofErr w:type="spellEnd"/>
      <w:r w:rsidRPr="00377375">
        <w:rPr>
          <w:rFonts w:ascii="Times New Roman" w:hAnsi="Times New Roman" w:cs="Times New Roman"/>
        </w:rPr>
        <w:t xml:space="preserve"> association with </w:t>
      </w:r>
      <w:r w:rsidR="00BF7372" w:rsidRPr="00377375">
        <w:rPr>
          <w:rFonts w:ascii="Times New Roman" w:hAnsi="Times New Roman" w:cs="Times New Roman"/>
        </w:rPr>
        <w:t xml:space="preserve">TTFT </w:t>
      </w:r>
      <w:r w:rsidRPr="00377375">
        <w:rPr>
          <w:rFonts w:ascii="Times New Roman" w:hAnsi="Times New Roman" w:cs="Times New Roman"/>
        </w:rPr>
        <w:t xml:space="preserve">with a </w:t>
      </w:r>
      <w:proofErr w:type="spellStart"/>
      <w:r w:rsidRPr="00377375">
        <w:rPr>
          <w:rFonts w:ascii="Times New Roman" w:hAnsi="Times New Roman" w:cs="Times New Roman"/>
        </w:rPr>
        <w:t>Bonferroni</w:t>
      </w:r>
      <w:proofErr w:type="spellEnd"/>
      <w:r w:rsidRPr="00377375">
        <w:rPr>
          <w:rFonts w:ascii="Times New Roman" w:hAnsi="Times New Roman" w:cs="Times New Roman"/>
        </w:rPr>
        <w:t xml:space="preserve"> corrected </w:t>
      </w:r>
      <w:r w:rsidR="00C74201" w:rsidRPr="00377375">
        <w:rPr>
          <w:rFonts w:ascii="Times New Roman" w:hAnsi="Times New Roman" w:cs="Times New Roman"/>
        </w:rPr>
        <w:t>p value</w:t>
      </w:r>
      <w:r w:rsidR="00042032" w:rsidRPr="00377375">
        <w:rPr>
          <w:rFonts w:ascii="Times New Roman" w:hAnsi="Times New Roman" w:cs="Times New Roman"/>
        </w:rPr>
        <w:t xml:space="preserve"> &lt;0.05</w:t>
      </w:r>
      <w:r w:rsidRPr="00377375">
        <w:rPr>
          <w:rFonts w:ascii="Times New Roman" w:hAnsi="Times New Roman" w:cs="Times New Roman"/>
        </w:rPr>
        <w:t xml:space="preserve"> to account for multipl</w:t>
      </w:r>
      <w:r w:rsidR="00C61061">
        <w:rPr>
          <w:rFonts w:ascii="Times New Roman" w:hAnsi="Times New Roman" w:cs="Times New Roman"/>
        </w:rPr>
        <w:t>e testing</w:t>
      </w:r>
      <w:r w:rsidRPr="00377375">
        <w:rPr>
          <w:rFonts w:ascii="Times New Roman" w:hAnsi="Times New Roman" w:cs="Times New Roman"/>
        </w:rPr>
        <w:t>. Backward elimination using likelihood ratio statis</w:t>
      </w:r>
      <w:r w:rsidR="00F04EFE">
        <w:rPr>
          <w:rFonts w:ascii="Times New Roman" w:hAnsi="Times New Roman" w:cs="Times New Roman"/>
        </w:rPr>
        <w:t>tics with selection criterion p</w:t>
      </w:r>
      <w:r w:rsidRPr="00377375">
        <w:rPr>
          <w:rFonts w:ascii="Times New Roman" w:hAnsi="Times New Roman" w:cs="Times New Roman"/>
        </w:rPr>
        <w:t>&lt;</w:t>
      </w:r>
      <w:r w:rsidR="006D1624" w:rsidRPr="00377375">
        <w:rPr>
          <w:rFonts w:ascii="Times New Roman" w:hAnsi="Times New Roman" w:cs="Times New Roman"/>
        </w:rPr>
        <w:t>0</w:t>
      </w:r>
      <w:r w:rsidRPr="00377375">
        <w:rPr>
          <w:rFonts w:ascii="Times New Roman" w:hAnsi="Times New Roman" w:cs="Times New Roman"/>
        </w:rPr>
        <w:t xml:space="preserve">.05 was used to derive the final </w:t>
      </w:r>
      <w:r w:rsidR="007F4E40" w:rsidRPr="00377375">
        <w:rPr>
          <w:rFonts w:ascii="Times New Roman" w:hAnsi="Times New Roman" w:cs="Times New Roman"/>
        </w:rPr>
        <w:t xml:space="preserve">Cox model to be </w:t>
      </w:r>
      <w:r w:rsidR="007F4E40" w:rsidRPr="0068767E">
        <w:rPr>
          <w:rFonts w:ascii="Times New Roman" w:hAnsi="Times New Roman" w:cs="Times New Roman"/>
        </w:rPr>
        <w:t>validated</w:t>
      </w:r>
      <w:r w:rsidRPr="0068767E">
        <w:rPr>
          <w:rFonts w:ascii="Times New Roman" w:hAnsi="Times New Roman" w:cs="Times New Roman"/>
        </w:rPr>
        <w:t>.</w:t>
      </w:r>
      <w:r w:rsidRPr="0068767E">
        <w:rPr>
          <w:rFonts w:ascii="Times New Roman" w:hAnsi="Times New Roman" w:cs="Times New Roman"/>
          <w:szCs w:val="20"/>
        </w:rPr>
        <w:t xml:space="preserve"> </w:t>
      </w:r>
      <w:r w:rsidR="0071601E" w:rsidRPr="0068767E">
        <w:rPr>
          <w:rFonts w:ascii="Times New Roman" w:hAnsi="Times New Roman" w:cs="Times New Roman"/>
          <w:szCs w:val="20"/>
        </w:rPr>
        <w:t>An elastic net penalized regression model was fit to</w:t>
      </w:r>
      <w:r w:rsidR="001F135C" w:rsidRPr="0068767E">
        <w:rPr>
          <w:rFonts w:ascii="Times New Roman" w:hAnsi="Times New Roman" w:cs="Times New Roman"/>
          <w:szCs w:val="20"/>
        </w:rPr>
        <w:t xml:space="preserve"> the training set to</w:t>
      </w:r>
      <w:r w:rsidR="0071601E" w:rsidRPr="0068767E">
        <w:rPr>
          <w:rFonts w:ascii="Times New Roman" w:hAnsi="Times New Roman" w:cs="Times New Roman"/>
          <w:szCs w:val="20"/>
        </w:rPr>
        <w:t xml:space="preserve"> exclude potential variable loss in the backward selection </w:t>
      </w:r>
      <w:r w:rsidR="00F759CF" w:rsidRPr="0068767E">
        <w:rPr>
          <w:rFonts w:ascii="Times New Roman" w:hAnsi="Times New Roman" w:cs="Times New Roman"/>
          <w:szCs w:val="20"/>
        </w:rPr>
        <w:t>procedure</w:t>
      </w:r>
      <w:r w:rsidR="0071601E" w:rsidRPr="0068767E">
        <w:rPr>
          <w:rFonts w:ascii="Times New Roman" w:hAnsi="Times New Roman" w:cs="Times New Roman"/>
          <w:szCs w:val="20"/>
        </w:rPr>
        <w:t>.</w:t>
      </w:r>
      <w:r w:rsidR="002B5C04">
        <w:rPr>
          <w:rFonts w:ascii="Times New Roman" w:hAnsi="Times New Roman" w:cs="Times New Roman"/>
          <w:szCs w:val="20"/>
          <w:vertAlign w:val="superscript"/>
        </w:rPr>
        <w:t>3</w:t>
      </w:r>
      <w:r w:rsidR="00034A72">
        <w:rPr>
          <w:rFonts w:ascii="Times New Roman" w:hAnsi="Times New Roman" w:cs="Times New Roman"/>
          <w:szCs w:val="20"/>
          <w:vertAlign w:val="superscript"/>
        </w:rPr>
        <w:t>2</w:t>
      </w:r>
      <w:r w:rsidR="004759E9" w:rsidRPr="0068767E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1E2B6A">
        <w:rPr>
          <w:rFonts w:ascii="Times New Roman" w:hAnsi="Times New Roman" w:cs="Times New Roman"/>
          <w:szCs w:val="20"/>
        </w:rPr>
        <w:t>The</w:t>
      </w:r>
      <w:proofErr w:type="gramEnd"/>
      <w:r w:rsidR="001E2B6A">
        <w:rPr>
          <w:rFonts w:ascii="Times New Roman" w:hAnsi="Times New Roman" w:cs="Times New Roman"/>
          <w:szCs w:val="20"/>
        </w:rPr>
        <w:t xml:space="preserve"> </w:t>
      </w:r>
      <w:r w:rsidR="00406D75" w:rsidRPr="0068767E">
        <w:rPr>
          <w:rFonts w:ascii="Times New Roman" w:hAnsi="Times New Roman" w:cs="Times New Roman"/>
          <w:szCs w:val="20"/>
        </w:rPr>
        <w:t xml:space="preserve">mixing parameter was selected </w:t>
      </w:r>
      <w:r w:rsidR="00EA4D0E" w:rsidRPr="0068767E">
        <w:rPr>
          <w:rFonts w:ascii="Times New Roman" w:hAnsi="Times New Roman" w:cs="Times New Roman"/>
          <w:szCs w:val="20"/>
        </w:rPr>
        <w:t>using</w:t>
      </w:r>
      <w:r w:rsidR="00406D75" w:rsidRPr="0068767E">
        <w:rPr>
          <w:rFonts w:ascii="Times New Roman" w:hAnsi="Times New Roman" w:cs="Times New Roman"/>
          <w:szCs w:val="20"/>
        </w:rPr>
        <w:t xml:space="preserve"> </w:t>
      </w:r>
      <w:r w:rsidR="00E448CD" w:rsidRPr="0068767E">
        <w:rPr>
          <w:rFonts w:ascii="Times New Roman" w:hAnsi="Times New Roman" w:cs="Times New Roman"/>
          <w:szCs w:val="20"/>
        </w:rPr>
        <w:t>1</w:t>
      </w:r>
      <w:r w:rsidR="00406D75" w:rsidRPr="0068767E">
        <w:rPr>
          <w:rFonts w:ascii="Times New Roman" w:hAnsi="Times New Roman" w:cs="Times New Roman"/>
          <w:szCs w:val="20"/>
        </w:rPr>
        <w:t xml:space="preserve">0-fold cross-validation. </w:t>
      </w:r>
      <w:r w:rsidR="003D76CB" w:rsidRPr="0068767E">
        <w:rPr>
          <w:rFonts w:ascii="Times New Roman" w:hAnsi="Times New Roman" w:cs="Times New Roman"/>
          <w:szCs w:val="20"/>
        </w:rPr>
        <w:t xml:space="preserve">The ideal model was selected as that corresponding to the largest value of </w:t>
      </w:r>
      <w:r w:rsidR="0060534B">
        <w:rPr>
          <w:rFonts w:ascii="Times New Roman" w:hAnsi="Times New Roman" w:cs="Times New Roman"/>
          <w:szCs w:val="20"/>
        </w:rPr>
        <w:t>the tuning parameter</w:t>
      </w:r>
      <w:r w:rsidR="0060534B" w:rsidRPr="0068767E">
        <w:rPr>
          <w:rFonts w:ascii="Times New Roman" w:hAnsi="Times New Roman" w:cs="Times New Roman"/>
          <w:szCs w:val="20"/>
        </w:rPr>
        <w:t xml:space="preserve"> </w:t>
      </w:r>
      <w:r w:rsidR="003D76CB" w:rsidRPr="0068767E">
        <w:rPr>
          <w:rFonts w:ascii="Times New Roman" w:hAnsi="Times New Roman" w:cs="Times New Roman"/>
          <w:szCs w:val="20"/>
        </w:rPr>
        <w:t>such that</w:t>
      </w:r>
      <w:r w:rsidR="00406D75" w:rsidRPr="0068767E">
        <w:rPr>
          <w:rFonts w:ascii="Times New Roman" w:hAnsi="Times New Roman" w:cs="Times New Roman"/>
          <w:szCs w:val="20"/>
        </w:rPr>
        <w:t xml:space="preserve"> the</w:t>
      </w:r>
      <w:r w:rsidR="003D76CB" w:rsidRPr="0068767E">
        <w:rPr>
          <w:rFonts w:ascii="Times New Roman" w:hAnsi="Times New Roman" w:cs="Times New Roman"/>
          <w:szCs w:val="20"/>
        </w:rPr>
        <w:t xml:space="preserve"> error </w:t>
      </w:r>
      <w:r w:rsidR="00406D75" w:rsidRPr="0068767E">
        <w:rPr>
          <w:rFonts w:ascii="Times New Roman" w:hAnsi="Times New Roman" w:cs="Times New Roman"/>
          <w:szCs w:val="20"/>
        </w:rPr>
        <w:t>was</w:t>
      </w:r>
      <w:r w:rsidR="003D76CB" w:rsidRPr="0068767E">
        <w:rPr>
          <w:rFonts w:ascii="Times New Roman" w:hAnsi="Times New Roman" w:cs="Times New Roman"/>
          <w:szCs w:val="20"/>
        </w:rPr>
        <w:t xml:space="preserve"> within 1 standard error of the minimum</w:t>
      </w:r>
      <w:r w:rsidR="00406D75" w:rsidRPr="0068767E">
        <w:t xml:space="preserve"> </w:t>
      </w:r>
      <w:r w:rsidR="00406D75" w:rsidRPr="0068767E">
        <w:rPr>
          <w:rFonts w:ascii="Times New Roman" w:hAnsi="Times New Roman" w:cs="Times New Roman"/>
          <w:szCs w:val="20"/>
        </w:rPr>
        <w:t>mean cross-validated error</w:t>
      </w:r>
      <w:r w:rsidR="003D76CB" w:rsidRPr="0068767E">
        <w:rPr>
          <w:rFonts w:ascii="Times New Roman" w:hAnsi="Times New Roman" w:cs="Times New Roman"/>
          <w:szCs w:val="20"/>
        </w:rPr>
        <w:t xml:space="preserve">. </w:t>
      </w:r>
      <w:r w:rsidRPr="0068767E">
        <w:rPr>
          <w:rFonts w:ascii="Times New Roman" w:hAnsi="Times New Roman" w:cs="Times New Roman"/>
        </w:rPr>
        <w:t xml:space="preserve">The proportional </w:t>
      </w:r>
      <w:r w:rsidRPr="00377375">
        <w:rPr>
          <w:rFonts w:ascii="Times New Roman" w:hAnsi="Times New Roman" w:cs="Times New Roman"/>
        </w:rPr>
        <w:t xml:space="preserve">hazard assumption was assessed by plotting the smoothed </w:t>
      </w:r>
      <w:proofErr w:type="spellStart"/>
      <w:r w:rsidRPr="00377375">
        <w:rPr>
          <w:rFonts w:ascii="Times New Roman" w:hAnsi="Times New Roman" w:cs="Times New Roman"/>
        </w:rPr>
        <w:t>Schoenfeld</w:t>
      </w:r>
      <w:proofErr w:type="spellEnd"/>
      <w:r w:rsidRPr="00377375">
        <w:rPr>
          <w:rFonts w:ascii="Times New Roman" w:hAnsi="Times New Roman" w:cs="Times New Roman"/>
        </w:rPr>
        <w:t xml:space="preserve"> residuals against time.</w:t>
      </w:r>
      <w:r w:rsidR="002B5C04">
        <w:rPr>
          <w:rFonts w:ascii="Times New Roman" w:hAnsi="Times New Roman" w:cs="Times New Roman"/>
          <w:vertAlign w:val="superscript"/>
        </w:rPr>
        <w:t>3</w:t>
      </w:r>
      <w:r w:rsidR="00034A72">
        <w:rPr>
          <w:rFonts w:ascii="Times New Roman" w:hAnsi="Times New Roman" w:cs="Times New Roman"/>
          <w:vertAlign w:val="superscript"/>
        </w:rPr>
        <w:t>3</w:t>
      </w:r>
      <w:r w:rsidR="00565C74" w:rsidRPr="00377375">
        <w:rPr>
          <w:rFonts w:ascii="Times New Roman" w:hAnsi="Times New Roman" w:cs="Times New Roman"/>
        </w:rPr>
        <w:t xml:space="preserve"> </w:t>
      </w:r>
      <w:proofErr w:type="gramStart"/>
      <w:r w:rsidR="00B71A56" w:rsidRPr="00377375">
        <w:rPr>
          <w:rFonts w:ascii="Times New Roman" w:hAnsi="Times New Roman" w:cs="Times New Roman"/>
        </w:rPr>
        <w:t>The</w:t>
      </w:r>
      <w:proofErr w:type="gramEnd"/>
      <w:r w:rsidR="00B71A56" w:rsidRPr="00377375">
        <w:rPr>
          <w:rFonts w:ascii="Times New Roman" w:hAnsi="Times New Roman" w:cs="Times New Roman"/>
        </w:rPr>
        <w:t xml:space="preserve"> stability of the </w:t>
      </w:r>
      <w:r w:rsidR="00565C74" w:rsidRPr="00377375">
        <w:rPr>
          <w:rFonts w:ascii="Times New Roman" w:hAnsi="Times New Roman" w:cs="Times New Roman"/>
        </w:rPr>
        <w:t xml:space="preserve">Cox </w:t>
      </w:r>
      <w:r w:rsidR="00B71A56" w:rsidRPr="00377375">
        <w:rPr>
          <w:rFonts w:ascii="Times New Roman" w:hAnsi="Times New Roman" w:cs="Times New Roman"/>
        </w:rPr>
        <w:t xml:space="preserve">model was </w:t>
      </w:r>
      <w:r w:rsidR="00565C74" w:rsidRPr="00377375">
        <w:rPr>
          <w:rFonts w:ascii="Times New Roman" w:hAnsi="Times New Roman" w:cs="Times New Roman"/>
        </w:rPr>
        <w:t>externally</w:t>
      </w:r>
      <w:r w:rsidR="00B71A56" w:rsidRPr="00377375">
        <w:rPr>
          <w:rFonts w:ascii="Times New Roman" w:hAnsi="Times New Roman" w:cs="Times New Roman"/>
        </w:rPr>
        <w:t xml:space="preserve"> validated across the 9 </w:t>
      </w:r>
      <w:proofErr w:type="spellStart"/>
      <w:r w:rsidR="00CA6F67">
        <w:rPr>
          <w:rFonts w:ascii="Times New Roman" w:hAnsi="Times New Roman" w:cs="Times New Roman"/>
        </w:rPr>
        <w:t>Binet</w:t>
      </w:r>
      <w:proofErr w:type="spellEnd"/>
      <w:r w:rsidR="00CA6F67">
        <w:rPr>
          <w:rFonts w:ascii="Times New Roman" w:hAnsi="Times New Roman" w:cs="Times New Roman"/>
        </w:rPr>
        <w:t xml:space="preserve"> A </w:t>
      </w:r>
      <w:r w:rsidR="00B71A56" w:rsidRPr="00377375">
        <w:rPr>
          <w:rFonts w:ascii="Times New Roman" w:hAnsi="Times New Roman" w:cs="Times New Roman"/>
        </w:rPr>
        <w:t>validation cohorts.</w:t>
      </w:r>
      <w:r w:rsidR="008E149A">
        <w:rPr>
          <w:rFonts w:ascii="Times New Roman" w:hAnsi="Times New Roman" w:cs="Times New Roman"/>
        </w:rPr>
        <w:t xml:space="preserve"> </w:t>
      </w:r>
      <w:r w:rsidR="00B71A56" w:rsidRPr="00377375">
        <w:rPr>
          <w:rFonts w:ascii="Times New Roman" w:hAnsi="Times New Roman" w:cs="Times New Roman"/>
        </w:rPr>
        <w:t xml:space="preserve">Only variables </w:t>
      </w:r>
      <w:r w:rsidR="00565C74" w:rsidRPr="00377375">
        <w:rPr>
          <w:rFonts w:ascii="Times New Roman" w:hAnsi="Times New Roman" w:cs="Times New Roman"/>
        </w:rPr>
        <w:t xml:space="preserve">independently and </w:t>
      </w:r>
      <w:r w:rsidR="00B71A56" w:rsidRPr="00377375">
        <w:rPr>
          <w:rFonts w:ascii="Times New Roman" w:hAnsi="Times New Roman" w:cs="Times New Roman"/>
        </w:rPr>
        <w:t xml:space="preserve">significantly associated </w:t>
      </w:r>
      <w:r w:rsidR="00565C74" w:rsidRPr="00377375">
        <w:rPr>
          <w:rFonts w:ascii="Times New Roman" w:hAnsi="Times New Roman" w:cs="Times New Roman"/>
        </w:rPr>
        <w:t xml:space="preserve">with TTFT </w:t>
      </w:r>
      <w:r w:rsidR="00B71A56" w:rsidRPr="00377375">
        <w:rPr>
          <w:rFonts w:ascii="Times New Roman" w:hAnsi="Times New Roman" w:cs="Times New Roman"/>
        </w:rPr>
        <w:t xml:space="preserve">in more </w:t>
      </w:r>
      <w:r w:rsidR="00F85D69" w:rsidRPr="00377375">
        <w:rPr>
          <w:rFonts w:ascii="Times New Roman" w:hAnsi="Times New Roman" w:cs="Times New Roman"/>
        </w:rPr>
        <w:t>than 50%</w:t>
      </w:r>
      <w:r w:rsidR="00565C74" w:rsidRPr="00377375">
        <w:rPr>
          <w:rFonts w:ascii="Times New Roman" w:hAnsi="Times New Roman" w:cs="Times New Roman"/>
        </w:rPr>
        <w:t xml:space="preserve"> </w:t>
      </w:r>
      <w:r w:rsidR="00B71A56" w:rsidRPr="00377375">
        <w:rPr>
          <w:rFonts w:ascii="Times New Roman" w:hAnsi="Times New Roman" w:cs="Times New Roman"/>
        </w:rPr>
        <w:t xml:space="preserve">of the validation cohorts were used to construct the final </w:t>
      </w:r>
      <w:r w:rsidR="007F4E40" w:rsidRPr="00377375">
        <w:rPr>
          <w:rFonts w:ascii="Times New Roman" w:hAnsi="Times New Roman" w:cs="Times New Roman"/>
        </w:rPr>
        <w:t>score</w:t>
      </w:r>
      <w:r w:rsidR="00B71A56" w:rsidRPr="00377375">
        <w:rPr>
          <w:rFonts w:ascii="Times New Roman" w:hAnsi="Times New Roman" w:cs="Times New Roman"/>
        </w:rPr>
        <w:t>.</w:t>
      </w:r>
      <w:r w:rsidR="00565C74" w:rsidRPr="00377375">
        <w:rPr>
          <w:rFonts w:ascii="Times New Roman" w:hAnsi="Times New Roman" w:cs="Times New Roman"/>
        </w:rPr>
        <w:t xml:space="preserve"> </w:t>
      </w:r>
      <w:r w:rsidRPr="00377375">
        <w:rPr>
          <w:rFonts w:ascii="Times New Roman" w:hAnsi="Times New Roman" w:cs="Times New Roman"/>
        </w:rPr>
        <w:t>We assigned a weighted</w:t>
      </w:r>
      <w:r w:rsidR="006D1624" w:rsidRPr="00377375">
        <w:rPr>
          <w:rFonts w:ascii="Times New Roman" w:hAnsi="Times New Roman" w:cs="Times New Roman"/>
        </w:rPr>
        <w:t>-</w:t>
      </w:r>
      <w:r w:rsidRPr="00377375">
        <w:rPr>
          <w:rFonts w:ascii="Times New Roman" w:hAnsi="Times New Roman" w:cs="Times New Roman"/>
        </w:rPr>
        <w:t>risk score to each factor based on the regression parameters from the Cox regression analysis. The score was defined as the sum of single-risk parameters.</w:t>
      </w:r>
      <w:r w:rsidR="00AB5080">
        <w:rPr>
          <w:rFonts w:ascii="Times New Roman" w:hAnsi="Times New Roman" w:cs="Times New Roman"/>
          <w:vertAlign w:val="superscript"/>
        </w:rPr>
        <w:t>20</w:t>
      </w:r>
      <w:r w:rsidRPr="00377375">
        <w:rPr>
          <w:rFonts w:ascii="Times New Roman" w:hAnsi="Times New Roman" w:cs="Times New Roman"/>
        </w:rPr>
        <w:t xml:space="preserve"> We </w:t>
      </w:r>
      <w:r w:rsidR="00EA1CC9" w:rsidRPr="00377375">
        <w:rPr>
          <w:rFonts w:ascii="Times New Roman" w:hAnsi="Times New Roman" w:cs="Times New Roman"/>
        </w:rPr>
        <w:t>stratified patients in</w:t>
      </w:r>
      <w:r w:rsidRPr="00377375">
        <w:rPr>
          <w:rFonts w:ascii="Times New Roman" w:hAnsi="Times New Roman" w:cs="Times New Roman"/>
        </w:rPr>
        <w:t xml:space="preserve"> different risk groups </w:t>
      </w:r>
      <w:r w:rsidR="00424CC5" w:rsidRPr="00377375">
        <w:rPr>
          <w:rFonts w:ascii="Times New Roman" w:hAnsi="Times New Roman" w:cs="Times New Roman"/>
        </w:rPr>
        <w:t>by</w:t>
      </w:r>
      <w:r w:rsidRPr="00377375">
        <w:rPr>
          <w:rFonts w:ascii="Times New Roman" w:hAnsi="Times New Roman" w:cs="Times New Roman"/>
        </w:rPr>
        <w:t xml:space="preserve"> recursive partitioning</w:t>
      </w:r>
      <w:r w:rsidR="00424CC5" w:rsidRPr="00377375">
        <w:rPr>
          <w:rFonts w:ascii="Times New Roman" w:hAnsi="Times New Roman" w:cs="Times New Roman"/>
        </w:rPr>
        <w:t xml:space="preserve"> of the score</w:t>
      </w:r>
      <w:r w:rsidRPr="00377375">
        <w:rPr>
          <w:rFonts w:ascii="Times New Roman" w:hAnsi="Times New Roman" w:cs="Times New Roman"/>
        </w:rPr>
        <w:t>.</w:t>
      </w:r>
      <w:r w:rsidR="00DA3573">
        <w:rPr>
          <w:rFonts w:ascii="Times New Roman" w:hAnsi="Times New Roman" w:cs="Times New Roman"/>
          <w:vertAlign w:val="superscript"/>
        </w:rPr>
        <w:t>3</w:t>
      </w:r>
      <w:r w:rsidR="00AB5080">
        <w:rPr>
          <w:rFonts w:ascii="Times New Roman" w:hAnsi="Times New Roman" w:cs="Times New Roman"/>
          <w:vertAlign w:val="superscript"/>
        </w:rPr>
        <w:t>4</w:t>
      </w:r>
      <w:r w:rsidRPr="00377375">
        <w:rPr>
          <w:rFonts w:ascii="Times New Roman" w:hAnsi="Times New Roman" w:cs="Times New Roman"/>
        </w:rPr>
        <w:t xml:space="preserve"> </w:t>
      </w:r>
      <w:r w:rsidR="001353ED" w:rsidRPr="00377375">
        <w:rPr>
          <w:rFonts w:ascii="Times New Roman" w:hAnsi="Times New Roman" w:cs="Times New Roman"/>
        </w:rPr>
        <w:t>Two</w:t>
      </w:r>
      <w:r w:rsidRPr="00377375">
        <w:rPr>
          <w:rFonts w:ascii="Times New Roman" w:hAnsi="Times New Roman" w:cs="Times New Roman"/>
        </w:rPr>
        <w:t xml:space="preserve"> major steps were utilized to derive the best decision tree: </w:t>
      </w:r>
      <w:proofErr w:type="spellStart"/>
      <w:r w:rsidRPr="00377375">
        <w:rPr>
          <w:rFonts w:ascii="Times New Roman" w:hAnsi="Times New Roman" w:cs="Times New Roman"/>
        </w:rPr>
        <w:t>i</w:t>
      </w:r>
      <w:proofErr w:type="spellEnd"/>
      <w:r w:rsidRPr="00377375">
        <w:rPr>
          <w:rFonts w:ascii="Times New Roman" w:hAnsi="Times New Roman" w:cs="Times New Roman"/>
        </w:rPr>
        <w:t>) growing an initial tree under the following constraints and stopping rules</w:t>
      </w:r>
      <w:r w:rsidR="00335C1E">
        <w:rPr>
          <w:rFonts w:ascii="Times New Roman" w:hAnsi="Times New Roman" w:cs="Times New Roman"/>
        </w:rPr>
        <w:t>;</w:t>
      </w:r>
      <w:r w:rsidR="00335C1E" w:rsidRPr="00377375">
        <w:rPr>
          <w:rFonts w:ascii="Times New Roman" w:hAnsi="Times New Roman" w:cs="Times New Roman"/>
        </w:rPr>
        <w:t xml:space="preserve"> </w:t>
      </w:r>
      <w:r w:rsidRPr="00377375">
        <w:rPr>
          <w:rFonts w:ascii="Times New Roman" w:hAnsi="Times New Roman" w:cs="Times New Roman"/>
        </w:rPr>
        <w:t>a)</w:t>
      </w:r>
      <w:r w:rsidR="001F3B6A" w:rsidRPr="00377375">
        <w:rPr>
          <w:rFonts w:ascii="Times New Roman" w:hAnsi="Times New Roman" w:cs="Times New Roman"/>
        </w:rPr>
        <w:t xml:space="preserve"> split criteria of p&lt;0.01</w:t>
      </w:r>
      <w:r w:rsidRPr="00377375">
        <w:rPr>
          <w:rFonts w:ascii="Times New Roman" w:hAnsi="Times New Roman" w:cs="Times New Roman"/>
        </w:rPr>
        <w:t xml:space="preserve"> according to the log-rank test; b) &gt;20 patients in a node in order to be considered for splitting; c) &gt;10 patients in a terminal node; </w:t>
      </w:r>
      <w:r w:rsidR="0078028B">
        <w:rPr>
          <w:rFonts w:ascii="Times New Roman" w:hAnsi="Times New Roman" w:cs="Times New Roman"/>
        </w:rPr>
        <w:t xml:space="preserve">and </w:t>
      </w:r>
      <w:r w:rsidRPr="00377375">
        <w:rPr>
          <w:rFonts w:ascii="Times New Roman" w:hAnsi="Times New Roman" w:cs="Times New Roman"/>
        </w:rPr>
        <w:t>ii) applying a pruning algorithm based on th</w:t>
      </w:r>
      <w:r w:rsidR="009705CA" w:rsidRPr="00377375">
        <w:rPr>
          <w:rFonts w:ascii="Times New Roman" w:hAnsi="Times New Roman" w:cs="Times New Roman"/>
        </w:rPr>
        <w:t>e complexity parameter (</w:t>
      </w:r>
      <w:proofErr w:type="spellStart"/>
      <w:r w:rsidR="009705CA" w:rsidRPr="00377375">
        <w:rPr>
          <w:rFonts w:ascii="Times New Roman" w:hAnsi="Times New Roman" w:cs="Times New Roman"/>
        </w:rPr>
        <w:t>cp</w:t>
      </w:r>
      <w:proofErr w:type="spellEnd"/>
      <w:r w:rsidR="009705CA" w:rsidRPr="00377375">
        <w:rPr>
          <w:rFonts w:ascii="Times New Roman" w:hAnsi="Times New Roman" w:cs="Times New Roman"/>
        </w:rPr>
        <w:t xml:space="preserve"> &gt;</w:t>
      </w:r>
      <w:r w:rsidR="001F3B6A" w:rsidRPr="00377375">
        <w:rPr>
          <w:rFonts w:ascii="Times New Roman" w:hAnsi="Times New Roman" w:cs="Times New Roman"/>
        </w:rPr>
        <w:t>0.01)</w:t>
      </w:r>
      <w:r w:rsidRPr="00377375">
        <w:rPr>
          <w:rFonts w:ascii="Times New Roman" w:hAnsi="Times New Roman" w:cs="Times New Roman"/>
        </w:rPr>
        <w:t xml:space="preserve">. </w:t>
      </w:r>
      <w:r w:rsidR="00CF55C5">
        <w:rPr>
          <w:rFonts w:ascii="Times New Roman" w:hAnsi="Times New Roman" w:cs="Times New Roman"/>
        </w:rPr>
        <w:t>M</w:t>
      </w:r>
      <w:r w:rsidR="00CC57CD" w:rsidRPr="00377375">
        <w:rPr>
          <w:rFonts w:ascii="Times New Roman" w:hAnsi="Times New Roman" w:cs="Times New Roman"/>
        </w:rPr>
        <w:t xml:space="preserve">odel discrimination was computed using </w:t>
      </w:r>
      <w:r w:rsidR="004E6832" w:rsidRPr="00377375">
        <w:rPr>
          <w:rFonts w:ascii="Times New Roman" w:hAnsi="Times New Roman" w:cs="Times New Roman"/>
        </w:rPr>
        <w:t xml:space="preserve">the </w:t>
      </w:r>
      <w:proofErr w:type="spellStart"/>
      <w:r w:rsidR="009E3589" w:rsidRPr="00377375">
        <w:rPr>
          <w:rFonts w:ascii="Times New Roman" w:hAnsi="Times New Roman" w:cs="Times New Roman"/>
        </w:rPr>
        <w:t>Harrel’s</w:t>
      </w:r>
      <w:proofErr w:type="spellEnd"/>
      <w:r w:rsidR="009E3589" w:rsidRPr="00377375">
        <w:rPr>
          <w:rFonts w:ascii="Times New Roman" w:hAnsi="Times New Roman" w:cs="Times New Roman"/>
        </w:rPr>
        <w:t xml:space="preserve"> </w:t>
      </w:r>
      <w:r w:rsidR="00684611" w:rsidRPr="00377375">
        <w:rPr>
          <w:rFonts w:ascii="Times New Roman" w:hAnsi="Times New Roman" w:cs="Times New Roman"/>
        </w:rPr>
        <w:t>c-index.</w:t>
      </w:r>
      <w:r w:rsidR="00DA3573">
        <w:rPr>
          <w:rFonts w:ascii="Times New Roman" w:hAnsi="Times New Roman" w:cs="Times New Roman"/>
          <w:vertAlign w:val="superscript"/>
        </w:rPr>
        <w:t>3</w:t>
      </w:r>
      <w:r w:rsidR="00AB5080">
        <w:rPr>
          <w:rFonts w:ascii="Times New Roman" w:hAnsi="Times New Roman" w:cs="Times New Roman"/>
          <w:vertAlign w:val="superscript"/>
        </w:rPr>
        <w:t>5</w:t>
      </w:r>
      <w:r w:rsidR="00684611" w:rsidRPr="00377375">
        <w:rPr>
          <w:rFonts w:ascii="Times New Roman" w:hAnsi="Times New Roman" w:cs="Times New Roman"/>
        </w:rPr>
        <w:t xml:space="preserve"> </w:t>
      </w:r>
      <w:r w:rsidR="00562BDF" w:rsidRPr="00244D81">
        <w:rPr>
          <w:rFonts w:ascii="Times New Roman" w:hAnsi="Times New Roman" w:cs="Times New Roman"/>
          <w:color w:val="FF0000"/>
        </w:rPr>
        <w:t xml:space="preserve">The 9 </w:t>
      </w:r>
      <w:proofErr w:type="spellStart"/>
      <w:r w:rsidR="00562BDF" w:rsidRPr="00244D81">
        <w:rPr>
          <w:rFonts w:ascii="Times New Roman" w:hAnsi="Times New Roman" w:cs="Times New Roman"/>
          <w:color w:val="FF0000"/>
        </w:rPr>
        <w:t>Binet</w:t>
      </w:r>
      <w:proofErr w:type="spellEnd"/>
      <w:r w:rsidR="00562BDF" w:rsidRPr="00244D81">
        <w:rPr>
          <w:rFonts w:ascii="Times New Roman" w:hAnsi="Times New Roman" w:cs="Times New Roman"/>
          <w:color w:val="FF0000"/>
        </w:rPr>
        <w:t xml:space="preserve"> A validation cohorts were meta-</w:t>
      </w:r>
      <w:r w:rsidR="00A157A0" w:rsidRPr="00244D81">
        <w:rPr>
          <w:rFonts w:ascii="Times New Roman" w:hAnsi="Times New Roman" w:cs="Times New Roman"/>
          <w:color w:val="FF0000"/>
        </w:rPr>
        <w:t>analyzed</w:t>
      </w:r>
      <w:r w:rsidR="00562BDF" w:rsidRPr="00244D81">
        <w:rPr>
          <w:rFonts w:ascii="Times New Roman" w:hAnsi="Times New Roman" w:cs="Times New Roman"/>
          <w:color w:val="FF0000"/>
        </w:rPr>
        <w:t xml:space="preserve"> to interpolate the validation series in a single plot. TTFT </w:t>
      </w:r>
      <w:r w:rsidR="00562BDF" w:rsidRPr="00562BDF">
        <w:rPr>
          <w:rFonts w:ascii="Times New Roman" w:hAnsi="Times New Roman" w:cs="Times New Roman"/>
          <w:color w:val="FF0000"/>
        </w:rPr>
        <w:t xml:space="preserve">and corresponding </w:t>
      </w:r>
      <w:r w:rsidR="007222C7">
        <w:rPr>
          <w:rFonts w:ascii="Times New Roman" w:hAnsi="Times New Roman" w:cs="Times New Roman"/>
          <w:color w:val="FF0000"/>
        </w:rPr>
        <w:t xml:space="preserve">95% </w:t>
      </w:r>
      <w:r w:rsidR="00562BDF" w:rsidRPr="00562BDF">
        <w:rPr>
          <w:rFonts w:ascii="Times New Roman" w:hAnsi="Times New Roman" w:cs="Times New Roman"/>
          <w:color w:val="FF0000"/>
        </w:rPr>
        <w:t xml:space="preserve">confidence intervals were </w:t>
      </w:r>
      <w:r w:rsidR="007222C7">
        <w:rPr>
          <w:rFonts w:ascii="Times New Roman" w:hAnsi="Times New Roman" w:cs="Times New Roman"/>
          <w:color w:val="FF0000"/>
        </w:rPr>
        <w:t>estimated</w:t>
      </w:r>
      <w:r w:rsidR="00562BDF" w:rsidRPr="00562BDF">
        <w:rPr>
          <w:rFonts w:ascii="Times New Roman" w:hAnsi="Times New Roman" w:cs="Times New Roman"/>
          <w:color w:val="FF0000"/>
        </w:rPr>
        <w:t xml:space="preserve"> </w:t>
      </w:r>
      <w:r w:rsidR="007222C7">
        <w:rPr>
          <w:rFonts w:ascii="Times New Roman" w:hAnsi="Times New Roman" w:cs="Times New Roman"/>
          <w:color w:val="FF0000"/>
        </w:rPr>
        <w:t>in</w:t>
      </w:r>
      <w:r w:rsidR="00562BDF" w:rsidRPr="00562BDF">
        <w:rPr>
          <w:rFonts w:ascii="Times New Roman" w:hAnsi="Times New Roman" w:cs="Times New Roman"/>
          <w:color w:val="FF0000"/>
        </w:rPr>
        <w:t xml:space="preserve"> each of the </w:t>
      </w:r>
      <w:proofErr w:type="spellStart"/>
      <w:r w:rsidR="00390E96">
        <w:rPr>
          <w:rFonts w:ascii="Times New Roman" w:hAnsi="Times New Roman" w:cs="Times New Roman"/>
          <w:color w:val="FF0000"/>
        </w:rPr>
        <w:t>Binet</w:t>
      </w:r>
      <w:proofErr w:type="spellEnd"/>
      <w:r w:rsidR="00390E96">
        <w:rPr>
          <w:rFonts w:ascii="Times New Roman" w:hAnsi="Times New Roman" w:cs="Times New Roman"/>
          <w:color w:val="FF0000"/>
        </w:rPr>
        <w:t xml:space="preserve"> A </w:t>
      </w:r>
      <w:r w:rsidR="00562BDF" w:rsidRPr="00562BDF">
        <w:rPr>
          <w:rFonts w:ascii="Times New Roman" w:hAnsi="Times New Roman" w:cs="Times New Roman"/>
          <w:color w:val="FF0000"/>
        </w:rPr>
        <w:t xml:space="preserve">validation cohorts </w:t>
      </w:r>
      <w:r w:rsidR="001C0B74">
        <w:rPr>
          <w:rFonts w:ascii="Times New Roman" w:hAnsi="Times New Roman" w:cs="Times New Roman"/>
          <w:color w:val="FF0000"/>
        </w:rPr>
        <w:t>at</w:t>
      </w:r>
      <w:r w:rsidR="00562BDF" w:rsidRPr="00562BDF">
        <w:rPr>
          <w:rFonts w:ascii="Times New Roman" w:hAnsi="Times New Roman" w:cs="Times New Roman"/>
          <w:color w:val="FF0000"/>
        </w:rPr>
        <w:t xml:space="preserve"> 6 months interval</w:t>
      </w:r>
      <w:r w:rsidR="001C0B74">
        <w:rPr>
          <w:rFonts w:ascii="Times New Roman" w:hAnsi="Times New Roman" w:cs="Times New Roman"/>
          <w:color w:val="FF0000"/>
        </w:rPr>
        <w:t>s</w:t>
      </w:r>
      <w:r w:rsidR="00562BDF" w:rsidRPr="00562BDF">
        <w:rPr>
          <w:rFonts w:ascii="Times New Roman" w:hAnsi="Times New Roman" w:cs="Times New Roman"/>
          <w:color w:val="FF0000"/>
        </w:rPr>
        <w:t xml:space="preserve">. At each </w:t>
      </w:r>
      <w:proofErr w:type="spellStart"/>
      <w:r w:rsidR="00562BDF" w:rsidRPr="00562BDF">
        <w:rPr>
          <w:rFonts w:ascii="Times New Roman" w:hAnsi="Times New Roman" w:cs="Times New Roman"/>
          <w:color w:val="FF0000"/>
        </w:rPr>
        <w:t>timepoint</w:t>
      </w:r>
      <w:proofErr w:type="spellEnd"/>
      <w:r w:rsidR="00562BDF" w:rsidRPr="00562BDF">
        <w:rPr>
          <w:rFonts w:ascii="Times New Roman" w:hAnsi="Times New Roman" w:cs="Times New Roman"/>
          <w:color w:val="FF0000"/>
        </w:rPr>
        <w:t xml:space="preserve">, a random-effect model was used </w:t>
      </w:r>
      <w:r w:rsidR="007222C7">
        <w:rPr>
          <w:rFonts w:ascii="Times New Roman" w:hAnsi="Times New Roman" w:cs="Times New Roman"/>
          <w:color w:val="FF0000"/>
        </w:rPr>
        <w:t xml:space="preserve">to provide a meta-analytic estimate </w:t>
      </w:r>
      <w:r w:rsidR="00562BDF" w:rsidRPr="00562BDF">
        <w:rPr>
          <w:rFonts w:ascii="Times New Roman" w:hAnsi="Times New Roman" w:cs="Times New Roman"/>
          <w:color w:val="FF0000"/>
        </w:rPr>
        <w:t>of TTFT</w:t>
      </w:r>
      <w:r w:rsidR="007222C7">
        <w:rPr>
          <w:rFonts w:ascii="Times New Roman" w:hAnsi="Times New Roman" w:cs="Times New Roman"/>
          <w:color w:val="FF0000"/>
        </w:rPr>
        <w:t xml:space="preserve"> and </w:t>
      </w:r>
      <w:r w:rsidR="007222C7" w:rsidRPr="00562BDF">
        <w:rPr>
          <w:rFonts w:ascii="Times New Roman" w:hAnsi="Times New Roman" w:cs="Times New Roman"/>
          <w:color w:val="FF0000"/>
        </w:rPr>
        <w:t xml:space="preserve">corresponding </w:t>
      </w:r>
      <w:r w:rsidR="007222C7">
        <w:rPr>
          <w:rFonts w:ascii="Times New Roman" w:hAnsi="Times New Roman" w:cs="Times New Roman"/>
          <w:color w:val="FF0000"/>
        </w:rPr>
        <w:t xml:space="preserve">95% </w:t>
      </w:r>
      <w:r w:rsidR="007222C7" w:rsidRPr="00562BDF">
        <w:rPr>
          <w:rFonts w:ascii="Times New Roman" w:hAnsi="Times New Roman" w:cs="Times New Roman"/>
          <w:color w:val="FF0000"/>
        </w:rPr>
        <w:t>confidence intervals</w:t>
      </w:r>
      <w:r w:rsidR="00390E96">
        <w:rPr>
          <w:rFonts w:ascii="Times New Roman" w:hAnsi="Times New Roman" w:cs="Times New Roman"/>
          <w:color w:val="FF0000"/>
        </w:rPr>
        <w:t xml:space="preserve"> across the </w:t>
      </w:r>
      <w:proofErr w:type="spellStart"/>
      <w:r w:rsidR="00390E96">
        <w:rPr>
          <w:rFonts w:ascii="Times New Roman" w:hAnsi="Times New Roman" w:cs="Times New Roman"/>
          <w:color w:val="FF0000"/>
        </w:rPr>
        <w:t>Binet</w:t>
      </w:r>
      <w:proofErr w:type="spellEnd"/>
      <w:r w:rsidR="00390E96">
        <w:rPr>
          <w:rFonts w:ascii="Times New Roman" w:hAnsi="Times New Roman" w:cs="Times New Roman"/>
          <w:color w:val="FF0000"/>
        </w:rPr>
        <w:t xml:space="preserve"> A validation cohorts</w:t>
      </w:r>
      <w:r w:rsidR="00562BDF" w:rsidRPr="00562BDF">
        <w:rPr>
          <w:rFonts w:ascii="Times New Roman" w:hAnsi="Times New Roman" w:cs="Times New Roman"/>
          <w:color w:val="FF0000"/>
        </w:rPr>
        <w:t xml:space="preserve">. Survival curves were plotted by fitting a cubic smoothing spline to the estimates of TTFT and the </w:t>
      </w:r>
      <w:r w:rsidR="007222C7" w:rsidRPr="00562BDF">
        <w:rPr>
          <w:rFonts w:ascii="Times New Roman" w:hAnsi="Times New Roman" w:cs="Times New Roman"/>
          <w:color w:val="FF0000"/>
        </w:rPr>
        <w:t>respective</w:t>
      </w:r>
      <w:r w:rsidR="00562BDF" w:rsidRPr="00562BDF">
        <w:rPr>
          <w:rFonts w:ascii="Times New Roman" w:hAnsi="Times New Roman" w:cs="Times New Roman"/>
          <w:color w:val="FF0000"/>
        </w:rPr>
        <w:t xml:space="preserve"> 95% confidence intervals, using a smoothing parameter of 0.6. </w:t>
      </w:r>
      <w:r w:rsidR="00AE5327" w:rsidRPr="00377375">
        <w:rPr>
          <w:rFonts w:ascii="Times New Roman" w:hAnsi="Times New Roman" w:cs="Times New Roman"/>
        </w:rPr>
        <w:t xml:space="preserve">A fixed-effect model </w:t>
      </w:r>
      <w:r w:rsidR="00AE5327" w:rsidRPr="00377375">
        <w:rPr>
          <w:rFonts w:ascii="Times New Roman" w:hAnsi="Times New Roman" w:cs="Times New Roman"/>
        </w:rPr>
        <w:lastRenderedPageBreak/>
        <w:t xml:space="preserve">was used for </w:t>
      </w:r>
      <w:r w:rsidR="00DF74D0" w:rsidRPr="00377375">
        <w:rPr>
          <w:rFonts w:ascii="Times New Roman" w:hAnsi="Times New Roman" w:cs="Times New Roman"/>
        </w:rPr>
        <w:t>the</w:t>
      </w:r>
      <w:r w:rsidR="00FE0E0F" w:rsidRPr="00377375">
        <w:rPr>
          <w:rFonts w:ascii="Times New Roman" w:hAnsi="Times New Roman" w:cs="Times New Roman"/>
        </w:rPr>
        <w:t xml:space="preserve"> meta-analysis of</w:t>
      </w:r>
      <w:r w:rsidR="00DF74D0" w:rsidRPr="00377375">
        <w:rPr>
          <w:rFonts w:ascii="Times New Roman" w:hAnsi="Times New Roman" w:cs="Times New Roman"/>
        </w:rPr>
        <w:t xml:space="preserve"> the </w:t>
      </w:r>
      <w:r w:rsidR="006D1624" w:rsidRPr="00377375">
        <w:rPr>
          <w:rFonts w:ascii="Times New Roman" w:hAnsi="Times New Roman" w:cs="Times New Roman"/>
        </w:rPr>
        <w:t>c-index</w:t>
      </w:r>
      <w:r w:rsidR="008E149A">
        <w:rPr>
          <w:rFonts w:ascii="Times New Roman" w:hAnsi="Times New Roman" w:cs="Times New Roman"/>
        </w:rPr>
        <w:t xml:space="preserve"> across the </w:t>
      </w:r>
      <w:proofErr w:type="spellStart"/>
      <w:r w:rsidR="008E149A">
        <w:rPr>
          <w:rFonts w:ascii="Times New Roman" w:hAnsi="Times New Roman" w:cs="Times New Roman"/>
        </w:rPr>
        <w:t>Binet</w:t>
      </w:r>
      <w:proofErr w:type="spellEnd"/>
      <w:r w:rsidR="008E149A">
        <w:rPr>
          <w:rFonts w:ascii="Times New Roman" w:hAnsi="Times New Roman" w:cs="Times New Roman"/>
        </w:rPr>
        <w:t xml:space="preserve"> A cohorts</w:t>
      </w:r>
      <w:r w:rsidR="006D1624" w:rsidRPr="00377375">
        <w:rPr>
          <w:rFonts w:ascii="Times New Roman" w:hAnsi="Times New Roman" w:cs="Times New Roman"/>
        </w:rPr>
        <w:t xml:space="preserve">, </w:t>
      </w:r>
      <w:r w:rsidR="006657F9" w:rsidRPr="00377375">
        <w:rPr>
          <w:rFonts w:ascii="Times New Roman" w:hAnsi="Times New Roman" w:cs="Times New Roman"/>
        </w:rPr>
        <w:t xml:space="preserve">the 1- and 5-years cumulative risk of treatment need, and number of events per 100 person years, </w:t>
      </w:r>
      <w:r w:rsidR="006D1624" w:rsidRPr="00377375">
        <w:rPr>
          <w:rFonts w:ascii="Times New Roman" w:hAnsi="Times New Roman" w:cs="Times New Roman"/>
        </w:rPr>
        <w:t>and bootstrappi</w:t>
      </w:r>
      <w:r w:rsidR="001C0B74">
        <w:rPr>
          <w:rFonts w:ascii="Times New Roman" w:hAnsi="Times New Roman" w:cs="Times New Roman"/>
        </w:rPr>
        <w:t>ng was used to calculate 95% confidence interval</w:t>
      </w:r>
      <w:r w:rsidR="00AE5327" w:rsidRPr="00377375">
        <w:rPr>
          <w:rFonts w:ascii="Times New Roman" w:hAnsi="Times New Roman" w:cs="Times New Roman"/>
        </w:rPr>
        <w:t>.</w:t>
      </w:r>
      <w:r w:rsidR="00D14DC8" w:rsidRPr="00377375">
        <w:rPr>
          <w:rFonts w:ascii="Times New Roman" w:hAnsi="Times New Roman" w:cs="Times New Roman"/>
        </w:rPr>
        <w:t xml:space="preserve"> Heterogeneity was assessed by using the I</w:t>
      </w:r>
      <w:r w:rsidR="00D14DC8" w:rsidRPr="00377375">
        <w:rPr>
          <w:rFonts w:ascii="Times New Roman" w:hAnsi="Times New Roman" w:cs="Times New Roman"/>
          <w:vertAlign w:val="superscript"/>
        </w:rPr>
        <w:t>2</w:t>
      </w:r>
      <w:r w:rsidR="00D14DC8" w:rsidRPr="00377375">
        <w:rPr>
          <w:rFonts w:ascii="Times New Roman" w:hAnsi="Times New Roman" w:cs="Times New Roman"/>
        </w:rPr>
        <w:t xml:space="preserve"> statistic</w:t>
      </w:r>
      <w:r w:rsidR="00104B34" w:rsidRPr="00377375">
        <w:rPr>
          <w:rFonts w:ascii="Times New Roman" w:hAnsi="Times New Roman" w:cs="Times New Roman"/>
        </w:rPr>
        <w:t xml:space="preserve"> and Cochran’s Q test</w:t>
      </w:r>
      <w:r w:rsidR="00D14DC8" w:rsidRPr="00377375">
        <w:rPr>
          <w:rFonts w:ascii="Times New Roman" w:hAnsi="Times New Roman" w:cs="Times New Roman"/>
        </w:rPr>
        <w:t>.</w:t>
      </w:r>
    </w:p>
    <w:p w14:paraId="60F4392C" w14:textId="6EF06EBE" w:rsidR="008D79BF" w:rsidRDefault="008D79BF" w:rsidP="00ED4081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14:paraId="18D56916" w14:textId="77777777" w:rsidR="00A56783" w:rsidRDefault="00A56783" w:rsidP="00ED4081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14:paraId="144226E7" w14:textId="77777777" w:rsidR="00FC25F1" w:rsidRPr="00377375" w:rsidRDefault="00433B0A" w:rsidP="00ED4081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377375">
        <w:rPr>
          <w:rFonts w:ascii="Times New Roman" w:hAnsi="Times New Roman" w:cs="Times New Roman"/>
          <w:b/>
        </w:rPr>
        <w:t>Results</w:t>
      </w:r>
    </w:p>
    <w:p w14:paraId="48DB1E32" w14:textId="77777777" w:rsidR="00D75205" w:rsidRPr="00377375" w:rsidRDefault="00D75205" w:rsidP="0089631D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22502FBC" w14:textId="778E3C6E" w:rsidR="00BD3AD1" w:rsidRDefault="000D0726" w:rsidP="00BD3AD1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377375">
        <w:rPr>
          <w:rFonts w:ascii="Times New Roman" w:hAnsi="Times New Roman" w:cs="Times New Roman"/>
        </w:rPr>
        <w:t>Individual patient d</w:t>
      </w:r>
      <w:r w:rsidR="00D73687" w:rsidRPr="00377375">
        <w:rPr>
          <w:rFonts w:ascii="Times New Roman" w:hAnsi="Times New Roman" w:cs="Times New Roman"/>
        </w:rPr>
        <w:t xml:space="preserve">ata from </w:t>
      </w:r>
      <w:r w:rsidR="001E6A4E" w:rsidRPr="00377375">
        <w:rPr>
          <w:rFonts w:ascii="Times New Roman" w:hAnsi="Times New Roman" w:cs="Times New Roman"/>
        </w:rPr>
        <w:t>1</w:t>
      </w:r>
      <w:r w:rsidR="00735A12">
        <w:rPr>
          <w:rFonts w:ascii="Times New Roman" w:hAnsi="Times New Roman" w:cs="Times New Roman"/>
        </w:rPr>
        <w:t>1</w:t>
      </w:r>
      <w:r w:rsidR="0068329E" w:rsidRPr="00377375">
        <w:rPr>
          <w:rFonts w:ascii="Times New Roman" w:hAnsi="Times New Roman" w:cs="Times New Roman"/>
        </w:rPr>
        <w:t xml:space="preserve"> </w:t>
      </w:r>
      <w:r w:rsidR="00667007" w:rsidRPr="00377375">
        <w:rPr>
          <w:rFonts w:ascii="Times New Roman" w:hAnsi="Times New Roman" w:cs="Times New Roman"/>
        </w:rPr>
        <w:t>cohorts</w:t>
      </w:r>
      <w:r w:rsidR="0068329E" w:rsidRPr="00377375">
        <w:rPr>
          <w:rFonts w:ascii="Times New Roman" w:hAnsi="Times New Roman" w:cs="Times New Roman"/>
        </w:rPr>
        <w:t xml:space="preserve"> </w:t>
      </w:r>
      <w:r w:rsidR="00BE0C12" w:rsidRPr="00377375">
        <w:rPr>
          <w:rFonts w:ascii="Times New Roman" w:hAnsi="Times New Roman" w:cs="Times New Roman"/>
        </w:rPr>
        <w:t>of</w:t>
      </w:r>
      <w:r w:rsidR="00D1592E">
        <w:rPr>
          <w:rFonts w:ascii="Times New Roman" w:hAnsi="Times New Roman" w:cs="Times New Roman"/>
        </w:rPr>
        <w:t xml:space="preserve"> patients with early </w:t>
      </w:r>
      <w:r w:rsidR="00BE0C12" w:rsidRPr="00377375">
        <w:rPr>
          <w:rFonts w:ascii="Times New Roman" w:hAnsi="Times New Roman" w:cs="Times New Roman"/>
        </w:rPr>
        <w:t xml:space="preserve">stage </w:t>
      </w:r>
      <w:r w:rsidR="00183E76" w:rsidRPr="00377375">
        <w:rPr>
          <w:rFonts w:ascii="Times New Roman" w:hAnsi="Times New Roman" w:cs="Times New Roman"/>
        </w:rPr>
        <w:t xml:space="preserve">CLL </w:t>
      </w:r>
      <w:r w:rsidR="00424CC5" w:rsidRPr="00377375">
        <w:rPr>
          <w:rFonts w:ascii="Times New Roman" w:hAnsi="Times New Roman" w:cs="Times New Roman"/>
        </w:rPr>
        <w:t xml:space="preserve">initially managed with active surveillance </w:t>
      </w:r>
      <w:r w:rsidR="0068329E" w:rsidRPr="00377375">
        <w:rPr>
          <w:rFonts w:ascii="Times New Roman" w:hAnsi="Times New Roman" w:cs="Times New Roman"/>
        </w:rPr>
        <w:t>were collected</w:t>
      </w:r>
      <w:r w:rsidR="007C4C9E" w:rsidRPr="00377375">
        <w:rPr>
          <w:rFonts w:ascii="Times New Roman" w:hAnsi="Times New Roman" w:cs="Times New Roman"/>
        </w:rPr>
        <w:t xml:space="preserve">, accounting for a total </w:t>
      </w:r>
      <w:r w:rsidR="009A0400" w:rsidRPr="00377375">
        <w:rPr>
          <w:rFonts w:ascii="Times New Roman" w:hAnsi="Times New Roman" w:cs="Times New Roman"/>
        </w:rPr>
        <w:t>4</w:t>
      </w:r>
      <w:r w:rsidR="00DC12B4">
        <w:rPr>
          <w:rFonts w:ascii="Times New Roman" w:hAnsi="Times New Roman" w:cs="Times New Roman"/>
        </w:rPr>
        <w:t>933</w:t>
      </w:r>
      <w:r w:rsidR="00EE2513" w:rsidRPr="00377375">
        <w:rPr>
          <w:rFonts w:ascii="Times New Roman" w:hAnsi="Times New Roman" w:cs="Times New Roman"/>
        </w:rPr>
        <w:t xml:space="preserve"> </w:t>
      </w:r>
      <w:r w:rsidR="0068329E" w:rsidRPr="00377375">
        <w:rPr>
          <w:rFonts w:ascii="Times New Roman" w:hAnsi="Times New Roman" w:cs="Times New Roman"/>
        </w:rPr>
        <w:t>patients</w:t>
      </w:r>
      <w:r w:rsidR="00CF7F1C" w:rsidRPr="00377375">
        <w:rPr>
          <w:rFonts w:ascii="Times New Roman" w:hAnsi="Times New Roman" w:cs="Times New Roman"/>
        </w:rPr>
        <w:t xml:space="preserve"> (Table</w:t>
      </w:r>
      <w:r w:rsidR="00335C1E">
        <w:rPr>
          <w:rFonts w:ascii="Times New Roman" w:hAnsi="Times New Roman" w:cs="Times New Roman"/>
        </w:rPr>
        <w:t>s</w:t>
      </w:r>
      <w:r w:rsidR="00CF7F1C" w:rsidRPr="00377375">
        <w:rPr>
          <w:rFonts w:ascii="Times New Roman" w:hAnsi="Times New Roman" w:cs="Times New Roman"/>
        </w:rPr>
        <w:t xml:space="preserve"> 1</w:t>
      </w:r>
      <w:r w:rsidR="002B11F5" w:rsidRPr="00377375">
        <w:rPr>
          <w:rFonts w:ascii="Times New Roman" w:hAnsi="Times New Roman" w:cs="Times New Roman"/>
        </w:rPr>
        <w:t xml:space="preserve"> and 2</w:t>
      </w:r>
      <w:r w:rsidR="00CF7F1C" w:rsidRPr="00377375">
        <w:rPr>
          <w:rFonts w:ascii="Times New Roman" w:hAnsi="Times New Roman" w:cs="Times New Roman"/>
        </w:rPr>
        <w:t>)</w:t>
      </w:r>
      <w:r w:rsidR="00D73687" w:rsidRPr="00377375">
        <w:rPr>
          <w:rFonts w:ascii="Times New Roman" w:hAnsi="Times New Roman" w:cs="Times New Roman"/>
        </w:rPr>
        <w:t>.</w:t>
      </w:r>
      <w:r w:rsidR="00D75205" w:rsidRPr="00377375">
        <w:rPr>
          <w:rFonts w:ascii="Times New Roman" w:hAnsi="Times New Roman" w:cs="Times New Roman"/>
        </w:rPr>
        <w:t xml:space="preserve"> </w:t>
      </w:r>
      <w:r w:rsidR="00B02A05" w:rsidRPr="00B02A05">
        <w:rPr>
          <w:rFonts w:ascii="Times New Roman" w:hAnsi="Times New Roman" w:cs="Times New Roman"/>
          <w:color w:val="FF0000"/>
        </w:rPr>
        <w:t xml:space="preserve">At the time of treatment, </w:t>
      </w:r>
      <w:proofErr w:type="spellStart"/>
      <w:r w:rsidR="00B02A05" w:rsidRPr="00B02A05">
        <w:rPr>
          <w:rFonts w:ascii="Times New Roman" w:hAnsi="Times New Roman" w:cs="Times New Roman"/>
          <w:color w:val="FF0000"/>
        </w:rPr>
        <w:t>Binet</w:t>
      </w:r>
      <w:proofErr w:type="spellEnd"/>
      <w:r w:rsidR="00B02A05" w:rsidRPr="00B02A05">
        <w:rPr>
          <w:rFonts w:ascii="Times New Roman" w:hAnsi="Times New Roman" w:cs="Times New Roman"/>
          <w:color w:val="FF0000"/>
        </w:rPr>
        <w:t xml:space="preserve"> stage and/or indication for therapy were </w:t>
      </w:r>
      <w:r w:rsidR="00BD3AD1">
        <w:rPr>
          <w:rFonts w:ascii="Times New Roman" w:hAnsi="Times New Roman" w:cs="Times New Roman"/>
          <w:color w:val="FF0000"/>
        </w:rPr>
        <w:t xml:space="preserve">consistent </w:t>
      </w:r>
      <w:r w:rsidR="00B02A05">
        <w:rPr>
          <w:rFonts w:ascii="Times New Roman" w:hAnsi="Times New Roman" w:cs="Times New Roman"/>
          <w:color w:val="FF0000"/>
        </w:rPr>
        <w:t>across the study cohorts</w:t>
      </w:r>
      <w:r w:rsidR="00B02A05" w:rsidRPr="00B02A05">
        <w:rPr>
          <w:rFonts w:ascii="Times New Roman" w:hAnsi="Times New Roman" w:cs="Times New Roman"/>
          <w:color w:val="FF0000"/>
        </w:rPr>
        <w:t xml:space="preserve"> </w:t>
      </w:r>
      <w:r w:rsidR="00B02A05">
        <w:rPr>
          <w:rFonts w:ascii="Times New Roman" w:hAnsi="Times New Roman" w:cs="Times New Roman"/>
          <w:color w:val="FF0000"/>
        </w:rPr>
        <w:t>and similar to</w:t>
      </w:r>
      <w:r w:rsidR="00B02A05" w:rsidRPr="00B02A05">
        <w:rPr>
          <w:rFonts w:ascii="Times New Roman" w:hAnsi="Times New Roman" w:cs="Times New Roman"/>
          <w:color w:val="FF0000"/>
        </w:rPr>
        <w:t xml:space="preserve"> those reported in first </w:t>
      </w:r>
      <w:r w:rsidR="001C0B74">
        <w:rPr>
          <w:rFonts w:ascii="Times New Roman" w:hAnsi="Times New Roman" w:cs="Times New Roman"/>
          <w:color w:val="FF0000"/>
        </w:rPr>
        <w:t xml:space="preserve">line clinical trials </w:t>
      </w:r>
      <w:r w:rsidR="00B02A05" w:rsidRPr="00531892">
        <w:rPr>
          <w:rFonts w:ascii="Times New Roman" w:hAnsi="Times New Roman" w:cs="Times New Roman"/>
          <w:color w:val="FF0000"/>
        </w:rPr>
        <w:t>(Table S1</w:t>
      </w:r>
      <w:r w:rsidR="00531892" w:rsidRPr="00531892">
        <w:rPr>
          <w:rFonts w:ascii="Times New Roman" w:hAnsi="Times New Roman" w:cs="Times New Roman"/>
          <w:color w:val="FF0000"/>
        </w:rPr>
        <w:t xml:space="preserve"> in the Supplementary Appendix</w:t>
      </w:r>
      <w:r w:rsidR="00B02A05" w:rsidRPr="00531892">
        <w:rPr>
          <w:rFonts w:ascii="Times New Roman" w:hAnsi="Times New Roman" w:cs="Times New Roman"/>
          <w:color w:val="FF0000"/>
        </w:rPr>
        <w:t>)</w:t>
      </w:r>
      <w:r w:rsidR="009D0D61">
        <w:rPr>
          <w:rFonts w:ascii="Times New Roman" w:hAnsi="Times New Roman" w:cs="Times New Roman"/>
          <w:color w:val="FF0000"/>
        </w:rPr>
        <w:t>,</w:t>
      </w:r>
      <w:r w:rsidR="00BD3AD1">
        <w:rPr>
          <w:rFonts w:ascii="Times New Roman" w:hAnsi="Times New Roman" w:cs="Times New Roman"/>
          <w:color w:val="FF0000"/>
        </w:rPr>
        <w:t xml:space="preserve"> </w:t>
      </w:r>
      <w:r w:rsidR="00BD3AD1" w:rsidRPr="009D0D61">
        <w:rPr>
          <w:rFonts w:ascii="Times New Roman" w:hAnsi="Times New Roman" w:cs="Times New Roman"/>
          <w:color w:val="FF0000"/>
        </w:rPr>
        <w:t>thus mitigating the risk of biases due to heterogeneity in treatment initiation triggers.</w:t>
      </w:r>
    </w:p>
    <w:p w14:paraId="1922396F" w14:textId="1143D39F" w:rsidR="00835D61" w:rsidRPr="00377375" w:rsidRDefault="00CF4C4B" w:rsidP="00835D61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377375">
        <w:rPr>
          <w:rFonts w:ascii="Times New Roman" w:hAnsi="Times New Roman" w:cs="Times New Roman"/>
        </w:rPr>
        <w:t xml:space="preserve">By </w:t>
      </w:r>
      <w:proofErr w:type="spellStart"/>
      <w:r w:rsidR="002D4608">
        <w:rPr>
          <w:rFonts w:ascii="Times New Roman" w:hAnsi="Times New Roman" w:cs="Times New Roman"/>
        </w:rPr>
        <w:t>univariable</w:t>
      </w:r>
      <w:proofErr w:type="spellEnd"/>
      <w:r w:rsidRPr="00377375">
        <w:rPr>
          <w:rFonts w:ascii="Times New Roman" w:hAnsi="Times New Roman" w:cs="Times New Roman"/>
        </w:rPr>
        <w:t xml:space="preserve"> </w:t>
      </w:r>
      <w:r w:rsidRPr="0068767E">
        <w:rPr>
          <w:rFonts w:ascii="Times New Roman" w:hAnsi="Times New Roman" w:cs="Times New Roman"/>
        </w:rPr>
        <w:t>analysis</w:t>
      </w:r>
      <w:r w:rsidR="00CF7F1C" w:rsidRPr="0068767E">
        <w:rPr>
          <w:rFonts w:ascii="Times New Roman" w:hAnsi="Times New Roman" w:cs="Times New Roman"/>
        </w:rPr>
        <w:t xml:space="preserve"> </w:t>
      </w:r>
      <w:r w:rsidR="00480507" w:rsidRPr="0068767E">
        <w:rPr>
          <w:rFonts w:ascii="Times New Roman" w:hAnsi="Times New Roman" w:cs="Times New Roman"/>
        </w:rPr>
        <w:t xml:space="preserve">in the </w:t>
      </w:r>
      <w:r w:rsidR="00580E8F" w:rsidRPr="0068767E">
        <w:rPr>
          <w:rFonts w:ascii="Times New Roman" w:hAnsi="Times New Roman" w:cs="Times New Roman"/>
        </w:rPr>
        <w:t xml:space="preserve">UEP </w:t>
      </w:r>
      <w:r w:rsidR="00480507" w:rsidRPr="0068767E">
        <w:rPr>
          <w:rFonts w:ascii="Times New Roman" w:hAnsi="Times New Roman" w:cs="Times New Roman"/>
        </w:rPr>
        <w:t>training series</w:t>
      </w:r>
      <w:r w:rsidR="00F1229D" w:rsidRPr="0068767E">
        <w:rPr>
          <w:rFonts w:ascii="Times New Roman" w:hAnsi="Times New Roman" w:cs="Times New Roman"/>
        </w:rPr>
        <w:t xml:space="preserve">, </w:t>
      </w:r>
      <w:r w:rsidR="00BC4A90" w:rsidRPr="00BC4A90">
        <w:rPr>
          <w:rFonts w:ascii="Times New Roman" w:hAnsi="Times New Roman" w:cs="Times New Roman"/>
          <w:color w:val="FF0000"/>
        </w:rPr>
        <w:t>which reflect</w:t>
      </w:r>
      <w:r w:rsidR="001C0B74">
        <w:rPr>
          <w:rFonts w:ascii="Times New Roman" w:hAnsi="Times New Roman" w:cs="Times New Roman"/>
          <w:color w:val="FF0000"/>
        </w:rPr>
        <w:t>s</w:t>
      </w:r>
      <w:r w:rsidR="00BC4A90" w:rsidRPr="00BC4A90">
        <w:rPr>
          <w:rFonts w:ascii="Times New Roman" w:hAnsi="Times New Roman" w:cs="Times New Roman"/>
          <w:color w:val="FF0000"/>
        </w:rPr>
        <w:t xml:space="preserve"> patients </w:t>
      </w:r>
      <w:r w:rsidR="00BC4A90">
        <w:rPr>
          <w:rFonts w:ascii="Times New Roman" w:hAnsi="Times New Roman" w:cs="Times New Roman"/>
          <w:color w:val="FF0000"/>
        </w:rPr>
        <w:t>managed</w:t>
      </w:r>
      <w:r w:rsidR="00BC4A90" w:rsidRPr="00BC4A90">
        <w:rPr>
          <w:rFonts w:ascii="Times New Roman" w:hAnsi="Times New Roman" w:cs="Times New Roman"/>
          <w:color w:val="FF0000"/>
        </w:rPr>
        <w:t xml:space="preserve"> in daily practice</w:t>
      </w:r>
      <w:r w:rsidR="00580E8F" w:rsidRPr="0068767E">
        <w:rPr>
          <w:rFonts w:ascii="Times New Roman" w:hAnsi="Times New Roman" w:cs="Times New Roman"/>
        </w:rPr>
        <w:t xml:space="preserve"> (N=333, median follow-up 7.2 years</w:t>
      </w:r>
      <w:r w:rsidR="00450EE4" w:rsidRPr="0068767E">
        <w:rPr>
          <w:rFonts w:ascii="Times New Roman" w:hAnsi="Times New Roman" w:cs="Times New Roman"/>
        </w:rPr>
        <w:t>, number of treatment events</w:t>
      </w:r>
      <w:r w:rsidR="00CF3DE0" w:rsidRPr="0068767E">
        <w:rPr>
          <w:rFonts w:ascii="Times New Roman" w:hAnsi="Times New Roman" w:cs="Times New Roman"/>
        </w:rPr>
        <w:t xml:space="preserve"> 95</w:t>
      </w:r>
      <w:r w:rsidR="00580E8F" w:rsidRPr="0068767E">
        <w:rPr>
          <w:rFonts w:ascii="Times New Roman" w:hAnsi="Times New Roman" w:cs="Times New Roman"/>
        </w:rPr>
        <w:t>)</w:t>
      </w:r>
      <w:r w:rsidRPr="0068767E">
        <w:rPr>
          <w:rFonts w:ascii="Times New Roman" w:hAnsi="Times New Roman" w:cs="Times New Roman"/>
        </w:rPr>
        <w:t xml:space="preserve">, baseline </w:t>
      </w:r>
      <w:r w:rsidRPr="00377375">
        <w:rPr>
          <w:rFonts w:ascii="Times New Roman" w:hAnsi="Times New Roman" w:cs="Times New Roman"/>
        </w:rPr>
        <w:t xml:space="preserve">factors associated with an increased risk of treatment </w:t>
      </w:r>
      <w:r w:rsidR="00183E76" w:rsidRPr="00377375">
        <w:rPr>
          <w:rFonts w:ascii="Times New Roman" w:hAnsi="Times New Roman" w:cs="Times New Roman"/>
        </w:rPr>
        <w:t xml:space="preserve">need </w:t>
      </w:r>
      <w:r w:rsidR="00046D06" w:rsidRPr="00377375">
        <w:rPr>
          <w:rFonts w:ascii="Times New Roman" w:hAnsi="Times New Roman" w:cs="Times New Roman"/>
        </w:rPr>
        <w:t>(</w:t>
      </w:r>
      <w:r w:rsidR="00C13BF9" w:rsidRPr="00377375">
        <w:rPr>
          <w:rFonts w:ascii="Times New Roman" w:hAnsi="Times New Roman" w:cs="Times New Roman"/>
        </w:rPr>
        <w:t>i.e.</w:t>
      </w:r>
      <w:r w:rsidR="00046D06" w:rsidRPr="00377375">
        <w:rPr>
          <w:rFonts w:ascii="Times New Roman" w:hAnsi="Times New Roman" w:cs="Times New Roman"/>
        </w:rPr>
        <w:t xml:space="preserve"> </w:t>
      </w:r>
      <w:r w:rsidR="00161C64" w:rsidRPr="00377375">
        <w:rPr>
          <w:rFonts w:ascii="Times New Roman" w:hAnsi="Times New Roman" w:cs="Times New Roman"/>
        </w:rPr>
        <w:t>TTFT</w:t>
      </w:r>
      <w:r w:rsidR="00046D06" w:rsidRPr="00377375">
        <w:rPr>
          <w:rFonts w:ascii="Times New Roman" w:hAnsi="Times New Roman" w:cs="Times New Roman"/>
        </w:rPr>
        <w:t xml:space="preserve">) </w:t>
      </w:r>
      <w:r w:rsidRPr="00377375">
        <w:rPr>
          <w:rFonts w:ascii="Times New Roman" w:hAnsi="Times New Roman" w:cs="Times New Roman"/>
        </w:rPr>
        <w:t xml:space="preserve">with a </w:t>
      </w:r>
      <w:proofErr w:type="spellStart"/>
      <w:r w:rsidR="0078028B">
        <w:rPr>
          <w:rFonts w:ascii="Times New Roman" w:hAnsi="Times New Roman" w:cs="Times New Roman"/>
        </w:rPr>
        <w:t>Bonferroni</w:t>
      </w:r>
      <w:proofErr w:type="spellEnd"/>
      <w:r w:rsidR="0078028B" w:rsidRPr="00377375">
        <w:rPr>
          <w:rFonts w:ascii="Times New Roman" w:hAnsi="Times New Roman" w:cs="Times New Roman"/>
        </w:rPr>
        <w:t xml:space="preserve"> </w:t>
      </w:r>
      <w:r w:rsidRPr="00377375">
        <w:rPr>
          <w:rFonts w:ascii="Times New Roman" w:hAnsi="Times New Roman" w:cs="Times New Roman"/>
        </w:rPr>
        <w:t>corrected p v</w:t>
      </w:r>
      <w:r w:rsidR="00744CB3" w:rsidRPr="00377375">
        <w:rPr>
          <w:rFonts w:ascii="Times New Roman" w:hAnsi="Times New Roman" w:cs="Times New Roman"/>
        </w:rPr>
        <w:t>alue &lt;0.</w:t>
      </w:r>
      <w:r w:rsidR="00042032" w:rsidRPr="00377375">
        <w:rPr>
          <w:rFonts w:ascii="Times New Roman" w:hAnsi="Times New Roman" w:cs="Times New Roman"/>
        </w:rPr>
        <w:t>05</w:t>
      </w:r>
      <w:r w:rsidRPr="00377375">
        <w:rPr>
          <w:rFonts w:ascii="Times New Roman" w:hAnsi="Times New Roman" w:cs="Times New Roman"/>
        </w:rPr>
        <w:t xml:space="preserve"> were palpable lymph nodes</w:t>
      </w:r>
      <w:r w:rsidR="00A65AA5" w:rsidRPr="00377375">
        <w:rPr>
          <w:rFonts w:ascii="Times New Roman" w:hAnsi="Times New Roman" w:cs="Times New Roman"/>
        </w:rPr>
        <w:t>,</w:t>
      </w:r>
      <w:r w:rsidR="002D4608">
        <w:rPr>
          <w:rFonts w:ascii="Times New Roman" w:hAnsi="Times New Roman" w:cs="Times New Roman"/>
        </w:rPr>
        <w:t xml:space="preserve"> absolute</w:t>
      </w:r>
      <w:r w:rsidR="00A65AA5" w:rsidRPr="00377375">
        <w:rPr>
          <w:rFonts w:ascii="Times New Roman" w:hAnsi="Times New Roman" w:cs="Times New Roman"/>
        </w:rPr>
        <w:t xml:space="preserve"> lymphocyte count</w:t>
      </w:r>
      <w:r w:rsidRPr="00377375">
        <w:rPr>
          <w:rFonts w:ascii="Times New Roman" w:hAnsi="Times New Roman" w:cs="Times New Roman"/>
        </w:rPr>
        <w:t xml:space="preserve"> (&gt;15</w:t>
      </w:r>
      <w:r w:rsidR="001C554F">
        <w:rPr>
          <w:rFonts w:ascii="Times New Roman" w:hAnsi="Times New Roman" w:cs="Times New Roman"/>
        </w:rPr>
        <w:t xml:space="preserve"> </w:t>
      </w:r>
      <w:r w:rsidRPr="00377375">
        <w:rPr>
          <w:rFonts w:ascii="Times New Roman" w:hAnsi="Times New Roman" w:cs="Times New Roman"/>
        </w:rPr>
        <w:t>x10</w:t>
      </w:r>
      <w:r w:rsidRPr="00377375">
        <w:rPr>
          <w:rFonts w:ascii="Times New Roman" w:hAnsi="Times New Roman" w:cs="Times New Roman"/>
          <w:vertAlign w:val="superscript"/>
        </w:rPr>
        <w:t>9</w:t>
      </w:r>
      <w:r w:rsidRPr="00377375">
        <w:rPr>
          <w:rFonts w:ascii="Times New Roman" w:hAnsi="Times New Roman" w:cs="Times New Roman"/>
        </w:rPr>
        <w:t xml:space="preserve">/l), </w:t>
      </w:r>
      <w:r w:rsidR="00631E1F">
        <w:rPr>
          <w:rFonts w:ascii="Times New Roman" w:hAnsi="Times New Roman" w:cs="Times New Roman"/>
        </w:rPr>
        <w:t xml:space="preserve">mild </w:t>
      </w:r>
      <w:r w:rsidRPr="00377375">
        <w:rPr>
          <w:rFonts w:ascii="Times New Roman" w:hAnsi="Times New Roman" w:cs="Times New Roman"/>
        </w:rPr>
        <w:t>a</w:t>
      </w:r>
      <w:r w:rsidR="00631E1F">
        <w:rPr>
          <w:rFonts w:ascii="Times New Roman" w:hAnsi="Times New Roman" w:cs="Times New Roman"/>
        </w:rPr>
        <w:t xml:space="preserve">nemia </w:t>
      </w:r>
      <w:r w:rsidRPr="00377375">
        <w:rPr>
          <w:rFonts w:ascii="Times New Roman" w:hAnsi="Times New Roman" w:cs="Times New Roman"/>
        </w:rPr>
        <w:t xml:space="preserve">(hemoglobin </w:t>
      </w:r>
      <w:r w:rsidR="00631E1F">
        <w:rPr>
          <w:rFonts w:ascii="Times New Roman" w:hAnsi="Times New Roman" w:cs="Times New Roman"/>
        </w:rPr>
        <w:t xml:space="preserve">comprised between </w:t>
      </w:r>
      <w:r w:rsidR="00631E1F">
        <w:rPr>
          <w:rFonts w:ascii="Times New Roman" w:hAnsi="Times New Roman" w:cs="Times New Roman"/>
          <w:lang w:val="nl-NL"/>
        </w:rPr>
        <w:t>10-</w:t>
      </w:r>
      <w:r w:rsidRPr="00377375">
        <w:rPr>
          <w:rFonts w:ascii="Times New Roman" w:hAnsi="Times New Roman" w:cs="Times New Roman"/>
          <w:lang w:val="nl-NL"/>
        </w:rPr>
        <w:t xml:space="preserve">13 g/dl </w:t>
      </w:r>
      <w:r w:rsidR="00631E1F">
        <w:rPr>
          <w:rFonts w:ascii="Times New Roman" w:hAnsi="Times New Roman" w:cs="Times New Roman"/>
          <w:lang w:val="nl-NL"/>
        </w:rPr>
        <w:t>in men, and</w:t>
      </w:r>
      <w:r w:rsidR="00E927CB" w:rsidRPr="00377375">
        <w:rPr>
          <w:rFonts w:ascii="Times New Roman" w:hAnsi="Times New Roman" w:cs="Times New Roman"/>
          <w:lang w:val="nl-NL"/>
        </w:rPr>
        <w:t xml:space="preserve"> </w:t>
      </w:r>
      <w:r w:rsidRPr="00377375">
        <w:rPr>
          <w:rFonts w:ascii="Times New Roman" w:hAnsi="Times New Roman" w:cs="Times New Roman"/>
          <w:lang w:val="nl-NL"/>
        </w:rPr>
        <w:t xml:space="preserve">10-12 g/dl in </w:t>
      </w:r>
      <w:proofErr w:type="spellStart"/>
      <w:r w:rsidR="00D307CD">
        <w:rPr>
          <w:rFonts w:ascii="Times New Roman" w:hAnsi="Times New Roman" w:cs="Times New Roman"/>
          <w:lang w:val="nl-NL"/>
        </w:rPr>
        <w:t>women</w:t>
      </w:r>
      <w:proofErr w:type="spellEnd"/>
      <w:r w:rsidRPr="00377375">
        <w:rPr>
          <w:rFonts w:ascii="Times New Roman" w:hAnsi="Times New Roman" w:cs="Times New Roman"/>
          <w:lang w:val="nl-NL"/>
        </w:rPr>
        <w:t xml:space="preserve">), </w:t>
      </w:r>
      <w:proofErr w:type="spellStart"/>
      <w:r w:rsidRPr="00377375">
        <w:rPr>
          <w:rFonts w:ascii="Times New Roman" w:hAnsi="Times New Roman" w:cs="Times New Roman"/>
        </w:rPr>
        <w:t>unmutated</w:t>
      </w:r>
      <w:proofErr w:type="spellEnd"/>
      <w:r w:rsidRPr="00377375">
        <w:rPr>
          <w:rFonts w:ascii="Times New Roman" w:hAnsi="Times New Roman" w:cs="Times New Roman"/>
        </w:rPr>
        <w:t xml:space="preserve"> IGHV genes, and trisomy 12</w:t>
      </w:r>
      <w:r w:rsidR="008E1757">
        <w:rPr>
          <w:rFonts w:ascii="Times New Roman" w:hAnsi="Times New Roman" w:cs="Times New Roman"/>
        </w:rPr>
        <w:t xml:space="preserve"> (Fig</w:t>
      </w:r>
      <w:r w:rsidR="00FB1C32">
        <w:rPr>
          <w:rFonts w:ascii="Times New Roman" w:hAnsi="Times New Roman" w:cs="Times New Roman"/>
        </w:rPr>
        <w:t>ure</w:t>
      </w:r>
      <w:r w:rsidR="008E1757">
        <w:rPr>
          <w:rFonts w:ascii="Times New Roman" w:hAnsi="Times New Roman" w:cs="Times New Roman"/>
        </w:rPr>
        <w:t xml:space="preserve"> 1A</w:t>
      </w:r>
      <w:r w:rsidR="00A6772B" w:rsidRPr="00377375">
        <w:rPr>
          <w:rFonts w:ascii="Times New Roman" w:hAnsi="Times New Roman" w:cs="Times New Roman"/>
        </w:rPr>
        <w:t>)</w:t>
      </w:r>
      <w:r w:rsidR="00E927CB" w:rsidRPr="00377375">
        <w:rPr>
          <w:rFonts w:ascii="Times New Roman" w:hAnsi="Times New Roman" w:cs="Times New Roman"/>
        </w:rPr>
        <w:t xml:space="preserve">. </w:t>
      </w:r>
      <w:r w:rsidR="00D70194" w:rsidRPr="00377375">
        <w:rPr>
          <w:rFonts w:ascii="Times New Roman" w:hAnsi="Times New Roman" w:cs="Times New Roman"/>
        </w:rPr>
        <w:t xml:space="preserve">Sensitivity analysis accounting for death </w:t>
      </w:r>
      <w:r w:rsidR="002C5F2D" w:rsidRPr="00377375">
        <w:rPr>
          <w:rFonts w:ascii="Times New Roman" w:hAnsi="Times New Roman" w:cs="Times New Roman"/>
        </w:rPr>
        <w:t xml:space="preserve">without treatment </w:t>
      </w:r>
      <w:r w:rsidR="00D70194" w:rsidRPr="00377375">
        <w:rPr>
          <w:rFonts w:ascii="Times New Roman" w:hAnsi="Times New Roman" w:cs="Times New Roman"/>
        </w:rPr>
        <w:t xml:space="preserve">as competing risk </w:t>
      </w:r>
      <w:r w:rsidR="00F85D69" w:rsidRPr="00377375">
        <w:rPr>
          <w:rFonts w:ascii="Times New Roman" w:hAnsi="Times New Roman" w:cs="Times New Roman"/>
        </w:rPr>
        <w:t xml:space="preserve">confirmed </w:t>
      </w:r>
      <w:r w:rsidR="00D70194" w:rsidRPr="00377375">
        <w:rPr>
          <w:rFonts w:ascii="Times New Roman" w:hAnsi="Times New Roman" w:cs="Times New Roman"/>
        </w:rPr>
        <w:t xml:space="preserve">the </w:t>
      </w:r>
      <w:proofErr w:type="spellStart"/>
      <w:r w:rsidR="002D4608">
        <w:rPr>
          <w:rFonts w:ascii="Times New Roman" w:hAnsi="Times New Roman" w:cs="Times New Roman"/>
        </w:rPr>
        <w:t>univariable</w:t>
      </w:r>
      <w:proofErr w:type="spellEnd"/>
      <w:r w:rsidR="002C5F2D" w:rsidRPr="00377375">
        <w:rPr>
          <w:rFonts w:ascii="Times New Roman" w:hAnsi="Times New Roman" w:cs="Times New Roman"/>
        </w:rPr>
        <w:t xml:space="preserve"> associations between</w:t>
      </w:r>
      <w:r w:rsidR="00D70194" w:rsidRPr="00377375">
        <w:rPr>
          <w:rFonts w:ascii="Times New Roman" w:hAnsi="Times New Roman" w:cs="Times New Roman"/>
        </w:rPr>
        <w:t xml:space="preserve"> </w:t>
      </w:r>
      <w:r w:rsidR="002C5F2D" w:rsidRPr="00377375">
        <w:rPr>
          <w:rFonts w:ascii="Times New Roman" w:hAnsi="Times New Roman" w:cs="Times New Roman"/>
        </w:rPr>
        <w:t>b</w:t>
      </w:r>
      <w:r w:rsidR="00D70194" w:rsidRPr="00377375">
        <w:rPr>
          <w:rFonts w:ascii="Times New Roman" w:hAnsi="Times New Roman" w:cs="Times New Roman"/>
        </w:rPr>
        <w:t>aseline varia</w:t>
      </w:r>
      <w:r w:rsidR="002C5F2D" w:rsidRPr="00377375">
        <w:rPr>
          <w:rFonts w:ascii="Times New Roman" w:hAnsi="Times New Roman" w:cs="Times New Roman"/>
        </w:rPr>
        <w:t>b</w:t>
      </w:r>
      <w:r w:rsidR="00D70194" w:rsidRPr="00377375">
        <w:rPr>
          <w:rFonts w:ascii="Times New Roman" w:hAnsi="Times New Roman" w:cs="Times New Roman"/>
        </w:rPr>
        <w:t>les and TTFT</w:t>
      </w:r>
      <w:r w:rsidR="00F85D69" w:rsidRPr="00377375">
        <w:rPr>
          <w:rFonts w:ascii="Times New Roman" w:hAnsi="Times New Roman" w:cs="Times New Roman"/>
        </w:rPr>
        <w:t xml:space="preserve"> </w:t>
      </w:r>
      <w:r w:rsidR="00025140" w:rsidRPr="00377375">
        <w:rPr>
          <w:rFonts w:ascii="Times New Roman" w:hAnsi="Times New Roman" w:cs="Times New Roman"/>
        </w:rPr>
        <w:t xml:space="preserve">(Table </w:t>
      </w:r>
      <w:r w:rsidR="00A6772B" w:rsidRPr="00377375">
        <w:rPr>
          <w:rFonts w:ascii="Times New Roman" w:hAnsi="Times New Roman" w:cs="Times New Roman"/>
        </w:rPr>
        <w:t>S</w:t>
      </w:r>
      <w:r w:rsidR="00806C2B">
        <w:rPr>
          <w:rFonts w:ascii="Times New Roman" w:hAnsi="Times New Roman" w:cs="Times New Roman"/>
        </w:rPr>
        <w:t>2</w:t>
      </w:r>
      <w:r w:rsidR="00A6772B" w:rsidRPr="00377375">
        <w:rPr>
          <w:rFonts w:ascii="Times New Roman" w:hAnsi="Times New Roman" w:cs="Times New Roman"/>
        </w:rPr>
        <w:t xml:space="preserve"> in the Supplementary Appendix</w:t>
      </w:r>
      <w:r w:rsidR="00025140" w:rsidRPr="00377375">
        <w:rPr>
          <w:rFonts w:ascii="Times New Roman" w:hAnsi="Times New Roman" w:cs="Times New Roman"/>
        </w:rPr>
        <w:t>)</w:t>
      </w:r>
      <w:r w:rsidR="00D70194" w:rsidRPr="00377375">
        <w:rPr>
          <w:rFonts w:ascii="Times New Roman" w:hAnsi="Times New Roman" w:cs="Times New Roman"/>
        </w:rPr>
        <w:t xml:space="preserve">. </w:t>
      </w:r>
      <w:r w:rsidR="009B22FF" w:rsidRPr="00377375">
        <w:rPr>
          <w:rFonts w:ascii="Times New Roman" w:hAnsi="Times New Roman" w:cs="Times New Roman"/>
        </w:rPr>
        <w:t>By multivaria</w:t>
      </w:r>
      <w:r w:rsidR="00B8068E">
        <w:rPr>
          <w:rFonts w:ascii="Times New Roman" w:hAnsi="Times New Roman" w:cs="Times New Roman"/>
        </w:rPr>
        <w:t>ble</w:t>
      </w:r>
      <w:r w:rsidR="009B22FF" w:rsidRPr="00377375">
        <w:rPr>
          <w:rFonts w:ascii="Times New Roman" w:hAnsi="Times New Roman" w:cs="Times New Roman"/>
        </w:rPr>
        <w:t xml:space="preserve"> analysis</w:t>
      </w:r>
      <w:r w:rsidR="00572BC0" w:rsidRPr="00377375">
        <w:rPr>
          <w:rFonts w:ascii="Times New Roman" w:hAnsi="Times New Roman" w:cs="Times New Roman"/>
        </w:rPr>
        <w:t xml:space="preserve"> in the training </w:t>
      </w:r>
      <w:r w:rsidR="00480507" w:rsidRPr="00377375">
        <w:rPr>
          <w:rFonts w:ascii="Times New Roman" w:hAnsi="Times New Roman" w:cs="Times New Roman"/>
        </w:rPr>
        <w:t>series</w:t>
      </w:r>
      <w:r w:rsidR="009B22FF" w:rsidRPr="00377375">
        <w:rPr>
          <w:rFonts w:ascii="Times New Roman" w:hAnsi="Times New Roman" w:cs="Times New Roman"/>
        </w:rPr>
        <w:t xml:space="preserve">, </w:t>
      </w:r>
      <w:r w:rsidR="00042032" w:rsidRPr="00377375">
        <w:rPr>
          <w:rFonts w:ascii="Times New Roman" w:hAnsi="Times New Roman" w:cs="Times New Roman"/>
        </w:rPr>
        <w:t>four</w:t>
      </w:r>
      <w:r w:rsidR="00572BC0" w:rsidRPr="00377375">
        <w:rPr>
          <w:rFonts w:ascii="Times New Roman" w:hAnsi="Times New Roman" w:cs="Times New Roman"/>
        </w:rPr>
        <w:t xml:space="preserve"> </w:t>
      </w:r>
      <w:r w:rsidR="009B22FF" w:rsidRPr="00377375">
        <w:rPr>
          <w:rFonts w:ascii="Times New Roman" w:hAnsi="Times New Roman" w:cs="Times New Roman"/>
        </w:rPr>
        <w:t xml:space="preserve">variables independently associated with </w:t>
      </w:r>
      <w:r w:rsidR="00161C64" w:rsidRPr="00377375">
        <w:rPr>
          <w:rFonts w:ascii="Times New Roman" w:hAnsi="Times New Roman" w:cs="Times New Roman"/>
        </w:rPr>
        <w:t>TTFT</w:t>
      </w:r>
      <w:r w:rsidR="00E50259">
        <w:rPr>
          <w:rFonts w:ascii="Times New Roman" w:hAnsi="Times New Roman" w:cs="Times New Roman"/>
        </w:rPr>
        <w:t xml:space="preserve"> were identified</w:t>
      </w:r>
      <w:r w:rsidR="00572BC0" w:rsidRPr="00377375">
        <w:rPr>
          <w:rFonts w:ascii="Times New Roman" w:hAnsi="Times New Roman" w:cs="Times New Roman"/>
        </w:rPr>
        <w:t xml:space="preserve">, including </w:t>
      </w:r>
      <w:proofErr w:type="spellStart"/>
      <w:r w:rsidR="00FE0E0F" w:rsidRPr="00377375">
        <w:rPr>
          <w:rFonts w:ascii="Times New Roman" w:hAnsi="Times New Roman" w:cs="Times New Roman"/>
        </w:rPr>
        <w:t>unmutated</w:t>
      </w:r>
      <w:proofErr w:type="spellEnd"/>
      <w:r w:rsidR="00FE0E0F" w:rsidRPr="00377375">
        <w:rPr>
          <w:rFonts w:ascii="Times New Roman" w:hAnsi="Times New Roman" w:cs="Times New Roman"/>
        </w:rPr>
        <w:t xml:space="preserve"> IGHV genes, </w:t>
      </w:r>
      <w:r w:rsidR="002D4608">
        <w:rPr>
          <w:rFonts w:ascii="Times New Roman" w:hAnsi="Times New Roman" w:cs="Times New Roman"/>
        </w:rPr>
        <w:t>absolute</w:t>
      </w:r>
      <w:r w:rsidR="00AC1F9B">
        <w:rPr>
          <w:rFonts w:ascii="Times New Roman" w:hAnsi="Times New Roman" w:cs="Times New Roman"/>
        </w:rPr>
        <w:t xml:space="preserve"> </w:t>
      </w:r>
      <w:r w:rsidR="009B22FF" w:rsidRPr="00377375">
        <w:rPr>
          <w:rFonts w:ascii="Times New Roman" w:hAnsi="Times New Roman" w:cs="Times New Roman"/>
        </w:rPr>
        <w:t>lymphocyte count &gt;15 x10</w:t>
      </w:r>
      <w:r w:rsidR="009B22FF" w:rsidRPr="00377375">
        <w:rPr>
          <w:rFonts w:ascii="Times New Roman" w:hAnsi="Times New Roman" w:cs="Times New Roman"/>
          <w:vertAlign w:val="superscript"/>
        </w:rPr>
        <w:t>9</w:t>
      </w:r>
      <w:r w:rsidR="00042032" w:rsidRPr="00377375">
        <w:rPr>
          <w:rFonts w:ascii="Times New Roman" w:hAnsi="Times New Roman" w:cs="Times New Roman"/>
        </w:rPr>
        <w:t>/l</w:t>
      </w:r>
      <w:r w:rsidR="00FE0E0F" w:rsidRPr="00377375">
        <w:rPr>
          <w:rFonts w:ascii="Times New Roman" w:hAnsi="Times New Roman" w:cs="Times New Roman"/>
        </w:rPr>
        <w:t xml:space="preserve">, </w:t>
      </w:r>
      <w:r w:rsidR="0029183A" w:rsidRPr="00377375">
        <w:rPr>
          <w:rFonts w:ascii="Times New Roman" w:hAnsi="Times New Roman" w:cs="Times New Roman"/>
        </w:rPr>
        <w:t xml:space="preserve">palpable lymph nodes, </w:t>
      </w:r>
      <w:r w:rsidR="00E17629" w:rsidRPr="00377375">
        <w:rPr>
          <w:rFonts w:ascii="Times New Roman" w:hAnsi="Times New Roman" w:cs="Times New Roman"/>
        </w:rPr>
        <w:t>and trisomy 12</w:t>
      </w:r>
      <w:r w:rsidR="008E1757">
        <w:rPr>
          <w:rFonts w:ascii="Times New Roman" w:hAnsi="Times New Roman" w:cs="Times New Roman"/>
        </w:rPr>
        <w:t xml:space="preserve"> (Fig</w:t>
      </w:r>
      <w:r w:rsidR="00FB1C32">
        <w:rPr>
          <w:rFonts w:ascii="Times New Roman" w:hAnsi="Times New Roman" w:cs="Times New Roman"/>
        </w:rPr>
        <w:t>ure</w:t>
      </w:r>
      <w:r w:rsidR="008E1757">
        <w:rPr>
          <w:rFonts w:ascii="Times New Roman" w:hAnsi="Times New Roman" w:cs="Times New Roman"/>
        </w:rPr>
        <w:t xml:space="preserve"> </w:t>
      </w:r>
      <w:r w:rsidR="008E1757" w:rsidRPr="0068767E">
        <w:rPr>
          <w:rFonts w:ascii="Times New Roman" w:hAnsi="Times New Roman" w:cs="Times New Roman"/>
        </w:rPr>
        <w:t>1B)</w:t>
      </w:r>
      <w:r w:rsidR="009B22FF" w:rsidRPr="0068767E">
        <w:rPr>
          <w:rFonts w:ascii="Times New Roman" w:hAnsi="Times New Roman" w:cs="Times New Roman"/>
        </w:rPr>
        <w:t xml:space="preserve">. </w:t>
      </w:r>
      <w:r w:rsidR="00CC518B" w:rsidRPr="0068767E">
        <w:rPr>
          <w:rFonts w:ascii="Times New Roman" w:hAnsi="Times New Roman" w:cs="Times New Roman"/>
        </w:rPr>
        <w:t xml:space="preserve">The elastic net </w:t>
      </w:r>
      <w:r w:rsidR="008D79BF" w:rsidRPr="0068767E">
        <w:rPr>
          <w:rFonts w:ascii="Times New Roman" w:hAnsi="Times New Roman" w:cs="Times New Roman"/>
        </w:rPr>
        <w:t>approach</w:t>
      </w:r>
      <w:r w:rsidR="00CC518B" w:rsidRPr="0068767E">
        <w:rPr>
          <w:rFonts w:ascii="Times New Roman" w:hAnsi="Times New Roman" w:cs="Times New Roman"/>
        </w:rPr>
        <w:t xml:space="preserve"> confirmed the stability of the </w:t>
      </w:r>
      <w:r w:rsidR="008D79BF" w:rsidRPr="0068767E">
        <w:rPr>
          <w:rFonts w:ascii="Times New Roman" w:hAnsi="Times New Roman" w:cs="Times New Roman"/>
        </w:rPr>
        <w:lastRenderedPageBreak/>
        <w:t>selected variables</w:t>
      </w:r>
      <w:r w:rsidR="00CC518B" w:rsidRPr="0068767E">
        <w:rPr>
          <w:rFonts w:ascii="Times New Roman" w:hAnsi="Times New Roman" w:cs="Times New Roman"/>
        </w:rPr>
        <w:t xml:space="preserve">, as the coefficients for </w:t>
      </w:r>
      <w:proofErr w:type="spellStart"/>
      <w:r w:rsidR="00CC518B" w:rsidRPr="0068767E">
        <w:rPr>
          <w:rFonts w:ascii="Times New Roman" w:hAnsi="Times New Roman" w:cs="Times New Roman"/>
        </w:rPr>
        <w:t>unmutated</w:t>
      </w:r>
      <w:proofErr w:type="spellEnd"/>
      <w:r w:rsidR="00CC518B" w:rsidRPr="0068767E">
        <w:rPr>
          <w:rFonts w:ascii="Times New Roman" w:hAnsi="Times New Roman" w:cs="Times New Roman"/>
        </w:rPr>
        <w:t xml:space="preserve"> IGHV genes, absolute lymphocyte count &gt;15 x10</w:t>
      </w:r>
      <w:r w:rsidR="00CC518B" w:rsidRPr="0068767E">
        <w:rPr>
          <w:rFonts w:ascii="Times New Roman" w:hAnsi="Times New Roman" w:cs="Times New Roman"/>
          <w:vertAlign w:val="superscript"/>
        </w:rPr>
        <w:t>9</w:t>
      </w:r>
      <w:r w:rsidR="00CC518B" w:rsidRPr="0068767E">
        <w:rPr>
          <w:rFonts w:ascii="Times New Roman" w:hAnsi="Times New Roman" w:cs="Times New Roman"/>
        </w:rPr>
        <w:t>/l, palpable lymph nodes, and trisomy 12 were no</w:t>
      </w:r>
      <w:r w:rsidR="00352171" w:rsidRPr="0068767E">
        <w:rPr>
          <w:rFonts w:ascii="Times New Roman" w:hAnsi="Times New Roman" w:cs="Times New Roman"/>
        </w:rPr>
        <w:t>t</w:t>
      </w:r>
      <w:r w:rsidR="00CC518B" w:rsidRPr="0068767E">
        <w:rPr>
          <w:rFonts w:ascii="Times New Roman" w:hAnsi="Times New Roman" w:cs="Times New Roman"/>
        </w:rPr>
        <w:t xml:space="preserve"> penalized and therefore not shrunk to zero. </w:t>
      </w:r>
      <w:proofErr w:type="spellStart"/>
      <w:r w:rsidR="00456453">
        <w:rPr>
          <w:rFonts w:ascii="Times New Roman" w:hAnsi="Times New Roman" w:cs="Times New Roman"/>
        </w:rPr>
        <w:t>U</w:t>
      </w:r>
      <w:r w:rsidR="00FE0E0F" w:rsidRPr="00377375">
        <w:rPr>
          <w:rFonts w:ascii="Times New Roman" w:hAnsi="Times New Roman" w:cs="Times New Roman"/>
        </w:rPr>
        <w:t>nmutated</w:t>
      </w:r>
      <w:proofErr w:type="spellEnd"/>
      <w:r w:rsidR="00FE0E0F" w:rsidRPr="00377375">
        <w:rPr>
          <w:rFonts w:ascii="Times New Roman" w:hAnsi="Times New Roman" w:cs="Times New Roman"/>
        </w:rPr>
        <w:t xml:space="preserve"> IGHV genes</w:t>
      </w:r>
      <w:r w:rsidR="0029183A" w:rsidRPr="00377375">
        <w:rPr>
          <w:rFonts w:ascii="Times New Roman" w:hAnsi="Times New Roman" w:cs="Times New Roman"/>
        </w:rPr>
        <w:t>,</w:t>
      </w:r>
      <w:r w:rsidR="00FE0E0F" w:rsidRPr="00377375">
        <w:rPr>
          <w:rFonts w:ascii="Times New Roman" w:hAnsi="Times New Roman" w:cs="Times New Roman"/>
        </w:rPr>
        <w:t xml:space="preserve"> </w:t>
      </w:r>
      <w:r w:rsidR="00AC1F9B">
        <w:rPr>
          <w:rFonts w:ascii="Times New Roman" w:hAnsi="Times New Roman" w:cs="Times New Roman"/>
        </w:rPr>
        <w:t xml:space="preserve">absolute </w:t>
      </w:r>
      <w:r w:rsidR="0029183A" w:rsidRPr="00377375">
        <w:rPr>
          <w:rFonts w:ascii="Times New Roman" w:hAnsi="Times New Roman" w:cs="Times New Roman"/>
        </w:rPr>
        <w:t>lymphocyte count &gt;15 x10</w:t>
      </w:r>
      <w:r w:rsidR="0029183A" w:rsidRPr="00377375">
        <w:rPr>
          <w:rFonts w:ascii="Times New Roman" w:hAnsi="Times New Roman" w:cs="Times New Roman"/>
          <w:vertAlign w:val="superscript"/>
        </w:rPr>
        <w:t>9</w:t>
      </w:r>
      <w:r w:rsidR="0029183A" w:rsidRPr="00377375">
        <w:rPr>
          <w:rFonts w:ascii="Times New Roman" w:hAnsi="Times New Roman" w:cs="Times New Roman"/>
        </w:rPr>
        <w:t xml:space="preserve">/l, and palpable </w:t>
      </w:r>
      <w:r w:rsidR="006F2D05" w:rsidRPr="00377375">
        <w:rPr>
          <w:rFonts w:ascii="Times New Roman" w:hAnsi="Times New Roman" w:cs="Times New Roman"/>
        </w:rPr>
        <w:t xml:space="preserve">lymph nodes, </w:t>
      </w:r>
      <w:r w:rsidR="00FE0E0F" w:rsidRPr="00377375">
        <w:rPr>
          <w:rFonts w:ascii="Times New Roman" w:hAnsi="Times New Roman" w:cs="Times New Roman"/>
        </w:rPr>
        <w:t>but not trisomy 12,</w:t>
      </w:r>
      <w:r w:rsidR="00E50259">
        <w:rPr>
          <w:rFonts w:ascii="Times New Roman" w:hAnsi="Times New Roman" w:cs="Times New Roman"/>
        </w:rPr>
        <w:t xml:space="preserve"> were found</w:t>
      </w:r>
      <w:r w:rsidR="00746663" w:rsidRPr="00377375">
        <w:rPr>
          <w:rFonts w:ascii="Times New Roman" w:hAnsi="Times New Roman" w:cs="Times New Roman"/>
        </w:rPr>
        <w:t xml:space="preserve"> to be </w:t>
      </w:r>
      <w:r w:rsidR="00572BC0" w:rsidRPr="00377375">
        <w:rPr>
          <w:rFonts w:ascii="Times New Roman" w:hAnsi="Times New Roman" w:cs="Times New Roman"/>
        </w:rPr>
        <w:t>the most stable</w:t>
      </w:r>
      <w:r w:rsidR="00042032" w:rsidRPr="00377375">
        <w:rPr>
          <w:rFonts w:ascii="Times New Roman" w:hAnsi="Times New Roman" w:cs="Times New Roman"/>
        </w:rPr>
        <w:t xml:space="preserve"> </w:t>
      </w:r>
      <w:r w:rsidR="00E50259">
        <w:rPr>
          <w:rFonts w:ascii="Times New Roman" w:hAnsi="Times New Roman" w:cs="Times New Roman"/>
        </w:rPr>
        <w:t>biomarkers</w:t>
      </w:r>
      <w:r w:rsidR="00F253DB">
        <w:rPr>
          <w:rFonts w:ascii="Times New Roman" w:hAnsi="Times New Roman" w:cs="Times New Roman"/>
        </w:rPr>
        <w:t xml:space="preserve"> </w:t>
      </w:r>
      <w:r w:rsidR="00746663" w:rsidRPr="00377375">
        <w:rPr>
          <w:rFonts w:ascii="Times New Roman" w:hAnsi="Times New Roman" w:cs="Times New Roman"/>
        </w:rPr>
        <w:t>after</w:t>
      </w:r>
      <w:r w:rsidR="00042032" w:rsidRPr="00377375">
        <w:rPr>
          <w:rFonts w:ascii="Times New Roman" w:hAnsi="Times New Roman" w:cs="Times New Roman"/>
        </w:rPr>
        <w:t xml:space="preserve"> </w:t>
      </w:r>
      <w:r w:rsidR="00746663" w:rsidRPr="00377375">
        <w:rPr>
          <w:rFonts w:ascii="Times New Roman" w:hAnsi="Times New Roman" w:cs="Times New Roman"/>
        </w:rPr>
        <w:t xml:space="preserve">iterating the </w:t>
      </w:r>
      <w:r w:rsidR="00042032" w:rsidRPr="00377375">
        <w:rPr>
          <w:rFonts w:ascii="Times New Roman" w:hAnsi="Times New Roman" w:cs="Times New Roman"/>
        </w:rPr>
        <w:t>multivaria</w:t>
      </w:r>
      <w:r w:rsidR="00B8068E">
        <w:rPr>
          <w:rFonts w:ascii="Times New Roman" w:hAnsi="Times New Roman" w:cs="Times New Roman"/>
        </w:rPr>
        <w:t>ble</w:t>
      </w:r>
      <w:r w:rsidR="009F1578">
        <w:rPr>
          <w:rFonts w:ascii="Times New Roman" w:hAnsi="Times New Roman" w:cs="Times New Roman"/>
        </w:rPr>
        <w:t xml:space="preserve"> analysis in each single </w:t>
      </w:r>
      <w:r w:rsidR="00042032" w:rsidRPr="00377375">
        <w:rPr>
          <w:rFonts w:ascii="Times New Roman" w:hAnsi="Times New Roman" w:cs="Times New Roman"/>
        </w:rPr>
        <w:t>validation</w:t>
      </w:r>
      <w:r w:rsidR="0029183A" w:rsidRPr="00377375">
        <w:rPr>
          <w:rFonts w:ascii="Times New Roman" w:hAnsi="Times New Roman" w:cs="Times New Roman"/>
        </w:rPr>
        <w:t xml:space="preserve"> </w:t>
      </w:r>
      <w:proofErr w:type="spellStart"/>
      <w:r w:rsidR="001F6FC8">
        <w:rPr>
          <w:rFonts w:ascii="Times New Roman" w:hAnsi="Times New Roman" w:cs="Times New Roman"/>
        </w:rPr>
        <w:t>Binet</w:t>
      </w:r>
      <w:proofErr w:type="spellEnd"/>
      <w:r w:rsidR="001F6FC8">
        <w:rPr>
          <w:rFonts w:ascii="Times New Roman" w:hAnsi="Times New Roman" w:cs="Times New Roman"/>
        </w:rPr>
        <w:t xml:space="preserve"> A </w:t>
      </w:r>
      <w:r w:rsidR="009F1578">
        <w:rPr>
          <w:rFonts w:ascii="Times New Roman" w:hAnsi="Times New Roman" w:cs="Times New Roman"/>
        </w:rPr>
        <w:t>cohort</w:t>
      </w:r>
      <w:r w:rsidR="00B042C2" w:rsidRPr="00377375">
        <w:rPr>
          <w:rFonts w:ascii="Times New Roman" w:hAnsi="Times New Roman" w:cs="Times New Roman"/>
        </w:rPr>
        <w:t xml:space="preserve"> (</w:t>
      </w:r>
      <w:r w:rsidR="008E1757">
        <w:rPr>
          <w:rFonts w:ascii="Times New Roman" w:hAnsi="Times New Roman" w:cs="Times New Roman"/>
        </w:rPr>
        <w:t>Fig</w:t>
      </w:r>
      <w:r w:rsidR="00FB1C32">
        <w:rPr>
          <w:rFonts w:ascii="Times New Roman" w:hAnsi="Times New Roman" w:cs="Times New Roman"/>
        </w:rPr>
        <w:t>ure</w:t>
      </w:r>
      <w:r w:rsidR="008E1757">
        <w:rPr>
          <w:rFonts w:ascii="Times New Roman" w:hAnsi="Times New Roman" w:cs="Times New Roman"/>
        </w:rPr>
        <w:t xml:space="preserve"> 1C</w:t>
      </w:r>
      <w:r w:rsidR="00B042C2" w:rsidRPr="00377375">
        <w:rPr>
          <w:rFonts w:ascii="Times New Roman" w:hAnsi="Times New Roman" w:cs="Times New Roman"/>
        </w:rPr>
        <w:t>)</w:t>
      </w:r>
      <w:r w:rsidR="00FE0E0F" w:rsidRPr="00377375">
        <w:rPr>
          <w:rFonts w:ascii="Times New Roman" w:hAnsi="Times New Roman" w:cs="Times New Roman"/>
        </w:rPr>
        <w:t>.</w:t>
      </w:r>
      <w:r w:rsidR="00CC518B">
        <w:rPr>
          <w:rFonts w:ascii="Times New Roman" w:hAnsi="Times New Roman" w:cs="Times New Roman"/>
        </w:rPr>
        <w:t xml:space="preserve"> </w:t>
      </w:r>
      <w:r w:rsidR="00A05D3E">
        <w:rPr>
          <w:rFonts w:ascii="Times New Roman" w:hAnsi="Times New Roman" w:cs="Times New Roman"/>
        </w:rPr>
        <w:t xml:space="preserve">Across the validation cohorts, </w:t>
      </w:r>
      <w:proofErr w:type="spellStart"/>
      <w:r w:rsidR="00A05D3E">
        <w:rPr>
          <w:rFonts w:ascii="Times New Roman" w:hAnsi="Times New Roman" w:cs="Times New Roman"/>
        </w:rPr>
        <w:t>u</w:t>
      </w:r>
      <w:r w:rsidR="00FE0E0F" w:rsidRPr="00377375">
        <w:rPr>
          <w:rFonts w:ascii="Times New Roman" w:hAnsi="Times New Roman" w:cs="Times New Roman"/>
        </w:rPr>
        <w:t>nmutated</w:t>
      </w:r>
      <w:proofErr w:type="spellEnd"/>
      <w:r w:rsidR="00FE0E0F" w:rsidRPr="00377375">
        <w:rPr>
          <w:rFonts w:ascii="Times New Roman" w:hAnsi="Times New Roman" w:cs="Times New Roman"/>
        </w:rPr>
        <w:t xml:space="preserve"> IGHV genes</w:t>
      </w:r>
      <w:r w:rsidR="0029183A" w:rsidRPr="00377375">
        <w:rPr>
          <w:rFonts w:ascii="Times New Roman" w:hAnsi="Times New Roman" w:cs="Times New Roman"/>
        </w:rPr>
        <w:t>,</w:t>
      </w:r>
      <w:r w:rsidR="00FE0E0F" w:rsidRPr="00377375">
        <w:rPr>
          <w:rFonts w:ascii="Times New Roman" w:hAnsi="Times New Roman" w:cs="Times New Roman"/>
        </w:rPr>
        <w:t xml:space="preserve"> </w:t>
      </w:r>
      <w:r w:rsidR="00AC1F9B">
        <w:rPr>
          <w:rFonts w:ascii="Times New Roman" w:hAnsi="Times New Roman" w:cs="Times New Roman"/>
        </w:rPr>
        <w:t xml:space="preserve">absolute </w:t>
      </w:r>
      <w:r w:rsidR="0029183A" w:rsidRPr="00377375">
        <w:rPr>
          <w:rFonts w:ascii="Times New Roman" w:hAnsi="Times New Roman" w:cs="Times New Roman"/>
        </w:rPr>
        <w:t>lymphocyte count &gt;15 x10</w:t>
      </w:r>
      <w:r w:rsidR="0029183A" w:rsidRPr="00377375">
        <w:rPr>
          <w:rFonts w:ascii="Times New Roman" w:hAnsi="Times New Roman" w:cs="Times New Roman"/>
          <w:vertAlign w:val="superscript"/>
        </w:rPr>
        <w:t>9</w:t>
      </w:r>
      <w:r w:rsidR="0029183A" w:rsidRPr="00377375">
        <w:rPr>
          <w:rFonts w:ascii="Times New Roman" w:hAnsi="Times New Roman" w:cs="Times New Roman"/>
        </w:rPr>
        <w:t xml:space="preserve">/l, and palpable lymph nodes </w:t>
      </w:r>
      <w:r w:rsidR="00FE0E0F" w:rsidRPr="00377375">
        <w:rPr>
          <w:rFonts w:ascii="Times New Roman" w:hAnsi="Times New Roman" w:cs="Times New Roman"/>
        </w:rPr>
        <w:t xml:space="preserve">maintained the highest percentage of selection </w:t>
      </w:r>
      <w:r w:rsidR="00183E76" w:rsidRPr="00377375">
        <w:rPr>
          <w:rFonts w:ascii="Times New Roman" w:hAnsi="Times New Roman" w:cs="Times New Roman"/>
        </w:rPr>
        <w:t>in the final model</w:t>
      </w:r>
      <w:r w:rsidR="00F357AC">
        <w:rPr>
          <w:rFonts w:ascii="Times New Roman" w:hAnsi="Times New Roman" w:cs="Times New Roman"/>
        </w:rPr>
        <w:t>,</w:t>
      </w:r>
      <w:r w:rsidR="00183E76" w:rsidRPr="00377375">
        <w:rPr>
          <w:rFonts w:ascii="Times New Roman" w:hAnsi="Times New Roman" w:cs="Times New Roman"/>
        </w:rPr>
        <w:t xml:space="preserve"> </w:t>
      </w:r>
      <w:r w:rsidR="00FE0E0F" w:rsidRPr="00377375">
        <w:rPr>
          <w:rFonts w:ascii="Times New Roman" w:hAnsi="Times New Roman" w:cs="Times New Roman"/>
        </w:rPr>
        <w:t xml:space="preserve">also </w:t>
      </w:r>
      <w:r w:rsidR="00507159" w:rsidRPr="00377375">
        <w:rPr>
          <w:rFonts w:ascii="Times New Roman" w:hAnsi="Times New Roman" w:cs="Times New Roman"/>
        </w:rPr>
        <w:t xml:space="preserve">after </w:t>
      </w:r>
      <w:r w:rsidR="00FE0E0F" w:rsidRPr="00377375">
        <w:rPr>
          <w:rFonts w:ascii="Times New Roman" w:hAnsi="Times New Roman" w:cs="Times New Roman"/>
        </w:rPr>
        <w:t>including in the multivaria</w:t>
      </w:r>
      <w:r w:rsidR="00B8068E">
        <w:rPr>
          <w:rFonts w:ascii="Times New Roman" w:hAnsi="Times New Roman" w:cs="Times New Roman"/>
        </w:rPr>
        <w:t>ble</w:t>
      </w:r>
      <w:r w:rsidR="00FE0E0F" w:rsidRPr="00377375">
        <w:rPr>
          <w:rFonts w:ascii="Times New Roman" w:hAnsi="Times New Roman" w:cs="Times New Roman"/>
        </w:rPr>
        <w:t xml:space="preserve"> analyses</w:t>
      </w:r>
      <w:r w:rsidR="00507159" w:rsidRPr="00377375">
        <w:rPr>
          <w:rFonts w:ascii="Times New Roman" w:hAnsi="Times New Roman" w:cs="Times New Roman"/>
        </w:rPr>
        <w:t xml:space="preserve"> </w:t>
      </w:r>
      <w:r w:rsidR="00375D07">
        <w:rPr>
          <w:rFonts w:ascii="Times New Roman" w:hAnsi="Times New Roman" w:cs="Times New Roman"/>
        </w:rPr>
        <w:t>del(</w:t>
      </w:r>
      <w:r w:rsidR="00FE0E0F" w:rsidRPr="00377375">
        <w:rPr>
          <w:rFonts w:ascii="Times New Roman" w:hAnsi="Times New Roman" w:cs="Times New Roman"/>
        </w:rPr>
        <w:t>17p</w:t>
      </w:r>
      <w:r w:rsidR="00375D07">
        <w:rPr>
          <w:rFonts w:ascii="Times New Roman" w:hAnsi="Times New Roman" w:cs="Times New Roman"/>
        </w:rPr>
        <w:t>)</w:t>
      </w:r>
      <w:r w:rsidR="00507159" w:rsidRPr="00377375">
        <w:rPr>
          <w:rFonts w:ascii="Times New Roman" w:hAnsi="Times New Roman" w:cs="Times New Roman"/>
        </w:rPr>
        <w:t xml:space="preserve"> and elevated beta-2-microglobulin</w:t>
      </w:r>
      <w:r w:rsidR="00780254" w:rsidRPr="00377375">
        <w:rPr>
          <w:rFonts w:ascii="Times New Roman" w:hAnsi="Times New Roman" w:cs="Times New Roman"/>
        </w:rPr>
        <w:t>, which are part of the CLL-IPI score</w:t>
      </w:r>
      <w:r w:rsidR="00B042C2" w:rsidRPr="00377375">
        <w:rPr>
          <w:rFonts w:ascii="Times New Roman" w:hAnsi="Times New Roman" w:cs="Times New Roman"/>
        </w:rPr>
        <w:t xml:space="preserve"> (</w:t>
      </w:r>
      <w:r w:rsidR="000C1807">
        <w:rPr>
          <w:rFonts w:ascii="Times New Roman" w:hAnsi="Times New Roman" w:cs="Times New Roman"/>
        </w:rPr>
        <w:t>Fig</w:t>
      </w:r>
      <w:r w:rsidR="00FB1C32">
        <w:rPr>
          <w:rFonts w:ascii="Times New Roman" w:hAnsi="Times New Roman" w:cs="Times New Roman"/>
        </w:rPr>
        <w:t>ure</w:t>
      </w:r>
      <w:r w:rsidR="000C1807">
        <w:rPr>
          <w:rFonts w:ascii="Times New Roman" w:hAnsi="Times New Roman" w:cs="Times New Roman"/>
        </w:rPr>
        <w:t xml:space="preserve"> 1D</w:t>
      </w:r>
      <w:r w:rsidR="00B042C2" w:rsidRPr="00377375">
        <w:rPr>
          <w:rFonts w:ascii="Times New Roman" w:hAnsi="Times New Roman" w:cs="Times New Roman"/>
        </w:rPr>
        <w:t>)</w:t>
      </w:r>
      <w:r w:rsidR="00507159" w:rsidRPr="00377375">
        <w:rPr>
          <w:rFonts w:ascii="Times New Roman" w:hAnsi="Times New Roman" w:cs="Times New Roman"/>
        </w:rPr>
        <w:t>.</w:t>
      </w:r>
      <w:r w:rsidR="004313C3">
        <w:rPr>
          <w:rFonts w:ascii="Times New Roman" w:hAnsi="Times New Roman" w:cs="Times New Roman"/>
          <w:vertAlign w:val="superscript"/>
        </w:rPr>
        <w:t>20</w:t>
      </w:r>
    </w:p>
    <w:p w14:paraId="510225EC" w14:textId="7669916A" w:rsidR="00DF5383" w:rsidRPr="00377375" w:rsidRDefault="00042032" w:rsidP="00ED4081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377375">
        <w:rPr>
          <w:rFonts w:ascii="Times New Roman" w:hAnsi="Times New Roman" w:cs="Times New Roman"/>
        </w:rPr>
        <w:t xml:space="preserve">After </w:t>
      </w:r>
      <w:r w:rsidR="002D4608">
        <w:rPr>
          <w:rFonts w:ascii="Times New Roman" w:hAnsi="Times New Roman" w:cs="Times New Roman"/>
        </w:rPr>
        <w:t>pruning</w:t>
      </w:r>
      <w:r w:rsidRPr="00377375">
        <w:rPr>
          <w:rFonts w:ascii="Times New Roman" w:hAnsi="Times New Roman" w:cs="Times New Roman"/>
        </w:rPr>
        <w:t xml:space="preserve"> the model from the less consistent covariates, </w:t>
      </w:r>
      <w:proofErr w:type="spellStart"/>
      <w:r w:rsidR="00FE0E0F" w:rsidRPr="00377375">
        <w:rPr>
          <w:rFonts w:ascii="Times New Roman" w:hAnsi="Times New Roman" w:cs="Times New Roman"/>
        </w:rPr>
        <w:t>unmutated</w:t>
      </w:r>
      <w:proofErr w:type="spellEnd"/>
      <w:r w:rsidR="00FE0E0F" w:rsidRPr="00377375">
        <w:rPr>
          <w:rFonts w:ascii="Times New Roman" w:hAnsi="Times New Roman" w:cs="Times New Roman"/>
        </w:rPr>
        <w:t xml:space="preserve"> IGHV genes, </w:t>
      </w:r>
      <w:r w:rsidR="002D4608">
        <w:rPr>
          <w:rFonts w:ascii="Times New Roman" w:hAnsi="Times New Roman" w:cs="Times New Roman"/>
        </w:rPr>
        <w:t xml:space="preserve">absolute </w:t>
      </w:r>
      <w:r w:rsidR="0029183A" w:rsidRPr="00377375">
        <w:rPr>
          <w:rFonts w:ascii="Times New Roman" w:hAnsi="Times New Roman" w:cs="Times New Roman"/>
        </w:rPr>
        <w:t>lymphocyte count &gt;15 x10</w:t>
      </w:r>
      <w:r w:rsidR="0029183A" w:rsidRPr="00377375">
        <w:rPr>
          <w:rFonts w:ascii="Times New Roman" w:hAnsi="Times New Roman" w:cs="Times New Roman"/>
          <w:vertAlign w:val="superscript"/>
        </w:rPr>
        <w:t>9</w:t>
      </w:r>
      <w:r w:rsidR="0029183A" w:rsidRPr="00377375">
        <w:rPr>
          <w:rFonts w:ascii="Times New Roman" w:hAnsi="Times New Roman" w:cs="Times New Roman"/>
        </w:rPr>
        <w:t xml:space="preserve">/l, and </w:t>
      </w:r>
      <w:r w:rsidR="006F2D05" w:rsidRPr="00377375">
        <w:rPr>
          <w:rFonts w:ascii="Times New Roman" w:hAnsi="Times New Roman" w:cs="Times New Roman"/>
        </w:rPr>
        <w:t xml:space="preserve">palpable lymph nodes </w:t>
      </w:r>
      <w:r w:rsidR="009E3589" w:rsidRPr="00377375">
        <w:rPr>
          <w:rFonts w:ascii="Times New Roman" w:hAnsi="Times New Roman" w:cs="Times New Roman"/>
        </w:rPr>
        <w:t xml:space="preserve">were used to build the score and </w:t>
      </w:r>
      <w:r w:rsidR="00DF5383" w:rsidRPr="00377375">
        <w:rPr>
          <w:rFonts w:ascii="Times New Roman" w:hAnsi="Times New Roman" w:cs="Times New Roman"/>
        </w:rPr>
        <w:t xml:space="preserve">received </w:t>
      </w:r>
      <w:r w:rsidR="00FE0E0F" w:rsidRPr="00377375">
        <w:rPr>
          <w:rFonts w:ascii="Times New Roman" w:hAnsi="Times New Roman" w:cs="Times New Roman"/>
        </w:rPr>
        <w:t>a</w:t>
      </w:r>
      <w:r w:rsidR="00D56289" w:rsidRPr="00377375">
        <w:rPr>
          <w:rFonts w:ascii="Times New Roman" w:hAnsi="Times New Roman" w:cs="Times New Roman"/>
        </w:rPr>
        <w:t xml:space="preserve"> </w:t>
      </w:r>
      <w:r w:rsidR="00FE0E0F" w:rsidRPr="00377375">
        <w:rPr>
          <w:rFonts w:ascii="Times New Roman" w:hAnsi="Times New Roman" w:cs="Times New Roman"/>
        </w:rPr>
        <w:t xml:space="preserve">weight of one </w:t>
      </w:r>
      <w:r w:rsidR="00DF5383" w:rsidRPr="00377375">
        <w:rPr>
          <w:rFonts w:ascii="Times New Roman" w:hAnsi="Times New Roman" w:cs="Times New Roman"/>
        </w:rPr>
        <w:t>due to similar regression coefficients</w:t>
      </w:r>
      <w:r w:rsidR="00780254" w:rsidRPr="00377375">
        <w:rPr>
          <w:rFonts w:ascii="Times New Roman" w:hAnsi="Times New Roman" w:cs="Times New Roman"/>
        </w:rPr>
        <w:t xml:space="preserve"> (Fig</w:t>
      </w:r>
      <w:r w:rsidR="00FB1C32">
        <w:rPr>
          <w:rFonts w:ascii="Times New Roman" w:hAnsi="Times New Roman" w:cs="Times New Roman"/>
        </w:rPr>
        <w:t>ure</w:t>
      </w:r>
      <w:r w:rsidR="00780254" w:rsidRPr="00377375">
        <w:rPr>
          <w:rFonts w:ascii="Times New Roman" w:hAnsi="Times New Roman" w:cs="Times New Roman"/>
        </w:rPr>
        <w:t xml:space="preserve"> </w:t>
      </w:r>
      <w:r w:rsidR="00B3157F">
        <w:rPr>
          <w:rFonts w:ascii="Times New Roman" w:hAnsi="Times New Roman" w:cs="Times New Roman"/>
        </w:rPr>
        <w:t>1B</w:t>
      </w:r>
      <w:r w:rsidR="00780254" w:rsidRPr="00377375">
        <w:rPr>
          <w:rFonts w:ascii="Times New Roman" w:hAnsi="Times New Roman" w:cs="Times New Roman"/>
        </w:rPr>
        <w:t>).</w:t>
      </w:r>
      <w:r w:rsidR="00DF5383" w:rsidRPr="00377375">
        <w:rPr>
          <w:rFonts w:ascii="Times New Roman" w:hAnsi="Times New Roman" w:cs="Times New Roman"/>
        </w:rPr>
        <w:t xml:space="preserve"> The hierarchical order of the sum of the scores in </w:t>
      </w:r>
      <w:r w:rsidR="00161C64" w:rsidRPr="00377375">
        <w:rPr>
          <w:rFonts w:ascii="Times New Roman" w:hAnsi="Times New Roman" w:cs="Times New Roman"/>
        </w:rPr>
        <w:t xml:space="preserve">prognosticating TTFT </w:t>
      </w:r>
      <w:r w:rsidR="00DF5383" w:rsidRPr="00377375">
        <w:rPr>
          <w:rFonts w:ascii="Times New Roman" w:hAnsi="Times New Roman" w:cs="Times New Roman"/>
        </w:rPr>
        <w:t xml:space="preserve">was established by recursive partitioning analysis. </w:t>
      </w:r>
      <w:r w:rsidR="00C154FE" w:rsidRPr="00377375">
        <w:rPr>
          <w:rFonts w:ascii="Times New Roman" w:hAnsi="Times New Roman" w:cs="Times New Roman"/>
        </w:rPr>
        <w:t>This approach allowed to establish the final international prognostic score to classify</w:t>
      </w:r>
      <w:r w:rsidR="00C154FE">
        <w:rPr>
          <w:rFonts w:ascii="Times New Roman" w:hAnsi="Times New Roman" w:cs="Times New Roman"/>
        </w:rPr>
        <w:t xml:space="preserve"> patients with</w:t>
      </w:r>
      <w:r w:rsidR="00313B9F">
        <w:rPr>
          <w:rFonts w:ascii="Times New Roman" w:hAnsi="Times New Roman" w:cs="Times New Roman"/>
        </w:rPr>
        <w:t xml:space="preserve"> asymptomatic</w:t>
      </w:r>
      <w:r w:rsidR="00C154FE">
        <w:rPr>
          <w:rFonts w:ascii="Times New Roman" w:hAnsi="Times New Roman" w:cs="Times New Roman"/>
        </w:rPr>
        <w:t xml:space="preserve"> CLL in early stage disease</w:t>
      </w:r>
      <w:r w:rsidR="00C154FE" w:rsidRPr="00377375">
        <w:rPr>
          <w:rFonts w:ascii="Times New Roman" w:hAnsi="Times New Roman" w:cs="Times New Roman"/>
        </w:rPr>
        <w:t xml:space="preserve"> </w:t>
      </w:r>
      <w:r w:rsidR="00C154FE" w:rsidRPr="00377375">
        <w:rPr>
          <w:rFonts w:ascii="Times New Roman" w:hAnsi="Times New Roman" w:cs="Times New Roman"/>
          <w:szCs w:val="20"/>
        </w:rPr>
        <w:t>(</w:t>
      </w:r>
      <w:r w:rsidR="00C154FE">
        <w:rPr>
          <w:rFonts w:ascii="Times New Roman" w:hAnsi="Times New Roman" w:cs="Times New Roman"/>
          <w:szCs w:val="20"/>
        </w:rPr>
        <w:t>IPS-E</w:t>
      </w:r>
      <w:r w:rsidR="00C154FE" w:rsidRPr="00377375">
        <w:rPr>
          <w:rFonts w:ascii="Times New Roman" w:hAnsi="Times New Roman" w:cs="Times New Roman"/>
          <w:szCs w:val="20"/>
        </w:rPr>
        <w:t xml:space="preserve">) </w:t>
      </w:r>
      <w:r w:rsidR="00C154FE" w:rsidRPr="00377375">
        <w:rPr>
          <w:rFonts w:ascii="Times New Roman" w:hAnsi="Times New Roman" w:cs="Times New Roman"/>
        </w:rPr>
        <w:t xml:space="preserve">according to the risk of </w:t>
      </w:r>
      <w:r w:rsidR="00C154FE" w:rsidRPr="00377375">
        <w:rPr>
          <w:rFonts w:ascii="Times New Roman" w:hAnsi="Times New Roman" w:cs="Times New Roman"/>
          <w:szCs w:val="20"/>
        </w:rPr>
        <w:t>treatment need.</w:t>
      </w:r>
      <w:r w:rsidR="00C154FE">
        <w:rPr>
          <w:rFonts w:ascii="Times New Roman" w:hAnsi="Times New Roman" w:cs="Times New Roman"/>
          <w:szCs w:val="20"/>
        </w:rPr>
        <w:t xml:space="preserve"> </w:t>
      </w:r>
      <w:r w:rsidR="00DF5383" w:rsidRPr="00377375">
        <w:rPr>
          <w:rFonts w:ascii="Times New Roman" w:hAnsi="Times New Roman" w:cs="Times New Roman"/>
        </w:rPr>
        <w:t xml:space="preserve">Patients with a score of 0 had the longest </w:t>
      </w:r>
      <w:r w:rsidR="00161C64" w:rsidRPr="00377375">
        <w:rPr>
          <w:rFonts w:ascii="Times New Roman" w:hAnsi="Times New Roman" w:cs="Times New Roman"/>
        </w:rPr>
        <w:t>TTFT</w:t>
      </w:r>
      <w:r w:rsidR="00DF5383" w:rsidRPr="00377375">
        <w:rPr>
          <w:rFonts w:ascii="Times New Roman" w:hAnsi="Times New Roman" w:cs="Times New Roman"/>
        </w:rPr>
        <w:t>, patients with a score of 2 or</w:t>
      </w:r>
      <w:r w:rsidR="00735A12">
        <w:rPr>
          <w:rFonts w:ascii="Times New Roman" w:hAnsi="Times New Roman" w:cs="Times New Roman"/>
        </w:rPr>
        <w:t xml:space="preserve"> 3</w:t>
      </w:r>
      <w:r w:rsidR="00DF5383" w:rsidRPr="00377375">
        <w:rPr>
          <w:rFonts w:ascii="Times New Roman" w:hAnsi="Times New Roman" w:cs="Times New Roman"/>
        </w:rPr>
        <w:t xml:space="preserve"> had the shortest </w:t>
      </w:r>
      <w:r w:rsidR="00161C64" w:rsidRPr="00377375">
        <w:rPr>
          <w:rFonts w:ascii="Times New Roman" w:hAnsi="Times New Roman" w:cs="Times New Roman"/>
        </w:rPr>
        <w:t>TTFT</w:t>
      </w:r>
      <w:r w:rsidR="00DF5383" w:rsidRPr="00377375">
        <w:rPr>
          <w:rFonts w:ascii="Times New Roman" w:hAnsi="Times New Roman" w:cs="Times New Roman"/>
        </w:rPr>
        <w:t xml:space="preserve">, while patients with a score of 1 had an intermediate </w:t>
      </w:r>
      <w:r w:rsidR="00161C64" w:rsidRPr="00377375">
        <w:rPr>
          <w:rFonts w:ascii="Times New Roman" w:hAnsi="Times New Roman" w:cs="Times New Roman"/>
        </w:rPr>
        <w:t xml:space="preserve">TTFT </w:t>
      </w:r>
      <w:r w:rsidR="00CF7F1C" w:rsidRPr="00377375">
        <w:rPr>
          <w:rFonts w:ascii="Times New Roman" w:hAnsi="Times New Roman" w:cs="Times New Roman"/>
        </w:rPr>
        <w:t>(</w:t>
      </w:r>
      <w:r w:rsidR="00A6772B" w:rsidRPr="00377375">
        <w:rPr>
          <w:rFonts w:ascii="Times New Roman" w:hAnsi="Times New Roman" w:cs="Times New Roman"/>
        </w:rPr>
        <w:t>Fig</w:t>
      </w:r>
      <w:r w:rsidR="00FB1C32">
        <w:rPr>
          <w:rFonts w:ascii="Times New Roman" w:hAnsi="Times New Roman" w:cs="Times New Roman"/>
        </w:rPr>
        <w:t>ure</w:t>
      </w:r>
      <w:r w:rsidR="005C3B7E" w:rsidRPr="00377375">
        <w:rPr>
          <w:rFonts w:ascii="Times New Roman" w:hAnsi="Times New Roman" w:cs="Times New Roman"/>
        </w:rPr>
        <w:t xml:space="preserve"> </w:t>
      </w:r>
      <w:r w:rsidR="00A6772B" w:rsidRPr="00377375">
        <w:rPr>
          <w:rFonts w:ascii="Times New Roman" w:hAnsi="Times New Roman" w:cs="Times New Roman"/>
        </w:rPr>
        <w:t>S</w:t>
      </w:r>
      <w:r w:rsidR="00B3157F">
        <w:rPr>
          <w:rFonts w:ascii="Times New Roman" w:hAnsi="Times New Roman" w:cs="Times New Roman"/>
        </w:rPr>
        <w:t>2</w:t>
      </w:r>
      <w:r w:rsidR="00A6772B" w:rsidRPr="00377375">
        <w:rPr>
          <w:rFonts w:ascii="Times New Roman" w:hAnsi="Times New Roman" w:cs="Times New Roman"/>
        </w:rPr>
        <w:t xml:space="preserve"> in the Supplementary Appendix</w:t>
      </w:r>
      <w:r w:rsidR="00CF7F1C" w:rsidRPr="00377375">
        <w:rPr>
          <w:rFonts w:ascii="Times New Roman" w:hAnsi="Times New Roman" w:cs="Times New Roman"/>
        </w:rPr>
        <w:t>)</w:t>
      </w:r>
      <w:r w:rsidR="00DF5383" w:rsidRPr="00377375">
        <w:rPr>
          <w:rFonts w:ascii="Times New Roman" w:hAnsi="Times New Roman" w:cs="Times New Roman"/>
        </w:rPr>
        <w:t xml:space="preserve">. </w:t>
      </w:r>
    </w:p>
    <w:p w14:paraId="5A75BD54" w14:textId="33DC82F5" w:rsidR="00775FEC" w:rsidRPr="00377375" w:rsidRDefault="00E50259" w:rsidP="00D70194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Patients </w:t>
      </w:r>
      <w:r w:rsidR="00754860" w:rsidRPr="00377375">
        <w:rPr>
          <w:rFonts w:ascii="Times New Roman" w:hAnsi="Times New Roman" w:cs="Times New Roman"/>
        </w:rPr>
        <w:t>from</w:t>
      </w:r>
      <w:r w:rsidR="00C123C0" w:rsidRPr="00377375">
        <w:rPr>
          <w:rFonts w:ascii="Times New Roman" w:hAnsi="Times New Roman" w:cs="Times New Roman"/>
        </w:rPr>
        <w:t xml:space="preserve"> the training cohort were segregated into three </w:t>
      </w:r>
      <w:r w:rsidR="00B76534">
        <w:rPr>
          <w:rFonts w:ascii="Times New Roman" w:hAnsi="Times New Roman" w:cs="Times New Roman"/>
        </w:rPr>
        <w:t xml:space="preserve">distinct </w:t>
      </w:r>
      <w:r w:rsidR="00C123C0" w:rsidRPr="00377375">
        <w:rPr>
          <w:rFonts w:ascii="Times New Roman" w:hAnsi="Times New Roman" w:cs="Times New Roman"/>
        </w:rPr>
        <w:t>risk categories</w:t>
      </w:r>
      <w:r w:rsidR="00F37FC7" w:rsidRPr="00377375">
        <w:rPr>
          <w:rFonts w:ascii="Times New Roman" w:hAnsi="Times New Roman" w:cs="Times New Roman"/>
        </w:rPr>
        <w:t xml:space="preserve"> according to the </w:t>
      </w:r>
      <w:r w:rsidR="00031E1E">
        <w:rPr>
          <w:rFonts w:ascii="Times New Roman" w:hAnsi="Times New Roman" w:cs="Times New Roman"/>
        </w:rPr>
        <w:t>IPS-E</w:t>
      </w:r>
      <w:r w:rsidR="007C608A" w:rsidRPr="00377375">
        <w:rPr>
          <w:rFonts w:ascii="Times New Roman" w:hAnsi="Times New Roman" w:cs="Times New Roman"/>
        </w:rPr>
        <w:t xml:space="preserve"> </w:t>
      </w:r>
      <w:r w:rsidR="00A6772B" w:rsidRPr="00377375">
        <w:rPr>
          <w:rFonts w:ascii="Times New Roman" w:hAnsi="Times New Roman" w:cs="Times New Roman"/>
        </w:rPr>
        <w:t>(</w:t>
      </w:r>
      <w:r w:rsidR="00B3157F">
        <w:rPr>
          <w:rFonts w:ascii="Times New Roman" w:hAnsi="Times New Roman" w:cs="Times New Roman"/>
        </w:rPr>
        <w:t>Fig</w:t>
      </w:r>
      <w:r w:rsidR="00FB1C32">
        <w:rPr>
          <w:rFonts w:ascii="Times New Roman" w:hAnsi="Times New Roman" w:cs="Times New Roman"/>
        </w:rPr>
        <w:t>ure</w:t>
      </w:r>
      <w:r w:rsidR="00B3157F">
        <w:rPr>
          <w:rFonts w:ascii="Times New Roman" w:hAnsi="Times New Roman" w:cs="Times New Roman"/>
        </w:rPr>
        <w:t xml:space="preserve"> </w:t>
      </w:r>
      <w:r w:rsidR="004D2205">
        <w:rPr>
          <w:rFonts w:ascii="Times New Roman" w:hAnsi="Times New Roman" w:cs="Times New Roman"/>
        </w:rPr>
        <w:t>2</w:t>
      </w:r>
      <w:r w:rsidR="00B042C2" w:rsidRPr="00377375">
        <w:rPr>
          <w:rFonts w:ascii="Times New Roman" w:hAnsi="Times New Roman" w:cs="Times New Roman"/>
        </w:rPr>
        <w:t>A</w:t>
      </w:r>
      <w:r w:rsidR="00CF7F1C" w:rsidRPr="00377375">
        <w:rPr>
          <w:rFonts w:ascii="Times New Roman" w:hAnsi="Times New Roman" w:cs="Times New Roman"/>
        </w:rPr>
        <w:t>)</w:t>
      </w:r>
      <w:r w:rsidR="00C123C0" w:rsidRPr="00377375">
        <w:rPr>
          <w:rFonts w:ascii="Times New Roman" w:hAnsi="Times New Roman" w:cs="Times New Roman"/>
        </w:rPr>
        <w:t>: low- (score 0), intermediate- (score 1), and high-risk (score</w:t>
      </w:r>
      <w:r w:rsidR="008E6724" w:rsidRPr="00377375">
        <w:rPr>
          <w:rFonts w:ascii="Times New Roman" w:hAnsi="Times New Roman" w:cs="Times New Roman"/>
        </w:rPr>
        <w:t xml:space="preserve"> 2-</w:t>
      </w:r>
      <w:r w:rsidR="00DD3016" w:rsidRPr="00377375">
        <w:rPr>
          <w:rFonts w:ascii="Times New Roman" w:hAnsi="Times New Roman" w:cs="Times New Roman"/>
        </w:rPr>
        <w:t>3</w:t>
      </w:r>
      <w:r w:rsidR="008E6724" w:rsidRPr="00377375">
        <w:rPr>
          <w:rFonts w:ascii="Times New Roman" w:hAnsi="Times New Roman" w:cs="Times New Roman"/>
        </w:rPr>
        <w:t xml:space="preserve">). </w:t>
      </w:r>
      <w:r w:rsidR="00D70194" w:rsidRPr="00377375">
        <w:rPr>
          <w:rFonts w:ascii="Times New Roman" w:hAnsi="Times New Roman" w:cs="Times New Roman"/>
          <w:szCs w:val="20"/>
        </w:rPr>
        <w:t xml:space="preserve">Sensitivity analysis </w:t>
      </w:r>
      <w:r w:rsidR="00D70194" w:rsidRPr="00377375">
        <w:rPr>
          <w:rFonts w:ascii="Times New Roman" w:hAnsi="Times New Roman" w:cs="Times New Roman"/>
        </w:rPr>
        <w:t xml:space="preserve">accounting for death </w:t>
      </w:r>
      <w:r w:rsidR="006A0C7D" w:rsidRPr="00377375">
        <w:rPr>
          <w:rFonts w:ascii="Times New Roman" w:hAnsi="Times New Roman" w:cs="Times New Roman"/>
        </w:rPr>
        <w:t xml:space="preserve">before treatment </w:t>
      </w:r>
      <w:r w:rsidR="00D70194" w:rsidRPr="00377375">
        <w:rPr>
          <w:rFonts w:ascii="Times New Roman" w:hAnsi="Times New Roman" w:cs="Times New Roman"/>
        </w:rPr>
        <w:t xml:space="preserve">as competing risk consistently confirmed that </w:t>
      </w:r>
      <w:r w:rsidR="00031E1E">
        <w:rPr>
          <w:rFonts w:ascii="Times New Roman" w:hAnsi="Times New Roman" w:cs="Times New Roman"/>
        </w:rPr>
        <w:t>IPS-E</w:t>
      </w:r>
      <w:r w:rsidR="00D70194" w:rsidRPr="00377375">
        <w:rPr>
          <w:rFonts w:ascii="Times New Roman" w:hAnsi="Times New Roman" w:cs="Times New Roman"/>
        </w:rPr>
        <w:t xml:space="preserve"> discriminates three risk groups with significantly different TTFT</w:t>
      </w:r>
      <w:r w:rsidR="005C3B7E" w:rsidRPr="00377375">
        <w:rPr>
          <w:rFonts w:ascii="Times New Roman" w:hAnsi="Times New Roman" w:cs="Times New Roman"/>
        </w:rPr>
        <w:t xml:space="preserve"> (</w:t>
      </w:r>
      <w:r w:rsidR="00B3157F">
        <w:rPr>
          <w:rFonts w:ascii="Times New Roman" w:hAnsi="Times New Roman" w:cs="Times New Roman"/>
          <w:szCs w:val="20"/>
        </w:rPr>
        <w:t>Fig</w:t>
      </w:r>
      <w:r w:rsidR="00FB1C32">
        <w:rPr>
          <w:rFonts w:ascii="Times New Roman" w:hAnsi="Times New Roman" w:cs="Times New Roman"/>
          <w:szCs w:val="20"/>
        </w:rPr>
        <w:t>ure</w:t>
      </w:r>
      <w:r w:rsidR="00580AD7">
        <w:rPr>
          <w:rFonts w:ascii="Times New Roman" w:hAnsi="Times New Roman" w:cs="Times New Roman"/>
          <w:szCs w:val="20"/>
        </w:rPr>
        <w:t xml:space="preserve"> S</w:t>
      </w:r>
      <w:r w:rsidR="004D2205">
        <w:rPr>
          <w:rFonts w:ascii="Times New Roman" w:hAnsi="Times New Roman" w:cs="Times New Roman"/>
          <w:szCs w:val="20"/>
        </w:rPr>
        <w:t>3</w:t>
      </w:r>
      <w:r w:rsidR="00580AD7">
        <w:rPr>
          <w:rFonts w:ascii="Times New Roman" w:hAnsi="Times New Roman" w:cs="Times New Roman"/>
          <w:szCs w:val="20"/>
        </w:rPr>
        <w:t xml:space="preserve">A </w:t>
      </w:r>
      <w:r w:rsidR="00580AD7" w:rsidRPr="00377375">
        <w:rPr>
          <w:rFonts w:ascii="Times New Roman" w:hAnsi="Times New Roman" w:cs="Times New Roman"/>
        </w:rPr>
        <w:t>in the Supplementary Appendix</w:t>
      </w:r>
      <w:r w:rsidR="005C3B7E" w:rsidRPr="00377375">
        <w:rPr>
          <w:rFonts w:ascii="Times New Roman" w:hAnsi="Times New Roman" w:cs="Times New Roman"/>
        </w:rPr>
        <w:t>)</w:t>
      </w:r>
      <w:r w:rsidR="00D70194" w:rsidRPr="00377375">
        <w:rPr>
          <w:rFonts w:ascii="Times New Roman" w:hAnsi="Times New Roman" w:cs="Times New Roman"/>
        </w:rPr>
        <w:t xml:space="preserve">. </w:t>
      </w:r>
      <w:r w:rsidR="00C123C0" w:rsidRPr="00377375">
        <w:rPr>
          <w:rFonts w:ascii="Times New Roman" w:hAnsi="Times New Roman" w:cs="Times New Roman"/>
          <w:szCs w:val="20"/>
        </w:rPr>
        <w:t xml:space="preserve">The ability of the </w:t>
      </w:r>
      <w:r w:rsidR="00031E1E">
        <w:rPr>
          <w:rFonts w:ascii="Times New Roman" w:hAnsi="Times New Roman" w:cs="Times New Roman"/>
          <w:szCs w:val="20"/>
        </w:rPr>
        <w:t>IPS-E</w:t>
      </w:r>
      <w:r w:rsidR="007C608A" w:rsidRPr="00377375">
        <w:rPr>
          <w:rFonts w:ascii="Times New Roman" w:hAnsi="Times New Roman" w:cs="Times New Roman"/>
          <w:szCs w:val="20"/>
        </w:rPr>
        <w:t xml:space="preserve"> </w:t>
      </w:r>
      <w:r w:rsidR="00C123C0" w:rsidRPr="00377375">
        <w:rPr>
          <w:rFonts w:ascii="Times New Roman" w:hAnsi="Times New Roman" w:cs="Times New Roman"/>
          <w:szCs w:val="20"/>
        </w:rPr>
        <w:t xml:space="preserve">in discriminating </w:t>
      </w:r>
      <w:r w:rsidR="00161C64" w:rsidRPr="00377375">
        <w:rPr>
          <w:rFonts w:ascii="Times New Roman" w:hAnsi="Times New Roman" w:cs="Times New Roman"/>
          <w:szCs w:val="20"/>
        </w:rPr>
        <w:t xml:space="preserve">TTFT </w:t>
      </w:r>
      <w:r w:rsidR="00F34A27" w:rsidRPr="00377375">
        <w:rPr>
          <w:rFonts w:ascii="Times New Roman" w:hAnsi="Times New Roman" w:cs="Times New Roman"/>
          <w:szCs w:val="20"/>
        </w:rPr>
        <w:t xml:space="preserve">(c-index) </w:t>
      </w:r>
      <w:r w:rsidR="00C123C0" w:rsidRPr="00377375">
        <w:rPr>
          <w:rFonts w:ascii="Times New Roman" w:hAnsi="Times New Roman" w:cs="Times New Roman"/>
          <w:szCs w:val="20"/>
        </w:rPr>
        <w:t xml:space="preserve">was </w:t>
      </w:r>
      <w:r w:rsidR="009B2BDC" w:rsidRPr="00377375">
        <w:rPr>
          <w:rFonts w:ascii="Times New Roman" w:hAnsi="Times New Roman" w:cs="Times New Roman"/>
          <w:szCs w:val="20"/>
        </w:rPr>
        <w:t>0.7</w:t>
      </w:r>
      <w:r w:rsidR="00780254" w:rsidRPr="00377375">
        <w:rPr>
          <w:rFonts w:ascii="Times New Roman" w:hAnsi="Times New Roman" w:cs="Times New Roman"/>
          <w:szCs w:val="20"/>
        </w:rPr>
        <w:t>4</w:t>
      </w:r>
      <w:r w:rsidR="005C3B7E" w:rsidRPr="00377375">
        <w:rPr>
          <w:rFonts w:ascii="Times New Roman" w:hAnsi="Times New Roman" w:cs="Times New Roman"/>
          <w:szCs w:val="20"/>
        </w:rPr>
        <w:t xml:space="preserve"> (</w:t>
      </w:r>
      <w:r w:rsidR="00A6772B" w:rsidRPr="00377375">
        <w:rPr>
          <w:rFonts w:ascii="Times New Roman" w:hAnsi="Times New Roman" w:cs="Times New Roman"/>
          <w:szCs w:val="20"/>
        </w:rPr>
        <w:t>Fig</w:t>
      </w:r>
      <w:r w:rsidR="00FB1C32">
        <w:rPr>
          <w:rFonts w:ascii="Times New Roman" w:hAnsi="Times New Roman" w:cs="Times New Roman"/>
          <w:szCs w:val="20"/>
        </w:rPr>
        <w:t>ure</w:t>
      </w:r>
      <w:r w:rsidR="005C3B7E" w:rsidRPr="00377375">
        <w:rPr>
          <w:rFonts w:ascii="Times New Roman" w:hAnsi="Times New Roman" w:cs="Times New Roman"/>
          <w:szCs w:val="20"/>
        </w:rPr>
        <w:t xml:space="preserve"> </w:t>
      </w:r>
      <w:r w:rsidR="00B3157F">
        <w:rPr>
          <w:rFonts w:ascii="Times New Roman" w:hAnsi="Times New Roman" w:cs="Times New Roman"/>
          <w:szCs w:val="20"/>
        </w:rPr>
        <w:t>3</w:t>
      </w:r>
      <w:r w:rsidR="005C3B7E" w:rsidRPr="00377375">
        <w:rPr>
          <w:rFonts w:ascii="Times New Roman" w:hAnsi="Times New Roman" w:cs="Times New Roman"/>
          <w:szCs w:val="20"/>
        </w:rPr>
        <w:t>)</w:t>
      </w:r>
      <w:r w:rsidR="00C123C0" w:rsidRPr="00377375">
        <w:rPr>
          <w:rFonts w:ascii="Times New Roman" w:hAnsi="Times New Roman" w:cs="Times New Roman"/>
          <w:szCs w:val="20"/>
        </w:rPr>
        <w:t>.</w:t>
      </w:r>
    </w:p>
    <w:p w14:paraId="0F5F6C50" w14:textId="77777777" w:rsidR="007660E7" w:rsidRDefault="00115EEC" w:rsidP="001C0B74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lang w:eastAsia="zh-CN"/>
        </w:rPr>
      </w:pPr>
      <w:r w:rsidRPr="0068767E">
        <w:rPr>
          <w:rFonts w:ascii="Times New Roman" w:hAnsi="Times New Roman" w:cs="Times New Roman"/>
          <w:szCs w:val="20"/>
        </w:rPr>
        <w:t xml:space="preserve">We </w:t>
      </w:r>
      <w:r w:rsidR="00A52108" w:rsidRPr="0068767E">
        <w:rPr>
          <w:rFonts w:ascii="Times New Roman" w:hAnsi="Times New Roman" w:cs="Times New Roman"/>
          <w:szCs w:val="20"/>
        </w:rPr>
        <w:t xml:space="preserve">validated </w:t>
      </w:r>
      <w:r w:rsidRPr="0068767E">
        <w:rPr>
          <w:rFonts w:ascii="Times New Roman" w:hAnsi="Times New Roman" w:cs="Times New Roman"/>
          <w:szCs w:val="20"/>
        </w:rPr>
        <w:t xml:space="preserve">the </w:t>
      </w:r>
      <w:r w:rsidR="00031E1E" w:rsidRPr="0068767E">
        <w:rPr>
          <w:rFonts w:ascii="Times New Roman" w:hAnsi="Times New Roman" w:cs="Times New Roman"/>
          <w:szCs w:val="20"/>
        </w:rPr>
        <w:t>IPS-E</w:t>
      </w:r>
      <w:r w:rsidR="007C608A" w:rsidRPr="0068767E">
        <w:rPr>
          <w:rFonts w:ascii="Times New Roman" w:hAnsi="Times New Roman" w:cs="Times New Roman"/>
          <w:szCs w:val="20"/>
        </w:rPr>
        <w:t xml:space="preserve"> </w:t>
      </w:r>
      <w:r w:rsidR="002A449B" w:rsidRPr="0068767E">
        <w:rPr>
          <w:rFonts w:ascii="Times New Roman" w:hAnsi="Times New Roman" w:cs="Times New Roman"/>
          <w:szCs w:val="20"/>
        </w:rPr>
        <w:t xml:space="preserve">using </w:t>
      </w:r>
      <w:r w:rsidR="00885EC0" w:rsidRPr="0068767E">
        <w:rPr>
          <w:rFonts w:ascii="Times New Roman" w:hAnsi="Times New Roman" w:cs="Times New Roman"/>
          <w:szCs w:val="20"/>
        </w:rPr>
        <w:t>9</w:t>
      </w:r>
      <w:r w:rsidR="002A449B" w:rsidRPr="0068767E">
        <w:rPr>
          <w:rFonts w:ascii="Times New Roman" w:hAnsi="Times New Roman" w:cs="Times New Roman"/>
          <w:szCs w:val="20"/>
        </w:rPr>
        <w:t xml:space="preserve"> </w:t>
      </w:r>
      <w:r w:rsidR="00573EE0" w:rsidRPr="0068767E">
        <w:rPr>
          <w:rFonts w:ascii="Times New Roman" w:hAnsi="Times New Roman" w:cs="Times New Roman"/>
          <w:szCs w:val="20"/>
        </w:rPr>
        <w:t xml:space="preserve">different </w:t>
      </w:r>
      <w:r w:rsidR="00754860" w:rsidRPr="0068767E">
        <w:rPr>
          <w:rFonts w:ascii="Times New Roman" w:hAnsi="Times New Roman" w:cs="Times New Roman"/>
          <w:szCs w:val="20"/>
        </w:rPr>
        <w:t>independent</w:t>
      </w:r>
      <w:r w:rsidR="00A52108" w:rsidRPr="0068767E">
        <w:rPr>
          <w:rFonts w:ascii="Times New Roman" w:hAnsi="Times New Roman" w:cs="Times New Roman"/>
          <w:szCs w:val="20"/>
        </w:rPr>
        <w:t xml:space="preserve"> s</w:t>
      </w:r>
      <w:r w:rsidR="002A449B" w:rsidRPr="0068767E">
        <w:rPr>
          <w:rFonts w:ascii="Times New Roman" w:hAnsi="Times New Roman" w:cs="Times New Roman"/>
          <w:szCs w:val="20"/>
        </w:rPr>
        <w:t>eries</w:t>
      </w:r>
      <w:r w:rsidR="00DC12B4" w:rsidRPr="0068767E">
        <w:rPr>
          <w:rFonts w:ascii="Times New Roman" w:hAnsi="Times New Roman" w:cs="Times New Roman"/>
          <w:szCs w:val="20"/>
        </w:rPr>
        <w:t xml:space="preserve"> of patients with </w:t>
      </w:r>
      <w:proofErr w:type="spellStart"/>
      <w:r w:rsidR="00735A12" w:rsidRPr="0068767E">
        <w:rPr>
          <w:rFonts w:ascii="Times New Roman" w:hAnsi="Times New Roman" w:cs="Times New Roman"/>
          <w:szCs w:val="20"/>
        </w:rPr>
        <w:t>Binet</w:t>
      </w:r>
      <w:proofErr w:type="spellEnd"/>
      <w:r w:rsidR="00DC12B4" w:rsidRPr="0068767E">
        <w:rPr>
          <w:rFonts w:ascii="Times New Roman" w:hAnsi="Times New Roman" w:cs="Times New Roman"/>
          <w:szCs w:val="20"/>
        </w:rPr>
        <w:t xml:space="preserve"> stage </w:t>
      </w:r>
      <w:r w:rsidR="00735A12" w:rsidRPr="0068767E">
        <w:rPr>
          <w:rFonts w:ascii="Times New Roman" w:hAnsi="Times New Roman" w:cs="Times New Roman"/>
          <w:szCs w:val="20"/>
        </w:rPr>
        <w:lastRenderedPageBreak/>
        <w:t xml:space="preserve">A </w:t>
      </w:r>
      <w:r w:rsidR="00DC12B4" w:rsidRPr="0068767E">
        <w:rPr>
          <w:rFonts w:ascii="Times New Roman" w:hAnsi="Times New Roman" w:cs="Times New Roman"/>
          <w:szCs w:val="20"/>
        </w:rPr>
        <w:t>CLL</w:t>
      </w:r>
      <w:r w:rsidR="002A449B" w:rsidRPr="0068767E">
        <w:rPr>
          <w:rFonts w:ascii="Times New Roman" w:hAnsi="Times New Roman" w:cs="Times New Roman"/>
          <w:szCs w:val="20"/>
        </w:rPr>
        <w:t>. Some heterogeneity</w:t>
      </w:r>
      <w:r w:rsidR="002A449B" w:rsidRPr="0068767E">
        <w:rPr>
          <w:rFonts w:ascii="Times New Roman" w:hAnsi="Times New Roman" w:cs="Times New Roman"/>
        </w:rPr>
        <w:t xml:space="preserve"> across the study cohorts allowed to robustly </w:t>
      </w:r>
      <w:r w:rsidR="00183E76" w:rsidRPr="0068767E">
        <w:rPr>
          <w:rFonts w:ascii="Times New Roman" w:hAnsi="Times New Roman" w:cs="Times New Roman"/>
        </w:rPr>
        <w:t>confirm</w:t>
      </w:r>
      <w:r w:rsidR="002A449B" w:rsidRPr="0068767E">
        <w:rPr>
          <w:rFonts w:ascii="Times New Roman" w:hAnsi="Times New Roman" w:cs="Times New Roman"/>
        </w:rPr>
        <w:t xml:space="preserve"> the </w:t>
      </w:r>
      <w:r w:rsidR="00183E76" w:rsidRPr="0068767E">
        <w:rPr>
          <w:rFonts w:ascii="Times New Roman" w:hAnsi="Times New Roman" w:cs="Times New Roman"/>
        </w:rPr>
        <w:t xml:space="preserve">external validity and generalizability </w:t>
      </w:r>
      <w:r w:rsidR="002A449B" w:rsidRPr="0068767E">
        <w:rPr>
          <w:rFonts w:ascii="Times New Roman" w:hAnsi="Times New Roman" w:cs="Times New Roman"/>
        </w:rPr>
        <w:t xml:space="preserve">of </w:t>
      </w:r>
      <w:r w:rsidR="00031E1E" w:rsidRPr="0068767E">
        <w:rPr>
          <w:rFonts w:ascii="Times New Roman" w:hAnsi="Times New Roman" w:cs="Times New Roman"/>
        </w:rPr>
        <w:t>IPS-E</w:t>
      </w:r>
      <w:r w:rsidR="002A449B" w:rsidRPr="0068767E">
        <w:rPr>
          <w:rFonts w:ascii="Times New Roman" w:hAnsi="Times New Roman" w:cs="Times New Roman"/>
        </w:rPr>
        <w:t xml:space="preserve"> </w:t>
      </w:r>
      <w:r w:rsidR="00183E76" w:rsidRPr="0068767E">
        <w:rPr>
          <w:rFonts w:ascii="Times New Roman" w:hAnsi="Times New Roman" w:cs="Times New Roman"/>
        </w:rPr>
        <w:t>irrespective</w:t>
      </w:r>
      <w:r w:rsidR="002A449B" w:rsidRPr="0068767E">
        <w:rPr>
          <w:rFonts w:ascii="Times New Roman" w:hAnsi="Times New Roman" w:cs="Times New Roman"/>
        </w:rPr>
        <w:t xml:space="preserve"> of </w:t>
      </w:r>
      <w:r w:rsidR="000A63EC" w:rsidRPr="0068767E">
        <w:rPr>
          <w:rFonts w:ascii="Times New Roman" w:hAnsi="Times New Roman" w:cs="Times New Roman"/>
        </w:rPr>
        <w:t xml:space="preserve">the case mix of the population. </w:t>
      </w:r>
      <w:r w:rsidR="001915DD" w:rsidRPr="0068767E">
        <w:rPr>
          <w:rFonts w:ascii="Times New Roman" w:hAnsi="Times New Roman" w:cs="Times New Roman"/>
        </w:rPr>
        <w:t>H</w:t>
      </w:r>
      <w:r w:rsidR="000A63EC" w:rsidRPr="0068767E">
        <w:rPr>
          <w:rFonts w:ascii="Times New Roman" w:hAnsi="Times New Roman" w:cs="Times New Roman"/>
        </w:rPr>
        <w:t xml:space="preserve">eterogeneity in the baseline features </w:t>
      </w:r>
      <w:r w:rsidR="002A449B" w:rsidRPr="0068767E">
        <w:rPr>
          <w:rFonts w:ascii="Times New Roman" w:hAnsi="Times New Roman" w:cs="Times New Roman"/>
        </w:rPr>
        <w:t>reflected the source of the cohort, namel</w:t>
      </w:r>
      <w:r w:rsidR="001E5279" w:rsidRPr="0068767E">
        <w:rPr>
          <w:rFonts w:ascii="Times New Roman" w:hAnsi="Times New Roman" w:cs="Times New Roman"/>
        </w:rPr>
        <w:t>y population-based (SCAN, N=</w:t>
      </w:r>
      <w:r w:rsidR="007C3F02" w:rsidRPr="0068767E">
        <w:rPr>
          <w:rFonts w:ascii="Times New Roman" w:hAnsi="Times New Roman" w:cs="Times New Roman"/>
        </w:rPr>
        <w:t>223</w:t>
      </w:r>
      <w:r w:rsidR="00B60EDC" w:rsidRPr="0068767E">
        <w:rPr>
          <w:rFonts w:ascii="Times New Roman" w:hAnsi="Times New Roman" w:cs="Times New Roman"/>
        </w:rPr>
        <w:t xml:space="preserve">, median follow-up </w:t>
      </w:r>
      <w:r w:rsidR="00580E8F" w:rsidRPr="0068767E">
        <w:rPr>
          <w:rFonts w:ascii="Times New Roman" w:hAnsi="Times New Roman" w:cs="Times New Roman"/>
        </w:rPr>
        <w:t>12.9</w:t>
      </w:r>
      <w:r w:rsidR="00BE542C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104</w:t>
      </w:r>
      <w:r w:rsidR="002A449B" w:rsidRPr="0068767E">
        <w:rPr>
          <w:rFonts w:ascii="Times New Roman" w:hAnsi="Times New Roman" w:cs="Times New Roman"/>
        </w:rPr>
        <w:t xml:space="preserve">) vs </w:t>
      </w:r>
      <w:r w:rsidR="006A0DD1" w:rsidRPr="006A0DD1">
        <w:rPr>
          <w:rFonts w:ascii="Times New Roman" w:hAnsi="Times New Roman" w:cs="Times New Roman"/>
          <w:color w:val="FF0000"/>
        </w:rPr>
        <w:t xml:space="preserve">primary care institutions </w:t>
      </w:r>
      <w:r w:rsidR="002A449B" w:rsidRPr="0068767E">
        <w:rPr>
          <w:rFonts w:ascii="Times New Roman" w:hAnsi="Times New Roman" w:cs="Times New Roman"/>
        </w:rPr>
        <w:t>(Barcelona, N=</w:t>
      </w:r>
      <w:r w:rsidR="007D6DDF" w:rsidRPr="0068767E">
        <w:rPr>
          <w:rFonts w:ascii="Times New Roman" w:hAnsi="Times New Roman" w:cs="Times New Roman"/>
        </w:rPr>
        <w:t>3</w:t>
      </w:r>
      <w:r w:rsidR="00DD3016" w:rsidRPr="0068767E">
        <w:rPr>
          <w:rFonts w:ascii="Times New Roman" w:hAnsi="Times New Roman" w:cs="Times New Roman"/>
        </w:rPr>
        <w:t>55</w:t>
      </w:r>
      <w:r w:rsidR="00B60EDC" w:rsidRPr="0068767E">
        <w:rPr>
          <w:rFonts w:ascii="Times New Roman" w:hAnsi="Times New Roman" w:cs="Times New Roman"/>
        </w:rPr>
        <w:t xml:space="preserve">, median follow-up </w:t>
      </w:r>
      <w:r w:rsidR="00580E8F" w:rsidRPr="0068767E">
        <w:rPr>
          <w:rFonts w:ascii="Times New Roman" w:hAnsi="Times New Roman" w:cs="Times New Roman"/>
        </w:rPr>
        <w:t>10.3</w:t>
      </w:r>
      <w:r w:rsidR="005E3173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155</w:t>
      </w:r>
      <w:r w:rsidR="00E414B5" w:rsidRPr="0068767E">
        <w:rPr>
          <w:rFonts w:ascii="Times New Roman" w:hAnsi="Times New Roman" w:cs="Times New Roman"/>
        </w:rPr>
        <w:t xml:space="preserve">; </w:t>
      </w:r>
      <w:r w:rsidR="00DD3016" w:rsidRPr="0068767E">
        <w:rPr>
          <w:rFonts w:ascii="Times New Roman" w:hAnsi="Times New Roman" w:cs="Times New Roman"/>
        </w:rPr>
        <w:t>Southampton, N=22</w:t>
      </w:r>
      <w:r w:rsidR="007C3F02" w:rsidRPr="0068767E">
        <w:rPr>
          <w:rFonts w:ascii="Times New Roman" w:hAnsi="Times New Roman" w:cs="Times New Roman"/>
        </w:rPr>
        <w:t>6</w:t>
      </w:r>
      <w:r w:rsidR="00DD3016" w:rsidRPr="0068767E">
        <w:rPr>
          <w:rFonts w:ascii="Times New Roman" w:hAnsi="Times New Roman" w:cs="Times New Roman"/>
        </w:rPr>
        <w:t>, median follow-up</w:t>
      </w:r>
      <w:r w:rsidR="005C06AD" w:rsidRPr="0068767E">
        <w:rPr>
          <w:rFonts w:ascii="Times New Roman" w:hAnsi="Times New Roman" w:cs="Times New Roman"/>
        </w:rPr>
        <w:t xml:space="preserve"> </w:t>
      </w:r>
      <w:r w:rsidR="00580E8F" w:rsidRPr="0068767E">
        <w:rPr>
          <w:rFonts w:ascii="Times New Roman" w:hAnsi="Times New Roman" w:cs="Times New Roman"/>
        </w:rPr>
        <w:t>6.6</w:t>
      </w:r>
      <w:r w:rsidR="005C06AD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80</w:t>
      </w:r>
      <w:r w:rsidR="00450EE4" w:rsidRPr="0068767E">
        <w:rPr>
          <w:rFonts w:ascii="Times New Roman" w:hAnsi="Times New Roman" w:cs="Times New Roman"/>
        </w:rPr>
        <w:t>;</w:t>
      </w:r>
      <w:r w:rsidR="00975322" w:rsidRPr="0068767E">
        <w:rPr>
          <w:rFonts w:ascii="Times New Roman" w:hAnsi="Times New Roman" w:cs="Times New Roman"/>
        </w:rPr>
        <w:t xml:space="preserve"> SU, N=223, median follow-up </w:t>
      </w:r>
      <w:r w:rsidR="00580E8F" w:rsidRPr="0068767E">
        <w:rPr>
          <w:rFonts w:ascii="Times New Roman" w:hAnsi="Times New Roman" w:cs="Times New Roman"/>
        </w:rPr>
        <w:t>11.3</w:t>
      </w:r>
      <w:r w:rsidR="00450EE4" w:rsidRPr="0068767E">
        <w:rPr>
          <w:rFonts w:ascii="Times New Roman" w:hAnsi="Times New Roman" w:cs="Times New Roman"/>
        </w:rPr>
        <w:t xml:space="preserve"> years, number of treatment events </w:t>
      </w:r>
      <w:r w:rsidR="00205618" w:rsidRPr="0068767E">
        <w:rPr>
          <w:rFonts w:ascii="Times New Roman" w:hAnsi="Times New Roman" w:cs="Times New Roman"/>
        </w:rPr>
        <w:t>117</w:t>
      </w:r>
      <w:r w:rsidR="002A449B" w:rsidRPr="0068767E">
        <w:rPr>
          <w:rFonts w:ascii="Times New Roman" w:hAnsi="Times New Roman" w:cs="Times New Roman"/>
        </w:rPr>
        <w:t xml:space="preserve">) vs </w:t>
      </w:r>
      <w:r w:rsidR="002A449B" w:rsidRPr="008B5A45">
        <w:rPr>
          <w:rFonts w:ascii="Times New Roman" w:hAnsi="Times New Roman" w:cs="Times New Roman"/>
          <w:color w:val="FF0000"/>
        </w:rPr>
        <w:t xml:space="preserve">referral </w:t>
      </w:r>
      <w:r w:rsidR="008B5A45" w:rsidRPr="008B5A45">
        <w:rPr>
          <w:rFonts w:ascii="Times New Roman" w:hAnsi="Times New Roman" w:cs="Times New Roman"/>
          <w:color w:val="FF0000"/>
        </w:rPr>
        <w:t>centers</w:t>
      </w:r>
      <w:r w:rsidR="002A449B" w:rsidRPr="008B5A45">
        <w:rPr>
          <w:rFonts w:ascii="Times New Roman" w:hAnsi="Times New Roman" w:cs="Times New Roman"/>
          <w:color w:val="FF0000"/>
        </w:rPr>
        <w:t xml:space="preserve"> </w:t>
      </w:r>
      <w:r w:rsidR="002A449B" w:rsidRPr="0068767E">
        <w:rPr>
          <w:rFonts w:ascii="Times New Roman" w:hAnsi="Times New Roman" w:cs="Times New Roman"/>
        </w:rPr>
        <w:t>(</w:t>
      </w:r>
      <w:r w:rsidR="009174D5" w:rsidRPr="0068767E">
        <w:rPr>
          <w:rFonts w:ascii="Times New Roman" w:hAnsi="Times New Roman" w:cs="Times New Roman"/>
        </w:rPr>
        <w:t>MD</w:t>
      </w:r>
      <w:r w:rsidR="00F85E65" w:rsidRPr="0068767E">
        <w:rPr>
          <w:rFonts w:ascii="Times New Roman" w:hAnsi="Times New Roman" w:cs="Times New Roman"/>
        </w:rPr>
        <w:t>ACC, N=1225, median follow-up</w:t>
      </w:r>
      <w:r w:rsidR="00710F7F" w:rsidRPr="0068767E">
        <w:rPr>
          <w:rFonts w:ascii="Times New Roman" w:hAnsi="Times New Roman" w:cs="Times New Roman"/>
        </w:rPr>
        <w:t xml:space="preserve"> </w:t>
      </w:r>
      <w:r w:rsidR="00580E8F" w:rsidRPr="0068767E">
        <w:rPr>
          <w:rFonts w:ascii="Times New Roman" w:hAnsi="Times New Roman" w:cs="Times New Roman"/>
        </w:rPr>
        <w:t>5.2</w:t>
      </w:r>
      <w:r w:rsidR="009174D5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357</w:t>
      </w:r>
      <w:r w:rsidR="009174D5" w:rsidRPr="0068767E">
        <w:rPr>
          <w:rFonts w:ascii="Times New Roman" w:hAnsi="Times New Roman" w:cs="Times New Roman"/>
        </w:rPr>
        <w:t xml:space="preserve">; </w:t>
      </w:r>
      <w:r w:rsidR="002A449B" w:rsidRPr="0068767E">
        <w:rPr>
          <w:rFonts w:ascii="Times New Roman" w:hAnsi="Times New Roman" w:cs="Times New Roman"/>
        </w:rPr>
        <w:t>Brno</w:t>
      </w:r>
      <w:r w:rsidR="00D17AC2" w:rsidRPr="0068767E">
        <w:rPr>
          <w:rFonts w:ascii="Times New Roman" w:hAnsi="Times New Roman" w:cs="Times New Roman"/>
        </w:rPr>
        <w:t>, N=</w:t>
      </w:r>
      <w:r w:rsidR="00B26539" w:rsidRPr="0068767E">
        <w:rPr>
          <w:rFonts w:ascii="Times New Roman" w:hAnsi="Times New Roman" w:cs="Times New Roman"/>
        </w:rPr>
        <w:t>26</w:t>
      </w:r>
      <w:r w:rsidR="00C0602B" w:rsidRPr="0068767E">
        <w:rPr>
          <w:rFonts w:ascii="Times New Roman" w:hAnsi="Times New Roman" w:cs="Times New Roman"/>
        </w:rPr>
        <w:t>9</w:t>
      </w:r>
      <w:r w:rsidR="00DE5086" w:rsidRPr="0068767E">
        <w:rPr>
          <w:rFonts w:ascii="Times New Roman" w:hAnsi="Times New Roman" w:cs="Times New Roman"/>
        </w:rPr>
        <w:t xml:space="preserve">, median follow-up </w:t>
      </w:r>
      <w:r w:rsidR="00580E8F" w:rsidRPr="0068767E">
        <w:rPr>
          <w:rFonts w:ascii="Times New Roman" w:hAnsi="Times New Roman" w:cs="Times New Roman"/>
        </w:rPr>
        <w:t>7.7</w:t>
      </w:r>
      <w:r w:rsidR="00D17AC2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135</w:t>
      </w:r>
      <w:r w:rsidR="002A449B" w:rsidRPr="0068767E">
        <w:rPr>
          <w:rFonts w:ascii="Times New Roman" w:hAnsi="Times New Roman" w:cs="Times New Roman"/>
        </w:rPr>
        <w:t>) v</w:t>
      </w:r>
      <w:r w:rsidR="00D532EC" w:rsidRPr="0068767E">
        <w:rPr>
          <w:rFonts w:ascii="Times New Roman" w:hAnsi="Times New Roman" w:cs="Times New Roman"/>
        </w:rPr>
        <w:t>s</w:t>
      </w:r>
      <w:r w:rsidR="002A449B" w:rsidRPr="0068767E">
        <w:rPr>
          <w:rFonts w:ascii="Times New Roman" w:hAnsi="Times New Roman" w:cs="Times New Roman"/>
        </w:rPr>
        <w:t xml:space="preserve"> clinical trials (</w:t>
      </w:r>
      <w:r w:rsidR="00885EC0" w:rsidRPr="0068767E">
        <w:rPr>
          <w:rFonts w:ascii="Times New Roman" w:hAnsi="Times New Roman" w:cs="Times New Roman"/>
        </w:rPr>
        <w:t>CLL1, N=</w:t>
      </w:r>
      <w:r w:rsidR="00DD3016" w:rsidRPr="0068767E">
        <w:rPr>
          <w:rFonts w:ascii="Times New Roman" w:hAnsi="Times New Roman" w:cs="Times New Roman"/>
        </w:rPr>
        <w:t>547</w:t>
      </w:r>
      <w:r w:rsidR="00885EC0" w:rsidRPr="0068767E">
        <w:rPr>
          <w:rFonts w:ascii="Times New Roman" w:hAnsi="Times New Roman" w:cs="Times New Roman"/>
        </w:rPr>
        <w:t xml:space="preserve">, median follow-up </w:t>
      </w:r>
      <w:r w:rsidR="00580E8F" w:rsidRPr="0068767E">
        <w:rPr>
          <w:rFonts w:ascii="Times New Roman" w:hAnsi="Times New Roman" w:cs="Times New Roman"/>
        </w:rPr>
        <w:t>8.3</w:t>
      </w:r>
      <w:r w:rsidR="00885EC0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229</w:t>
      </w:r>
      <w:r w:rsidR="00582732" w:rsidRPr="0068767E">
        <w:rPr>
          <w:rFonts w:ascii="Times New Roman" w:hAnsi="Times New Roman" w:cs="Times New Roman"/>
        </w:rPr>
        <w:t>; CLL7, N=</w:t>
      </w:r>
      <w:r w:rsidR="00DD3016" w:rsidRPr="0068767E">
        <w:rPr>
          <w:rFonts w:ascii="Times New Roman" w:hAnsi="Times New Roman" w:cs="Times New Roman"/>
        </w:rPr>
        <w:t>339</w:t>
      </w:r>
      <w:r w:rsidR="00582732" w:rsidRPr="0068767E">
        <w:rPr>
          <w:rFonts w:ascii="Times New Roman" w:hAnsi="Times New Roman" w:cs="Times New Roman"/>
        </w:rPr>
        <w:t xml:space="preserve">, median follow-up </w:t>
      </w:r>
      <w:r w:rsidR="005C06AD" w:rsidRPr="0068767E">
        <w:rPr>
          <w:rFonts w:ascii="Times New Roman" w:hAnsi="Times New Roman" w:cs="Times New Roman"/>
        </w:rPr>
        <w:t xml:space="preserve">4.2 </w:t>
      </w:r>
      <w:r w:rsidR="00582732" w:rsidRPr="0068767E">
        <w:rPr>
          <w:rFonts w:ascii="Times New Roman" w:hAnsi="Times New Roman" w:cs="Times New Roman"/>
        </w:rPr>
        <w:t>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75</w:t>
      </w:r>
      <w:r w:rsidR="00582732" w:rsidRPr="0068767E">
        <w:rPr>
          <w:rFonts w:ascii="Times New Roman" w:hAnsi="Times New Roman" w:cs="Times New Roman"/>
        </w:rPr>
        <w:t>;</w:t>
      </w:r>
      <w:r w:rsidR="00885EC0" w:rsidRPr="0068767E">
        <w:rPr>
          <w:rFonts w:ascii="Times New Roman" w:hAnsi="Times New Roman" w:cs="Times New Roman"/>
        </w:rPr>
        <w:t xml:space="preserve"> </w:t>
      </w:r>
      <w:r w:rsidR="002A449B" w:rsidRPr="0068767E">
        <w:rPr>
          <w:rFonts w:ascii="Times New Roman" w:hAnsi="Times New Roman" w:cs="Times New Roman"/>
        </w:rPr>
        <w:t>O-CLL-1</w:t>
      </w:r>
      <w:r w:rsidR="00DE5086" w:rsidRPr="0068767E">
        <w:rPr>
          <w:rFonts w:ascii="Times New Roman" w:hAnsi="Times New Roman" w:cs="Times New Roman"/>
        </w:rPr>
        <w:t>, N=</w:t>
      </w:r>
      <w:r w:rsidR="00DD3016" w:rsidRPr="0068767E">
        <w:rPr>
          <w:rFonts w:ascii="Times New Roman" w:hAnsi="Times New Roman" w:cs="Times New Roman"/>
        </w:rPr>
        <w:t>312</w:t>
      </w:r>
      <w:r w:rsidR="00DE5086" w:rsidRPr="0068767E">
        <w:rPr>
          <w:rFonts w:ascii="Times New Roman" w:hAnsi="Times New Roman" w:cs="Times New Roman"/>
        </w:rPr>
        <w:t xml:space="preserve">, median follow-up </w:t>
      </w:r>
      <w:r w:rsidR="00E82650" w:rsidRPr="0068767E">
        <w:rPr>
          <w:rFonts w:ascii="Times New Roman" w:hAnsi="Times New Roman" w:cs="Times New Roman"/>
        </w:rPr>
        <w:t>7.</w:t>
      </w:r>
      <w:r w:rsidR="00580E8F" w:rsidRPr="0068767E">
        <w:rPr>
          <w:rFonts w:ascii="Times New Roman" w:hAnsi="Times New Roman" w:cs="Times New Roman"/>
        </w:rPr>
        <w:t>5</w:t>
      </w:r>
      <w:r w:rsidR="00E82650" w:rsidRPr="0068767E">
        <w:rPr>
          <w:rFonts w:ascii="Times New Roman" w:hAnsi="Times New Roman" w:cs="Times New Roman"/>
        </w:rPr>
        <w:t xml:space="preserve"> years</w:t>
      </w:r>
      <w:r w:rsidR="00450EE4" w:rsidRPr="0068767E">
        <w:rPr>
          <w:rFonts w:ascii="Times New Roman" w:hAnsi="Times New Roman" w:cs="Times New Roman"/>
        </w:rPr>
        <w:t xml:space="preserve">, number of treatment events </w:t>
      </w:r>
      <w:r w:rsidR="00205618" w:rsidRPr="0068767E">
        <w:rPr>
          <w:rFonts w:ascii="Times New Roman" w:hAnsi="Times New Roman" w:cs="Times New Roman"/>
        </w:rPr>
        <w:t>136</w:t>
      </w:r>
      <w:r w:rsidR="00573EE0" w:rsidRPr="0068767E">
        <w:rPr>
          <w:rFonts w:ascii="Times New Roman" w:hAnsi="Times New Roman" w:cs="Times New Roman"/>
        </w:rPr>
        <w:t xml:space="preserve">). </w:t>
      </w:r>
      <w:r w:rsidR="00BC2896" w:rsidRPr="0068767E">
        <w:rPr>
          <w:rFonts w:ascii="Times New Roman" w:hAnsi="Times New Roman" w:cs="Times New Roman"/>
          <w:szCs w:val="20"/>
        </w:rPr>
        <w:t xml:space="preserve">The </w:t>
      </w:r>
      <w:r w:rsidR="00031E1E" w:rsidRPr="0068767E">
        <w:rPr>
          <w:rFonts w:ascii="Times New Roman" w:hAnsi="Times New Roman" w:cs="Times New Roman"/>
          <w:szCs w:val="20"/>
        </w:rPr>
        <w:t>IPS-E</w:t>
      </w:r>
      <w:r w:rsidR="00BC2896" w:rsidRPr="0068767E">
        <w:rPr>
          <w:rFonts w:ascii="Times New Roman" w:hAnsi="Times New Roman" w:cs="Times New Roman"/>
          <w:szCs w:val="20"/>
        </w:rPr>
        <w:t xml:space="preserve"> was confirmed and the 3 risk groups </w:t>
      </w:r>
      <w:r w:rsidR="00183E76" w:rsidRPr="0068767E">
        <w:rPr>
          <w:rFonts w:ascii="Times New Roman" w:hAnsi="Times New Roman" w:cs="Times New Roman"/>
          <w:szCs w:val="20"/>
        </w:rPr>
        <w:t xml:space="preserve">with significantly different TTFT </w:t>
      </w:r>
      <w:r w:rsidR="00BC2896" w:rsidRPr="0068767E">
        <w:rPr>
          <w:rFonts w:ascii="Times New Roman" w:hAnsi="Times New Roman" w:cs="Times New Roman"/>
          <w:szCs w:val="20"/>
        </w:rPr>
        <w:t xml:space="preserve">were reproduced in </w:t>
      </w:r>
      <w:r w:rsidR="001C0B74">
        <w:rPr>
          <w:rFonts w:ascii="Times New Roman" w:hAnsi="Times New Roman" w:cs="Times New Roman"/>
          <w:szCs w:val="20"/>
        </w:rPr>
        <w:t>the</w:t>
      </w:r>
      <w:r w:rsidR="00FB1133" w:rsidRPr="0068767E">
        <w:rPr>
          <w:rFonts w:ascii="Times New Roman" w:hAnsi="Times New Roman" w:cs="Times New Roman"/>
          <w:szCs w:val="20"/>
        </w:rPr>
        <w:t xml:space="preserve"> independent validation series</w:t>
      </w:r>
      <w:r w:rsidR="008573AA" w:rsidRPr="0068767E">
        <w:rPr>
          <w:rFonts w:ascii="Times New Roman" w:hAnsi="Times New Roman" w:cs="Times New Roman"/>
          <w:szCs w:val="20"/>
        </w:rPr>
        <w:t xml:space="preserve"> </w:t>
      </w:r>
      <w:r w:rsidR="00C8204D" w:rsidRPr="0068767E">
        <w:rPr>
          <w:rFonts w:ascii="Times New Roman" w:hAnsi="Times New Roman" w:cs="Times New Roman"/>
          <w:szCs w:val="20"/>
        </w:rPr>
        <w:t xml:space="preserve">both by primary analysis </w:t>
      </w:r>
      <w:r w:rsidR="00A6772B" w:rsidRPr="0068767E">
        <w:rPr>
          <w:rFonts w:ascii="Times New Roman" w:hAnsi="Times New Roman" w:cs="Times New Roman"/>
          <w:szCs w:val="20"/>
        </w:rPr>
        <w:t>(</w:t>
      </w:r>
      <w:r w:rsidR="00580AD7" w:rsidRPr="00580AD7">
        <w:rPr>
          <w:rFonts w:ascii="Times New Roman" w:hAnsi="Times New Roman" w:cs="Times New Roman"/>
          <w:color w:val="FF0000"/>
          <w:szCs w:val="20"/>
        </w:rPr>
        <w:t xml:space="preserve">Figure 2B; </w:t>
      </w:r>
      <w:r w:rsidR="00A6772B" w:rsidRPr="00580AD7">
        <w:rPr>
          <w:rFonts w:ascii="Times New Roman" w:hAnsi="Times New Roman" w:cs="Times New Roman"/>
          <w:color w:val="FF0000"/>
          <w:szCs w:val="20"/>
        </w:rPr>
        <w:t>Fig</w:t>
      </w:r>
      <w:r w:rsidR="00FB1C32" w:rsidRPr="00580AD7">
        <w:rPr>
          <w:rFonts w:ascii="Times New Roman" w:hAnsi="Times New Roman" w:cs="Times New Roman"/>
          <w:color w:val="FF0000"/>
          <w:szCs w:val="20"/>
        </w:rPr>
        <w:t>ure</w:t>
      </w:r>
      <w:r w:rsidR="007E284A" w:rsidRPr="00580AD7">
        <w:rPr>
          <w:rFonts w:ascii="Times New Roman" w:hAnsi="Times New Roman" w:cs="Times New Roman"/>
          <w:color w:val="FF0000"/>
          <w:szCs w:val="20"/>
        </w:rPr>
        <w:t xml:space="preserve"> </w:t>
      </w:r>
      <w:r w:rsidR="004D2205">
        <w:rPr>
          <w:rFonts w:ascii="Times New Roman" w:hAnsi="Times New Roman" w:cs="Times New Roman"/>
          <w:color w:val="FF0000"/>
          <w:szCs w:val="20"/>
        </w:rPr>
        <w:t>S4A</w:t>
      </w:r>
      <w:r w:rsidR="00580AD7" w:rsidRPr="00580AD7">
        <w:rPr>
          <w:rFonts w:ascii="Times New Roman" w:hAnsi="Times New Roman" w:cs="Times New Roman"/>
          <w:color w:val="FF0000"/>
          <w:szCs w:val="20"/>
        </w:rPr>
        <w:t>-I</w:t>
      </w:r>
      <w:r w:rsidR="00EC0137" w:rsidRPr="00580AD7">
        <w:rPr>
          <w:rFonts w:ascii="Times New Roman" w:hAnsi="Times New Roman" w:cs="Times New Roman"/>
          <w:color w:val="FF0000"/>
          <w:szCs w:val="20"/>
        </w:rPr>
        <w:t xml:space="preserve"> </w:t>
      </w:r>
      <w:r w:rsidR="00EC0137" w:rsidRPr="00580AD7">
        <w:rPr>
          <w:rFonts w:ascii="Times New Roman" w:hAnsi="Times New Roman" w:cs="Times New Roman"/>
          <w:color w:val="FF0000"/>
        </w:rPr>
        <w:t>in the Supplementary Appendix</w:t>
      </w:r>
      <w:r w:rsidR="008573AA" w:rsidRPr="0068767E">
        <w:rPr>
          <w:rFonts w:ascii="Times New Roman" w:hAnsi="Times New Roman" w:cs="Times New Roman"/>
          <w:szCs w:val="20"/>
        </w:rPr>
        <w:t>)</w:t>
      </w:r>
      <w:r w:rsidR="00FB1133" w:rsidRPr="0068767E">
        <w:rPr>
          <w:rFonts w:ascii="Times New Roman" w:hAnsi="Times New Roman" w:cs="Times New Roman"/>
          <w:szCs w:val="20"/>
        </w:rPr>
        <w:t xml:space="preserve"> </w:t>
      </w:r>
      <w:r w:rsidR="00C8204D" w:rsidRPr="0068767E">
        <w:rPr>
          <w:rFonts w:ascii="Times New Roman" w:hAnsi="Times New Roman" w:cs="Times New Roman"/>
          <w:szCs w:val="20"/>
        </w:rPr>
        <w:t xml:space="preserve">and by sensitivity analysis </w:t>
      </w:r>
      <w:r w:rsidR="00C8204D" w:rsidRPr="0068767E">
        <w:rPr>
          <w:rFonts w:ascii="Times New Roman" w:hAnsi="Times New Roman" w:cs="Times New Roman"/>
        </w:rPr>
        <w:t xml:space="preserve">accounting for death </w:t>
      </w:r>
      <w:r w:rsidR="006A0C7D" w:rsidRPr="0068767E">
        <w:rPr>
          <w:rFonts w:ascii="Times New Roman" w:hAnsi="Times New Roman" w:cs="Times New Roman"/>
        </w:rPr>
        <w:t xml:space="preserve">before treatment </w:t>
      </w:r>
      <w:r w:rsidR="00C8204D" w:rsidRPr="0068767E">
        <w:rPr>
          <w:rFonts w:ascii="Times New Roman" w:hAnsi="Times New Roman" w:cs="Times New Roman"/>
        </w:rPr>
        <w:t>as competing risk (</w:t>
      </w:r>
      <w:r w:rsidR="00A6772B" w:rsidRPr="0068767E">
        <w:rPr>
          <w:rFonts w:ascii="Times New Roman" w:hAnsi="Times New Roman" w:cs="Times New Roman"/>
          <w:szCs w:val="20"/>
        </w:rPr>
        <w:t>Fig</w:t>
      </w:r>
      <w:r w:rsidR="00FB1C32" w:rsidRPr="0068767E">
        <w:rPr>
          <w:rFonts w:ascii="Times New Roman" w:hAnsi="Times New Roman" w:cs="Times New Roman"/>
          <w:szCs w:val="20"/>
        </w:rPr>
        <w:t>ure</w:t>
      </w:r>
      <w:r w:rsidR="00A6772B" w:rsidRPr="0068767E">
        <w:rPr>
          <w:rFonts w:ascii="Times New Roman" w:hAnsi="Times New Roman" w:cs="Times New Roman"/>
          <w:szCs w:val="20"/>
        </w:rPr>
        <w:t xml:space="preserve"> S</w:t>
      </w:r>
      <w:r w:rsidR="00B3157F" w:rsidRPr="0068767E">
        <w:rPr>
          <w:rFonts w:ascii="Times New Roman" w:hAnsi="Times New Roman" w:cs="Times New Roman"/>
          <w:szCs w:val="20"/>
        </w:rPr>
        <w:t>3B-J</w:t>
      </w:r>
      <w:r w:rsidR="00A6772B" w:rsidRPr="0068767E">
        <w:rPr>
          <w:rFonts w:ascii="Times New Roman" w:hAnsi="Times New Roman" w:cs="Times New Roman"/>
        </w:rPr>
        <w:t xml:space="preserve"> in the Supplementary Appendix</w:t>
      </w:r>
      <w:r w:rsidR="00C8204D" w:rsidRPr="0068767E">
        <w:rPr>
          <w:rFonts w:ascii="Times New Roman" w:hAnsi="Times New Roman" w:cs="Times New Roman"/>
        </w:rPr>
        <w:t xml:space="preserve">). </w:t>
      </w:r>
      <w:r w:rsidR="00375D63" w:rsidRPr="00086346">
        <w:rPr>
          <w:rFonts w:ascii="Times New Roman" w:hAnsi="Times New Roman" w:cs="Times New Roman"/>
          <w:color w:val="FF0000"/>
          <w:szCs w:val="20"/>
        </w:rPr>
        <w:t>B</w:t>
      </w:r>
      <w:r w:rsidR="00840B82" w:rsidRPr="00086346">
        <w:rPr>
          <w:rFonts w:ascii="Times New Roman" w:hAnsi="Times New Roman" w:cs="Times New Roman"/>
          <w:color w:val="FF0000"/>
          <w:szCs w:val="20"/>
        </w:rPr>
        <w:t>y meta-analysis across the</w:t>
      </w:r>
      <w:r w:rsidR="00E50259" w:rsidRPr="00086346">
        <w:rPr>
          <w:rFonts w:ascii="Times New Roman" w:hAnsi="Times New Roman" w:cs="Times New Roman"/>
          <w:color w:val="FF0000"/>
          <w:szCs w:val="20"/>
        </w:rPr>
        <w:t xml:space="preserve"> </w:t>
      </w:r>
      <w:r w:rsidR="00840B82" w:rsidRPr="00086346">
        <w:rPr>
          <w:rFonts w:ascii="Times New Roman" w:hAnsi="Times New Roman" w:cs="Times New Roman"/>
          <w:color w:val="FF0000"/>
          <w:szCs w:val="20"/>
        </w:rPr>
        <w:t>cohorts</w:t>
      </w:r>
      <w:r w:rsidR="00FF168D" w:rsidRPr="00086346">
        <w:rPr>
          <w:rFonts w:ascii="Times New Roman" w:hAnsi="Times New Roman" w:cs="Times New Roman"/>
          <w:color w:val="FF0000"/>
          <w:szCs w:val="20"/>
        </w:rPr>
        <w:t>,</w:t>
      </w:r>
      <w:r w:rsidR="00375D63" w:rsidRPr="00086346">
        <w:rPr>
          <w:rFonts w:ascii="Times New Roman" w:hAnsi="Times New Roman" w:cs="Times New Roman"/>
          <w:color w:val="FF0000"/>
          <w:szCs w:val="20"/>
        </w:rPr>
        <w:t xml:space="preserve"> the</w:t>
      </w:r>
      <w:r w:rsidR="00840B82" w:rsidRPr="00086346">
        <w:rPr>
          <w:rFonts w:ascii="Times New Roman" w:hAnsi="Times New Roman" w:cs="Times New Roman"/>
          <w:color w:val="FF0000"/>
          <w:szCs w:val="20"/>
        </w:rPr>
        <w:t xml:space="preserve"> </w:t>
      </w:r>
      <w:r w:rsidR="00031E1E" w:rsidRPr="00086346">
        <w:rPr>
          <w:rFonts w:ascii="Times New Roman" w:hAnsi="Times New Roman" w:cs="Times New Roman"/>
          <w:color w:val="FF0000"/>
          <w:szCs w:val="20"/>
        </w:rPr>
        <w:t>IPS-E</w:t>
      </w:r>
      <w:r w:rsidR="00375D63" w:rsidRPr="00086346">
        <w:rPr>
          <w:rFonts w:ascii="Times New Roman" w:hAnsi="Times New Roman" w:cs="Times New Roman"/>
          <w:color w:val="FF0000"/>
          <w:szCs w:val="20"/>
        </w:rPr>
        <w:t xml:space="preserve"> c-index for TTFT </w:t>
      </w:r>
      <w:r w:rsidR="00840B82" w:rsidRPr="00086346">
        <w:rPr>
          <w:rFonts w:ascii="Times New Roman" w:hAnsi="Times New Roman" w:cs="Times New Roman"/>
          <w:color w:val="FF0000"/>
          <w:szCs w:val="20"/>
        </w:rPr>
        <w:t>was 0.7</w:t>
      </w:r>
      <w:r w:rsidR="001F6FC8" w:rsidRPr="00086346">
        <w:rPr>
          <w:rFonts w:ascii="Times New Roman" w:hAnsi="Times New Roman" w:cs="Times New Roman"/>
          <w:color w:val="FF0000"/>
          <w:szCs w:val="20"/>
        </w:rPr>
        <w:t>0</w:t>
      </w:r>
      <w:r w:rsidR="005F25D3">
        <w:rPr>
          <w:rFonts w:ascii="Times New Roman" w:hAnsi="Times New Roman" w:cs="Times New Roman"/>
          <w:color w:val="FF0000"/>
          <w:szCs w:val="20"/>
        </w:rPr>
        <w:t xml:space="preserve"> </w:t>
      </w:r>
      <w:r w:rsidR="005F25D3" w:rsidRPr="00086346">
        <w:rPr>
          <w:rFonts w:ascii="Times New Roman" w:hAnsi="Times New Roman" w:cs="Times New Roman"/>
          <w:color w:val="FF0000"/>
          <w:lang w:eastAsia="zh-CN"/>
        </w:rPr>
        <w:t>(</w:t>
      </w:r>
      <w:r w:rsidR="005F25D3">
        <w:rPr>
          <w:rFonts w:ascii="Times New Roman" w:hAnsi="Times New Roman" w:cs="Times New Roman"/>
          <w:color w:val="FF0000"/>
        </w:rPr>
        <w:t>95% C.I</w:t>
      </w:r>
      <w:proofErr w:type="gramStart"/>
      <w:r w:rsidR="005F25D3">
        <w:rPr>
          <w:rFonts w:ascii="Times New Roman" w:hAnsi="Times New Roman" w:cs="Times New Roman"/>
          <w:color w:val="FF0000"/>
        </w:rPr>
        <w:t>.=</w:t>
      </w:r>
      <w:proofErr w:type="gramEnd"/>
      <w:r w:rsidR="005F25D3" w:rsidRPr="00086346">
        <w:rPr>
          <w:rFonts w:ascii="Times New Roman" w:hAnsi="Times New Roman" w:cs="Times New Roman"/>
          <w:color w:val="FF0000"/>
        </w:rPr>
        <w:t>0.6</w:t>
      </w:r>
      <w:r w:rsidR="005F25D3">
        <w:rPr>
          <w:rFonts w:ascii="Times New Roman" w:hAnsi="Times New Roman" w:cs="Times New Roman"/>
          <w:color w:val="FF0000"/>
        </w:rPr>
        <w:t>9-0.72</w:t>
      </w:r>
      <w:r w:rsidR="005F25D3" w:rsidRPr="00086346">
        <w:rPr>
          <w:rFonts w:ascii="Times New Roman" w:hAnsi="Times New Roman" w:cs="Times New Roman"/>
          <w:color w:val="FF0000"/>
        </w:rPr>
        <w:t xml:space="preserve">, </w:t>
      </w:r>
      <w:r w:rsidR="00B3157F" w:rsidRPr="00086346">
        <w:rPr>
          <w:rFonts w:ascii="Times New Roman" w:hAnsi="Times New Roman" w:cs="Times New Roman"/>
          <w:color w:val="FF0000"/>
          <w:szCs w:val="20"/>
        </w:rPr>
        <w:t>Fig</w:t>
      </w:r>
      <w:r w:rsidR="00FB1C32" w:rsidRPr="00086346">
        <w:rPr>
          <w:rFonts w:ascii="Times New Roman" w:hAnsi="Times New Roman" w:cs="Times New Roman"/>
          <w:color w:val="FF0000"/>
          <w:szCs w:val="20"/>
        </w:rPr>
        <w:t>ure</w:t>
      </w:r>
      <w:r w:rsidR="00C56302" w:rsidRPr="00086346">
        <w:rPr>
          <w:rFonts w:ascii="Times New Roman" w:hAnsi="Times New Roman" w:cs="Times New Roman"/>
          <w:color w:val="FF0000"/>
          <w:szCs w:val="20"/>
        </w:rPr>
        <w:t xml:space="preserve"> 3</w:t>
      </w:r>
      <w:r w:rsidR="007E284A" w:rsidRPr="00086346">
        <w:rPr>
          <w:rFonts w:ascii="Times New Roman" w:hAnsi="Times New Roman" w:cs="Times New Roman"/>
          <w:color w:val="FF0000"/>
          <w:szCs w:val="20"/>
        </w:rPr>
        <w:t>)</w:t>
      </w:r>
      <w:r w:rsidR="00FF168D" w:rsidRPr="00086346">
        <w:rPr>
          <w:rFonts w:ascii="Times New Roman" w:hAnsi="Times New Roman" w:cs="Times New Roman"/>
          <w:color w:val="FF0000"/>
          <w:szCs w:val="20"/>
        </w:rPr>
        <w:t xml:space="preserve"> while the c-index of the sole IGHV mutation status was 0.67 </w:t>
      </w:r>
      <w:r w:rsidR="004D2205" w:rsidRPr="00086346">
        <w:rPr>
          <w:rFonts w:ascii="Times New Roman" w:hAnsi="Times New Roman" w:cs="Times New Roman"/>
          <w:color w:val="FF0000"/>
          <w:lang w:eastAsia="zh-CN"/>
        </w:rPr>
        <w:t>(</w:t>
      </w:r>
      <w:r w:rsidR="009D0D61">
        <w:rPr>
          <w:rFonts w:ascii="Times New Roman" w:hAnsi="Times New Roman" w:cs="Times New Roman"/>
          <w:color w:val="FF0000"/>
        </w:rPr>
        <w:t>95% C.I.=</w:t>
      </w:r>
      <w:r w:rsidR="00086346" w:rsidRPr="00086346">
        <w:rPr>
          <w:rFonts w:ascii="Times New Roman" w:hAnsi="Times New Roman" w:cs="Times New Roman"/>
          <w:color w:val="FF0000"/>
        </w:rPr>
        <w:t xml:space="preserve">0.66-0.68, </w:t>
      </w:r>
      <w:r w:rsidR="004D2205" w:rsidRPr="00086346">
        <w:rPr>
          <w:rFonts w:ascii="Times New Roman" w:hAnsi="Times New Roman" w:cs="Times New Roman"/>
          <w:color w:val="FF0000"/>
          <w:lang w:eastAsia="zh-CN"/>
        </w:rPr>
        <w:t>Figure S5</w:t>
      </w:r>
      <w:r w:rsidR="00FF168D" w:rsidRPr="00086346">
        <w:rPr>
          <w:rFonts w:ascii="Times New Roman" w:hAnsi="Times New Roman" w:cs="Times New Roman"/>
          <w:color w:val="FF0000"/>
          <w:lang w:eastAsia="zh-CN"/>
        </w:rPr>
        <w:t xml:space="preserve"> in the Supplementary Appendix).</w:t>
      </w:r>
    </w:p>
    <w:p w14:paraId="71ED1D40" w14:textId="3248011C" w:rsidR="00840B82" w:rsidRPr="001C0B74" w:rsidRDefault="001C0B74" w:rsidP="001C0B74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iCs/>
          <w:color w:val="FF0000"/>
        </w:rPr>
      </w:pPr>
      <w:r w:rsidRPr="00086346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086346">
        <w:rPr>
          <w:rFonts w:ascii="Times New Roman" w:hAnsi="Times New Roman" w:cs="Times New Roman"/>
          <w:color w:val="FF0000"/>
          <w:lang w:eastAsia="zh-CN"/>
        </w:rPr>
        <w:t xml:space="preserve">Approaching the same meta-analytic </w:t>
      </w:r>
      <w:r w:rsidR="00C20B50">
        <w:rPr>
          <w:rFonts w:ascii="Times New Roman" w:hAnsi="Times New Roman" w:cs="Times New Roman"/>
          <w:color w:val="FF0000"/>
          <w:lang w:eastAsia="zh-CN"/>
        </w:rPr>
        <w:t xml:space="preserve">assessment </w:t>
      </w:r>
      <w:r w:rsidR="00086346">
        <w:rPr>
          <w:rFonts w:ascii="Times New Roman" w:hAnsi="Times New Roman" w:cs="Times New Roman"/>
          <w:color w:val="FF0000"/>
          <w:lang w:eastAsia="zh-CN"/>
        </w:rPr>
        <w:t xml:space="preserve">across the </w:t>
      </w:r>
      <w:r w:rsidR="00C20B50">
        <w:rPr>
          <w:rFonts w:ascii="Times New Roman" w:hAnsi="Times New Roman" w:cs="Times New Roman"/>
          <w:color w:val="FF0000"/>
          <w:lang w:eastAsia="zh-CN"/>
        </w:rPr>
        <w:t xml:space="preserve">study </w:t>
      </w:r>
      <w:r w:rsidR="00086346">
        <w:rPr>
          <w:rFonts w:ascii="Times New Roman" w:hAnsi="Times New Roman" w:cs="Times New Roman"/>
          <w:color w:val="FF0000"/>
          <w:lang w:eastAsia="zh-CN"/>
        </w:rPr>
        <w:t xml:space="preserve">cohorts, </w:t>
      </w:r>
      <w:r w:rsidRPr="00086346">
        <w:rPr>
          <w:rFonts w:ascii="Times New Roman" w:hAnsi="Times New Roman" w:cs="Times New Roman"/>
          <w:color w:val="FF0000"/>
        </w:rPr>
        <w:t xml:space="preserve">IPS-E </w:t>
      </w:r>
      <w:r w:rsidR="00086346">
        <w:rPr>
          <w:rFonts w:ascii="Times New Roman" w:hAnsi="Times New Roman" w:cs="Times New Roman"/>
          <w:color w:val="FF0000"/>
        </w:rPr>
        <w:t xml:space="preserve">showed a </w:t>
      </w:r>
      <w:r w:rsidR="00086346" w:rsidRPr="00086346">
        <w:rPr>
          <w:rFonts w:ascii="Times New Roman" w:hAnsi="Times New Roman" w:cs="Times New Roman"/>
          <w:color w:val="FF0000"/>
        </w:rPr>
        <w:t xml:space="preserve">slightly </w:t>
      </w:r>
      <w:r w:rsidR="00086346">
        <w:rPr>
          <w:rFonts w:ascii="Times New Roman" w:hAnsi="Times New Roman" w:cs="Times New Roman"/>
          <w:color w:val="FF0000"/>
        </w:rPr>
        <w:t>higher discrimination capacity of TTFT</w:t>
      </w:r>
      <w:r w:rsidR="00086346" w:rsidRPr="00086346">
        <w:rPr>
          <w:rFonts w:ascii="Times New Roman" w:hAnsi="Times New Roman" w:cs="Times New Roman"/>
          <w:color w:val="FF0000"/>
        </w:rPr>
        <w:t xml:space="preserve"> </w:t>
      </w:r>
      <w:r w:rsidR="005C62DB" w:rsidRPr="00086346">
        <w:rPr>
          <w:rFonts w:ascii="Times New Roman" w:hAnsi="Times New Roman" w:cs="Times New Roman"/>
          <w:color w:val="FF0000"/>
        </w:rPr>
        <w:t xml:space="preserve">compared </w:t>
      </w:r>
      <w:r w:rsidR="00A409DE" w:rsidRPr="00A409DE">
        <w:rPr>
          <w:rFonts w:ascii="Times New Roman" w:hAnsi="Times New Roman" w:cs="Times New Roman"/>
          <w:color w:val="FF0000"/>
          <w:szCs w:val="20"/>
        </w:rPr>
        <w:t>to CLL-IPI</w:t>
      </w:r>
      <w:r w:rsidR="00EA09DD">
        <w:rPr>
          <w:rFonts w:ascii="Times New Roman" w:hAnsi="Times New Roman" w:cs="Times New Roman"/>
          <w:color w:val="FF0000"/>
          <w:szCs w:val="20"/>
        </w:rPr>
        <w:t xml:space="preserve"> (c-index</w:t>
      </w:r>
      <w:r w:rsidR="0010191E">
        <w:rPr>
          <w:rFonts w:ascii="Times New Roman" w:hAnsi="Times New Roman" w:cs="Times New Roman"/>
          <w:color w:val="FF0000"/>
          <w:szCs w:val="20"/>
        </w:rPr>
        <w:t>=0.68, 95% C.I</w:t>
      </w:r>
      <w:proofErr w:type="gramStart"/>
      <w:r w:rsidR="0010191E">
        <w:rPr>
          <w:rFonts w:ascii="Times New Roman" w:hAnsi="Times New Roman" w:cs="Times New Roman"/>
          <w:color w:val="FF0000"/>
          <w:szCs w:val="20"/>
        </w:rPr>
        <w:t>.=</w:t>
      </w:r>
      <w:proofErr w:type="gramEnd"/>
      <w:r w:rsidR="0010191E">
        <w:rPr>
          <w:rFonts w:ascii="Times New Roman" w:hAnsi="Times New Roman" w:cs="Times New Roman"/>
          <w:color w:val="FF0000"/>
          <w:szCs w:val="20"/>
        </w:rPr>
        <w:t>0.67-0.70, Figure S6</w:t>
      </w:r>
      <w:r w:rsidR="0010191E" w:rsidRPr="0010191E">
        <w:rPr>
          <w:rFonts w:ascii="Times New Roman" w:hAnsi="Times New Roman" w:cs="Times New Roman"/>
          <w:color w:val="FF0000"/>
        </w:rPr>
        <w:t xml:space="preserve"> </w:t>
      </w:r>
      <w:r w:rsidR="0010191E" w:rsidRPr="00531892">
        <w:rPr>
          <w:rFonts w:ascii="Times New Roman" w:hAnsi="Times New Roman" w:cs="Times New Roman"/>
          <w:color w:val="FF0000"/>
        </w:rPr>
        <w:t>in the Supplementary Appendix</w:t>
      </w:r>
      <w:r w:rsidR="0010191E">
        <w:rPr>
          <w:rFonts w:ascii="Times New Roman" w:hAnsi="Times New Roman" w:cs="Times New Roman"/>
          <w:color w:val="FF0000"/>
          <w:szCs w:val="20"/>
        </w:rPr>
        <w:t>).</w:t>
      </w:r>
      <w:r w:rsidR="006E16B1">
        <w:rPr>
          <w:rFonts w:ascii="Times New Roman" w:hAnsi="Times New Roman" w:cs="Times New Roman"/>
          <w:color w:val="FF0000"/>
          <w:szCs w:val="20"/>
        </w:rPr>
        <w:t xml:space="preserve"> </w:t>
      </w:r>
    </w:p>
    <w:p w14:paraId="418A2A69" w14:textId="34AF8141" w:rsidR="00535F58" w:rsidRDefault="007E284A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580AD7">
        <w:rPr>
          <w:rFonts w:ascii="Times New Roman" w:hAnsi="Times New Roman" w:cs="Times New Roman"/>
        </w:rPr>
        <w:t xml:space="preserve">The training and validation </w:t>
      </w:r>
      <w:r w:rsidR="00572BC0" w:rsidRPr="00580AD7">
        <w:rPr>
          <w:rFonts w:ascii="Times New Roman" w:hAnsi="Times New Roman" w:cs="Times New Roman"/>
        </w:rPr>
        <w:t xml:space="preserve">series were </w:t>
      </w:r>
      <w:r w:rsidRPr="00580AD7">
        <w:rPr>
          <w:rFonts w:ascii="Times New Roman" w:hAnsi="Times New Roman" w:cs="Times New Roman"/>
        </w:rPr>
        <w:t>meta-analyzed</w:t>
      </w:r>
      <w:r w:rsidR="00572BC0" w:rsidRPr="00580AD7">
        <w:rPr>
          <w:rFonts w:ascii="Times New Roman" w:hAnsi="Times New Roman" w:cs="Times New Roman"/>
        </w:rPr>
        <w:t xml:space="preserve"> </w:t>
      </w:r>
      <w:r w:rsidR="006D2B2A" w:rsidRPr="00580AD7">
        <w:rPr>
          <w:rFonts w:ascii="Times New Roman" w:hAnsi="Times New Roman" w:cs="Times New Roman"/>
        </w:rPr>
        <w:t xml:space="preserve">to provide a more precise estimate of the </w:t>
      </w:r>
      <w:r w:rsidR="00EA2DBA" w:rsidRPr="00580AD7">
        <w:rPr>
          <w:rFonts w:ascii="Times New Roman" w:hAnsi="Times New Roman" w:cs="Times New Roman"/>
        </w:rPr>
        <w:t>risk of treatment need</w:t>
      </w:r>
      <w:r w:rsidR="006D2B2A" w:rsidRPr="00580AD7">
        <w:rPr>
          <w:rFonts w:ascii="Times New Roman" w:hAnsi="Times New Roman" w:cs="Times New Roman"/>
        </w:rPr>
        <w:t xml:space="preserve"> in each risk group</w:t>
      </w:r>
      <w:r w:rsidR="00A6772B" w:rsidRPr="00580AD7">
        <w:rPr>
          <w:rFonts w:ascii="Times New Roman" w:hAnsi="Times New Roman" w:cs="Times New Roman"/>
        </w:rPr>
        <w:t xml:space="preserve"> (Fig</w:t>
      </w:r>
      <w:r w:rsidR="006B75FE" w:rsidRPr="00580AD7">
        <w:rPr>
          <w:rFonts w:ascii="Times New Roman" w:hAnsi="Times New Roman" w:cs="Times New Roman"/>
        </w:rPr>
        <w:t>ure</w:t>
      </w:r>
      <w:r w:rsidR="00B3157F" w:rsidRPr="00580AD7">
        <w:rPr>
          <w:rFonts w:ascii="Times New Roman" w:hAnsi="Times New Roman" w:cs="Times New Roman"/>
        </w:rPr>
        <w:t xml:space="preserve"> 4</w:t>
      </w:r>
      <w:r w:rsidR="00754860" w:rsidRPr="00580AD7">
        <w:rPr>
          <w:rFonts w:ascii="Times New Roman" w:hAnsi="Times New Roman" w:cs="Times New Roman"/>
        </w:rPr>
        <w:t>)</w:t>
      </w:r>
      <w:r w:rsidR="006D2B2A" w:rsidRPr="00580AD7">
        <w:rPr>
          <w:rFonts w:ascii="Times New Roman" w:hAnsi="Times New Roman" w:cs="Times New Roman"/>
        </w:rPr>
        <w:t xml:space="preserve">. </w:t>
      </w:r>
      <w:r w:rsidR="00864183" w:rsidRPr="00580AD7">
        <w:rPr>
          <w:rFonts w:ascii="Times New Roman" w:hAnsi="Times New Roman" w:cs="Times New Roman"/>
        </w:rPr>
        <w:t>Low-</w:t>
      </w:r>
      <w:r w:rsidR="00FB67D4" w:rsidRPr="00580AD7">
        <w:rPr>
          <w:rFonts w:ascii="Times New Roman" w:hAnsi="Times New Roman" w:cs="Times New Roman"/>
        </w:rPr>
        <w:t>risk patients</w:t>
      </w:r>
      <w:r w:rsidR="00864183" w:rsidRPr="00580AD7">
        <w:rPr>
          <w:rFonts w:ascii="Times New Roman" w:hAnsi="Times New Roman" w:cs="Times New Roman"/>
        </w:rPr>
        <w:t xml:space="preserve"> </w:t>
      </w:r>
      <w:r w:rsidRPr="00580AD7">
        <w:rPr>
          <w:rFonts w:ascii="Times New Roman" w:hAnsi="Times New Roman" w:cs="Times New Roman"/>
        </w:rPr>
        <w:t xml:space="preserve">overall </w:t>
      </w:r>
      <w:r w:rsidR="00864183" w:rsidRPr="00580AD7">
        <w:rPr>
          <w:rFonts w:ascii="Times New Roman" w:hAnsi="Times New Roman" w:cs="Times New Roman"/>
        </w:rPr>
        <w:t xml:space="preserve">corresponded to </w:t>
      </w:r>
      <w:r w:rsidR="00BE5FCA" w:rsidRPr="00580AD7">
        <w:rPr>
          <w:rFonts w:ascii="Times New Roman" w:hAnsi="Times New Roman" w:cs="Times New Roman"/>
        </w:rPr>
        <w:t>29.5</w:t>
      </w:r>
      <w:r w:rsidR="00FB67D4" w:rsidRPr="00580AD7">
        <w:rPr>
          <w:rFonts w:ascii="Times New Roman" w:hAnsi="Times New Roman" w:cs="Times New Roman"/>
        </w:rPr>
        <w:t xml:space="preserve">% of </w:t>
      </w:r>
      <w:r w:rsidR="0094007C">
        <w:rPr>
          <w:rFonts w:ascii="Times New Roman" w:hAnsi="Times New Roman" w:cs="Times New Roman"/>
        </w:rPr>
        <w:t>cases</w:t>
      </w:r>
      <w:r w:rsidR="00780254" w:rsidRPr="00580AD7">
        <w:rPr>
          <w:rFonts w:ascii="Times New Roman" w:hAnsi="Times New Roman" w:cs="Times New Roman"/>
        </w:rPr>
        <w:t xml:space="preserve"> across the 10 </w:t>
      </w:r>
      <w:proofErr w:type="spellStart"/>
      <w:r w:rsidR="000D1504" w:rsidRPr="00580AD7">
        <w:rPr>
          <w:rFonts w:ascii="Times New Roman" w:hAnsi="Times New Roman" w:cs="Times New Roman"/>
        </w:rPr>
        <w:t>Binet</w:t>
      </w:r>
      <w:proofErr w:type="spellEnd"/>
      <w:r w:rsidR="000D1504" w:rsidRPr="00580AD7">
        <w:rPr>
          <w:rFonts w:ascii="Times New Roman" w:hAnsi="Times New Roman" w:cs="Times New Roman"/>
        </w:rPr>
        <w:t xml:space="preserve"> </w:t>
      </w:r>
      <w:r w:rsidR="00FB67D4" w:rsidRPr="00580AD7">
        <w:rPr>
          <w:rFonts w:ascii="Times New Roman" w:hAnsi="Times New Roman" w:cs="Times New Roman"/>
        </w:rPr>
        <w:t>stage A CLL</w:t>
      </w:r>
      <w:r w:rsidR="00780254" w:rsidRPr="00580AD7">
        <w:rPr>
          <w:rFonts w:ascii="Times New Roman" w:hAnsi="Times New Roman" w:cs="Times New Roman"/>
        </w:rPr>
        <w:t xml:space="preserve"> cohorts</w:t>
      </w:r>
      <w:r w:rsidR="00864183" w:rsidRPr="00580AD7">
        <w:rPr>
          <w:rFonts w:ascii="Times New Roman" w:hAnsi="Times New Roman" w:cs="Times New Roman"/>
        </w:rPr>
        <w:t xml:space="preserve">. </w:t>
      </w:r>
      <w:r w:rsidR="00B67DDF" w:rsidRPr="00580AD7">
        <w:rPr>
          <w:rFonts w:ascii="Times New Roman" w:hAnsi="Times New Roman" w:cs="Times New Roman"/>
        </w:rPr>
        <w:t>T</w:t>
      </w:r>
      <w:r w:rsidR="00FB67D4" w:rsidRPr="00580AD7">
        <w:rPr>
          <w:rFonts w:ascii="Times New Roman" w:hAnsi="Times New Roman" w:cs="Times New Roman"/>
          <w:szCs w:val="20"/>
        </w:rPr>
        <w:t>he</w:t>
      </w:r>
      <w:r w:rsidR="00864183" w:rsidRPr="00580AD7">
        <w:rPr>
          <w:rFonts w:ascii="Times New Roman" w:hAnsi="Times New Roman" w:cs="Times New Roman"/>
          <w:szCs w:val="20"/>
        </w:rPr>
        <w:t>ir</w:t>
      </w:r>
      <w:r w:rsidR="00FB67D4" w:rsidRPr="00580AD7">
        <w:rPr>
          <w:rFonts w:ascii="Times New Roman" w:hAnsi="Times New Roman" w:cs="Times New Roman"/>
          <w:szCs w:val="20"/>
        </w:rPr>
        <w:t xml:space="preserve"> cumulative risk of treatment </w:t>
      </w:r>
      <w:r w:rsidR="00EA2DBA" w:rsidRPr="00580AD7">
        <w:rPr>
          <w:rFonts w:ascii="Times New Roman" w:hAnsi="Times New Roman" w:cs="Times New Roman"/>
          <w:szCs w:val="20"/>
        </w:rPr>
        <w:t xml:space="preserve">need </w:t>
      </w:r>
      <w:r w:rsidR="00FB67D4" w:rsidRPr="00580AD7">
        <w:rPr>
          <w:rFonts w:ascii="Times New Roman" w:hAnsi="Times New Roman" w:cs="Times New Roman"/>
          <w:szCs w:val="20"/>
        </w:rPr>
        <w:t xml:space="preserve">(not accounting for death due to competing risk) was </w:t>
      </w:r>
      <w:r w:rsidR="00B67DDF" w:rsidRPr="00580AD7">
        <w:rPr>
          <w:rFonts w:ascii="Times New Roman" w:hAnsi="Times New Roman" w:cs="Times New Roman"/>
          <w:szCs w:val="20"/>
        </w:rPr>
        <w:t>&lt;0.1</w:t>
      </w:r>
      <w:r w:rsidR="00FB67D4" w:rsidRPr="00580AD7">
        <w:rPr>
          <w:rFonts w:ascii="Times New Roman" w:hAnsi="Times New Roman" w:cs="Times New Roman"/>
          <w:szCs w:val="20"/>
        </w:rPr>
        <w:t xml:space="preserve">% after 1 year </w:t>
      </w:r>
      <w:r w:rsidR="00FB67D4" w:rsidRPr="00580AD7">
        <w:rPr>
          <w:rFonts w:ascii="Times New Roman" w:hAnsi="Times New Roman" w:cs="Times New Roman"/>
          <w:szCs w:val="20"/>
        </w:rPr>
        <w:lastRenderedPageBreak/>
        <w:t xml:space="preserve">of </w:t>
      </w:r>
      <w:r w:rsidR="00BE73AE" w:rsidRPr="00580AD7">
        <w:rPr>
          <w:rFonts w:ascii="Times New Roman" w:hAnsi="Times New Roman" w:cs="Times New Roman"/>
          <w:szCs w:val="20"/>
        </w:rPr>
        <w:t>surveillance</w:t>
      </w:r>
      <w:r w:rsidR="00FB67D4" w:rsidRPr="00580AD7">
        <w:rPr>
          <w:rFonts w:ascii="Times New Roman" w:hAnsi="Times New Roman" w:cs="Times New Roman"/>
          <w:szCs w:val="20"/>
        </w:rPr>
        <w:t xml:space="preserve">, </w:t>
      </w:r>
      <w:r w:rsidR="00313ADA" w:rsidRPr="00580AD7">
        <w:rPr>
          <w:rFonts w:ascii="Times New Roman" w:hAnsi="Times New Roman" w:cs="Times New Roman"/>
          <w:szCs w:val="20"/>
        </w:rPr>
        <w:t xml:space="preserve">and </w:t>
      </w:r>
      <w:r w:rsidR="00B67DDF" w:rsidRPr="00580AD7">
        <w:rPr>
          <w:rFonts w:ascii="Times New Roman" w:hAnsi="Times New Roman" w:cs="Times New Roman"/>
          <w:szCs w:val="20"/>
        </w:rPr>
        <w:t>8.4</w:t>
      </w:r>
      <w:r w:rsidR="00BE5FCA" w:rsidRPr="00580AD7">
        <w:rPr>
          <w:rFonts w:ascii="Times New Roman" w:hAnsi="Times New Roman" w:cs="Times New Roman"/>
          <w:szCs w:val="20"/>
        </w:rPr>
        <w:t>%</w:t>
      </w:r>
      <w:r w:rsidR="00FB67D4" w:rsidRPr="00580AD7">
        <w:rPr>
          <w:rFonts w:ascii="Times New Roman" w:hAnsi="Times New Roman" w:cs="Times New Roman"/>
          <w:szCs w:val="20"/>
        </w:rPr>
        <w:t xml:space="preserve"> after 5 years</w:t>
      </w:r>
      <w:r w:rsidR="006D2B2A" w:rsidRPr="00580AD7">
        <w:rPr>
          <w:rFonts w:ascii="Times New Roman" w:hAnsi="Times New Roman" w:cs="Times New Roman"/>
          <w:szCs w:val="20"/>
        </w:rPr>
        <w:t xml:space="preserve">. </w:t>
      </w:r>
      <w:r w:rsidR="00FB67D4" w:rsidRPr="00580AD7">
        <w:rPr>
          <w:rFonts w:ascii="Times New Roman" w:hAnsi="Times New Roman" w:cs="Times New Roman"/>
          <w:szCs w:val="20"/>
        </w:rPr>
        <w:t xml:space="preserve">The risk of treatment was </w:t>
      </w:r>
      <w:r w:rsidR="00D27FA6" w:rsidRPr="00580AD7">
        <w:rPr>
          <w:rFonts w:ascii="Times New Roman" w:hAnsi="Times New Roman" w:cs="Times New Roman"/>
          <w:szCs w:val="20"/>
        </w:rPr>
        <w:t>2.0</w:t>
      </w:r>
      <w:r w:rsidR="00FB67D4" w:rsidRPr="00580AD7">
        <w:rPr>
          <w:rFonts w:ascii="Times New Roman" w:hAnsi="Times New Roman" w:cs="Times New Roman"/>
          <w:szCs w:val="20"/>
        </w:rPr>
        <w:t xml:space="preserve"> event</w:t>
      </w:r>
      <w:r w:rsidR="00D307CD" w:rsidRPr="00580AD7">
        <w:rPr>
          <w:rFonts w:ascii="Times New Roman" w:hAnsi="Times New Roman" w:cs="Times New Roman"/>
          <w:szCs w:val="20"/>
        </w:rPr>
        <w:t>s</w:t>
      </w:r>
      <w:r w:rsidR="00864183" w:rsidRPr="00580AD7">
        <w:rPr>
          <w:rFonts w:ascii="Times New Roman" w:hAnsi="Times New Roman" w:cs="Times New Roman"/>
          <w:szCs w:val="20"/>
        </w:rPr>
        <w:t xml:space="preserve"> per </w:t>
      </w:r>
      <w:r w:rsidR="00C13BF9" w:rsidRPr="00580AD7">
        <w:rPr>
          <w:rFonts w:ascii="Times New Roman" w:hAnsi="Times New Roman" w:cs="Times New Roman"/>
          <w:szCs w:val="20"/>
        </w:rPr>
        <w:t>100</w:t>
      </w:r>
      <w:r w:rsidR="00142BFA">
        <w:rPr>
          <w:rFonts w:ascii="Times New Roman" w:hAnsi="Times New Roman" w:cs="Times New Roman"/>
          <w:szCs w:val="20"/>
        </w:rPr>
        <w:t xml:space="preserve"> </w:t>
      </w:r>
      <w:r w:rsidR="00C13BF9" w:rsidRPr="00580AD7">
        <w:rPr>
          <w:rFonts w:ascii="Times New Roman" w:hAnsi="Times New Roman" w:cs="Times New Roman"/>
          <w:szCs w:val="20"/>
        </w:rPr>
        <w:t>person</w:t>
      </w:r>
      <w:r w:rsidR="00864183" w:rsidRPr="00580AD7">
        <w:rPr>
          <w:rFonts w:ascii="Times New Roman" w:hAnsi="Times New Roman" w:cs="Times New Roman"/>
          <w:szCs w:val="20"/>
        </w:rPr>
        <w:t xml:space="preserve"> year</w:t>
      </w:r>
      <w:r w:rsidR="009A646E">
        <w:rPr>
          <w:rFonts w:ascii="Times New Roman" w:hAnsi="Times New Roman" w:cs="Times New Roman"/>
          <w:szCs w:val="20"/>
        </w:rPr>
        <w:t>s</w:t>
      </w:r>
      <w:r w:rsidR="00864183" w:rsidRPr="00580AD7">
        <w:rPr>
          <w:rFonts w:ascii="Times New Roman" w:hAnsi="Times New Roman" w:cs="Times New Roman"/>
          <w:szCs w:val="20"/>
        </w:rPr>
        <w:t xml:space="preserve"> among low-</w:t>
      </w:r>
      <w:r w:rsidR="00FB67D4" w:rsidRPr="00580AD7">
        <w:rPr>
          <w:rFonts w:ascii="Times New Roman" w:hAnsi="Times New Roman" w:cs="Times New Roman"/>
          <w:szCs w:val="20"/>
        </w:rPr>
        <w:t xml:space="preserve">risk patients. </w:t>
      </w:r>
      <w:r w:rsidR="00864183" w:rsidRPr="00580AD7">
        <w:rPr>
          <w:rFonts w:ascii="Times New Roman" w:hAnsi="Times New Roman" w:cs="Times New Roman"/>
          <w:szCs w:val="20"/>
        </w:rPr>
        <w:t xml:space="preserve">Intermediate-risk patients </w:t>
      </w:r>
      <w:r w:rsidRPr="00580AD7">
        <w:rPr>
          <w:rFonts w:ascii="Times New Roman" w:hAnsi="Times New Roman" w:cs="Times New Roman"/>
          <w:szCs w:val="20"/>
        </w:rPr>
        <w:t xml:space="preserve">overall </w:t>
      </w:r>
      <w:r w:rsidR="00864183" w:rsidRPr="00580AD7">
        <w:rPr>
          <w:rFonts w:ascii="Times New Roman" w:hAnsi="Times New Roman" w:cs="Times New Roman"/>
          <w:szCs w:val="20"/>
        </w:rPr>
        <w:t>corresponded to</w:t>
      </w:r>
      <w:r w:rsidR="00FB67D4" w:rsidRPr="00580AD7">
        <w:rPr>
          <w:rFonts w:ascii="Times New Roman" w:hAnsi="Times New Roman" w:cs="Times New Roman"/>
        </w:rPr>
        <w:t xml:space="preserve"> </w:t>
      </w:r>
      <w:r w:rsidR="00B20FDB" w:rsidRPr="00580AD7">
        <w:rPr>
          <w:rFonts w:ascii="Times New Roman" w:hAnsi="Times New Roman" w:cs="Times New Roman"/>
        </w:rPr>
        <w:t>36.2%</w:t>
      </w:r>
      <w:r w:rsidR="00FB67D4" w:rsidRPr="00580AD7">
        <w:rPr>
          <w:rFonts w:ascii="Times New Roman" w:hAnsi="Times New Roman" w:cs="Times New Roman"/>
        </w:rPr>
        <w:t xml:space="preserve"> </w:t>
      </w:r>
      <w:r w:rsidR="00780254" w:rsidRPr="00580AD7">
        <w:rPr>
          <w:rFonts w:ascii="Times New Roman" w:hAnsi="Times New Roman" w:cs="Times New Roman"/>
        </w:rPr>
        <w:t xml:space="preserve">of </w:t>
      </w:r>
      <w:r w:rsidR="0094007C">
        <w:rPr>
          <w:rFonts w:ascii="Times New Roman" w:hAnsi="Times New Roman" w:cs="Times New Roman"/>
        </w:rPr>
        <w:t>cases</w:t>
      </w:r>
      <w:r w:rsidR="00780254" w:rsidRPr="00580AD7">
        <w:rPr>
          <w:rFonts w:ascii="Times New Roman" w:hAnsi="Times New Roman" w:cs="Times New Roman"/>
        </w:rPr>
        <w:t xml:space="preserve"> across the 10 </w:t>
      </w:r>
      <w:proofErr w:type="spellStart"/>
      <w:r w:rsidR="00DC12B4" w:rsidRPr="00580AD7">
        <w:rPr>
          <w:rFonts w:ascii="Times New Roman" w:hAnsi="Times New Roman" w:cs="Times New Roman"/>
        </w:rPr>
        <w:t>Binet</w:t>
      </w:r>
      <w:proofErr w:type="spellEnd"/>
      <w:r w:rsidR="00DC12B4" w:rsidRPr="00580AD7">
        <w:rPr>
          <w:rFonts w:ascii="Times New Roman" w:hAnsi="Times New Roman" w:cs="Times New Roman"/>
        </w:rPr>
        <w:t xml:space="preserve"> </w:t>
      </w:r>
      <w:r w:rsidR="00780254" w:rsidRPr="00580AD7">
        <w:rPr>
          <w:rFonts w:ascii="Times New Roman" w:hAnsi="Times New Roman" w:cs="Times New Roman"/>
        </w:rPr>
        <w:t>stage A CLL cohorts</w:t>
      </w:r>
      <w:r w:rsidR="00864183" w:rsidRPr="00580AD7">
        <w:rPr>
          <w:rFonts w:ascii="Times New Roman" w:hAnsi="Times New Roman" w:cs="Times New Roman"/>
        </w:rPr>
        <w:t>. Their</w:t>
      </w:r>
      <w:r w:rsidR="00FB67D4" w:rsidRPr="00580AD7">
        <w:rPr>
          <w:rFonts w:ascii="Times New Roman" w:hAnsi="Times New Roman" w:cs="Times New Roman"/>
        </w:rPr>
        <w:t xml:space="preserve"> </w:t>
      </w:r>
      <w:r w:rsidR="00FB67D4" w:rsidRPr="00580AD7">
        <w:rPr>
          <w:rFonts w:ascii="Times New Roman" w:hAnsi="Times New Roman" w:cs="Times New Roman"/>
          <w:szCs w:val="20"/>
        </w:rPr>
        <w:t xml:space="preserve">cumulative risk of treatment </w:t>
      </w:r>
      <w:r w:rsidR="00EA2DBA" w:rsidRPr="00580AD7">
        <w:rPr>
          <w:rFonts w:ascii="Times New Roman" w:hAnsi="Times New Roman" w:cs="Times New Roman"/>
          <w:szCs w:val="20"/>
        </w:rPr>
        <w:t xml:space="preserve">need </w:t>
      </w:r>
      <w:r w:rsidR="00FB67D4" w:rsidRPr="00580AD7">
        <w:rPr>
          <w:rFonts w:ascii="Times New Roman" w:hAnsi="Times New Roman" w:cs="Times New Roman"/>
          <w:szCs w:val="20"/>
        </w:rPr>
        <w:t xml:space="preserve">(not accounting for death due to competing risk) was </w:t>
      </w:r>
      <w:r w:rsidR="00B67DDF" w:rsidRPr="00580AD7">
        <w:rPr>
          <w:rFonts w:ascii="Times New Roman" w:hAnsi="Times New Roman" w:cs="Times New Roman"/>
          <w:szCs w:val="20"/>
        </w:rPr>
        <w:t>3.1</w:t>
      </w:r>
      <w:r w:rsidR="00B20FDB" w:rsidRPr="00580AD7">
        <w:rPr>
          <w:rFonts w:ascii="Times New Roman" w:hAnsi="Times New Roman" w:cs="Times New Roman"/>
          <w:szCs w:val="20"/>
        </w:rPr>
        <w:t>%</w:t>
      </w:r>
      <w:r w:rsidR="005C68D9" w:rsidRPr="00580AD7">
        <w:rPr>
          <w:rFonts w:ascii="Times New Roman" w:hAnsi="Times New Roman" w:cs="Times New Roman"/>
          <w:szCs w:val="20"/>
        </w:rPr>
        <w:t xml:space="preserve"> after 1 year of </w:t>
      </w:r>
      <w:r w:rsidR="00BE73AE" w:rsidRPr="00580AD7">
        <w:rPr>
          <w:rFonts w:ascii="Times New Roman" w:hAnsi="Times New Roman" w:cs="Times New Roman"/>
          <w:szCs w:val="20"/>
        </w:rPr>
        <w:t>surveillance</w:t>
      </w:r>
      <w:r w:rsidR="005C68D9" w:rsidRPr="00580AD7">
        <w:rPr>
          <w:rFonts w:ascii="Times New Roman" w:hAnsi="Times New Roman" w:cs="Times New Roman"/>
          <w:szCs w:val="20"/>
        </w:rPr>
        <w:t>,</w:t>
      </w:r>
      <w:r w:rsidRPr="00580AD7">
        <w:rPr>
          <w:rFonts w:ascii="Times New Roman" w:hAnsi="Times New Roman" w:cs="Times New Roman"/>
          <w:szCs w:val="20"/>
        </w:rPr>
        <w:t xml:space="preserve"> and </w:t>
      </w:r>
      <w:r w:rsidR="00B67DDF" w:rsidRPr="00580AD7">
        <w:rPr>
          <w:rFonts w:ascii="Times New Roman" w:hAnsi="Times New Roman" w:cs="Times New Roman"/>
          <w:szCs w:val="20"/>
        </w:rPr>
        <w:t>28.4</w:t>
      </w:r>
      <w:r w:rsidR="00B20FDB" w:rsidRPr="00580AD7">
        <w:rPr>
          <w:rFonts w:ascii="Times New Roman" w:hAnsi="Times New Roman" w:cs="Times New Roman"/>
          <w:szCs w:val="20"/>
        </w:rPr>
        <w:t>%</w:t>
      </w:r>
      <w:r w:rsidR="00313ADA" w:rsidRPr="00580AD7">
        <w:rPr>
          <w:rFonts w:ascii="Times New Roman" w:hAnsi="Times New Roman" w:cs="Times New Roman"/>
          <w:szCs w:val="20"/>
        </w:rPr>
        <w:t xml:space="preserve"> after 5</w:t>
      </w:r>
      <w:r w:rsidR="00FB67D4" w:rsidRPr="00580AD7">
        <w:rPr>
          <w:rFonts w:ascii="Times New Roman" w:hAnsi="Times New Roman" w:cs="Times New Roman"/>
          <w:szCs w:val="20"/>
        </w:rPr>
        <w:t xml:space="preserve"> years. The</w:t>
      </w:r>
      <w:r w:rsidR="00E50259" w:rsidRPr="00580AD7">
        <w:rPr>
          <w:rFonts w:ascii="Times New Roman" w:hAnsi="Times New Roman" w:cs="Times New Roman"/>
          <w:szCs w:val="20"/>
        </w:rPr>
        <w:t xml:space="preserve"> need for therapy </w:t>
      </w:r>
      <w:r w:rsidR="00FB67D4" w:rsidRPr="00580AD7">
        <w:rPr>
          <w:rFonts w:ascii="Times New Roman" w:hAnsi="Times New Roman" w:cs="Times New Roman"/>
          <w:szCs w:val="20"/>
        </w:rPr>
        <w:t xml:space="preserve">was </w:t>
      </w:r>
      <w:r w:rsidR="00D27FA6" w:rsidRPr="00580AD7">
        <w:rPr>
          <w:rFonts w:ascii="Times New Roman" w:hAnsi="Times New Roman" w:cs="Times New Roman"/>
          <w:szCs w:val="20"/>
        </w:rPr>
        <w:t>6.1</w:t>
      </w:r>
      <w:r w:rsidR="00FB67D4" w:rsidRPr="00580AD7">
        <w:rPr>
          <w:rFonts w:ascii="Times New Roman" w:hAnsi="Times New Roman" w:cs="Times New Roman"/>
          <w:szCs w:val="20"/>
        </w:rPr>
        <w:t xml:space="preserve"> </w:t>
      </w:r>
      <w:r w:rsidR="00606973" w:rsidRPr="00580AD7">
        <w:rPr>
          <w:rFonts w:ascii="Times New Roman" w:hAnsi="Times New Roman" w:cs="Times New Roman"/>
          <w:szCs w:val="20"/>
        </w:rPr>
        <w:t xml:space="preserve">events </w:t>
      </w:r>
      <w:r w:rsidR="00FB67D4" w:rsidRPr="00580AD7">
        <w:rPr>
          <w:rFonts w:ascii="Times New Roman" w:hAnsi="Times New Roman" w:cs="Times New Roman"/>
          <w:szCs w:val="20"/>
        </w:rPr>
        <w:t xml:space="preserve">per 100 person years among </w:t>
      </w:r>
      <w:r w:rsidR="00864183" w:rsidRPr="00580AD7">
        <w:rPr>
          <w:rFonts w:ascii="Times New Roman" w:hAnsi="Times New Roman" w:cs="Times New Roman"/>
          <w:szCs w:val="20"/>
        </w:rPr>
        <w:t>intermediate-</w:t>
      </w:r>
      <w:r w:rsidR="00FB67D4" w:rsidRPr="00580AD7">
        <w:rPr>
          <w:rFonts w:ascii="Times New Roman" w:hAnsi="Times New Roman" w:cs="Times New Roman"/>
          <w:szCs w:val="20"/>
        </w:rPr>
        <w:t>risk patients.</w:t>
      </w:r>
      <w:r w:rsidR="00864183" w:rsidRPr="00580AD7">
        <w:rPr>
          <w:rFonts w:ascii="Times New Roman" w:hAnsi="Times New Roman" w:cs="Times New Roman"/>
          <w:szCs w:val="20"/>
        </w:rPr>
        <w:t xml:space="preserve"> H</w:t>
      </w:r>
      <w:r w:rsidR="006D2B2A" w:rsidRPr="00580AD7">
        <w:rPr>
          <w:rFonts w:ascii="Times New Roman" w:hAnsi="Times New Roman" w:cs="Times New Roman"/>
          <w:szCs w:val="20"/>
        </w:rPr>
        <w:t>igh-risk patients</w:t>
      </w:r>
      <w:r w:rsidR="00864183" w:rsidRPr="00580AD7">
        <w:rPr>
          <w:rFonts w:ascii="Times New Roman" w:hAnsi="Times New Roman" w:cs="Times New Roman"/>
          <w:szCs w:val="20"/>
        </w:rPr>
        <w:t xml:space="preserve"> </w:t>
      </w:r>
      <w:r w:rsidRPr="00580AD7">
        <w:rPr>
          <w:rFonts w:ascii="Times New Roman" w:hAnsi="Times New Roman" w:cs="Times New Roman"/>
          <w:szCs w:val="20"/>
        </w:rPr>
        <w:t xml:space="preserve">overall </w:t>
      </w:r>
      <w:r w:rsidR="00864183" w:rsidRPr="00580AD7">
        <w:rPr>
          <w:rFonts w:ascii="Times New Roman" w:hAnsi="Times New Roman" w:cs="Times New Roman"/>
          <w:szCs w:val="20"/>
        </w:rPr>
        <w:t>corresponded to</w:t>
      </w:r>
      <w:r w:rsidR="00864183" w:rsidRPr="00580AD7">
        <w:rPr>
          <w:rFonts w:ascii="Times New Roman" w:hAnsi="Times New Roman" w:cs="Times New Roman"/>
        </w:rPr>
        <w:t xml:space="preserve"> </w:t>
      </w:r>
      <w:r w:rsidR="00B20FDB" w:rsidRPr="00580AD7">
        <w:rPr>
          <w:rFonts w:ascii="Times New Roman" w:hAnsi="Times New Roman" w:cs="Times New Roman"/>
        </w:rPr>
        <w:t>34.3</w:t>
      </w:r>
      <w:r w:rsidR="00864183" w:rsidRPr="00580AD7">
        <w:rPr>
          <w:rFonts w:ascii="Times New Roman" w:hAnsi="Times New Roman" w:cs="Times New Roman"/>
        </w:rPr>
        <w:t xml:space="preserve">% </w:t>
      </w:r>
      <w:r w:rsidR="00780254" w:rsidRPr="00580AD7">
        <w:rPr>
          <w:rFonts w:ascii="Times New Roman" w:hAnsi="Times New Roman" w:cs="Times New Roman"/>
        </w:rPr>
        <w:t xml:space="preserve">of </w:t>
      </w:r>
      <w:r w:rsidR="0094007C">
        <w:rPr>
          <w:rFonts w:ascii="Times New Roman" w:hAnsi="Times New Roman" w:cs="Times New Roman"/>
        </w:rPr>
        <w:t>cases</w:t>
      </w:r>
      <w:r w:rsidR="00780254" w:rsidRPr="00580AD7">
        <w:rPr>
          <w:rFonts w:ascii="Times New Roman" w:hAnsi="Times New Roman" w:cs="Times New Roman"/>
        </w:rPr>
        <w:t xml:space="preserve"> across the 10 </w:t>
      </w:r>
      <w:r w:rsidR="00E50259" w:rsidRPr="00580AD7">
        <w:rPr>
          <w:rFonts w:ascii="Times New Roman" w:hAnsi="Times New Roman" w:cs="Times New Roman"/>
        </w:rPr>
        <w:t>validation</w:t>
      </w:r>
      <w:r w:rsidR="00780254" w:rsidRPr="00580AD7">
        <w:rPr>
          <w:rFonts w:ascii="Times New Roman" w:hAnsi="Times New Roman" w:cs="Times New Roman"/>
        </w:rPr>
        <w:t xml:space="preserve"> cohorts</w:t>
      </w:r>
      <w:r w:rsidR="00864183" w:rsidRPr="00580AD7">
        <w:rPr>
          <w:rFonts w:ascii="Times New Roman" w:hAnsi="Times New Roman" w:cs="Times New Roman"/>
        </w:rPr>
        <w:t>. Their</w:t>
      </w:r>
      <w:r w:rsidR="006D2B2A" w:rsidRPr="00580AD7">
        <w:rPr>
          <w:rFonts w:ascii="Times New Roman" w:hAnsi="Times New Roman" w:cs="Times New Roman"/>
          <w:szCs w:val="20"/>
        </w:rPr>
        <w:t xml:space="preserve"> </w:t>
      </w:r>
      <w:r w:rsidR="00864183" w:rsidRPr="00580AD7">
        <w:rPr>
          <w:rFonts w:ascii="Times New Roman" w:hAnsi="Times New Roman" w:cs="Times New Roman"/>
          <w:szCs w:val="20"/>
        </w:rPr>
        <w:t xml:space="preserve">cumulative risk </w:t>
      </w:r>
      <w:r w:rsidR="001E7944" w:rsidRPr="00580AD7">
        <w:rPr>
          <w:rFonts w:ascii="Times New Roman" w:hAnsi="Times New Roman" w:cs="Times New Roman"/>
          <w:szCs w:val="20"/>
        </w:rPr>
        <w:t>of treatment need</w:t>
      </w:r>
      <w:r w:rsidR="00E50259" w:rsidRPr="00580AD7">
        <w:rPr>
          <w:rFonts w:ascii="Times New Roman" w:hAnsi="Times New Roman" w:cs="Times New Roman"/>
          <w:szCs w:val="20"/>
        </w:rPr>
        <w:t xml:space="preserve"> </w:t>
      </w:r>
      <w:r w:rsidR="00864183" w:rsidRPr="00580AD7">
        <w:rPr>
          <w:rFonts w:ascii="Times New Roman" w:hAnsi="Times New Roman" w:cs="Times New Roman"/>
          <w:szCs w:val="20"/>
        </w:rPr>
        <w:t xml:space="preserve">(not accounting for death due to competing risk) was </w:t>
      </w:r>
      <w:r w:rsidR="006A7183" w:rsidRPr="00580AD7">
        <w:rPr>
          <w:rFonts w:ascii="Times New Roman" w:hAnsi="Times New Roman" w:cs="Times New Roman"/>
          <w:szCs w:val="20"/>
        </w:rPr>
        <w:t>14.1</w:t>
      </w:r>
      <w:r w:rsidR="00864183" w:rsidRPr="00580AD7">
        <w:rPr>
          <w:rFonts w:ascii="Times New Roman" w:hAnsi="Times New Roman" w:cs="Times New Roman"/>
          <w:szCs w:val="20"/>
        </w:rPr>
        <w:t>%</w:t>
      </w:r>
      <w:r w:rsidR="00B20FDB" w:rsidRPr="00580AD7">
        <w:rPr>
          <w:rFonts w:ascii="Times New Roman" w:hAnsi="Times New Roman" w:cs="Times New Roman"/>
          <w:szCs w:val="20"/>
        </w:rPr>
        <w:t xml:space="preserve"> a</w:t>
      </w:r>
      <w:r w:rsidRPr="00580AD7">
        <w:rPr>
          <w:rFonts w:ascii="Times New Roman" w:hAnsi="Times New Roman" w:cs="Times New Roman"/>
          <w:szCs w:val="20"/>
        </w:rPr>
        <w:t xml:space="preserve">fter 1 year of </w:t>
      </w:r>
      <w:r w:rsidR="00BE73AE" w:rsidRPr="00580AD7">
        <w:rPr>
          <w:rFonts w:ascii="Times New Roman" w:hAnsi="Times New Roman" w:cs="Times New Roman"/>
          <w:szCs w:val="20"/>
        </w:rPr>
        <w:t>surveillance</w:t>
      </w:r>
      <w:r w:rsidRPr="00580AD7">
        <w:rPr>
          <w:rFonts w:ascii="Times New Roman" w:hAnsi="Times New Roman" w:cs="Times New Roman"/>
          <w:szCs w:val="20"/>
        </w:rPr>
        <w:t xml:space="preserve">, and </w:t>
      </w:r>
      <w:r w:rsidR="006A7183" w:rsidRPr="00580AD7">
        <w:rPr>
          <w:rFonts w:ascii="Times New Roman" w:hAnsi="Times New Roman" w:cs="Times New Roman"/>
          <w:szCs w:val="20"/>
        </w:rPr>
        <w:t>61.2</w:t>
      </w:r>
      <w:r w:rsidR="00B20FDB" w:rsidRPr="00580AD7">
        <w:rPr>
          <w:rFonts w:ascii="Times New Roman" w:hAnsi="Times New Roman" w:cs="Times New Roman"/>
          <w:szCs w:val="20"/>
        </w:rPr>
        <w:t>%</w:t>
      </w:r>
      <w:r w:rsidR="00864183" w:rsidRPr="00580AD7">
        <w:rPr>
          <w:rFonts w:ascii="Times New Roman" w:hAnsi="Times New Roman" w:cs="Times New Roman"/>
          <w:szCs w:val="20"/>
        </w:rPr>
        <w:t xml:space="preserve"> after </w:t>
      </w:r>
      <w:r w:rsidR="00313ADA" w:rsidRPr="00580AD7">
        <w:rPr>
          <w:rFonts w:ascii="Times New Roman" w:hAnsi="Times New Roman" w:cs="Times New Roman"/>
          <w:szCs w:val="20"/>
        </w:rPr>
        <w:t>5</w:t>
      </w:r>
      <w:r w:rsidR="00864183" w:rsidRPr="00580AD7">
        <w:rPr>
          <w:rFonts w:ascii="Times New Roman" w:hAnsi="Times New Roman" w:cs="Times New Roman"/>
          <w:szCs w:val="20"/>
        </w:rPr>
        <w:t xml:space="preserve"> years. The risk of treatment was </w:t>
      </w:r>
      <w:r w:rsidR="00D27FA6" w:rsidRPr="00580AD7">
        <w:rPr>
          <w:rFonts w:ascii="Times New Roman" w:hAnsi="Times New Roman" w:cs="Times New Roman"/>
          <w:szCs w:val="20"/>
        </w:rPr>
        <w:t>16.1</w:t>
      </w:r>
      <w:r w:rsidR="00606973" w:rsidRPr="00580AD7">
        <w:rPr>
          <w:rFonts w:ascii="Times New Roman" w:hAnsi="Times New Roman" w:cs="Times New Roman"/>
          <w:szCs w:val="20"/>
        </w:rPr>
        <w:t xml:space="preserve"> events</w:t>
      </w:r>
      <w:r w:rsidR="00F5599C" w:rsidRPr="00580AD7">
        <w:rPr>
          <w:rFonts w:ascii="Times New Roman" w:hAnsi="Times New Roman" w:cs="Times New Roman"/>
          <w:szCs w:val="20"/>
        </w:rPr>
        <w:t xml:space="preserve"> </w:t>
      </w:r>
      <w:r w:rsidR="00864183" w:rsidRPr="00580AD7">
        <w:rPr>
          <w:rFonts w:ascii="Times New Roman" w:hAnsi="Times New Roman" w:cs="Times New Roman"/>
          <w:szCs w:val="20"/>
        </w:rPr>
        <w:t>per 100 person years among high-risk patients.</w:t>
      </w:r>
      <w:r w:rsidR="00606DC8">
        <w:rPr>
          <w:rFonts w:ascii="Times New Roman" w:hAnsi="Times New Roman" w:cs="Times New Roman"/>
          <w:color w:val="FF0000"/>
          <w:szCs w:val="20"/>
        </w:rPr>
        <w:t xml:space="preserve"> </w:t>
      </w:r>
      <w:r w:rsidR="00535F58" w:rsidRPr="00EC2BA8">
        <w:rPr>
          <w:rFonts w:ascii="Times New Roman" w:hAnsi="Times New Roman" w:cs="Times New Roman"/>
          <w:color w:val="FF0000"/>
          <w:szCs w:val="20"/>
        </w:rPr>
        <w:t xml:space="preserve">IPS-E </w:t>
      </w:r>
      <w:r w:rsidR="00C66CD0">
        <w:rPr>
          <w:rFonts w:ascii="Times New Roman" w:hAnsi="Times New Roman" w:cs="Times New Roman"/>
          <w:color w:val="FF0000"/>
          <w:szCs w:val="20"/>
        </w:rPr>
        <w:t>stratified three risk groups</w:t>
      </w:r>
      <w:r w:rsidR="00535F58" w:rsidRPr="00EC2BA8">
        <w:rPr>
          <w:rFonts w:ascii="Times New Roman" w:hAnsi="Times New Roman" w:cs="Times New Roman"/>
          <w:color w:val="FF0000"/>
          <w:szCs w:val="20"/>
        </w:rPr>
        <w:t xml:space="preserve"> over sequential time </w:t>
      </w:r>
      <w:r w:rsidR="00535F58" w:rsidRPr="009D0D61">
        <w:rPr>
          <w:rFonts w:ascii="Times New Roman" w:hAnsi="Times New Roman" w:cs="Times New Roman"/>
          <w:color w:val="FF0000"/>
          <w:szCs w:val="20"/>
        </w:rPr>
        <w:t>periods, which is consistent with the lack of updates of treatment initiation criteria in the guidelines</w:t>
      </w:r>
      <w:r w:rsidR="008B7CBA">
        <w:rPr>
          <w:rFonts w:ascii="Times New Roman" w:hAnsi="Times New Roman" w:cs="Times New Roman"/>
          <w:color w:val="FF0000"/>
          <w:szCs w:val="20"/>
          <w:vertAlign w:val="superscript"/>
        </w:rPr>
        <w:t>3</w:t>
      </w:r>
      <w:proofErr w:type="gramStart"/>
      <w:r w:rsidR="008B7CBA">
        <w:rPr>
          <w:rFonts w:ascii="Times New Roman" w:hAnsi="Times New Roman" w:cs="Times New Roman"/>
          <w:color w:val="FF0000"/>
          <w:szCs w:val="20"/>
          <w:vertAlign w:val="superscript"/>
        </w:rPr>
        <w:t>,4,6</w:t>
      </w:r>
      <w:proofErr w:type="gramEnd"/>
      <w:r w:rsidR="00535F58" w:rsidRPr="009D0D61">
        <w:rPr>
          <w:rFonts w:ascii="Times New Roman" w:hAnsi="Times New Roman" w:cs="Times New Roman"/>
          <w:color w:val="FF0000"/>
          <w:szCs w:val="20"/>
        </w:rPr>
        <w:t xml:space="preserve"> and the steadiness of the threshold for commencement of therapy adopted over time by the physicians</w:t>
      </w:r>
      <w:r w:rsidR="003C3969" w:rsidRPr="009D0D61">
        <w:rPr>
          <w:rFonts w:ascii="Times New Roman" w:hAnsi="Times New Roman" w:cs="Times New Roman"/>
          <w:color w:val="FF0000"/>
          <w:szCs w:val="20"/>
        </w:rPr>
        <w:t xml:space="preserve"> (Figure</w:t>
      </w:r>
      <w:r w:rsidR="00EC2BA8" w:rsidRPr="009D0D61">
        <w:rPr>
          <w:rFonts w:ascii="Times New Roman" w:hAnsi="Times New Roman" w:cs="Times New Roman"/>
          <w:color w:val="FF0000"/>
          <w:szCs w:val="20"/>
        </w:rPr>
        <w:t xml:space="preserve"> </w:t>
      </w:r>
      <w:r w:rsidR="004D2205" w:rsidRPr="009D0D61">
        <w:rPr>
          <w:rFonts w:ascii="Times New Roman" w:hAnsi="Times New Roman" w:cs="Times New Roman"/>
          <w:color w:val="FF0000"/>
        </w:rPr>
        <w:t>S</w:t>
      </w:r>
      <w:r w:rsidR="0010191E" w:rsidRPr="009D0D61">
        <w:rPr>
          <w:rFonts w:ascii="Times New Roman" w:hAnsi="Times New Roman" w:cs="Times New Roman"/>
          <w:color w:val="FF0000"/>
        </w:rPr>
        <w:t>7</w:t>
      </w:r>
      <w:r w:rsidR="00EC2BA8" w:rsidRPr="009D0D61">
        <w:rPr>
          <w:rFonts w:ascii="Times New Roman" w:hAnsi="Times New Roman" w:cs="Times New Roman"/>
          <w:color w:val="FF0000"/>
        </w:rPr>
        <w:t xml:space="preserve"> in the Supplementary Appendix)</w:t>
      </w:r>
      <w:r w:rsidR="004D2205" w:rsidRPr="009D0D61">
        <w:rPr>
          <w:rFonts w:ascii="Times New Roman" w:hAnsi="Times New Roman" w:cs="Times New Roman"/>
          <w:color w:val="FF0000"/>
          <w:szCs w:val="20"/>
        </w:rPr>
        <w:t>.</w:t>
      </w:r>
    </w:p>
    <w:p w14:paraId="6CE826C9" w14:textId="484F1415" w:rsidR="000E7417" w:rsidRDefault="006A1A74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9D0D61">
        <w:rPr>
          <w:rFonts w:ascii="Times New Roman" w:hAnsi="Times New Roman" w:cs="Times New Roman"/>
          <w:noProof/>
          <w:color w:val="000000"/>
        </w:rPr>
        <w:t>T</w:t>
      </w:r>
      <w:r w:rsidR="003C4B4B" w:rsidRPr="009D0D61">
        <w:rPr>
          <w:rFonts w:ascii="Times New Roman" w:hAnsi="Times New Roman" w:cs="Times New Roman"/>
          <w:noProof/>
          <w:color w:val="000000"/>
        </w:rPr>
        <w:t xml:space="preserve">wo different clinical staging systems are used to </w:t>
      </w:r>
      <w:r w:rsidR="00C154FE" w:rsidRPr="009D0D61">
        <w:rPr>
          <w:rFonts w:ascii="Times New Roman" w:hAnsi="Times New Roman" w:cs="Times New Roman"/>
          <w:noProof/>
          <w:color w:val="000000"/>
        </w:rPr>
        <w:t xml:space="preserve">stratify </w:t>
      </w:r>
      <w:r w:rsidR="003C4B4B" w:rsidRPr="009D0D61">
        <w:rPr>
          <w:rFonts w:ascii="Times New Roman" w:hAnsi="Times New Roman" w:cs="Times New Roman"/>
          <w:noProof/>
          <w:color w:val="000000"/>
        </w:rPr>
        <w:t xml:space="preserve">CLL patients, namely the Binet staging, mostly used in European countries, and the Rai staging, </w:t>
      </w:r>
      <w:r w:rsidRPr="009D0D61">
        <w:rPr>
          <w:rFonts w:ascii="Times New Roman" w:hAnsi="Times New Roman" w:cs="Times New Roman"/>
          <w:noProof/>
          <w:color w:val="000000"/>
        </w:rPr>
        <w:t>mostly</w:t>
      </w:r>
      <w:r w:rsidR="003C4B4B" w:rsidRPr="009D0D61">
        <w:rPr>
          <w:rFonts w:ascii="Times New Roman" w:hAnsi="Times New Roman" w:cs="Times New Roman"/>
          <w:noProof/>
          <w:color w:val="000000"/>
        </w:rPr>
        <w:t xml:space="preserve"> </w:t>
      </w:r>
      <w:r w:rsidRPr="009D0D61">
        <w:rPr>
          <w:rFonts w:ascii="Times New Roman" w:hAnsi="Times New Roman" w:cs="Times New Roman"/>
          <w:noProof/>
          <w:color w:val="000000"/>
        </w:rPr>
        <w:t>used</w:t>
      </w:r>
      <w:r w:rsidR="003C4B4B" w:rsidRPr="009D0D61">
        <w:rPr>
          <w:rFonts w:ascii="Times New Roman" w:hAnsi="Times New Roman" w:cs="Times New Roman"/>
          <w:noProof/>
          <w:color w:val="000000"/>
        </w:rPr>
        <w:t xml:space="preserve"> in the US</w:t>
      </w:r>
      <w:r w:rsidRPr="009D0D61">
        <w:rPr>
          <w:rFonts w:ascii="Times New Roman" w:hAnsi="Times New Roman" w:cs="Times New Roman"/>
          <w:noProof/>
          <w:color w:val="000000"/>
        </w:rPr>
        <w:t>.</w:t>
      </w:r>
      <w:r>
        <w:rPr>
          <w:rFonts w:ascii="Times New Roman" w:hAnsi="Times New Roman" w:cs="Times New Roman"/>
          <w:noProof/>
          <w:color w:val="000000"/>
        </w:rPr>
        <w:t xml:space="preserve"> We</w:t>
      </w:r>
      <w:r w:rsidR="003D6371">
        <w:rPr>
          <w:rFonts w:ascii="Times New Roman" w:hAnsi="Times New Roman" w:cs="Times New Roman"/>
          <w:noProof/>
          <w:color w:val="000000"/>
        </w:rPr>
        <w:t xml:space="preserve"> aimed at validating t</w:t>
      </w:r>
      <w:r w:rsidR="00DC12B4">
        <w:rPr>
          <w:rFonts w:ascii="Times New Roman" w:hAnsi="Times New Roman" w:cs="Times New Roman"/>
          <w:szCs w:val="20"/>
        </w:rPr>
        <w:t xml:space="preserve">he </w:t>
      </w:r>
      <w:r w:rsidR="00031E1E">
        <w:rPr>
          <w:rFonts w:ascii="Times New Roman" w:hAnsi="Times New Roman" w:cs="Times New Roman"/>
          <w:szCs w:val="20"/>
        </w:rPr>
        <w:t>IPS-E</w:t>
      </w:r>
      <w:r w:rsidR="00DC12B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also </w:t>
      </w:r>
      <w:r w:rsidR="00DC12B4">
        <w:rPr>
          <w:rFonts w:ascii="Times New Roman" w:hAnsi="Times New Roman" w:cs="Times New Roman"/>
          <w:szCs w:val="20"/>
        </w:rPr>
        <w:t>in patients with early stage CLL</w:t>
      </w:r>
      <w:r>
        <w:rPr>
          <w:rFonts w:ascii="Times New Roman" w:hAnsi="Times New Roman" w:cs="Times New Roman"/>
          <w:szCs w:val="20"/>
        </w:rPr>
        <w:t xml:space="preserve"> defined according to the Rai system (stage 0, I and II) and managed with active surveillance </w:t>
      </w:r>
      <w:r w:rsidR="00DC12B4">
        <w:rPr>
          <w:rFonts w:ascii="Times New Roman" w:hAnsi="Times New Roman" w:cs="Times New Roman"/>
          <w:szCs w:val="20"/>
        </w:rPr>
        <w:t>(Mayo Clinic cohort, N=881)</w:t>
      </w:r>
      <w:r w:rsidR="003D6371">
        <w:rPr>
          <w:rFonts w:ascii="Times New Roman" w:hAnsi="Times New Roman" w:cs="Times New Roman"/>
          <w:szCs w:val="20"/>
        </w:rPr>
        <w:t xml:space="preserve">. </w:t>
      </w:r>
      <w:r w:rsidR="00DC12B4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>three</w:t>
      </w:r>
      <w:r w:rsidR="00DC12B4">
        <w:rPr>
          <w:rFonts w:ascii="Times New Roman" w:hAnsi="Times New Roman" w:cs="Times New Roman"/>
          <w:szCs w:val="20"/>
        </w:rPr>
        <w:t xml:space="preserve"> </w:t>
      </w:r>
      <w:r w:rsidR="00031E1E">
        <w:rPr>
          <w:rFonts w:ascii="Times New Roman" w:hAnsi="Times New Roman" w:cs="Times New Roman"/>
          <w:szCs w:val="20"/>
        </w:rPr>
        <w:t>IPS-E</w:t>
      </w:r>
      <w:r>
        <w:rPr>
          <w:rFonts w:ascii="Times New Roman" w:hAnsi="Times New Roman" w:cs="Times New Roman"/>
          <w:szCs w:val="20"/>
        </w:rPr>
        <w:t xml:space="preserve"> </w:t>
      </w:r>
      <w:r w:rsidR="00DC12B4">
        <w:rPr>
          <w:rFonts w:ascii="Times New Roman" w:hAnsi="Times New Roman" w:cs="Times New Roman"/>
          <w:szCs w:val="20"/>
        </w:rPr>
        <w:t>risk groups were well segregated</w:t>
      </w:r>
      <w:r w:rsidR="001E012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both</w:t>
      </w:r>
      <w:r w:rsidR="00B3157F">
        <w:rPr>
          <w:rFonts w:ascii="Times New Roman" w:hAnsi="Times New Roman" w:cs="Times New Roman"/>
          <w:szCs w:val="20"/>
        </w:rPr>
        <w:t xml:space="preserve"> in the primary analysis (Fig</w:t>
      </w:r>
      <w:r w:rsidR="006B75FE">
        <w:rPr>
          <w:rFonts w:ascii="Times New Roman" w:hAnsi="Times New Roman" w:cs="Times New Roman"/>
          <w:szCs w:val="20"/>
        </w:rPr>
        <w:t>ure</w:t>
      </w:r>
      <w:r w:rsidR="00B3157F">
        <w:rPr>
          <w:rFonts w:ascii="Times New Roman" w:hAnsi="Times New Roman" w:cs="Times New Roman"/>
          <w:szCs w:val="20"/>
        </w:rPr>
        <w:t xml:space="preserve"> 2</w:t>
      </w:r>
      <w:r w:rsidR="00C56302">
        <w:rPr>
          <w:rFonts w:ascii="Times New Roman" w:hAnsi="Times New Roman" w:cs="Times New Roman"/>
          <w:szCs w:val="20"/>
        </w:rPr>
        <w:t>C</w:t>
      </w:r>
      <w:r>
        <w:rPr>
          <w:rFonts w:ascii="Times New Roman" w:hAnsi="Times New Roman" w:cs="Times New Roman"/>
          <w:szCs w:val="20"/>
        </w:rPr>
        <w:t>) and in the</w:t>
      </w:r>
      <w:r w:rsidRPr="00377375">
        <w:rPr>
          <w:rFonts w:ascii="Times New Roman" w:hAnsi="Times New Roman" w:cs="Times New Roman"/>
          <w:szCs w:val="20"/>
        </w:rPr>
        <w:t xml:space="preserve"> sensitivity analysis </w:t>
      </w:r>
      <w:r w:rsidRPr="00377375">
        <w:rPr>
          <w:rFonts w:ascii="Times New Roman" w:hAnsi="Times New Roman" w:cs="Times New Roman"/>
        </w:rPr>
        <w:t>accounting for death before treatment as competing risk (</w:t>
      </w:r>
      <w:r w:rsidRPr="00377375">
        <w:rPr>
          <w:rFonts w:ascii="Times New Roman" w:hAnsi="Times New Roman" w:cs="Times New Roman"/>
          <w:szCs w:val="20"/>
        </w:rPr>
        <w:t>Fig</w:t>
      </w:r>
      <w:r w:rsidR="006B75FE">
        <w:rPr>
          <w:rFonts w:ascii="Times New Roman" w:hAnsi="Times New Roman" w:cs="Times New Roman"/>
          <w:szCs w:val="20"/>
        </w:rPr>
        <w:t>ure</w:t>
      </w:r>
      <w:r w:rsidRPr="00377375">
        <w:rPr>
          <w:rFonts w:ascii="Times New Roman" w:hAnsi="Times New Roman" w:cs="Times New Roman"/>
          <w:szCs w:val="20"/>
        </w:rPr>
        <w:t xml:space="preserve"> </w:t>
      </w:r>
      <w:r w:rsidR="00B3157F">
        <w:rPr>
          <w:rFonts w:ascii="Times New Roman" w:hAnsi="Times New Roman" w:cs="Times New Roman"/>
          <w:szCs w:val="20"/>
        </w:rPr>
        <w:t>S3</w:t>
      </w:r>
      <w:r w:rsidR="00DC3913" w:rsidRPr="00CA6F67">
        <w:rPr>
          <w:rFonts w:ascii="Times New Roman" w:hAnsi="Times New Roman" w:cs="Times New Roman"/>
          <w:szCs w:val="20"/>
        </w:rPr>
        <w:t>K</w:t>
      </w:r>
      <w:r w:rsidRPr="00377375">
        <w:rPr>
          <w:rFonts w:ascii="Times New Roman" w:hAnsi="Times New Roman" w:cs="Times New Roman"/>
        </w:rPr>
        <w:t xml:space="preserve"> in the Supplementary Appendix)</w:t>
      </w:r>
      <w:r>
        <w:rPr>
          <w:rFonts w:ascii="Times New Roman" w:hAnsi="Times New Roman" w:cs="Times New Roman"/>
        </w:rPr>
        <w:t xml:space="preserve">, </w:t>
      </w:r>
      <w:r w:rsidRPr="006A1A74">
        <w:rPr>
          <w:rFonts w:ascii="Times New Roman" w:hAnsi="Times New Roman" w:cs="Times New Roman"/>
          <w:szCs w:val="20"/>
        </w:rPr>
        <w:t xml:space="preserve">thus confirming the generalizability of </w:t>
      </w:r>
      <w:r w:rsidR="00031E1E">
        <w:rPr>
          <w:rFonts w:ascii="Times New Roman" w:hAnsi="Times New Roman" w:cs="Times New Roman"/>
          <w:szCs w:val="20"/>
        </w:rPr>
        <w:t>IPS-E</w:t>
      </w:r>
      <w:r>
        <w:rPr>
          <w:rFonts w:ascii="Times New Roman" w:hAnsi="Times New Roman" w:cs="Times New Roman"/>
          <w:szCs w:val="20"/>
        </w:rPr>
        <w:t xml:space="preserve"> also in patients</w:t>
      </w:r>
      <w:r w:rsidR="001F6FC8">
        <w:rPr>
          <w:rFonts w:ascii="Times New Roman" w:hAnsi="Times New Roman" w:cs="Times New Roman"/>
          <w:szCs w:val="20"/>
        </w:rPr>
        <w:t xml:space="preserve"> with CLL </w:t>
      </w:r>
      <w:r>
        <w:rPr>
          <w:rFonts w:ascii="Times New Roman" w:hAnsi="Times New Roman" w:cs="Times New Roman"/>
          <w:szCs w:val="20"/>
        </w:rPr>
        <w:t xml:space="preserve">staged according to Rai system. </w:t>
      </w:r>
    </w:p>
    <w:p w14:paraId="2124DCAA" w14:textId="1585234E" w:rsidR="000E7417" w:rsidRDefault="000E7417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2FA82CA5" w14:textId="0F4CAF7C" w:rsidR="00C66CD0" w:rsidRDefault="00C66CD0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0BF4D695" w14:textId="7D92538E" w:rsidR="00C66CD0" w:rsidRDefault="00C66CD0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719C6498" w14:textId="77777777" w:rsidR="00C66CD0" w:rsidRDefault="00C66CD0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6157A44E" w14:textId="77777777" w:rsidR="009D0D61" w:rsidRDefault="009D0D61" w:rsidP="00480507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bookmarkEnd w:id="0"/>
    <w:p w14:paraId="0AE0FCB0" w14:textId="77777777" w:rsidR="00CF4C4B" w:rsidRPr="00377375" w:rsidRDefault="00433B0A" w:rsidP="00F27061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377375">
        <w:rPr>
          <w:rFonts w:ascii="Times New Roman" w:hAnsi="Times New Roman" w:cs="Times New Roman"/>
          <w:b/>
        </w:rPr>
        <w:lastRenderedPageBreak/>
        <w:t>Discussion</w:t>
      </w:r>
    </w:p>
    <w:p w14:paraId="744A9D16" w14:textId="77777777" w:rsidR="00B27406" w:rsidRPr="00377375" w:rsidRDefault="00B27406" w:rsidP="00F27061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14:paraId="6D795B30" w14:textId="17B4BA5A" w:rsidR="00BF15B1" w:rsidRDefault="007E3C1C" w:rsidP="00BF15B1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7E3C1C">
        <w:rPr>
          <w:rFonts w:ascii="Times New Roman" w:hAnsi="Times New Roman" w:cs="Times New Roman"/>
          <w:szCs w:val="20"/>
        </w:rPr>
        <w:t xml:space="preserve">The majority of patients with CLL </w:t>
      </w:r>
      <w:r>
        <w:rPr>
          <w:rFonts w:ascii="Times New Roman" w:hAnsi="Times New Roman" w:cs="Times New Roman"/>
          <w:szCs w:val="20"/>
        </w:rPr>
        <w:t>a</w:t>
      </w:r>
      <w:r w:rsidRPr="007E3C1C">
        <w:rPr>
          <w:rFonts w:ascii="Times New Roman" w:hAnsi="Times New Roman" w:cs="Times New Roman"/>
          <w:szCs w:val="20"/>
        </w:rPr>
        <w:t>re diagnosed in</w:t>
      </w:r>
      <w:r>
        <w:rPr>
          <w:rFonts w:ascii="Times New Roman" w:hAnsi="Times New Roman" w:cs="Times New Roman"/>
          <w:szCs w:val="20"/>
        </w:rPr>
        <w:t xml:space="preserve"> asymptomatic,</w:t>
      </w:r>
      <w:r w:rsidRPr="007E3C1C">
        <w:rPr>
          <w:rFonts w:ascii="Times New Roman" w:hAnsi="Times New Roman" w:cs="Times New Roman"/>
          <w:szCs w:val="20"/>
        </w:rPr>
        <w:t xml:space="preserve"> early phases of the disease</w:t>
      </w:r>
      <w:r>
        <w:rPr>
          <w:rFonts w:ascii="Times New Roman" w:hAnsi="Times New Roman" w:cs="Times New Roman"/>
          <w:szCs w:val="20"/>
        </w:rPr>
        <w:t xml:space="preserve"> and are followed with no therapy</w:t>
      </w:r>
      <w:r w:rsidR="00BF15B1">
        <w:rPr>
          <w:rFonts w:ascii="Times New Roman" w:hAnsi="Times New Roman" w:cs="Times New Roman"/>
          <w:szCs w:val="20"/>
        </w:rPr>
        <w:t>.</w:t>
      </w:r>
      <w:r w:rsidR="00393BF5">
        <w:rPr>
          <w:rFonts w:ascii="Times New Roman" w:hAnsi="Times New Roman" w:cs="Times New Roman"/>
          <w:szCs w:val="20"/>
          <w:vertAlign w:val="superscript"/>
        </w:rPr>
        <w:t>2</w:t>
      </w:r>
      <w:r w:rsidRPr="007E3C1C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E3C1C">
        <w:rPr>
          <w:rFonts w:ascii="Times New Roman" w:hAnsi="Times New Roman" w:cs="Times New Roman"/>
          <w:szCs w:val="20"/>
        </w:rPr>
        <w:t>The</w:t>
      </w:r>
      <w:proofErr w:type="gramEnd"/>
      <w:r w:rsidRPr="007E3C1C">
        <w:rPr>
          <w:rFonts w:ascii="Times New Roman" w:hAnsi="Times New Roman" w:cs="Times New Roman"/>
          <w:szCs w:val="20"/>
        </w:rPr>
        <w:t xml:space="preserve"> clinical evolution of these patients is heterogeneous</w:t>
      </w:r>
      <w:r>
        <w:rPr>
          <w:rFonts w:ascii="Times New Roman" w:hAnsi="Times New Roman" w:cs="Times New Roman"/>
          <w:szCs w:val="20"/>
        </w:rPr>
        <w:t xml:space="preserve"> and difficult to predict. W</w:t>
      </w:r>
      <w:r w:rsidRPr="007E3C1C">
        <w:rPr>
          <w:rFonts w:ascii="Times New Roman" w:hAnsi="Times New Roman" w:cs="Times New Roman"/>
          <w:szCs w:val="20"/>
        </w:rPr>
        <w:t>hile some</w:t>
      </w:r>
      <w:r>
        <w:rPr>
          <w:rFonts w:ascii="Times New Roman" w:hAnsi="Times New Roman" w:cs="Times New Roman"/>
          <w:szCs w:val="20"/>
        </w:rPr>
        <w:t xml:space="preserve"> patients</w:t>
      </w:r>
      <w:r w:rsidRPr="007E3C1C">
        <w:rPr>
          <w:rFonts w:ascii="Times New Roman" w:hAnsi="Times New Roman" w:cs="Times New Roman"/>
          <w:szCs w:val="20"/>
        </w:rPr>
        <w:t xml:space="preserve"> display a quiescent disease never requiring therapy, others present active disease </w:t>
      </w:r>
      <w:r>
        <w:rPr>
          <w:rFonts w:ascii="Times New Roman" w:hAnsi="Times New Roman" w:cs="Times New Roman"/>
          <w:szCs w:val="20"/>
        </w:rPr>
        <w:t>shortly after diagnosis and require</w:t>
      </w:r>
      <w:r w:rsidRPr="007E3C1C">
        <w:rPr>
          <w:rFonts w:ascii="Times New Roman" w:hAnsi="Times New Roman" w:cs="Times New Roman"/>
          <w:szCs w:val="20"/>
        </w:rPr>
        <w:t xml:space="preserve"> intervention. </w:t>
      </w:r>
      <w:r w:rsidR="00BF15B1" w:rsidRPr="003810F5">
        <w:rPr>
          <w:rFonts w:ascii="Times New Roman" w:hAnsi="Times New Roman" w:cs="Times New Roman"/>
          <w:szCs w:val="20"/>
        </w:rPr>
        <w:t>Despite the general improvement on the outcome of patients with CLL, the relative survival of early stage patients (i</w:t>
      </w:r>
      <w:r w:rsidR="00237000">
        <w:rPr>
          <w:rFonts w:ascii="Times New Roman" w:hAnsi="Times New Roman" w:cs="Times New Roman"/>
          <w:szCs w:val="20"/>
        </w:rPr>
        <w:t>.</w:t>
      </w:r>
      <w:r w:rsidR="00BF15B1" w:rsidRPr="003810F5">
        <w:rPr>
          <w:rFonts w:ascii="Times New Roman" w:hAnsi="Times New Roman" w:cs="Times New Roman"/>
          <w:szCs w:val="20"/>
        </w:rPr>
        <w:t>e</w:t>
      </w:r>
      <w:r w:rsidR="00237000">
        <w:rPr>
          <w:rFonts w:ascii="Times New Roman" w:hAnsi="Times New Roman" w:cs="Times New Roman"/>
          <w:szCs w:val="20"/>
        </w:rPr>
        <w:t>.</w:t>
      </w:r>
      <w:r w:rsidR="00BF15B1" w:rsidRPr="003810F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F15B1" w:rsidRPr="003810F5">
        <w:rPr>
          <w:rFonts w:ascii="Times New Roman" w:hAnsi="Times New Roman" w:cs="Times New Roman"/>
          <w:szCs w:val="20"/>
        </w:rPr>
        <w:t>Binet</w:t>
      </w:r>
      <w:proofErr w:type="spellEnd"/>
      <w:r w:rsidR="00BF15B1" w:rsidRPr="003810F5">
        <w:rPr>
          <w:rFonts w:ascii="Times New Roman" w:hAnsi="Times New Roman" w:cs="Times New Roman"/>
          <w:szCs w:val="20"/>
        </w:rPr>
        <w:t xml:space="preserve"> stage A) </w:t>
      </w:r>
      <w:r w:rsidR="00F6781B" w:rsidRPr="003810F5">
        <w:rPr>
          <w:rFonts w:ascii="Times New Roman" w:hAnsi="Times New Roman" w:cs="Times New Roman"/>
          <w:szCs w:val="20"/>
        </w:rPr>
        <w:t>ha</w:t>
      </w:r>
      <w:r w:rsidR="00BF15B1" w:rsidRPr="003810F5">
        <w:rPr>
          <w:rFonts w:ascii="Times New Roman" w:hAnsi="Times New Roman" w:cs="Times New Roman"/>
          <w:szCs w:val="20"/>
        </w:rPr>
        <w:t>s not significantly changed over the last decades.</w:t>
      </w:r>
      <w:r w:rsidR="00BF15B1" w:rsidRPr="003810F5">
        <w:rPr>
          <w:rFonts w:ascii="Times New Roman" w:hAnsi="Times New Roman" w:cs="Times New Roman"/>
          <w:szCs w:val="20"/>
          <w:vertAlign w:val="superscript"/>
        </w:rPr>
        <w:t>2</w:t>
      </w:r>
      <w:r w:rsidR="00BF15B1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E3C1C">
        <w:rPr>
          <w:rFonts w:ascii="Times New Roman" w:hAnsi="Times New Roman" w:cs="Times New Roman"/>
          <w:szCs w:val="20"/>
        </w:rPr>
        <w:t>The</w:t>
      </w:r>
      <w:proofErr w:type="gramEnd"/>
      <w:r w:rsidRPr="007E3C1C">
        <w:rPr>
          <w:rFonts w:ascii="Times New Roman" w:hAnsi="Times New Roman" w:cs="Times New Roman"/>
          <w:szCs w:val="20"/>
        </w:rPr>
        <w:t xml:space="preserve"> management of these patient</w:t>
      </w:r>
      <w:r w:rsidR="0094007C">
        <w:rPr>
          <w:rFonts w:ascii="Times New Roman" w:hAnsi="Times New Roman" w:cs="Times New Roman"/>
          <w:szCs w:val="20"/>
        </w:rPr>
        <w:t>s constitutes a major challenge, and</w:t>
      </w:r>
      <w:r w:rsidRPr="007E3C1C">
        <w:rPr>
          <w:rFonts w:ascii="Times New Roman" w:hAnsi="Times New Roman" w:cs="Times New Roman"/>
          <w:szCs w:val="20"/>
        </w:rPr>
        <w:t xml:space="preserve"> should be made based on the best possible evidence and a risk-tailored policy.</w:t>
      </w:r>
      <w:r w:rsidR="00A765A1">
        <w:rPr>
          <w:rFonts w:ascii="Times New Roman" w:hAnsi="Times New Roman" w:cs="Times New Roman"/>
          <w:szCs w:val="20"/>
        </w:rPr>
        <w:t xml:space="preserve"> </w:t>
      </w:r>
    </w:p>
    <w:p w14:paraId="63AC2690" w14:textId="7160455F" w:rsidR="00556B7E" w:rsidRDefault="00A765A1" w:rsidP="00423CB2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There are s</w:t>
      </w:r>
      <w:r w:rsidR="00110CA5">
        <w:rPr>
          <w:rFonts w:ascii="Times New Roman" w:hAnsi="Times New Roman" w:cs="Times New Roman"/>
          <w:szCs w:val="20"/>
        </w:rPr>
        <w:t xml:space="preserve">everal prognostic models </w:t>
      </w:r>
      <w:r>
        <w:rPr>
          <w:rFonts w:ascii="Times New Roman" w:hAnsi="Times New Roman" w:cs="Times New Roman"/>
          <w:szCs w:val="20"/>
        </w:rPr>
        <w:t xml:space="preserve">that can be </w:t>
      </w:r>
      <w:r w:rsidR="0094007C">
        <w:rPr>
          <w:rFonts w:ascii="Times New Roman" w:hAnsi="Times New Roman" w:cs="Times New Roman"/>
          <w:szCs w:val="20"/>
        </w:rPr>
        <w:t>used</w:t>
      </w:r>
      <w:r>
        <w:rPr>
          <w:rFonts w:ascii="Times New Roman" w:hAnsi="Times New Roman" w:cs="Times New Roman"/>
          <w:szCs w:val="20"/>
        </w:rPr>
        <w:t xml:space="preserve"> to separate patients with different outcome within the whole population of subjects with C</w:t>
      </w:r>
      <w:r w:rsidR="00FA2EAE">
        <w:rPr>
          <w:rFonts w:ascii="Times New Roman" w:hAnsi="Times New Roman" w:cs="Times New Roman"/>
          <w:szCs w:val="20"/>
        </w:rPr>
        <w:t>L</w:t>
      </w:r>
      <w:r>
        <w:rPr>
          <w:rFonts w:ascii="Times New Roman" w:hAnsi="Times New Roman" w:cs="Times New Roman"/>
          <w:szCs w:val="20"/>
        </w:rPr>
        <w:t>L</w:t>
      </w:r>
      <w:r w:rsidR="00FA2EAE">
        <w:rPr>
          <w:rFonts w:ascii="Times New Roman" w:hAnsi="Times New Roman" w:cs="Times New Roman"/>
          <w:szCs w:val="20"/>
        </w:rPr>
        <w:t>.</w:t>
      </w:r>
      <w:r w:rsidR="007748C9">
        <w:rPr>
          <w:rFonts w:ascii="Times New Roman" w:hAnsi="Times New Roman" w:cs="Times New Roman"/>
          <w:szCs w:val="20"/>
          <w:vertAlign w:val="superscript"/>
        </w:rPr>
        <w:t>20</w:t>
      </w:r>
      <w:proofErr w:type="gramStart"/>
      <w:r w:rsidR="00C167E7">
        <w:rPr>
          <w:rFonts w:ascii="Times New Roman" w:hAnsi="Times New Roman" w:cs="Times New Roman"/>
          <w:szCs w:val="20"/>
          <w:vertAlign w:val="superscript"/>
        </w:rPr>
        <w:t>,</w:t>
      </w:r>
      <w:r w:rsidR="007748C9">
        <w:rPr>
          <w:rFonts w:ascii="Times New Roman" w:hAnsi="Times New Roman" w:cs="Times New Roman"/>
          <w:szCs w:val="20"/>
          <w:vertAlign w:val="superscript"/>
        </w:rPr>
        <w:t>21</w:t>
      </w:r>
      <w:r w:rsidR="00C167E7">
        <w:rPr>
          <w:rFonts w:ascii="Times New Roman" w:hAnsi="Times New Roman" w:cs="Times New Roman"/>
          <w:szCs w:val="20"/>
          <w:vertAlign w:val="superscript"/>
        </w:rPr>
        <w:t>,3</w:t>
      </w:r>
      <w:r w:rsidR="007748C9">
        <w:rPr>
          <w:rFonts w:ascii="Times New Roman" w:hAnsi="Times New Roman" w:cs="Times New Roman"/>
          <w:szCs w:val="20"/>
          <w:vertAlign w:val="superscript"/>
        </w:rPr>
        <w:t>6</w:t>
      </w:r>
      <w:proofErr w:type="gramEnd"/>
      <w:r w:rsidR="007748C9">
        <w:rPr>
          <w:rFonts w:ascii="Times New Roman" w:hAnsi="Times New Roman" w:cs="Times New Roman"/>
          <w:szCs w:val="20"/>
          <w:vertAlign w:val="superscript"/>
        </w:rPr>
        <w:t>-41</w:t>
      </w:r>
      <w:r w:rsidR="00FA2EAE">
        <w:rPr>
          <w:rFonts w:ascii="Times New Roman" w:hAnsi="Times New Roman" w:cs="Times New Roman"/>
          <w:szCs w:val="20"/>
        </w:rPr>
        <w:t xml:space="preserve"> </w:t>
      </w:r>
      <w:r w:rsidR="00634738">
        <w:rPr>
          <w:rFonts w:ascii="Times New Roman" w:hAnsi="Times New Roman" w:cs="Times New Roman"/>
          <w:szCs w:val="20"/>
        </w:rPr>
        <w:t xml:space="preserve">However, </w:t>
      </w:r>
      <w:r w:rsidR="00FA2EAE">
        <w:rPr>
          <w:rFonts w:ascii="Times New Roman" w:hAnsi="Times New Roman" w:cs="Times New Roman"/>
          <w:szCs w:val="20"/>
        </w:rPr>
        <w:t xml:space="preserve">in </w:t>
      </w:r>
      <w:r w:rsidR="0049517F">
        <w:rPr>
          <w:rFonts w:ascii="Times New Roman" w:hAnsi="Times New Roman" w:cs="Times New Roman"/>
          <w:szCs w:val="20"/>
        </w:rPr>
        <w:t xml:space="preserve">most of </w:t>
      </w:r>
      <w:r w:rsidR="00FA2EAE">
        <w:rPr>
          <w:rFonts w:ascii="Times New Roman" w:hAnsi="Times New Roman" w:cs="Times New Roman"/>
          <w:szCs w:val="20"/>
        </w:rPr>
        <w:t xml:space="preserve">these models the outcome of patients with early stage CLL is either not analyzed </w:t>
      </w:r>
      <w:r w:rsidR="0049517F">
        <w:rPr>
          <w:rFonts w:ascii="Times New Roman" w:hAnsi="Times New Roman" w:cs="Times New Roman"/>
          <w:szCs w:val="20"/>
        </w:rPr>
        <w:t>n</w:t>
      </w:r>
      <w:r w:rsidR="00FA2EAE">
        <w:rPr>
          <w:rFonts w:ascii="Times New Roman" w:hAnsi="Times New Roman" w:cs="Times New Roman"/>
          <w:szCs w:val="20"/>
        </w:rPr>
        <w:t xml:space="preserve">or investigated </w:t>
      </w:r>
      <w:r>
        <w:rPr>
          <w:rFonts w:ascii="Times New Roman" w:hAnsi="Times New Roman" w:cs="Times New Roman"/>
          <w:szCs w:val="20"/>
        </w:rPr>
        <w:t>as a</w:t>
      </w:r>
      <w:r w:rsidR="00634738">
        <w:rPr>
          <w:rFonts w:ascii="Times New Roman" w:hAnsi="Times New Roman" w:cs="Times New Roman"/>
          <w:szCs w:val="20"/>
        </w:rPr>
        <w:t xml:space="preserve"> unique</w:t>
      </w:r>
      <w:r>
        <w:rPr>
          <w:rFonts w:ascii="Times New Roman" w:hAnsi="Times New Roman" w:cs="Times New Roman"/>
          <w:szCs w:val="20"/>
        </w:rPr>
        <w:t xml:space="preserve"> subgroup</w:t>
      </w:r>
      <w:r w:rsidR="001B2819">
        <w:rPr>
          <w:rFonts w:ascii="Times New Roman" w:hAnsi="Times New Roman" w:cs="Times New Roman"/>
          <w:szCs w:val="20"/>
        </w:rPr>
        <w:t>, and asymptomatic patients are not separately investigated</w:t>
      </w:r>
      <w:r>
        <w:rPr>
          <w:rFonts w:ascii="Times New Roman" w:hAnsi="Times New Roman" w:cs="Times New Roman"/>
          <w:szCs w:val="20"/>
        </w:rPr>
        <w:t xml:space="preserve">. </w:t>
      </w:r>
      <w:r w:rsidR="001B2819">
        <w:rPr>
          <w:rFonts w:ascii="Times New Roman" w:hAnsi="Times New Roman" w:cs="Times New Roman"/>
          <w:szCs w:val="20"/>
        </w:rPr>
        <w:t xml:space="preserve">Moreover, </w:t>
      </w:r>
      <w:r>
        <w:rPr>
          <w:rFonts w:ascii="Times New Roman" w:hAnsi="Times New Roman" w:cs="Times New Roman"/>
          <w:szCs w:val="20"/>
        </w:rPr>
        <w:t>in most of such models overall survival is the main endpoint</w:t>
      </w:r>
      <w:r w:rsidR="0029672C">
        <w:rPr>
          <w:rFonts w:ascii="Times New Roman" w:hAnsi="Times New Roman" w:cs="Times New Roman"/>
          <w:szCs w:val="20"/>
        </w:rPr>
        <w:t>.</w:t>
      </w:r>
      <w:r w:rsidR="007748C9">
        <w:rPr>
          <w:rFonts w:ascii="Times New Roman" w:hAnsi="Times New Roman" w:cs="Times New Roman"/>
          <w:szCs w:val="20"/>
          <w:vertAlign w:val="superscript"/>
        </w:rPr>
        <w:t>20</w:t>
      </w:r>
      <w:proofErr w:type="gramStart"/>
      <w:r w:rsidR="007748C9">
        <w:rPr>
          <w:rFonts w:ascii="Times New Roman" w:hAnsi="Times New Roman" w:cs="Times New Roman"/>
          <w:szCs w:val="20"/>
          <w:vertAlign w:val="superscript"/>
        </w:rPr>
        <w:t>,21</w:t>
      </w:r>
      <w:proofErr w:type="gramEnd"/>
      <w:r>
        <w:rPr>
          <w:rFonts w:ascii="Times New Roman" w:hAnsi="Times New Roman" w:cs="Times New Roman"/>
          <w:szCs w:val="20"/>
        </w:rPr>
        <w:t xml:space="preserve"> The uniqueness of CLL patients diagnosed </w:t>
      </w:r>
      <w:r w:rsidR="0094007C">
        <w:rPr>
          <w:rFonts w:ascii="Times New Roman" w:hAnsi="Times New Roman" w:cs="Times New Roman"/>
          <w:szCs w:val="20"/>
        </w:rPr>
        <w:t>with</w:t>
      </w:r>
      <w:r>
        <w:rPr>
          <w:rFonts w:ascii="Times New Roman" w:hAnsi="Times New Roman" w:cs="Times New Roman"/>
          <w:szCs w:val="20"/>
        </w:rPr>
        <w:t xml:space="preserve"> asymptomatic early disease and the challenges posed by their management make advisable</w:t>
      </w:r>
      <w:r w:rsidR="00556B7E">
        <w:rPr>
          <w:rFonts w:ascii="Times New Roman" w:hAnsi="Times New Roman" w:cs="Times New Roman"/>
          <w:szCs w:val="20"/>
        </w:rPr>
        <w:t xml:space="preserve"> a specific prognostic model with TTFT as a main endpoint.</w:t>
      </w:r>
      <w:r w:rsidR="00551511">
        <w:rPr>
          <w:rFonts w:ascii="Times New Roman" w:hAnsi="Times New Roman" w:cs="Times New Roman"/>
          <w:szCs w:val="20"/>
        </w:rPr>
        <w:t xml:space="preserve"> </w:t>
      </w:r>
    </w:p>
    <w:p w14:paraId="6F630860" w14:textId="09E026E8" w:rsidR="00551511" w:rsidRPr="00286905" w:rsidRDefault="00792343" w:rsidP="00286905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9D0D61">
        <w:rPr>
          <w:rFonts w:ascii="Times New Roman" w:hAnsi="Times New Roman" w:cs="Times New Roman"/>
          <w:color w:val="FF0000"/>
          <w:szCs w:val="20"/>
        </w:rPr>
        <w:t>An important general caveat is that outcome indicators derived from patients requiring therapy do not necessarily apply</w:t>
      </w:r>
      <w:r w:rsidR="004377CC">
        <w:rPr>
          <w:rFonts w:ascii="Times New Roman" w:hAnsi="Times New Roman" w:cs="Times New Roman"/>
          <w:color w:val="FF0000"/>
          <w:szCs w:val="20"/>
        </w:rPr>
        <w:t xml:space="preserve"> to</w:t>
      </w:r>
      <w:r w:rsidRPr="009D0D61">
        <w:rPr>
          <w:rFonts w:ascii="Times New Roman" w:hAnsi="Times New Roman" w:cs="Times New Roman"/>
          <w:color w:val="FF0000"/>
          <w:szCs w:val="20"/>
        </w:rPr>
        <w:t xml:space="preserve"> patients no</w:t>
      </w:r>
      <w:r w:rsidR="004377CC">
        <w:rPr>
          <w:rFonts w:ascii="Times New Roman" w:hAnsi="Times New Roman" w:cs="Times New Roman"/>
          <w:color w:val="FF0000"/>
          <w:szCs w:val="20"/>
        </w:rPr>
        <w:t>t</w:t>
      </w:r>
      <w:r w:rsidRPr="009D0D61">
        <w:rPr>
          <w:rFonts w:ascii="Times New Roman" w:hAnsi="Times New Roman" w:cs="Times New Roman"/>
          <w:color w:val="FF0000"/>
          <w:szCs w:val="20"/>
        </w:rPr>
        <w:t xml:space="preserve"> requiring intervention. </w:t>
      </w:r>
      <w:r w:rsidR="00CD5C1F">
        <w:rPr>
          <w:rFonts w:ascii="Times New Roman" w:hAnsi="Times New Roman" w:cs="Times New Roman"/>
          <w:color w:val="FF0000"/>
          <w:szCs w:val="20"/>
        </w:rPr>
        <w:t>Among</w:t>
      </w:r>
      <w:r w:rsidR="00CD5C1F" w:rsidRPr="0092239D">
        <w:rPr>
          <w:rFonts w:ascii="Times New Roman" w:hAnsi="Times New Roman" w:cs="Times New Roman"/>
          <w:color w:val="FF0000"/>
          <w:szCs w:val="20"/>
        </w:rPr>
        <w:t xml:space="preserve"> </w:t>
      </w:r>
      <w:r w:rsidR="0094007C">
        <w:rPr>
          <w:rFonts w:ascii="Times New Roman" w:hAnsi="Times New Roman" w:cs="Times New Roman"/>
          <w:color w:val="FF0000"/>
          <w:szCs w:val="20"/>
        </w:rPr>
        <w:t>CLL</w:t>
      </w:r>
      <w:r w:rsidR="0049517F">
        <w:rPr>
          <w:rFonts w:ascii="Times New Roman" w:hAnsi="Times New Roman" w:cs="Times New Roman"/>
          <w:color w:val="FF0000"/>
          <w:szCs w:val="20"/>
        </w:rPr>
        <w:t xml:space="preserve"> patients</w:t>
      </w:r>
      <w:r w:rsidR="00CD5C1F" w:rsidRPr="0092239D">
        <w:rPr>
          <w:rFonts w:ascii="Times New Roman" w:hAnsi="Times New Roman" w:cs="Times New Roman"/>
          <w:color w:val="FF0000"/>
          <w:szCs w:val="20"/>
        </w:rPr>
        <w:t xml:space="preserve"> managed with </w:t>
      </w:r>
      <w:r w:rsidR="00043AE8">
        <w:rPr>
          <w:rFonts w:ascii="Times New Roman" w:hAnsi="Times New Roman" w:cs="Times New Roman"/>
          <w:color w:val="FF0000"/>
          <w:szCs w:val="20"/>
        </w:rPr>
        <w:t>active surveillance</w:t>
      </w:r>
      <w:r w:rsidR="00CD5C1F">
        <w:rPr>
          <w:rFonts w:ascii="Times New Roman" w:hAnsi="Times New Roman" w:cs="Times New Roman"/>
          <w:color w:val="FF0000"/>
          <w:szCs w:val="20"/>
        </w:rPr>
        <w:t>,</w:t>
      </w:r>
      <w:r w:rsidR="0049517F">
        <w:rPr>
          <w:rFonts w:ascii="Times New Roman" w:hAnsi="Times New Roman" w:cs="Times New Roman"/>
          <w:color w:val="FF0000"/>
          <w:szCs w:val="20"/>
        </w:rPr>
        <w:t xml:space="preserve"> the</w:t>
      </w:r>
      <w:r w:rsidR="00CD5C1F" w:rsidRPr="0092239D">
        <w:rPr>
          <w:rFonts w:ascii="Times New Roman" w:hAnsi="Times New Roman" w:cs="Times New Roman"/>
          <w:color w:val="FF0000"/>
          <w:szCs w:val="20"/>
        </w:rPr>
        <w:t xml:space="preserve"> </w:t>
      </w:r>
      <w:r w:rsidR="00286905" w:rsidRPr="0092239D">
        <w:rPr>
          <w:rFonts w:ascii="Times New Roman" w:hAnsi="Times New Roman" w:cs="Times New Roman"/>
          <w:color w:val="FF0000"/>
          <w:szCs w:val="20"/>
        </w:rPr>
        <w:t xml:space="preserve">IGHV </w:t>
      </w:r>
      <w:proofErr w:type="spellStart"/>
      <w:r w:rsidR="00CD5C1F">
        <w:rPr>
          <w:rFonts w:ascii="Times New Roman" w:hAnsi="Times New Roman" w:cs="Times New Roman"/>
          <w:color w:val="FF0000"/>
          <w:szCs w:val="20"/>
        </w:rPr>
        <w:t>unmutated</w:t>
      </w:r>
      <w:proofErr w:type="spellEnd"/>
      <w:r w:rsidR="00286905" w:rsidRPr="0092239D">
        <w:rPr>
          <w:rFonts w:ascii="Times New Roman" w:hAnsi="Times New Roman" w:cs="Times New Roman"/>
          <w:color w:val="FF0000"/>
          <w:szCs w:val="20"/>
        </w:rPr>
        <w:t xml:space="preserve"> status is the </w:t>
      </w:r>
      <w:r w:rsidR="0049517F">
        <w:rPr>
          <w:rFonts w:ascii="Times New Roman" w:hAnsi="Times New Roman" w:cs="Times New Roman"/>
          <w:color w:val="FF0000"/>
          <w:szCs w:val="20"/>
        </w:rPr>
        <w:t xml:space="preserve">biomarker with </w:t>
      </w:r>
      <w:r w:rsidR="00E73381">
        <w:rPr>
          <w:rFonts w:ascii="Times New Roman" w:hAnsi="Times New Roman" w:cs="Times New Roman"/>
          <w:color w:val="FF0000"/>
          <w:szCs w:val="20"/>
        </w:rPr>
        <w:t xml:space="preserve">the strongest impact on </w:t>
      </w:r>
      <w:r w:rsidR="00286905" w:rsidRPr="0092239D">
        <w:rPr>
          <w:rFonts w:ascii="Times New Roman" w:hAnsi="Times New Roman" w:cs="Times New Roman"/>
          <w:color w:val="FF0000"/>
          <w:szCs w:val="20"/>
        </w:rPr>
        <w:t xml:space="preserve">TTFT prognostication. </w:t>
      </w:r>
      <w:r w:rsidR="00747450">
        <w:rPr>
          <w:rFonts w:ascii="Times New Roman" w:hAnsi="Times New Roman" w:cs="Times New Roman"/>
          <w:color w:val="FF0000"/>
          <w:szCs w:val="20"/>
        </w:rPr>
        <w:t xml:space="preserve">In contrast, </w:t>
      </w:r>
      <w:r w:rsidR="00286905" w:rsidRPr="0092239D">
        <w:rPr>
          <w:rFonts w:ascii="Times New Roman" w:hAnsi="Times New Roman" w:cs="Times New Roman"/>
          <w:color w:val="FF0000"/>
          <w:szCs w:val="20"/>
        </w:rPr>
        <w:t xml:space="preserve">other recurrent molecular </w:t>
      </w:r>
      <w:r w:rsidR="00286905" w:rsidRPr="0092239D">
        <w:rPr>
          <w:rFonts w:ascii="Times New Roman" w:hAnsi="Times New Roman" w:cs="Times New Roman"/>
          <w:color w:val="FF0000"/>
        </w:rPr>
        <w:t xml:space="preserve">features associated with inferior </w:t>
      </w:r>
      <w:r w:rsidR="0094007C">
        <w:rPr>
          <w:rFonts w:ascii="Times New Roman" w:hAnsi="Times New Roman" w:cs="Times New Roman"/>
          <w:color w:val="FF0000"/>
        </w:rPr>
        <w:t xml:space="preserve">overall </w:t>
      </w:r>
      <w:r w:rsidR="00286905" w:rsidRPr="0092239D">
        <w:rPr>
          <w:rFonts w:ascii="Times New Roman" w:hAnsi="Times New Roman" w:cs="Times New Roman"/>
          <w:color w:val="FF0000"/>
        </w:rPr>
        <w:t xml:space="preserve">survival such as </w:t>
      </w:r>
      <w:r w:rsidR="00286905" w:rsidRPr="00E73381">
        <w:rPr>
          <w:rFonts w:ascii="Times New Roman" w:hAnsi="Times New Roman" w:cs="Times New Roman"/>
          <w:i/>
          <w:color w:val="FF0000"/>
        </w:rPr>
        <w:t>TP53</w:t>
      </w:r>
      <w:r w:rsidR="00286905" w:rsidRPr="0092239D">
        <w:rPr>
          <w:rFonts w:ascii="Times New Roman" w:hAnsi="Times New Roman" w:cs="Times New Roman"/>
          <w:color w:val="FF0000"/>
        </w:rPr>
        <w:t xml:space="preserve"> abnormalities, </w:t>
      </w:r>
      <w:r w:rsidR="00286905" w:rsidRPr="00E73381">
        <w:rPr>
          <w:rFonts w:ascii="Times New Roman" w:hAnsi="Times New Roman" w:cs="Times New Roman"/>
          <w:i/>
          <w:color w:val="FF0000"/>
        </w:rPr>
        <w:t>ATM</w:t>
      </w:r>
      <w:r w:rsidR="00286905" w:rsidRPr="0092239D">
        <w:rPr>
          <w:rFonts w:ascii="Times New Roman" w:hAnsi="Times New Roman" w:cs="Times New Roman"/>
          <w:color w:val="FF0000"/>
        </w:rPr>
        <w:t xml:space="preserve"> abnormalities </w:t>
      </w:r>
      <w:r w:rsidR="00286905" w:rsidRPr="00CD5C1F">
        <w:rPr>
          <w:rFonts w:ascii="Times New Roman" w:hAnsi="Times New Roman" w:cs="Times New Roman"/>
          <w:color w:val="FF0000"/>
        </w:rPr>
        <w:t xml:space="preserve">and </w:t>
      </w:r>
      <w:r w:rsidR="00286905" w:rsidRPr="00CD5C1F">
        <w:rPr>
          <w:rFonts w:ascii="Times New Roman" w:hAnsi="Times New Roman" w:cs="Times New Roman"/>
          <w:i/>
          <w:color w:val="FF0000"/>
        </w:rPr>
        <w:t>NOTCH1</w:t>
      </w:r>
      <w:r w:rsidR="00286905" w:rsidRPr="00CD5C1F">
        <w:rPr>
          <w:rFonts w:ascii="Times New Roman" w:hAnsi="Times New Roman" w:cs="Times New Roman"/>
          <w:color w:val="FF0000"/>
        </w:rPr>
        <w:t xml:space="preserve"> mutations </w:t>
      </w:r>
      <w:r w:rsidR="0092239D" w:rsidRPr="00CD5C1F">
        <w:rPr>
          <w:rFonts w:ascii="Times New Roman" w:hAnsi="Times New Roman" w:cs="Times New Roman"/>
          <w:color w:val="FF0000"/>
        </w:rPr>
        <w:t>did not enter</w:t>
      </w:r>
      <w:r w:rsidR="00286905" w:rsidRPr="00CD5C1F">
        <w:rPr>
          <w:rFonts w:ascii="Times New Roman" w:hAnsi="Times New Roman" w:cs="Times New Roman"/>
          <w:color w:val="FF0000"/>
        </w:rPr>
        <w:t xml:space="preserve"> </w:t>
      </w:r>
      <w:r w:rsidR="00747450">
        <w:rPr>
          <w:rFonts w:ascii="Times New Roman" w:hAnsi="Times New Roman" w:cs="Times New Roman"/>
          <w:color w:val="FF0000"/>
        </w:rPr>
        <w:t xml:space="preserve">into the </w:t>
      </w:r>
      <w:r w:rsidR="00286905" w:rsidRPr="00CD5C1F">
        <w:rPr>
          <w:rFonts w:ascii="Times New Roman" w:hAnsi="Times New Roman" w:cs="Times New Roman"/>
          <w:color w:val="FF0000"/>
        </w:rPr>
        <w:t>IPS-E</w:t>
      </w:r>
      <w:r w:rsidR="00747450">
        <w:rPr>
          <w:rFonts w:ascii="Times New Roman" w:hAnsi="Times New Roman" w:cs="Times New Roman"/>
          <w:color w:val="FF0000"/>
        </w:rPr>
        <w:t xml:space="preserve"> model</w:t>
      </w:r>
      <w:r w:rsidR="00286905" w:rsidRPr="00CD5C1F">
        <w:rPr>
          <w:rFonts w:ascii="Times New Roman" w:hAnsi="Times New Roman" w:cs="Times New Roman"/>
          <w:color w:val="FF0000"/>
        </w:rPr>
        <w:t>.</w:t>
      </w:r>
      <w:r w:rsidR="00286905" w:rsidRPr="00CD5C1F">
        <w:rPr>
          <w:rFonts w:ascii="Times New Roman" w:hAnsi="Times New Roman" w:cs="Times New Roman"/>
          <w:i/>
          <w:color w:val="FF0000"/>
          <w:szCs w:val="20"/>
        </w:rPr>
        <w:t xml:space="preserve"> </w:t>
      </w:r>
      <w:r w:rsidR="00F810C6">
        <w:rPr>
          <w:rFonts w:ascii="Times New Roman" w:hAnsi="Times New Roman" w:cs="Times New Roman"/>
          <w:color w:val="FF0000"/>
          <w:szCs w:val="20"/>
        </w:rPr>
        <w:t>P</w:t>
      </w:r>
      <w:r w:rsidR="00E73381" w:rsidRPr="00CD5C1F">
        <w:rPr>
          <w:rFonts w:ascii="Times New Roman" w:hAnsi="Times New Roman" w:cs="Times New Roman"/>
          <w:color w:val="FF0000"/>
          <w:szCs w:val="20"/>
        </w:rPr>
        <w:t xml:space="preserve">atients harboring </w:t>
      </w:r>
      <w:r w:rsidR="00551511" w:rsidRPr="00CD5C1F">
        <w:rPr>
          <w:rFonts w:ascii="Times New Roman" w:hAnsi="Times New Roman" w:cs="Times New Roman"/>
          <w:i/>
          <w:color w:val="FF0000"/>
          <w:szCs w:val="20"/>
        </w:rPr>
        <w:t>TP53</w:t>
      </w:r>
      <w:r w:rsidR="00CD5C1F" w:rsidRPr="00CD5C1F">
        <w:rPr>
          <w:rFonts w:ascii="Times New Roman" w:hAnsi="Times New Roman" w:cs="Times New Roman"/>
          <w:color w:val="FF0000"/>
          <w:szCs w:val="20"/>
        </w:rPr>
        <w:t xml:space="preserve"> aberrations, but </w:t>
      </w:r>
      <w:r w:rsidR="0094007C">
        <w:rPr>
          <w:rFonts w:ascii="Times New Roman" w:hAnsi="Times New Roman" w:cs="Times New Roman"/>
          <w:color w:val="FF0000"/>
          <w:szCs w:val="20"/>
        </w:rPr>
        <w:t>mutated</w:t>
      </w:r>
      <w:r w:rsidR="00CD5C1F" w:rsidRPr="00CD5C1F">
        <w:rPr>
          <w:rFonts w:ascii="Times New Roman" w:hAnsi="Times New Roman" w:cs="Times New Roman"/>
          <w:color w:val="FF0000"/>
          <w:szCs w:val="20"/>
        </w:rPr>
        <w:t xml:space="preserve"> </w:t>
      </w:r>
      <w:r w:rsidR="00551511" w:rsidRPr="00CD5C1F">
        <w:rPr>
          <w:rFonts w:ascii="Times New Roman" w:hAnsi="Times New Roman" w:cs="Times New Roman"/>
          <w:color w:val="FF0000"/>
          <w:szCs w:val="20"/>
        </w:rPr>
        <w:t xml:space="preserve">IGHV </w:t>
      </w:r>
      <w:r w:rsidR="0094007C">
        <w:rPr>
          <w:rFonts w:ascii="Times New Roman" w:hAnsi="Times New Roman" w:cs="Times New Roman"/>
          <w:color w:val="FF0000"/>
          <w:szCs w:val="20"/>
        </w:rPr>
        <w:t>genes</w:t>
      </w:r>
      <w:r w:rsidR="00CD5C1F" w:rsidRPr="00CD5C1F">
        <w:rPr>
          <w:rFonts w:ascii="Times New Roman" w:hAnsi="Times New Roman" w:cs="Times New Roman"/>
          <w:color w:val="FF0000"/>
          <w:szCs w:val="20"/>
        </w:rPr>
        <w:t>,</w:t>
      </w:r>
      <w:r w:rsidR="00747450">
        <w:rPr>
          <w:rFonts w:ascii="Times New Roman" w:hAnsi="Times New Roman" w:cs="Times New Roman"/>
          <w:color w:val="FF0000"/>
          <w:szCs w:val="20"/>
        </w:rPr>
        <w:t xml:space="preserve"> may</w:t>
      </w:r>
      <w:r w:rsidR="00E73381" w:rsidRPr="00CD5C1F">
        <w:rPr>
          <w:rFonts w:ascii="Times New Roman" w:hAnsi="Times New Roman" w:cs="Times New Roman"/>
          <w:color w:val="FF0000"/>
          <w:szCs w:val="20"/>
        </w:rPr>
        <w:t xml:space="preserve"> </w:t>
      </w:r>
      <w:r w:rsidR="00551511" w:rsidRPr="00CD5C1F">
        <w:rPr>
          <w:rFonts w:ascii="Times New Roman" w:hAnsi="Times New Roman" w:cs="Times New Roman"/>
          <w:color w:val="FF0000"/>
          <w:szCs w:val="20"/>
        </w:rPr>
        <w:t xml:space="preserve">have a prolonged </w:t>
      </w:r>
      <w:r w:rsidR="00551511" w:rsidRPr="00551511">
        <w:rPr>
          <w:rFonts w:ascii="Times New Roman" w:hAnsi="Times New Roman" w:cs="Times New Roman"/>
          <w:color w:val="FF0000"/>
          <w:szCs w:val="20"/>
        </w:rPr>
        <w:t xml:space="preserve">TTFT and a relatively benign clinical course </w:t>
      </w:r>
      <w:r w:rsidR="00E73381">
        <w:rPr>
          <w:rFonts w:ascii="Times New Roman" w:hAnsi="Times New Roman" w:cs="Times New Roman"/>
          <w:color w:val="FF0000"/>
          <w:szCs w:val="20"/>
        </w:rPr>
        <w:t>under observation</w:t>
      </w:r>
      <w:r w:rsidR="00551511" w:rsidRPr="00286905">
        <w:rPr>
          <w:rFonts w:ascii="Times New Roman" w:hAnsi="Times New Roman" w:cs="Times New Roman"/>
          <w:color w:val="FF0000"/>
        </w:rPr>
        <w:t>.</w:t>
      </w:r>
      <w:r w:rsidR="00971215">
        <w:rPr>
          <w:rFonts w:ascii="Times New Roman" w:hAnsi="Times New Roman" w:cs="Times New Roman"/>
          <w:color w:val="FF0000"/>
          <w:vertAlign w:val="superscript"/>
        </w:rPr>
        <w:t>4</w:t>
      </w:r>
      <w:r w:rsidR="00AD1D46">
        <w:rPr>
          <w:rFonts w:ascii="Times New Roman" w:hAnsi="Times New Roman" w:cs="Times New Roman"/>
          <w:color w:val="FF0000"/>
          <w:vertAlign w:val="superscript"/>
        </w:rPr>
        <w:t>2-44</w:t>
      </w:r>
      <w:r w:rsidR="00286905" w:rsidRPr="00286905">
        <w:rPr>
          <w:rFonts w:ascii="Times New Roman" w:hAnsi="Times New Roman" w:cs="Times New Roman"/>
          <w:color w:val="FF0000"/>
        </w:rPr>
        <w:t xml:space="preserve"> </w:t>
      </w:r>
      <w:r w:rsidR="00286905" w:rsidRPr="00E367D6">
        <w:rPr>
          <w:rFonts w:ascii="Times New Roman" w:hAnsi="Times New Roman" w:cs="Times New Roman"/>
          <w:color w:val="FF0000"/>
        </w:rPr>
        <w:t xml:space="preserve">Patients having </w:t>
      </w:r>
      <w:r w:rsidR="00286905" w:rsidRPr="00E367D6">
        <w:rPr>
          <w:rFonts w:ascii="Times New Roman" w:hAnsi="Times New Roman" w:cs="Times New Roman"/>
          <w:i/>
          <w:color w:val="FF0000"/>
        </w:rPr>
        <w:t>ATM</w:t>
      </w:r>
      <w:r w:rsidR="00286905" w:rsidRPr="00E367D6">
        <w:rPr>
          <w:rFonts w:ascii="Times New Roman" w:hAnsi="Times New Roman" w:cs="Times New Roman"/>
          <w:color w:val="FF0000"/>
        </w:rPr>
        <w:t xml:space="preserve"> </w:t>
      </w:r>
      <w:r w:rsidR="00CD5C1F" w:rsidRPr="00E367D6">
        <w:rPr>
          <w:rFonts w:ascii="Times New Roman" w:hAnsi="Times New Roman" w:cs="Times New Roman"/>
          <w:color w:val="FF0000"/>
        </w:rPr>
        <w:t>abnormalities</w:t>
      </w:r>
      <w:r w:rsidR="00286905" w:rsidRPr="00E367D6">
        <w:rPr>
          <w:rFonts w:ascii="Times New Roman" w:hAnsi="Times New Roman" w:cs="Times New Roman"/>
          <w:color w:val="FF0000"/>
        </w:rPr>
        <w:t xml:space="preserve"> or </w:t>
      </w:r>
      <w:r w:rsidR="00286905" w:rsidRPr="00E367D6">
        <w:rPr>
          <w:rFonts w:ascii="Times New Roman" w:hAnsi="Times New Roman" w:cs="Times New Roman"/>
          <w:i/>
          <w:color w:val="FF0000"/>
        </w:rPr>
        <w:t>NOTCH1</w:t>
      </w:r>
      <w:r w:rsidR="00286905" w:rsidRPr="00E367D6">
        <w:rPr>
          <w:rFonts w:ascii="Times New Roman" w:hAnsi="Times New Roman" w:cs="Times New Roman"/>
          <w:color w:val="FF0000"/>
        </w:rPr>
        <w:t xml:space="preserve"> mutations are highly </w:t>
      </w:r>
      <w:r w:rsidR="00286905" w:rsidRPr="00E367D6">
        <w:rPr>
          <w:rFonts w:ascii="Times New Roman" w:hAnsi="Times New Roman" w:cs="Times New Roman"/>
          <w:color w:val="FF0000"/>
        </w:rPr>
        <w:lastRenderedPageBreak/>
        <w:t xml:space="preserve">enriched of </w:t>
      </w:r>
      <w:proofErr w:type="spellStart"/>
      <w:r w:rsidR="00286905" w:rsidRPr="00E367D6">
        <w:rPr>
          <w:rFonts w:ascii="Times New Roman" w:hAnsi="Times New Roman" w:cs="Times New Roman"/>
          <w:color w:val="FF0000"/>
        </w:rPr>
        <w:t>unmutated</w:t>
      </w:r>
      <w:proofErr w:type="spellEnd"/>
      <w:r w:rsidR="00286905" w:rsidRPr="00E367D6">
        <w:rPr>
          <w:rFonts w:ascii="Times New Roman" w:hAnsi="Times New Roman" w:cs="Times New Roman"/>
          <w:color w:val="FF0000"/>
        </w:rPr>
        <w:t xml:space="preserve"> IGHV genes.</w:t>
      </w:r>
      <w:r w:rsidR="00103F9F" w:rsidRPr="00103F9F">
        <w:rPr>
          <w:rFonts w:ascii="Times New Roman" w:hAnsi="Times New Roman" w:cs="Times New Roman"/>
          <w:color w:val="FF0000"/>
          <w:vertAlign w:val="superscript"/>
        </w:rPr>
        <w:t xml:space="preserve"> </w:t>
      </w:r>
      <w:r w:rsidR="00286905" w:rsidRPr="00E367D6">
        <w:rPr>
          <w:rFonts w:ascii="Times New Roman" w:hAnsi="Times New Roman" w:cs="Times New Roman"/>
          <w:color w:val="FF0000"/>
        </w:rPr>
        <w:t xml:space="preserve">However, a large proportion of IGHV </w:t>
      </w:r>
      <w:proofErr w:type="spellStart"/>
      <w:r w:rsidR="00286905" w:rsidRPr="00E367D6">
        <w:rPr>
          <w:rFonts w:ascii="Times New Roman" w:hAnsi="Times New Roman" w:cs="Times New Roman"/>
          <w:color w:val="FF0000"/>
        </w:rPr>
        <w:t>unmutated</w:t>
      </w:r>
      <w:proofErr w:type="spellEnd"/>
      <w:r w:rsidR="00286905" w:rsidRPr="00E367D6">
        <w:rPr>
          <w:rFonts w:ascii="Times New Roman" w:hAnsi="Times New Roman" w:cs="Times New Roman"/>
          <w:color w:val="FF0000"/>
        </w:rPr>
        <w:t xml:space="preserve"> patients does not harbor </w:t>
      </w:r>
      <w:r w:rsidR="00CD5C1F" w:rsidRPr="00E367D6">
        <w:rPr>
          <w:rFonts w:ascii="Times New Roman" w:hAnsi="Times New Roman" w:cs="Times New Roman"/>
          <w:color w:val="FF0000"/>
        </w:rPr>
        <w:t xml:space="preserve">neither </w:t>
      </w:r>
      <w:r w:rsidR="00CD5C1F" w:rsidRPr="00E367D6">
        <w:rPr>
          <w:rFonts w:ascii="Times New Roman" w:hAnsi="Times New Roman" w:cs="Times New Roman"/>
          <w:i/>
          <w:color w:val="FF0000"/>
        </w:rPr>
        <w:t>ATM</w:t>
      </w:r>
      <w:r w:rsidR="00CD5C1F" w:rsidRPr="00E367D6">
        <w:rPr>
          <w:rFonts w:ascii="Times New Roman" w:hAnsi="Times New Roman" w:cs="Times New Roman"/>
          <w:color w:val="FF0000"/>
        </w:rPr>
        <w:t xml:space="preserve"> abnormalities nor</w:t>
      </w:r>
      <w:r w:rsidR="00286905" w:rsidRPr="00E367D6">
        <w:rPr>
          <w:rFonts w:ascii="Times New Roman" w:hAnsi="Times New Roman" w:cs="Times New Roman"/>
          <w:color w:val="FF0000"/>
        </w:rPr>
        <w:t xml:space="preserve"> </w:t>
      </w:r>
      <w:r w:rsidR="00286905" w:rsidRPr="00E367D6">
        <w:rPr>
          <w:rFonts w:ascii="Times New Roman" w:hAnsi="Times New Roman" w:cs="Times New Roman"/>
          <w:i/>
          <w:color w:val="FF0000"/>
        </w:rPr>
        <w:t>NOTCH1</w:t>
      </w:r>
      <w:r w:rsidR="00286905" w:rsidRPr="00E367D6">
        <w:rPr>
          <w:rFonts w:ascii="Times New Roman" w:hAnsi="Times New Roman" w:cs="Times New Roman"/>
          <w:color w:val="FF0000"/>
        </w:rPr>
        <w:t xml:space="preserve"> mutation.</w:t>
      </w:r>
      <w:r w:rsidR="00937E86" w:rsidRPr="00E367D6">
        <w:rPr>
          <w:rFonts w:ascii="Times New Roman" w:hAnsi="Times New Roman" w:cs="Times New Roman"/>
          <w:color w:val="FF0000"/>
          <w:vertAlign w:val="superscript"/>
        </w:rPr>
        <w:t>4</w:t>
      </w:r>
      <w:r w:rsidR="00AD1D46">
        <w:rPr>
          <w:rFonts w:ascii="Times New Roman" w:hAnsi="Times New Roman" w:cs="Times New Roman"/>
          <w:color w:val="FF0000"/>
          <w:vertAlign w:val="superscript"/>
        </w:rPr>
        <w:t>5</w:t>
      </w:r>
      <w:r w:rsidR="002F185F">
        <w:rPr>
          <w:rFonts w:ascii="Times New Roman" w:hAnsi="Times New Roman" w:cs="Times New Roman"/>
          <w:color w:val="FF0000"/>
          <w:vertAlign w:val="superscript"/>
        </w:rPr>
        <w:t>-4</w:t>
      </w:r>
      <w:r w:rsidR="00AD1D46">
        <w:rPr>
          <w:rFonts w:ascii="Times New Roman" w:hAnsi="Times New Roman" w:cs="Times New Roman"/>
          <w:color w:val="FF0000"/>
          <w:vertAlign w:val="superscript"/>
        </w:rPr>
        <w:t>7</w:t>
      </w:r>
      <w:r w:rsidR="00286905" w:rsidRPr="00E367D6">
        <w:rPr>
          <w:rFonts w:ascii="Times New Roman" w:hAnsi="Times New Roman" w:cs="Times New Roman"/>
          <w:color w:val="FF0000"/>
        </w:rPr>
        <w:t xml:space="preserve"> </w:t>
      </w:r>
      <w:r w:rsidR="00286905" w:rsidRPr="001B2819">
        <w:rPr>
          <w:rFonts w:ascii="Times New Roman" w:hAnsi="Times New Roman" w:cs="Times New Roman"/>
          <w:color w:val="FF0000"/>
        </w:rPr>
        <w:t xml:space="preserve">Therefore, IGHV </w:t>
      </w:r>
      <w:proofErr w:type="spellStart"/>
      <w:r w:rsidR="00286905" w:rsidRPr="001B2819">
        <w:rPr>
          <w:rFonts w:ascii="Times New Roman" w:hAnsi="Times New Roman" w:cs="Times New Roman"/>
          <w:color w:val="FF0000"/>
        </w:rPr>
        <w:t>unmutated</w:t>
      </w:r>
      <w:proofErr w:type="spellEnd"/>
      <w:r w:rsidR="00286905" w:rsidRPr="001B2819">
        <w:rPr>
          <w:rFonts w:ascii="Times New Roman" w:hAnsi="Times New Roman" w:cs="Times New Roman"/>
          <w:color w:val="FF0000"/>
        </w:rPr>
        <w:t xml:space="preserve"> status </w:t>
      </w:r>
      <w:r w:rsidR="003571E9">
        <w:rPr>
          <w:rFonts w:ascii="Times New Roman" w:hAnsi="Times New Roman" w:cs="Times New Roman"/>
          <w:color w:val="FF0000"/>
        </w:rPr>
        <w:t xml:space="preserve">not only </w:t>
      </w:r>
      <w:r w:rsidR="00286905" w:rsidRPr="001B2819">
        <w:rPr>
          <w:rFonts w:ascii="Times New Roman" w:hAnsi="Times New Roman" w:cs="Times New Roman"/>
          <w:color w:val="FF0000"/>
        </w:rPr>
        <w:t xml:space="preserve">captures </w:t>
      </w:r>
      <w:r w:rsidR="00286905" w:rsidRPr="001B2819">
        <w:rPr>
          <w:rFonts w:ascii="Times New Roman" w:hAnsi="Times New Roman" w:cs="Times New Roman"/>
          <w:i/>
          <w:color w:val="FF0000"/>
        </w:rPr>
        <w:t>ATM</w:t>
      </w:r>
      <w:r w:rsidR="00286905" w:rsidRPr="003571E9">
        <w:rPr>
          <w:rFonts w:ascii="Times New Roman" w:hAnsi="Times New Roman" w:cs="Times New Roman"/>
          <w:color w:val="FF0000"/>
        </w:rPr>
        <w:t xml:space="preserve"> and </w:t>
      </w:r>
      <w:r w:rsidR="00286905" w:rsidRPr="003571E9">
        <w:rPr>
          <w:rFonts w:ascii="Times New Roman" w:hAnsi="Times New Roman" w:cs="Times New Roman"/>
          <w:i/>
          <w:color w:val="FF0000"/>
        </w:rPr>
        <w:t>NOTCH1</w:t>
      </w:r>
      <w:r w:rsidR="00286905" w:rsidRPr="003571E9">
        <w:rPr>
          <w:rFonts w:ascii="Times New Roman" w:hAnsi="Times New Roman" w:cs="Times New Roman"/>
          <w:color w:val="FF0000"/>
        </w:rPr>
        <w:t xml:space="preserve"> abnormalities </w:t>
      </w:r>
      <w:r w:rsidR="003571E9">
        <w:rPr>
          <w:rFonts w:ascii="Times New Roman" w:hAnsi="Times New Roman" w:cs="Times New Roman"/>
          <w:color w:val="FF0000"/>
        </w:rPr>
        <w:t xml:space="preserve">but </w:t>
      </w:r>
      <w:r w:rsidR="00286905" w:rsidRPr="003571E9">
        <w:rPr>
          <w:rFonts w:ascii="Times New Roman" w:hAnsi="Times New Roman" w:cs="Times New Roman"/>
          <w:color w:val="FF0000"/>
        </w:rPr>
        <w:t>expand</w:t>
      </w:r>
      <w:r w:rsidR="003571E9">
        <w:rPr>
          <w:rFonts w:ascii="Times New Roman" w:hAnsi="Times New Roman" w:cs="Times New Roman"/>
          <w:color w:val="FF0000"/>
        </w:rPr>
        <w:t>s</w:t>
      </w:r>
      <w:r w:rsidR="00286905" w:rsidRPr="003571E9">
        <w:rPr>
          <w:rFonts w:ascii="Times New Roman" w:hAnsi="Times New Roman" w:cs="Times New Roman"/>
          <w:color w:val="FF0000"/>
        </w:rPr>
        <w:t xml:space="preserve"> </w:t>
      </w:r>
      <w:r w:rsidR="003571E9">
        <w:rPr>
          <w:rFonts w:ascii="Times New Roman" w:hAnsi="Times New Roman" w:cs="Times New Roman"/>
          <w:color w:val="FF0000"/>
        </w:rPr>
        <w:t>its</w:t>
      </w:r>
      <w:r w:rsidR="00286905" w:rsidRPr="003571E9">
        <w:rPr>
          <w:rFonts w:ascii="Times New Roman" w:hAnsi="Times New Roman" w:cs="Times New Roman"/>
          <w:color w:val="FF0000"/>
        </w:rPr>
        <w:t xml:space="preserve"> prognostic information to cases lacking these </w:t>
      </w:r>
      <w:r w:rsidR="00E73381" w:rsidRPr="003571E9">
        <w:rPr>
          <w:rFonts w:ascii="Times New Roman" w:hAnsi="Times New Roman" w:cs="Times New Roman"/>
          <w:color w:val="FF0000"/>
        </w:rPr>
        <w:t>unfavorable genetic lesions.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2501495D" w14:textId="7426C466" w:rsidR="0024163E" w:rsidRPr="00884AD1" w:rsidRDefault="00B27406" w:rsidP="0024163E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Cs w:val="20"/>
        </w:rPr>
      </w:pPr>
      <w:r w:rsidRPr="00377375">
        <w:rPr>
          <w:rFonts w:ascii="Times New Roman" w:hAnsi="Times New Roman" w:cs="Times New Roman"/>
          <w:szCs w:val="20"/>
        </w:rPr>
        <w:t xml:space="preserve">The </w:t>
      </w:r>
      <w:r w:rsidR="00031E1E">
        <w:rPr>
          <w:rFonts w:ascii="Times New Roman" w:hAnsi="Times New Roman" w:cs="Times New Roman"/>
          <w:szCs w:val="20"/>
        </w:rPr>
        <w:t>IPS-E</w:t>
      </w:r>
      <w:r w:rsidRPr="00377375">
        <w:rPr>
          <w:rFonts w:ascii="Times New Roman" w:hAnsi="Times New Roman" w:cs="Times New Roman"/>
          <w:szCs w:val="20"/>
        </w:rPr>
        <w:t xml:space="preserve"> </w:t>
      </w:r>
      <w:r w:rsidR="00980DD3" w:rsidRPr="00377375">
        <w:rPr>
          <w:rFonts w:ascii="Times New Roman" w:hAnsi="Times New Roman" w:cs="Times New Roman"/>
          <w:szCs w:val="20"/>
        </w:rPr>
        <w:t>presented in</w:t>
      </w:r>
      <w:r w:rsidR="006F2A9E" w:rsidRPr="00377375">
        <w:rPr>
          <w:rFonts w:ascii="Times New Roman" w:hAnsi="Times New Roman" w:cs="Times New Roman"/>
          <w:szCs w:val="20"/>
        </w:rPr>
        <w:t xml:space="preserve"> this study is a robust prognostic tool based on r</w:t>
      </w:r>
      <w:r w:rsidRPr="00377375">
        <w:rPr>
          <w:rFonts w:ascii="Times New Roman" w:hAnsi="Times New Roman" w:cs="Times New Roman"/>
          <w:szCs w:val="20"/>
        </w:rPr>
        <w:t xml:space="preserve">outine clinical and </w:t>
      </w:r>
      <w:r w:rsidR="00E74E16" w:rsidRPr="00377375">
        <w:rPr>
          <w:rFonts w:ascii="Times New Roman" w:hAnsi="Times New Roman" w:cs="Times New Roman"/>
          <w:szCs w:val="20"/>
        </w:rPr>
        <w:t>l</w:t>
      </w:r>
      <w:r w:rsidR="00E74E8E" w:rsidRPr="00377375">
        <w:rPr>
          <w:rFonts w:ascii="Times New Roman" w:hAnsi="Times New Roman" w:cs="Times New Roman"/>
          <w:szCs w:val="20"/>
        </w:rPr>
        <w:t>aboratory</w:t>
      </w:r>
      <w:r w:rsidRPr="00377375">
        <w:rPr>
          <w:rFonts w:ascii="Times New Roman" w:hAnsi="Times New Roman" w:cs="Times New Roman"/>
          <w:szCs w:val="20"/>
        </w:rPr>
        <w:t xml:space="preserve"> variables </w:t>
      </w:r>
      <w:r w:rsidR="006F2A9E" w:rsidRPr="00377375">
        <w:rPr>
          <w:rFonts w:ascii="Times New Roman" w:hAnsi="Times New Roman" w:cs="Times New Roman"/>
          <w:szCs w:val="20"/>
        </w:rPr>
        <w:t xml:space="preserve">that informs </w:t>
      </w:r>
      <w:r w:rsidR="005E2911">
        <w:rPr>
          <w:rFonts w:ascii="Times New Roman" w:hAnsi="Times New Roman" w:cs="Times New Roman"/>
          <w:szCs w:val="20"/>
        </w:rPr>
        <w:t>at the time of diagnosis a</w:t>
      </w:r>
      <w:r w:rsidR="006F2A9E" w:rsidRPr="00377375">
        <w:rPr>
          <w:rFonts w:ascii="Times New Roman" w:hAnsi="Times New Roman" w:cs="Times New Roman"/>
          <w:szCs w:val="20"/>
        </w:rPr>
        <w:t>bout the</w:t>
      </w:r>
      <w:r w:rsidR="00A61CC7" w:rsidRPr="00377375">
        <w:rPr>
          <w:rFonts w:ascii="Times New Roman" w:hAnsi="Times New Roman" w:cs="Times New Roman"/>
          <w:szCs w:val="20"/>
        </w:rPr>
        <w:t xml:space="preserve"> probability </w:t>
      </w:r>
      <w:r w:rsidR="00532F0C" w:rsidRPr="00377375">
        <w:rPr>
          <w:rFonts w:ascii="Times New Roman" w:hAnsi="Times New Roman" w:cs="Times New Roman"/>
          <w:szCs w:val="20"/>
        </w:rPr>
        <w:t xml:space="preserve">that a </w:t>
      </w:r>
      <w:r w:rsidR="006B4E66" w:rsidRPr="00377375">
        <w:rPr>
          <w:rFonts w:ascii="Times New Roman" w:hAnsi="Times New Roman" w:cs="Times New Roman"/>
          <w:szCs w:val="20"/>
        </w:rPr>
        <w:t xml:space="preserve">given </w:t>
      </w:r>
      <w:r w:rsidR="007E3C1C">
        <w:rPr>
          <w:rFonts w:ascii="Times New Roman" w:hAnsi="Times New Roman" w:cs="Times New Roman"/>
          <w:szCs w:val="20"/>
        </w:rPr>
        <w:t xml:space="preserve">CLL </w:t>
      </w:r>
      <w:r w:rsidR="00E50259">
        <w:rPr>
          <w:rFonts w:ascii="Times New Roman" w:hAnsi="Times New Roman" w:cs="Times New Roman"/>
          <w:szCs w:val="20"/>
        </w:rPr>
        <w:t xml:space="preserve">patient in early </w:t>
      </w:r>
      <w:r w:rsidR="00160AFE">
        <w:rPr>
          <w:rFonts w:ascii="Times New Roman" w:hAnsi="Times New Roman" w:cs="Times New Roman"/>
          <w:szCs w:val="20"/>
        </w:rPr>
        <w:t>stage</w:t>
      </w:r>
      <w:r w:rsidR="00E50259">
        <w:rPr>
          <w:rFonts w:ascii="Times New Roman" w:hAnsi="Times New Roman" w:cs="Times New Roman"/>
          <w:szCs w:val="20"/>
        </w:rPr>
        <w:t xml:space="preserve"> disease</w:t>
      </w:r>
      <w:r w:rsidR="003B4052">
        <w:rPr>
          <w:rFonts w:ascii="Times New Roman" w:hAnsi="Times New Roman" w:cs="Times New Roman"/>
          <w:szCs w:val="20"/>
        </w:rPr>
        <w:t xml:space="preserve"> progress</w:t>
      </w:r>
      <w:r w:rsidR="00313B9F">
        <w:rPr>
          <w:rFonts w:ascii="Times New Roman" w:hAnsi="Times New Roman" w:cs="Times New Roman"/>
          <w:szCs w:val="20"/>
        </w:rPr>
        <w:t>es</w:t>
      </w:r>
      <w:r w:rsidR="00747450">
        <w:rPr>
          <w:rFonts w:ascii="Times New Roman" w:hAnsi="Times New Roman" w:cs="Times New Roman"/>
          <w:szCs w:val="20"/>
        </w:rPr>
        <w:t xml:space="preserve"> </w:t>
      </w:r>
      <w:r w:rsidR="005E2911">
        <w:rPr>
          <w:rFonts w:ascii="Times New Roman" w:hAnsi="Times New Roman" w:cs="Times New Roman"/>
          <w:szCs w:val="20"/>
        </w:rPr>
        <w:t xml:space="preserve">and </w:t>
      </w:r>
      <w:r w:rsidR="003B4052">
        <w:rPr>
          <w:rFonts w:ascii="Times New Roman" w:hAnsi="Times New Roman" w:cs="Times New Roman"/>
          <w:szCs w:val="20"/>
        </w:rPr>
        <w:t>need</w:t>
      </w:r>
      <w:r w:rsidR="00313B9F">
        <w:rPr>
          <w:rFonts w:ascii="Times New Roman" w:hAnsi="Times New Roman" w:cs="Times New Roman"/>
          <w:szCs w:val="20"/>
        </w:rPr>
        <w:t>s</w:t>
      </w:r>
      <w:r w:rsidR="003B4052">
        <w:rPr>
          <w:rFonts w:ascii="Times New Roman" w:hAnsi="Times New Roman" w:cs="Times New Roman"/>
          <w:szCs w:val="20"/>
        </w:rPr>
        <w:t xml:space="preserve"> treatment</w:t>
      </w:r>
      <w:r w:rsidR="00532F0C" w:rsidRPr="00377375">
        <w:rPr>
          <w:rFonts w:ascii="Times New Roman" w:hAnsi="Times New Roman" w:cs="Times New Roman"/>
          <w:szCs w:val="20"/>
        </w:rPr>
        <w:t>.</w:t>
      </w:r>
      <w:r w:rsidR="00E74E16" w:rsidRPr="00377375">
        <w:rPr>
          <w:rFonts w:ascii="Times New Roman" w:hAnsi="Times New Roman" w:cs="Times New Roman"/>
          <w:szCs w:val="20"/>
        </w:rPr>
        <w:t xml:space="preserve"> </w:t>
      </w:r>
      <w:r w:rsidR="007E3C1C">
        <w:rPr>
          <w:rFonts w:ascii="Times New Roman" w:hAnsi="Times New Roman" w:cs="Times New Roman"/>
          <w:szCs w:val="20"/>
        </w:rPr>
        <w:t>The c</w:t>
      </w:r>
      <w:r w:rsidR="005C68D9" w:rsidRPr="00377375">
        <w:rPr>
          <w:rFonts w:ascii="Times New Roman" w:hAnsi="Times New Roman" w:cs="Times New Roman"/>
          <w:szCs w:val="20"/>
        </w:rPr>
        <w:t xml:space="preserve">umulative risk </w:t>
      </w:r>
      <w:r w:rsidR="007E3C1C">
        <w:rPr>
          <w:rFonts w:ascii="Times New Roman" w:hAnsi="Times New Roman" w:cs="Times New Roman"/>
          <w:szCs w:val="20"/>
        </w:rPr>
        <w:t>for</w:t>
      </w:r>
      <w:r w:rsidR="005C68D9" w:rsidRPr="00377375">
        <w:rPr>
          <w:rFonts w:ascii="Times New Roman" w:hAnsi="Times New Roman" w:cs="Times New Roman"/>
          <w:szCs w:val="20"/>
        </w:rPr>
        <w:t xml:space="preserve"> </w:t>
      </w:r>
      <w:r w:rsidR="001516DA">
        <w:rPr>
          <w:rFonts w:ascii="Times New Roman" w:hAnsi="Times New Roman" w:cs="Times New Roman"/>
          <w:szCs w:val="20"/>
        </w:rPr>
        <w:t xml:space="preserve">need </w:t>
      </w:r>
      <w:r w:rsidR="007E3C1C">
        <w:rPr>
          <w:rFonts w:ascii="Times New Roman" w:hAnsi="Times New Roman" w:cs="Times New Roman"/>
          <w:szCs w:val="20"/>
        </w:rPr>
        <w:t xml:space="preserve">of </w:t>
      </w:r>
      <w:r w:rsidR="005C68D9" w:rsidRPr="00377375">
        <w:rPr>
          <w:rFonts w:ascii="Times New Roman" w:hAnsi="Times New Roman" w:cs="Times New Roman"/>
          <w:szCs w:val="20"/>
        </w:rPr>
        <w:t xml:space="preserve">treatment after </w:t>
      </w:r>
      <w:r w:rsidR="00335C1E">
        <w:rPr>
          <w:rFonts w:ascii="Times New Roman" w:hAnsi="Times New Roman" w:cs="Times New Roman"/>
          <w:szCs w:val="20"/>
        </w:rPr>
        <w:t>1</w:t>
      </w:r>
      <w:r w:rsidR="00335C1E" w:rsidRPr="00377375">
        <w:rPr>
          <w:rFonts w:ascii="Times New Roman" w:hAnsi="Times New Roman" w:cs="Times New Roman"/>
          <w:szCs w:val="20"/>
        </w:rPr>
        <w:t xml:space="preserve"> </w:t>
      </w:r>
      <w:r w:rsidR="005C68D9" w:rsidRPr="00377375">
        <w:rPr>
          <w:rFonts w:ascii="Times New Roman" w:hAnsi="Times New Roman" w:cs="Times New Roman"/>
          <w:szCs w:val="20"/>
        </w:rPr>
        <w:t xml:space="preserve">and </w:t>
      </w:r>
      <w:r w:rsidR="00335C1E">
        <w:rPr>
          <w:rFonts w:ascii="Times New Roman" w:hAnsi="Times New Roman" w:cs="Times New Roman"/>
          <w:szCs w:val="20"/>
        </w:rPr>
        <w:t>5</w:t>
      </w:r>
      <w:r w:rsidR="00335C1E" w:rsidRPr="00377375">
        <w:rPr>
          <w:rFonts w:ascii="Times New Roman" w:hAnsi="Times New Roman" w:cs="Times New Roman"/>
          <w:szCs w:val="20"/>
        </w:rPr>
        <w:t xml:space="preserve"> </w:t>
      </w:r>
      <w:r w:rsidR="005C68D9" w:rsidRPr="00377375">
        <w:rPr>
          <w:rFonts w:ascii="Times New Roman" w:hAnsi="Times New Roman" w:cs="Times New Roman"/>
          <w:szCs w:val="20"/>
        </w:rPr>
        <w:t xml:space="preserve">years of observation </w:t>
      </w:r>
      <w:r w:rsidR="00B84EE5">
        <w:rPr>
          <w:rFonts w:ascii="Times New Roman" w:hAnsi="Times New Roman" w:cs="Times New Roman"/>
          <w:szCs w:val="20"/>
        </w:rPr>
        <w:t>was</w:t>
      </w:r>
      <w:r w:rsidR="005C68D9" w:rsidRPr="00377375">
        <w:rPr>
          <w:rFonts w:ascii="Times New Roman" w:hAnsi="Times New Roman" w:cs="Times New Roman"/>
          <w:szCs w:val="20"/>
        </w:rPr>
        <w:t xml:space="preserve"> </w:t>
      </w:r>
      <w:r w:rsidR="00183E76" w:rsidRPr="00377375">
        <w:rPr>
          <w:rFonts w:ascii="Times New Roman" w:hAnsi="Times New Roman" w:cs="Times New Roman"/>
          <w:szCs w:val="20"/>
        </w:rPr>
        <w:t xml:space="preserve">14.1% and 61.2%, </w:t>
      </w:r>
      <w:r w:rsidR="005C68D9" w:rsidRPr="00377375">
        <w:rPr>
          <w:rFonts w:ascii="Times New Roman" w:hAnsi="Times New Roman" w:cs="Times New Roman"/>
          <w:szCs w:val="20"/>
        </w:rPr>
        <w:t xml:space="preserve">respectively, </w:t>
      </w:r>
      <w:r w:rsidR="00CA60B2">
        <w:rPr>
          <w:rFonts w:ascii="Times New Roman" w:hAnsi="Times New Roman" w:cs="Times New Roman"/>
          <w:szCs w:val="20"/>
        </w:rPr>
        <w:t>for</w:t>
      </w:r>
      <w:r w:rsidR="00CA60B2" w:rsidRPr="00377375">
        <w:rPr>
          <w:rFonts w:ascii="Times New Roman" w:hAnsi="Times New Roman" w:cs="Times New Roman"/>
          <w:szCs w:val="20"/>
        </w:rPr>
        <w:t xml:space="preserve"> </w:t>
      </w:r>
      <w:r w:rsidR="00031E1E">
        <w:rPr>
          <w:rFonts w:ascii="Times New Roman" w:hAnsi="Times New Roman" w:cs="Times New Roman"/>
          <w:szCs w:val="20"/>
        </w:rPr>
        <w:t>IPS-E</w:t>
      </w:r>
      <w:r w:rsidR="007E284A" w:rsidRPr="00377375">
        <w:rPr>
          <w:rFonts w:ascii="Times New Roman" w:hAnsi="Times New Roman" w:cs="Times New Roman"/>
          <w:szCs w:val="20"/>
        </w:rPr>
        <w:t xml:space="preserve"> high-risk patient, </w:t>
      </w:r>
      <w:r w:rsidR="006D3E9E">
        <w:rPr>
          <w:rFonts w:ascii="Times New Roman" w:hAnsi="Times New Roman" w:cs="Times New Roman"/>
          <w:szCs w:val="20"/>
        </w:rPr>
        <w:t xml:space="preserve">while it </w:t>
      </w:r>
      <w:r w:rsidR="00B84EE5">
        <w:rPr>
          <w:rFonts w:ascii="Times New Roman" w:hAnsi="Times New Roman" w:cs="Times New Roman"/>
          <w:szCs w:val="20"/>
        </w:rPr>
        <w:t>was</w:t>
      </w:r>
      <w:r w:rsidR="006D3E9E">
        <w:rPr>
          <w:rFonts w:ascii="Times New Roman" w:hAnsi="Times New Roman" w:cs="Times New Roman"/>
          <w:szCs w:val="20"/>
        </w:rPr>
        <w:t xml:space="preserve"> </w:t>
      </w:r>
      <w:r w:rsidR="00D27FA6" w:rsidRPr="00377375">
        <w:rPr>
          <w:rFonts w:ascii="Times New Roman" w:hAnsi="Times New Roman" w:cs="Times New Roman"/>
          <w:szCs w:val="20"/>
        </w:rPr>
        <w:t>2.1</w:t>
      </w:r>
      <w:r w:rsidR="007E284A" w:rsidRPr="00377375">
        <w:rPr>
          <w:rFonts w:ascii="Times New Roman" w:hAnsi="Times New Roman" w:cs="Times New Roman"/>
          <w:szCs w:val="20"/>
        </w:rPr>
        <w:t xml:space="preserve">% and </w:t>
      </w:r>
      <w:r w:rsidR="00D27FA6" w:rsidRPr="00377375">
        <w:rPr>
          <w:rFonts w:ascii="Times New Roman" w:hAnsi="Times New Roman" w:cs="Times New Roman"/>
          <w:szCs w:val="20"/>
        </w:rPr>
        <w:t>28.4</w:t>
      </w:r>
      <w:r w:rsidR="005C68D9" w:rsidRPr="00377375">
        <w:rPr>
          <w:rFonts w:ascii="Times New Roman" w:hAnsi="Times New Roman" w:cs="Times New Roman"/>
          <w:szCs w:val="20"/>
        </w:rPr>
        <w:t xml:space="preserve">%, </w:t>
      </w:r>
      <w:r w:rsidR="00CA60B2">
        <w:rPr>
          <w:rFonts w:ascii="Times New Roman" w:hAnsi="Times New Roman" w:cs="Times New Roman"/>
          <w:szCs w:val="20"/>
        </w:rPr>
        <w:t>for</w:t>
      </w:r>
      <w:r w:rsidR="00CA60B2" w:rsidRPr="00377375">
        <w:rPr>
          <w:rFonts w:ascii="Times New Roman" w:hAnsi="Times New Roman" w:cs="Times New Roman"/>
          <w:szCs w:val="20"/>
        </w:rPr>
        <w:t xml:space="preserve"> </w:t>
      </w:r>
      <w:r w:rsidR="005C68D9" w:rsidRPr="00377375">
        <w:rPr>
          <w:rFonts w:ascii="Times New Roman" w:hAnsi="Times New Roman" w:cs="Times New Roman"/>
          <w:szCs w:val="20"/>
        </w:rPr>
        <w:t xml:space="preserve">intermediate-risk patients, </w:t>
      </w:r>
      <w:r w:rsidR="006D3E9E">
        <w:rPr>
          <w:rFonts w:ascii="Times New Roman" w:hAnsi="Times New Roman" w:cs="Times New Roman"/>
          <w:szCs w:val="20"/>
        </w:rPr>
        <w:t xml:space="preserve">and </w:t>
      </w:r>
      <w:r w:rsidR="0075528C" w:rsidRPr="00377375">
        <w:rPr>
          <w:rFonts w:ascii="Times New Roman" w:hAnsi="Times New Roman" w:cs="Times New Roman"/>
          <w:szCs w:val="20"/>
        </w:rPr>
        <w:t xml:space="preserve">&lt;0.1% and 8.4%, </w:t>
      </w:r>
      <w:r w:rsidR="00CA60B2">
        <w:rPr>
          <w:rFonts w:ascii="Times New Roman" w:hAnsi="Times New Roman" w:cs="Times New Roman"/>
          <w:szCs w:val="20"/>
        </w:rPr>
        <w:t>for</w:t>
      </w:r>
      <w:r w:rsidR="00CA60B2" w:rsidRPr="00377375">
        <w:rPr>
          <w:rFonts w:ascii="Times New Roman" w:hAnsi="Times New Roman" w:cs="Times New Roman"/>
          <w:szCs w:val="20"/>
        </w:rPr>
        <w:t xml:space="preserve"> </w:t>
      </w:r>
      <w:r w:rsidR="005C68D9" w:rsidRPr="00377375">
        <w:rPr>
          <w:rFonts w:ascii="Times New Roman" w:hAnsi="Times New Roman" w:cs="Times New Roman"/>
          <w:szCs w:val="20"/>
        </w:rPr>
        <w:t xml:space="preserve">low-risk patients. </w:t>
      </w:r>
      <w:r w:rsidR="0024163E" w:rsidRPr="00884AD1">
        <w:rPr>
          <w:rFonts w:ascii="Times New Roman" w:hAnsi="Times New Roman" w:cs="Times New Roman"/>
          <w:color w:val="FF0000"/>
          <w:szCs w:val="20"/>
        </w:rPr>
        <w:t>Against this backdrop</w:t>
      </w:r>
      <w:r w:rsidR="00884AD1">
        <w:rPr>
          <w:rFonts w:ascii="Times New Roman" w:hAnsi="Times New Roman" w:cs="Times New Roman"/>
          <w:color w:val="FF0000"/>
          <w:szCs w:val="20"/>
        </w:rPr>
        <w:t>,</w:t>
      </w:r>
      <w:r w:rsidR="0024163E" w:rsidRPr="00884AD1">
        <w:rPr>
          <w:rFonts w:ascii="Times New Roman" w:hAnsi="Times New Roman" w:cs="Times New Roman"/>
          <w:color w:val="FF0000"/>
          <w:szCs w:val="20"/>
        </w:rPr>
        <w:t xml:space="preserve"> IPS-E high-risk patients should be followed more closely than low- and intermediate-risk patients due to the likelihood of requiring treatment sooner.</w:t>
      </w:r>
    </w:p>
    <w:p w14:paraId="458C4326" w14:textId="6099018C" w:rsidR="00412EA8" w:rsidRPr="00412EA8" w:rsidRDefault="00454838" w:rsidP="00412EA8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Cs w:val="20"/>
        </w:rPr>
      </w:pPr>
      <w:r>
        <w:rPr>
          <w:rFonts w:ascii="Times New Roman" w:hAnsi="Times New Roman" w:cs="Times New Roman"/>
          <w:szCs w:val="20"/>
        </w:rPr>
        <w:t xml:space="preserve">IPS-E calculation is simple, being the sum of three variables. Compared to other scores, IPS-E </w:t>
      </w:r>
      <w:r w:rsidR="00B02FFC">
        <w:rPr>
          <w:rFonts w:ascii="Times New Roman" w:hAnsi="Times New Roman" w:cs="Times New Roman"/>
          <w:szCs w:val="20"/>
        </w:rPr>
        <w:t xml:space="preserve">calculation needs the assessment of only one </w:t>
      </w:r>
      <w:r>
        <w:rPr>
          <w:rFonts w:ascii="Times New Roman" w:hAnsi="Times New Roman" w:cs="Times New Roman"/>
          <w:szCs w:val="20"/>
        </w:rPr>
        <w:t>molecular variable, namely the IGHV mutation status, who</w:t>
      </w:r>
      <w:r w:rsidR="0094007C">
        <w:rPr>
          <w:rFonts w:ascii="Times New Roman" w:hAnsi="Times New Roman" w:cs="Times New Roman"/>
          <w:szCs w:val="20"/>
        </w:rPr>
        <w:t>se testing is broadly available and</w:t>
      </w:r>
      <w:r>
        <w:rPr>
          <w:rFonts w:ascii="Times New Roman" w:hAnsi="Times New Roman" w:cs="Times New Roman"/>
          <w:szCs w:val="20"/>
        </w:rPr>
        <w:t xml:space="preserve"> standardized.</w:t>
      </w:r>
      <w:r w:rsidR="00AD1D46">
        <w:rPr>
          <w:rFonts w:ascii="Times New Roman" w:hAnsi="Times New Roman" w:cs="Times New Roman"/>
          <w:szCs w:val="20"/>
          <w:vertAlign w:val="superscript"/>
        </w:rPr>
        <w:t>48</w:t>
      </w:r>
      <w:r>
        <w:rPr>
          <w:rFonts w:ascii="Times New Roman" w:hAnsi="Times New Roman" w:cs="Times New Roman"/>
          <w:szCs w:val="20"/>
        </w:rPr>
        <w:t xml:space="preserve"> </w:t>
      </w:r>
      <w:r w:rsidR="0094007C" w:rsidRPr="0094007C">
        <w:rPr>
          <w:rFonts w:ascii="Times New Roman" w:hAnsi="Times New Roman" w:cs="Times New Roman"/>
          <w:color w:val="FF0000"/>
          <w:szCs w:val="20"/>
        </w:rPr>
        <w:t>IGHV status has been recogn</w:t>
      </w:r>
      <w:r w:rsidR="0094007C">
        <w:rPr>
          <w:rFonts w:ascii="Times New Roman" w:hAnsi="Times New Roman" w:cs="Times New Roman"/>
          <w:color w:val="FF0000"/>
          <w:szCs w:val="20"/>
        </w:rPr>
        <w:t xml:space="preserve">ized by the current guidelines </w:t>
      </w:r>
      <w:r w:rsidR="0094007C" w:rsidRPr="0094007C">
        <w:rPr>
          <w:rFonts w:ascii="Times New Roman" w:hAnsi="Times New Roman" w:cs="Times New Roman"/>
          <w:color w:val="FF0000"/>
          <w:szCs w:val="20"/>
        </w:rPr>
        <w:t>as a predictive bi</w:t>
      </w:r>
      <w:r w:rsidR="0094007C">
        <w:rPr>
          <w:rFonts w:ascii="Times New Roman" w:hAnsi="Times New Roman" w:cs="Times New Roman"/>
          <w:color w:val="FF0000"/>
          <w:szCs w:val="20"/>
        </w:rPr>
        <w:t>omarker for treatment tailoring.</w:t>
      </w:r>
      <w:r w:rsidR="00CE07AD">
        <w:rPr>
          <w:rFonts w:ascii="Times New Roman" w:hAnsi="Times New Roman" w:cs="Times New Roman"/>
          <w:color w:val="FF0000"/>
          <w:szCs w:val="20"/>
          <w:vertAlign w:val="superscript"/>
        </w:rPr>
        <w:t>5-</w:t>
      </w:r>
      <w:r w:rsidR="007E671E">
        <w:rPr>
          <w:rFonts w:ascii="Times New Roman" w:hAnsi="Times New Roman" w:cs="Times New Roman"/>
          <w:color w:val="FF0000"/>
          <w:szCs w:val="20"/>
          <w:vertAlign w:val="superscript"/>
        </w:rPr>
        <w:t>7</w:t>
      </w:r>
      <w:r w:rsidR="0094007C">
        <w:rPr>
          <w:rFonts w:ascii="Times New Roman" w:hAnsi="Times New Roman" w:cs="Times New Roman"/>
          <w:color w:val="FF0000"/>
          <w:szCs w:val="20"/>
        </w:rPr>
        <w:t xml:space="preserve"> </w:t>
      </w:r>
      <w:r w:rsidR="0094007C" w:rsidRPr="0094007C">
        <w:rPr>
          <w:rFonts w:ascii="Times New Roman" w:hAnsi="Times New Roman" w:cs="Times New Roman"/>
          <w:color w:val="FF0000"/>
          <w:szCs w:val="20"/>
        </w:rPr>
        <w:t xml:space="preserve">Our results further support the indication for testing IGHV </w:t>
      </w:r>
      <w:r w:rsidR="000E741F">
        <w:rPr>
          <w:rFonts w:ascii="Times New Roman" w:hAnsi="Times New Roman" w:cs="Times New Roman"/>
          <w:color w:val="FF0000"/>
          <w:szCs w:val="20"/>
        </w:rPr>
        <w:t>mutations</w:t>
      </w:r>
      <w:r w:rsidR="000E741F" w:rsidRPr="0094007C">
        <w:rPr>
          <w:rFonts w:ascii="Times New Roman" w:hAnsi="Times New Roman" w:cs="Times New Roman"/>
          <w:color w:val="FF0000"/>
          <w:szCs w:val="20"/>
        </w:rPr>
        <w:t xml:space="preserve"> </w:t>
      </w:r>
      <w:r w:rsidR="0094007C" w:rsidRPr="0094007C">
        <w:rPr>
          <w:rFonts w:ascii="Times New Roman" w:hAnsi="Times New Roman" w:cs="Times New Roman"/>
          <w:color w:val="FF0000"/>
          <w:szCs w:val="20"/>
        </w:rPr>
        <w:t>in CLL patients</w:t>
      </w:r>
      <w:r w:rsidR="0094007C">
        <w:rPr>
          <w:rFonts w:ascii="Times New Roman" w:hAnsi="Times New Roman" w:cs="Times New Roman"/>
          <w:color w:val="FF0000"/>
          <w:szCs w:val="20"/>
        </w:rPr>
        <w:t>.</w:t>
      </w:r>
      <w:r w:rsidR="0094007C" w:rsidRPr="0094007C">
        <w:rPr>
          <w:rFonts w:ascii="Times New Roman" w:hAnsi="Times New Roman" w:cs="Times New Roman"/>
          <w:color w:val="FF0000"/>
          <w:szCs w:val="20"/>
        </w:rPr>
        <w:t xml:space="preserve"> 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>IGHV</w:t>
      </w:r>
      <w:r w:rsidR="000E741F">
        <w:rPr>
          <w:rFonts w:ascii="Times New Roman" w:hAnsi="Times New Roman" w:cs="Times New Roman"/>
          <w:color w:val="FF0000"/>
          <w:szCs w:val="20"/>
        </w:rPr>
        <w:t xml:space="preserve"> 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status never changes during the course of disease and might as well be evaluated at </w:t>
      </w:r>
      <w:proofErr w:type="spellStart"/>
      <w:r w:rsidR="000E741F" w:rsidRPr="000E741F">
        <w:rPr>
          <w:rFonts w:ascii="Times New Roman" w:hAnsi="Times New Roman" w:cs="Times New Roman"/>
          <w:color w:val="FF0000"/>
          <w:szCs w:val="20"/>
        </w:rPr>
        <w:t>timepoint</w:t>
      </w:r>
      <w:proofErr w:type="spellEnd"/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of first diagnosis in order to give the patient and the treating</w:t>
      </w:r>
      <w:r w:rsidR="000E741F">
        <w:rPr>
          <w:rFonts w:ascii="Times New Roman" w:hAnsi="Times New Roman" w:cs="Times New Roman"/>
          <w:color w:val="FF0000"/>
          <w:szCs w:val="20"/>
        </w:rPr>
        <w:t xml:space="preserve"> physician an estimate on </w:t>
      </w:r>
      <w:r w:rsidR="00103F9F">
        <w:rPr>
          <w:rFonts w:ascii="Times New Roman" w:hAnsi="Times New Roman" w:cs="Times New Roman"/>
          <w:color w:val="FF0000"/>
          <w:szCs w:val="20"/>
        </w:rPr>
        <w:t>TTFT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. </w:t>
      </w:r>
      <w:r w:rsidR="00A409DE" w:rsidRPr="00A409DE">
        <w:rPr>
          <w:rFonts w:ascii="Times New Roman" w:hAnsi="Times New Roman" w:cs="Times New Roman"/>
          <w:color w:val="FF0000"/>
          <w:szCs w:val="20"/>
        </w:rPr>
        <w:t xml:space="preserve">The results of our study </w:t>
      </w:r>
      <w:r w:rsidR="0094007C">
        <w:rPr>
          <w:rFonts w:ascii="Times New Roman" w:hAnsi="Times New Roman" w:cs="Times New Roman"/>
          <w:color w:val="FF0000"/>
          <w:szCs w:val="20"/>
        </w:rPr>
        <w:t>also</w:t>
      </w:r>
      <w:r w:rsidR="002642A8">
        <w:rPr>
          <w:rFonts w:ascii="Times New Roman" w:hAnsi="Times New Roman" w:cs="Times New Roman"/>
          <w:color w:val="FF0000"/>
          <w:szCs w:val="20"/>
        </w:rPr>
        <w:t xml:space="preserve"> support </w:t>
      </w:r>
      <w:r w:rsidR="00A409DE" w:rsidRPr="00A409DE">
        <w:rPr>
          <w:rFonts w:ascii="Times New Roman" w:hAnsi="Times New Roman" w:cs="Times New Roman"/>
          <w:color w:val="FF0000"/>
          <w:szCs w:val="20"/>
        </w:rPr>
        <w:t xml:space="preserve">that, as recommended by guidelines, FISH analysis and molecular testing for </w:t>
      </w:r>
      <w:r w:rsidR="00A409DE" w:rsidRPr="0094007C">
        <w:rPr>
          <w:rFonts w:ascii="Times New Roman" w:hAnsi="Times New Roman" w:cs="Times New Roman"/>
          <w:i/>
          <w:color w:val="FF0000"/>
          <w:szCs w:val="20"/>
        </w:rPr>
        <w:t>TP53</w:t>
      </w:r>
      <w:r w:rsidR="00A409DE" w:rsidRPr="00A409DE">
        <w:rPr>
          <w:rFonts w:ascii="Times New Roman" w:hAnsi="Times New Roman" w:cs="Times New Roman"/>
          <w:color w:val="FF0000"/>
          <w:szCs w:val="20"/>
        </w:rPr>
        <w:t xml:space="preserve"> has no clinical utility when done at CLL presentation</w:t>
      </w:r>
      <w:r w:rsidR="00296970">
        <w:rPr>
          <w:rFonts w:ascii="Times New Roman" w:hAnsi="Times New Roman" w:cs="Times New Roman"/>
          <w:color w:val="FF0000"/>
          <w:szCs w:val="20"/>
        </w:rPr>
        <w:t xml:space="preserve"> in early stage asymptomatic patients</w:t>
      </w:r>
      <w:r w:rsidR="00A409DE" w:rsidRPr="00A409DE">
        <w:rPr>
          <w:rFonts w:ascii="Times New Roman" w:hAnsi="Times New Roman" w:cs="Times New Roman"/>
          <w:color w:val="FF0000"/>
          <w:szCs w:val="20"/>
        </w:rPr>
        <w:t xml:space="preserve">. </w:t>
      </w:r>
      <w:r w:rsidR="000E741F" w:rsidRPr="009D0D61">
        <w:rPr>
          <w:rFonts w:ascii="Times New Roman" w:hAnsi="Times New Roman" w:cs="Times New Roman"/>
          <w:i/>
          <w:color w:val="FF0000"/>
          <w:szCs w:val="20"/>
        </w:rPr>
        <w:t>TP53</w:t>
      </w:r>
      <w:r w:rsidR="000E741F">
        <w:rPr>
          <w:rFonts w:ascii="Times New Roman" w:hAnsi="Times New Roman" w:cs="Times New Roman"/>
          <w:color w:val="FF0000"/>
          <w:szCs w:val="20"/>
        </w:rPr>
        <w:t xml:space="preserve"> abnormalities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</w:t>
      </w:r>
      <w:r w:rsidR="000E741F">
        <w:rPr>
          <w:rFonts w:ascii="Times New Roman" w:hAnsi="Times New Roman" w:cs="Times New Roman"/>
          <w:color w:val="FF0000"/>
          <w:szCs w:val="20"/>
        </w:rPr>
        <w:t xml:space="preserve">have a predictive role </w:t>
      </w:r>
      <w:r w:rsidR="002F1CDF">
        <w:rPr>
          <w:rFonts w:ascii="Times New Roman" w:hAnsi="Times New Roman" w:cs="Times New Roman"/>
          <w:color w:val="FF0000"/>
          <w:szCs w:val="20"/>
        </w:rPr>
        <w:t>at time of therapy</w:t>
      </w:r>
      <w:r w:rsidR="000E741F">
        <w:rPr>
          <w:rFonts w:ascii="Times New Roman" w:hAnsi="Times New Roman" w:cs="Times New Roman"/>
          <w:color w:val="FF0000"/>
          <w:szCs w:val="20"/>
        </w:rPr>
        <w:t>,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but no prognostic role in an early stage setting when </w:t>
      </w:r>
      <w:r w:rsidR="002F1CDF">
        <w:rPr>
          <w:rFonts w:ascii="Times New Roman" w:hAnsi="Times New Roman" w:cs="Times New Roman"/>
          <w:color w:val="FF0000"/>
          <w:szCs w:val="20"/>
        </w:rPr>
        <w:t>determining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TTFT</w:t>
      </w:r>
      <w:r w:rsidR="002F1CDF">
        <w:rPr>
          <w:rFonts w:ascii="Times New Roman" w:hAnsi="Times New Roman" w:cs="Times New Roman"/>
          <w:color w:val="FF0000"/>
          <w:szCs w:val="20"/>
        </w:rPr>
        <w:t>. Also, they</w:t>
      </w:r>
      <w:r w:rsidR="002F1CDF" w:rsidRPr="000E741F">
        <w:rPr>
          <w:rFonts w:ascii="Times New Roman" w:hAnsi="Times New Roman" w:cs="Times New Roman"/>
          <w:color w:val="FF0000"/>
          <w:szCs w:val="20"/>
        </w:rPr>
        <w:t xml:space="preserve"> </w:t>
      </w:r>
      <w:r w:rsidR="002F1CDF">
        <w:rPr>
          <w:rFonts w:ascii="Times New Roman" w:hAnsi="Times New Roman" w:cs="Times New Roman"/>
          <w:color w:val="FF0000"/>
          <w:szCs w:val="20"/>
        </w:rPr>
        <w:t xml:space="preserve">can </w:t>
      </w:r>
      <w:r w:rsidR="002F1CDF" w:rsidRPr="000E741F">
        <w:rPr>
          <w:rFonts w:ascii="Times New Roman" w:hAnsi="Times New Roman" w:cs="Times New Roman"/>
          <w:color w:val="FF0000"/>
          <w:szCs w:val="20"/>
        </w:rPr>
        <w:t>change during the course of disease</w:t>
      </w:r>
      <w:r w:rsidR="002F1CDF">
        <w:rPr>
          <w:rFonts w:ascii="Times New Roman" w:hAnsi="Times New Roman" w:cs="Times New Roman"/>
          <w:color w:val="FF0000"/>
          <w:szCs w:val="20"/>
        </w:rPr>
        <w:t xml:space="preserve"> Therefore, </w:t>
      </w:r>
      <w:r w:rsidR="002F1CDF" w:rsidRPr="00103F9F">
        <w:rPr>
          <w:rFonts w:ascii="Times New Roman" w:hAnsi="Times New Roman" w:cs="Times New Roman"/>
          <w:i/>
          <w:color w:val="FF0000"/>
          <w:szCs w:val="20"/>
        </w:rPr>
        <w:t>TP53</w:t>
      </w:r>
      <w:r w:rsidR="002F1CDF">
        <w:rPr>
          <w:rFonts w:ascii="Times New Roman" w:hAnsi="Times New Roman" w:cs="Times New Roman"/>
          <w:color w:val="FF0000"/>
          <w:szCs w:val="20"/>
        </w:rPr>
        <w:t xml:space="preserve"> status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should not be evaluated in early stage asymptomatic patients lacking treatment indication (in line with the </w:t>
      </w:r>
      <w:proofErr w:type="spellStart"/>
      <w:r w:rsidR="000E741F" w:rsidRPr="000E741F">
        <w:rPr>
          <w:rFonts w:ascii="Times New Roman" w:hAnsi="Times New Roman" w:cs="Times New Roman"/>
          <w:color w:val="FF0000"/>
          <w:szCs w:val="20"/>
        </w:rPr>
        <w:t>iwCLL</w:t>
      </w:r>
      <w:proofErr w:type="spellEnd"/>
      <w:r w:rsidR="000E741F" w:rsidRPr="000E741F">
        <w:rPr>
          <w:rFonts w:ascii="Times New Roman" w:hAnsi="Times New Roman" w:cs="Times New Roman"/>
          <w:color w:val="FF0000"/>
          <w:szCs w:val="20"/>
        </w:rPr>
        <w:t xml:space="preserve"> criteria</w:t>
      </w:r>
      <w:r w:rsidR="002F1CDF">
        <w:rPr>
          <w:rFonts w:ascii="Times New Roman" w:hAnsi="Times New Roman" w:cs="Times New Roman"/>
          <w:color w:val="FF0000"/>
          <w:szCs w:val="20"/>
        </w:rPr>
        <w:t xml:space="preserve"> and CLL </w:t>
      </w:r>
      <w:r w:rsidR="002F1CDF">
        <w:rPr>
          <w:rFonts w:ascii="Times New Roman" w:hAnsi="Times New Roman" w:cs="Times New Roman"/>
          <w:color w:val="FF0000"/>
          <w:szCs w:val="20"/>
        </w:rPr>
        <w:lastRenderedPageBreak/>
        <w:t>guidelines</w:t>
      </w:r>
      <w:r w:rsidR="000E741F" w:rsidRPr="000E741F">
        <w:rPr>
          <w:rFonts w:ascii="Times New Roman" w:hAnsi="Times New Roman" w:cs="Times New Roman"/>
          <w:color w:val="FF0000"/>
          <w:szCs w:val="20"/>
        </w:rPr>
        <w:t>)</w:t>
      </w:r>
      <w:r w:rsidR="004377CC">
        <w:rPr>
          <w:rFonts w:ascii="Times New Roman" w:hAnsi="Times New Roman" w:cs="Times New Roman"/>
          <w:color w:val="FF0000"/>
          <w:szCs w:val="20"/>
        </w:rPr>
        <w:t>.</w:t>
      </w:r>
      <w:r w:rsidR="00FC2587">
        <w:rPr>
          <w:rFonts w:ascii="Times New Roman" w:hAnsi="Times New Roman" w:cs="Times New Roman"/>
          <w:color w:val="FF0000"/>
          <w:szCs w:val="20"/>
          <w:vertAlign w:val="superscript"/>
        </w:rPr>
        <w:t>3-</w:t>
      </w:r>
      <w:r w:rsidR="00A241CC">
        <w:rPr>
          <w:rFonts w:ascii="Times New Roman" w:hAnsi="Times New Roman" w:cs="Times New Roman"/>
          <w:color w:val="FF0000"/>
          <w:szCs w:val="20"/>
          <w:vertAlign w:val="superscript"/>
        </w:rPr>
        <w:t>7</w:t>
      </w:r>
      <w:r w:rsidR="00AA5887">
        <w:rPr>
          <w:rFonts w:ascii="Times New Roman" w:hAnsi="Times New Roman" w:cs="Times New Roman"/>
          <w:color w:val="FF0000"/>
          <w:szCs w:val="20"/>
        </w:rPr>
        <w:t xml:space="preserve"> </w:t>
      </w:r>
      <w:r w:rsidR="00103F9F">
        <w:rPr>
          <w:rFonts w:ascii="Times New Roman" w:hAnsi="Times New Roman" w:cs="Times New Roman"/>
          <w:color w:val="FF0000"/>
          <w:szCs w:val="20"/>
        </w:rPr>
        <w:t>CLL</w:t>
      </w:r>
      <w:r w:rsidR="00412EA8" w:rsidRPr="00412EA8">
        <w:rPr>
          <w:rFonts w:ascii="Times New Roman" w:hAnsi="Times New Roman" w:cs="Times New Roman"/>
          <w:color w:val="FF0000"/>
          <w:szCs w:val="20"/>
        </w:rPr>
        <w:t xml:space="preserve"> can exhibit diverse growth patterns, including a continued stable state, never requiring therapy after diagnosis.</w:t>
      </w:r>
      <w:r w:rsidR="00A241CC">
        <w:rPr>
          <w:rFonts w:ascii="Times New Roman" w:hAnsi="Times New Roman" w:cs="Times New Roman"/>
          <w:color w:val="FF0000"/>
          <w:szCs w:val="20"/>
          <w:vertAlign w:val="superscript"/>
        </w:rPr>
        <w:t>49,50</w:t>
      </w:r>
      <w:r w:rsidR="00412EA8" w:rsidRPr="00412EA8">
        <w:rPr>
          <w:rFonts w:ascii="Times New Roman" w:hAnsi="Times New Roman" w:cs="Times New Roman"/>
          <w:color w:val="FF0000"/>
          <w:szCs w:val="20"/>
        </w:rPr>
        <w:t xml:space="preserve"> </w:t>
      </w:r>
      <w:r w:rsidR="00B95A25">
        <w:rPr>
          <w:rFonts w:ascii="Times New Roman" w:hAnsi="Times New Roman" w:cs="Times New Roman"/>
          <w:color w:val="FF0000"/>
          <w:szCs w:val="20"/>
        </w:rPr>
        <w:t xml:space="preserve">However, </w:t>
      </w:r>
      <w:r w:rsidR="00412EA8" w:rsidRPr="00412EA8">
        <w:rPr>
          <w:rFonts w:ascii="Times New Roman" w:hAnsi="Times New Roman" w:cs="Times New Roman"/>
          <w:color w:val="FF0000"/>
          <w:szCs w:val="20"/>
        </w:rPr>
        <w:t>a short lymphocyte doubling time is rarely an indication to start therapy</w:t>
      </w:r>
      <w:r w:rsidR="00103F9F">
        <w:rPr>
          <w:rFonts w:ascii="Times New Roman" w:hAnsi="Times New Roman" w:cs="Times New Roman"/>
          <w:color w:val="FF0000"/>
          <w:szCs w:val="20"/>
        </w:rPr>
        <w:t xml:space="preserve"> by itself, as shown in previous reports</w:t>
      </w:r>
      <w:r w:rsidR="004E39F4">
        <w:rPr>
          <w:rFonts w:ascii="Times New Roman" w:hAnsi="Times New Roman" w:cs="Times New Roman"/>
          <w:color w:val="FF0000"/>
          <w:szCs w:val="20"/>
          <w:vertAlign w:val="superscript"/>
        </w:rPr>
        <w:t>51</w:t>
      </w:r>
      <w:r w:rsidR="00412EA8" w:rsidRPr="00412EA8">
        <w:rPr>
          <w:rFonts w:ascii="Times New Roman" w:hAnsi="Times New Roman" w:cs="Times New Roman"/>
          <w:color w:val="FF0000"/>
          <w:szCs w:val="20"/>
        </w:rPr>
        <w:t xml:space="preserve"> and in this study</w:t>
      </w:r>
      <w:r w:rsidR="00103F9F">
        <w:rPr>
          <w:rFonts w:ascii="Times New Roman" w:hAnsi="Times New Roman" w:cs="Times New Roman"/>
          <w:color w:val="FF0000"/>
          <w:szCs w:val="20"/>
        </w:rPr>
        <w:t>,</w:t>
      </w:r>
      <w:r w:rsidR="00412EA8" w:rsidRPr="00412EA8">
        <w:rPr>
          <w:rFonts w:ascii="Times New Roman" w:hAnsi="Times New Roman" w:cs="Times New Roman"/>
          <w:color w:val="FF0000"/>
          <w:szCs w:val="20"/>
        </w:rPr>
        <w:t xml:space="preserve"> and therefore was as not included as a variable for</w:t>
      </w:r>
      <w:r w:rsidR="00412EA8">
        <w:rPr>
          <w:rFonts w:ascii="Times New Roman" w:hAnsi="Times New Roman" w:cs="Times New Roman"/>
          <w:color w:val="FF0000"/>
          <w:szCs w:val="20"/>
        </w:rPr>
        <w:t xml:space="preserve"> developing </w:t>
      </w:r>
      <w:r w:rsidR="00103F9F">
        <w:rPr>
          <w:rFonts w:ascii="Times New Roman" w:hAnsi="Times New Roman" w:cs="Times New Roman"/>
          <w:color w:val="FF0000"/>
          <w:szCs w:val="20"/>
        </w:rPr>
        <w:t>IPS-E</w:t>
      </w:r>
      <w:r w:rsidR="00412EA8">
        <w:rPr>
          <w:rFonts w:ascii="Times New Roman" w:hAnsi="Times New Roman" w:cs="Times New Roman"/>
          <w:color w:val="FF0000"/>
          <w:szCs w:val="20"/>
        </w:rPr>
        <w:t xml:space="preserve">. </w:t>
      </w:r>
    </w:p>
    <w:p w14:paraId="4A734F8F" w14:textId="696CE55B" w:rsidR="00452D9E" w:rsidRPr="0024163E" w:rsidRDefault="008D645C" w:rsidP="00412EA8">
      <w:pPr>
        <w:spacing w:after="0" w:line="48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8D645C">
        <w:rPr>
          <w:rFonts w:ascii="Times New Roman" w:hAnsi="Times New Roman" w:cs="Times New Roman"/>
          <w:szCs w:val="20"/>
        </w:rPr>
        <w:t xml:space="preserve">The </w:t>
      </w:r>
      <w:r w:rsidR="00412EA8">
        <w:rPr>
          <w:rFonts w:ascii="Times New Roman" w:hAnsi="Times New Roman" w:cs="Times New Roman"/>
          <w:szCs w:val="20"/>
        </w:rPr>
        <w:t xml:space="preserve">simplicity </w:t>
      </w:r>
      <w:r w:rsidRPr="008D645C">
        <w:rPr>
          <w:rFonts w:ascii="Times New Roman" w:hAnsi="Times New Roman" w:cs="Times New Roman"/>
          <w:szCs w:val="20"/>
        </w:rPr>
        <w:t>of IPS-E</w:t>
      </w:r>
      <w:r w:rsidR="00454838">
        <w:rPr>
          <w:rFonts w:ascii="Times New Roman" w:hAnsi="Times New Roman" w:cs="Times New Roman"/>
          <w:szCs w:val="20"/>
        </w:rPr>
        <w:t xml:space="preserve"> </w:t>
      </w:r>
      <w:r w:rsidRPr="008D645C">
        <w:rPr>
          <w:rFonts w:ascii="Times New Roman" w:hAnsi="Times New Roman" w:cs="Times New Roman"/>
          <w:szCs w:val="20"/>
        </w:rPr>
        <w:t>should facilitate its translation to the clinic</w:t>
      </w:r>
      <w:r>
        <w:rPr>
          <w:rFonts w:ascii="Times New Roman" w:hAnsi="Times New Roman" w:cs="Times New Roman"/>
          <w:szCs w:val="20"/>
        </w:rPr>
        <w:t xml:space="preserve">. </w:t>
      </w:r>
      <w:r w:rsidR="00B84EE5" w:rsidRPr="000C6639">
        <w:rPr>
          <w:rFonts w:ascii="Times New Roman" w:hAnsi="Times New Roman" w:cs="Times New Roman"/>
          <w:lang w:eastAsia="zh-CN"/>
        </w:rPr>
        <w:t>The</w:t>
      </w:r>
      <w:r w:rsidR="00D91D09" w:rsidRPr="00E415B0">
        <w:rPr>
          <w:rFonts w:ascii="Times New Roman" w:hAnsi="Times New Roman" w:cs="Times New Roman"/>
        </w:rPr>
        <w:t xml:space="preserve"> </w:t>
      </w:r>
      <w:r w:rsidR="00031E1E" w:rsidRPr="00E415B0">
        <w:rPr>
          <w:rFonts w:ascii="Times New Roman" w:hAnsi="Times New Roman" w:cs="Times New Roman"/>
          <w:color w:val="000000"/>
        </w:rPr>
        <w:t>IPS-E</w:t>
      </w:r>
      <w:r w:rsidR="006546F7" w:rsidRPr="00FA2EAE">
        <w:rPr>
          <w:rFonts w:ascii="Times New Roman" w:hAnsi="Times New Roman" w:cs="Times New Roman"/>
          <w:color w:val="000000"/>
        </w:rPr>
        <w:t xml:space="preserve"> </w:t>
      </w:r>
      <w:r w:rsidR="00103F9F">
        <w:rPr>
          <w:rFonts w:ascii="Times New Roman" w:hAnsi="Times New Roman" w:cs="Times New Roman"/>
          <w:color w:val="000000"/>
        </w:rPr>
        <w:t>could</w:t>
      </w:r>
      <w:r w:rsidR="006546F7" w:rsidRPr="00FA2EAE">
        <w:rPr>
          <w:rFonts w:ascii="Times New Roman" w:hAnsi="Times New Roman" w:cs="Times New Roman"/>
          <w:color w:val="000000"/>
        </w:rPr>
        <w:t xml:space="preserve"> help physicians</w:t>
      </w:r>
      <w:r w:rsidR="00C154FE" w:rsidRPr="00FA2EAE">
        <w:rPr>
          <w:rFonts w:ascii="Times New Roman" w:hAnsi="Times New Roman" w:cs="Times New Roman"/>
          <w:color w:val="000000"/>
        </w:rPr>
        <w:t>, medical care providers</w:t>
      </w:r>
      <w:r w:rsidR="00961D76" w:rsidRPr="00FA2EAE">
        <w:rPr>
          <w:rFonts w:ascii="Times New Roman" w:hAnsi="Times New Roman" w:cs="Times New Roman"/>
          <w:color w:val="000000"/>
        </w:rPr>
        <w:t>,</w:t>
      </w:r>
      <w:r w:rsidR="00C154FE" w:rsidRPr="00FA2EAE">
        <w:rPr>
          <w:rFonts w:ascii="Times New Roman" w:hAnsi="Times New Roman" w:cs="Times New Roman"/>
          <w:color w:val="000000"/>
        </w:rPr>
        <w:t xml:space="preserve"> and health authorities</w:t>
      </w:r>
      <w:r w:rsidR="006546F7" w:rsidRPr="00FA2EAE">
        <w:rPr>
          <w:rFonts w:ascii="Times New Roman" w:hAnsi="Times New Roman" w:cs="Times New Roman"/>
          <w:color w:val="000000"/>
        </w:rPr>
        <w:t xml:space="preserve"> </w:t>
      </w:r>
      <w:r w:rsidR="005D4130" w:rsidRPr="00FA2EAE">
        <w:rPr>
          <w:rFonts w:ascii="Times New Roman" w:hAnsi="Times New Roman" w:cs="Times New Roman"/>
          <w:color w:val="000000"/>
        </w:rPr>
        <w:t xml:space="preserve">in their strategies and </w:t>
      </w:r>
      <w:r w:rsidR="006546F7" w:rsidRPr="00FA2EAE">
        <w:rPr>
          <w:rFonts w:ascii="Times New Roman" w:hAnsi="Times New Roman" w:cs="Times New Roman"/>
          <w:color w:val="000000"/>
        </w:rPr>
        <w:t>resources allocation</w:t>
      </w:r>
      <w:r w:rsidR="006546F7" w:rsidRPr="000C6639">
        <w:rPr>
          <w:rFonts w:ascii="Times New Roman" w:hAnsi="Times New Roman" w:cs="Times New Roman"/>
          <w:color w:val="000000"/>
        </w:rPr>
        <w:t>.</w:t>
      </w:r>
      <w:r w:rsidR="006546F7" w:rsidRPr="00377375">
        <w:rPr>
          <w:rFonts w:ascii="Times New Roman" w:hAnsi="Times New Roman" w:cs="Times New Roman"/>
          <w:color w:val="000000"/>
        </w:rPr>
        <w:t xml:space="preserve"> Likewise, such a prognostic model </w:t>
      </w:r>
      <w:r w:rsidR="005D4130">
        <w:rPr>
          <w:rFonts w:ascii="Times New Roman" w:hAnsi="Times New Roman" w:cs="Times New Roman"/>
          <w:color w:val="000000"/>
        </w:rPr>
        <w:t>could</w:t>
      </w:r>
      <w:r w:rsidR="006546F7" w:rsidRPr="00377375">
        <w:rPr>
          <w:rFonts w:ascii="Times New Roman" w:hAnsi="Times New Roman" w:cs="Times New Roman"/>
          <w:color w:val="000000"/>
        </w:rPr>
        <w:t xml:space="preserve"> be useful</w:t>
      </w:r>
      <w:r w:rsidR="005D4130">
        <w:rPr>
          <w:rFonts w:ascii="Times New Roman" w:hAnsi="Times New Roman" w:cs="Times New Roman"/>
          <w:color w:val="000000"/>
        </w:rPr>
        <w:t xml:space="preserve"> </w:t>
      </w:r>
      <w:r w:rsidR="006546F7" w:rsidRPr="00377375">
        <w:rPr>
          <w:rFonts w:ascii="Times New Roman" w:hAnsi="Times New Roman" w:cs="Times New Roman"/>
          <w:color w:val="000000"/>
        </w:rPr>
        <w:t xml:space="preserve">to design clinical trials for high-risk </w:t>
      </w:r>
      <w:r w:rsidR="006546F7">
        <w:rPr>
          <w:rFonts w:ascii="Times New Roman" w:hAnsi="Times New Roman" w:cs="Times New Roman"/>
          <w:color w:val="000000"/>
        </w:rPr>
        <w:t xml:space="preserve">early </w:t>
      </w:r>
      <w:r w:rsidR="006546F7" w:rsidRPr="00377375">
        <w:rPr>
          <w:rFonts w:ascii="Times New Roman" w:hAnsi="Times New Roman" w:cs="Times New Roman"/>
          <w:color w:val="000000"/>
        </w:rPr>
        <w:t xml:space="preserve">stage </w:t>
      </w:r>
      <w:r w:rsidR="00887C53">
        <w:rPr>
          <w:rFonts w:ascii="Times New Roman" w:hAnsi="Times New Roman" w:cs="Times New Roman"/>
          <w:color w:val="000000"/>
        </w:rPr>
        <w:t xml:space="preserve">CLL </w:t>
      </w:r>
      <w:r w:rsidR="006546F7" w:rsidRPr="00377375">
        <w:rPr>
          <w:rFonts w:ascii="Times New Roman" w:hAnsi="Times New Roman" w:cs="Times New Roman"/>
          <w:color w:val="000000"/>
        </w:rPr>
        <w:t>patients, an issue that has gained momentum due to the availability of effective small molecules with manageable</w:t>
      </w:r>
      <w:r w:rsidR="00006A70">
        <w:rPr>
          <w:rFonts w:ascii="Times New Roman" w:hAnsi="Times New Roman" w:cs="Times New Roman"/>
          <w:color w:val="000000"/>
        </w:rPr>
        <w:t xml:space="preserve"> toxicity</w:t>
      </w:r>
      <w:r w:rsidR="00F246C4">
        <w:rPr>
          <w:rFonts w:ascii="Times New Roman" w:hAnsi="Times New Roman" w:cs="Times New Roman"/>
          <w:color w:val="000000"/>
        </w:rPr>
        <w:t>.</w:t>
      </w:r>
      <w:r w:rsidR="00C70E10">
        <w:rPr>
          <w:rFonts w:ascii="Times New Roman" w:hAnsi="Times New Roman" w:cs="Times New Roman"/>
          <w:color w:val="000000"/>
          <w:vertAlign w:val="superscript"/>
        </w:rPr>
        <w:t>5</w:t>
      </w:r>
      <w:r w:rsidR="004E39F4">
        <w:rPr>
          <w:rFonts w:ascii="Times New Roman" w:hAnsi="Times New Roman" w:cs="Times New Roman"/>
          <w:color w:val="000000"/>
          <w:vertAlign w:val="superscript"/>
        </w:rPr>
        <w:t>2</w:t>
      </w:r>
      <w:proofErr w:type="gramStart"/>
      <w:r w:rsidR="004E39F4">
        <w:rPr>
          <w:rFonts w:ascii="Times New Roman" w:hAnsi="Times New Roman" w:cs="Times New Roman"/>
          <w:color w:val="000000"/>
          <w:vertAlign w:val="superscript"/>
        </w:rPr>
        <w:t>,53</w:t>
      </w:r>
      <w:proofErr w:type="gramEnd"/>
      <w:r w:rsidR="000C6639">
        <w:rPr>
          <w:rFonts w:ascii="Times New Roman" w:hAnsi="Times New Roman" w:cs="Times New Roman"/>
          <w:color w:val="000000"/>
        </w:rPr>
        <w:t xml:space="preserve"> </w:t>
      </w:r>
    </w:p>
    <w:p w14:paraId="151E9C62" w14:textId="211061D3" w:rsidR="00A73813" w:rsidRPr="0029672C" w:rsidRDefault="006C472B" w:rsidP="0029672C">
      <w:pPr>
        <w:spacing w:after="0" w:line="480" w:lineRule="auto"/>
        <w:ind w:firstLine="708"/>
        <w:jc w:val="both"/>
        <w:rPr>
          <w:rFonts w:ascii="Times New Roman" w:hAnsi="Times New Roman" w:cs="Times New Roman"/>
          <w:lang w:eastAsia="zh-CN"/>
        </w:rPr>
      </w:pPr>
      <w:r w:rsidRPr="0029672C">
        <w:rPr>
          <w:rFonts w:ascii="Times New Roman" w:hAnsi="Times New Roman" w:cs="Times New Roman"/>
          <w:szCs w:val="20"/>
        </w:rPr>
        <w:t xml:space="preserve">The development of the </w:t>
      </w:r>
      <w:r w:rsidR="00874630" w:rsidRPr="0029672C">
        <w:rPr>
          <w:rFonts w:ascii="Times New Roman" w:hAnsi="Times New Roman" w:cs="Times New Roman"/>
          <w:lang w:eastAsia="zh-CN"/>
        </w:rPr>
        <w:t xml:space="preserve">IPS-E followed an extensively used </w:t>
      </w:r>
      <w:r w:rsidR="00FF4A70" w:rsidRPr="0029672C">
        <w:rPr>
          <w:rFonts w:ascii="Times New Roman" w:hAnsi="Times New Roman" w:cs="Times New Roman"/>
          <w:lang w:eastAsia="zh-CN"/>
        </w:rPr>
        <w:t xml:space="preserve">approach </w:t>
      </w:r>
      <w:r w:rsidR="00874630" w:rsidRPr="0029672C">
        <w:rPr>
          <w:rFonts w:ascii="Times New Roman" w:hAnsi="Times New Roman" w:cs="Times New Roman"/>
          <w:lang w:eastAsia="zh-CN"/>
        </w:rPr>
        <w:t xml:space="preserve">for the generation </w:t>
      </w:r>
      <w:r w:rsidR="00340846">
        <w:rPr>
          <w:rFonts w:ascii="Times New Roman" w:hAnsi="Times New Roman" w:cs="Times New Roman"/>
          <w:lang w:eastAsia="zh-CN"/>
        </w:rPr>
        <w:t xml:space="preserve">of </w:t>
      </w:r>
      <w:r w:rsidR="00874630" w:rsidRPr="0029672C">
        <w:rPr>
          <w:rFonts w:ascii="Times New Roman" w:hAnsi="Times New Roman" w:cs="Times New Roman"/>
          <w:lang w:eastAsia="zh-CN"/>
        </w:rPr>
        <w:t>prognostic scores in hematology</w:t>
      </w:r>
      <w:r w:rsidR="00FF4A70" w:rsidRPr="0029672C">
        <w:rPr>
          <w:rFonts w:ascii="Times New Roman" w:hAnsi="Times New Roman" w:cs="Times New Roman"/>
          <w:lang w:eastAsia="zh-CN"/>
        </w:rPr>
        <w:t>.</w:t>
      </w:r>
      <w:r w:rsidR="004E39F4">
        <w:rPr>
          <w:rFonts w:ascii="Times New Roman" w:hAnsi="Times New Roman" w:cs="Times New Roman"/>
          <w:vertAlign w:val="superscript"/>
          <w:lang w:eastAsia="zh-CN"/>
        </w:rPr>
        <w:t>20</w:t>
      </w:r>
      <w:proofErr w:type="gramStart"/>
      <w:r w:rsidR="004E39F4">
        <w:rPr>
          <w:rFonts w:ascii="Times New Roman" w:hAnsi="Times New Roman" w:cs="Times New Roman"/>
          <w:vertAlign w:val="superscript"/>
          <w:lang w:eastAsia="zh-CN"/>
        </w:rPr>
        <w:t>,54</w:t>
      </w:r>
      <w:proofErr w:type="gramEnd"/>
      <w:r w:rsidR="006221C3" w:rsidRPr="0029672C">
        <w:rPr>
          <w:rFonts w:ascii="Times New Roman" w:hAnsi="Times New Roman" w:cs="Times New Roman"/>
          <w:vertAlign w:val="superscript"/>
          <w:lang w:eastAsia="zh-CN"/>
        </w:rPr>
        <w:t>-</w:t>
      </w:r>
      <w:r w:rsidR="00C70E10">
        <w:rPr>
          <w:rFonts w:ascii="Times New Roman" w:hAnsi="Times New Roman" w:cs="Times New Roman"/>
          <w:vertAlign w:val="superscript"/>
          <w:lang w:eastAsia="zh-CN"/>
        </w:rPr>
        <w:t>5</w:t>
      </w:r>
      <w:r w:rsidR="004E39F4">
        <w:rPr>
          <w:rFonts w:ascii="Times New Roman" w:hAnsi="Times New Roman" w:cs="Times New Roman"/>
          <w:vertAlign w:val="superscript"/>
          <w:lang w:eastAsia="zh-CN"/>
        </w:rPr>
        <w:t>7</w:t>
      </w:r>
      <w:r w:rsidR="00E729AF" w:rsidRPr="0029672C">
        <w:rPr>
          <w:rFonts w:ascii="Times New Roman" w:hAnsi="Times New Roman" w:cs="Times New Roman"/>
          <w:lang w:eastAsia="zh-CN"/>
        </w:rPr>
        <w:t xml:space="preserve"> </w:t>
      </w:r>
      <w:r w:rsidR="00E415B0">
        <w:rPr>
          <w:rFonts w:ascii="Times New Roman" w:hAnsi="Times New Roman" w:cs="Times New Roman"/>
          <w:lang w:eastAsia="zh-CN"/>
        </w:rPr>
        <w:t>However, t</w:t>
      </w:r>
      <w:r w:rsidR="000C6639">
        <w:rPr>
          <w:rFonts w:ascii="Times New Roman" w:hAnsi="Times New Roman" w:cs="Times New Roman"/>
          <w:lang w:eastAsia="zh-CN"/>
        </w:rPr>
        <w:t>he risk of biases related to</w:t>
      </w:r>
      <w:r w:rsidR="00E729AF" w:rsidRPr="00377375">
        <w:rPr>
          <w:rFonts w:ascii="Times New Roman" w:hAnsi="Times New Roman" w:cs="Times New Roman"/>
          <w:lang w:eastAsia="zh-CN"/>
        </w:rPr>
        <w:t xml:space="preserve"> the timing of scheduled evaluations</w:t>
      </w:r>
      <w:r w:rsidR="000C6639">
        <w:rPr>
          <w:rFonts w:ascii="Times New Roman" w:hAnsi="Times New Roman" w:cs="Times New Roman"/>
          <w:lang w:eastAsia="zh-CN"/>
        </w:rPr>
        <w:t xml:space="preserve"> </w:t>
      </w:r>
      <w:r w:rsidR="00E729AF" w:rsidRPr="00377375">
        <w:rPr>
          <w:rFonts w:ascii="Times New Roman" w:hAnsi="Times New Roman" w:cs="Times New Roman"/>
          <w:lang w:eastAsia="zh-CN"/>
        </w:rPr>
        <w:t xml:space="preserve">and premature censoring cannot be </w:t>
      </w:r>
      <w:r w:rsidR="00FF4A70">
        <w:rPr>
          <w:rFonts w:ascii="Times New Roman" w:hAnsi="Times New Roman" w:cs="Times New Roman"/>
          <w:lang w:eastAsia="zh-CN"/>
        </w:rPr>
        <w:t>discarded.</w:t>
      </w:r>
      <w:r w:rsidR="00E729AF" w:rsidRPr="00CB51D5">
        <w:rPr>
          <w:rFonts w:ascii="Times New Roman" w:hAnsi="Times New Roman" w:cs="Times New Roman"/>
          <w:lang w:eastAsia="zh-CN"/>
        </w:rPr>
        <w:t xml:space="preserve"> </w:t>
      </w:r>
      <w:r w:rsidR="000C6639">
        <w:rPr>
          <w:rFonts w:ascii="Times New Roman" w:hAnsi="Times New Roman" w:cs="Times New Roman"/>
          <w:lang w:eastAsia="zh-CN"/>
        </w:rPr>
        <w:t xml:space="preserve">On the other hand, although the </w:t>
      </w:r>
      <w:r w:rsidR="00A73813" w:rsidRPr="0029672C">
        <w:rPr>
          <w:rFonts w:ascii="Times New Roman" w:hAnsi="Times New Roman" w:cs="Times New Roman"/>
          <w:lang w:eastAsia="zh-CN"/>
        </w:rPr>
        <w:t xml:space="preserve">IPS-E has an outcome discrimination capacity that is generally considered </w:t>
      </w:r>
      <w:r w:rsidR="000C6639">
        <w:rPr>
          <w:rFonts w:ascii="Times New Roman" w:hAnsi="Times New Roman" w:cs="Times New Roman"/>
          <w:lang w:eastAsia="zh-CN"/>
        </w:rPr>
        <w:t xml:space="preserve">as </w:t>
      </w:r>
      <w:r w:rsidR="00A73813" w:rsidRPr="0029672C">
        <w:rPr>
          <w:rFonts w:ascii="Times New Roman" w:hAnsi="Times New Roman" w:cs="Times New Roman"/>
          <w:lang w:eastAsia="zh-CN"/>
        </w:rPr>
        <w:t>acceptable</w:t>
      </w:r>
      <w:r w:rsidR="00E14265">
        <w:rPr>
          <w:rFonts w:ascii="Times New Roman" w:hAnsi="Times New Roman" w:cs="Times New Roman"/>
          <w:vertAlign w:val="superscript"/>
          <w:lang w:eastAsia="zh-CN"/>
        </w:rPr>
        <w:t>5</w:t>
      </w:r>
      <w:r w:rsidR="004B674A">
        <w:rPr>
          <w:rFonts w:ascii="Times New Roman" w:hAnsi="Times New Roman" w:cs="Times New Roman"/>
          <w:vertAlign w:val="superscript"/>
          <w:lang w:eastAsia="zh-CN"/>
        </w:rPr>
        <w:t>8</w:t>
      </w:r>
      <w:r w:rsidR="00A73813" w:rsidRPr="0029672C">
        <w:rPr>
          <w:rFonts w:ascii="Times New Roman" w:hAnsi="Times New Roman" w:cs="Times New Roman"/>
          <w:lang w:eastAsia="zh-CN"/>
        </w:rPr>
        <w:t xml:space="preserve"> and similar to that of other CLL prognostication scores now used in clinical practice and for clinical trial design</w:t>
      </w:r>
      <w:proofErr w:type="gramStart"/>
      <w:r w:rsidR="00A73813" w:rsidRPr="0029672C">
        <w:rPr>
          <w:rFonts w:ascii="Times New Roman" w:hAnsi="Times New Roman" w:cs="Times New Roman"/>
          <w:lang w:eastAsia="zh-CN"/>
        </w:rPr>
        <w:t>,</w:t>
      </w:r>
      <w:r w:rsidR="004B674A">
        <w:rPr>
          <w:rFonts w:ascii="Times New Roman" w:hAnsi="Times New Roman" w:cs="Times New Roman"/>
          <w:vertAlign w:val="superscript"/>
          <w:lang w:eastAsia="zh-CN"/>
        </w:rPr>
        <w:t>20</w:t>
      </w:r>
      <w:proofErr w:type="gramEnd"/>
      <w:r w:rsidR="00A73813" w:rsidRPr="0029672C">
        <w:rPr>
          <w:rFonts w:ascii="Times New Roman" w:hAnsi="Times New Roman" w:cs="Times New Roman"/>
          <w:lang w:eastAsia="zh-CN"/>
        </w:rPr>
        <w:t xml:space="preserve"> it can be eventually improved. Therefore, the IPS-E warrants prospective evaluation and can be regarded as a building block to which newly discovered independent outcome predictors for patients with early stage CLL could be added.</w:t>
      </w:r>
    </w:p>
    <w:p w14:paraId="526220C2" w14:textId="77777777" w:rsidR="00433B0A" w:rsidRDefault="00A73813" w:rsidP="00433B0A">
      <w:pPr>
        <w:spacing w:after="0"/>
        <w:jc w:val="both"/>
        <w:rPr>
          <w:rFonts w:ascii="Times New Roman" w:hAnsi="Times New Roman" w:cs="Times New Roman"/>
          <w:szCs w:val="20"/>
        </w:rPr>
      </w:pPr>
      <w:r w:rsidRPr="00A73813">
        <w:rPr>
          <w:rFonts w:ascii="Times New Roman" w:hAnsi="Times New Roman" w:cs="Times New Roman"/>
          <w:b/>
          <w:lang w:eastAsia="zh-CN"/>
        </w:rPr>
        <w:br w:type="page"/>
      </w:r>
      <w:r w:rsidR="00677F03" w:rsidRPr="00677F03">
        <w:rPr>
          <w:rFonts w:ascii="Times New Roman" w:hAnsi="Times New Roman" w:cs="Times New Roman"/>
          <w:b/>
          <w:szCs w:val="20"/>
        </w:rPr>
        <w:lastRenderedPageBreak/>
        <w:t>Financial support</w:t>
      </w:r>
      <w:r w:rsidR="00433B0A">
        <w:rPr>
          <w:rFonts w:ascii="Times New Roman" w:hAnsi="Times New Roman" w:cs="Times New Roman"/>
          <w:szCs w:val="20"/>
        </w:rPr>
        <w:t xml:space="preserve">: </w:t>
      </w:r>
      <w:r w:rsidR="00433B0A" w:rsidRPr="00B01A30">
        <w:rPr>
          <w:rFonts w:ascii="Times New Roman" w:hAnsi="Times New Roman"/>
        </w:rPr>
        <w:t>This study was supported by</w:t>
      </w:r>
      <w:r w:rsidR="00433B0A" w:rsidRPr="00B01A30">
        <w:rPr>
          <w:rFonts w:ascii="Times New Roman" w:hAnsi="Times New Roman"/>
          <w:bCs/>
        </w:rPr>
        <w:t xml:space="preserve"> </w:t>
      </w:r>
      <w:r w:rsidR="00677F03">
        <w:rPr>
          <w:rFonts w:ascii="Times New Roman" w:hAnsi="Times New Roman"/>
          <w:bCs/>
        </w:rPr>
        <w:t>Swiss C</w:t>
      </w:r>
      <w:r w:rsidR="00433B0A">
        <w:rPr>
          <w:rFonts w:ascii="Times New Roman" w:hAnsi="Times New Roman"/>
          <w:bCs/>
        </w:rPr>
        <w:t xml:space="preserve">ancer League, ID </w:t>
      </w:r>
      <w:r w:rsidR="00433B0A" w:rsidRPr="00504331">
        <w:rPr>
          <w:rFonts w:ascii="Times New Roman" w:hAnsi="Times New Roman"/>
          <w:bCs/>
        </w:rPr>
        <w:t>HSR-4660-11-2018</w:t>
      </w:r>
      <w:r w:rsidR="00433B0A">
        <w:rPr>
          <w:rFonts w:ascii="Times New Roman" w:hAnsi="Times New Roman"/>
          <w:bCs/>
        </w:rPr>
        <w:t xml:space="preserve">, Bern, Switzerland; </w:t>
      </w:r>
      <w:r w:rsidR="00433B0A" w:rsidRPr="00EC7078">
        <w:rPr>
          <w:rFonts w:ascii="Times New Roman" w:hAnsi="Times New Roman" w:cs="Times New Roman"/>
          <w:szCs w:val="20"/>
        </w:rPr>
        <w:t xml:space="preserve">Research Advisory Board of the </w:t>
      </w:r>
      <w:r w:rsidR="00433B0A">
        <w:rPr>
          <w:rFonts w:ascii="Times New Roman" w:hAnsi="Times New Roman" w:cs="Times New Roman"/>
          <w:szCs w:val="20"/>
        </w:rPr>
        <w:t xml:space="preserve">Ente </w:t>
      </w:r>
      <w:proofErr w:type="spellStart"/>
      <w:r w:rsidR="00433B0A">
        <w:rPr>
          <w:rFonts w:ascii="Times New Roman" w:hAnsi="Times New Roman" w:cs="Times New Roman"/>
          <w:szCs w:val="20"/>
        </w:rPr>
        <w:t>Ospedaliero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33B0A">
        <w:rPr>
          <w:rFonts w:ascii="Times New Roman" w:hAnsi="Times New Roman" w:cs="Times New Roman"/>
          <w:szCs w:val="20"/>
        </w:rPr>
        <w:t>Cantonale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433B0A">
        <w:rPr>
          <w:rFonts w:ascii="Times New Roman" w:hAnsi="Times New Roman" w:cs="Times New Roman"/>
          <w:szCs w:val="20"/>
        </w:rPr>
        <w:t>Bellinzona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, Switzerland; </w:t>
      </w:r>
      <w:r w:rsidR="00433B0A" w:rsidRPr="00DA7A7F">
        <w:rPr>
          <w:rFonts w:ascii="Times New Roman" w:hAnsi="Times New Roman" w:cs="Times New Roman"/>
        </w:rPr>
        <w:t xml:space="preserve">European Research Council </w:t>
      </w:r>
      <w:r w:rsidR="00433B0A">
        <w:rPr>
          <w:rFonts w:ascii="Times New Roman" w:hAnsi="Times New Roman" w:cs="Times New Roman"/>
        </w:rPr>
        <w:t xml:space="preserve">(ERC) </w:t>
      </w:r>
      <w:r w:rsidR="00433B0A" w:rsidRPr="00DA7A7F">
        <w:rPr>
          <w:rFonts w:ascii="Times New Roman" w:hAnsi="Times New Roman" w:cs="Times New Roman"/>
        </w:rPr>
        <w:t>Consolidator Grant</w:t>
      </w:r>
      <w:r w:rsidR="00433B0A">
        <w:rPr>
          <w:rFonts w:ascii="Times New Roman" w:hAnsi="Times New Roman" w:cs="Times New Roman"/>
          <w:szCs w:val="20"/>
        </w:rPr>
        <w:t xml:space="preserve"> CLLCLONE </w:t>
      </w:r>
      <w:r w:rsidR="00433B0A" w:rsidRPr="00DA7A7F">
        <w:rPr>
          <w:rFonts w:ascii="Times New Roman" w:hAnsi="Times New Roman" w:cs="Times New Roman"/>
        </w:rPr>
        <w:t>ID: 772051</w:t>
      </w:r>
      <w:r w:rsidR="00433B0A">
        <w:rPr>
          <w:rFonts w:ascii="Times New Roman" w:hAnsi="Times New Roman" w:cs="Times New Roman"/>
        </w:rPr>
        <w:t>;</w:t>
      </w:r>
      <w:r w:rsidR="00433B0A">
        <w:rPr>
          <w:rFonts w:ascii="Times New Roman" w:hAnsi="Times New Roman" w:cs="Times New Roman"/>
          <w:szCs w:val="20"/>
        </w:rPr>
        <w:t xml:space="preserve"> </w:t>
      </w:r>
      <w:r w:rsidR="00433B0A" w:rsidRPr="00287CF7">
        <w:rPr>
          <w:rFonts w:ascii="Times New Roman" w:hAnsi="Times New Roman" w:cs="Times New Roman"/>
        </w:rPr>
        <w:t xml:space="preserve">Grant No. 320030_169670/1 Swiss National Science Foundation, Berne, Switzerland; </w:t>
      </w:r>
      <w:r w:rsidR="00433B0A" w:rsidRPr="00287CF7">
        <w:rPr>
          <w:rFonts w:ascii="Times New Roman" w:hAnsi="Times New Roman"/>
          <w:bCs/>
        </w:rPr>
        <w:t xml:space="preserve">Fondazione Fidinam, Lugano, Switzerland; </w:t>
      </w:r>
      <w:proofErr w:type="spellStart"/>
      <w:r w:rsidR="00433B0A" w:rsidRPr="00287CF7">
        <w:rPr>
          <w:rFonts w:ascii="Times New Roman" w:hAnsi="Times New Roman"/>
          <w:bCs/>
        </w:rPr>
        <w:t>Nelia</w:t>
      </w:r>
      <w:proofErr w:type="spellEnd"/>
      <w:r w:rsidR="00433B0A" w:rsidRPr="00287CF7">
        <w:rPr>
          <w:rFonts w:ascii="Times New Roman" w:hAnsi="Times New Roman"/>
          <w:bCs/>
        </w:rPr>
        <w:t xml:space="preserve"> &amp; </w:t>
      </w:r>
      <w:proofErr w:type="spellStart"/>
      <w:r w:rsidR="00433B0A" w:rsidRPr="00287CF7">
        <w:rPr>
          <w:rFonts w:ascii="Times New Roman" w:hAnsi="Times New Roman"/>
          <w:bCs/>
        </w:rPr>
        <w:t>Amadeo</w:t>
      </w:r>
      <w:proofErr w:type="spellEnd"/>
      <w:r w:rsidR="00433B0A" w:rsidRPr="00287CF7">
        <w:rPr>
          <w:rFonts w:ascii="Times New Roman" w:hAnsi="Times New Roman"/>
          <w:bCs/>
        </w:rPr>
        <w:t xml:space="preserve"> Barletta Foundation, Lausanne, Switzerland; </w:t>
      </w:r>
      <w:proofErr w:type="spellStart"/>
      <w:r w:rsidR="00433B0A">
        <w:rPr>
          <w:rFonts w:ascii="Times New Roman" w:hAnsi="Times New Roman" w:cs="Times New Roman"/>
          <w:szCs w:val="20"/>
        </w:rPr>
        <w:t>Fond’Action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, Lausanne, Switzerland; Translational Research Program, No. 6594-20, The Leukemia &amp; Lymphoma Society, New York; AIRC 5x1000, No. 21198, </w:t>
      </w:r>
      <w:proofErr w:type="spellStart"/>
      <w:r w:rsidR="00433B0A">
        <w:rPr>
          <w:rFonts w:ascii="Times New Roman" w:hAnsi="Times New Roman" w:cs="Times New Roman"/>
          <w:szCs w:val="20"/>
        </w:rPr>
        <w:t>Associazione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33B0A">
        <w:rPr>
          <w:rFonts w:ascii="Times New Roman" w:hAnsi="Times New Roman" w:cs="Times New Roman"/>
          <w:szCs w:val="20"/>
        </w:rPr>
        <w:t>Italiana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per la Ricerca </w:t>
      </w:r>
      <w:proofErr w:type="spellStart"/>
      <w:r w:rsidR="00433B0A">
        <w:rPr>
          <w:rFonts w:ascii="Times New Roman" w:hAnsi="Times New Roman" w:cs="Times New Roman"/>
          <w:szCs w:val="20"/>
        </w:rPr>
        <w:t>sul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33B0A">
        <w:rPr>
          <w:rFonts w:ascii="Times New Roman" w:hAnsi="Times New Roman" w:cs="Times New Roman"/>
          <w:szCs w:val="20"/>
        </w:rPr>
        <w:t>Cancro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Foundation, Milan, Italy; PRIN 2017 No. </w:t>
      </w:r>
      <w:r w:rsidR="00433B0A" w:rsidRPr="00AC02D3">
        <w:rPr>
          <w:rFonts w:ascii="Times New Roman" w:hAnsi="Times New Roman" w:cs="Times New Roman"/>
          <w:szCs w:val="20"/>
        </w:rPr>
        <w:t>2015ZMRFEA_004 , MIUR, Rome, Italy</w:t>
      </w:r>
      <w:r w:rsidR="00433B0A">
        <w:rPr>
          <w:rFonts w:ascii="Times New Roman" w:hAnsi="Times New Roman" w:cs="Times New Roman"/>
          <w:szCs w:val="20"/>
        </w:rPr>
        <w:t xml:space="preserve">; Italian Ministry of Health 5x1000 funds 2014 and 2016, </w:t>
      </w:r>
      <w:proofErr w:type="spellStart"/>
      <w:r w:rsidR="00433B0A">
        <w:rPr>
          <w:rFonts w:ascii="Times New Roman" w:hAnsi="Times New Roman" w:cs="Times New Roman"/>
          <w:szCs w:val="20"/>
        </w:rPr>
        <w:t>Compagnia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S. Paolo Turin Italy, project 2017.0526; Swedish Cancer Society, Swedish Research Council, Knut and Alice Wallenberg Foundation, </w:t>
      </w:r>
      <w:proofErr w:type="spellStart"/>
      <w:r w:rsidR="00433B0A">
        <w:rPr>
          <w:rFonts w:ascii="Times New Roman" w:hAnsi="Times New Roman" w:cs="Times New Roman"/>
          <w:szCs w:val="20"/>
        </w:rPr>
        <w:t>Karolinska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33B0A">
        <w:rPr>
          <w:rFonts w:ascii="Times New Roman" w:hAnsi="Times New Roman" w:cs="Times New Roman"/>
          <w:szCs w:val="20"/>
        </w:rPr>
        <w:t>Institutet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433B0A">
        <w:rPr>
          <w:rFonts w:ascii="Times New Roman" w:hAnsi="Times New Roman" w:cs="Times New Roman"/>
          <w:szCs w:val="20"/>
        </w:rPr>
        <w:t>Karolinska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University Hospital, and </w:t>
      </w:r>
      <w:proofErr w:type="spellStart"/>
      <w:r w:rsidR="00433B0A">
        <w:rPr>
          <w:rFonts w:ascii="Times New Roman" w:hAnsi="Times New Roman" w:cs="Times New Roman"/>
          <w:szCs w:val="20"/>
        </w:rPr>
        <w:t>Radiumhemmets</w:t>
      </w:r>
      <w:proofErr w:type="spellEnd"/>
      <w:r w:rsidR="00433B0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33B0A">
        <w:rPr>
          <w:rFonts w:ascii="Times New Roman" w:hAnsi="Times New Roman" w:cs="Times New Roman"/>
          <w:szCs w:val="20"/>
        </w:rPr>
        <w:t>Forskningsfonder</w:t>
      </w:r>
      <w:proofErr w:type="spellEnd"/>
      <w:r w:rsidR="00433B0A">
        <w:rPr>
          <w:rFonts w:ascii="Times New Roman" w:hAnsi="Times New Roman" w:cs="Times New Roman"/>
          <w:szCs w:val="20"/>
        </w:rPr>
        <w:t>, Stockholm; MH CR grants No. (NV19-03-00091) and DRO (</w:t>
      </w:r>
      <w:proofErr w:type="spellStart"/>
      <w:r w:rsidR="00433B0A">
        <w:rPr>
          <w:rFonts w:ascii="Times New Roman" w:hAnsi="Times New Roman" w:cs="Times New Roman"/>
          <w:szCs w:val="20"/>
        </w:rPr>
        <w:t>FNBr</w:t>
      </w:r>
      <w:proofErr w:type="spellEnd"/>
      <w:r w:rsidR="00433B0A">
        <w:rPr>
          <w:rFonts w:ascii="Times New Roman" w:hAnsi="Times New Roman" w:cs="Times New Roman"/>
          <w:szCs w:val="20"/>
        </w:rPr>
        <w:t>, 65269705), MEYS CR under the project CEITEC 2020 (LQ1601).</w:t>
      </w:r>
    </w:p>
    <w:p w14:paraId="198FA56B" w14:textId="77777777" w:rsidR="00CB7CD8" w:rsidRDefault="00CB7CD8" w:rsidP="00433B0A">
      <w:pPr>
        <w:spacing w:after="0"/>
        <w:jc w:val="both"/>
        <w:rPr>
          <w:rFonts w:ascii="Times New Roman" w:hAnsi="Times New Roman" w:cs="Times New Roman"/>
          <w:szCs w:val="20"/>
          <w:highlight w:val="yellow"/>
        </w:rPr>
      </w:pPr>
    </w:p>
    <w:p w14:paraId="36C9C5C6" w14:textId="4EC1421F" w:rsidR="00CB7CD8" w:rsidRPr="00CD10BA" w:rsidRDefault="00A976BA" w:rsidP="00CB7CD8">
      <w:pPr>
        <w:spacing w:after="0"/>
        <w:contextualSpacing/>
        <w:jc w:val="both"/>
        <w:outlineLvl w:val="0"/>
        <w:rPr>
          <w:rFonts w:ascii="Times New Roman" w:hAnsi="Times New Roman"/>
          <w:color w:val="000000"/>
        </w:rPr>
      </w:pPr>
      <w:r w:rsidRPr="00A976BA">
        <w:rPr>
          <w:rFonts w:ascii="Times New Roman" w:hAnsi="Times New Roman"/>
          <w:b/>
          <w:color w:val="000000"/>
        </w:rPr>
        <w:t>Author Contributions</w:t>
      </w:r>
      <w:r w:rsidR="00CB7CD8" w:rsidRPr="00DE4355">
        <w:rPr>
          <w:rFonts w:ascii="Times New Roman" w:hAnsi="Times New Roman"/>
          <w:color w:val="000000"/>
        </w:rPr>
        <w:t>:</w:t>
      </w:r>
      <w:r w:rsidR="00CB7CD8">
        <w:rPr>
          <w:rFonts w:ascii="Times New Roman" w:hAnsi="Times New Roman"/>
          <w:color w:val="000000"/>
        </w:rPr>
        <w:t xml:space="preserve"> 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R</w:t>
      </w:r>
      <w:r w:rsidR="00CB0205">
        <w:rPr>
          <w:rFonts w:ascii="Times New Roman" w:hAnsi="Times New Roman"/>
          <w:color w:val="000000"/>
        </w:rPr>
        <w:t>.</w:t>
      </w:r>
      <w:r w:rsidR="00CB7CD8" w:rsidRPr="00DE4355">
        <w:rPr>
          <w:rFonts w:ascii="Times New Roman" w:hAnsi="Times New Roman"/>
          <w:color w:val="000000"/>
        </w:rPr>
        <w:t xml:space="preserve"> designed the study, interpreted data and wrote the manuscript;</w:t>
      </w:r>
      <w:r w:rsidR="00CB7CD8">
        <w:rPr>
          <w:rFonts w:ascii="Times New Roman" w:hAnsi="Times New Roman"/>
          <w:color w:val="000000"/>
        </w:rPr>
        <w:t xml:space="preserve"> A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C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 xml:space="preserve"> and L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T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B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 xml:space="preserve"> performed statistical analysis, </w:t>
      </w:r>
      <w:r w:rsidR="00CB7CD8" w:rsidRPr="00DE4355">
        <w:rPr>
          <w:rFonts w:ascii="Times New Roman" w:hAnsi="Times New Roman"/>
          <w:color w:val="000000"/>
        </w:rPr>
        <w:t>interpreted data and wrote the manuscript;</w:t>
      </w:r>
      <w:r w:rsidR="00CB7CD8">
        <w:rPr>
          <w:rFonts w:ascii="Times New Roman" w:hAnsi="Times New Roman"/>
          <w:color w:val="000000"/>
        </w:rPr>
        <w:t xml:space="preserve"> P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L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 xml:space="preserve">. </w:t>
      </w:r>
      <w:r w:rsidR="00CB0205" w:rsidRPr="00CB0205">
        <w:rPr>
          <w:rFonts w:ascii="Times New Roman" w:hAnsi="Times New Roman" w:cs="Times New Roman"/>
          <w:szCs w:val="20"/>
          <w:lang w:val="en-GB"/>
        </w:rPr>
        <w:t>H</w:t>
      </w:r>
      <w:r w:rsidR="008931E2">
        <w:rPr>
          <w:rFonts w:ascii="Times New Roman" w:hAnsi="Times New Roman" w:cs="Times New Roman"/>
          <w:szCs w:val="20"/>
          <w:lang w:val="en-GB"/>
        </w:rPr>
        <w:t>oech</w:t>
      </w:r>
      <w:r w:rsidR="00C167E7">
        <w:rPr>
          <w:rFonts w:ascii="Times New Roman" w:hAnsi="Times New Roman" w:cs="Times New Roman"/>
          <w:szCs w:val="20"/>
          <w:lang w:val="en-GB"/>
        </w:rPr>
        <w:t>s</w:t>
      </w:r>
      <w:r w:rsidR="008931E2">
        <w:rPr>
          <w:rFonts w:ascii="Times New Roman" w:hAnsi="Times New Roman" w:cs="Times New Roman"/>
          <w:szCs w:val="20"/>
          <w:lang w:val="en-GB"/>
        </w:rPr>
        <w:t>te</w:t>
      </w:r>
      <w:r w:rsidR="00C167E7">
        <w:rPr>
          <w:rFonts w:ascii="Times New Roman" w:hAnsi="Times New Roman" w:cs="Times New Roman"/>
          <w:szCs w:val="20"/>
          <w:lang w:val="en-GB"/>
        </w:rPr>
        <w:t>t</w:t>
      </w:r>
      <w:r w:rsidR="008931E2">
        <w:rPr>
          <w:rFonts w:ascii="Times New Roman" w:hAnsi="Times New Roman" w:cs="Times New Roman"/>
          <w:szCs w:val="20"/>
          <w:lang w:val="en-GB"/>
        </w:rPr>
        <w:t xml:space="preserve">ter, </w:t>
      </w:r>
      <w:r w:rsidR="00CB7CD8">
        <w:rPr>
          <w:rFonts w:ascii="Times New Roman" w:hAnsi="Times New Roman"/>
          <w:color w:val="000000"/>
        </w:rPr>
        <w:t>C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H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L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P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J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K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 xml:space="preserve">. </w:t>
      </w:r>
      <w:r w:rsidR="00CB7CD8">
        <w:rPr>
          <w:rFonts w:ascii="Times New Roman" w:hAnsi="Times New Roman"/>
          <w:color w:val="000000"/>
        </w:rPr>
        <w:t>G</w:t>
      </w:r>
      <w:r w:rsidR="00CB0205">
        <w:rPr>
          <w:rFonts w:ascii="Times New Roman" w:hAnsi="Times New Roman"/>
          <w:color w:val="000000"/>
        </w:rPr>
        <w:t>entile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C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J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B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J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K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K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E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S</w:t>
      </w:r>
      <w:r w:rsidR="00CB0205">
        <w:rPr>
          <w:rFonts w:ascii="Times New Roman" w:hAnsi="Times New Roman"/>
          <w:color w:val="000000"/>
        </w:rPr>
        <w:t>.</w:t>
      </w:r>
      <w:r w:rsidR="00F52CF2">
        <w:rPr>
          <w:rFonts w:ascii="Times New Roman" w:hAnsi="Times New Roman"/>
          <w:color w:val="000000"/>
        </w:rPr>
        <w:t>, M.A.H.</w:t>
      </w:r>
      <w:r w:rsidR="00CB7CD8">
        <w:rPr>
          <w:rFonts w:ascii="Times New Roman" w:hAnsi="Times New Roman"/>
          <w:color w:val="000000"/>
        </w:rPr>
        <w:t xml:space="preserve"> provided clinical data, and contributed to manuscript revision; G</w:t>
      </w:r>
      <w:r w:rsidR="00CB0205">
        <w:rPr>
          <w:rFonts w:ascii="Times New Roman" w:hAnsi="Times New Roman"/>
          <w:color w:val="000000"/>
        </w:rPr>
        <w:t>.C.</w:t>
      </w:r>
      <w:r w:rsidR="00CB7CD8">
        <w:rPr>
          <w:rFonts w:ascii="Times New Roman" w:hAnsi="Times New Roman"/>
          <w:color w:val="000000"/>
        </w:rPr>
        <w:t>, C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V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A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B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A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N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 xml:space="preserve"> </w:t>
      </w:r>
      <w:r w:rsidR="00CB7CD8" w:rsidRPr="00F50832">
        <w:rPr>
          <w:rFonts w:ascii="Times New Roman" w:hAnsi="Times New Roman"/>
          <w:color w:val="000000"/>
        </w:rPr>
        <w:t>contributed</w:t>
      </w:r>
      <w:r w:rsidR="00CB7CD8">
        <w:rPr>
          <w:rFonts w:ascii="Times New Roman" w:hAnsi="Times New Roman"/>
          <w:color w:val="000000"/>
        </w:rPr>
        <w:t xml:space="preserve"> to molecular studies and manuscript revision; W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W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E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B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B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E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Z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 xml:space="preserve">. </w:t>
      </w:r>
      <w:r w:rsidR="008931E2">
        <w:rPr>
          <w:rFonts w:ascii="Times New Roman" w:hAnsi="Times New Roman"/>
          <w:color w:val="000000"/>
        </w:rPr>
        <w:t>Ghielmini</w:t>
      </w:r>
      <w:r w:rsidR="00CB7CD8">
        <w:rPr>
          <w:rFonts w:ascii="Times New Roman" w:hAnsi="Times New Roman"/>
          <w:color w:val="000000"/>
        </w:rPr>
        <w:t>, 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C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R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P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F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H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D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 xml:space="preserve"> contributed to manuscript revision; S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A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P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W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W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E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M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G</w:t>
      </w:r>
      <w:r w:rsidR="00CB0205">
        <w:rPr>
          <w:rFonts w:ascii="Times New Roman" w:hAnsi="Times New Roman"/>
          <w:color w:val="000000"/>
        </w:rPr>
        <w:t>.</w:t>
      </w:r>
      <w:r w:rsidR="00CB7CD8">
        <w:rPr>
          <w:rFonts w:ascii="Times New Roman" w:hAnsi="Times New Roman"/>
          <w:color w:val="000000"/>
        </w:rPr>
        <w:t>, and M</w:t>
      </w:r>
      <w:r w:rsidR="00CB0205">
        <w:rPr>
          <w:rFonts w:ascii="Times New Roman" w:hAnsi="Times New Roman"/>
          <w:color w:val="000000"/>
        </w:rPr>
        <w:t>.</w:t>
      </w:r>
      <w:r w:rsidR="008931E2">
        <w:rPr>
          <w:rFonts w:ascii="Times New Roman" w:hAnsi="Times New Roman"/>
          <w:color w:val="000000"/>
        </w:rPr>
        <w:t xml:space="preserve"> Hallek </w:t>
      </w:r>
      <w:r w:rsidR="00CB7CD8" w:rsidRPr="00CD10BA">
        <w:rPr>
          <w:rFonts w:ascii="Times New Roman" w:hAnsi="Times New Roman"/>
          <w:color w:val="000000"/>
        </w:rPr>
        <w:t>p</w:t>
      </w:r>
      <w:r w:rsidR="00CB7CD8">
        <w:rPr>
          <w:rFonts w:ascii="Times New Roman" w:hAnsi="Times New Roman"/>
          <w:color w:val="000000"/>
        </w:rPr>
        <w:t xml:space="preserve">rovided key scientific insights, and contributed to </w:t>
      </w:r>
      <w:r w:rsidR="00CB7CD8" w:rsidRPr="00DE4355">
        <w:rPr>
          <w:rFonts w:ascii="Times New Roman" w:hAnsi="Times New Roman"/>
          <w:color w:val="000000"/>
        </w:rPr>
        <w:t>study</w:t>
      </w:r>
      <w:r w:rsidR="00CB7CD8">
        <w:rPr>
          <w:rFonts w:ascii="Times New Roman" w:hAnsi="Times New Roman"/>
          <w:color w:val="000000"/>
        </w:rPr>
        <w:t xml:space="preserve"> design</w:t>
      </w:r>
      <w:r w:rsidR="00CB7CD8" w:rsidRPr="00DE4355">
        <w:rPr>
          <w:rFonts w:ascii="Times New Roman" w:hAnsi="Times New Roman"/>
          <w:color w:val="000000"/>
        </w:rPr>
        <w:t xml:space="preserve">, </w:t>
      </w:r>
      <w:r w:rsidR="00CB7CD8">
        <w:rPr>
          <w:rFonts w:ascii="Times New Roman" w:hAnsi="Times New Roman"/>
          <w:color w:val="000000"/>
        </w:rPr>
        <w:t xml:space="preserve">data interpretation and manuscript revision. </w:t>
      </w:r>
    </w:p>
    <w:p w14:paraId="75B516D7" w14:textId="77777777" w:rsidR="00433B0A" w:rsidRDefault="00433B0A" w:rsidP="00433B0A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E73AE" w:rsidDel="00A43C70">
        <w:rPr>
          <w:rFonts w:ascii="Times New Roman" w:hAnsi="Times New Roman" w:cs="Times New Roman"/>
          <w:szCs w:val="20"/>
          <w:highlight w:val="yellow"/>
        </w:rPr>
        <w:t xml:space="preserve"> </w:t>
      </w:r>
    </w:p>
    <w:p w14:paraId="3F3A351C" w14:textId="77777777" w:rsidR="00CB7CD8" w:rsidRDefault="00CB7CD8" w:rsidP="00CB7CD8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Conflict-of-interest disclosure</w:t>
      </w:r>
      <w:r>
        <w:rPr>
          <w:rFonts w:ascii="Times New Roman" w:hAnsi="Times New Roman" w:cs="Times New Roman"/>
          <w:szCs w:val="20"/>
        </w:rPr>
        <w:t>: D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R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</w:t>
      </w:r>
      <w:proofErr w:type="spellStart"/>
      <w:r>
        <w:rPr>
          <w:rFonts w:ascii="Times New Roman" w:hAnsi="Times New Roman" w:cs="Times New Roman"/>
          <w:szCs w:val="20"/>
        </w:rPr>
        <w:t>Abbvie</w:t>
      </w:r>
      <w:proofErr w:type="spellEnd"/>
      <w:r>
        <w:rPr>
          <w:rFonts w:ascii="Times New Roman" w:hAnsi="Times New Roman" w:cs="Times New Roman"/>
          <w:szCs w:val="20"/>
        </w:rPr>
        <w:t>, AstraZeneca, Gilead, Janssen, Roche, and research grants from</w:t>
      </w:r>
      <w:r w:rsidRPr="00702B11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Abbvie</w:t>
      </w:r>
      <w:proofErr w:type="spellEnd"/>
      <w:r>
        <w:rPr>
          <w:rFonts w:ascii="Times New Roman" w:hAnsi="Times New Roman" w:cs="Times New Roman"/>
          <w:szCs w:val="20"/>
        </w:rPr>
        <w:t xml:space="preserve">, Gilead, Janssen, </w:t>
      </w:r>
      <w:proofErr w:type="spellStart"/>
      <w:proofErr w:type="gramStart"/>
      <w:r>
        <w:rPr>
          <w:rFonts w:ascii="Times New Roman" w:hAnsi="Times New Roman" w:cs="Times New Roman"/>
          <w:szCs w:val="20"/>
        </w:rPr>
        <w:t>Cellestia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 xml:space="preserve">. </w:t>
      </w:r>
      <w:r w:rsidRPr="006153EB">
        <w:rPr>
          <w:rFonts w:ascii="Times New Roman" w:hAnsi="Times New Roman" w:cs="Times New Roman"/>
          <w:szCs w:val="20"/>
        </w:rPr>
        <w:t>M</w:t>
      </w:r>
      <w:r w:rsidR="00255ACA">
        <w:rPr>
          <w:rFonts w:ascii="Times New Roman" w:hAnsi="Times New Roman" w:cs="Times New Roman"/>
          <w:szCs w:val="20"/>
        </w:rPr>
        <w:t xml:space="preserve">. </w:t>
      </w:r>
      <w:r w:rsidR="00255ACA" w:rsidRPr="00255ACA">
        <w:rPr>
          <w:rFonts w:ascii="Times New Roman" w:hAnsi="Times New Roman" w:cs="Times New Roman"/>
          <w:szCs w:val="20"/>
          <w:lang w:val="en-GB"/>
        </w:rPr>
        <w:t>H</w:t>
      </w:r>
      <w:r w:rsidR="00C0683A">
        <w:rPr>
          <w:rFonts w:ascii="Times New Roman" w:hAnsi="Times New Roman" w:cs="Times New Roman"/>
          <w:szCs w:val="20"/>
          <w:lang w:val="en-GB"/>
        </w:rPr>
        <w:t>allek</w:t>
      </w:r>
      <w:r>
        <w:rPr>
          <w:rFonts w:ascii="Times New Roman" w:hAnsi="Times New Roman" w:cs="Times New Roman"/>
          <w:szCs w:val="20"/>
        </w:rPr>
        <w:t xml:space="preserve"> received research support and honoraria from Roche, Gilead, </w:t>
      </w:r>
      <w:proofErr w:type="spellStart"/>
      <w:r>
        <w:rPr>
          <w:rFonts w:ascii="Times New Roman" w:hAnsi="Times New Roman" w:cs="Times New Roman"/>
          <w:szCs w:val="20"/>
        </w:rPr>
        <w:t>Mundipharma</w:t>
      </w:r>
      <w:proofErr w:type="spellEnd"/>
      <w:r>
        <w:rPr>
          <w:rFonts w:ascii="Times New Roman" w:hAnsi="Times New Roman" w:cs="Times New Roman"/>
          <w:szCs w:val="20"/>
        </w:rPr>
        <w:t xml:space="preserve">, Janssen, Celgene, </w:t>
      </w:r>
      <w:proofErr w:type="spellStart"/>
      <w:r>
        <w:rPr>
          <w:rFonts w:ascii="Times New Roman" w:hAnsi="Times New Roman" w:cs="Times New Roman"/>
          <w:szCs w:val="20"/>
        </w:rPr>
        <w:t>Pharmacyclics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Cs w:val="20"/>
        </w:rPr>
        <w:t>Abbvie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>. G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G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</w:t>
      </w:r>
      <w:proofErr w:type="spellStart"/>
      <w:r>
        <w:rPr>
          <w:rFonts w:ascii="Times New Roman" w:hAnsi="Times New Roman" w:cs="Times New Roman"/>
          <w:szCs w:val="20"/>
        </w:rPr>
        <w:t>Abbvie</w:t>
      </w:r>
      <w:proofErr w:type="spellEnd"/>
      <w:r>
        <w:rPr>
          <w:rFonts w:ascii="Times New Roman" w:hAnsi="Times New Roman" w:cs="Times New Roman"/>
          <w:szCs w:val="20"/>
        </w:rPr>
        <w:t xml:space="preserve">, Janssen, AstraZeneca, </w:t>
      </w:r>
      <w:proofErr w:type="spellStart"/>
      <w:proofErr w:type="gramStart"/>
      <w:r>
        <w:rPr>
          <w:rFonts w:ascii="Times New Roman" w:hAnsi="Times New Roman" w:cs="Times New Roman"/>
          <w:szCs w:val="20"/>
        </w:rPr>
        <w:t>Sunesis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>. G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S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Celgene and Gilead. S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A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P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research funding (to the institution) from </w:t>
      </w:r>
      <w:proofErr w:type="spellStart"/>
      <w:r w:rsidRPr="00966A75">
        <w:rPr>
          <w:rFonts w:ascii="Times New Roman" w:hAnsi="Times New Roman" w:cs="Times New Roman"/>
          <w:szCs w:val="20"/>
        </w:rPr>
        <w:t>Pharmacyclics</w:t>
      </w:r>
      <w:proofErr w:type="spellEnd"/>
      <w:r w:rsidRPr="00966A75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6A75">
        <w:rPr>
          <w:rFonts w:ascii="Times New Roman" w:hAnsi="Times New Roman" w:cs="Times New Roman"/>
          <w:szCs w:val="20"/>
        </w:rPr>
        <w:t>MorphoSys</w:t>
      </w:r>
      <w:proofErr w:type="spellEnd"/>
      <w:r w:rsidRPr="00966A75">
        <w:rPr>
          <w:rFonts w:ascii="Times New Roman" w:hAnsi="Times New Roman" w:cs="Times New Roman"/>
          <w:szCs w:val="20"/>
        </w:rPr>
        <w:t xml:space="preserve">, Janssen, AstraZeneca, and </w:t>
      </w:r>
      <w:proofErr w:type="spellStart"/>
      <w:r w:rsidRPr="00966A75">
        <w:rPr>
          <w:rFonts w:ascii="Times New Roman" w:hAnsi="Times New Roman" w:cs="Times New Roman"/>
          <w:szCs w:val="20"/>
        </w:rPr>
        <w:t>Ascentage</w:t>
      </w:r>
      <w:proofErr w:type="spellEnd"/>
      <w:r w:rsidRPr="00966A75">
        <w:rPr>
          <w:rFonts w:ascii="Times New Roman" w:hAnsi="Times New Roman" w:cs="Times New Roman"/>
          <w:szCs w:val="20"/>
        </w:rPr>
        <w:t xml:space="preserve"> Pharma for clinical studies </w:t>
      </w:r>
      <w:r>
        <w:rPr>
          <w:rFonts w:ascii="Times New Roman" w:hAnsi="Times New Roman" w:cs="Times New Roman"/>
          <w:szCs w:val="20"/>
        </w:rPr>
        <w:t xml:space="preserve">and honoraria from </w:t>
      </w:r>
      <w:proofErr w:type="spellStart"/>
      <w:r>
        <w:rPr>
          <w:rFonts w:ascii="Times New Roman" w:hAnsi="Times New Roman" w:cs="Times New Roman"/>
          <w:szCs w:val="20"/>
        </w:rPr>
        <w:t>P</w:t>
      </w:r>
      <w:r w:rsidRPr="00966A75">
        <w:rPr>
          <w:rFonts w:ascii="Times New Roman" w:hAnsi="Times New Roman" w:cs="Times New Roman"/>
          <w:szCs w:val="20"/>
        </w:rPr>
        <w:t>harmacyclics</w:t>
      </w:r>
      <w:proofErr w:type="spellEnd"/>
      <w:r w:rsidRPr="00966A75">
        <w:rPr>
          <w:rFonts w:ascii="Times New Roman" w:hAnsi="Times New Roman" w:cs="Times New Roman"/>
          <w:szCs w:val="20"/>
        </w:rPr>
        <w:t>, AstraZeneca, Genentech, Gilead, and AbbVie</w:t>
      </w:r>
      <w:r>
        <w:rPr>
          <w:rFonts w:ascii="Times New Roman" w:hAnsi="Times New Roman" w:cs="Times New Roman"/>
          <w:szCs w:val="20"/>
        </w:rPr>
        <w:t xml:space="preserve"> (all to the institution)</w:t>
      </w:r>
      <w:r w:rsidRPr="00966A75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R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Illumina, Roche, Janssen and AbbVie. R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F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</w:t>
      </w:r>
      <w:proofErr w:type="spellStart"/>
      <w:r>
        <w:rPr>
          <w:rFonts w:ascii="Times New Roman" w:hAnsi="Times New Roman" w:cs="Times New Roman"/>
          <w:szCs w:val="20"/>
        </w:rPr>
        <w:t>Abbvie</w:t>
      </w:r>
      <w:proofErr w:type="spellEnd"/>
      <w:r>
        <w:rPr>
          <w:rFonts w:ascii="Times New Roman" w:hAnsi="Times New Roman" w:cs="Times New Roman"/>
          <w:szCs w:val="20"/>
        </w:rPr>
        <w:t>, Janssen, Amgen, Novartis and AstraZeneca. F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F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honoraria from Janssen-</w:t>
      </w:r>
      <w:proofErr w:type="spellStart"/>
      <w:r w:rsidR="008931E2">
        <w:rPr>
          <w:rFonts w:ascii="Times New Roman" w:hAnsi="Times New Roman" w:cs="Times New Roman"/>
          <w:szCs w:val="20"/>
        </w:rPr>
        <w:t>C</w:t>
      </w:r>
      <w:r>
        <w:rPr>
          <w:rFonts w:ascii="Times New Roman" w:hAnsi="Times New Roman" w:cs="Times New Roman"/>
          <w:szCs w:val="20"/>
        </w:rPr>
        <w:t>ilag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Abbvie</w:t>
      </w:r>
      <w:proofErr w:type="spellEnd"/>
      <w:r>
        <w:rPr>
          <w:rFonts w:ascii="Times New Roman" w:hAnsi="Times New Roman" w:cs="Times New Roman"/>
          <w:szCs w:val="20"/>
        </w:rPr>
        <w:t xml:space="preserve"> and a research grant from Gilead. C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D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H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travel support and research funding from Roche. G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C</w:t>
      </w:r>
      <w:r w:rsidR="00255ACA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received a research grant from Gilead (fellowship program 2017).</w:t>
      </w:r>
    </w:p>
    <w:p w14:paraId="37144884" w14:textId="77777777" w:rsidR="00CB7CD8" w:rsidRDefault="00CB7CD8" w:rsidP="00CB7CD8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02EC586" w14:textId="77777777" w:rsidR="004F79B2" w:rsidRDefault="004F79B2" w:rsidP="00AB2B3B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D5C69CA" w14:textId="77777777" w:rsidR="00CB7CD8" w:rsidRPr="00EC7078" w:rsidRDefault="00CB7CD8" w:rsidP="00AB2B3B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D53487F" w14:textId="77777777" w:rsidR="004F79B2" w:rsidRDefault="004F79B2" w:rsidP="00AB2B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F10E902" w14:textId="77777777" w:rsidR="00355751" w:rsidRDefault="00355751" w:rsidP="00AB2B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66C7C665" w14:textId="77777777" w:rsidR="00355751" w:rsidRDefault="00674F27" w:rsidP="00EC1D7F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355751">
        <w:rPr>
          <w:rFonts w:ascii="Times New Roman" w:hAnsi="Times New Roman" w:cs="Times New Roman"/>
          <w:b/>
          <w:color w:val="000000"/>
        </w:rPr>
        <w:lastRenderedPageBreak/>
        <w:t>References</w:t>
      </w:r>
    </w:p>
    <w:p w14:paraId="1912F446" w14:textId="77777777" w:rsidR="00355751" w:rsidRDefault="00355751" w:rsidP="00355751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731E445" w14:textId="5382684F" w:rsidR="006F399F" w:rsidRPr="00A96FB2" w:rsidRDefault="00A13C39" w:rsidP="00F47FB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A13C39">
        <w:rPr>
          <w:color w:val="000000"/>
        </w:rPr>
        <w:t>Teras</w:t>
      </w:r>
      <w:proofErr w:type="spellEnd"/>
      <w:r w:rsidRPr="00A13C39">
        <w:rPr>
          <w:color w:val="000000"/>
        </w:rPr>
        <w:t xml:space="preserve"> LR, DeSantis CE, </w:t>
      </w:r>
      <w:proofErr w:type="spellStart"/>
      <w:r w:rsidRPr="00A13C39">
        <w:rPr>
          <w:color w:val="000000"/>
        </w:rPr>
        <w:t>Cerhan</w:t>
      </w:r>
      <w:proofErr w:type="spellEnd"/>
      <w:r w:rsidRPr="00A13C39">
        <w:rPr>
          <w:color w:val="000000"/>
        </w:rPr>
        <w:t xml:space="preserve"> JR, Morton LM, </w:t>
      </w:r>
      <w:proofErr w:type="spellStart"/>
      <w:r w:rsidRPr="00A13C39">
        <w:rPr>
          <w:color w:val="000000"/>
        </w:rPr>
        <w:t>Jemal</w:t>
      </w:r>
      <w:proofErr w:type="spellEnd"/>
      <w:r w:rsidRPr="00A13C39">
        <w:rPr>
          <w:color w:val="000000"/>
        </w:rPr>
        <w:t xml:space="preserve"> A, Flowers CR.</w:t>
      </w:r>
      <w:r>
        <w:rPr>
          <w:color w:val="000000"/>
        </w:rPr>
        <w:t xml:space="preserve"> </w:t>
      </w:r>
      <w:r w:rsidR="002511A5" w:rsidRPr="00A96FB2">
        <w:rPr>
          <w:color w:val="000000"/>
        </w:rPr>
        <w:t xml:space="preserve">2016 US lymphoid malignancy statistics by World Health Organization subtypes. </w:t>
      </w:r>
      <w:r w:rsidR="00440186" w:rsidRPr="00A13C39">
        <w:rPr>
          <w:i/>
          <w:iCs/>
          <w:color w:val="000000"/>
        </w:rPr>
        <w:t xml:space="preserve">CA Cancer J </w:t>
      </w:r>
      <w:proofErr w:type="spellStart"/>
      <w:r w:rsidR="00440186" w:rsidRPr="00A13C39">
        <w:rPr>
          <w:i/>
          <w:iCs/>
          <w:color w:val="000000"/>
        </w:rPr>
        <w:t>Clin</w:t>
      </w:r>
      <w:proofErr w:type="spellEnd"/>
      <w:r>
        <w:rPr>
          <w:color w:val="000000"/>
        </w:rPr>
        <w:t>. 2016;</w:t>
      </w:r>
      <w:r w:rsidR="00617C2B">
        <w:rPr>
          <w:color w:val="000000"/>
        </w:rPr>
        <w:t xml:space="preserve"> </w:t>
      </w:r>
      <w:r w:rsidR="00F47FB1" w:rsidRPr="00A96FB2">
        <w:rPr>
          <w:color w:val="000000"/>
        </w:rPr>
        <w:t>66</w:t>
      </w:r>
      <w:r>
        <w:rPr>
          <w:color w:val="000000"/>
        </w:rPr>
        <w:t>(6)</w:t>
      </w:r>
      <w:r w:rsidR="00F47FB1" w:rsidRPr="00A96FB2">
        <w:rPr>
          <w:color w:val="000000"/>
        </w:rPr>
        <w:t>:443-459</w:t>
      </w:r>
      <w:r>
        <w:rPr>
          <w:color w:val="000000"/>
        </w:rPr>
        <w:t>.</w:t>
      </w:r>
    </w:p>
    <w:p w14:paraId="200EDF72" w14:textId="4DDA8AF3" w:rsidR="003C1DC1" w:rsidRDefault="006F399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792343">
        <w:rPr>
          <w:color w:val="000000"/>
          <w:lang w:val="fr-FR"/>
        </w:rPr>
        <w:t>Abrisqueta</w:t>
      </w:r>
      <w:proofErr w:type="spellEnd"/>
      <w:r w:rsidRPr="00792343">
        <w:rPr>
          <w:color w:val="000000"/>
          <w:lang w:val="fr-FR"/>
        </w:rPr>
        <w:t xml:space="preserve"> P, Pereira A, </w:t>
      </w:r>
      <w:proofErr w:type="spellStart"/>
      <w:r w:rsidRPr="00792343">
        <w:rPr>
          <w:color w:val="000000"/>
          <w:lang w:val="fr-FR"/>
        </w:rPr>
        <w:t>Rozman</w:t>
      </w:r>
      <w:proofErr w:type="spellEnd"/>
      <w:r w:rsidRPr="00792343">
        <w:rPr>
          <w:color w:val="000000"/>
          <w:lang w:val="fr-FR"/>
        </w:rPr>
        <w:t xml:space="preserve"> C, </w:t>
      </w:r>
      <w:r w:rsidR="00440186" w:rsidRPr="00792343">
        <w:rPr>
          <w:color w:val="000000"/>
          <w:lang w:val="fr-FR"/>
        </w:rPr>
        <w:t>et al</w:t>
      </w:r>
      <w:r w:rsidRPr="00792343">
        <w:rPr>
          <w:color w:val="000000"/>
          <w:lang w:val="fr-FR"/>
        </w:rPr>
        <w:t xml:space="preserve">. </w:t>
      </w:r>
      <w:r w:rsidRPr="003E74CF">
        <w:rPr>
          <w:color w:val="000000"/>
        </w:rPr>
        <w:t>Improving survival in patients with chronic lymphocytic</w:t>
      </w:r>
      <w:r w:rsidRPr="006F399F">
        <w:rPr>
          <w:color w:val="000000"/>
        </w:rPr>
        <w:t xml:space="preserve"> leukemia (1980-2008): </w:t>
      </w:r>
      <w:r w:rsidR="00C13BF9" w:rsidRPr="006F399F">
        <w:rPr>
          <w:color w:val="000000"/>
        </w:rPr>
        <w:t>The</w:t>
      </w:r>
      <w:r w:rsidRPr="006F399F">
        <w:rPr>
          <w:color w:val="000000"/>
        </w:rPr>
        <w:t xml:space="preserve"> Hospital Clinic of Barcelona experience. </w:t>
      </w:r>
      <w:r w:rsidRPr="00A13C39">
        <w:rPr>
          <w:i/>
          <w:iCs/>
          <w:color w:val="000000"/>
        </w:rPr>
        <w:t>Blood</w:t>
      </w:r>
      <w:r w:rsidR="00A13C39" w:rsidRPr="00A13C39">
        <w:rPr>
          <w:color w:val="000000"/>
        </w:rPr>
        <w:t>.</w:t>
      </w:r>
      <w:r w:rsidR="00F47FB1">
        <w:rPr>
          <w:color w:val="000000"/>
        </w:rPr>
        <w:t xml:space="preserve"> </w:t>
      </w:r>
      <w:r w:rsidR="00A13C39">
        <w:rPr>
          <w:color w:val="000000"/>
        </w:rPr>
        <w:t>2009;</w:t>
      </w:r>
      <w:r w:rsidR="00617C2B">
        <w:rPr>
          <w:color w:val="000000"/>
        </w:rPr>
        <w:t xml:space="preserve"> </w:t>
      </w:r>
      <w:r w:rsidR="00F47FB1">
        <w:rPr>
          <w:color w:val="000000"/>
        </w:rPr>
        <w:t>1</w:t>
      </w:r>
      <w:r w:rsidRPr="006F399F">
        <w:rPr>
          <w:color w:val="000000"/>
        </w:rPr>
        <w:t>14</w:t>
      </w:r>
      <w:r w:rsidR="00A13C39">
        <w:rPr>
          <w:color w:val="000000"/>
        </w:rPr>
        <w:t>(10)</w:t>
      </w:r>
      <w:r w:rsidRPr="006F399F">
        <w:rPr>
          <w:color w:val="000000"/>
        </w:rPr>
        <w:t>:2044-</w:t>
      </w:r>
      <w:r w:rsidR="00440186">
        <w:rPr>
          <w:color w:val="000000"/>
        </w:rPr>
        <w:t>20</w:t>
      </w:r>
      <w:r w:rsidR="00F47FB1">
        <w:rPr>
          <w:color w:val="000000"/>
        </w:rPr>
        <w:t>50</w:t>
      </w:r>
      <w:r w:rsidR="00A13C39">
        <w:rPr>
          <w:color w:val="000000"/>
        </w:rPr>
        <w:t>.</w:t>
      </w:r>
    </w:p>
    <w:p w14:paraId="759ECA9D" w14:textId="563C4D3B" w:rsidR="006F5FCC" w:rsidRPr="003C1DC1" w:rsidRDefault="006F5FCC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792343">
        <w:rPr>
          <w:color w:val="000000"/>
        </w:rPr>
        <w:t xml:space="preserve">Cheson BD, Bennett JM, </w:t>
      </w:r>
      <w:proofErr w:type="spellStart"/>
      <w:r w:rsidRPr="00792343">
        <w:rPr>
          <w:color w:val="000000"/>
        </w:rPr>
        <w:t>Grever</w:t>
      </w:r>
      <w:proofErr w:type="spellEnd"/>
      <w:r w:rsidRPr="00792343">
        <w:rPr>
          <w:color w:val="000000"/>
        </w:rPr>
        <w:t xml:space="preserve"> M, et al. </w:t>
      </w:r>
      <w:r w:rsidRPr="003C1DC1">
        <w:rPr>
          <w:color w:val="000000"/>
        </w:rPr>
        <w:t>National Cancer Institute-sponsored Working Group guidelines for chronic lymphocytic leukemia: revised guidelines for diagnosis and treatment.</w:t>
      </w:r>
      <w:r w:rsidR="003C1DC1" w:rsidRPr="003C1DC1">
        <w:rPr>
          <w:color w:val="000000"/>
        </w:rPr>
        <w:t xml:space="preserve"> </w:t>
      </w:r>
      <w:r w:rsidR="003C1DC1" w:rsidRPr="00751C1C">
        <w:rPr>
          <w:i/>
          <w:iCs/>
          <w:color w:val="000000"/>
        </w:rPr>
        <w:t>Blood</w:t>
      </w:r>
      <w:r w:rsidR="00751C1C">
        <w:rPr>
          <w:color w:val="000000"/>
        </w:rPr>
        <w:t>.</w:t>
      </w:r>
      <w:r w:rsidR="00F47FB1">
        <w:rPr>
          <w:color w:val="000000"/>
        </w:rPr>
        <w:t xml:space="preserve"> </w:t>
      </w:r>
      <w:r w:rsidR="00751C1C">
        <w:rPr>
          <w:color w:val="000000"/>
        </w:rPr>
        <w:t>1996;</w:t>
      </w:r>
      <w:r w:rsidR="00617C2B">
        <w:rPr>
          <w:color w:val="000000"/>
        </w:rPr>
        <w:t xml:space="preserve"> </w:t>
      </w:r>
      <w:r w:rsidR="003C1DC1">
        <w:rPr>
          <w:color w:val="000000"/>
        </w:rPr>
        <w:t>87</w:t>
      </w:r>
      <w:r w:rsidR="00751C1C">
        <w:rPr>
          <w:color w:val="000000"/>
        </w:rPr>
        <w:t>(12)</w:t>
      </w:r>
      <w:r w:rsidR="003C1DC1" w:rsidRPr="003C1DC1">
        <w:rPr>
          <w:color w:val="000000"/>
        </w:rPr>
        <w:t>:4990-</w:t>
      </w:r>
      <w:r w:rsidR="003C1DC1">
        <w:rPr>
          <w:color w:val="000000"/>
        </w:rPr>
        <w:t>499</w:t>
      </w:r>
      <w:r w:rsidR="00F47FB1">
        <w:rPr>
          <w:color w:val="000000"/>
        </w:rPr>
        <w:t>7</w:t>
      </w:r>
      <w:r w:rsidR="00751C1C">
        <w:rPr>
          <w:color w:val="000000"/>
        </w:rPr>
        <w:t>.</w:t>
      </w:r>
    </w:p>
    <w:p w14:paraId="67CFDDB2" w14:textId="0DC9A794" w:rsidR="006F5FCC" w:rsidRPr="006F5FCC" w:rsidRDefault="006F5FCC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6F5FCC">
        <w:rPr>
          <w:color w:val="000000"/>
        </w:rPr>
        <w:t xml:space="preserve">Hallek M, Cheson BD, </w:t>
      </w:r>
      <w:proofErr w:type="spellStart"/>
      <w:r w:rsidRPr="006F5FCC">
        <w:rPr>
          <w:color w:val="000000"/>
        </w:rPr>
        <w:t>Catovsky</w:t>
      </w:r>
      <w:proofErr w:type="spellEnd"/>
      <w:r w:rsidRPr="006F5FCC">
        <w:rPr>
          <w:color w:val="000000"/>
        </w:rPr>
        <w:t xml:space="preserve"> D, et al. Guidelines for the diagnosis and treatment of chronic lymphocytic leukemia: a report from the International Workshop on Chronic Lymphocytic Leukemia updating the National Cancer Institute-Working Group 1996 guidelines. </w:t>
      </w:r>
      <w:r w:rsidRPr="00751C1C">
        <w:rPr>
          <w:i/>
          <w:iCs/>
          <w:color w:val="000000"/>
        </w:rPr>
        <w:t>Blood</w:t>
      </w:r>
      <w:r w:rsidR="00751C1C">
        <w:rPr>
          <w:color w:val="000000"/>
        </w:rPr>
        <w:t>.</w:t>
      </w:r>
      <w:r w:rsidR="00F47FB1">
        <w:rPr>
          <w:color w:val="000000"/>
        </w:rPr>
        <w:t xml:space="preserve"> </w:t>
      </w:r>
      <w:r w:rsidR="00751C1C">
        <w:rPr>
          <w:color w:val="000000"/>
        </w:rPr>
        <w:t>2008;</w:t>
      </w:r>
      <w:r w:rsidR="00617C2B">
        <w:rPr>
          <w:color w:val="000000"/>
        </w:rPr>
        <w:t xml:space="preserve"> </w:t>
      </w:r>
      <w:r w:rsidR="00F47FB1">
        <w:rPr>
          <w:color w:val="000000"/>
        </w:rPr>
        <w:t>11</w:t>
      </w:r>
      <w:r w:rsidR="00751C1C">
        <w:rPr>
          <w:color w:val="000000"/>
        </w:rPr>
        <w:t>(13)</w:t>
      </w:r>
      <w:r w:rsidR="00F47FB1">
        <w:rPr>
          <w:color w:val="000000"/>
        </w:rPr>
        <w:t>:5446-5456</w:t>
      </w:r>
      <w:r w:rsidR="00751C1C">
        <w:rPr>
          <w:color w:val="000000"/>
        </w:rPr>
        <w:t>.</w:t>
      </w:r>
    </w:p>
    <w:p w14:paraId="148E6D8F" w14:textId="11DCC664" w:rsidR="00147B4D" w:rsidRDefault="006F399F" w:rsidP="00147B4D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792343">
        <w:rPr>
          <w:color w:val="000000"/>
        </w:rPr>
        <w:t>Eichhorst</w:t>
      </w:r>
      <w:proofErr w:type="spellEnd"/>
      <w:r w:rsidRPr="00792343">
        <w:rPr>
          <w:color w:val="000000"/>
        </w:rPr>
        <w:t xml:space="preserve"> B, Robak T, Montserrat E, </w:t>
      </w:r>
      <w:r w:rsidR="00E45F48" w:rsidRPr="00792343">
        <w:rPr>
          <w:color w:val="000000"/>
        </w:rPr>
        <w:t>et al</w:t>
      </w:r>
      <w:r w:rsidRPr="00792343">
        <w:rPr>
          <w:color w:val="000000"/>
        </w:rPr>
        <w:t xml:space="preserve">. </w:t>
      </w:r>
      <w:r w:rsidRPr="006F5FCC">
        <w:rPr>
          <w:color w:val="000000"/>
        </w:rPr>
        <w:t xml:space="preserve">Chronic lymphocytic </w:t>
      </w:r>
      <w:proofErr w:type="spellStart"/>
      <w:r w:rsidRPr="006F5FCC">
        <w:rPr>
          <w:color w:val="000000"/>
        </w:rPr>
        <w:t>leukaemia</w:t>
      </w:r>
      <w:proofErr w:type="spellEnd"/>
      <w:r w:rsidRPr="006F5FCC">
        <w:rPr>
          <w:color w:val="000000"/>
        </w:rPr>
        <w:t xml:space="preserve">: ESMO Clinical Practice Guidelines for diagnosis, treatment and follow-up. </w:t>
      </w:r>
      <w:r w:rsidRPr="00147B4D">
        <w:rPr>
          <w:i/>
          <w:color w:val="000000"/>
        </w:rPr>
        <w:t>An</w:t>
      </w:r>
      <w:r w:rsidR="00E45F48" w:rsidRPr="00147B4D">
        <w:rPr>
          <w:i/>
          <w:color w:val="000000"/>
        </w:rPr>
        <w:t xml:space="preserve">n </w:t>
      </w:r>
      <w:proofErr w:type="spellStart"/>
      <w:r w:rsidR="00E45F48" w:rsidRPr="00147B4D">
        <w:rPr>
          <w:i/>
          <w:color w:val="000000"/>
        </w:rPr>
        <w:t>Oncol</w:t>
      </w:r>
      <w:proofErr w:type="spellEnd"/>
      <w:r w:rsidR="00751C1C">
        <w:rPr>
          <w:color w:val="000000"/>
        </w:rPr>
        <w:t>. 2015;</w:t>
      </w:r>
      <w:r w:rsidR="00617C2B">
        <w:rPr>
          <w:color w:val="000000"/>
        </w:rPr>
        <w:t xml:space="preserve"> </w:t>
      </w:r>
      <w:r w:rsidR="00C13BF9" w:rsidRPr="006F5FCC">
        <w:rPr>
          <w:color w:val="000000"/>
        </w:rPr>
        <w:t>26</w:t>
      </w:r>
      <w:r w:rsidR="00C13BF9">
        <w:rPr>
          <w:color w:val="000000"/>
        </w:rPr>
        <w:t>: v</w:t>
      </w:r>
      <w:r w:rsidR="00F47FB1">
        <w:rPr>
          <w:color w:val="000000"/>
        </w:rPr>
        <w:t>78-84, (</w:t>
      </w:r>
      <w:proofErr w:type="spellStart"/>
      <w:r w:rsidR="00F47FB1">
        <w:rPr>
          <w:color w:val="000000"/>
        </w:rPr>
        <w:t>s</w:t>
      </w:r>
      <w:r w:rsidR="00F47FB1" w:rsidRPr="006F5FCC">
        <w:rPr>
          <w:color w:val="000000"/>
        </w:rPr>
        <w:t>uppl</w:t>
      </w:r>
      <w:proofErr w:type="spellEnd"/>
      <w:r w:rsidR="00F47FB1" w:rsidRPr="006F5FCC">
        <w:rPr>
          <w:color w:val="000000"/>
        </w:rPr>
        <w:t xml:space="preserve"> 5</w:t>
      </w:r>
      <w:r w:rsidR="00F47FB1">
        <w:rPr>
          <w:color w:val="000000"/>
        </w:rPr>
        <w:t>)</w:t>
      </w:r>
      <w:r w:rsidR="00751C1C">
        <w:rPr>
          <w:color w:val="000000"/>
        </w:rPr>
        <w:t>.</w:t>
      </w:r>
    </w:p>
    <w:p w14:paraId="345A4C96" w14:textId="77777777" w:rsidR="00C61AB8" w:rsidRDefault="00C61AB8" w:rsidP="00C61AB8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3D36D4">
        <w:rPr>
          <w:color w:val="000000"/>
        </w:rPr>
        <w:t xml:space="preserve">Hallek M, Cheson BD, </w:t>
      </w:r>
      <w:proofErr w:type="spellStart"/>
      <w:r w:rsidRPr="003D36D4">
        <w:rPr>
          <w:color w:val="000000"/>
        </w:rPr>
        <w:t>Catovsky</w:t>
      </w:r>
      <w:proofErr w:type="spellEnd"/>
      <w:r w:rsidRPr="003D36D4">
        <w:rPr>
          <w:color w:val="000000"/>
        </w:rPr>
        <w:t xml:space="preserve"> D, et al. </w:t>
      </w:r>
      <w:proofErr w:type="spellStart"/>
      <w:r w:rsidRPr="003D36D4">
        <w:rPr>
          <w:color w:val="000000"/>
        </w:rPr>
        <w:t>iwCLL</w:t>
      </w:r>
      <w:proofErr w:type="spellEnd"/>
      <w:r w:rsidRPr="003D36D4">
        <w:rPr>
          <w:color w:val="000000"/>
        </w:rPr>
        <w:t xml:space="preserve"> guidelines for diagnosis, indications for treatment, response assessment, and supportive ma</w:t>
      </w:r>
      <w:r>
        <w:rPr>
          <w:color w:val="000000"/>
        </w:rPr>
        <w:t xml:space="preserve">nagement of CLL. </w:t>
      </w:r>
      <w:r w:rsidRPr="00A03D5F">
        <w:rPr>
          <w:i/>
          <w:iCs/>
          <w:color w:val="000000"/>
        </w:rPr>
        <w:t>Blood</w:t>
      </w:r>
      <w:r>
        <w:rPr>
          <w:color w:val="000000"/>
        </w:rPr>
        <w:t>. 2018; 131(25):2745-2760.</w:t>
      </w:r>
    </w:p>
    <w:p w14:paraId="556308E6" w14:textId="48F5A570" w:rsidR="00C61AB8" w:rsidRDefault="00C61AB8" w:rsidP="00C43DF4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</w:rPr>
      </w:pPr>
      <w:proofErr w:type="spellStart"/>
      <w:r w:rsidRPr="00C61AB8">
        <w:rPr>
          <w:color w:val="FF0000"/>
        </w:rPr>
        <w:t>Wierda</w:t>
      </w:r>
      <w:proofErr w:type="spellEnd"/>
      <w:r w:rsidRPr="00C61AB8">
        <w:rPr>
          <w:color w:val="FF0000"/>
        </w:rPr>
        <w:t xml:space="preserve"> WG, Byrd JC, Abramson JS, et al. NCCN Guidelines: Chronic Lymphocytic Leukemia/Small Lymphocytic Lymphoma, Version </w:t>
      </w:r>
      <w:r w:rsidR="00AB5080">
        <w:rPr>
          <w:color w:val="FF0000"/>
        </w:rPr>
        <w:t>4.2020</w:t>
      </w:r>
      <w:r w:rsidR="00C43DF4">
        <w:rPr>
          <w:color w:val="FF0000"/>
        </w:rPr>
        <w:t xml:space="preserve">. </w:t>
      </w:r>
      <w:r w:rsidR="00C43DF4" w:rsidRPr="00C43DF4">
        <w:rPr>
          <w:color w:val="FF0000"/>
        </w:rPr>
        <w:t>https://www.nccn.org/professionals/physician_gls/pdf/cll.pdf</w:t>
      </w:r>
      <w:r w:rsidR="00C43DF4">
        <w:rPr>
          <w:color w:val="FF0000"/>
        </w:rPr>
        <w:t xml:space="preserve">. Accessed 15 January 2020. </w:t>
      </w:r>
    </w:p>
    <w:p w14:paraId="5A3A03E1" w14:textId="6FF2EC60" w:rsidR="00147B4D" w:rsidRPr="00C61AB8" w:rsidRDefault="00147B4D" w:rsidP="008213D2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</w:rPr>
      </w:pPr>
      <w:proofErr w:type="spellStart"/>
      <w:r w:rsidRPr="00C61AB8">
        <w:rPr>
          <w:color w:val="FF0000"/>
        </w:rPr>
        <w:lastRenderedPageBreak/>
        <w:t>Shustik</w:t>
      </w:r>
      <w:proofErr w:type="spellEnd"/>
      <w:r w:rsidRPr="00C61AB8">
        <w:rPr>
          <w:color w:val="FF0000"/>
        </w:rPr>
        <w:t xml:space="preserve"> C, Mick R, Silver R, </w:t>
      </w:r>
      <w:proofErr w:type="spellStart"/>
      <w:r w:rsidRPr="00C61AB8">
        <w:rPr>
          <w:color w:val="FF0000"/>
        </w:rPr>
        <w:t>Sawitsky</w:t>
      </w:r>
      <w:proofErr w:type="spellEnd"/>
      <w:r w:rsidRPr="00C61AB8">
        <w:rPr>
          <w:color w:val="FF0000"/>
        </w:rPr>
        <w:t xml:space="preserve"> A, Rai K, Shapiro L. Treatment of early chronic lymphocytic leukemia: intermittent </w:t>
      </w:r>
      <w:proofErr w:type="spellStart"/>
      <w:r w:rsidRPr="00C61AB8">
        <w:rPr>
          <w:color w:val="FF0000"/>
        </w:rPr>
        <w:t>chlorambucil</w:t>
      </w:r>
      <w:proofErr w:type="spellEnd"/>
      <w:r w:rsidRPr="00C61AB8">
        <w:rPr>
          <w:color w:val="FF0000"/>
        </w:rPr>
        <w:t xml:space="preserve"> versus observation. </w:t>
      </w:r>
      <w:proofErr w:type="spellStart"/>
      <w:r w:rsidRPr="00C61AB8">
        <w:rPr>
          <w:i/>
          <w:color w:val="FF0000"/>
        </w:rPr>
        <w:t>Hematol</w:t>
      </w:r>
      <w:proofErr w:type="spellEnd"/>
      <w:r w:rsidRPr="00C61AB8">
        <w:rPr>
          <w:i/>
          <w:color w:val="FF0000"/>
        </w:rPr>
        <w:t xml:space="preserve"> </w:t>
      </w:r>
      <w:proofErr w:type="spellStart"/>
      <w:r w:rsidRPr="00C61AB8">
        <w:rPr>
          <w:i/>
          <w:color w:val="FF0000"/>
        </w:rPr>
        <w:t>Oncol</w:t>
      </w:r>
      <w:proofErr w:type="spellEnd"/>
      <w:r w:rsidRPr="00C61AB8">
        <w:rPr>
          <w:color w:val="FF0000"/>
        </w:rPr>
        <w:t>. 1988; 6</w:t>
      </w:r>
      <w:r w:rsidR="00E5317B" w:rsidRPr="00C61AB8">
        <w:rPr>
          <w:color w:val="FF0000"/>
        </w:rPr>
        <w:t>(1)</w:t>
      </w:r>
      <w:r w:rsidRPr="00C61AB8">
        <w:rPr>
          <w:color w:val="FF0000"/>
        </w:rPr>
        <w:t>:7-12.</w:t>
      </w:r>
    </w:p>
    <w:p w14:paraId="5D894385" w14:textId="50BBF495" w:rsidR="00147B4D" w:rsidRPr="00984F31" w:rsidRDefault="00147B4D" w:rsidP="00147B4D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</w:rPr>
      </w:pPr>
      <w:proofErr w:type="spellStart"/>
      <w:r w:rsidRPr="00984F31">
        <w:rPr>
          <w:color w:val="FF0000"/>
        </w:rPr>
        <w:t>Dighiero</w:t>
      </w:r>
      <w:proofErr w:type="spellEnd"/>
      <w:r w:rsidRPr="00984F31">
        <w:rPr>
          <w:color w:val="FF0000"/>
        </w:rPr>
        <w:t xml:space="preserve"> G, </w:t>
      </w:r>
      <w:proofErr w:type="spellStart"/>
      <w:r w:rsidRPr="00984F31">
        <w:rPr>
          <w:color w:val="FF0000"/>
        </w:rPr>
        <w:t>Maloum</w:t>
      </w:r>
      <w:proofErr w:type="spellEnd"/>
      <w:r w:rsidRPr="00984F31">
        <w:rPr>
          <w:color w:val="FF0000"/>
        </w:rPr>
        <w:t xml:space="preserve"> K, </w:t>
      </w:r>
      <w:proofErr w:type="spellStart"/>
      <w:r w:rsidRPr="00984F31">
        <w:rPr>
          <w:color w:val="FF0000"/>
        </w:rPr>
        <w:t>Desablens</w:t>
      </w:r>
      <w:proofErr w:type="spellEnd"/>
      <w:r w:rsidRPr="00984F31">
        <w:rPr>
          <w:color w:val="FF0000"/>
        </w:rPr>
        <w:t xml:space="preserve"> B, et al; French Cooperative Group on Chronic Lymphocytic Leukemia. </w:t>
      </w:r>
      <w:proofErr w:type="spellStart"/>
      <w:r w:rsidRPr="00984F31">
        <w:rPr>
          <w:color w:val="FF0000"/>
        </w:rPr>
        <w:t>Chlorambucil</w:t>
      </w:r>
      <w:proofErr w:type="spellEnd"/>
      <w:r w:rsidRPr="00984F31">
        <w:rPr>
          <w:color w:val="FF0000"/>
        </w:rPr>
        <w:t xml:space="preserve"> in indolent chronic lymphocytic leukemia. </w:t>
      </w:r>
      <w:r w:rsidRPr="00984F31">
        <w:rPr>
          <w:i/>
          <w:color w:val="FF0000"/>
        </w:rPr>
        <w:t>N</w:t>
      </w:r>
      <w:r w:rsidRPr="00984F31">
        <w:rPr>
          <w:color w:val="FF0000"/>
        </w:rPr>
        <w:t xml:space="preserve"> </w:t>
      </w:r>
      <w:proofErr w:type="spellStart"/>
      <w:r w:rsidRPr="00984F31">
        <w:rPr>
          <w:i/>
          <w:color w:val="FF0000"/>
        </w:rPr>
        <w:t>Engl</w:t>
      </w:r>
      <w:proofErr w:type="spellEnd"/>
      <w:r w:rsidRPr="00984F31">
        <w:rPr>
          <w:i/>
          <w:color w:val="FF0000"/>
        </w:rPr>
        <w:t xml:space="preserve"> J Med</w:t>
      </w:r>
      <w:r w:rsidRPr="00984F31">
        <w:rPr>
          <w:color w:val="FF0000"/>
        </w:rPr>
        <w:t>. 1998;</w:t>
      </w:r>
      <w:r w:rsidR="00617C2B">
        <w:rPr>
          <w:color w:val="FF0000"/>
        </w:rPr>
        <w:t xml:space="preserve"> </w:t>
      </w:r>
      <w:r w:rsidRPr="00984F31">
        <w:rPr>
          <w:color w:val="FF0000"/>
        </w:rPr>
        <w:t>338</w:t>
      </w:r>
      <w:r w:rsidR="00E5317B" w:rsidRPr="00984F31">
        <w:rPr>
          <w:color w:val="FF0000"/>
        </w:rPr>
        <w:t>(21)</w:t>
      </w:r>
      <w:r w:rsidRPr="00984F31">
        <w:rPr>
          <w:color w:val="FF0000"/>
        </w:rPr>
        <w:t>:1506-1514.</w:t>
      </w:r>
    </w:p>
    <w:p w14:paraId="38E24022" w14:textId="1726F67E" w:rsidR="00147B4D" w:rsidRPr="00984F31" w:rsidRDefault="00147B4D" w:rsidP="00147B4D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</w:rPr>
      </w:pPr>
      <w:r w:rsidRPr="00CD0B61">
        <w:rPr>
          <w:color w:val="FF0000"/>
          <w:lang w:val="de-DE"/>
        </w:rPr>
        <w:t xml:space="preserve">Schweighofer CD, </w:t>
      </w:r>
      <w:proofErr w:type="spellStart"/>
      <w:r w:rsidRPr="00CD0B61">
        <w:rPr>
          <w:color w:val="FF0000"/>
          <w:lang w:val="de-DE"/>
        </w:rPr>
        <w:t>Cymbalista</w:t>
      </w:r>
      <w:proofErr w:type="spellEnd"/>
      <w:r w:rsidRPr="00CD0B61">
        <w:rPr>
          <w:color w:val="FF0000"/>
          <w:lang w:val="de-DE"/>
        </w:rPr>
        <w:t xml:space="preserve"> F, Müller C, et al. </w:t>
      </w:r>
      <w:r w:rsidRPr="00984F31">
        <w:rPr>
          <w:color w:val="FF0000"/>
        </w:rPr>
        <w:t xml:space="preserve">Early versus deferred treatment with combined </w:t>
      </w:r>
      <w:proofErr w:type="spellStart"/>
      <w:r w:rsidRPr="00984F31">
        <w:rPr>
          <w:color w:val="FF0000"/>
        </w:rPr>
        <w:t>fludarabine</w:t>
      </w:r>
      <w:proofErr w:type="spellEnd"/>
      <w:r w:rsidRPr="00984F31">
        <w:rPr>
          <w:color w:val="FF0000"/>
        </w:rPr>
        <w:t xml:space="preserve">, cyclophosphamide and rituximab (FCR) improves event-free survival in patients with high-risk </w:t>
      </w:r>
      <w:proofErr w:type="spellStart"/>
      <w:r w:rsidRPr="00984F31">
        <w:rPr>
          <w:color w:val="FF0000"/>
        </w:rPr>
        <w:t>Binet</w:t>
      </w:r>
      <w:proofErr w:type="spellEnd"/>
      <w:r w:rsidRPr="00984F31">
        <w:rPr>
          <w:color w:val="FF0000"/>
        </w:rPr>
        <w:t xml:space="preserve"> stage A chronic lymphocytic leukemia – first results of a randomized German-French Cooperative Phase III Trial. </w:t>
      </w:r>
      <w:r w:rsidRPr="00984F31">
        <w:rPr>
          <w:i/>
          <w:color w:val="FF0000"/>
        </w:rPr>
        <w:t>Blood</w:t>
      </w:r>
      <w:r w:rsidRPr="00984F31">
        <w:rPr>
          <w:color w:val="FF0000"/>
        </w:rPr>
        <w:t>. 2013;</w:t>
      </w:r>
      <w:r w:rsidR="00617C2B">
        <w:rPr>
          <w:color w:val="FF0000"/>
        </w:rPr>
        <w:t xml:space="preserve"> </w:t>
      </w:r>
      <w:r w:rsidRPr="00984F31">
        <w:rPr>
          <w:color w:val="FF0000"/>
        </w:rPr>
        <w:t>122:524.</w:t>
      </w:r>
    </w:p>
    <w:p w14:paraId="2F8BE2D1" w14:textId="77C62AD4" w:rsidR="009C4E88" w:rsidRDefault="00E5317B" w:rsidP="002F185F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</w:rPr>
      </w:pPr>
      <w:r w:rsidRPr="009C4E88">
        <w:rPr>
          <w:color w:val="FF0000"/>
          <w:lang w:val="de-DE"/>
        </w:rPr>
        <w:t xml:space="preserve">Hoechstetter MA, Busch R, </w:t>
      </w:r>
      <w:proofErr w:type="spellStart"/>
      <w:r w:rsidRPr="009C4E88">
        <w:rPr>
          <w:color w:val="FF0000"/>
          <w:lang w:val="de-DE"/>
        </w:rPr>
        <w:t>Eichhorst</w:t>
      </w:r>
      <w:proofErr w:type="spellEnd"/>
      <w:r w:rsidRPr="009C4E88">
        <w:rPr>
          <w:color w:val="FF0000"/>
          <w:lang w:val="de-DE"/>
        </w:rPr>
        <w:t xml:space="preserve"> B, et al. </w:t>
      </w:r>
      <w:r w:rsidRPr="009C4E88">
        <w:rPr>
          <w:color w:val="FF0000"/>
        </w:rPr>
        <w:t xml:space="preserve">Early, risk-adapted treatment with </w:t>
      </w:r>
      <w:proofErr w:type="spellStart"/>
      <w:r w:rsidRPr="009C4E88">
        <w:rPr>
          <w:color w:val="FF0000"/>
        </w:rPr>
        <w:t>fludarabine</w:t>
      </w:r>
      <w:proofErr w:type="spellEnd"/>
      <w:r w:rsidRPr="009C4E88">
        <w:rPr>
          <w:color w:val="FF0000"/>
        </w:rPr>
        <w:t xml:space="preserve"> in </w:t>
      </w:r>
      <w:proofErr w:type="spellStart"/>
      <w:r w:rsidRPr="009C4E88">
        <w:rPr>
          <w:color w:val="FF0000"/>
        </w:rPr>
        <w:t>Binet</w:t>
      </w:r>
      <w:proofErr w:type="spellEnd"/>
      <w:r w:rsidRPr="009C4E88">
        <w:rPr>
          <w:color w:val="FF0000"/>
        </w:rPr>
        <w:t xml:space="preserve"> stage A chronic lymphocytic leukemia patients: results of the CLL1 trial of the German CLL study group. </w:t>
      </w:r>
      <w:r w:rsidRPr="009C4E88">
        <w:rPr>
          <w:i/>
          <w:iCs/>
          <w:color w:val="FF0000"/>
        </w:rPr>
        <w:t>Leukemia</w:t>
      </w:r>
      <w:r w:rsidRPr="009C4E88">
        <w:rPr>
          <w:color w:val="FF0000"/>
        </w:rPr>
        <w:t>. 2017;</w:t>
      </w:r>
      <w:r w:rsidR="00617C2B">
        <w:rPr>
          <w:color w:val="FF0000"/>
        </w:rPr>
        <w:t xml:space="preserve"> </w:t>
      </w:r>
      <w:r w:rsidRPr="009C4E88">
        <w:rPr>
          <w:color w:val="FF0000"/>
        </w:rPr>
        <w:t>31(12):2833-2837.</w:t>
      </w:r>
    </w:p>
    <w:p w14:paraId="3346CD71" w14:textId="7127232F" w:rsidR="002642A8" w:rsidRPr="009C4E88" w:rsidRDefault="00425CBF" w:rsidP="009C4E88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</w:rPr>
      </w:pPr>
      <w:r w:rsidRPr="009C4E88">
        <w:rPr>
          <w:bCs/>
          <w:color w:val="FF0000"/>
        </w:rPr>
        <w:t xml:space="preserve">CLL </w:t>
      </w:r>
      <w:proofErr w:type="spellStart"/>
      <w:r w:rsidRPr="009C4E88">
        <w:rPr>
          <w:bCs/>
          <w:color w:val="FF0000"/>
        </w:rPr>
        <w:t>Trialists</w:t>
      </w:r>
      <w:proofErr w:type="spellEnd"/>
      <w:r w:rsidRPr="009C4E88">
        <w:rPr>
          <w:bCs/>
          <w:color w:val="FF0000"/>
        </w:rPr>
        <w:t>' Collaborative Group.</w:t>
      </w:r>
      <w:r w:rsidRPr="009C4E88">
        <w:rPr>
          <w:b/>
          <w:bCs/>
          <w:color w:val="FF0000"/>
        </w:rPr>
        <w:t xml:space="preserve"> </w:t>
      </w:r>
      <w:r w:rsidR="002642A8" w:rsidRPr="009C4E88">
        <w:rPr>
          <w:bCs/>
          <w:color w:val="FF0000"/>
        </w:rPr>
        <w:t xml:space="preserve">Chemotherapeutic options in chronic lymphocytic leukemia: a meta-analysis of the randomized trials. </w:t>
      </w:r>
      <w:r w:rsidR="002642A8" w:rsidRPr="009C4E88">
        <w:rPr>
          <w:i/>
          <w:color w:val="FF0000"/>
        </w:rPr>
        <w:t>JNCI</w:t>
      </w:r>
      <w:r w:rsidR="009C4E88">
        <w:rPr>
          <w:color w:val="FF0000"/>
        </w:rPr>
        <w:t>.</w:t>
      </w:r>
      <w:r w:rsidR="002642A8" w:rsidRPr="009C4E88">
        <w:rPr>
          <w:color w:val="FF0000"/>
        </w:rPr>
        <w:t xml:space="preserve"> 1999</w:t>
      </w:r>
      <w:r w:rsidR="008213D2">
        <w:rPr>
          <w:color w:val="FF0000"/>
        </w:rPr>
        <w:t>;</w:t>
      </w:r>
      <w:r w:rsidR="002642A8" w:rsidRPr="009C4E88">
        <w:rPr>
          <w:color w:val="FF0000"/>
        </w:rPr>
        <w:t xml:space="preserve"> 91</w:t>
      </w:r>
      <w:r w:rsidR="009C4E88">
        <w:rPr>
          <w:color w:val="FF0000"/>
        </w:rPr>
        <w:t>(10)</w:t>
      </w:r>
      <w:r w:rsidR="002642A8" w:rsidRPr="009C4E88">
        <w:rPr>
          <w:color w:val="FF0000"/>
        </w:rPr>
        <w:t>: 861-868.</w:t>
      </w:r>
    </w:p>
    <w:p w14:paraId="366EE37A" w14:textId="5D028770" w:rsidR="0002683F" w:rsidRPr="0002683F" w:rsidRDefault="0002683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02683F">
        <w:rPr>
          <w:color w:val="000000"/>
        </w:rPr>
        <w:t xml:space="preserve">Hallek M, </w:t>
      </w:r>
      <w:proofErr w:type="spellStart"/>
      <w:r w:rsidRPr="0002683F">
        <w:rPr>
          <w:color w:val="000000"/>
        </w:rPr>
        <w:t>Shanafelt</w:t>
      </w:r>
      <w:proofErr w:type="spellEnd"/>
      <w:r w:rsidRPr="0002683F">
        <w:rPr>
          <w:color w:val="000000"/>
        </w:rPr>
        <w:t xml:space="preserve"> TD, </w:t>
      </w:r>
      <w:proofErr w:type="spellStart"/>
      <w:r w:rsidRPr="0002683F">
        <w:rPr>
          <w:color w:val="000000"/>
        </w:rPr>
        <w:t>Eichhorst</w:t>
      </w:r>
      <w:proofErr w:type="spellEnd"/>
      <w:r w:rsidRPr="0002683F">
        <w:rPr>
          <w:color w:val="000000"/>
        </w:rPr>
        <w:t xml:space="preserve"> B. Chronic lymphocytic </w:t>
      </w:r>
      <w:proofErr w:type="spellStart"/>
      <w:r w:rsidRPr="0002683F">
        <w:rPr>
          <w:color w:val="000000"/>
        </w:rPr>
        <w:t>leukaemia</w:t>
      </w:r>
      <w:proofErr w:type="spellEnd"/>
      <w:r w:rsidRPr="0002683F">
        <w:rPr>
          <w:color w:val="000000"/>
        </w:rPr>
        <w:t xml:space="preserve">. </w:t>
      </w:r>
      <w:r w:rsidRPr="00751C1C">
        <w:rPr>
          <w:i/>
          <w:iCs/>
          <w:color w:val="000000"/>
        </w:rPr>
        <w:t>Lancet</w:t>
      </w:r>
      <w:r w:rsidR="00751C1C">
        <w:rPr>
          <w:color w:val="000000"/>
        </w:rPr>
        <w:t>. 2018;</w:t>
      </w:r>
      <w:r w:rsidR="00617C2B">
        <w:rPr>
          <w:color w:val="000000"/>
        </w:rPr>
        <w:t xml:space="preserve"> </w:t>
      </w:r>
      <w:r>
        <w:rPr>
          <w:color w:val="000000"/>
        </w:rPr>
        <w:t>391</w:t>
      </w:r>
      <w:r w:rsidR="00751C1C" w:rsidRPr="00751C1C">
        <w:t xml:space="preserve"> </w:t>
      </w:r>
      <w:r w:rsidR="00751C1C" w:rsidRPr="00751C1C">
        <w:rPr>
          <w:color w:val="000000"/>
        </w:rPr>
        <w:t>(10129)</w:t>
      </w:r>
      <w:r w:rsidR="00A96FB2">
        <w:rPr>
          <w:color w:val="000000"/>
        </w:rPr>
        <w:t>:1524-1537</w:t>
      </w:r>
      <w:r w:rsidR="00751C1C">
        <w:rPr>
          <w:color w:val="000000"/>
        </w:rPr>
        <w:t xml:space="preserve">. </w:t>
      </w:r>
    </w:p>
    <w:p w14:paraId="57199C75" w14:textId="1489B62F" w:rsidR="0002683F" w:rsidRDefault="00314BFB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E45F48">
        <w:rPr>
          <w:color w:val="000000"/>
          <w:lang w:val="fr-FR"/>
        </w:rPr>
        <w:t xml:space="preserve">Sant M, </w:t>
      </w:r>
      <w:proofErr w:type="spellStart"/>
      <w:r w:rsidRPr="00E45F48">
        <w:rPr>
          <w:color w:val="000000"/>
          <w:lang w:val="fr-FR"/>
        </w:rPr>
        <w:t>Allemani</w:t>
      </w:r>
      <w:proofErr w:type="spellEnd"/>
      <w:r w:rsidRPr="00E45F48">
        <w:rPr>
          <w:color w:val="000000"/>
          <w:lang w:val="fr-FR"/>
        </w:rPr>
        <w:t xml:space="preserve"> C, </w:t>
      </w:r>
      <w:proofErr w:type="spellStart"/>
      <w:r w:rsidRPr="00E45F48">
        <w:rPr>
          <w:color w:val="000000"/>
          <w:lang w:val="fr-FR"/>
        </w:rPr>
        <w:t>Tereanu</w:t>
      </w:r>
      <w:proofErr w:type="spellEnd"/>
      <w:r w:rsidRPr="00E45F48">
        <w:rPr>
          <w:color w:val="000000"/>
          <w:lang w:val="fr-FR"/>
        </w:rPr>
        <w:t xml:space="preserve"> C,</w:t>
      </w:r>
      <w:r w:rsidR="00E45F48" w:rsidRPr="00E45F48">
        <w:rPr>
          <w:color w:val="000000"/>
          <w:lang w:val="fr-FR"/>
        </w:rPr>
        <w:t xml:space="preserve"> et al</w:t>
      </w:r>
      <w:r w:rsidRPr="00E45F48">
        <w:rPr>
          <w:color w:val="000000"/>
          <w:lang w:val="fr-FR"/>
        </w:rPr>
        <w:t xml:space="preserve">. </w:t>
      </w:r>
      <w:r w:rsidRPr="00314BFB">
        <w:rPr>
          <w:color w:val="000000"/>
        </w:rPr>
        <w:t xml:space="preserve">Incidence of hematologic malignancies in Europe by morphologic subtype: results </w:t>
      </w:r>
      <w:r w:rsidR="00E45F48">
        <w:rPr>
          <w:color w:val="000000"/>
        </w:rPr>
        <w:t xml:space="preserve">of the HAEMACARE project. </w:t>
      </w:r>
      <w:r w:rsidR="00E45F48" w:rsidRPr="00751C1C">
        <w:rPr>
          <w:i/>
          <w:iCs/>
          <w:color w:val="000000"/>
        </w:rPr>
        <w:t>Blood</w:t>
      </w:r>
      <w:r w:rsidR="00751C1C">
        <w:rPr>
          <w:color w:val="000000"/>
        </w:rPr>
        <w:t>.</w:t>
      </w:r>
      <w:r w:rsidR="00A96FB2">
        <w:rPr>
          <w:color w:val="000000"/>
        </w:rPr>
        <w:t xml:space="preserve"> </w:t>
      </w:r>
      <w:r w:rsidR="00751C1C">
        <w:rPr>
          <w:color w:val="000000"/>
        </w:rPr>
        <w:t>2010;</w:t>
      </w:r>
      <w:r w:rsidR="00617C2B">
        <w:rPr>
          <w:color w:val="000000"/>
        </w:rPr>
        <w:t xml:space="preserve"> </w:t>
      </w:r>
      <w:r w:rsidR="00E45F48">
        <w:rPr>
          <w:color w:val="000000"/>
        </w:rPr>
        <w:t>116</w:t>
      </w:r>
      <w:r w:rsidR="00751C1C">
        <w:rPr>
          <w:color w:val="000000"/>
        </w:rPr>
        <w:t>(19)</w:t>
      </w:r>
      <w:r w:rsidRPr="00314BFB">
        <w:rPr>
          <w:color w:val="000000"/>
        </w:rPr>
        <w:t>:3724-</w:t>
      </w:r>
      <w:r w:rsidR="00E45F48">
        <w:rPr>
          <w:color w:val="000000"/>
        </w:rPr>
        <w:t>37</w:t>
      </w:r>
      <w:r w:rsidRPr="00314BFB">
        <w:rPr>
          <w:color w:val="000000"/>
        </w:rPr>
        <w:t>34</w:t>
      </w:r>
      <w:r w:rsidR="00751C1C">
        <w:rPr>
          <w:color w:val="000000"/>
        </w:rPr>
        <w:t>.</w:t>
      </w:r>
    </w:p>
    <w:p w14:paraId="72F02AAD" w14:textId="7BDE55E6" w:rsidR="00147B4D" w:rsidRPr="00984F31" w:rsidRDefault="00147B4D" w:rsidP="00147B4D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</w:rPr>
      </w:pPr>
      <w:r w:rsidRPr="00CD0B61">
        <w:rPr>
          <w:color w:val="FF0000"/>
          <w:lang w:val="de-DE"/>
        </w:rPr>
        <w:t xml:space="preserve">Langerbeins P, Bahlo J, Rhein C, et al. </w:t>
      </w:r>
      <w:proofErr w:type="spellStart"/>
      <w:r w:rsidRPr="00984F31">
        <w:rPr>
          <w:color w:val="FF0000"/>
        </w:rPr>
        <w:t>Ibrutinib</w:t>
      </w:r>
      <w:proofErr w:type="spellEnd"/>
      <w:r w:rsidRPr="00984F31">
        <w:rPr>
          <w:color w:val="FF0000"/>
        </w:rPr>
        <w:t xml:space="preserve"> versus placebo in patients with asymptomatic, treatment-naïve ear</w:t>
      </w:r>
      <w:r w:rsidR="007660E7">
        <w:rPr>
          <w:color w:val="FF0000"/>
        </w:rPr>
        <w:t>l</w:t>
      </w:r>
      <w:r w:rsidRPr="00984F31">
        <w:rPr>
          <w:color w:val="FF0000"/>
        </w:rPr>
        <w:t>y stag</w:t>
      </w:r>
      <w:r w:rsidR="007660E7">
        <w:rPr>
          <w:color w:val="FF0000"/>
        </w:rPr>
        <w:t xml:space="preserve">e </w:t>
      </w:r>
      <w:r w:rsidRPr="00984F31">
        <w:rPr>
          <w:color w:val="FF0000"/>
        </w:rPr>
        <w:t>CLL: primary endpoint results of the phase 3 double-blind randomized CLL12 trial</w:t>
      </w:r>
      <w:r w:rsidR="00AB5080">
        <w:rPr>
          <w:color w:val="FF0000"/>
        </w:rPr>
        <w:t xml:space="preserve"> [abstract]</w:t>
      </w:r>
      <w:r w:rsidR="007660E7">
        <w:rPr>
          <w:color w:val="FF0000"/>
        </w:rPr>
        <w:t xml:space="preserve">. </w:t>
      </w:r>
      <w:proofErr w:type="spellStart"/>
      <w:r w:rsidR="007660E7" w:rsidRPr="007660E7">
        <w:rPr>
          <w:i/>
          <w:color w:val="FF0000"/>
        </w:rPr>
        <w:t>Haematol</w:t>
      </w:r>
      <w:proofErr w:type="spellEnd"/>
      <w:r w:rsidR="007660E7" w:rsidRPr="007660E7">
        <w:rPr>
          <w:i/>
          <w:color w:val="FF0000"/>
        </w:rPr>
        <w:t xml:space="preserve"> </w:t>
      </w:r>
      <w:proofErr w:type="spellStart"/>
      <w:r w:rsidR="007660E7" w:rsidRPr="007660E7">
        <w:rPr>
          <w:i/>
          <w:color w:val="FF0000"/>
        </w:rPr>
        <w:t>Oncol</w:t>
      </w:r>
      <w:proofErr w:type="spellEnd"/>
      <w:r w:rsidR="007660E7">
        <w:rPr>
          <w:color w:val="FF0000"/>
        </w:rPr>
        <w:t>. 2019</w:t>
      </w:r>
      <w:proofErr w:type="gramStart"/>
      <w:r w:rsidR="007660E7">
        <w:rPr>
          <w:color w:val="FF0000"/>
        </w:rPr>
        <w:t>;S2:38</w:t>
      </w:r>
      <w:proofErr w:type="gramEnd"/>
      <w:r w:rsidR="007660E7">
        <w:rPr>
          <w:color w:val="FF0000"/>
        </w:rPr>
        <w:t>-40.</w:t>
      </w:r>
    </w:p>
    <w:p w14:paraId="0C9405E1" w14:textId="2A75EB4A" w:rsidR="008A4F18" w:rsidRDefault="008A4F1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E45F48">
        <w:rPr>
          <w:color w:val="000000"/>
          <w:lang w:val="de-DE"/>
        </w:rPr>
        <w:lastRenderedPageBreak/>
        <w:t>Wierda</w:t>
      </w:r>
      <w:proofErr w:type="spellEnd"/>
      <w:r w:rsidRPr="00E45F48">
        <w:rPr>
          <w:color w:val="000000"/>
          <w:lang w:val="de-DE"/>
        </w:rPr>
        <w:t xml:space="preserve"> WG, O'Brien S, Wang X, et al. </w:t>
      </w:r>
      <w:r w:rsidRPr="007B25F0">
        <w:rPr>
          <w:color w:val="000000"/>
        </w:rPr>
        <w:t>Multivariable model for time to first treatment in patients with chronic lym</w:t>
      </w:r>
      <w:r>
        <w:rPr>
          <w:color w:val="000000"/>
        </w:rPr>
        <w:t>phocytic leukemia</w:t>
      </w:r>
      <w:r w:rsidRPr="002F69CB">
        <w:rPr>
          <w:i/>
          <w:iCs/>
          <w:color w:val="000000"/>
        </w:rPr>
        <w:t xml:space="preserve">. J </w:t>
      </w:r>
      <w:proofErr w:type="spellStart"/>
      <w:r w:rsidRPr="002F69CB">
        <w:rPr>
          <w:i/>
          <w:iCs/>
          <w:color w:val="000000"/>
        </w:rPr>
        <w:t>Clin</w:t>
      </w:r>
      <w:proofErr w:type="spellEnd"/>
      <w:r w:rsidRPr="002F69CB">
        <w:rPr>
          <w:i/>
          <w:iCs/>
          <w:color w:val="000000"/>
        </w:rPr>
        <w:t xml:space="preserve"> </w:t>
      </w:r>
      <w:proofErr w:type="spellStart"/>
      <w:r w:rsidRPr="002F69CB">
        <w:rPr>
          <w:i/>
          <w:iCs/>
          <w:color w:val="000000"/>
        </w:rPr>
        <w:t>Oncol</w:t>
      </w:r>
      <w:proofErr w:type="spellEnd"/>
      <w:r w:rsidR="002F69CB">
        <w:rPr>
          <w:color w:val="000000"/>
        </w:rPr>
        <w:t>. 2011;</w:t>
      </w:r>
      <w:r w:rsidR="00617C2B">
        <w:rPr>
          <w:color w:val="000000"/>
        </w:rPr>
        <w:t xml:space="preserve"> </w:t>
      </w:r>
      <w:r w:rsidRPr="007B25F0">
        <w:rPr>
          <w:color w:val="000000"/>
        </w:rPr>
        <w:t>29</w:t>
      </w:r>
      <w:r w:rsidR="002F69CB">
        <w:rPr>
          <w:color w:val="000000"/>
        </w:rPr>
        <w:t>(31)</w:t>
      </w:r>
      <w:r w:rsidRPr="007B25F0">
        <w:rPr>
          <w:color w:val="000000"/>
        </w:rPr>
        <w:t>:4088-</w:t>
      </w:r>
      <w:r>
        <w:rPr>
          <w:color w:val="000000"/>
        </w:rPr>
        <w:t>40</w:t>
      </w:r>
      <w:r w:rsidR="00A96FB2">
        <w:rPr>
          <w:color w:val="000000"/>
        </w:rPr>
        <w:t>95</w:t>
      </w:r>
      <w:r w:rsidR="002F69CB">
        <w:rPr>
          <w:color w:val="000000"/>
        </w:rPr>
        <w:t>.</w:t>
      </w:r>
    </w:p>
    <w:p w14:paraId="25B24642" w14:textId="27362B9C" w:rsidR="008A4F18" w:rsidRDefault="008A4F1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E45F48">
        <w:rPr>
          <w:color w:val="000000"/>
          <w:lang w:val="it-IT"/>
        </w:rPr>
        <w:t>Molica</w:t>
      </w:r>
      <w:proofErr w:type="spellEnd"/>
      <w:r w:rsidRPr="00E45F48">
        <w:rPr>
          <w:color w:val="000000"/>
          <w:lang w:val="it-IT"/>
        </w:rPr>
        <w:t xml:space="preserve"> S, </w:t>
      </w:r>
      <w:proofErr w:type="spellStart"/>
      <w:r w:rsidRPr="00E45F48">
        <w:rPr>
          <w:color w:val="000000"/>
          <w:lang w:val="it-IT"/>
        </w:rPr>
        <w:t>Giannarelli</w:t>
      </w:r>
      <w:proofErr w:type="spellEnd"/>
      <w:r w:rsidRPr="00E45F48">
        <w:rPr>
          <w:color w:val="000000"/>
          <w:lang w:val="it-IT"/>
        </w:rPr>
        <w:t xml:space="preserve"> D, Gentile M, et al. </w:t>
      </w:r>
      <w:r w:rsidRPr="007B25F0">
        <w:rPr>
          <w:color w:val="000000"/>
        </w:rPr>
        <w:t>External validation on a prospective basis of a nomogram for predicting the time to first treatment in patients with chron</w:t>
      </w:r>
      <w:r>
        <w:rPr>
          <w:color w:val="000000"/>
        </w:rPr>
        <w:t xml:space="preserve">ic lymphocytic leukemia. </w:t>
      </w:r>
      <w:r w:rsidRPr="0005173F">
        <w:rPr>
          <w:i/>
          <w:iCs/>
          <w:color w:val="000000"/>
        </w:rPr>
        <w:t>Cancer</w:t>
      </w:r>
      <w:r w:rsidR="0005173F">
        <w:rPr>
          <w:color w:val="000000"/>
        </w:rPr>
        <w:t>.</w:t>
      </w:r>
      <w:r w:rsidR="00A96FB2">
        <w:rPr>
          <w:color w:val="000000"/>
        </w:rPr>
        <w:t xml:space="preserve"> </w:t>
      </w:r>
      <w:r w:rsidR="0005173F">
        <w:rPr>
          <w:color w:val="000000"/>
        </w:rPr>
        <w:t>2013;</w:t>
      </w:r>
      <w:r w:rsidR="00617C2B">
        <w:rPr>
          <w:color w:val="000000"/>
        </w:rPr>
        <w:t xml:space="preserve"> </w:t>
      </w:r>
      <w:r w:rsidRPr="007B25F0">
        <w:rPr>
          <w:color w:val="000000"/>
        </w:rPr>
        <w:t>119</w:t>
      </w:r>
      <w:r w:rsidR="0005173F">
        <w:rPr>
          <w:color w:val="000000"/>
        </w:rPr>
        <w:t>(6)</w:t>
      </w:r>
      <w:r w:rsidRPr="007B25F0">
        <w:rPr>
          <w:color w:val="000000"/>
        </w:rPr>
        <w:t>:1177-</w:t>
      </w:r>
      <w:r>
        <w:rPr>
          <w:color w:val="000000"/>
        </w:rPr>
        <w:t>11</w:t>
      </w:r>
      <w:r w:rsidRPr="007B25F0">
        <w:rPr>
          <w:color w:val="000000"/>
        </w:rPr>
        <w:t>85</w:t>
      </w:r>
      <w:r w:rsidR="0005173F">
        <w:rPr>
          <w:color w:val="000000"/>
        </w:rPr>
        <w:t>.</w:t>
      </w:r>
    </w:p>
    <w:p w14:paraId="433E0A53" w14:textId="0FC8B55E" w:rsidR="008A4F18" w:rsidRPr="008A4F18" w:rsidRDefault="008A4F1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8A4F18">
        <w:rPr>
          <w:color w:val="000000"/>
          <w:lang w:val="fr-FR"/>
        </w:rPr>
        <w:t>Mansouri</w:t>
      </w:r>
      <w:proofErr w:type="spellEnd"/>
      <w:r w:rsidRPr="008A4F18">
        <w:rPr>
          <w:color w:val="000000"/>
          <w:lang w:val="fr-FR"/>
        </w:rPr>
        <w:t> L, </w:t>
      </w:r>
      <w:proofErr w:type="spellStart"/>
      <w:r w:rsidRPr="008A4F18">
        <w:rPr>
          <w:color w:val="000000"/>
          <w:lang w:val="fr-FR"/>
        </w:rPr>
        <w:t>Cahill</w:t>
      </w:r>
      <w:proofErr w:type="spellEnd"/>
      <w:r w:rsidRPr="008A4F18">
        <w:rPr>
          <w:color w:val="000000"/>
          <w:lang w:val="fr-FR"/>
        </w:rPr>
        <w:t xml:space="preserve"> N, </w:t>
      </w:r>
      <w:proofErr w:type="spellStart"/>
      <w:r w:rsidRPr="008A4F18">
        <w:rPr>
          <w:color w:val="000000"/>
          <w:lang w:val="fr-FR"/>
        </w:rPr>
        <w:t>Gunnarsson</w:t>
      </w:r>
      <w:proofErr w:type="spellEnd"/>
      <w:r w:rsidRPr="008A4F18">
        <w:rPr>
          <w:color w:val="000000"/>
          <w:lang w:val="fr-FR"/>
        </w:rPr>
        <w:t xml:space="preserve"> R, et al. </w:t>
      </w:r>
      <w:r w:rsidRPr="008A4F18">
        <w:rPr>
          <w:color w:val="000000"/>
        </w:rPr>
        <w:t xml:space="preserve">NOTCH1 and SF3B1 mutations can be added to the hierarchical prognostic classification in chronic lymphocytic leukemia. </w:t>
      </w:r>
      <w:r w:rsidRPr="0005173F">
        <w:rPr>
          <w:i/>
          <w:iCs/>
        </w:rPr>
        <w:t>Leukemia</w:t>
      </w:r>
      <w:r w:rsidR="0005173F">
        <w:t>. 2013;</w:t>
      </w:r>
      <w:r w:rsidR="00617C2B">
        <w:t xml:space="preserve"> </w:t>
      </w:r>
      <w:r>
        <w:rPr>
          <w:color w:val="000000"/>
        </w:rPr>
        <w:t>27</w:t>
      </w:r>
      <w:r w:rsidR="0005173F">
        <w:rPr>
          <w:color w:val="000000"/>
        </w:rPr>
        <w:t>(2)</w:t>
      </w:r>
      <w:r w:rsidRPr="008A4F18">
        <w:rPr>
          <w:color w:val="000000"/>
        </w:rPr>
        <w:t>:512-</w:t>
      </w:r>
      <w:r>
        <w:rPr>
          <w:color w:val="000000"/>
        </w:rPr>
        <w:t>51</w:t>
      </w:r>
      <w:r w:rsidRPr="008A4F18">
        <w:rPr>
          <w:color w:val="000000"/>
        </w:rPr>
        <w:t>4</w:t>
      </w:r>
      <w:r w:rsidR="0005173F">
        <w:rPr>
          <w:color w:val="000000"/>
        </w:rPr>
        <w:t>.</w:t>
      </w:r>
    </w:p>
    <w:p w14:paraId="3E1EDC68" w14:textId="07F3735D" w:rsidR="008A4F18" w:rsidRDefault="008A4F1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E45F48">
        <w:rPr>
          <w:color w:val="000000"/>
          <w:lang w:val="it-IT"/>
        </w:rPr>
        <w:t xml:space="preserve">Rossi D, Rasi S, Spina V, et al. </w:t>
      </w:r>
      <w:r w:rsidRPr="007B25F0">
        <w:rPr>
          <w:color w:val="000000"/>
        </w:rPr>
        <w:t>Integrated mutational and cytogenetic analysis identifies new prognostic subgroups in chronic ly</w:t>
      </w:r>
      <w:r>
        <w:rPr>
          <w:color w:val="000000"/>
        </w:rPr>
        <w:t xml:space="preserve">mphocytic leukemia. </w:t>
      </w:r>
      <w:r w:rsidRPr="0005173F">
        <w:rPr>
          <w:i/>
          <w:iCs/>
          <w:color w:val="000000"/>
        </w:rPr>
        <w:t>Blood</w:t>
      </w:r>
      <w:r w:rsidR="0005173F">
        <w:rPr>
          <w:color w:val="000000"/>
        </w:rPr>
        <w:t>. 2013;</w:t>
      </w:r>
      <w:r w:rsidR="00617C2B">
        <w:rPr>
          <w:color w:val="000000"/>
        </w:rPr>
        <w:t xml:space="preserve"> </w:t>
      </w:r>
      <w:r w:rsidRPr="007B25F0">
        <w:rPr>
          <w:color w:val="000000"/>
        </w:rPr>
        <w:t>121</w:t>
      </w:r>
      <w:r w:rsidR="0005173F">
        <w:rPr>
          <w:color w:val="000000"/>
        </w:rPr>
        <w:t>(8)</w:t>
      </w:r>
      <w:r w:rsidRPr="007B25F0">
        <w:rPr>
          <w:color w:val="000000"/>
        </w:rPr>
        <w:t>:1403-</w:t>
      </w:r>
      <w:r>
        <w:rPr>
          <w:color w:val="000000"/>
        </w:rPr>
        <w:t>14</w:t>
      </w:r>
      <w:r w:rsidR="00A96FB2">
        <w:rPr>
          <w:color w:val="000000"/>
        </w:rPr>
        <w:t>12</w:t>
      </w:r>
      <w:r w:rsidR="0005173F">
        <w:rPr>
          <w:color w:val="000000"/>
        </w:rPr>
        <w:t>.</w:t>
      </w:r>
    </w:p>
    <w:p w14:paraId="40FA5BD8" w14:textId="175C86B8" w:rsidR="007B25F0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7B25F0">
        <w:rPr>
          <w:color w:val="000000"/>
        </w:rPr>
        <w:t xml:space="preserve">International CLL-IPI working group. An international prognostic index for patients with chronic lymphocytic </w:t>
      </w:r>
      <w:proofErr w:type="spellStart"/>
      <w:r w:rsidRPr="007B25F0">
        <w:rPr>
          <w:color w:val="000000"/>
        </w:rPr>
        <w:t>leukaemia</w:t>
      </w:r>
      <w:proofErr w:type="spellEnd"/>
      <w:r w:rsidRPr="007B25F0">
        <w:rPr>
          <w:color w:val="000000"/>
        </w:rPr>
        <w:t xml:space="preserve"> (CLL-IPI): a meta-analysis of indivi</w:t>
      </w:r>
      <w:r w:rsidR="00E45F48">
        <w:rPr>
          <w:color w:val="000000"/>
        </w:rPr>
        <w:t xml:space="preserve">dual patient data. </w:t>
      </w:r>
      <w:r w:rsidR="00E45F48" w:rsidRPr="00A03D5F">
        <w:rPr>
          <w:i/>
          <w:iCs/>
          <w:color w:val="000000"/>
        </w:rPr>
        <w:t xml:space="preserve">Lancet </w:t>
      </w:r>
      <w:proofErr w:type="spellStart"/>
      <w:r w:rsidR="00E45F48" w:rsidRPr="00A03D5F">
        <w:rPr>
          <w:i/>
          <w:iCs/>
          <w:color w:val="000000"/>
        </w:rPr>
        <w:t>Oncol</w:t>
      </w:r>
      <w:proofErr w:type="spellEnd"/>
      <w:r w:rsidR="00A03D5F">
        <w:rPr>
          <w:color w:val="000000"/>
        </w:rPr>
        <w:t>. 2016;</w:t>
      </w:r>
      <w:r w:rsidR="00617C2B">
        <w:rPr>
          <w:color w:val="000000"/>
        </w:rPr>
        <w:t xml:space="preserve"> </w:t>
      </w:r>
      <w:r w:rsidR="00C96B7C">
        <w:rPr>
          <w:color w:val="000000"/>
        </w:rPr>
        <w:t>17</w:t>
      </w:r>
      <w:r w:rsidR="00A03D5F">
        <w:rPr>
          <w:color w:val="000000"/>
        </w:rPr>
        <w:t>(6)</w:t>
      </w:r>
      <w:r w:rsidR="00C96B7C">
        <w:rPr>
          <w:color w:val="000000"/>
        </w:rPr>
        <w:t>:779-790</w:t>
      </w:r>
      <w:r w:rsidR="00A03D5F">
        <w:rPr>
          <w:color w:val="000000"/>
        </w:rPr>
        <w:t>.</w:t>
      </w:r>
    </w:p>
    <w:p w14:paraId="5FA2540B" w14:textId="4D279C31" w:rsidR="007B25F0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E45F48">
        <w:rPr>
          <w:color w:val="000000"/>
          <w:lang w:val="fr-FR"/>
        </w:rPr>
        <w:t xml:space="preserve">Delgado J, Doubek M, Baumann T, </w:t>
      </w:r>
      <w:r w:rsidR="00E45F48" w:rsidRPr="00E45F48">
        <w:rPr>
          <w:color w:val="000000"/>
          <w:lang w:val="fr-FR"/>
        </w:rPr>
        <w:t>et al</w:t>
      </w:r>
      <w:r w:rsidRPr="00E45F48">
        <w:rPr>
          <w:color w:val="000000"/>
          <w:lang w:val="fr-FR"/>
        </w:rPr>
        <w:t xml:space="preserve">. </w:t>
      </w:r>
      <w:r w:rsidRPr="007B25F0">
        <w:rPr>
          <w:color w:val="000000"/>
        </w:rPr>
        <w:t>Chronic lymphocytic leukemia: A prognostic model comprising only two biomarkers (IGHV mutational status and FISH cytogenetics) separates patients with different outcome and simpl</w:t>
      </w:r>
      <w:r w:rsidR="00E45F48">
        <w:rPr>
          <w:color w:val="000000"/>
        </w:rPr>
        <w:t xml:space="preserve">ifies the CLL-IPI. </w:t>
      </w:r>
      <w:r w:rsidR="00E45F48" w:rsidRPr="00A03D5F">
        <w:rPr>
          <w:i/>
          <w:iCs/>
          <w:color w:val="000000"/>
        </w:rPr>
        <w:t xml:space="preserve">Am J </w:t>
      </w:r>
      <w:proofErr w:type="spellStart"/>
      <w:r w:rsidR="00E45F48" w:rsidRPr="00A03D5F">
        <w:rPr>
          <w:i/>
          <w:iCs/>
          <w:color w:val="000000"/>
        </w:rPr>
        <w:t>Hematol</w:t>
      </w:r>
      <w:proofErr w:type="spellEnd"/>
      <w:r w:rsidR="00A03D5F">
        <w:rPr>
          <w:color w:val="000000"/>
        </w:rPr>
        <w:t>. 2017;</w:t>
      </w:r>
      <w:r w:rsidR="00617C2B">
        <w:rPr>
          <w:color w:val="000000"/>
        </w:rPr>
        <w:t xml:space="preserve"> </w:t>
      </w:r>
      <w:r w:rsidRPr="007B25F0">
        <w:rPr>
          <w:color w:val="000000"/>
        </w:rPr>
        <w:t>92</w:t>
      </w:r>
      <w:r w:rsidR="00A03D5F">
        <w:rPr>
          <w:color w:val="000000"/>
        </w:rPr>
        <w:t>(4)</w:t>
      </w:r>
      <w:r w:rsidRPr="007B25F0">
        <w:rPr>
          <w:color w:val="000000"/>
        </w:rPr>
        <w:t>:375-380</w:t>
      </w:r>
      <w:r w:rsidR="00A03D5F">
        <w:rPr>
          <w:color w:val="000000"/>
        </w:rPr>
        <w:t>.</w:t>
      </w:r>
    </w:p>
    <w:p w14:paraId="34972E51" w14:textId="30863DB5" w:rsidR="005A1C98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C96B7C">
        <w:rPr>
          <w:color w:val="000000"/>
          <w:lang w:val="de-DE"/>
        </w:rPr>
        <w:t>McShane</w:t>
      </w:r>
      <w:proofErr w:type="spellEnd"/>
      <w:r w:rsidRPr="00C96B7C">
        <w:rPr>
          <w:color w:val="000000"/>
          <w:lang w:val="de-DE"/>
        </w:rPr>
        <w:t xml:space="preserve"> LM, Altman DG, Sauerbrei W, </w:t>
      </w:r>
      <w:r w:rsidR="00C96B7C" w:rsidRPr="00C96B7C">
        <w:rPr>
          <w:color w:val="000000"/>
          <w:lang w:val="de-DE"/>
        </w:rPr>
        <w:t>et al</w:t>
      </w:r>
      <w:r w:rsidRPr="00C96B7C">
        <w:rPr>
          <w:color w:val="000000"/>
          <w:lang w:val="de-DE"/>
        </w:rPr>
        <w:t xml:space="preserve">. </w:t>
      </w:r>
      <w:r w:rsidRPr="007B25F0">
        <w:rPr>
          <w:color w:val="000000"/>
        </w:rPr>
        <w:t>Reporting recommendations for tumor marker prognostic studies (REMARK</w:t>
      </w:r>
      <w:r w:rsidR="00E45F48">
        <w:rPr>
          <w:color w:val="000000"/>
        </w:rPr>
        <w:t xml:space="preserve">). </w:t>
      </w:r>
      <w:r w:rsidR="00E45F48" w:rsidRPr="00A03D5F">
        <w:rPr>
          <w:i/>
          <w:iCs/>
          <w:color w:val="000000"/>
        </w:rPr>
        <w:t>J Natl Cancer Inst</w:t>
      </w:r>
      <w:r w:rsidR="00A03D5F">
        <w:rPr>
          <w:color w:val="000000"/>
        </w:rPr>
        <w:t>. 2005;</w:t>
      </w:r>
      <w:r w:rsidR="00617C2B">
        <w:rPr>
          <w:color w:val="000000"/>
        </w:rPr>
        <w:t xml:space="preserve"> </w:t>
      </w:r>
      <w:r w:rsidRPr="007B25F0">
        <w:rPr>
          <w:color w:val="000000"/>
        </w:rPr>
        <w:t>97</w:t>
      </w:r>
      <w:r w:rsidR="00A03D5F">
        <w:rPr>
          <w:color w:val="000000"/>
        </w:rPr>
        <w:t>(16)</w:t>
      </w:r>
      <w:r w:rsidRPr="007B25F0">
        <w:rPr>
          <w:color w:val="000000"/>
        </w:rPr>
        <w:t>:1180-</w:t>
      </w:r>
      <w:r w:rsidR="00E45F48">
        <w:rPr>
          <w:color w:val="000000"/>
        </w:rPr>
        <w:t>118</w:t>
      </w:r>
      <w:r w:rsidR="00C96B7C">
        <w:rPr>
          <w:color w:val="000000"/>
        </w:rPr>
        <w:t>4</w:t>
      </w:r>
      <w:r w:rsidR="00A03D5F">
        <w:rPr>
          <w:color w:val="000000"/>
        </w:rPr>
        <w:t>.</w:t>
      </w:r>
    </w:p>
    <w:p w14:paraId="5EB333CB" w14:textId="06A429B9" w:rsidR="00AF39B3" w:rsidRPr="00AF39B3" w:rsidRDefault="00AF39B3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AF39B3">
        <w:rPr>
          <w:color w:val="000000"/>
        </w:rPr>
        <w:t>Bain BJ. Ethnic and sex differences in the total and differential white cell count and platelet count</w:t>
      </w:r>
      <w:r>
        <w:rPr>
          <w:color w:val="000000"/>
        </w:rPr>
        <w:t xml:space="preserve">. </w:t>
      </w:r>
      <w:r w:rsidRPr="00DF6686">
        <w:rPr>
          <w:i/>
          <w:iCs/>
          <w:color w:val="000000"/>
        </w:rPr>
        <w:t xml:space="preserve">J </w:t>
      </w:r>
      <w:proofErr w:type="spellStart"/>
      <w:r w:rsidRPr="00DF6686">
        <w:rPr>
          <w:i/>
          <w:iCs/>
          <w:color w:val="000000"/>
        </w:rPr>
        <w:t>Clin</w:t>
      </w:r>
      <w:proofErr w:type="spellEnd"/>
      <w:r w:rsidRPr="00DF6686">
        <w:rPr>
          <w:i/>
          <w:iCs/>
          <w:color w:val="000000"/>
        </w:rPr>
        <w:t xml:space="preserve"> </w:t>
      </w:r>
      <w:proofErr w:type="spellStart"/>
      <w:r w:rsidRPr="00DF6686">
        <w:rPr>
          <w:i/>
          <w:iCs/>
          <w:color w:val="000000"/>
        </w:rPr>
        <w:t>Pathol</w:t>
      </w:r>
      <w:proofErr w:type="spellEnd"/>
      <w:r w:rsidR="00DF6686">
        <w:rPr>
          <w:color w:val="000000"/>
        </w:rPr>
        <w:t>.</w:t>
      </w:r>
      <w:r w:rsidR="00C96B7C">
        <w:rPr>
          <w:color w:val="000000"/>
        </w:rPr>
        <w:t xml:space="preserve"> </w:t>
      </w:r>
      <w:r w:rsidR="00DF6686">
        <w:rPr>
          <w:color w:val="000000"/>
        </w:rPr>
        <w:t>1996;</w:t>
      </w:r>
      <w:r w:rsidR="00617C2B">
        <w:rPr>
          <w:color w:val="000000"/>
        </w:rPr>
        <w:t xml:space="preserve"> </w:t>
      </w:r>
      <w:r>
        <w:rPr>
          <w:color w:val="000000"/>
        </w:rPr>
        <w:t>49</w:t>
      </w:r>
      <w:r w:rsidR="00DF6686">
        <w:rPr>
          <w:color w:val="000000"/>
        </w:rPr>
        <w:t>(8)</w:t>
      </w:r>
      <w:r>
        <w:rPr>
          <w:color w:val="000000"/>
        </w:rPr>
        <w:t>:664-</w:t>
      </w:r>
      <w:r w:rsidR="00C96B7C">
        <w:rPr>
          <w:color w:val="000000"/>
        </w:rPr>
        <w:t>666</w:t>
      </w:r>
      <w:r w:rsidR="00DF6686">
        <w:rPr>
          <w:color w:val="000000"/>
        </w:rPr>
        <w:t>.</w:t>
      </w:r>
    </w:p>
    <w:p w14:paraId="1BD6D521" w14:textId="77777777" w:rsidR="0024023D" w:rsidRDefault="005A1C9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AF39B3">
        <w:rPr>
          <w:color w:val="000000"/>
          <w:lang w:val="fr-FR"/>
        </w:rPr>
        <w:t>Damle</w:t>
      </w:r>
      <w:proofErr w:type="spellEnd"/>
      <w:r w:rsidRPr="00AF39B3">
        <w:rPr>
          <w:color w:val="000000"/>
          <w:lang w:val="fr-FR"/>
        </w:rPr>
        <w:t xml:space="preserve"> RN, </w:t>
      </w:r>
      <w:proofErr w:type="spellStart"/>
      <w:r w:rsidRPr="00AF39B3">
        <w:rPr>
          <w:color w:val="000000"/>
          <w:lang w:val="fr-FR"/>
        </w:rPr>
        <w:t>Wasil</w:t>
      </w:r>
      <w:proofErr w:type="spellEnd"/>
      <w:r w:rsidRPr="00AF39B3">
        <w:rPr>
          <w:color w:val="000000"/>
          <w:lang w:val="fr-FR"/>
        </w:rPr>
        <w:t xml:space="preserve"> T, Fais F, et al. </w:t>
      </w:r>
      <w:r w:rsidRPr="005A1C98">
        <w:rPr>
          <w:color w:val="000000"/>
        </w:rPr>
        <w:t xml:space="preserve">Ig V gene mutation status and CD38 expression as novel prognostic indicators in chronic lymphocytic leukemia. </w:t>
      </w:r>
      <w:r w:rsidRPr="00DF6686">
        <w:rPr>
          <w:i/>
          <w:iCs/>
        </w:rPr>
        <w:t>Blood</w:t>
      </w:r>
      <w:r w:rsidR="00DF6686">
        <w:t>.</w:t>
      </w:r>
      <w:r w:rsidR="00C96B7C">
        <w:t xml:space="preserve"> </w:t>
      </w:r>
      <w:r w:rsidR="00DF6686">
        <w:t>1999</w:t>
      </w:r>
      <w:proofErr w:type="gramStart"/>
      <w:r w:rsidR="00DF6686">
        <w:t>;</w:t>
      </w:r>
      <w:r>
        <w:rPr>
          <w:color w:val="000000"/>
        </w:rPr>
        <w:t>94</w:t>
      </w:r>
      <w:proofErr w:type="gramEnd"/>
      <w:r w:rsidR="00DF6686">
        <w:rPr>
          <w:color w:val="000000"/>
        </w:rPr>
        <w:t>(6)</w:t>
      </w:r>
      <w:r w:rsidRPr="005A1C98">
        <w:rPr>
          <w:color w:val="000000"/>
        </w:rPr>
        <w:t>:1840-</w:t>
      </w:r>
      <w:r>
        <w:rPr>
          <w:color w:val="000000"/>
        </w:rPr>
        <w:t>184</w:t>
      </w:r>
      <w:r w:rsidR="00C96B7C">
        <w:rPr>
          <w:color w:val="000000"/>
        </w:rPr>
        <w:t>7</w:t>
      </w:r>
      <w:r w:rsidR="00DF6686">
        <w:rPr>
          <w:color w:val="000000"/>
        </w:rPr>
        <w:t>.</w:t>
      </w:r>
    </w:p>
    <w:p w14:paraId="1BBB196C" w14:textId="35C7CE04" w:rsidR="007540FF" w:rsidRDefault="00DF6686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677F03">
        <w:rPr>
          <w:color w:val="000000"/>
        </w:rPr>
        <w:lastRenderedPageBreak/>
        <w:t xml:space="preserve">Hamblin TJ, Davis Z, Gardiner A, </w:t>
      </w:r>
      <w:proofErr w:type="spellStart"/>
      <w:r w:rsidRPr="00677F03">
        <w:rPr>
          <w:color w:val="000000"/>
        </w:rPr>
        <w:t>Oscier</w:t>
      </w:r>
      <w:proofErr w:type="spellEnd"/>
      <w:r w:rsidRPr="00677F03">
        <w:rPr>
          <w:color w:val="000000"/>
        </w:rPr>
        <w:t xml:space="preserve"> DG, Stevenson FK</w:t>
      </w:r>
      <w:r w:rsidR="0024023D" w:rsidRPr="00677F03">
        <w:rPr>
          <w:color w:val="000000"/>
        </w:rPr>
        <w:t xml:space="preserve">. </w:t>
      </w:r>
      <w:proofErr w:type="spellStart"/>
      <w:r w:rsidR="0024023D" w:rsidRPr="0024023D">
        <w:rPr>
          <w:color w:val="000000"/>
        </w:rPr>
        <w:t>Unmutated</w:t>
      </w:r>
      <w:proofErr w:type="spellEnd"/>
      <w:r w:rsidR="0024023D" w:rsidRPr="0024023D">
        <w:rPr>
          <w:color w:val="000000"/>
        </w:rPr>
        <w:t xml:space="preserve"> Ig </w:t>
      </w:r>
      <w:proofErr w:type="gramStart"/>
      <w:r w:rsidR="0024023D" w:rsidRPr="0024023D">
        <w:rPr>
          <w:color w:val="000000"/>
        </w:rPr>
        <w:t>V(</w:t>
      </w:r>
      <w:proofErr w:type="gramEnd"/>
      <w:r w:rsidR="0024023D" w:rsidRPr="0024023D">
        <w:rPr>
          <w:color w:val="000000"/>
        </w:rPr>
        <w:t>H) genes are associated with a more aggressive form of chronic lymphocytic leukemia. Blood</w:t>
      </w:r>
      <w:r>
        <w:rPr>
          <w:color w:val="000000"/>
        </w:rPr>
        <w:t>. 1999;</w:t>
      </w:r>
      <w:r w:rsidR="00617C2B">
        <w:rPr>
          <w:color w:val="000000"/>
        </w:rPr>
        <w:t xml:space="preserve"> </w:t>
      </w:r>
      <w:r w:rsidR="0024023D">
        <w:rPr>
          <w:color w:val="000000"/>
        </w:rPr>
        <w:t>94</w:t>
      </w:r>
      <w:r>
        <w:rPr>
          <w:color w:val="000000"/>
        </w:rPr>
        <w:t>(6)</w:t>
      </w:r>
      <w:r w:rsidR="0024023D" w:rsidRPr="0024023D">
        <w:rPr>
          <w:color w:val="000000"/>
        </w:rPr>
        <w:t>:1848-</w:t>
      </w:r>
      <w:r w:rsidR="0024023D">
        <w:rPr>
          <w:color w:val="000000"/>
        </w:rPr>
        <w:t>18</w:t>
      </w:r>
      <w:r w:rsidR="00C96B7C">
        <w:rPr>
          <w:color w:val="000000"/>
        </w:rPr>
        <w:t>54</w:t>
      </w:r>
      <w:r>
        <w:rPr>
          <w:color w:val="000000"/>
        </w:rPr>
        <w:t>.</w:t>
      </w:r>
    </w:p>
    <w:p w14:paraId="73CB142E" w14:textId="300B6AF5" w:rsidR="00AF39B3" w:rsidRDefault="007540F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7540FF">
        <w:rPr>
          <w:color w:val="000000"/>
        </w:rPr>
        <w:t>Beutler</w:t>
      </w:r>
      <w:proofErr w:type="spellEnd"/>
      <w:r w:rsidRPr="007540FF">
        <w:rPr>
          <w:color w:val="000000"/>
        </w:rPr>
        <w:t xml:space="preserve"> E, </w:t>
      </w:r>
      <w:proofErr w:type="spellStart"/>
      <w:r w:rsidRPr="007540FF">
        <w:rPr>
          <w:color w:val="000000"/>
        </w:rPr>
        <w:t>Waalen</w:t>
      </w:r>
      <w:proofErr w:type="spellEnd"/>
      <w:r w:rsidRPr="007540FF">
        <w:rPr>
          <w:color w:val="000000"/>
        </w:rPr>
        <w:t xml:space="preserve"> J. The definition of anemia: what is the lower limit of normal of the blood </w:t>
      </w:r>
      <w:r w:rsidR="00AF39B3">
        <w:rPr>
          <w:color w:val="000000"/>
        </w:rPr>
        <w:t xml:space="preserve">hemoglobin concentration? </w:t>
      </w:r>
      <w:r w:rsidR="00AF39B3" w:rsidRPr="00DF6686">
        <w:rPr>
          <w:i/>
          <w:iCs/>
          <w:color w:val="000000"/>
        </w:rPr>
        <w:t>Blood</w:t>
      </w:r>
      <w:r w:rsidR="00DF6686">
        <w:rPr>
          <w:color w:val="000000"/>
        </w:rPr>
        <w:t>.</w:t>
      </w:r>
      <w:r w:rsidR="00C96B7C">
        <w:rPr>
          <w:color w:val="000000"/>
        </w:rPr>
        <w:t xml:space="preserve"> </w:t>
      </w:r>
      <w:r w:rsidR="00DF6686">
        <w:rPr>
          <w:color w:val="000000"/>
        </w:rPr>
        <w:t>2006;</w:t>
      </w:r>
      <w:r w:rsidR="00617C2B">
        <w:rPr>
          <w:color w:val="000000"/>
        </w:rPr>
        <w:t xml:space="preserve"> </w:t>
      </w:r>
      <w:r w:rsidR="00AF39B3">
        <w:rPr>
          <w:color w:val="000000"/>
        </w:rPr>
        <w:t>107</w:t>
      </w:r>
      <w:r w:rsidR="00DF6686">
        <w:rPr>
          <w:color w:val="000000"/>
        </w:rPr>
        <w:t>(5)</w:t>
      </w:r>
      <w:r w:rsidR="00AF39B3">
        <w:rPr>
          <w:color w:val="000000"/>
        </w:rPr>
        <w:t>:1747-</w:t>
      </w:r>
      <w:r w:rsidRPr="007540FF">
        <w:rPr>
          <w:color w:val="000000"/>
        </w:rPr>
        <w:t>1750</w:t>
      </w:r>
      <w:r w:rsidR="00DF6686">
        <w:rPr>
          <w:color w:val="000000"/>
        </w:rPr>
        <w:t>.</w:t>
      </w:r>
    </w:p>
    <w:p w14:paraId="50D221A5" w14:textId="77777777" w:rsidR="005A25E8" w:rsidRPr="005A25E8" w:rsidRDefault="005A25E8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1548DA">
        <w:rPr>
          <w:color w:val="000000"/>
          <w:lang w:val="en-GB"/>
        </w:rPr>
        <w:t xml:space="preserve">Rossi D, Condoluci A, Spina V, </w:t>
      </w:r>
      <w:r w:rsidR="001548DA" w:rsidRPr="001548DA">
        <w:rPr>
          <w:color w:val="000000"/>
          <w:lang w:val="en-GB"/>
        </w:rPr>
        <w:t xml:space="preserve">Gaidano G. </w:t>
      </w:r>
      <w:r w:rsidRPr="006A1A74">
        <w:rPr>
          <w:color w:val="000000"/>
        </w:rPr>
        <w:t xml:space="preserve">Methods for Measuring </w:t>
      </w:r>
      <w:proofErr w:type="spellStart"/>
      <w:r w:rsidRPr="006A1A74">
        <w:rPr>
          <w:color w:val="000000"/>
        </w:rPr>
        <w:t>ctDNA</w:t>
      </w:r>
      <w:proofErr w:type="spellEnd"/>
      <w:r w:rsidRPr="006A1A74">
        <w:rPr>
          <w:color w:val="000000"/>
        </w:rPr>
        <w:t xml:space="preserve"> in Lymphomas. </w:t>
      </w:r>
      <w:r w:rsidRPr="001548DA">
        <w:rPr>
          <w:i/>
          <w:iCs/>
          <w:color w:val="000000"/>
        </w:rPr>
        <w:t xml:space="preserve">Methods </w:t>
      </w:r>
      <w:proofErr w:type="spellStart"/>
      <w:r w:rsidRPr="001548DA">
        <w:rPr>
          <w:i/>
          <w:iCs/>
          <w:color w:val="000000"/>
        </w:rPr>
        <w:t>Mol</w:t>
      </w:r>
      <w:proofErr w:type="spellEnd"/>
      <w:r w:rsidRPr="001548DA">
        <w:rPr>
          <w:i/>
          <w:iCs/>
          <w:color w:val="000000"/>
        </w:rPr>
        <w:t xml:space="preserve"> Biol</w:t>
      </w:r>
      <w:r w:rsidR="001548DA">
        <w:rPr>
          <w:color w:val="000000"/>
        </w:rPr>
        <w:t xml:space="preserve">. </w:t>
      </w:r>
      <w:r w:rsidR="00C13BF9">
        <w:rPr>
          <w:color w:val="000000"/>
        </w:rPr>
        <w:t>2019; 1881:253</w:t>
      </w:r>
      <w:r>
        <w:rPr>
          <w:color w:val="000000"/>
        </w:rPr>
        <w:t>-265</w:t>
      </w:r>
      <w:r w:rsidR="001548DA">
        <w:rPr>
          <w:color w:val="000000"/>
        </w:rPr>
        <w:t>.</w:t>
      </w:r>
    </w:p>
    <w:p w14:paraId="28619760" w14:textId="77777777" w:rsidR="006114B3" w:rsidRPr="007540FF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7540FF">
        <w:rPr>
          <w:color w:val="000000"/>
        </w:rPr>
        <w:t xml:space="preserve">Kaplan EL, Meier P. Nonparametric estimation from incomplete observations. </w:t>
      </w:r>
      <w:r w:rsidR="001548DA" w:rsidRPr="001548DA">
        <w:rPr>
          <w:i/>
          <w:iCs/>
          <w:color w:val="000000"/>
        </w:rPr>
        <w:t xml:space="preserve">J </w:t>
      </w:r>
      <w:r w:rsidRPr="001548DA">
        <w:rPr>
          <w:i/>
          <w:iCs/>
          <w:color w:val="000000"/>
        </w:rPr>
        <w:t>Am Stat Assoc</w:t>
      </w:r>
      <w:r w:rsidR="001548DA">
        <w:rPr>
          <w:color w:val="000000"/>
        </w:rPr>
        <w:t xml:space="preserve">. </w:t>
      </w:r>
      <w:r w:rsidR="00C13BF9">
        <w:rPr>
          <w:color w:val="000000"/>
        </w:rPr>
        <w:t>1958;</w:t>
      </w:r>
      <w:r w:rsidR="00C13BF9" w:rsidRPr="007540FF">
        <w:rPr>
          <w:color w:val="000000"/>
        </w:rPr>
        <w:t xml:space="preserve"> 53:457</w:t>
      </w:r>
      <w:r w:rsidR="00E45F48" w:rsidRPr="007540FF">
        <w:rPr>
          <w:color w:val="000000"/>
        </w:rPr>
        <w:t>-</w:t>
      </w:r>
      <w:r w:rsidR="00C96B7C">
        <w:rPr>
          <w:color w:val="000000"/>
        </w:rPr>
        <w:t>481</w:t>
      </w:r>
      <w:r w:rsidR="001548DA">
        <w:rPr>
          <w:color w:val="000000"/>
        </w:rPr>
        <w:t>.</w:t>
      </w:r>
    </w:p>
    <w:p w14:paraId="42F90EF3" w14:textId="77777777" w:rsidR="006114B3" w:rsidRDefault="006114B3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6114B3">
        <w:rPr>
          <w:color w:val="000000"/>
        </w:rPr>
        <w:t>Thabane</w:t>
      </w:r>
      <w:proofErr w:type="spellEnd"/>
      <w:r w:rsidRPr="006114B3">
        <w:rPr>
          <w:color w:val="000000"/>
        </w:rPr>
        <w:t xml:space="preserve"> L, </w:t>
      </w:r>
      <w:proofErr w:type="spellStart"/>
      <w:r w:rsidRPr="006114B3">
        <w:rPr>
          <w:color w:val="000000"/>
        </w:rPr>
        <w:t>Mbuagbaw</w:t>
      </w:r>
      <w:proofErr w:type="spellEnd"/>
      <w:r w:rsidRPr="006114B3">
        <w:rPr>
          <w:color w:val="000000"/>
        </w:rPr>
        <w:t xml:space="preserve"> L, Zhang S, </w:t>
      </w:r>
      <w:r w:rsidR="00E45F48">
        <w:rPr>
          <w:color w:val="000000"/>
        </w:rPr>
        <w:t>et al</w:t>
      </w:r>
      <w:r w:rsidRPr="006114B3">
        <w:rPr>
          <w:color w:val="000000"/>
        </w:rPr>
        <w:t>. A tutorial on sensitivity analyses in clinical tria</w:t>
      </w:r>
      <w:r>
        <w:rPr>
          <w:color w:val="000000"/>
        </w:rPr>
        <w:t xml:space="preserve">ls: the what, why, when and how. </w:t>
      </w:r>
      <w:r w:rsidR="00E45F48" w:rsidRPr="001548DA">
        <w:rPr>
          <w:i/>
          <w:iCs/>
          <w:color w:val="000000"/>
        </w:rPr>
        <w:t xml:space="preserve">BMC Med Res </w:t>
      </w:r>
      <w:proofErr w:type="spellStart"/>
      <w:r w:rsidR="00E45F48" w:rsidRPr="001548DA">
        <w:rPr>
          <w:i/>
          <w:iCs/>
          <w:color w:val="000000"/>
        </w:rPr>
        <w:t>Methodol</w:t>
      </w:r>
      <w:proofErr w:type="spellEnd"/>
      <w:r w:rsidR="001548DA">
        <w:rPr>
          <w:color w:val="000000"/>
        </w:rPr>
        <w:t xml:space="preserve">. </w:t>
      </w:r>
      <w:r w:rsidR="00C13BF9">
        <w:rPr>
          <w:color w:val="000000"/>
        </w:rPr>
        <w:t>2013; 13:92</w:t>
      </w:r>
      <w:r w:rsidR="001548DA">
        <w:rPr>
          <w:color w:val="000000"/>
        </w:rPr>
        <w:t>.</w:t>
      </w:r>
    </w:p>
    <w:p w14:paraId="67BF4848" w14:textId="14455363" w:rsidR="006114B3" w:rsidRPr="006710DA" w:rsidRDefault="006114B3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proofErr w:type="spellStart"/>
      <w:r w:rsidRPr="006114B3">
        <w:rPr>
          <w:color w:val="000000"/>
        </w:rPr>
        <w:t>Dignam</w:t>
      </w:r>
      <w:proofErr w:type="spellEnd"/>
      <w:r w:rsidRPr="006114B3">
        <w:rPr>
          <w:color w:val="000000"/>
        </w:rPr>
        <w:t xml:space="preserve"> JJ, </w:t>
      </w:r>
      <w:proofErr w:type="spellStart"/>
      <w:r w:rsidRPr="006114B3">
        <w:rPr>
          <w:color w:val="000000"/>
        </w:rPr>
        <w:t>Kocherginsky</w:t>
      </w:r>
      <w:proofErr w:type="spellEnd"/>
      <w:r w:rsidRPr="006114B3">
        <w:rPr>
          <w:color w:val="000000"/>
        </w:rPr>
        <w:t xml:space="preserve"> MN</w:t>
      </w:r>
      <w:r w:rsidR="00E45F48">
        <w:rPr>
          <w:color w:val="000000"/>
        </w:rPr>
        <w:t>.</w:t>
      </w:r>
      <w:r w:rsidRPr="006114B3">
        <w:rPr>
          <w:color w:val="000000"/>
        </w:rPr>
        <w:t xml:space="preserve"> Choice and interpretation of statistical tests used when </w:t>
      </w:r>
      <w:r w:rsidRPr="006710DA">
        <w:t>competing risks are presen</w:t>
      </w:r>
      <w:r w:rsidR="00E45F48" w:rsidRPr="006710DA">
        <w:t xml:space="preserve">t. </w:t>
      </w:r>
      <w:r w:rsidR="00E45F48" w:rsidRPr="001548DA">
        <w:rPr>
          <w:i/>
          <w:iCs/>
        </w:rPr>
        <w:t xml:space="preserve">J </w:t>
      </w:r>
      <w:proofErr w:type="spellStart"/>
      <w:r w:rsidR="00E45F48" w:rsidRPr="001548DA">
        <w:rPr>
          <w:i/>
          <w:iCs/>
        </w:rPr>
        <w:t>Clin</w:t>
      </w:r>
      <w:proofErr w:type="spellEnd"/>
      <w:r w:rsidR="00E45F48" w:rsidRPr="001548DA">
        <w:rPr>
          <w:i/>
          <w:iCs/>
        </w:rPr>
        <w:t xml:space="preserve"> </w:t>
      </w:r>
      <w:proofErr w:type="spellStart"/>
      <w:r w:rsidR="00E45F48" w:rsidRPr="001548DA">
        <w:rPr>
          <w:i/>
          <w:iCs/>
        </w:rPr>
        <w:t>Oncol</w:t>
      </w:r>
      <w:proofErr w:type="spellEnd"/>
      <w:r w:rsidR="001548DA">
        <w:t>. 2008;</w:t>
      </w:r>
      <w:r w:rsidR="00617C2B">
        <w:t xml:space="preserve"> </w:t>
      </w:r>
      <w:r w:rsidR="001548DA">
        <w:t>2</w:t>
      </w:r>
      <w:r w:rsidR="00E45F48" w:rsidRPr="006710DA">
        <w:t>6</w:t>
      </w:r>
      <w:r w:rsidR="001548DA">
        <w:t>(24)</w:t>
      </w:r>
      <w:r w:rsidRPr="006710DA">
        <w:t>:4027-</w:t>
      </w:r>
      <w:r w:rsidR="00E45F48" w:rsidRPr="006710DA">
        <w:t>40</w:t>
      </w:r>
      <w:r w:rsidRPr="006710DA">
        <w:t>34</w:t>
      </w:r>
      <w:r w:rsidR="001548DA">
        <w:t>.</w:t>
      </w:r>
    </w:p>
    <w:p w14:paraId="3044E15A" w14:textId="77777777" w:rsidR="00F5662F" w:rsidRPr="006710DA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r w:rsidRPr="006710DA">
        <w:t xml:space="preserve">Cox DR. Regression models </w:t>
      </w:r>
      <w:r w:rsidR="00E45F48" w:rsidRPr="006710DA">
        <w:t xml:space="preserve">and life tables. </w:t>
      </w:r>
      <w:r w:rsidR="00E45F48" w:rsidRPr="001548DA">
        <w:rPr>
          <w:i/>
          <w:iCs/>
        </w:rPr>
        <w:t>J R Stat Assoc</w:t>
      </w:r>
      <w:r w:rsidR="001548DA">
        <w:t xml:space="preserve">. </w:t>
      </w:r>
      <w:r w:rsidR="00C13BF9">
        <w:t>1972;</w:t>
      </w:r>
      <w:r w:rsidR="00C13BF9" w:rsidRPr="006710DA">
        <w:t xml:space="preserve"> 34:187</w:t>
      </w:r>
      <w:r w:rsidR="00E45F48" w:rsidRPr="006710DA">
        <w:t>-</w:t>
      </w:r>
      <w:r w:rsidR="00C96B7C" w:rsidRPr="006710DA">
        <w:t>220</w:t>
      </w:r>
      <w:r w:rsidR="001548DA">
        <w:t>.</w:t>
      </w:r>
    </w:p>
    <w:p w14:paraId="5D860273" w14:textId="2BAAACF9" w:rsidR="007B69E4" w:rsidRPr="006710DA" w:rsidRDefault="007B69E4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r w:rsidRPr="006710DA">
        <w:t xml:space="preserve">Simon N, Friedman J, Hastie T, </w:t>
      </w:r>
      <w:proofErr w:type="spellStart"/>
      <w:r w:rsidR="001548DA" w:rsidRPr="001548DA">
        <w:t>Tibshirani</w:t>
      </w:r>
      <w:proofErr w:type="spellEnd"/>
      <w:r w:rsidR="001548DA" w:rsidRPr="001548DA">
        <w:t xml:space="preserve"> R</w:t>
      </w:r>
      <w:r w:rsidRPr="006710DA">
        <w:t xml:space="preserve">. Regularization Paths for Cox’s Proportional Hazards Model via Coordinate Descent. </w:t>
      </w:r>
      <w:r w:rsidRPr="001548DA">
        <w:rPr>
          <w:i/>
          <w:iCs/>
        </w:rPr>
        <w:t xml:space="preserve">J Stat </w:t>
      </w:r>
      <w:proofErr w:type="spellStart"/>
      <w:r w:rsidRPr="001548DA">
        <w:rPr>
          <w:i/>
          <w:iCs/>
        </w:rPr>
        <w:t>Softw</w:t>
      </w:r>
      <w:proofErr w:type="spellEnd"/>
      <w:r w:rsidR="001548DA">
        <w:t>. 2011;</w:t>
      </w:r>
      <w:r w:rsidR="00617C2B">
        <w:t xml:space="preserve"> </w:t>
      </w:r>
      <w:r w:rsidRPr="006710DA">
        <w:t>39(5):1-13</w:t>
      </w:r>
      <w:r w:rsidR="001548DA">
        <w:t>.</w:t>
      </w:r>
    </w:p>
    <w:p w14:paraId="7918DDED" w14:textId="77777777" w:rsidR="00F5662F" w:rsidRPr="006710DA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proofErr w:type="spellStart"/>
      <w:r w:rsidRPr="006710DA">
        <w:t>Schoenfeld</w:t>
      </w:r>
      <w:proofErr w:type="spellEnd"/>
      <w:r w:rsidRPr="006710DA">
        <w:t xml:space="preserve"> D. Partial residuals for the proportional hazard regression model. </w:t>
      </w:r>
      <w:proofErr w:type="spellStart"/>
      <w:r w:rsidRPr="001548DA">
        <w:rPr>
          <w:i/>
          <w:iCs/>
        </w:rPr>
        <w:t>Biometrika</w:t>
      </w:r>
      <w:proofErr w:type="spellEnd"/>
      <w:r w:rsidR="001548DA">
        <w:t>.</w:t>
      </w:r>
      <w:r w:rsidR="00C96B7C" w:rsidRPr="006710DA">
        <w:t xml:space="preserve"> </w:t>
      </w:r>
      <w:r w:rsidR="00C13BF9">
        <w:t>1982;</w:t>
      </w:r>
      <w:r w:rsidR="00C13BF9" w:rsidRPr="006710DA">
        <w:t xml:space="preserve"> 69:239</w:t>
      </w:r>
      <w:r w:rsidR="00C96B7C" w:rsidRPr="006710DA">
        <w:t>-241</w:t>
      </w:r>
      <w:r w:rsidR="001548DA">
        <w:t>.</w:t>
      </w:r>
    </w:p>
    <w:p w14:paraId="4A06B95E" w14:textId="551F7646" w:rsidR="008A4F18" w:rsidRPr="006710DA" w:rsidRDefault="007B25F0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proofErr w:type="spellStart"/>
      <w:r w:rsidRPr="006710DA">
        <w:t>Ciampi</w:t>
      </w:r>
      <w:proofErr w:type="spellEnd"/>
      <w:r w:rsidRPr="006710DA">
        <w:t xml:space="preserve"> A, </w:t>
      </w:r>
      <w:proofErr w:type="spellStart"/>
      <w:r w:rsidRPr="006710DA">
        <w:t>Negassa</w:t>
      </w:r>
      <w:proofErr w:type="spellEnd"/>
      <w:r w:rsidRPr="006710DA">
        <w:t xml:space="preserve"> A, Lou Z. Tree-structured prediction for censored survival data and the Cox model. </w:t>
      </w:r>
      <w:r w:rsidRPr="001548DA">
        <w:rPr>
          <w:i/>
          <w:iCs/>
        </w:rPr>
        <w:t xml:space="preserve">J </w:t>
      </w:r>
      <w:proofErr w:type="spellStart"/>
      <w:r w:rsidRPr="001548DA">
        <w:rPr>
          <w:i/>
          <w:iCs/>
        </w:rPr>
        <w:t>Cli</w:t>
      </w:r>
      <w:r w:rsidR="00E45F48" w:rsidRPr="001548DA">
        <w:rPr>
          <w:i/>
          <w:iCs/>
        </w:rPr>
        <w:t>n</w:t>
      </w:r>
      <w:proofErr w:type="spellEnd"/>
      <w:r w:rsidR="00E45F48" w:rsidRPr="001548DA">
        <w:rPr>
          <w:i/>
          <w:iCs/>
        </w:rPr>
        <w:t xml:space="preserve"> </w:t>
      </w:r>
      <w:proofErr w:type="spellStart"/>
      <w:r w:rsidR="00E45F48" w:rsidRPr="001548DA">
        <w:rPr>
          <w:i/>
          <w:iCs/>
        </w:rPr>
        <w:t>Epidemiol</w:t>
      </w:r>
      <w:proofErr w:type="spellEnd"/>
      <w:r w:rsidR="001548DA">
        <w:t>.</w:t>
      </w:r>
      <w:r w:rsidR="00C96B7C" w:rsidRPr="006710DA">
        <w:t xml:space="preserve"> </w:t>
      </w:r>
      <w:r w:rsidR="001548DA">
        <w:t>1995;</w:t>
      </w:r>
      <w:r w:rsidR="00617C2B">
        <w:t xml:space="preserve"> </w:t>
      </w:r>
      <w:r w:rsidR="00E45F48" w:rsidRPr="006710DA">
        <w:t>48</w:t>
      </w:r>
      <w:r w:rsidR="001548DA">
        <w:t>(5)</w:t>
      </w:r>
      <w:r w:rsidR="00E45F48" w:rsidRPr="006710DA">
        <w:t>:675-</w:t>
      </w:r>
      <w:r w:rsidR="00C96B7C" w:rsidRPr="006710DA">
        <w:t>689</w:t>
      </w:r>
      <w:r w:rsidR="001548DA">
        <w:t>.</w:t>
      </w:r>
    </w:p>
    <w:p w14:paraId="7F02371E" w14:textId="77777777" w:rsidR="00953566" w:rsidRPr="006710DA" w:rsidRDefault="00953566" w:rsidP="00953566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</w:pPr>
      <w:r w:rsidRPr="006710DA">
        <w:t>Harrell FE Jr. Regression modeling strategies. New York, NY: Springer-</w:t>
      </w:r>
      <w:proofErr w:type="spellStart"/>
      <w:r w:rsidRPr="006710DA">
        <w:t>Verlag</w:t>
      </w:r>
      <w:proofErr w:type="spellEnd"/>
      <w:r w:rsidRPr="006710DA">
        <w:t>; 2001.</w:t>
      </w:r>
    </w:p>
    <w:p w14:paraId="1309704A" w14:textId="0186121F" w:rsidR="007320CF" w:rsidRPr="007B69E4" w:rsidRDefault="007320C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967A3B">
        <w:t xml:space="preserve">Rai KR, </w:t>
      </w:r>
      <w:proofErr w:type="spellStart"/>
      <w:r w:rsidRPr="00967A3B">
        <w:t>Sawitsky</w:t>
      </w:r>
      <w:proofErr w:type="spellEnd"/>
      <w:r w:rsidRPr="00967A3B">
        <w:t xml:space="preserve"> A, Cronkite EP,</w:t>
      </w:r>
      <w:r w:rsidR="001548DA">
        <w:t xml:space="preserve"> </w:t>
      </w:r>
      <w:proofErr w:type="spellStart"/>
      <w:r w:rsidR="001548DA" w:rsidRPr="001548DA">
        <w:t>Chanana</w:t>
      </w:r>
      <w:proofErr w:type="spellEnd"/>
      <w:r w:rsidR="001548DA" w:rsidRPr="001548DA">
        <w:t xml:space="preserve"> AD, Levy RN, </w:t>
      </w:r>
      <w:proofErr w:type="spellStart"/>
      <w:r w:rsidR="001548DA" w:rsidRPr="001548DA">
        <w:t>Pasternack</w:t>
      </w:r>
      <w:proofErr w:type="spellEnd"/>
      <w:r w:rsidR="001548DA" w:rsidRPr="001548DA">
        <w:t xml:space="preserve"> BS</w:t>
      </w:r>
      <w:r>
        <w:t xml:space="preserve">. </w:t>
      </w:r>
      <w:r w:rsidRPr="00967A3B">
        <w:t>Clinical staging o</w:t>
      </w:r>
      <w:r>
        <w:t xml:space="preserve">f chronic lymphocytic leukemia. </w:t>
      </w:r>
      <w:r w:rsidRPr="001548DA">
        <w:rPr>
          <w:i/>
          <w:iCs/>
        </w:rPr>
        <w:t>Blood</w:t>
      </w:r>
      <w:r w:rsidR="001548DA">
        <w:t>. 1975;</w:t>
      </w:r>
      <w:r w:rsidR="00617C2B">
        <w:t xml:space="preserve"> </w:t>
      </w:r>
      <w:r w:rsidR="00C96B7C">
        <w:t>46</w:t>
      </w:r>
      <w:r w:rsidR="001548DA">
        <w:t>(2)</w:t>
      </w:r>
      <w:r w:rsidR="00C96B7C">
        <w:t>:219-</w:t>
      </w:r>
      <w:r w:rsidRPr="00611C80">
        <w:t>234</w:t>
      </w:r>
      <w:r w:rsidR="001548DA">
        <w:t>.</w:t>
      </w:r>
    </w:p>
    <w:p w14:paraId="6C257A0E" w14:textId="0C16AE5A" w:rsidR="007320CF" w:rsidRDefault="007320C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504331">
        <w:rPr>
          <w:color w:val="000000"/>
          <w:lang w:val="de-DE"/>
        </w:rPr>
        <w:lastRenderedPageBreak/>
        <w:t>Wierda</w:t>
      </w:r>
      <w:proofErr w:type="spellEnd"/>
      <w:r w:rsidRPr="00504331">
        <w:rPr>
          <w:color w:val="000000"/>
          <w:lang w:val="de-DE"/>
        </w:rPr>
        <w:t xml:space="preserve"> WG, O’Brien S, Wang X, et al. </w:t>
      </w:r>
      <w:r w:rsidRPr="007320CF">
        <w:rPr>
          <w:color w:val="000000"/>
        </w:rPr>
        <w:t>Prognostic nomogram and index for overall survival in previously untreated patients with chronic lymphocytic</w:t>
      </w:r>
      <w:r w:rsidR="005D5455">
        <w:rPr>
          <w:color w:val="000000"/>
        </w:rPr>
        <w:t xml:space="preserve"> </w:t>
      </w:r>
      <w:r w:rsidRPr="007320CF">
        <w:rPr>
          <w:color w:val="000000"/>
        </w:rPr>
        <w:t xml:space="preserve">leukemia. </w:t>
      </w:r>
      <w:r w:rsidRPr="00380C67">
        <w:rPr>
          <w:i/>
          <w:iCs/>
          <w:color w:val="000000"/>
        </w:rPr>
        <w:t>Blood</w:t>
      </w:r>
      <w:r w:rsidR="00380C67">
        <w:rPr>
          <w:color w:val="000000"/>
        </w:rPr>
        <w:t>. 2007;</w:t>
      </w:r>
      <w:r w:rsidR="00617C2B">
        <w:rPr>
          <w:color w:val="000000"/>
        </w:rPr>
        <w:t xml:space="preserve"> </w:t>
      </w:r>
      <w:r w:rsidR="00C96B7C">
        <w:rPr>
          <w:color w:val="000000"/>
        </w:rPr>
        <w:t>109</w:t>
      </w:r>
      <w:r w:rsidR="00380C67">
        <w:rPr>
          <w:color w:val="000000"/>
        </w:rPr>
        <w:t>(11)</w:t>
      </w:r>
      <w:r w:rsidR="00C96B7C">
        <w:rPr>
          <w:color w:val="000000"/>
        </w:rPr>
        <w:t>:4679-</w:t>
      </w:r>
      <w:r w:rsidRPr="007320CF">
        <w:rPr>
          <w:color w:val="000000"/>
        </w:rPr>
        <w:t>4685</w:t>
      </w:r>
      <w:r w:rsidR="00380C67">
        <w:rPr>
          <w:color w:val="000000"/>
        </w:rPr>
        <w:t>.</w:t>
      </w:r>
    </w:p>
    <w:p w14:paraId="74C86D9C" w14:textId="791E2121" w:rsidR="007320CF" w:rsidRDefault="007320C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7320CF">
        <w:rPr>
          <w:color w:val="000000"/>
        </w:rPr>
        <w:t>Pflug</w:t>
      </w:r>
      <w:proofErr w:type="spellEnd"/>
      <w:r w:rsidRPr="007320CF">
        <w:rPr>
          <w:color w:val="000000"/>
        </w:rPr>
        <w:t xml:space="preserve"> N, Bahlo J, </w:t>
      </w:r>
      <w:proofErr w:type="spellStart"/>
      <w:r w:rsidRPr="007320CF">
        <w:rPr>
          <w:color w:val="000000"/>
        </w:rPr>
        <w:t>Shanafelt</w:t>
      </w:r>
      <w:proofErr w:type="spellEnd"/>
      <w:r w:rsidRPr="007320CF">
        <w:rPr>
          <w:color w:val="000000"/>
        </w:rPr>
        <w:t xml:space="preserve"> TD, et al. Development of a comprehensive prognostic index for patients with chronic lymphocytic leukemia. </w:t>
      </w:r>
      <w:r w:rsidRPr="00380C67">
        <w:rPr>
          <w:i/>
          <w:iCs/>
          <w:color w:val="000000"/>
        </w:rPr>
        <w:t>Blood</w:t>
      </w:r>
      <w:r w:rsidR="00380C67">
        <w:rPr>
          <w:color w:val="000000"/>
        </w:rPr>
        <w:t>. 2014;</w:t>
      </w:r>
      <w:r w:rsidR="00617C2B">
        <w:rPr>
          <w:color w:val="000000"/>
        </w:rPr>
        <w:t xml:space="preserve"> </w:t>
      </w:r>
      <w:r w:rsidR="00C96B7C">
        <w:rPr>
          <w:color w:val="000000"/>
        </w:rPr>
        <w:t>124</w:t>
      </w:r>
      <w:r w:rsidR="00380C67">
        <w:rPr>
          <w:color w:val="000000"/>
        </w:rPr>
        <w:t>(1)</w:t>
      </w:r>
      <w:r w:rsidR="00C96B7C">
        <w:rPr>
          <w:color w:val="000000"/>
        </w:rPr>
        <w:t>:49-62</w:t>
      </w:r>
      <w:r w:rsidR="00380C67">
        <w:rPr>
          <w:color w:val="000000"/>
        </w:rPr>
        <w:t>.</w:t>
      </w:r>
    </w:p>
    <w:p w14:paraId="4821E3B2" w14:textId="587D2FC4" w:rsidR="007320CF" w:rsidRDefault="007320CF" w:rsidP="00504331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7320CF">
        <w:rPr>
          <w:color w:val="000000"/>
        </w:rPr>
        <w:t xml:space="preserve">Gentile M, </w:t>
      </w:r>
      <w:proofErr w:type="spellStart"/>
      <w:r w:rsidRPr="007320CF">
        <w:rPr>
          <w:color w:val="000000"/>
        </w:rPr>
        <w:t>Shanafelt</w:t>
      </w:r>
      <w:proofErr w:type="spellEnd"/>
      <w:r w:rsidRPr="007320CF">
        <w:rPr>
          <w:color w:val="000000"/>
        </w:rPr>
        <w:t xml:space="preserve"> TD, </w:t>
      </w:r>
      <w:proofErr w:type="spellStart"/>
      <w:r w:rsidRPr="007320CF">
        <w:rPr>
          <w:color w:val="000000"/>
        </w:rPr>
        <w:t>Cutrona</w:t>
      </w:r>
      <w:proofErr w:type="spellEnd"/>
      <w:r w:rsidRPr="007320CF">
        <w:rPr>
          <w:color w:val="000000"/>
        </w:rPr>
        <w:t xml:space="preserve"> G, et al. A progression-risk score to predict treatment-free survival for early stage chronic lymphocytic leukemia patients. </w:t>
      </w:r>
      <w:r w:rsidRPr="00380C67">
        <w:rPr>
          <w:i/>
          <w:iCs/>
          <w:color w:val="000000"/>
        </w:rPr>
        <w:t>Leukemia</w:t>
      </w:r>
      <w:r w:rsidR="00380C67">
        <w:rPr>
          <w:color w:val="000000"/>
        </w:rPr>
        <w:t>. 2016;</w:t>
      </w:r>
      <w:r w:rsidR="00617C2B">
        <w:rPr>
          <w:color w:val="000000"/>
        </w:rPr>
        <w:t xml:space="preserve"> </w:t>
      </w:r>
      <w:r w:rsidR="00C96B7C">
        <w:rPr>
          <w:color w:val="000000"/>
        </w:rPr>
        <w:t>30</w:t>
      </w:r>
      <w:r w:rsidR="00380C67">
        <w:rPr>
          <w:color w:val="000000"/>
        </w:rPr>
        <w:t>(6)</w:t>
      </w:r>
      <w:r w:rsidR="00C96B7C">
        <w:rPr>
          <w:color w:val="000000"/>
        </w:rPr>
        <w:t>:1440-1443</w:t>
      </w:r>
      <w:r w:rsidR="00380C67">
        <w:rPr>
          <w:color w:val="000000"/>
        </w:rPr>
        <w:t>.</w:t>
      </w:r>
    </w:p>
    <w:p w14:paraId="5728FE67" w14:textId="55030D0B" w:rsidR="000020D9" w:rsidRDefault="007320CF" w:rsidP="008C3FBB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C96B7C">
        <w:rPr>
          <w:color w:val="000000"/>
          <w:lang w:val="it-IT"/>
        </w:rPr>
        <w:t>Molica</w:t>
      </w:r>
      <w:proofErr w:type="spellEnd"/>
      <w:r w:rsidRPr="00C96B7C">
        <w:rPr>
          <w:color w:val="000000"/>
          <w:lang w:val="it-IT"/>
        </w:rPr>
        <w:t xml:space="preserve"> S, </w:t>
      </w:r>
      <w:proofErr w:type="spellStart"/>
      <w:r w:rsidRPr="00C96B7C">
        <w:rPr>
          <w:color w:val="000000"/>
          <w:lang w:val="it-IT"/>
        </w:rPr>
        <w:t>Giannarelli</w:t>
      </w:r>
      <w:proofErr w:type="spellEnd"/>
      <w:r w:rsidRPr="00C96B7C">
        <w:rPr>
          <w:color w:val="000000"/>
          <w:lang w:val="it-IT"/>
        </w:rPr>
        <w:t xml:space="preserve"> D, Mirabelli R, et al. </w:t>
      </w:r>
      <w:r w:rsidRPr="00C96B7C">
        <w:rPr>
          <w:color w:val="000000"/>
        </w:rPr>
        <w:t xml:space="preserve">Reliability of six prognostic models to predict time-to-first-treatment in patients with chronic lymphocytic </w:t>
      </w:r>
      <w:proofErr w:type="spellStart"/>
      <w:r w:rsidRPr="00C96B7C">
        <w:rPr>
          <w:color w:val="000000"/>
        </w:rPr>
        <w:t>leukaemia</w:t>
      </w:r>
      <w:proofErr w:type="spellEnd"/>
      <w:r w:rsidRPr="00C96B7C">
        <w:rPr>
          <w:color w:val="000000"/>
        </w:rPr>
        <w:t xml:space="preserve"> in early phase.</w:t>
      </w:r>
      <w:r w:rsidR="00C96B7C" w:rsidRPr="00C96B7C">
        <w:rPr>
          <w:color w:val="000000"/>
        </w:rPr>
        <w:t xml:space="preserve"> </w:t>
      </w:r>
      <w:r w:rsidR="00C96B7C" w:rsidRPr="00380C67">
        <w:rPr>
          <w:i/>
          <w:iCs/>
          <w:color w:val="000000"/>
        </w:rPr>
        <w:t xml:space="preserve">Am J </w:t>
      </w:r>
      <w:proofErr w:type="spellStart"/>
      <w:r w:rsidR="00C96B7C" w:rsidRPr="00380C67">
        <w:rPr>
          <w:i/>
          <w:iCs/>
          <w:color w:val="000000"/>
        </w:rPr>
        <w:t>Hematol</w:t>
      </w:r>
      <w:proofErr w:type="spellEnd"/>
      <w:r w:rsidR="00380C67">
        <w:rPr>
          <w:color w:val="000000"/>
        </w:rPr>
        <w:t>. 2017;</w:t>
      </w:r>
      <w:r w:rsidR="00617C2B">
        <w:rPr>
          <w:color w:val="000000"/>
        </w:rPr>
        <w:t xml:space="preserve"> </w:t>
      </w:r>
      <w:r w:rsidRPr="00C96B7C">
        <w:rPr>
          <w:color w:val="000000"/>
        </w:rPr>
        <w:t>92</w:t>
      </w:r>
      <w:r w:rsidR="00380C67">
        <w:rPr>
          <w:color w:val="000000"/>
        </w:rPr>
        <w:t>(6</w:t>
      </w:r>
      <w:r w:rsidR="00C13BF9">
        <w:rPr>
          <w:color w:val="000000"/>
        </w:rPr>
        <w:t>)</w:t>
      </w:r>
      <w:r w:rsidR="00C13BF9" w:rsidRPr="00C96B7C">
        <w:rPr>
          <w:color w:val="000000"/>
        </w:rPr>
        <w:t>: E</w:t>
      </w:r>
      <w:r w:rsidRPr="00C96B7C">
        <w:rPr>
          <w:color w:val="000000"/>
        </w:rPr>
        <w:t>91-E93</w:t>
      </w:r>
      <w:r w:rsidR="00380C67">
        <w:rPr>
          <w:color w:val="000000"/>
        </w:rPr>
        <w:t>.</w:t>
      </w:r>
    </w:p>
    <w:p w14:paraId="5AB48DFB" w14:textId="0914EEBC" w:rsidR="00BE087F" w:rsidRDefault="007F1D8B" w:rsidP="00BE087F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  <w:lang w:val="en-GB"/>
        </w:rPr>
      </w:pPr>
      <w:r w:rsidRPr="00657E6C">
        <w:rPr>
          <w:color w:val="FF0000"/>
          <w:lang w:val="en-GB"/>
        </w:rPr>
        <w:t xml:space="preserve">Montserrat E, Gale RP. </w:t>
      </w:r>
      <w:r w:rsidR="00BE087F" w:rsidRPr="00596080">
        <w:rPr>
          <w:color w:val="000000"/>
          <w:lang w:val="en-GB"/>
        </w:rPr>
        <w:t xml:space="preserve">Predicting </w:t>
      </w:r>
      <w:r w:rsidR="00BE087F" w:rsidRPr="007F1D8B">
        <w:rPr>
          <w:color w:val="000000"/>
          <w:lang w:val="en-GB"/>
        </w:rPr>
        <w:t xml:space="preserve">the outcome of patients with chronic lymphocytic </w:t>
      </w:r>
      <w:proofErr w:type="spellStart"/>
      <w:r w:rsidR="00BE087F" w:rsidRPr="007F1D8B">
        <w:rPr>
          <w:color w:val="000000"/>
          <w:lang w:val="en-GB"/>
        </w:rPr>
        <w:t>leukemia</w:t>
      </w:r>
      <w:proofErr w:type="spellEnd"/>
      <w:r w:rsidR="00BE087F" w:rsidRPr="007F1D8B">
        <w:rPr>
          <w:color w:val="000000"/>
          <w:lang w:val="en-GB"/>
        </w:rPr>
        <w:t xml:space="preserve">: progress and uncertainty. </w:t>
      </w:r>
      <w:r w:rsidR="00BE087F" w:rsidRPr="007F1D8B">
        <w:rPr>
          <w:i/>
          <w:iCs/>
          <w:color w:val="000000"/>
          <w:lang w:val="en-GB"/>
        </w:rPr>
        <w:t>Cancer</w:t>
      </w:r>
      <w:r w:rsidR="00BE087F" w:rsidRPr="007F1D8B">
        <w:rPr>
          <w:color w:val="000000"/>
          <w:lang w:val="en-GB"/>
        </w:rPr>
        <w:t xml:space="preserve">. </w:t>
      </w:r>
      <w:r w:rsidRPr="007F1D8B">
        <w:rPr>
          <w:color w:val="000000"/>
          <w:shd w:val="clear" w:color="auto" w:fill="FFFFFF"/>
        </w:rPr>
        <w:t>2019;</w:t>
      </w:r>
      <w:r w:rsidR="00617C2B">
        <w:rPr>
          <w:color w:val="000000"/>
          <w:shd w:val="clear" w:color="auto" w:fill="FFFFFF"/>
        </w:rPr>
        <w:t xml:space="preserve"> </w:t>
      </w:r>
      <w:r w:rsidRPr="007F1D8B">
        <w:rPr>
          <w:color w:val="000000"/>
          <w:shd w:val="clear" w:color="auto" w:fill="FFFFFF"/>
        </w:rPr>
        <w:t>125(21):3699-3705</w:t>
      </w:r>
      <w:r w:rsidR="00BE087F" w:rsidRPr="007F1D8B">
        <w:rPr>
          <w:color w:val="000000"/>
          <w:lang w:val="en-GB"/>
        </w:rPr>
        <w:t>.</w:t>
      </w:r>
    </w:p>
    <w:p w14:paraId="067D7997" w14:textId="2549A646" w:rsidR="00971215" w:rsidRPr="00DC7D2F" w:rsidRDefault="00971215" w:rsidP="00971215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r w:rsidRPr="00DC7D2F">
        <w:rPr>
          <w:color w:val="FF0000"/>
          <w:lang w:val="en-GB"/>
        </w:rPr>
        <w:t xml:space="preserve">Best OG, Gardiner AC, Davis ZA, et al. A subset of </w:t>
      </w:r>
      <w:proofErr w:type="spellStart"/>
      <w:r w:rsidRPr="00DC7D2F">
        <w:rPr>
          <w:color w:val="FF0000"/>
          <w:lang w:val="en-GB"/>
        </w:rPr>
        <w:t>Binet</w:t>
      </w:r>
      <w:proofErr w:type="spellEnd"/>
      <w:r w:rsidRPr="00DC7D2F">
        <w:rPr>
          <w:color w:val="FF0000"/>
          <w:lang w:val="en-GB"/>
        </w:rPr>
        <w:t xml:space="preserve"> stage A CLL patients with TP53 abnormalities and mutated IGHV genes have stable disease. </w:t>
      </w:r>
      <w:proofErr w:type="spellStart"/>
      <w:r w:rsidRPr="00DC7D2F">
        <w:rPr>
          <w:i/>
          <w:color w:val="FF0000"/>
          <w:lang w:val="en-GB"/>
        </w:rPr>
        <w:t>Leukemia</w:t>
      </w:r>
      <w:proofErr w:type="spellEnd"/>
      <w:r w:rsidRPr="00DC7D2F">
        <w:rPr>
          <w:color w:val="FF0000"/>
          <w:lang w:val="en-GB"/>
        </w:rPr>
        <w:t>. 2009;</w:t>
      </w:r>
      <w:r w:rsidR="00617C2B" w:rsidRPr="00DC7D2F">
        <w:rPr>
          <w:color w:val="FF0000"/>
          <w:lang w:val="en-GB"/>
        </w:rPr>
        <w:t xml:space="preserve"> </w:t>
      </w:r>
      <w:r w:rsidRPr="00DC7D2F">
        <w:rPr>
          <w:color w:val="FF0000"/>
          <w:lang w:val="en-GB"/>
        </w:rPr>
        <w:t>23</w:t>
      </w:r>
      <w:r w:rsidR="00CC5A0A" w:rsidRPr="00DC7D2F">
        <w:rPr>
          <w:color w:val="FF0000"/>
          <w:lang w:val="en-GB"/>
        </w:rPr>
        <w:t>(1)</w:t>
      </w:r>
      <w:r w:rsidRPr="00DC7D2F">
        <w:rPr>
          <w:color w:val="FF0000"/>
          <w:lang w:val="en-GB"/>
        </w:rPr>
        <w:t>:212-4.</w:t>
      </w:r>
    </w:p>
    <w:p w14:paraId="53DF8D8E" w14:textId="405057F7" w:rsidR="002F185F" w:rsidRPr="00DC7D2F" w:rsidRDefault="00971215" w:rsidP="009D0D61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r w:rsidRPr="00DC7D2F">
        <w:rPr>
          <w:color w:val="FF0000"/>
          <w:lang w:val="en-GB"/>
        </w:rPr>
        <w:t xml:space="preserve">Tam CS, </w:t>
      </w:r>
      <w:proofErr w:type="spellStart"/>
      <w:r w:rsidRPr="00DC7D2F">
        <w:rPr>
          <w:color w:val="FF0000"/>
          <w:lang w:val="en-GB"/>
        </w:rPr>
        <w:t>Shanafelt</w:t>
      </w:r>
      <w:proofErr w:type="spellEnd"/>
      <w:r w:rsidRPr="00DC7D2F">
        <w:rPr>
          <w:color w:val="FF0000"/>
          <w:lang w:val="en-GB"/>
        </w:rPr>
        <w:t xml:space="preserve"> TD, </w:t>
      </w:r>
      <w:proofErr w:type="spellStart"/>
      <w:r w:rsidRPr="00DC7D2F">
        <w:rPr>
          <w:color w:val="FF0000"/>
          <w:lang w:val="en-GB"/>
        </w:rPr>
        <w:t>Wierda</w:t>
      </w:r>
      <w:proofErr w:type="spellEnd"/>
      <w:r w:rsidRPr="00DC7D2F">
        <w:rPr>
          <w:color w:val="FF0000"/>
          <w:lang w:val="en-GB"/>
        </w:rPr>
        <w:t xml:space="preserve"> WG, </w:t>
      </w:r>
      <w:r w:rsidR="001D5C29" w:rsidRPr="00DC7D2F">
        <w:rPr>
          <w:color w:val="FF0000"/>
          <w:lang w:val="en-GB"/>
        </w:rPr>
        <w:t>et al</w:t>
      </w:r>
      <w:r w:rsidRPr="00DC7D2F">
        <w:rPr>
          <w:color w:val="FF0000"/>
          <w:lang w:val="en-GB"/>
        </w:rPr>
        <w:t>.</w:t>
      </w:r>
      <w:r w:rsidR="001D5C29" w:rsidRPr="00DC7D2F">
        <w:rPr>
          <w:color w:val="FF0000"/>
          <w:lang w:val="en-GB"/>
        </w:rPr>
        <w:t xml:space="preserve"> </w:t>
      </w:r>
      <w:r w:rsidRPr="00DC7D2F">
        <w:rPr>
          <w:color w:val="FF0000"/>
          <w:lang w:val="en-GB"/>
        </w:rPr>
        <w:t xml:space="preserve">De novo deletion 17p13.1 chronic lymphocytic </w:t>
      </w:r>
      <w:proofErr w:type="spellStart"/>
      <w:r w:rsidRPr="00DC7D2F">
        <w:rPr>
          <w:color w:val="FF0000"/>
          <w:lang w:val="en-GB"/>
        </w:rPr>
        <w:t>leukemia</w:t>
      </w:r>
      <w:proofErr w:type="spellEnd"/>
      <w:r w:rsidRPr="00DC7D2F">
        <w:rPr>
          <w:color w:val="FF0000"/>
          <w:lang w:val="en-GB"/>
        </w:rPr>
        <w:t xml:space="preserve"> s</w:t>
      </w:r>
      <w:bookmarkStart w:id="1" w:name="_GoBack"/>
      <w:bookmarkEnd w:id="1"/>
      <w:r w:rsidRPr="00DC7D2F">
        <w:rPr>
          <w:color w:val="FF0000"/>
          <w:lang w:val="en-GB"/>
        </w:rPr>
        <w:t xml:space="preserve">hows significant clinical heterogeneity: the M. D. Anderson and Mayo Clinic experience. </w:t>
      </w:r>
      <w:r w:rsidRPr="00DC7D2F">
        <w:rPr>
          <w:i/>
          <w:color w:val="FF0000"/>
          <w:lang w:val="en-GB"/>
        </w:rPr>
        <w:t>Blood</w:t>
      </w:r>
      <w:r w:rsidRPr="00DC7D2F">
        <w:rPr>
          <w:color w:val="FF0000"/>
          <w:lang w:val="en-GB"/>
        </w:rPr>
        <w:t>. 2009;</w:t>
      </w:r>
      <w:r w:rsidR="00617C2B" w:rsidRPr="00DC7D2F">
        <w:rPr>
          <w:color w:val="FF0000"/>
          <w:lang w:val="en-GB"/>
        </w:rPr>
        <w:t xml:space="preserve"> </w:t>
      </w:r>
      <w:r w:rsidRPr="00DC7D2F">
        <w:rPr>
          <w:color w:val="FF0000"/>
          <w:lang w:val="en-GB"/>
        </w:rPr>
        <w:t>114(5):957-64.</w:t>
      </w:r>
    </w:p>
    <w:p w14:paraId="03BD5956" w14:textId="56C73F86" w:rsidR="00530FC9" w:rsidRPr="00DC7D2F" w:rsidRDefault="00530FC9" w:rsidP="009D0D61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r w:rsidRPr="00DC7D2F">
        <w:rPr>
          <w:color w:val="FF0000"/>
        </w:rPr>
        <w:t xml:space="preserve">Hu B, Patel KP, Chen HC, et al. Association of gene mutations with time-to-first treatment in 384 treatment-naive chronic lymphocytic </w:t>
      </w:r>
      <w:proofErr w:type="spellStart"/>
      <w:r w:rsidRPr="00DC7D2F">
        <w:rPr>
          <w:color w:val="FF0000"/>
        </w:rPr>
        <w:t>leukaemia</w:t>
      </w:r>
      <w:proofErr w:type="spellEnd"/>
      <w:r w:rsidRPr="00DC7D2F">
        <w:rPr>
          <w:color w:val="FF0000"/>
        </w:rPr>
        <w:t xml:space="preserve"> patients.</w:t>
      </w:r>
      <w:r w:rsidR="002E0C8D" w:rsidRPr="00DC7D2F">
        <w:rPr>
          <w:color w:val="FF0000"/>
        </w:rPr>
        <w:t xml:space="preserve"> </w:t>
      </w:r>
      <w:r w:rsidR="002E0C8D" w:rsidRPr="00DC7D2F">
        <w:rPr>
          <w:rStyle w:val="jrnl"/>
          <w:color w:val="FF0000"/>
        </w:rPr>
        <w:t xml:space="preserve">Br J </w:t>
      </w:r>
      <w:proofErr w:type="spellStart"/>
      <w:r w:rsidR="002E0C8D" w:rsidRPr="00DC7D2F">
        <w:rPr>
          <w:rStyle w:val="jrnl"/>
          <w:color w:val="FF0000"/>
        </w:rPr>
        <w:t>Haematol</w:t>
      </w:r>
      <w:proofErr w:type="spellEnd"/>
      <w:r w:rsidR="002E0C8D" w:rsidRPr="00DC7D2F">
        <w:rPr>
          <w:color w:val="FF0000"/>
        </w:rPr>
        <w:t>. 2019</w:t>
      </w:r>
      <w:proofErr w:type="gramStart"/>
      <w:r w:rsidR="002E0C8D" w:rsidRPr="00DC7D2F">
        <w:rPr>
          <w:color w:val="FF0000"/>
        </w:rPr>
        <w:t>;187</w:t>
      </w:r>
      <w:proofErr w:type="gramEnd"/>
      <w:r w:rsidR="002E0C8D" w:rsidRPr="00DC7D2F">
        <w:rPr>
          <w:color w:val="FF0000"/>
        </w:rPr>
        <w:t>(3):307-318.</w:t>
      </w:r>
    </w:p>
    <w:p w14:paraId="0F3F859F" w14:textId="13F1F75E" w:rsidR="002F185F" w:rsidRDefault="00937E86" w:rsidP="002F185F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proofErr w:type="spellStart"/>
      <w:r w:rsidRPr="009D0D61">
        <w:rPr>
          <w:color w:val="FF0000"/>
          <w:lang w:val="es-ES_tradnl"/>
        </w:rPr>
        <w:t>Nadeu</w:t>
      </w:r>
      <w:proofErr w:type="spellEnd"/>
      <w:r w:rsidRPr="009D0D61">
        <w:rPr>
          <w:color w:val="FF0000"/>
          <w:lang w:val="es-ES_tradnl"/>
        </w:rPr>
        <w:t xml:space="preserve"> F, Delgado J, Royo C, et al. </w:t>
      </w:r>
      <w:r w:rsidRPr="00984F31">
        <w:rPr>
          <w:color w:val="FF0000"/>
          <w:lang w:val="en-GB"/>
        </w:rPr>
        <w:t xml:space="preserve">Clinical impact of clonal and </w:t>
      </w:r>
      <w:proofErr w:type="spellStart"/>
      <w:r w:rsidRPr="00984F31">
        <w:rPr>
          <w:color w:val="FF0000"/>
          <w:lang w:val="en-GB"/>
        </w:rPr>
        <w:t>subclonal</w:t>
      </w:r>
      <w:proofErr w:type="spellEnd"/>
      <w:r w:rsidRPr="00984F31">
        <w:rPr>
          <w:color w:val="FF0000"/>
          <w:lang w:val="en-GB"/>
        </w:rPr>
        <w:t xml:space="preserve"> </w:t>
      </w:r>
      <w:r w:rsidRPr="00984F31">
        <w:rPr>
          <w:i/>
          <w:color w:val="FF0000"/>
          <w:lang w:val="en-GB"/>
        </w:rPr>
        <w:t>TP53</w:t>
      </w:r>
      <w:r w:rsidRPr="00984F31">
        <w:rPr>
          <w:color w:val="FF0000"/>
          <w:lang w:val="en-GB"/>
        </w:rPr>
        <w:t xml:space="preserve">, </w:t>
      </w:r>
      <w:r w:rsidRPr="00984F31">
        <w:rPr>
          <w:i/>
          <w:color w:val="FF0000"/>
          <w:lang w:val="en-GB"/>
        </w:rPr>
        <w:t>SF3B1</w:t>
      </w:r>
      <w:r w:rsidRPr="00984F31">
        <w:rPr>
          <w:color w:val="FF0000"/>
          <w:lang w:val="en-GB"/>
        </w:rPr>
        <w:t xml:space="preserve">, </w:t>
      </w:r>
      <w:r w:rsidRPr="00984F31">
        <w:rPr>
          <w:i/>
          <w:color w:val="FF0000"/>
          <w:lang w:val="en-GB"/>
        </w:rPr>
        <w:t>BIRC3</w:t>
      </w:r>
      <w:r w:rsidRPr="00984F31">
        <w:rPr>
          <w:color w:val="FF0000"/>
          <w:lang w:val="en-GB"/>
        </w:rPr>
        <w:t xml:space="preserve">, </w:t>
      </w:r>
      <w:r w:rsidRPr="00984F31">
        <w:rPr>
          <w:i/>
          <w:color w:val="FF0000"/>
          <w:lang w:val="en-GB"/>
        </w:rPr>
        <w:t>NOTCH1</w:t>
      </w:r>
      <w:r w:rsidRPr="00984F31">
        <w:rPr>
          <w:color w:val="FF0000"/>
          <w:lang w:val="en-GB"/>
        </w:rPr>
        <w:t xml:space="preserve">, and </w:t>
      </w:r>
      <w:r w:rsidRPr="00984F31">
        <w:rPr>
          <w:i/>
          <w:color w:val="FF0000"/>
          <w:lang w:val="en-GB"/>
        </w:rPr>
        <w:t>ATM</w:t>
      </w:r>
      <w:r w:rsidRPr="00984F31">
        <w:rPr>
          <w:color w:val="FF0000"/>
          <w:lang w:val="en-GB"/>
        </w:rPr>
        <w:t xml:space="preserve"> mutations in chronic lymphocytic </w:t>
      </w:r>
      <w:proofErr w:type="spellStart"/>
      <w:r w:rsidRPr="00984F31">
        <w:rPr>
          <w:color w:val="FF0000"/>
          <w:lang w:val="en-GB"/>
        </w:rPr>
        <w:t>leukemia</w:t>
      </w:r>
      <w:proofErr w:type="spellEnd"/>
      <w:r w:rsidRPr="00984F31">
        <w:rPr>
          <w:color w:val="FF0000"/>
          <w:lang w:val="en-GB"/>
        </w:rPr>
        <w:t xml:space="preserve">. </w:t>
      </w:r>
      <w:r w:rsidRPr="00984F31">
        <w:rPr>
          <w:i/>
          <w:color w:val="FF0000"/>
          <w:lang w:val="en-GB"/>
        </w:rPr>
        <w:t>Blood</w:t>
      </w:r>
      <w:r w:rsidRPr="00984F31">
        <w:rPr>
          <w:color w:val="FF0000"/>
          <w:lang w:val="en-GB"/>
        </w:rPr>
        <w:t>. 2016;</w:t>
      </w:r>
      <w:r w:rsidR="00617C2B">
        <w:rPr>
          <w:color w:val="FF0000"/>
          <w:lang w:val="en-GB"/>
        </w:rPr>
        <w:t xml:space="preserve"> </w:t>
      </w:r>
      <w:r w:rsidRPr="00984F31">
        <w:rPr>
          <w:color w:val="FF0000"/>
          <w:lang w:val="en-GB"/>
        </w:rPr>
        <w:t>127(17):2122-30.</w:t>
      </w:r>
    </w:p>
    <w:p w14:paraId="512DFE64" w14:textId="40597F98" w:rsidR="002F185F" w:rsidRPr="002F185F" w:rsidRDefault="003571E9" w:rsidP="002F185F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r w:rsidRPr="002F185F">
        <w:rPr>
          <w:color w:val="FF0000"/>
        </w:rPr>
        <w:lastRenderedPageBreak/>
        <w:t xml:space="preserve">Montserrat E, Baumann T, Delgado J. Present and future of personalized medicine in CLL. </w:t>
      </w:r>
      <w:r w:rsidRPr="00C04534">
        <w:rPr>
          <w:i/>
          <w:color w:val="FF0000"/>
        </w:rPr>
        <w:t xml:space="preserve">Best </w:t>
      </w:r>
      <w:proofErr w:type="spellStart"/>
      <w:r w:rsidRPr="00C04534">
        <w:rPr>
          <w:i/>
          <w:color w:val="FF0000"/>
        </w:rPr>
        <w:t>Pract</w:t>
      </w:r>
      <w:proofErr w:type="spellEnd"/>
      <w:r w:rsidR="00C04534" w:rsidRPr="00C04534">
        <w:rPr>
          <w:i/>
          <w:color w:val="FF0000"/>
        </w:rPr>
        <w:t xml:space="preserve"> </w:t>
      </w:r>
      <w:r w:rsidRPr="00C04534">
        <w:rPr>
          <w:i/>
          <w:color w:val="FF0000"/>
        </w:rPr>
        <w:t xml:space="preserve">Res </w:t>
      </w:r>
      <w:proofErr w:type="spellStart"/>
      <w:r w:rsidRPr="00C04534">
        <w:rPr>
          <w:i/>
          <w:color w:val="FF0000"/>
        </w:rPr>
        <w:t>Clin</w:t>
      </w:r>
      <w:proofErr w:type="spellEnd"/>
      <w:r w:rsidRPr="00C04534">
        <w:rPr>
          <w:i/>
          <w:color w:val="FF0000"/>
        </w:rPr>
        <w:t xml:space="preserve"> </w:t>
      </w:r>
      <w:proofErr w:type="spellStart"/>
      <w:r w:rsidRPr="00C04534">
        <w:rPr>
          <w:i/>
          <w:color w:val="FF0000"/>
        </w:rPr>
        <w:t>H</w:t>
      </w:r>
      <w:r w:rsidR="00C04534" w:rsidRPr="00C04534">
        <w:rPr>
          <w:i/>
          <w:color w:val="FF0000"/>
        </w:rPr>
        <w:t>a</w:t>
      </w:r>
      <w:r w:rsidRPr="00C04534">
        <w:rPr>
          <w:i/>
          <w:color w:val="FF0000"/>
        </w:rPr>
        <w:t>ematol</w:t>
      </w:r>
      <w:proofErr w:type="spellEnd"/>
      <w:r w:rsidR="00C04534" w:rsidRPr="00C04534">
        <w:rPr>
          <w:color w:val="FF0000"/>
        </w:rPr>
        <w:t>.</w:t>
      </w:r>
      <w:r w:rsidRPr="00C04534">
        <w:rPr>
          <w:color w:val="FF0000"/>
        </w:rPr>
        <w:t xml:space="preserve"> 2016; 29</w:t>
      </w:r>
      <w:r w:rsidR="00C04534" w:rsidRPr="00C04534">
        <w:rPr>
          <w:color w:val="FF0000"/>
        </w:rPr>
        <w:t>(1)</w:t>
      </w:r>
      <w:r w:rsidRPr="00C04534">
        <w:rPr>
          <w:color w:val="FF0000"/>
        </w:rPr>
        <w:t>: 100-110</w:t>
      </w:r>
      <w:r w:rsidRPr="002F185F">
        <w:rPr>
          <w:color w:val="FF0000"/>
        </w:rPr>
        <w:t>.</w:t>
      </w:r>
    </w:p>
    <w:p w14:paraId="1E6615D3" w14:textId="2EA86AC6" w:rsidR="00F915D4" w:rsidRPr="00AD1D46" w:rsidRDefault="00F915D4" w:rsidP="002F185F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FF0000"/>
          <w:lang w:val="en-GB"/>
        </w:rPr>
      </w:pPr>
      <w:proofErr w:type="spellStart"/>
      <w:r w:rsidRPr="002F185F">
        <w:rPr>
          <w:color w:val="FF0000"/>
          <w:lang w:val="it-IT"/>
        </w:rPr>
        <w:t>Baliakas</w:t>
      </w:r>
      <w:proofErr w:type="spellEnd"/>
      <w:r w:rsidRPr="002F185F">
        <w:rPr>
          <w:color w:val="FF0000"/>
          <w:lang w:val="it-IT"/>
        </w:rPr>
        <w:t xml:space="preserve"> P, </w:t>
      </w:r>
      <w:proofErr w:type="spellStart"/>
      <w:r w:rsidRPr="002F185F">
        <w:rPr>
          <w:color w:val="FF0000"/>
          <w:lang w:val="it-IT"/>
        </w:rPr>
        <w:t>Hadzidimitriou</w:t>
      </w:r>
      <w:proofErr w:type="spellEnd"/>
      <w:r w:rsidRPr="002F185F">
        <w:rPr>
          <w:color w:val="FF0000"/>
          <w:lang w:val="it-IT"/>
        </w:rPr>
        <w:t xml:space="preserve"> A, Sutton LA, et al. </w:t>
      </w:r>
      <w:r w:rsidRPr="002F185F">
        <w:rPr>
          <w:color w:val="FF0000"/>
        </w:rPr>
        <w:t>Recurrent mutations refine prognosis in chronic lymphocytic leukemia. Leukemia. 2015;</w:t>
      </w:r>
      <w:r w:rsidR="00617C2B">
        <w:rPr>
          <w:color w:val="FF0000"/>
        </w:rPr>
        <w:t xml:space="preserve"> </w:t>
      </w:r>
      <w:r w:rsidRPr="002F185F">
        <w:rPr>
          <w:color w:val="FF0000"/>
        </w:rPr>
        <w:t>29(2):329-36.</w:t>
      </w:r>
    </w:p>
    <w:p w14:paraId="0E14F856" w14:textId="7619AA4B" w:rsidR="00AD1D46" w:rsidRPr="00AD1D46" w:rsidRDefault="00AD1D46" w:rsidP="00AD1D46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000000"/>
        </w:rPr>
      </w:pPr>
      <w:r w:rsidRPr="001C54A2">
        <w:rPr>
          <w:color w:val="000000"/>
          <w:lang w:val="it-IT"/>
        </w:rPr>
        <w:t xml:space="preserve">Ghia P, Stamatopoulos K, </w:t>
      </w:r>
      <w:proofErr w:type="spellStart"/>
      <w:r w:rsidRPr="001C54A2">
        <w:rPr>
          <w:color w:val="000000"/>
          <w:lang w:val="it-IT"/>
        </w:rPr>
        <w:t>Belessi</w:t>
      </w:r>
      <w:proofErr w:type="spellEnd"/>
      <w:r w:rsidRPr="001C54A2">
        <w:rPr>
          <w:color w:val="000000"/>
          <w:lang w:val="it-IT"/>
        </w:rPr>
        <w:t xml:space="preserve"> C,</w:t>
      </w:r>
      <w:r>
        <w:rPr>
          <w:color w:val="000000"/>
          <w:lang w:val="it-IT"/>
        </w:rPr>
        <w:t xml:space="preserve"> et al. </w:t>
      </w:r>
      <w:r w:rsidRPr="001C54A2">
        <w:rPr>
          <w:color w:val="000000"/>
        </w:rPr>
        <w:t>ERIC recommendations on IGHV gene mutational status analysis in chronic lymphocytic leukemia.</w:t>
      </w:r>
      <w:r>
        <w:rPr>
          <w:color w:val="000000"/>
        </w:rPr>
        <w:t xml:space="preserve"> </w:t>
      </w:r>
      <w:r w:rsidRPr="001C54A2">
        <w:rPr>
          <w:rStyle w:val="jrnl"/>
          <w:i/>
        </w:rPr>
        <w:t>Leukemia</w:t>
      </w:r>
      <w:r>
        <w:t>. 2007; 21(1):1-3.</w:t>
      </w:r>
    </w:p>
    <w:p w14:paraId="04322B66" w14:textId="77777777" w:rsidR="007E671E" w:rsidRPr="007E671E" w:rsidRDefault="007E671E" w:rsidP="007E671E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  <w:lang w:val="es-ES_tradnl"/>
        </w:rPr>
      </w:pPr>
      <w:r w:rsidRPr="007E671E">
        <w:rPr>
          <w:color w:val="FF0000"/>
          <w:lang w:val="it-IT"/>
        </w:rPr>
        <w:t xml:space="preserve">Gruber M, </w:t>
      </w:r>
      <w:proofErr w:type="spellStart"/>
      <w:r w:rsidRPr="007E671E">
        <w:rPr>
          <w:color w:val="FF0000"/>
          <w:lang w:val="it-IT"/>
        </w:rPr>
        <w:t>Bozic</w:t>
      </w:r>
      <w:proofErr w:type="spellEnd"/>
      <w:r w:rsidRPr="007E671E">
        <w:rPr>
          <w:color w:val="FF0000"/>
          <w:lang w:val="it-IT"/>
        </w:rPr>
        <w:t xml:space="preserve"> I, </w:t>
      </w:r>
      <w:proofErr w:type="spellStart"/>
      <w:r w:rsidRPr="007E671E">
        <w:rPr>
          <w:color w:val="FF0000"/>
          <w:lang w:val="it-IT"/>
        </w:rPr>
        <w:t>Leshchiner</w:t>
      </w:r>
      <w:proofErr w:type="spellEnd"/>
      <w:r w:rsidRPr="007E671E">
        <w:rPr>
          <w:color w:val="FF0000"/>
          <w:lang w:val="it-IT"/>
        </w:rPr>
        <w:t xml:space="preserve"> I, et al. </w:t>
      </w:r>
      <w:r w:rsidRPr="007E671E">
        <w:rPr>
          <w:color w:val="FF0000"/>
          <w:lang w:val="en-GB"/>
        </w:rPr>
        <w:t xml:space="preserve">Growth dynamics in naturally progressing chronic lymphocytic leukaemia. </w:t>
      </w:r>
      <w:r w:rsidRPr="007E671E">
        <w:rPr>
          <w:i/>
          <w:color w:val="FF0000"/>
          <w:lang w:val="en-GB"/>
        </w:rPr>
        <w:t>Nature</w:t>
      </w:r>
      <w:r w:rsidRPr="007E671E">
        <w:rPr>
          <w:color w:val="FF0000"/>
          <w:lang w:val="en-GB"/>
        </w:rPr>
        <w:t>. 570(7762):474-9, 2019.</w:t>
      </w:r>
    </w:p>
    <w:p w14:paraId="13B79DB5" w14:textId="5DDE4518" w:rsidR="007E671E" w:rsidRDefault="007E671E" w:rsidP="007E671E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  <w:lang w:val="es-ES_tradnl"/>
        </w:rPr>
      </w:pPr>
      <w:r w:rsidRPr="007E671E">
        <w:rPr>
          <w:color w:val="FF0000"/>
        </w:rPr>
        <w:t>Montserrat E, Sánchez-</w:t>
      </w:r>
      <w:proofErr w:type="spellStart"/>
      <w:r w:rsidRPr="007E671E">
        <w:rPr>
          <w:color w:val="FF0000"/>
        </w:rPr>
        <w:t>Bisonó</w:t>
      </w:r>
      <w:proofErr w:type="spellEnd"/>
      <w:r w:rsidRPr="007E671E">
        <w:rPr>
          <w:color w:val="FF0000"/>
        </w:rPr>
        <w:t xml:space="preserve"> M, </w:t>
      </w:r>
      <w:proofErr w:type="spellStart"/>
      <w:r w:rsidRPr="007E671E">
        <w:rPr>
          <w:color w:val="FF0000"/>
        </w:rPr>
        <w:t>Viñolas</w:t>
      </w:r>
      <w:proofErr w:type="spellEnd"/>
      <w:r w:rsidRPr="007E671E">
        <w:rPr>
          <w:color w:val="FF0000"/>
        </w:rPr>
        <w:t xml:space="preserve"> N, </w:t>
      </w:r>
      <w:proofErr w:type="spellStart"/>
      <w:r w:rsidRPr="007E671E">
        <w:rPr>
          <w:color w:val="FF0000"/>
        </w:rPr>
        <w:t>Rozman</w:t>
      </w:r>
      <w:proofErr w:type="spellEnd"/>
      <w:r w:rsidRPr="007E671E">
        <w:rPr>
          <w:color w:val="FF0000"/>
        </w:rPr>
        <w:t xml:space="preserve"> C. Lymphocyte doubling time in chronic lymphocytic </w:t>
      </w:r>
      <w:proofErr w:type="spellStart"/>
      <w:r w:rsidRPr="007E671E">
        <w:rPr>
          <w:color w:val="FF0000"/>
        </w:rPr>
        <w:t>leukaemia</w:t>
      </w:r>
      <w:proofErr w:type="spellEnd"/>
      <w:r w:rsidRPr="007E671E">
        <w:rPr>
          <w:color w:val="FF0000"/>
        </w:rPr>
        <w:t xml:space="preserve">: analysis of its prognostic significance. </w:t>
      </w:r>
      <w:r w:rsidRPr="007E671E">
        <w:rPr>
          <w:i/>
          <w:iCs/>
          <w:color w:val="FF0000"/>
          <w:lang w:val="es-ES_tradnl"/>
        </w:rPr>
        <w:t xml:space="preserve">Br J </w:t>
      </w:r>
      <w:proofErr w:type="spellStart"/>
      <w:r w:rsidRPr="007E671E">
        <w:rPr>
          <w:i/>
          <w:iCs/>
          <w:color w:val="FF0000"/>
          <w:lang w:val="es-ES_tradnl"/>
        </w:rPr>
        <w:t>Haematol</w:t>
      </w:r>
      <w:proofErr w:type="spellEnd"/>
      <w:r w:rsidRPr="007E671E">
        <w:rPr>
          <w:color w:val="FF0000"/>
          <w:lang w:val="es-ES_tradnl"/>
        </w:rPr>
        <w:t xml:space="preserve"> </w:t>
      </w:r>
      <w:r w:rsidRPr="008B5FFB">
        <w:rPr>
          <w:color w:val="FF0000"/>
          <w:lang w:val="es-ES_tradnl"/>
        </w:rPr>
        <w:t>1986; 62</w:t>
      </w:r>
      <w:r w:rsidR="008B5FFB" w:rsidRPr="008B5FFB">
        <w:rPr>
          <w:color w:val="FF0000"/>
          <w:lang w:val="es-ES_tradnl"/>
        </w:rPr>
        <w:t>(3)</w:t>
      </w:r>
      <w:r w:rsidRPr="008B5FFB">
        <w:rPr>
          <w:color w:val="FF0000"/>
          <w:lang w:val="es-ES_tradnl"/>
        </w:rPr>
        <w:t>: 567-575</w:t>
      </w:r>
      <w:r w:rsidRPr="007E671E">
        <w:rPr>
          <w:color w:val="FF0000"/>
          <w:lang w:val="es-ES_tradnl"/>
        </w:rPr>
        <w:t xml:space="preserve">. </w:t>
      </w:r>
    </w:p>
    <w:p w14:paraId="64F9AC15" w14:textId="6928FABD" w:rsidR="007E671E" w:rsidRPr="007E671E" w:rsidRDefault="007E671E" w:rsidP="007E671E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FF0000"/>
          <w:lang w:val="es-ES_tradnl"/>
        </w:rPr>
      </w:pPr>
      <w:r w:rsidRPr="007E671E">
        <w:rPr>
          <w:color w:val="FF0000"/>
          <w:lang w:val="es-ES_tradnl"/>
        </w:rPr>
        <w:t xml:space="preserve">Mozas P, Rivas-Delgado A, Baumann T et al. </w:t>
      </w:r>
      <w:r w:rsidRPr="007E671E">
        <w:rPr>
          <w:color w:val="FF0000"/>
        </w:rPr>
        <w:t xml:space="preserve">Analysis of criteria for treatment initiation in patients with progressive chronic lymphocytic leukemia. </w:t>
      </w:r>
      <w:r w:rsidRPr="007E671E">
        <w:rPr>
          <w:i/>
          <w:iCs/>
          <w:color w:val="FF0000"/>
        </w:rPr>
        <w:t xml:space="preserve">Blood Cancer </w:t>
      </w:r>
      <w:r w:rsidRPr="00DA24CD">
        <w:rPr>
          <w:i/>
          <w:iCs/>
          <w:color w:val="FF0000"/>
        </w:rPr>
        <w:t>J.</w:t>
      </w:r>
      <w:r w:rsidRPr="00DA24CD">
        <w:rPr>
          <w:color w:val="FF0000"/>
        </w:rPr>
        <w:t xml:space="preserve"> 2018; 8</w:t>
      </w:r>
      <w:r w:rsidR="00DA24CD" w:rsidRPr="00DA24CD">
        <w:rPr>
          <w:color w:val="FF0000"/>
        </w:rPr>
        <w:t>(1):</w:t>
      </w:r>
      <w:r w:rsidRPr="00DA24CD">
        <w:rPr>
          <w:color w:val="FF0000"/>
        </w:rPr>
        <w:t>10</w:t>
      </w:r>
      <w:r w:rsidRPr="007E671E">
        <w:rPr>
          <w:color w:val="FF0000"/>
        </w:rPr>
        <w:t>.</w:t>
      </w:r>
    </w:p>
    <w:p w14:paraId="5BB7CAD8" w14:textId="11FB6B1C" w:rsidR="005E1BBE" w:rsidRDefault="005E1BBE" w:rsidP="005E1BBE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Sharma S, Rai KR. Chronic lymphocytic </w:t>
      </w:r>
      <w:proofErr w:type="spellStart"/>
      <w:r>
        <w:rPr>
          <w:color w:val="000000"/>
          <w:lang w:val="en-GB"/>
        </w:rPr>
        <w:t>leukemia</w:t>
      </w:r>
      <w:proofErr w:type="spellEnd"/>
      <w:r>
        <w:rPr>
          <w:color w:val="000000"/>
          <w:lang w:val="en-GB"/>
        </w:rPr>
        <w:t xml:space="preserve"> (CLL) treatment: so many choices, such great options. </w:t>
      </w:r>
      <w:r w:rsidRPr="003E5F44">
        <w:rPr>
          <w:i/>
          <w:iCs/>
          <w:color w:val="000000"/>
          <w:lang w:val="en-GB"/>
        </w:rPr>
        <w:t>Cancer</w:t>
      </w:r>
      <w:r w:rsidRPr="00FA07BE">
        <w:rPr>
          <w:color w:val="000000"/>
          <w:lang w:val="en-GB"/>
        </w:rPr>
        <w:t>. 201</w:t>
      </w:r>
      <w:r>
        <w:rPr>
          <w:color w:val="000000"/>
          <w:lang w:val="en-GB"/>
        </w:rPr>
        <w:t>9;</w:t>
      </w:r>
      <w:r w:rsidR="00617C2B">
        <w:rPr>
          <w:color w:val="000000"/>
          <w:lang w:val="en-GB"/>
        </w:rPr>
        <w:t xml:space="preserve"> </w:t>
      </w:r>
      <w:r w:rsidRPr="00FA07BE">
        <w:rPr>
          <w:color w:val="000000"/>
          <w:lang w:val="en-GB"/>
        </w:rPr>
        <w:t>125(9):1432-1440.</w:t>
      </w:r>
    </w:p>
    <w:p w14:paraId="34EDB98E" w14:textId="5F0CF378" w:rsidR="00AA1820" w:rsidRDefault="00AA1820" w:rsidP="005E1BBE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Hallek M, </w:t>
      </w:r>
      <w:proofErr w:type="spellStart"/>
      <w:r>
        <w:rPr>
          <w:color w:val="000000"/>
          <w:lang w:val="en-GB"/>
        </w:rPr>
        <w:t>Fürstenau</w:t>
      </w:r>
      <w:proofErr w:type="spellEnd"/>
      <w:r>
        <w:rPr>
          <w:color w:val="000000"/>
          <w:lang w:val="en-GB"/>
        </w:rPr>
        <w:t xml:space="preserve"> M. How to approach CLL in clinical practice. </w:t>
      </w:r>
      <w:proofErr w:type="spellStart"/>
      <w:r w:rsidRPr="003810F5">
        <w:rPr>
          <w:i/>
          <w:iCs/>
          <w:color w:val="000000"/>
          <w:lang w:val="en-GB"/>
        </w:rPr>
        <w:t>Hematol</w:t>
      </w:r>
      <w:proofErr w:type="spellEnd"/>
      <w:r w:rsidRPr="003810F5">
        <w:rPr>
          <w:i/>
          <w:iCs/>
          <w:color w:val="000000"/>
          <w:lang w:val="en-GB"/>
        </w:rPr>
        <w:t xml:space="preserve"> </w:t>
      </w:r>
      <w:proofErr w:type="spellStart"/>
      <w:r w:rsidRPr="003810F5">
        <w:rPr>
          <w:i/>
          <w:iCs/>
          <w:color w:val="000000"/>
          <w:lang w:val="en-GB"/>
        </w:rPr>
        <w:t>Oncol</w:t>
      </w:r>
      <w:proofErr w:type="spellEnd"/>
      <w:r>
        <w:rPr>
          <w:color w:val="000000"/>
          <w:lang w:val="en-GB"/>
        </w:rPr>
        <w:t>. 2019</w:t>
      </w:r>
      <w:proofErr w:type="gramStart"/>
      <w:r>
        <w:rPr>
          <w:color w:val="000000"/>
          <w:lang w:val="en-GB"/>
        </w:rPr>
        <w:t>;37:38</w:t>
      </w:r>
      <w:proofErr w:type="gramEnd"/>
      <w:r>
        <w:rPr>
          <w:color w:val="000000"/>
          <w:lang w:val="en-GB"/>
        </w:rPr>
        <w:t>-42</w:t>
      </w:r>
      <w:r w:rsidR="00F6691B">
        <w:rPr>
          <w:color w:val="000000"/>
          <w:lang w:val="en-GB"/>
        </w:rPr>
        <w:t>, (</w:t>
      </w:r>
      <w:proofErr w:type="spellStart"/>
      <w:r w:rsidR="00F6691B">
        <w:rPr>
          <w:color w:val="000000"/>
          <w:lang w:val="en-GB"/>
        </w:rPr>
        <w:t>suppl</w:t>
      </w:r>
      <w:proofErr w:type="spellEnd"/>
      <w:r w:rsidR="00F6691B">
        <w:rPr>
          <w:color w:val="000000"/>
          <w:lang w:val="en-GB"/>
        </w:rPr>
        <w:t xml:space="preserve"> 1)</w:t>
      </w:r>
      <w:r>
        <w:rPr>
          <w:color w:val="000000"/>
          <w:lang w:val="en-GB"/>
        </w:rPr>
        <w:t>.</w:t>
      </w:r>
    </w:p>
    <w:p w14:paraId="1EF44472" w14:textId="08F9B980" w:rsidR="006221C3" w:rsidRPr="00E14265" w:rsidRDefault="006710DA" w:rsidP="0010405D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E14265">
        <w:rPr>
          <w:color w:val="000000"/>
        </w:rPr>
        <w:t>Project TIN-</w:t>
      </w:r>
      <w:proofErr w:type="spellStart"/>
      <w:r w:rsidRPr="00E14265">
        <w:rPr>
          <w:color w:val="000000"/>
        </w:rPr>
        <w:t>HsLPF</w:t>
      </w:r>
      <w:proofErr w:type="spellEnd"/>
      <w:r w:rsidRPr="00E14265">
        <w:rPr>
          <w:color w:val="000000"/>
        </w:rPr>
        <w:t xml:space="preserve">. A predictive model for aggressive non-Hodgkin's lymphoma. The International Non-Hodgkin's Lymphoma Prognostic Factors Project. </w:t>
      </w:r>
      <w:r w:rsidRPr="00E14265">
        <w:rPr>
          <w:i/>
          <w:iCs/>
          <w:color w:val="000000"/>
        </w:rPr>
        <w:t xml:space="preserve">N </w:t>
      </w:r>
      <w:proofErr w:type="spellStart"/>
      <w:r w:rsidRPr="00E14265">
        <w:rPr>
          <w:i/>
          <w:iCs/>
          <w:color w:val="000000"/>
        </w:rPr>
        <w:t>Engl</w:t>
      </w:r>
      <w:proofErr w:type="spellEnd"/>
      <w:r w:rsidRPr="00E14265">
        <w:rPr>
          <w:i/>
          <w:iCs/>
          <w:color w:val="000000"/>
        </w:rPr>
        <w:t xml:space="preserve"> J Med</w:t>
      </w:r>
      <w:r w:rsidR="00380C67" w:rsidRPr="00E14265">
        <w:rPr>
          <w:color w:val="000000"/>
        </w:rPr>
        <w:t>.</w:t>
      </w:r>
      <w:r w:rsidRPr="00E14265">
        <w:rPr>
          <w:color w:val="000000"/>
        </w:rPr>
        <w:t xml:space="preserve"> 1993; 329</w:t>
      </w:r>
      <w:r w:rsidR="00617C2B">
        <w:rPr>
          <w:color w:val="000000"/>
        </w:rPr>
        <w:t>(14)</w:t>
      </w:r>
      <w:r w:rsidRPr="00E14265">
        <w:rPr>
          <w:color w:val="000000"/>
        </w:rPr>
        <w:t>:987</w:t>
      </w:r>
      <w:r w:rsidR="00112DB9" w:rsidRPr="00E14265">
        <w:rPr>
          <w:color w:val="000000"/>
        </w:rPr>
        <w:t>-</w:t>
      </w:r>
      <w:r w:rsidRPr="00E14265">
        <w:rPr>
          <w:color w:val="000000"/>
        </w:rPr>
        <w:t>994</w:t>
      </w:r>
      <w:r w:rsidR="00380C67" w:rsidRPr="00E14265">
        <w:rPr>
          <w:color w:val="000000"/>
        </w:rPr>
        <w:t>.</w:t>
      </w:r>
    </w:p>
    <w:p w14:paraId="1BF2844F" w14:textId="30FBD9B3" w:rsidR="000020D9" w:rsidRDefault="006221C3" w:rsidP="000020D9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proofErr w:type="spellStart"/>
      <w:r w:rsidRPr="00677F03">
        <w:rPr>
          <w:color w:val="000000"/>
          <w:lang w:val="fr-FR"/>
        </w:rPr>
        <w:t>Solal-Céligny</w:t>
      </w:r>
      <w:proofErr w:type="spellEnd"/>
      <w:r w:rsidRPr="00677F03">
        <w:rPr>
          <w:color w:val="000000"/>
          <w:lang w:val="fr-FR"/>
        </w:rPr>
        <w:t xml:space="preserve"> P, Roy P, </w:t>
      </w:r>
      <w:proofErr w:type="spellStart"/>
      <w:r w:rsidRPr="00677F03">
        <w:rPr>
          <w:color w:val="000000"/>
          <w:lang w:val="fr-FR"/>
        </w:rPr>
        <w:t>Colombat</w:t>
      </w:r>
      <w:proofErr w:type="spellEnd"/>
      <w:r w:rsidRPr="00677F03">
        <w:rPr>
          <w:color w:val="000000"/>
          <w:lang w:val="fr-FR"/>
        </w:rPr>
        <w:t xml:space="preserve"> P, et al. </w:t>
      </w:r>
      <w:r w:rsidRPr="006221C3">
        <w:rPr>
          <w:color w:val="000000"/>
        </w:rPr>
        <w:t xml:space="preserve">Follicular lymphoma international prognostic index. </w:t>
      </w:r>
      <w:r w:rsidRPr="00112DB9">
        <w:rPr>
          <w:i/>
          <w:iCs/>
          <w:color w:val="000000"/>
        </w:rPr>
        <w:t>Blood</w:t>
      </w:r>
      <w:r w:rsidR="00112DB9">
        <w:rPr>
          <w:color w:val="000000"/>
        </w:rPr>
        <w:t>.</w:t>
      </w:r>
      <w:r w:rsidRPr="006221C3">
        <w:rPr>
          <w:color w:val="000000"/>
        </w:rPr>
        <w:t xml:space="preserve"> 2004;</w:t>
      </w:r>
      <w:r w:rsidR="00617C2B">
        <w:rPr>
          <w:color w:val="000000"/>
        </w:rPr>
        <w:t xml:space="preserve"> </w:t>
      </w:r>
      <w:r w:rsidRPr="006221C3">
        <w:rPr>
          <w:color w:val="000000"/>
        </w:rPr>
        <w:t>104</w:t>
      </w:r>
      <w:r w:rsidR="00112DB9">
        <w:rPr>
          <w:color w:val="000000"/>
        </w:rPr>
        <w:t>(5)</w:t>
      </w:r>
      <w:r w:rsidRPr="006221C3">
        <w:rPr>
          <w:color w:val="000000"/>
        </w:rPr>
        <w:t>:1258-1265</w:t>
      </w:r>
      <w:r w:rsidR="00112DB9">
        <w:rPr>
          <w:color w:val="000000"/>
        </w:rPr>
        <w:t>.</w:t>
      </w:r>
    </w:p>
    <w:p w14:paraId="41CA9BB2" w14:textId="66FC7C57" w:rsidR="006221C3" w:rsidRDefault="006221C3" w:rsidP="000020D9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6221C3">
        <w:rPr>
          <w:color w:val="000000"/>
          <w:lang w:val="it-CH"/>
        </w:rPr>
        <w:t xml:space="preserve">Federico M, Bellei M, </w:t>
      </w:r>
      <w:proofErr w:type="spellStart"/>
      <w:r w:rsidRPr="006221C3">
        <w:rPr>
          <w:color w:val="000000"/>
          <w:lang w:val="it-CH"/>
        </w:rPr>
        <w:t>Marcheselli</w:t>
      </w:r>
      <w:proofErr w:type="spellEnd"/>
      <w:r w:rsidRPr="006221C3">
        <w:rPr>
          <w:color w:val="000000"/>
          <w:lang w:val="it-CH"/>
        </w:rPr>
        <w:t xml:space="preserve"> L, et al. </w:t>
      </w:r>
      <w:r w:rsidRPr="006221C3">
        <w:rPr>
          <w:color w:val="000000"/>
        </w:rPr>
        <w:t xml:space="preserve">Follicular lymphoma international prognostic index 2: a new prognostic index for follicular lymphoma developed by the international follicular lymphoma prognostic factor project. </w:t>
      </w:r>
      <w:r w:rsidRPr="00112DB9">
        <w:rPr>
          <w:i/>
          <w:iCs/>
          <w:color w:val="000000"/>
        </w:rPr>
        <w:t xml:space="preserve">J </w:t>
      </w:r>
      <w:proofErr w:type="spellStart"/>
      <w:r w:rsidRPr="00112DB9">
        <w:rPr>
          <w:i/>
          <w:iCs/>
          <w:color w:val="000000"/>
        </w:rPr>
        <w:t>Clin</w:t>
      </w:r>
      <w:proofErr w:type="spellEnd"/>
      <w:r w:rsidRPr="00112DB9">
        <w:rPr>
          <w:i/>
          <w:iCs/>
          <w:color w:val="000000"/>
        </w:rPr>
        <w:t xml:space="preserve"> </w:t>
      </w:r>
      <w:proofErr w:type="spellStart"/>
      <w:r w:rsidRPr="00112DB9">
        <w:rPr>
          <w:i/>
          <w:iCs/>
          <w:color w:val="000000"/>
        </w:rPr>
        <w:t>Oncol</w:t>
      </w:r>
      <w:proofErr w:type="spellEnd"/>
      <w:r w:rsidR="00112DB9">
        <w:rPr>
          <w:color w:val="000000"/>
        </w:rPr>
        <w:t>.</w:t>
      </w:r>
      <w:r w:rsidRPr="006221C3">
        <w:rPr>
          <w:color w:val="000000"/>
        </w:rPr>
        <w:t xml:space="preserve"> 2009;</w:t>
      </w:r>
      <w:r w:rsidR="00617C2B">
        <w:rPr>
          <w:color w:val="000000"/>
        </w:rPr>
        <w:t xml:space="preserve"> </w:t>
      </w:r>
      <w:r w:rsidRPr="006221C3">
        <w:rPr>
          <w:color w:val="000000"/>
        </w:rPr>
        <w:t>27</w:t>
      </w:r>
      <w:r w:rsidR="00112DB9">
        <w:rPr>
          <w:color w:val="000000"/>
        </w:rPr>
        <w:t>(27)</w:t>
      </w:r>
      <w:r w:rsidRPr="006221C3">
        <w:rPr>
          <w:color w:val="000000"/>
        </w:rPr>
        <w:t>:4555-62.</w:t>
      </w:r>
    </w:p>
    <w:p w14:paraId="14C3E311" w14:textId="62CDE21B" w:rsidR="006221C3" w:rsidRDefault="006221C3" w:rsidP="000020D9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677F03">
        <w:rPr>
          <w:color w:val="000000"/>
          <w:lang w:val="de-DE"/>
        </w:rPr>
        <w:lastRenderedPageBreak/>
        <w:t xml:space="preserve">Hoster E, </w:t>
      </w:r>
      <w:proofErr w:type="spellStart"/>
      <w:r w:rsidRPr="00677F03">
        <w:rPr>
          <w:color w:val="000000"/>
          <w:lang w:val="de-DE"/>
        </w:rPr>
        <w:t>Dreyling</w:t>
      </w:r>
      <w:proofErr w:type="spellEnd"/>
      <w:r w:rsidRPr="00677F03">
        <w:rPr>
          <w:color w:val="000000"/>
          <w:lang w:val="de-DE"/>
        </w:rPr>
        <w:t xml:space="preserve"> M, Klapper W, et al. </w:t>
      </w:r>
      <w:r w:rsidRPr="006221C3">
        <w:rPr>
          <w:color w:val="000000"/>
        </w:rPr>
        <w:t xml:space="preserve">A new prognostic index (MIPI) for patients with advanced-stage mantle cell lymphoma. </w:t>
      </w:r>
      <w:r w:rsidRPr="00112DB9">
        <w:rPr>
          <w:i/>
          <w:iCs/>
          <w:color w:val="000000"/>
        </w:rPr>
        <w:t>Blood</w:t>
      </w:r>
      <w:r w:rsidR="00112DB9">
        <w:rPr>
          <w:color w:val="000000"/>
        </w:rPr>
        <w:t>.</w:t>
      </w:r>
      <w:r w:rsidRPr="006221C3">
        <w:rPr>
          <w:color w:val="000000"/>
        </w:rPr>
        <w:t xml:space="preserve"> 2008;</w:t>
      </w:r>
      <w:r w:rsidR="00617C2B">
        <w:rPr>
          <w:color w:val="000000"/>
        </w:rPr>
        <w:t xml:space="preserve"> </w:t>
      </w:r>
      <w:r w:rsidRPr="006221C3">
        <w:rPr>
          <w:color w:val="000000"/>
        </w:rPr>
        <w:t>111</w:t>
      </w:r>
      <w:r w:rsidR="00112DB9">
        <w:rPr>
          <w:color w:val="000000"/>
        </w:rPr>
        <w:t>(2)</w:t>
      </w:r>
      <w:r w:rsidRPr="006221C3">
        <w:rPr>
          <w:color w:val="000000"/>
        </w:rPr>
        <w:t>:558-565.</w:t>
      </w:r>
    </w:p>
    <w:p w14:paraId="39EAD021" w14:textId="34BCB812" w:rsidR="000020D9" w:rsidRDefault="00CB51D5" w:rsidP="00677F03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color w:val="000000"/>
        </w:rPr>
      </w:pPr>
      <w:r w:rsidRPr="00073262">
        <w:rPr>
          <w:color w:val="000000"/>
        </w:rPr>
        <w:t>Hosmer DW</w:t>
      </w:r>
      <w:r w:rsidR="00112DB9">
        <w:rPr>
          <w:color w:val="000000"/>
        </w:rPr>
        <w:t>,</w:t>
      </w:r>
      <w:r w:rsidRPr="00073262">
        <w:rPr>
          <w:color w:val="000000"/>
        </w:rPr>
        <w:t xml:space="preserve"> </w:t>
      </w:r>
      <w:proofErr w:type="spellStart"/>
      <w:r w:rsidRPr="00073262">
        <w:rPr>
          <w:color w:val="000000"/>
        </w:rPr>
        <w:t>Lemeshow</w:t>
      </w:r>
      <w:proofErr w:type="spellEnd"/>
      <w:r w:rsidR="00112DB9">
        <w:rPr>
          <w:color w:val="000000"/>
        </w:rPr>
        <w:t xml:space="preserve"> </w:t>
      </w:r>
      <w:r w:rsidRPr="00073262">
        <w:rPr>
          <w:color w:val="000000"/>
        </w:rPr>
        <w:t xml:space="preserve">S. </w:t>
      </w:r>
      <w:r w:rsidR="00073262" w:rsidRPr="00073262">
        <w:rPr>
          <w:color w:val="000000"/>
        </w:rPr>
        <w:t>A</w:t>
      </w:r>
      <w:r w:rsidRPr="00073262">
        <w:rPr>
          <w:color w:val="000000"/>
        </w:rPr>
        <w:t>pplied logistic regression. John Wiley &amp; Sons,</w:t>
      </w:r>
      <w:r w:rsidR="00112DB9">
        <w:rPr>
          <w:color w:val="000000"/>
        </w:rPr>
        <w:t xml:space="preserve"> </w:t>
      </w:r>
      <w:r w:rsidR="00112DB9" w:rsidRPr="00073262">
        <w:rPr>
          <w:color w:val="000000"/>
        </w:rPr>
        <w:t>New York</w:t>
      </w:r>
      <w:r w:rsidR="00112DB9">
        <w:rPr>
          <w:color w:val="000000"/>
        </w:rPr>
        <w:t>,</w:t>
      </w:r>
      <w:r w:rsidR="00112DB9" w:rsidRPr="00073262">
        <w:rPr>
          <w:color w:val="000000"/>
        </w:rPr>
        <w:t xml:space="preserve"> 2nd Edition</w:t>
      </w:r>
      <w:r w:rsidR="00112DB9">
        <w:rPr>
          <w:color w:val="000000"/>
        </w:rPr>
        <w:t>; 2000</w:t>
      </w:r>
      <w:r w:rsidRPr="00073262">
        <w:rPr>
          <w:color w:val="000000"/>
        </w:rPr>
        <w:t>.</w:t>
      </w:r>
    </w:p>
    <w:p w14:paraId="46EE4F9F" w14:textId="644CA518" w:rsidR="008213D2" w:rsidRDefault="008213D2" w:rsidP="008213D2">
      <w:pPr>
        <w:spacing w:line="480" w:lineRule="auto"/>
        <w:jc w:val="both"/>
        <w:rPr>
          <w:color w:val="000000"/>
        </w:rPr>
      </w:pPr>
    </w:p>
    <w:p w14:paraId="6B667277" w14:textId="77777777" w:rsidR="008213D2" w:rsidRPr="008213D2" w:rsidRDefault="008213D2" w:rsidP="008213D2">
      <w:pPr>
        <w:spacing w:line="480" w:lineRule="auto"/>
        <w:jc w:val="both"/>
        <w:rPr>
          <w:color w:val="000000"/>
        </w:rPr>
      </w:pPr>
    </w:p>
    <w:p w14:paraId="003F4A60" w14:textId="441BDC8C" w:rsidR="006221C3" w:rsidRPr="001C54A2" w:rsidRDefault="006221C3" w:rsidP="000020D9">
      <w:pPr>
        <w:spacing w:line="480" w:lineRule="auto"/>
        <w:jc w:val="both"/>
        <w:rPr>
          <w:color w:val="000000"/>
        </w:rPr>
      </w:pPr>
    </w:p>
    <w:p w14:paraId="7BE8CC4F" w14:textId="77777777" w:rsidR="001C54A2" w:rsidRPr="001C54A2" w:rsidRDefault="001C54A2" w:rsidP="000020D9">
      <w:pPr>
        <w:spacing w:line="480" w:lineRule="auto"/>
        <w:jc w:val="both"/>
        <w:rPr>
          <w:color w:val="000000"/>
        </w:rPr>
        <w:sectPr w:rsidR="001C54A2" w:rsidRPr="001C54A2" w:rsidSect="000E7417">
          <w:footerReference w:type="default" r:id="rId8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1714E3D3" w14:textId="77777777" w:rsidR="00411881" w:rsidRPr="00257965" w:rsidRDefault="00411881" w:rsidP="00D71B4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57965">
        <w:rPr>
          <w:rFonts w:ascii="Times New Roman" w:hAnsi="Times New Roman" w:cs="Times New Roman"/>
          <w:b/>
          <w:color w:val="000000"/>
        </w:rPr>
        <w:lastRenderedPageBreak/>
        <w:t xml:space="preserve">Table 1. Characteristics of the </w:t>
      </w:r>
      <w:r w:rsidR="008A305F">
        <w:rPr>
          <w:rFonts w:ascii="Times New Roman" w:hAnsi="Times New Roman" w:cs="Times New Roman"/>
          <w:b/>
          <w:color w:val="000000"/>
        </w:rPr>
        <w:t xml:space="preserve">training </w:t>
      </w:r>
      <w:r w:rsidR="00D71B45">
        <w:rPr>
          <w:rFonts w:ascii="Times New Roman" w:hAnsi="Times New Roman" w:cs="Times New Roman"/>
          <w:b/>
          <w:color w:val="000000"/>
        </w:rPr>
        <w:t>cohort</w:t>
      </w:r>
      <w:r w:rsidRPr="00257965">
        <w:rPr>
          <w:rFonts w:ascii="Times New Roman" w:hAnsi="Times New Roman" w:cs="Times New Roman"/>
          <w:b/>
          <w:color w:val="000000"/>
        </w:rPr>
        <w:t xml:space="preserve"> </w:t>
      </w:r>
    </w:p>
    <w:p w14:paraId="1774C9CF" w14:textId="77777777" w:rsidR="008309CE" w:rsidRPr="009F2EA7" w:rsidRDefault="008309CE" w:rsidP="009F2EA7">
      <w:pPr>
        <w:widowControl/>
        <w:autoSpaceDE/>
        <w:autoSpaceDN/>
        <w:adjustRightInd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it-C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1568"/>
        <w:gridCol w:w="1234"/>
        <w:gridCol w:w="1738"/>
      </w:tblGrid>
      <w:tr w:rsidR="00E14FA7" w:rsidRPr="0061213F" w14:paraId="11B693A0" w14:textId="77777777" w:rsidTr="001935B2">
        <w:trPr>
          <w:trHeight w:val="450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5DC" w14:textId="77777777" w:rsidR="00121B7C" w:rsidRPr="0061213F" w:rsidRDefault="00121B7C" w:rsidP="008A305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CH"/>
              </w:rPr>
              <w:t> 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BD01" w14:textId="77777777" w:rsidR="00121B7C" w:rsidRPr="0061213F" w:rsidRDefault="009D3CFB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UEP</w:t>
            </w:r>
          </w:p>
        </w:tc>
      </w:tr>
      <w:tr w:rsidR="00E14FA7" w:rsidRPr="0061213F" w14:paraId="12F0EF39" w14:textId="77777777" w:rsidTr="001935B2">
        <w:trPr>
          <w:trHeight w:val="315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6CF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</w:p>
        </w:tc>
        <w:tc>
          <w:tcPr>
            <w:tcW w:w="21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A31" w14:textId="77777777" w:rsidR="00121B7C" w:rsidRPr="0061213F" w:rsidRDefault="007C3F02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N=333</w:t>
            </w:r>
          </w:p>
        </w:tc>
      </w:tr>
      <w:tr w:rsidR="00E14FA7" w:rsidRPr="0061213F" w14:paraId="6740885A" w14:textId="77777777" w:rsidTr="001935B2">
        <w:trPr>
          <w:trHeight w:val="315"/>
        </w:trPr>
        <w:tc>
          <w:tcPr>
            <w:tcW w:w="2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613E1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Variable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8518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FA1D7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%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0D2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it-CH" w:eastAsia="it-CH"/>
              </w:rPr>
              <w:t>Missing</w:t>
            </w:r>
            <w:proofErr w:type="spellEnd"/>
          </w:p>
        </w:tc>
      </w:tr>
      <w:tr w:rsidR="00E14FA7" w:rsidRPr="0061213F" w14:paraId="354661BE" w14:textId="77777777" w:rsidTr="00504331">
        <w:trPr>
          <w:trHeight w:val="300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BBCA26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Age &gt;65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46EB66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208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1687F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62.4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28BB4" w14:textId="77777777" w:rsidR="00121B7C" w:rsidRPr="0061213F" w:rsidRDefault="00121B7C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4AE531FF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787C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Male gender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B4F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178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C81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53.4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F3A7" w14:textId="77777777" w:rsidR="00121B7C" w:rsidRPr="0061213F" w:rsidRDefault="00121B7C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70CD9741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BE5CB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Palpable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lymph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nodes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6B74A4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68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666D87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20.4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84A57D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7CF390F4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99B8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Palpable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spleen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DA1F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AC89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6.0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AC02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5346D66E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CE4BE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Lymphocytes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&gt;15</w:t>
            </w:r>
            <w:r w:rsidR="001C554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x10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it-CH" w:eastAsia="it-CH"/>
              </w:rPr>
              <w:t>9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/l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4B0097E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65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68F0A7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19.5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E51441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2932CCAA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2B7A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CH"/>
              </w:rPr>
              <w:t>Hb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CH"/>
              </w:rPr>
              <w:t xml:space="preserve"> &lt;13 g/dl (M)/&lt;12 g/dl (F)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9C847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39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2748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11.7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C6AD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4412F55F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E26C4D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Platelets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&lt;150</w:t>
            </w:r>
            <w:r w:rsidR="001C554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x10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it-CH" w:eastAsia="it-CH"/>
              </w:rPr>
              <w:t>9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/l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56197F2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46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C0EEDCF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13.8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C628AA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207D858B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21C5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B2M &gt;3.5 mg/l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3764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32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D356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9.6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8C8B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660F749C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8DF32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FISH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normal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172F65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112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82124D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33.6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05014C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2AAD4997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60C1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Del(13q)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D561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168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E173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50.4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D250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25F8A7CC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CE984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Trisomy</w:t>
            </w:r>
            <w:proofErr w:type="spellEnd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12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FC7479E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B1349FF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17.7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0A8E0E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524B493D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0890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Del(11q)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52C7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8DA8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5.4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5F6B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4BC3760D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579EF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Del(17p)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639852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D75B1A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5.7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CEE210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0A3834C3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9C7A" w14:textId="77777777" w:rsidR="00121B7C" w:rsidRPr="0061213F" w:rsidRDefault="00130C6C" w:rsidP="00E71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Unmutated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r w:rsidR="00121B7C"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IGHV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C04B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92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047D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27.6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2A5F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45D5B3C4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4CE3CC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  <w:t>TP53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mutation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5CBE37A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9E2750A" w14:textId="77777777" w:rsidR="00121B7C" w:rsidRPr="0061213F" w:rsidRDefault="00EE508A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7.2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109E6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-</w:t>
            </w:r>
          </w:p>
        </w:tc>
      </w:tr>
      <w:tr w:rsidR="00E14FA7" w:rsidRPr="0061213F" w14:paraId="1F67A734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3FBE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  <w:t>ATM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mutation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0382F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24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4CF3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8.3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D301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44</w:t>
            </w:r>
          </w:p>
        </w:tc>
      </w:tr>
      <w:tr w:rsidR="00E14FA7" w:rsidRPr="0061213F" w14:paraId="6873F025" w14:textId="77777777" w:rsidTr="00504331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6478F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  <w:t>MYD88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mutation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87438B4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B01F9E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5.4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B9BC26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4</w:t>
            </w:r>
          </w:p>
        </w:tc>
      </w:tr>
      <w:tr w:rsidR="00E14FA7" w:rsidRPr="0061213F" w14:paraId="14BD3B2B" w14:textId="77777777" w:rsidTr="001935B2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09C53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  <w:t>NOTCH1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mutation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09F0AC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35</w:t>
            </w: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62CC21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10.6</w:t>
            </w:r>
          </w:p>
        </w:tc>
        <w:tc>
          <w:tcPr>
            <w:tcW w:w="83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D911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4</w:t>
            </w:r>
          </w:p>
        </w:tc>
      </w:tr>
      <w:tr w:rsidR="00E14FA7" w:rsidRPr="0061213F" w14:paraId="39670D99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399DE" w14:textId="77777777" w:rsidR="00121B7C" w:rsidRPr="0061213F" w:rsidRDefault="00121B7C" w:rsidP="008A305F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6121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  <w:t>SF3B1</w:t>
            </w:r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 xml:space="preserve"> </w:t>
            </w:r>
            <w:proofErr w:type="spellStart"/>
            <w:r w:rsidRPr="0061213F"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mutation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B82AACC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EDF2315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5.1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1C7B5" w14:textId="77777777" w:rsidR="00121B7C" w:rsidRPr="0061213F" w:rsidRDefault="00FA6F0B" w:rsidP="00121B7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  <w:t>4</w:t>
            </w:r>
          </w:p>
        </w:tc>
      </w:tr>
      <w:tr w:rsidR="005D3637" w:rsidRPr="0061213F" w14:paraId="4DD572BC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7E89" w14:textId="6D1C6331" w:rsidR="005D3637" w:rsidRPr="005D3637" w:rsidRDefault="005D3637" w:rsidP="005D3637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CLL-IPI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3FAA" w14:textId="5C46E222" w:rsidR="005D3637" w:rsidRPr="0010405D" w:rsidRDefault="005D3637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13D4" w14:textId="77777777" w:rsidR="005D3637" w:rsidRDefault="005D3637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9944" w14:textId="77777777" w:rsidR="005D3637" w:rsidRDefault="005D3637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CH" w:eastAsia="it-CH"/>
              </w:rPr>
            </w:pPr>
          </w:p>
        </w:tc>
      </w:tr>
      <w:tr w:rsidR="005D3637" w:rsidRPr="0061213F" w14:paraId="4B8B0049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F6DEFE" w14:textId="75165286" w:rsidR="005D3637" w:rsidRPr="005D3637" w:rsidRDefault="005D3637" w:rsidP="005D3637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Low-risk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D595F5" w14:textId="5D22DB5C" w:rsidR="005D3637" w:rsidRPr="00B816CF" w:rsidRDefault="0010405D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182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9E6C720" w14:textId="190A971A" w:rsidR="005D3637" w:rsidRPr="00B816CF" w:rsidRDefault="00B816CF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54.7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1D87D" w14:textId="09F8E25C" w:rsidR="005D3637" w:rsidRPr="00BD5801" w:rsidRDefault="00BD5801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D5801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-</w:t>
            </w:r>
          </w:p>
        </w:tc>
      </w:tr>
      <w:tr w:rsidR="005D3637" w:rsidRPr="0061213F" w14:paraId="14892BBB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E195" w14:textId="6D13CAE1" w:rsidR="005D3637" w:rsidRPr="005D3637" w:rsidRDefault="005D3637" w:rsidP="005D3637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Interme</w:t>
            </w:r>
            <w:r w:rsidR="00340846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di</w:t>
            </w:r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ate-</w:t>
            </w:r>
            <w:proofErr w:type="spellStart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142D" w14:textId="06B8A34B" w:rsidR="005D3637" w:rsidRPr="00B816CF" w:rsidRDefault="0010405D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94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F6B6" w14:textId="362ED79B" w:rsidR="005D3637" w:rsidRPr="00B816CF" w:rsidRDefault="00B816CF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28.2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8167" w14:textId="44EB1B92" w:rsidR="005D3637" w:rsidRPr="00BD5801" w:rsidRDefault="00BD5801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D5801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-</w:t>
            </w:r>
          </w:p>
        </w:tc>
      </w:tr>
      <w:tr w:rsidR="005D3637" w:rsidRPr="0061213F" w14:paraId="1B832629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E611C2B" w14:textId="725E8255" w:rsidR="005D3637" w:rsidRPr="005D3637" w:rsidRDefault="005D3637" w:rsidP="005D3637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High-</w:t>
            </w:r>
            <w:proofErr w:type="spellStart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82737D" w14:textId="73426584" w:rsidR="005D3637" w:rsidRPr="00B816CF" w:rsidRDefault="0010405D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45</w:t>
            </w: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956264" w14:textId="0902FF51" w:rsidR="005D3637" w:rsidRPr="00B816CF" w:rsidRDefault="00B816CF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13.5</w:t>
            </w:r>
          </w:p>
        </w:tc>
        <w:tc>
          <w:tcPr>
            <w:tcW w:w="831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EC8A51" w14:textId="01D556D7" w:rsidR="005D3637" w:rsidRPr="00BD5801" w:rsidRDefault="00BD5801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D5801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-</w:t>
            </w:r>
          </w:p>
        </w:tc>
      </w:tr>
      <w:tr w:rsidR="005D3637" w:rsidRPr="0061213F" w14:paraId="4DC79B23" w14:textId="77777777" w:rsidTr="005D3637">
        <w:trPr>
          <w:trHeight w:val="300"/>
        </w:trPr>
        <w:tc>
          <w:tcPr>
            <w:tcW w:w="2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F4BFD" w14:textId="2EBAFBE1" w:rsidR="005D3637" w:rsidRPr="005D3637" w:rsidRDefault="005D3637" w:rsidP="005D3637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t-CH" w:eastAsia="it-CH"/>
              </w:rPr>
            </w:pPr>
            <w:proofErr w:type="spellStart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Very</w:t>
            </w:r>
            <w:proofErr w:type="spellEnd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 xml:space="preserve">-high </w:t>
            </w:r>
            <w:proofErr w:type="spellStart"/>
            <w:r w:rsidRPr="005D3637">
              <w:rPr>
                <w:rFonts w:ascii="Times New Roman" w:hAnsi="Times New Roman" w:cs="Times New Roman"/>
                <w:color w:val="FF0000"/>
                <w:sz w:val="20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2F796" w14:textId="2D1F6542" w:rsidR="005D3637" w:rsidRPr="00B816CF" w:rsidRDefault="0010405D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104B1" w14:textId="29A22E29" w:rsidR="005D3637" w:rsidRPr="00B816CF" w:rsidRDefault="00B816CF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816CF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3.6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D3EB" w14:textId="02502B3C" w:rsidR="005D3637" w:rsidRPr="00BD5801" w:rsidRDefault="00BD5801" w:rsidP="005D3637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</w:pPr>
            <w:r w:rsidRPr="00BD5801">
              <w:rPr>
                <w:rFonts w:ascii="Times New Roman" w:hAnsi="Times New Roman" w:cs="Times New Roman"/>
                <w:color w:val="FF0000"/>
                <w:sz w:val="20"/>
                <w:szCs w:val="20"/>
                <w:lang w:val="it-CH" w:eastAsia="it-CH"/>
              </w:rPr>
              <w:t>-</w:t>
            </w:r>
          </w:p>
        </w:tc>
      </w:tr>
    </w:tbl>
    <w:p w14:paraId="41816BD1" w14:textId="77777777" w:rsidR="0061213F" w:rsidRPr="000660B6" w:rsidRDefault="009D3CFB" w:rsidP="000660B6">
      <w:pPr>
        <w:spacing w:after="0"/>
        <w:jc w:val="both"/>
        <w:rPr>
          <w:rFonts w:ascii="Times New Roman" w:hAnsi="Times New Roman" w:cs="Times New Roman"/>
          <w:color w:val="000000"/>
          <w:sz w:val="16"/>
        </w:rPr>
      </w:pPr>
      <w:r w:rsidRPr="000660B6">
        <w:rPr>
          <w:rFonts w:ascii="Times New Roman" w:hAnsi="Times New Roman" w:cs="Times New Roman"/>
          <w:color w:val="000000"/>
          <w:sz w:val="16"/>
        </w:rPr>
        <w:t xml:space="preserve">UEP, University of Eastern Piedmont; </w:t>
      </w:r>
      <w:proofErr w:type="spellStart"/>
      <w:r w:rsidR="0061213F" w:rsidRPr="000660B6">
        <w:rPr>
          <w:rFonts w:ascii="Times New Roman" w:hAnsi="Times New Roman" w:cs="Times New Roman"/>
          <w:color w:val="000000"/>
          <w:sz w:val="16"/>
        </w:rPr>
        <w:t>Hb</w:t>
      </w:r>
      <w:proofErr w:type="spellEnd"/>
      <w:r w:rsidR="0061213F" w:rsidRPr="000660B6">
        <w:rPr>
          <w:rFonts w:ascii="Times New Roman" w:hAnsi="Times New Roman" w:cs="Times New Roman"/>
          <w:color w:val="000000"/>
          <w:sz w:val="16"/>
        </w:rPr>
        <w:t>, hemoglobin; B2M, beta-2-microglobulin; FISH, fluorescence in sit</w:t>
      </w:r>
      <w:r w:rsidR="00411F71" w:rsidRPr="000660B6">
        <w:rPr>
          <w:rFonts w:ascii="Times New Roman" w:hAnsi="Times New Roman" w:cs="Times New Roman"/>
          <w:color w:val="000000"/>
          <w:sz w:val="16"/>
        </w:rPr>
        <w:t>u</w:t>
      </w:r>
      <w:r w:rsidR="0061213F" w:rsidRPr="000660B6">
        <w:rPr>
          <w:rFonts w:ascii="Times New Roman" w:hAnsi="Times New Roman" w:cs="Times New Roman"/>
          <w:color w:val="000000"/>
          <w:sz w:val="16"/>
        </w:rPr>
        <w:t xml:space="preserve"> hybridization</w:t>
      </w:r>
      <w:r w:rsidR="00307B9D" w:rsidRPr="000660B6">
        <w:rPr>
          <w:rFonts w:ascii="Times New Roman" w:hAnsi="Times New Roman" w:cs="Times New Roman"/>
          <w:color w:val="000000"/>
          <w:sz w:val="16"/>
        </w:rPr>
        <w:t>; Del, deletion</w:t>
      </w:r>
      <w:r w:rsidR="0061213F" w:rsidRPr="000660B6">
        <w:rPr>
          <w:rFonts w:ascii="Times New Roman" w:hAnsi="Times New Roman" w:cs="Times New Roman"/>
          <w:color w:val="000000"/>
          <w:sz w:val="16"/>
        </w:rPr>
        <w:t>; IGHV, immunoglobulin heavy variable gene</w:t>
      </w:r>
    </w:p>
    <w:p w14:paraId="1D120FF0" w14:textId="77777777" w:rsidR="0001253C" w:rsidRPr="000660B6" w:rsidRDefault="0001253C" w:rsidP="000660B6">
      <w:pPr>
        <w:spacing w:after="0"/>
        <w:jc w:val="both"/>
        <w:rPr>
          <w:rFonts w:ascii="Times New Roman" w:hAnsi="Times New Roman" w:cs="Times New Roman"/>
          <w:color w:val="000000"/>
          <w:sz w:val="16"/>
        </w:rPr>
        <w:sectPr w:rsidR="0001253C" w:rsidRPr="000660B6" w:rsidSect="008A30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FA29F3" w14:textId="77777777" w:rsidR="00313AF0" w:rsidRPr="00257965" w:rsidRDefault="00D71B45" w:rsidP="00D71B4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Table 2</w:t>
      </w:r>
      <w:r w:rsidR="008A305F" w:rsidRPr="00257965">
        <w:rPr>
          <w:rFonts w:ascii="Times New Roman" w:hAnsi="Times New Roman" w:cs="Times New Roman"/>
          <w:b/>
          <w:color w:val="000000"/>
        </w:rPr>
        <w:t xml:space="preserve">. Characteristics of the </w:t>
      </w:r>
      <w:r>
        <w:rPr>
          <w:rFonts w:ascii="Times New Roman" w:hAnsi="Times New Roman" w:cs="Times New Roman"/>
          <w:b/>
          <w:color w:val="000000"/>
        </w:rPr>
        <w:t>validation</w:t>
      </w:r>
      <w:r w:rsidR="008A305F" w:rsidRPr="0025796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cohorts</w:t>
      </w:r>
    </w:p>
    <w:tbl>
      <w:tblPr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67"/>
        <w:gridCol w:w="326"/>
        <w:gridCol w:w="366"/>
        <w:gridCol w:w="554"/>
        <w:gridCol w:w="126"/>
        <w:gridCol w:w="326"/>
        <w:gridCol w:w="366"/>
        <w:gridCol w:w="554"/>
        <w:gridCol w:w="126"/>
        <w:gridCol w:w="326"/>
        <w:gridCol w:w="366"/>
        <w:gridCol w:w="557"/>
        <w:gridCol w:w="126"/>
        <w:gridCol w:w="326"/>
        <w:gridCol w:w="366"/>
        <w:gridCol w:w="557"/>
        <w:gridCol w:w="126"/>
        <w:gridCol w:w="326"/>
        <w:gridCol w:w="366"/>
        <w:gridCol w:w="58"/>
        <w:gridCol w:w="497"/>
        <w:gridCol w:w="126"/>
        <w:gridCol w:w="326"/>
        <w:gridCol w:w="366"/>
        <w:gridCol w:w="557"/>
        <w:gridCol w:w="126"/>
        <w:gridCol w:w="326"/>
        <w:gridCol w:w="366"/>
        <w:gridCol w:w="558"/>
        <w:gridCol w:w="121"/>
        <w:gridCol w:w="326"/>
        <w:gridCol w:w="366"/>
        <w:gridCol w:w="553"/>
        <w:gridCol w:w="121"/>
        <w:gridCol w:w="326"/>
        <w:gridCol w:w="366"/>
        <w:gridCol w:w="553"/>
        <w:gridCol w:w="92"/>
        <w:gridCol w:w="326"/>
        <w:gridCol w:w="366"/>
        <w:gridCol w:w="723"/>
      </w:tblGrid>
      <w:tr w:rsidR="00313AF0" w14:paraId="023E012E" w14:textId="77777777" w:rsidTr="001F718A">
        <w:trPr>
          <w:trHeight w:val="315"/>
        </w:trPr>
        <w:tc>
          <w:tcPr>
            <w:tcW w:w="2562" w:type="pct"/>
            <w:gridSpan w:val="20"/>
          </w:tcPr>
          <w:p w14:paraId="10283F39" w14:textId="77777777" w:rsidR="00313AF0" w:rsidRPr="006A1A74" w:rsidRDefault="00313AF0" w:rsidP="005760ED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eastAsia="it-CH"/>
              </w:rPr>
            </w:pPr>
          </w:p>
        </w:tc>
        <w:tc>
          <w:tcPr>
            <w:tcW w:w="2438" w:type="pct"/>
            <w:gridSpan w:val="21"/>
          </w:tcPr>
          <w:p w14:paraId="730E2F6B" w14:textId="77777777" w:rsidR="00313AF0" w:rsidRPr="006A1A74" w:rsidRDefault="00313AF0" w:rsidP="005760ED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eastAsia="it-CH"/>
              </w:rPr>
            </w:pPr>
          </w:p>
        </w:tc>
      </w:tr>
      <w:tr w:rsidR="00856CE8" w:rsidRPr="000275C0" w14:paraId="4554606D" w14:textId="77777777" w:rsidTr="001F718A">
        <w:trPr>
          <w:trHeight w:val="31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E501" w14:textId="77777777" w:rsidR="00313AF0" w:rsidRPr="00FE0E0F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1200C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MDACC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73E2E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95209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CLL1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D0F9E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CED0C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Barcelona</w:t>
            </w:r>
            <w:proofErr w:type="spellEnd"/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DE97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E4329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CLL7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62EB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6C834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O-CLL1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7664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9ABC7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Brno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B5C7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D6DE3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Southampton</w:t>
            </w: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41BC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0F797A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SCAN</w:t>
            </w: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0F4B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B7F24" w14:textId="77777777" w:rsidR="00313AF0" w:rsidRPr="000275C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SU</w:t>
            </w:r>
          </w:p>
        </w:tc>
        <w:tc>
          <w:tcPr>
            <w:tcW w:w="30" w:type="pct"/>
            <w:tcBorders>
              <w:top w:val="single" w:sz="4" w:space="0" w:color="auto"/>
            </w:tcBorders>
            <w:vAlign w:val="center"/>
          </w:tcPr>
          <w:p w14:paraId="1D09928C" w14:textId="77777777" w:rsid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D21D" w14:textId="77777777" w:rsid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Mayo</w:t>
            </w:r>
            <w:r w:rsidR="003E59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 xml:space="preserve"> Clinic</w:t>
            </w:r>
          </w:p>
        </w:tc>
      </w:tr>
      <w:tr w:rsidR="00856CE8" w:rsidRPr="000275C0" w14:paraId="4881D926" w14:textId="77777777" w:rsidTr="001F718A">
        <w:trPr>
          <w:trHeight w:val="315"/>
        </w:trPr>
        <w:tc>
          <w:tcPr>
            <w:tcW w:w="52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410C9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CB09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N=1225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CDD7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FEAC70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N=547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2A1DC8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3402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N=355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0CF6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232A36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N=339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172238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BEEB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N=312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1E2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9640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N=269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E580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2795" w14:textId="77777777" w:rsidR="00313AF0" w:rsidRPr="000275C0" w:rsidRDefault="00313AF0" w:rsidP="00951599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226</w:t>
            </w:r>
          </w:p>
        </w:tc>
        <w:tc>
          <w:tcPr>
            <w:tcW w:w="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EEE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C519" w14:textId="77777777" w:rsidR="00313AF0" w:rsidRPr="000275C0" w:rsidRDefault="00313AF0" w:rsidP="00951599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N=223</w:t>
            </w:r>
          </w:p>
        </w:tc>
        <w:tc>
          <w:tcPr>
            <w:tcW w:w="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1240" w14:textId="77777777" w:rsidR="00313AF0" w:rsidRPr="000275C0" w:rsidRDefault="00313AF0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B19D445" w14:textId="77777777" w:rsidR="00313AF0" w:rsidRPr="000275C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N=223</w:t>
            </w:r>
          </w:p>
        </w:tc>
        <w:tc>
          <w:tcPr>
            <w:tcW w:w="30" w:type="pct"/>
            <w:vAlign w:val="center"/>
          </w:tcPr>
          <w:p w14:paraId="08F14804" w14:textId="77777777" w:rsid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478FA" w14:textId="77777777" w:rsid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N=881</w:t>
            </w:r>
          </w:p>
        </w:tc>
      </w:tr>
      <w:tr w:rsidR="00FB4704" w:rsidRPr="000275C0" w14:paraId="1686471E" w14:textId="77777777" w:rsidTr="001F718A">
        <w:trPr>
          <w:trHeight w:val="31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67D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 w:rsidRPr="000275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  <w:lang w:val="it-CH" w:eastAsia="it-CH"/>
              </w:rPr>
              <w:t>Variable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5F32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0F4EE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1A49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A5BD4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1B0DA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A770F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64873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640FD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80240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B3102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F8D0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4B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0CB12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B33A0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862E8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739B1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D2C38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62FFE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0056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5ADA6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37AF2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4DE2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CB3E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D1D4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96B9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9EF7B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504F9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7C48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95FF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2830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57707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2D38" w14:textId="77777777" w:rsidR="003D6371" w:rsidRPr="00313AF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color w:val="000000"/>
                <w:sz w:val="14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7A9D8" w14:textId="77777777" w:rsidR="003D6371" w:rsidRPr="00313AF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B778B" w14:textId="77777777" w:rsidR="003D6371" w:rsidRPr="00313AF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28D" w14:textId="77777777" w:rsidR="003D6371" w:rsidRPr="00313AF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  <w:tc>
          <w:tcPr>
            <w:tcW w:w="30" w:type="pct"/>
            <w:tcBorders>
              <w:top w:val="nil"/>
              <w:bottom w:val="single" w:sz="4" w:space="0" w:color="auto"/>
            </w:tcBorders>
            <w:vAlign w:val="center"/>
          </w:tcPr>
          <w:p w14:paraId="47F6EA02" w14:textId="77777777" w:rsidR="003D6371" w:rsidRPr="00313AF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vAlign w:val="center"/>
          </w:tcPr>
          <w:p w14:paraId="667C1FF2" w14:textId="77777777" w:rsidR="003D6371" w:rsidRP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N</w:t>
            </w: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vAlign w:val="center"/>
          </w:tcPr>
          <w:p w14:paraId="42E28338" w14:textId="77777777" w:rsidR="003D6371" w:rsidRP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%</w:t>
            </w: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E24D" w14:textId="77777777" w:rsidR="003D6371" w:rsidRPr="00313AF0" w:rsidRDefault="00313AF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</w:pPr>
            <w:proofErr w:type="spellStart"/>
            <w:r w:rsidRPr="00313AF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it-CH" w:eastAsia="it-CH"/>
              </w:rPr>
              <w:t>Missing</w:t>
            </w:r>
            <w:proofErr w:type="spellEnd"/>
          </w:p>
        </w:tc>
      </w:tr>
      <w:tr w:rsidR="007E7AE5" w:rsidRPr="000275C0" w14:paraId="3F6BD9FC" w14:textId="77777777" w:rsidTr="001F718A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6304A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Age &gt;65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5F10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374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B7CA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30.5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19922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0864D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1260C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154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18959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28.1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301BD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A8303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4D86A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3410C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46.7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75A20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D4BAC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0F64B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98F38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28.9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C2D9CF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2A9F4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D792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CB70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25.6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55C7A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847A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1952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4D27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42.0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09EC8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C3C8B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F7EDE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120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6D5DD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53.0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B645D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A32F0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B5060E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A3839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42.6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FD399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9970CA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2CC4DDD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28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D3D4CE" w14:textId="77777777" w:rsidR="003D6371" w:rsidRPr="000275C0" w:rsidRDefault="003D6371" w:rsidP="00982CCD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12.</w:t>
            </w:r>
            <w:r w:rsidR="00982CCD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63979B2E" w14:textId="77777777" w:rsidR="003D6371" w:rsidRPr="000275C0" w:rsidRDefault="00982CCD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30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292454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7638495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380</w:t>
            </w:r>
          </w:p>
        </w:tc>
        <w:tc>
          <w:tcPr>
            <w:tcW w:w="119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FE20858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43.1</w:t>
            </w:r>
          </w:p>
        </w:tc>
        <w:tc>
          <w:tcPr>
            <w:tcW w:w="23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6E500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</w:tr>
      <w:tr w:rsidR="00FB4704" w:rsidRPr="000275C0" w14:paraId="3B042A24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801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Male gender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19F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727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259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59.3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24A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7B0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62B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335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C00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61.2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6D1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8BF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20F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202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2BC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56.9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28F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3DE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A20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214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E1F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0755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42F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A81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190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85CB" w14:textId="77777777" w:rsidR="003D6371" w:rsidRPr="000275C0" w:rsidRDefault="003D6371" w:rsidP="000A2DFA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0.8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BE3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65C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56E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F7A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0D3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179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85F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68F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59.2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A41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E01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165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CE7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58.7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64C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2A0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E7E6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124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3EB7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55.6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9BDC5B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0" w:type="pct"/>
            <w:tcBorders>
              <w:top w:val="nil"/>
              <w:bottom w:val="nil"/>
            </w:tcBorders>
            <w:vAlign w:val="center"/>
          </w:tcPr>
          <w:p w14:paraId="00615BCA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320B07DC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591</w:t>
            </w:r>
          </w:p>
        </w:tc>
        <w:tc>
          <w:tcPr>
            <w:tcW w:w="119" w:type="pct"/>
            <w:tcBorders>
              <w:top w:val="nil"/>
              <w:bottom w:val="nil"/>
            </w:tcBorders>
            <w:vAlign w:val="center"/>
          </w:tcPr>
          <w:p w14:paraId="6C395498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67.1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6F32FE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</w:tr>
      <w:tr w:rsidR="007E7AE5" w:rsidRPr="000275C0" w14:paraId="26CA524B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1884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Palpable</w:t>
            </w:r>
            <w:proofErr w:type="spellEnd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</w:t>
            </w: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lymph</w:t>
            </w:r>
            <w:proofErr w:type="spellEnd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</w:t>
            </w: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nodes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53C5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536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9CDA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43.7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40C0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F8DB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DC7F6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122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101E5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22.3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68783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D8F84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97FE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C9F0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22.8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1DAEC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C6DD0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1A8CD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99130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33.9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7AE879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35655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7E80E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2492E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19.8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25B35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5CF1C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765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CEEF4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.2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BE0EF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219E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B7FDB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8D570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41.1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50A9F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696582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C1B90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E3ECA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42.1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CF9A0F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A14B0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9C8D5FE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8C62174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51.1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73FE311C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AEF46E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E42A81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424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3F6B29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48.1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C4A1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</w:tr>
      <w:tr w:rsidR="00FB4704" w:rsidRPr="000275C0" w14:paraId="17C431E5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E03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Palpable</w:t>
            </w:r>
            <w:proofErr w:type="spellEnd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spleen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5C3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8E7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0E9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D33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5B7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E18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5.5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532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24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1DA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B6B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52E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8D7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E4C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451E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D9D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0B09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28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FF2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85C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B3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6.7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0C4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68A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308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43F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0.7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99F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818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491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002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965B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8C0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B5C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573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3.2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02B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2A1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ED34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C1DA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13.0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BD997E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0" w:type="pct"/>
            <w:tcBorders>
              <w:top w:val="nil"/>
              <w:bottom w:val="nil"/>
            </w:tcBorders>
            <w:vAlign w:val="center"/>
          </w:tcPr>
          <w:p w14:paraId="70B653AF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1DB54368" w14:textId="77777777" w:rsidR="003D6371" w:rsidRDefault="009649FB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62</w:t>
            </w:r>
          </w:p>
        </w:tc>
        <w:tc>
          <w:tcPr>
            <w:tcW w:w="119" w:type="pct"/>
            <w:tcBorders>
              <w:top w:val="nil"/>
              <w:bottom w:val="nil"/>
            </w:tcBorders>
            <w:vAlign w:val="center"/>
          </w:tcPr>
          <w:p w14:paraId="4DE7B6BC" w14:textId="77777777" w:rsidR="003D6371" w:rsidRDefault="009649FB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7.0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5A2EDA" w14:textId="77777777" w:rsidR="003D6371" w:rsidRDefault="009649FB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</w:tr>
      <w:tr w:rsidR="007E7AE5" w:rsidRPr="000275C0" w14:paraId="38907D6A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AE9B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Lymphocytes</w:t>
            </w:r>
            <w:proofErr w:type="spellEnd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&gt;15</w:t>
            </w:r>
            <w:r w:rsidR="00D37FF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</w:t>
            </w: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x10</w:t>
            </w: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vertAlign w:val="superscript"/>
                <w:lang w:val="it-CH" w:eastAsia="it-CH"/>
              </w:rPr>
              <w:t>9</w:t>
            </w: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/l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5154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609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2E320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49.7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27D0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C355C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BD894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280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48638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51.1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1EF9B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600E1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08A1C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3335F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25.6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A958E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4ADD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4F2BF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141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556D8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41.6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58B27B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C406F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C8D0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CBD23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44.5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4D2F9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26E3D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F3C8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199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1818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73.9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91D46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E698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8725DE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688E07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34.5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186A5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FB419B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4A7AD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127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3572DE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56.9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8989F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7F348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0F10DC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069E63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33.6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49F72D55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A92E8E7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FDA348" w14:textId="77777777" w:rsidR="003D6371" w:rsidRDefault="00856CE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353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6DF84A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40.1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B27BD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</w:t>
            </w:r>
          </w:p>
        </w:tc>
      </w:tr>
      <w:tr w:rsidR="00FB4704" w:rsidRPr="000275C0" w14:paraId="47637D98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19C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B2M &gt;3.5 mg/l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ECE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E19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3F1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41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0C8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DA4C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662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8.0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AEA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FC6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D1D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DC9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B0B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8CA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1247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13F4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44CB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E5B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036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A49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1.3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5C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82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7B5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EAA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5F0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FF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10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D53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E92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C01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20.6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7DD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47A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864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CC2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7.3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9C4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705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8384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62FBB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3.6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691C510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</w:t>
            </w:r>
          </w:p>
        </w:tc>
        <w:tc>
          <w:tcPr>
            <w:tcW w:w="30" w:type="pct"/>
            <w:tcBorders>
              <w:top w:val="nil"/>
              <w:bottom w:val="nil"/>
            </w:tcBorders>
            <w:vAlign w:val="center"/>
          </w:tcPr>
          <w:p w14:paraId="0141F67F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5A9A0707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80</w:t>
            </w:r>
          </w:p>
        </w:tc>
        <w:tc>
          <w:tcPr>
            <w:tcW w:w="119" w:type="pct"/>
            <w:tcBorders>
              <w:top w:val="nil"/>
              <w:bottom w:val="nil"/>
            </w:tcBorders>
            <w:vAlign w:val="center"/>
          </w:tcPr>
          <w:p w14:paraId="620C8DC7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9.7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A808BA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53</w:t>
            </w:r>
          </w:p>
        </w:tc>
      </w:tr>
      <w:tr w:rsidR="007E7AE5" w:rsidRPr="000275C0" w14:paraId="04D6A56E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D608A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Trisomy</w:t>
            </w:r>
            <w:proofErr w:type="spellEnd"/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16159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196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46A9B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16.0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EA320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E91E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8151A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26F0C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9.1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EFCC1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12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75B1B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EF8F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20CE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16.5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84AB7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23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3CA8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6C868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712CA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8.3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CACD13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2A139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F535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6CFA4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9.2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9A51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30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F71D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503DE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44C4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11.5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EBC1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13CEF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F8EF6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A04B89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10.9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2ACDA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20541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47AB4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82E5C3" w14:textId="77777777" w:rsidR="003D6371" w:rsidRPr="000275C0" w:rsidRDefault="003D6371" w:rsidP="00B10C31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6.9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B5464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356D75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590A0AB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707519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10.4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2D4903AB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31</w:t>
            </w: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1E8AD0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C049A4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151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D610FC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17.8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68FC8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33</w:t>
            </w:r>
          </w:p>
        </w:tc>
      </w:tr>
      <w:tr w:rsidR="00FB4704" w:rsidRPr="000275C0" w14:paraId="5817C21E" w14:textId="77777777" w:rsidTr="001F718A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5222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Del(17p)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576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69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384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5.6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927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33B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901F6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15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11E0A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2.8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E34B8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12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D563B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CB6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63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4.1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CE3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15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31E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704D6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564F6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2.0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2FB904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D9AF8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016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A69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2.1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3CE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30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7DC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170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18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219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6.6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9B5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D5A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A714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81DA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3.7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97B6A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38</w:t>
            </w:r>
          </w:p>
        </w:tc>
        <w:tc>
          <w:tcPr>
            <w:tcW w:w="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4672E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B363D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09C0A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1.7</w:t>
            </w:r>
          </w:p>
        </w:tc>
        <w:tc>
          <w:tcPr>
            <w:tcW w:w="1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301A8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51</w:t>
            </w:r>
          </w:p>
        </w:tc>
        <w:tc>
          <w:tcPr>
            <w:tcW w:w="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76D42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B4F870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ABC398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4.1</w:t>
            </w:r>
          </w:p>
        </w:tc>
        <w:tc>
          <w:tcPr>
            <w:tcW w:w="180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F7B6F12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31</w:t>
            </w:r>
          </w:p>
        </w:tc>
        <w:tc>
          <w:tcPr>
            <w:tcW w:w="30" w:type="pct"/>
            <w:tcBorders>
              <w:top w:val="nil"/>
            </w:tcBorders>
            <w:vAlign w:val="center"/>
          </w:tcPr>
          <w:p w14:paraId="0D60B8A5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</w:tcBorders>
            <w:vAlign w:val="center"/>
          </w:tcPr>
          <w:p w14:paraId="529840C5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40</w:t>
            </w:r>
          </w:p>
        </w:tc>
        <w:tc>
          <w:tcPr>
            <w:tcW w:w="119" w:type="pct"/>
            <w:tcBorders>
              <w:top w:val="nil"/>
            </w:tcBorders>
            <w:vAlign w:val="center"/>
          </w:tcPr>
          <w:p w14:paraId="35F9B390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4.8</w:t>
            </w:r>
          </w:p>
        </w:tc>
        <w:tc>
          <w:tcPr>
            <w:tcW w:w="239" w:type="pct"/>
            <w:tcBorders>
              <w:top w:val="nil"/>
              <w:right w:val="single" w:sz="4" w:space="0" w:color="auto"/>
            </w:tcBorders>
            <w:vAlign w:val="center"/>
          </w:tcPr>
          <w:p w14:paraId="476A67AA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33</w:t>
            </w:r>
          </w:p>
        </w:tc>
      </w:tr>
      <w:tr w:rsidR="007E7AE5" w:rsidRPr="000275C0" w14:paraId="43599884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7EDF2D" w14:textId="77777777" w:rsidR="003D6371" w:rsidRPr="000275C0" w:rsidRDefault="00FB4704" w:rsidP="00FB4704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Unmutated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 xml:space="preserve"> </w:t>
            </w:r>
            <w:r w:rsidR="003D6371"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IGHV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498D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480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A9361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39.1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E030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6ED33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968636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157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A7806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28.7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F712B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95E200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C0CF2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59457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38.8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A4D0D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AEABA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0BB6D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7224B5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21.8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F6FBFC" w14:textId="77777777" w:rsidR="003D6371" w:rsidRPr="000275C0" w:rsidRDefault="003D637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2DD04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9C3CE9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106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D99FE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33.9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D8DC1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7FBFB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A77CB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275F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50.5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739E8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5842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 w:rsidRPr="000275C0"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6FC71BE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DA42CC4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30.9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E560B28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5F6E0F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B2118A1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56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BABB77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25.1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9B6C27C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34FEB6F" w14:textId="77777777" w:rsidR="003D6371" w:rsidRPr="000275C0" w:rsidRDefault="003D63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07D9BD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70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4390E63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31.3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7BE9C6ED" w14:textId="77777777" w:rsidR="003D6371" w:rsidRPr="000275C0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-</w:t>
            </w: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815F91" w14:textId="77777777" w:rsidR="003D6371" w:rsidRDefault="003D637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3C260D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387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68C9B89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44.7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7B64E" w14:textId="77777777" w:rsidR="003D6371" w:rsidRDefault="003E59F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lang w:val="it-CH" w:eastAsia="it-CH"/>
              </w:rPr>
              <w:t>15</w:t>
            </w:r>
          </w:p>
        </w:tc>
      </w:tr>
      <w:tr w:rsidR="00AF6923" w:rsidRPr="00AF6923" w14:paraId="354FC2B0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D9B9" w14:textId="1A234003" w:rsidR="00AF6923" w:rsidRPr="00AF6923" w:rsidRDefault="00AF6923" w:rsidP="00FB4704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CLL-IPI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75C2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6E5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CC4A" w14:textId="2C2840F7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41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F8F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2090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EBF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A4DAE" w14:textId="28A30E2D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14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3075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98F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6DA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BB9F" w14:textId="5FF23760" w:rsidR="00AF6923" w:rsidRPr="00AF6923" w:rsidRDefault="0000167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26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B5E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25E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02D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7F25" w14:textId="5E8E479D" w:rsidR="00AF6923" w:rsidRPr="00AF6923" w:rsidRDefault="001477A1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43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5792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5DF4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277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DC0D" w14:textId="04FDFD11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93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991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F44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0BDB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C141" w14:textId="29385045" w:rsidR="00AF6923" w:rsidRPr="00AF6923" w:rsidRDefault="005C5D5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10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9548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CD9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9CD6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B0D85" w14:textId="6A0D3386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53E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7B50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A752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C6FC" w14:textId="6251EA79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955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756F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1180F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84F781" w14:textId="392C7407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19</w:t>
            </w: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17D398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D7636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CE988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7E02C" w14:textId="201B1CE9" w:rsidR="00AF6923" w:rsidRPr="00AF6923" w:rsidRDefault="0052456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76</w:t>
            </w:r>
          </w:p>
        </w:tc>
      </w:tr>
      <w:tr w:rsidR="007E7AE5" w:rsidRPr="00AF6923" w14:paraId="3D8E7BF1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30BE55" w14:textId="68625907" w:rsidR="00AF6923" w:rsidRPr="00AF6923" w:rsidRDefault="00AF6923" w:rsidP="00AF6923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proofErr w:type="spellStart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Low-risk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B027B13" w14:textId="621434F9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566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386A96" w14:textId="2959707E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47.8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5DB86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A79602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A8C3E" w14:textId="66589F05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330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92D25B" w14:textId="532666A8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61.9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9CD0D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05860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7F388EA" w14:textId="75E1D68F" w:rsidR="00AF6923" w:rsidRPr="00AF6923" w:rsidRDefault="00F77540" w:rsidP="00001671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</w:t>
            </w:r>
            <w:r w:rsidR="00001671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4D87910" w14:textId="6CEA3A65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52.9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FA91E8B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05C27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032952" w14:textId="5DEA994D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201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552EEA" w14:textId="3178E585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67.9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F5B839" w14:textId="77777777" w:rsidR="00AF6923" w:rsidRPr="00AF6923" w:rsidRDefault="00AF6923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A94E3B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B2AFA03" w14:textId="07D09245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136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C610FE" w14:textId="644FD7CE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62.1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86BA2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A19C13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ED809C" w14:textId="50F28577" w:rsidR="00AF6923" w:rsidRPr="00AF6923" w:rsidRDefault="00AD48C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6BB651" w14:textId="2D6A6C79" w:rsidR="00AF6923" w:rsidRPr="00AF6923" w:rsidRDefault="00C31B5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37.8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3E0C8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728AD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545ACCF" w14:textId="186F9E8C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57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032BFB" w14:textId="51854C55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44.9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BB318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67A663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0671376" w14:textId="03CE3345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134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625421" w14:textId="2F42B0D2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62.9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042740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69AB5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E04743" w14:textId="08BDB0D9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129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1A9076" w14:textId="59FEA9CA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63.2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1124BE69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A98248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6F7F095" w14:textId="5EEA8D0C" w:rsidR="00AF6923" w:rsidRPr="00AF6923" w:rsidRDefault="0052456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349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D5313C" w14:textId="4C7C718F" w:rsidR="00AF6923" w:rsidRPr="00AF6923" w:rsidRDefault="00F660A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43.4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EB1F9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</w:tr>
      <w:tr w:rsidR="00AF6923" w:rsidRPr="00AF6923" w14:paraId="5F42C492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FCE3" w14:textId="4A7B0863" w:rsidR="00AF6923" w:rsidRPr="00AF6923" w:rsidRDefault="00AF6923" w:rsidP="00AF6923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Interme</w:t>
            </w:r>
            <w:r w:rsidR="006C56F6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di</w:t>
            </w:r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ate-</w:t>
            </w:r>
            <w:proofErr w:type="spellStart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4F8E" w14:textId="758BD20F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422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D22D" w14:textId="29DD720D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35.7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EF2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66BC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023A6" w14:textId="34A8230B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138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459C4" w14:textId="1AD9D1F3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25.9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4927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3A60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9A0F" w14:textId="079236F1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15C8" w14:textId="3249728D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28.3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5573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F4AC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D206F" w14:textId="6E24DA78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213C7" w14:textId="01E9B1A7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25.7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576A" w14:textId="77777777" w:rsidR="00AF6923" w:rsidRPr="00AF6923" w:rsidRDefault="00AF6923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5818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8D2D" w14:textId="3F44E95D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C5F4" w14:textId="2D7621C0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32.9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C382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2FF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DE96" w14:textId="718B07A9" w:rsidR="00AF6923" w:rsidRPr="00AF6923" w:rsidRDefault="00AD48C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01C0" w14:textId="60CA114F" w:rsidR="00AF6923" w:rsidRPr="00AF6923" w:rsidRDefault="00C31B5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35.1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F3C0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CDC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8B56" w14:textId="26CE2E00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2A9F" w14:textId="1A81738F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32.3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0170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D9D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D0C4" w14:textId="619A616E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54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C9DE" w14:textId="6890EF14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25.4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1B3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124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330B" w14:textId="52451E91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1ED0" w14:textId="74B29511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24.1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419E808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745E9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1CEAB" w14:textId="3738F41D" w:rsidR="00AF6923" w:rsidRPr="00AF6923" w:rsidRDefault="0052456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290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2337D" w14:textId="77FC74ED" w:rsidR="00AF6923" w:rsidRPr="00AF6923" w:rsidRDefault="00F660A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36.0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E132F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</w:tr>
      <w:tr w:rsidR="007E7AE5" w:rsidRPr="00AF6923" w14:paraId="7DE4484F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24EE745" w14:textId="578E8779" w:rsidR="00AF6923" w:rsidRPr="00AF6923" w:rsidRDefault="00AF6923" w:rsidP="00AF6923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High-</w:t>
            </w:r>
            <w:proofErr w:type="spellStart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0AF10C" w14:textId="7D168CD7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160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CE2EEE" w14:textId="7F30A1FF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13.5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EEB3B92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594B72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B0348B" w14:textId="7D131D72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58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DCBA6C" w14:textId="7BD691EC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10.9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E899B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5E3BE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92CE3C2" w14:textId="033CB912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A2A7752" w14:textId="0A475FBC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14.0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3069B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E548506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7FEE1A" w14:textId="4DFD406C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DE3AC1" w14:textId="694D9BFC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6.1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80D9C0" w14:textId="77777777" w:rsidR="00AF6923" w:rsidRPr="00AF6923" w:rsidRDefault="00AF6923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2E7A3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132CD3" w14:textId="12C5B060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AB984F" w14:textId="6BE91FD5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4.6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0FED9A0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EFC18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E0B30F" w14:textId="6E5C43EC" w:rsidR="00AF6923" w:rsidRPr="00AF6923" w:rsidRDefault="00AD48C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2421DE4" w14:textId="02DF815F" w:rsidR="00AF6923" w:rsidRPr="00AF6923" w:rsidRDefault="00C31B5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17.4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818CB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DFF4C7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625A6A1" w14:textId="121B4B5A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D766541" w14:textId="265A305A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21.2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171E5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F3E47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919D66" w14:textId="662B3186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B5033E9" w14:textId="283D79B6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10.3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E4540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87856FB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AD84C6" w14:textId="5F0CFC65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CB4C24" w14:textId="3D0ED7E5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9.3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0434BB00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0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5F6B222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1CB8F7" w14:textId="1D3872EB" w:rsidR="00AF6923" w:rsidRPr="00AF6923" w:rsidRDefault="0052456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142</w:t>
            </w:r>
          </w:p>
        </w:tc>
        <w:tc>
          <w:tcPr>
            <w:tcW w:w="119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CF0A3E3" w14:textId="04D2BF49" w:rsidR="00AF6923" w:rsidRPr="00AF6923" w:rsidRDefault="00F660A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17.6</w:t>
            </w:r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C123C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</w:tr>
      <w:tr w:rsidR="00AF6923" w:rsidRPr="00AF6923" w14:paraId="1228FB57" w14:textId="77777777" w:rsidTr="00AF6923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E3030" w14:textId="02F72C3A" w:rsidR="00AF6923" w:rsidRPr="00AF6923" w:rsidRDefault="00AF6923" w:rsidP="00AF6923">
            <w:pPr>
              <w:widowControl/>
              <w:autoSpaceDE/>
              <w:autoSpaceDN/>
              <w:adjustRightInd/>
              <w:spacing w:after="0"/>
              <w:ind w:left="180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proofErr w:type="spellStart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Very</w:t>
            </w:r>
            <w:proofErr w:type="spellEnd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 xml:space="preserve">-high </w:t>
            </w:r>
            <w:proofErr w:type="spellStart"/>
            <w:r w:rsidRPr="00AF6923"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risk</w:t>
            </w:r>
            <w:proofErr w:type="spellEnd"/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B5836" w14:textId="4A938E7B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3E0FD" w14:textId="19BB21A9" w:rsidR="00AF6923" w:rsidRPr="00AF6923" w:rsidRDefault="00330EB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3.0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B2DC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87D18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CBFA" w14:textId="79C8DF17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4E984" w14:textId="250756D7" w:rsidR="00AF6923" w:rsidRPr="00AF6923" w:rsidRDefault="0003447A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1.3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F79E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4134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4FA8F" w14:textId="672A93AC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D49BE" w14:textId="2A296F0F" w:rsidR="00AF6923" w:rsidRPr="00AF6923" w:rsidRDefault="00751E6C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4.8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2D95D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9885E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17834" w14:textId="4B606355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D5F0C" w14:textId="04605583" w:rsidR="00AF6923" w:rsidRPr="00AF6923" w:rsidRDefault="001477A1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0.3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42874" w14:textId="77777777" w:rsidR="00AF6923" w:rsidRPr="00AF6923" w:rsidRDefault="00AF6923" w:rsidP="000275C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09C7F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06A02" w14:textId="2CEAD7F6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FBF91" w14:textId="6E7C2B23" w:rsidR="00AF6923" w:rsidRPr="00AF6923" w:rsidRDefault="000225A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0.4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50CA5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2F03B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6DC8E" w14:textId="458762F9" w:rsidR="00AF6923" w:rsidRPr="00AF6923" w:rsidRDefault="00AD48C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67F43F" w14:textId="52593019" w:rsidR="00AF6923" w:rsidRPr="00AF6923" w:rsidRDefault="00C31B56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9.7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20BB9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8953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0629A" w14:textId="00C7AE18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373B3" w14:textId="27500BE2" w:rsidR="00AF6923" w:rsidRPr="00AF6923" w:rsidRDefault="003E00DE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1.6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A9E5A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9B424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0B3ED" w14:textId="53D8EA95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365B0" w14:textId="1BDC5CF8" w:rsidR="00AF6923" w:rsidRPr="00AF6923" w:rsidRDefault="003E5832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1.4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0DB91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42037" w14:textId="77777777" w:rsidR="00AF6923" w:rsidRPr="00AF6923" w:rsidRDefault="00AF6923" w:rsidP="006F5FCC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4D650" w14:textId="1B5999BF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EB053" w14:textId="3ADB79B6" w:rsidR="00AF6923" w:rsidRPr="00AF6923" w:rsidRDefault="00895581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3.4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F4442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7A653B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8A4654" w14:textId="1BFD206E" w:rsidR="00AF6923" w:rsidRPr="00AF6923" w:rsidRDefault="00524568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24</w:t>
            </w: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B8B957" w14:textId="7B798916" w:rsidR="00AF6923" w:rsidRPr="00AF6923" w:rsidRDefault="00F660A0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  <w:t>3.0</w:t>
            </w: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1A9D" w14:textId="77777777" w:rsidR="00AF6923" w:rsidRPr="00AF6923" w:rsidRDefault="00AF6923" w:rsidP="003A54FE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lang w:val="it-CH" w:eastAsia="it-CH"/>
              </w:rPr>
            </w:pPr>
          </w:p>
        </w:tc>
      </w:tr>
    </w:tbl>
    <w:p w14:paraId="5F3CD30C" w14:textId="77777777" w:rsidR="00325CA4" w:rsidRPr="000275C0" w:rsidRDefault="00D71B45" w:rsidP="009D3CFB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16"/>
        </w:rPr>
      </w:pPr>
      <w:r w:rsidRPr="000275C0">
        <w:rPr>
          <w:rFonts w:ascii="Times New Roman" w:hAnsi="Times New Roman" w:cs="Times New Roman"/>
          <w:color w:val="000000"/>
          <w:sz w:val="16"/>
        </w:rPr>
        <w:t xml:space="preserve">MDACC, M.D. Anderson Cancer Center; SU, Sapienza University; </w:t>
      </w:r>
      <w:r w:rsidR="009D3CFB" w:rsidRPr="000275C0">
        <w:rPr>
          <w:rFonts w:ascii="Times New Roman" w:hAnsi="Times New Roman" w:cs="Times New Roman"/>
          <w:color w:val="000000"/>
          <w:sz w:val="16"/>
        </w:rPr>
        <w:t>B2M, beta-2-microglobulin; FISH, fluorescence in sit</w:t>
      </w:r>
      <w:r w:rsidR="00411F71">
        <w:rPr>
          <w:rFonts w:ascii="Times New Roman" w:hAnsi="Times New Roman" w:cs="Times New Roman"/>
          <w:color w:val="000000"/>
          <w:sz w:val="16"/>
        </w:rPr>
        <w:t>u</w:t>
      </w:r>
      <w:r w:rsidR="009D3CFB" w:rsidRPr="000275C0">
        <w:rPr>
          <w:rFonts w:ascii="Times New Roman" w:hAnsi="Times New Roman" w:cs="Times New Roman"/>
          <w:color w:val="000000"/>
          <w:sz w:val="16"/>
        </w:rPr>
        <w:t xml:space="preserve"> hybridization</w:t>
      </w:r>
      <w:r w:rsidR="007F0CC8" w:rsidRPr="000275C0">
        <w:rPr>
          <w:rFonts w:ascii="Times New Roman" w:hAnsi="Times New Roman" w:cs="Times New Roman"/>
          <w:color w:val="000000"/>
          <w:sz w:val="16"/>
        </w:rPr>
        <w:t>; Del, deletion</w:t>
      </w:r>
      <w:r w:rsidR="009D3CFB" w:rsidRPr="000275C0">
        <w:rPr>
          <w:rFonts w:ascii="Times New Roman" w:hAnsi="Times New Roman" w:cs="Times New Roman"/>
          <w:color w:val="000000"/>
          <w:sz w:val="16"/>
        </w:rPr>
        <w:t>; IGHV, immunoglobulin heavy variable gene</w:t>
      </w:r>
    </w:p>
    <w:p w14:paraId="3B795E0F" w14:textId="77777777" w:rsidR="00325CA4" w:rsidRDefault="00325CA4" w:rsidP="00411881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A1A321A" w14:textId="77777777" w:rsidR="002205D0" w:rsidRDefault="002205D0" w:rsidP="002205D0">
      <w:pPr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</w:p>
    <w:p w14:paraId="1A00E252" w14:textId="77777777" w:rsidR="002205D0" w:rsidRDefault="002205D0" w:rsidP="00220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F71338" w14:textId="77777777" w:rsidR="002205D0" w:rsidRDefault="002205D0" w:rsidP="002205D0">
      <w:pPr>
        <w:jc w:val="both"/>
        <w:rPr>
          <w:rFonts w:ascii="Times New Roman" w:hAnsi="Times New Roman" w:cs="Times New Roman"/>
        </w:rPr>
      </w:pPr>
    </w:p>
    <w:p w14:paraId="57A9245C" w14:textId="77777777" w:rsidR="002205D0" w:rsidRDefault="002205D0" w:rsidP="002205D0">
      <w:pPr>
        <w:jc w:val="both"/>
        <w:rPr>
          <w:rFonts w:ascii="Times New Roman" w:hAnsi="Times New Roman" w:cs="Times New Roman"/>
        </w:rPr>
      </w:pPr>
    </w:p>
    <w:p w14:paraId="0EE4AF2C" w14:textId="77777777" w:rsidR="002205D0" w:rsidRPr="002205D0" w:rsidRDefault="002205D0" w:rsidP="002205D0">
      <w:pPr>
        <w:tabs>
          <w:tab w:val="left" w:pos="5904"/>
        </w:tabs>
        <w:rPr>
          <w:rFonts w:ascii="Times New Roman" w:hAnsi="Times New Roman" w:cs="Times New Roman"/>
        </w:rPr>
        <w:sectPr w:rsidR="002205D0" w:rsidRPr="002205D0" w:rsidSect="00E14FA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7620E4FA" w14:textId="77777777" w:rsidR="002D5726" w:rsidRPr="002D5726" w:rsidRDefault="00674F27" w:rsidP="00E27C56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2D5726">
        <w:rPr>
          <w:rFonts w:ascii="Times New Roman" w:hAnsi="Times New Roman" w:cs="Times New Roman"/>
          <w:b/>
        </w:rPr>
        <w:lastRenderedPageBreak/>
        <w:t>Figure legends</w:t>
      </w:r>
    </w:p>
    <w:p w14:paraId="66FD3B49" w14:textId="77777777" w:rsidR="002D5726" w:rsidRPr="002D5726" w:rsidRDefault="002D5726" w:rsidP="002D5726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1BD85216" w14:textId="77777777" w:rsidR="00C028FE" w:rsidRPr="00C028FE" w:rsidRDefault="00C028FE" w:rsidP="00C028F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028FE">
        <w:rPr>
          <w:rFonts w:ascii="Times New Roman" w:hAnsi="Times New Roman" w:cs="Times New Roman"/>
          <w:b/>
        </w:rPr>
        <w:t>Fig</w:t>
      </w:r>
      <w:r w:rsidR="00446B39">
        <w:rPr>
          <w:rFonts w:ascii="Times New Roman" w:hAnsi="Times New Roman" w:cs="Times New Roman"/>
          <w:b/>
        </w:rPr>
        <w:t>ure</w:t>
      </w:r>
      <w:r w:rsidRPr="00C028FE">
        <w:rPr>
          <w:rFonts w:ascii="Times New Roman" w:hAnsi="Times New Roman" w:cs="Times New Roman"/>
          <w:b/>
        </w:rPr>
        <w:t xml:space="preserve"> 1. </w:t>
      </w:r>
      <w:proofErr w:type="spellStart"/>
      <w:r w:rsidRPr="00C028FE">
        <w:rPr>
          <w:rFonts w:ascii="Times New Roman" w:hAnsi="Times New Roman" w:cs="Times New Roman"/>
          <w:b/>
        </w:rPr>
        <w:t>Univariable</w:t>
      </w:r>
      <w:proofErr w:type="spellEnd"/>
      <w:r w:rsidRPr="00C028FE">
        <w:rPr>
          <w:rFonts w:ascii="Times New Roman" w:hAnsi="Times New Roman" w:cs="Times New Roman"/>
          <w:b/>
        </w:rPr>
        <w:t xml:space="preserve"> and multivariable analysis for time to first treatment.</w:t>
      </w:r>
      <w:r w:rsidRPr="00C028FE">
        <w:rPr>
          <w:rFonts w:ascii="Times New Roman" w:hAnsi="Times New Roman" w:cs="Times New Roman"/>
        </w:rPr>
        <w:t xml:space="preserve"> (</w:t>
      </w:r>
      <w:r w:rsidRPr="00C028FE">
        <w:rPr>
          <w:rFonts w:ascii="Times New Roman" w:hAnsi="Times New Roman" w:cs="Times New Roman"/>
          <w:b/>
        </w:rPr>
        <w:t>A</w:t>
      </w:r>
      <w:r w:rsidRPr="00C028FE">
        <w:rPr>
          <w:rFonts w:ascii="Times New Roman" w:hAnsi="Times New Roman" w:cs="Times New Roman"/>
        </w:rPr>
        <w:t xml:space="preserve">) Forest plot of the hazard ratio for the 19 covariates assessed for association with time to first treatment by </w:t>
      </w:r>
      <w:proofErr w:type="spellStart"/>
      <w:r w:rsidRPr="00C028FE">
        <w:rPr>
          <w:rFonts w:ascii="Times New Roman" w:hAnsi="Times New Roman" w:cs="Times New Roman"/>
        </w:rPr>
        <w:t>univariable</w:t>
      </w:r>
      <w:proofErr w:type="spellEnd"/>
      <w:r w:rsidRPr="00C028FE">
        <w:rPr>
          <w:rFonts w:ascii="Times New Roman" w:hAnsi="Times New Roman" w:cs="Times New Roman"/>
        </w:rPr>
        <w:t xml:space="preserve"> analysis. Solid boxes indicate the hazard ratio, horizontal lines indicate the 95% Confidence Intervals. The red dot line marks hazard ratio of 1. The bar graph on the left shows the multiplicity adjusted -log10 p value by </w:t>
      </w:r>
      <w:proofErr w:type="spellStart"/>
      <w:r w:rsidRPr="00C028FE">
        <w:rPr>
          <w:rFonts w:ascii="Times New Roman" w:hAnsi="Times New Roman" w:cs="Times New Roman"/>
        </w:rPr>
        <w:t>Bonferroni</w:t>
      </w:r>
      <w:proofErr w:type="spellEnd"/>
      <w:r w:rsidRPr="00C028FE">
        <w:rPr>
          <w:rFonts w:ascii="Times New Roman" w:hAnsi="Times New Roman" w:cs="Times New Roman"/>
        </w:rPr>
        <w:t>. The red solid line marks the 0.05 significant level. (</w:t>
      </w:r>
      <w:r w:rsidRPr="00C028FE">
        <w:rPr>
          <w:rFonts w:ascii="Times New Roman" w:hAnsi="Times New Roman" w:cs="Times New Roman"/>
          <w:b/>
        </w:rPr>
        <w:t>B</w:t>
      </w:r>
      <w:r w:rsidRPr="00C028FE">
        <w:rPr>
          <w:rFonts w:ascii="Times New Roman" w:hAnsi="Times New Roman" w:cs="Times New Roman"/>
        </w:rPr>
        <w:t>) Forest plot of the hazard ratio for the 5 covariates assessed for association with time to first treatment by multivariable analysis. Solid boxes indicate the hazard ratio, horizontal lines indicate the 95% Confidence Intervals. The red dot line marks hazard ratio of 1. The bar graph on the left shows the -log10 p value. The red solid line marks the 0.05 significant level.</w:t>
      </w:r>
      <w:r>
        <w:rPr>
          <w:rFonts w:ascii="Times New Roman" w:hAnsi="Times New Roman" w:cs="Times New Roman"/>
        </w:rPr>
        <w:t xml:space="preserve"> (</w:t>
      </w:r>
      <w:r w:rsidRPr="00C028FE">
        <w:rPr>
          <w:rFonts w:ascii="Times New Roman" w:hAnsi="Times New Roman" w:cs="Times New Roman"/>
          <w:b/>
        </w:rPr>
        <w:t>C</w:t>
      </w:r>
      <w:r w:rsidR="00507836">
        <w:rPr>
          <w:rFonts w:ascii="Times New Roman" w:hAnsi="Times New Roman" w:cs="Times New Roman"/>
          <w:b/>
        </w:rPr>
        <w:t>-D</w:t>
      </w:r>
      <w:r>
        <w:rPr>
          <w:rFonts w:ascii="Times New Roman" w:hAnsi="Times New Roman" w:cs="Times New Roman"/>
        </w:rPr>
        <w:t xml:space="preserve">) The bar plot shows the percentage </w:t>
      </w:r>
      <w:r w:rsidR="00507836">
        <w:rPr>
          <w:rFonts w:ascii="Times New Roman" w:hAnsi="Times New Roman" w:cs="Times New Roman"/>
        </w:rPr>
        <w:t xml:space="preserve">of covariate selection in the final multivariable model across the 9 </w:t>
      </w:r>
      <w:proofErr w:type="spellStart"/>
      <w:r w:rsidR="00507836">
        <w:rPr>
          <w:rFonts w:ascii="Times New Roman" w:hAnsi="Times New Roman" w:cs="Times New Roman"/>
        </w:rPr>
        <w:t>Binet</w:t>
      </w:r>
      <w:proofErr w:type="spellEnd"/>
      <w:r w:rsidR="00507836">
        <w:rPr>
          <w:rFonts w:ascii="Times New Roman" w:hAnsi="Times New Roman" w:cs="Times New Roman"/>
        </w:rPr>
        <w:t xml:space="preserve"> A validation cohorts</w:t>
      </w:r>
      <w:r>
        <w:rPr>
          <w:rFonts w:ascii="Times New Roman" w:hAnsi="Times New Roman" w:cs="Times New Roman"/>
        </w:rPr>
        <w:t>.</w:t>
      </w:r>
      <w:r w:rsidR="003A6715">
        <w:rPr>
          <w:rFonts w:ascii="Times New Roman" w:hAnsi="Times New Roman" w:cs="Times New Roman"/>
        </w:rPr>
        <w:t xml:space="preserve"> The red line indicates the threshold selected as inclusion criteria in the final model.</w:t>
      </w:r>
    </w:p>
    <w:p w14:paraId="54D1E56A" w14:textId="77777777" w:rsidR="00C028FE" w:rsidRDefault="00C028FE" w:rsidP="002D5726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135B0208" w14:textId="26036076" w:rsidR="00754860" w:rsidRPr="00D42DC9" w:rsidRDefault="00C028FE" w:rsidP="002D572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</w:t>
      </w:r>
      <w:r w:rsidR="00446B39">
        <w:rPr>
          <w:rFonts w:ascii="Times New Roman" w:hAnsi="Times New Roman" w:cs="Times New Roman"/>
          <w:b/>
        </w:rPr>
        <w:t>ure</w:t>
      </w:r>
      <w:r>
        <w:rPr>
          <w:rFonts w:ascii="Times New Roman" w:hAnsi="Times New Roman" w:cs="Times New Roman"/>
          <w:b/>
        </w:rPr>
        <w:t xml:space="preserve"> 2</w:t>
      </w:r>
      <w:r w:rsidR="00DA19E1">
        <w:rPr>
          <w:rFonts w:ascii="Times New Roman" w:hAnsi="Times New Roman" w:cs="Times New Roman"/>
          <w:b/>
        </w:rPr>
        <w:t xml:space="preserve">. </w:t>
      </w:r>
      <w:r w:rsidR="00031E1E">
        <w:rPr>
          <w:rFonts w:ascii="Times New Roman" w:hAnsi="Times New Roman" w:cs="Times New Roman"/>
          <w:b/>
        </w:rPr>
        <w:t>IPS-E</w:t>
      </w:r>
      <w:r w:rsidR="004933FF">
        <w:rPr>
          <w:rFonts w:ascii="Times New Roman" w:hAnsi="Times New Roman" w:cs="Times New Roman"/>
          <w:b/>
        </w:rPr>
        <w:t xml:space="preserve"> stratified ti</w:t>
      </w:r>
      <w:r w:rsidR="00754860">
        <w:rPr>
          <w:rFonts w:ascii="Times New Roman" w:hAnsi="Times New Roman" w:cs="Times New Roman"/>
          <w:b/>
        </w:rPr>
        <w:t>me to first treatment</w:t>
      </w:r>
      <w:r w:rsidR="00754860" w:rsidRPr="002D5726">
        <w:rPr>
          <w:rFonts w:ascii="Times New Roman" w:hAnsi="Times New Roman" w:cs="Times New Roman"/>
          <w:b/>
        </w:rPr>
        <w:t xml:space="preserve"> </w:t>
      </w:r>
      <w:r w:rsidR="004933FF">
        <w:rPr>
          <w:rFonts w:ascii="Times New Roman" w:hAnsi="Times New Roman" w:cs="Times New Roman"/>
          <w:b/>
        </w:rPr>
        <w:t>in</w:t>
      </w:r>
      <w:r w:rsidR="00754860" w:rsidRPr="002D5726">
        <w:rPr>
          <w:rFonts w:ascii="Times New Roman" w:hAnsi="Times New Roman" w:cs="Times New Roman"/>
          <w:b/>
        </w:rPr>
        <w:t xml:space="preserve"> </w:t>
      </w:r>
      <w:r w:rsidR="006546F7">
        <w:rPr>
          <w:rFonts w:ascii="Times New Roman" w:hAnsi="Times New Roman" w:cs="Times New Roman"/>
          <w:b/>
        </w:rPr>
        <w:t xml:space="preserve">early </w:t>
      </w:r>
      <w:r w:rsidR="00C84D65">
        <w:rPr>
          <w:rFonts w:ascii="Times New Roman" w:hAnsi="Times New Roman" w:cs="Times New Roman"/>
          <w:b/>
        </w:rPr>
        <w:t xml:space="preserve">stage </w:t>
      </w:r>
      <w:r w:rsidR="00754860">
        <w:rPr>
          <w:rFonts w:ascii="Times New Roman" w:hAnsi="Times New Roman" w:cs="Times New Roman"/>
          <w:b/>
        </w:rPr>
        <w:t xml:space="preserve">CLL </w:t>
      </w:r>
      <w:r w:rsidR="00C84D65">
        <w:rPr>
          <w:rFonts w:ascii="Times New Roman" w:hAnsi="Times New Roman" w:cs="Times New Roman"/>
          <w:b/>
        </w:rPr>
        <w:t>patients</w:t>
      </w:r>
      <w:r w:rsidR="00754860">
        <w:rPr>
          <w:rFonts w:ascii="Times New Roman" w:hAnsi="Times New Roman" w:cs="Times New Roman"/>
          <w:b/>
        </w:rPr>
        <w:t xml:space="preserve"> </w:t>
      </w:r>
      <w:r w:rsidR="004933FF">
        <w:rPr>
          <w:rFonts w:ascii="Times New Roman" w:hAnsi="Times New Roman" w:cs="Times New Roman"/>
          <w:b/>
        </w:rPr>
        <w:t>managed with active surveillance</w:t>
      </w:r>
      <w:r w:rsidR="00754860" w:rsidRPr="002D5726">
        <w:rPr>
          <w:rFonts w:ascii="Times New Roman" w:hAnsi="Times New Roman" w:cs="Times New Roman"/>
          <w:b/>
        </w:rPr>
        <w:t>.</w:t>
      </w:r>
      <w:r w:rsidR="002D5726">
        <w:rPr>
          <w:rFonts w:ascii="Times New Roman" w:hAnsi="Times New Roman" w:cs="Times New Roman"/>
          <w:b/>
        </w:rPr>
        <w:t xml:space="preserve"> </w:t>
      </w:r>
      <w:r w:rsidR="002D5726" w:rsidRPr="002D5726">
        <w:rPr>
          <w:rFonts w:ascii="Times New Roman" w:hAnsi="Times New Roman" w:cs="Times New Roman"/>
        </w:rPr>
        <w:t>(</w:t>
      </w:r>
      <w:r w:rsidR="00C84D65" w:rsidRPr="00D42DC9">
        <w:rPr>
          <w:rFonts w:ascii="Times New Roman" w:hAnsi="Times New Roman" w:cs="Times New Roman"/>
          <w:b/>
        </w:rPr>
        <w:t>A</w:t>
      </w:r>
      <w:r w:rsidR="002D5726" w:rsidRPr="00D42DC9">
        <w:rPr>
          <w:rFonts w:ascii="Times New Roman" w:hAnsi="Times New Roman" w:cs="Times New Roman"/>
        </w:rPr>
        <w:t>) Kaplan-Meier curve</w:t>
      </w:r>
      <w:r w:rsidR="009B04B4" w:rsidRPr="00D42DC9">
        <w:rPr>
          <w:rFonts w:ascii="Times New Roman" w:hAnsi="Times New Roman" w:cs="Times New Roman"/>
        </w:rPr>
        <w:t>s</w:t>
      </w:r>
      <w:r w:rsidR="002D5726" w:rsidRPr="00D42DC9">
        <w:rPr>
          <w:rFonts w:ascii="Times New Roman" w:hAnsi="Times New Roman" w:cs="Times New Roman"/>
        </w:rPr>
        <w:t xml:space="preserve"> </w:t>
      </w:r>
      <w:r w:rsidR="009B04B4" w:rsidRPr="00D42DC9">
        <w:rPr>
          <w:rFonts w:ascii="Times New Roman" w:hAnsi="Times New Roman" w:cs="Times New Roman"/>
        </w:rPr>
        <w:t>of</w:t>
      </w:r>
      <w:r w:rsidR="002D5726" w:rsidRPr="00D42DC9">
        <w:rPr>
          <w:rFonts w:ascii="Times New Roman" w:hAnsi="Times New Roman" w:cs="Times New Roman"/>
        </w:rPr>
        <w:t xml:space="preserve"> </w:t>
      </w:r>
      <w:r w:rsidR="00340846">
        <w:rPr>
          <w:rFonts w:ascii="Times New Roman" w:hAnsi="Times New Roman" w:cs="Times New Roman"/>
        </w:rPr>
        <w:t>TTFT</w:t>
      </w:r>
      <w:r w:rsidR="002D5726" w:rsidRPr="00D42DC9">
        <w:rPr>
          <w:rFonts w:ascii="Times New Roman" w:hAnsi="Times New Roman" w:cs="Times New Roman"/>
        </w:rPr>
        <w:t xml:space="preserve"> </w:t>
      </w:r>
      <w:r w:rsidR="009B04B4" w:rsidRPr="00D42DC9">
        <w:rPr>
          <w:rFonts w:ascii="Times New Roman" w:hAnsi="Times New Roman" w:cs="Times New Roman"/>
        </w:rPr>
        <w:t xml:space="preserve">stratified by </w:t>
      </w:r>
      <w:r w:rsidR="00031E1E" w:rsidRPr="00D42DC9">
        <w:rPr>
          <w:rFonts w:ascii="Times New Roman" w:hAnsi="Times New Roman" w:cs="Times New Roman"/>
        </w:rPr>
        <w:t>IPS-E</w:t>
      </w:r>
      <w:r w:rsidR="002D5726" w:rsidRPr="00D42DC9">
        <w:rPr>
          <w:rFonts w:ascii="Times New Roman" w:hAnsi="Times New Roman" w:cs="Times New Roman"/>
        </w:rPr>
        <w:t xml:space="preserve"> in the UEP </w:t>
      </w:r>
      <w:r w:rsidR="009B04B4" w:rsidRPr="00D42DC9">
        <w:rPr>
          <w:rFonts w:ascii="Times New Roman" w:hAnsi="Times New Roman" w:cs="Times New Roman"/>
        </w:rPr>
        <w:t>discovery</w:t>
      </w:r>
      <w:r w:rsidR="002D5726" w:rsidRPr="00D42DC9">
        <w:rPr>
          <w:rFonts w:ascii="Times New Roman" w:hAnsi="Times New Roman" w:cs="Times New Roman"/>
        </w:rPr>
        <w:t xml:space="preserve"> </w:t>
      </w:r>
      <w:r w:rsidR="00D42DC9" w:rsidRPr="00D42DC9">
        <w:rPr>
          <w:rFonts w:ascii="Times New Roman" w:hAnsi="Times New Roman" w:cs="Times New Roman"/>
        </w:rPr>
        <w:t xml:space="preserve">cohort. </w:t>
      </w:r>
      <w:r w:rsidR="00C84D65" w:rsidRPr="00D42DC9">
        <w:rPr>
          <w:rFonts w:ascii="Times New Roman" w:hAnsi="Times New Roman" w:cs="Times New Roman"/>
        </w:rPr>
        <w:t>(</w:t>
      </w:r>
      <w:r w:rsidR="00C84D65" w:rsidRPr="00D42DC9">
        <w:rPr>
          <w:rFonts w:ascii="Times New Roman" w:hAnsi="Times New Roman" w:cs="Times New Roman"/>
          <w:b/>
        </w:rPr>
        <w:t>B</w:t>
      </w:r>
      <w:r w:rsidR="00C84D65" w:rsidRPr="00D42DC9">
        <w:rPr>
          <w:rFonts w:ascii="Times New Roman" w:hAnsi="Times New Roman" w:cs="Times New Roman"/>
        </w:rPr>
        <w:t xml:space="preserve">) </w:t>
      </w:r>
      <w:r w:rsidR="00D42DC9" w:rsidRPr="00D42DC9">
        <w:rPr>
          <w:rFonts w:ascii="Times New Roman" w:hAnsi="Times New Roman" w:cs="Times New Roman"/>
          <w:color w:val="FF0000"/>
        </w:rPr>
        <w:t>Meta-analytic estimate of TTFT by IPS-E and the corresponding variability across the</w:t>
      </w:r>
      <w:r w:rsidR="0094007C">
        <w:rPr>
          <w:rFonts w:ascii="Times New Roman" w:hAnsi="Times New Roman" w:cs="Times New Roman"/>
          <w:color w:val="FF0000"/>
        </w:rPr>
        <w:t xml:space="preserve"> 9</w:t>
      </w:r>
      <w:r w:rsidR="00D42DC9" w:rsidRPr="00D42DC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D42DC9" w:rsidRPr="00D42DC9">
        <w:rPr>
          <w:rFonts w:ascii="Times New Roman" w:hAnsi="Times New Roman" w:cs="Times New Roman"/>
          <w:color w:val="FF0000"/>
        </w:rPr>
        <w:t>Binet</w:t>
      </w:r>
      <w:proofErr w:type="spellEnd"/>
      <w:r w:rsidR="00D42DC9" w:rsidRPr="00D42DC9">
        <w:rPr>
          <w:rFonts w:ascii="Times New Roman" w:hAnsi="Times New Roman" w:cs="Times New Roman"/>
          <w:color w:val="FF0000"/>
        </w:rPr>
        <w:t xml:space="preserve"> A validation cohorts. The bold line shows the </w:t>
      </w:r>
      <w:r w:rsidR="00340846">
        <w:rPr>
          <w:rFonts w:ascii="Times New Roman" w:hAnsi="Times New Roman" w:cs="Times New Roman"/>
          <w:color w:val="FF0000"/>
        </w:rPr>
        <w:t xml:space="preserve">cubic </w:t>
      </w:r>
      <w:r w:rsidR="00D42DC9" w:rsidRPr="00D42DC9">
        <w:rPr>
          <w:rFonts w:ascii="Times New Roman" w:hAnsi="Times New Roman" w:cs="Times New Roman"/>
          <w:color w:val="FF0000"/>
        </w:rPr>
        <w:t>spline</w:t>
      </w:r>
      <w:r w:rsidR="00340846">
        <w:rPr>
          <w:rFonts w:ascii="Times New Roman" w:hAnsi="Times New Roman" w:cs="Times New Roman"/>
          <w:color w:val="FF0000"/>
        </w:rPr>
        <w:t xml:space="preserve"> fitted</w:t>
      </w:r>
      <w:r w:rsidR="00D42DC9" w:rsidRPr="00D42DC9">
        <w:rPr>
          <w:rFonts w:ascii="Times New Roman" w:hAnsi="Times New Roman" w:cs="Times New Roman"/>
          <w:color w:val="FF0000"/>
        </w:rPr>
        <w:t xml:space="preserve"> </w:t>
      </w:r>
      <w:r w:rsidR="00340846">
        <w:rPr>
          <w:rFonts w:ascii="Times New Roman" w:hAnsi="Times New Roman" w:cs="Times New Roman"/>
          <w:color w:val="FF0000"/>
        </w:rPr>
        <w:t>on</w:t>
      </w:r>
      <w:r w:rsidR="00D42DC9" w:rsidRPr="00D42DC9">
        <w:rPr>
          <w:rFonts w:ascii="Times New Roman" w:hAnsi="Times New Roman" w:cs="Times New Roman"/>
          <w:color w:val="FF0000"/>
        </w:rPr>
        <w:t xml:space="preserve"> the meta-analytic estimate of the cumulative </w:t>
      </w:r>
      <w:r w:rsidR="00E805BF">
        <w:rPr>
          <w:rFonts w:ascii="Times New Roman" w:hAnsi="Times New Roman" w:cs="Times New Roman"/>
          <w:color w:val="FF0000"/>
        </w:rPr>
        <w:t>proportion</w:t>
      </w:r>
      <w:r w:rsidR="00D42DC9" w:rsidRPr="00D42DC9">
        <w:rPr>
          <w:rFonts w:ascii="Times New Roman" w:hAnsi="Times New Roman" w:cs="Times New Roman"/>
          <w:color w:val="FF0000"/>
        </w:rPr>
        <w:t xml:space="preserve"> of TTFT at each </w:t>
      </w:r>
      <w:proofErr w:type="spellStart"/>
      <w:r w:rsidR="00D42DC9" w:rsidRPr="00D42DC9">
        <w:rPr>
          <w:rFonts w:ascii="Times New Roman" w:hAnsi="Times New Roman" w:cs="Times New Roman"/>
          <w:color w:val="FF0000"/>
        </w:rPr>
        <w:t>timepoint</w:t>
      </w:r>
      <w:proofErr w:type="spellEnd"/>
      <w:r w:rsidR="00D42DC9" w:rsidRPr="00D42DC9">
        <w:rPr>
          <w:rFonts w:ascii="Times New Roman" w:hAnsi="Times New Roman" w:cs="Times New Roman"/>
          <w:color w:val="FF0000"/>
        </w:rPr>
        <w:t xml:space="preserve">. </w:t>
      </w:r>
      <w:r w:rsidR="00D77F00" w:rsidRPr="00D42DC9">
        <w:rPr>
          <w:rFonts w:ascii="Times New Roman" w:hAnsi="Times New Roman" w:cs="Times New Roman"/>
          <w:color w:val="FF0000"/>
        </w:rPr>
        <w:t xml:space="preserve">The </w:t>
      </w:r>
      <w:r w:rsidR="00D77F00">
        <w:rPr>
          <w:rFonts w:ascii="Times New Roman" w:hAnsi="Times New Roman" w:cs="Times New Roman"/>
          <w:color w:val="FF0000"/>
        </w:rPr>
        <w:t>shadow</w:t>
      </w:r>
      <w:r w:rsidR="00D77F00" w:rsidRPr="00D42DC9">
        <w:rPr>
          <w:rFonts w:ascii="Times New Roman" w:hAnsi="Times New Roman" w:cs="Times New Roman"/>
          <w:color w:val="FF0000"/>
        </w:rPr>
        <w:t xml:space="preserve"> shows the </w:t>
      </w:r>
      <w:r w:rsidR="00340846">
        <w:rPr>
          <w:rFonts w:ascii="Times New Roman" w:hAnsi="Times New Roman" w:cs="Times New Roman"/>
          <w:color w:val="FF0000"/>
        </w:rPr>
        <w:t xml:space="preserve">cubic </w:t>
      </w:r>
      <w:r w:rsidR="00D77F00" w:rsidRPr="00D42DC9">
        <w:rPr>
          <w:rFonts w:ascii="Times New Roman" w:hAnsi="Times New Roman" w:cs="Times New Roman"/>
          <w:color w:val="FF0000"/>
        </w:rPr>
        <w:t xml:space="preserve">splines </w:t>
      </w:r>
      <w:r w:rsidR="00340846">
        <w:rPr>
          <w:rFonts w:ascii="Times New Roman" w:hAnsi="Times New Roman" w:cs="Times New Roman"/>
          <w:color w:val="FF0000"/>
        </w:rPr>
        <w:t xml:space="preserve">fitted </w:t>
      </w:r>
      <w:r w:rsidR="00D77F00" w:rsidRPr="00D42DC9">
        <w:rPr>
          <w:rFonts w:ascii="Times New Roman" w:hAnsi="Times New Roman" w:cs="Times New Roman"/>
          <w:color w:val="FF0000"/>
        </w:rPr>
        <w:t>o</w:t>
      </w:r>
      <w:r w:rsidR="00340846">
        <w:rPr>
          <w:rFonts w:ascii="Times New Roman" w:hAnsi="Times New Roman" w:cs="Times New Roman"/>
          <w:color w:val="FF0000"/>
        </w:rPr>
        <w:t>n</w:t>
      </w:r>
      <w:r w:rsidR="00D77F00" w:rsidRPr="00D42DC9">
        <w:rPr>
          <w:rFonts w:ascii="Times New Roman" w:hAnsi="Times New Roman" w:cs="Times New Roman"/>
          <w:color w:val="FF0000"/>
        </w:rPr>
        <w:t xml:space="preserve"> the meta-analytic estimate of the </w:t>
      </w:r>
      <w:r w:rsidR="0094007C">
        <w:rPr>
          <w:rFonts w:ascii="Times New Roman" w:hAnsi="Times New Roman" w:cs="Times New Roman"/>
          <w:color w:val="FF0000"/>
        </w:rPr>
        <w:t>95% confidence interval</w:t>
      </w:r>
      <w:r w:rsidR="00D77F00">
        <w:rPr>
          <w:rFonts w:ascii="Times New Roman" w:hAnsi="Times New Roman" w:cs="Times New Roman"/>
          <w:color w:val="FF0000"/>
        </w:rPr>
        <w:t xml:space="preserve"> of the </w:t>
      </w:r>
      <w:r w:rsidR="00D77F00" w:rsidRPr="00D42DC9">
        <w:rPr>
          <w:rFonts w:ascii="Times New Roman" w:hAnsi="Times New Roman" w:cs="Times New Roman"/>
          <w:color w:val="FF0000"/>
        </w:rPr>
        <w:t xml:space="preserve">cumulative </w:t>
      </w:r>
      <w:r w:rsidR="00E805BF">
        <w:rPr>
          <w:rFonts w:ascii="Times New Roman" w:hAnsi="Times New Roman" w:cs="Times New Roman"/>
          <w:color w:val="FF0000"/>
        </w:rPr>
        <w:t>proportion</w:t>
      </w:r>
      <w:r w:rsidR="00D77F00" w:rsidRPr="00D42DC9">
        <w:rPr>
          <w:rFonts w:ascii="Times New Roman" w:hAnsi="Times New Roman" w:cs="Times New Roman"/>
          <w:color w:val="FF0000"/>
        </w:rPr>
        <w:t xml:space="preserve"> of TTFT at each </w:t>
      </w:r>
      <w:proofErr w:type="spellStart"/>
      <w:r w:rsidR="00D77F00" w:rsidRPr="00D42DC9">
        <w:rPr>
          <w:rFonts w:ascii="Times New Roman" w:hAnsi="Times New Roman" w:cs="Times New Roman"/>
          <w:color w:val="FF0000"/>
        </w:rPr>
        <w:t>timepoint</w:t>
      </w:r>
      <w:proofErr w:type="spellEnd"/>
      <w:r w:rsidR="00D77F00" w:rsidRPr="00D42DC9">
        <w:rPr>
          <w:rFonts w:ascii="Times New Roman" w:hAnsi="Times New Roman" w:cs="Times New Roman"/>
          <w:color w:val="FF0000"/>
        </w:rPr>
        <w:t>.</w:t>
      </w:r>
      <w:r w:rsidR="00D77F00">
        <w:rPr>
          <w:rFonts w:ascii="Times New Roman" w:hAnsi="Times New Roman" w:cs="Times New Roman"/>
        </w:rPr>
        <w:t xml:space="preserve"> </w:t>
      </w:r>
      <w:r w:rsidR="00916490">
        <w:rPr>
          <w:rFonts w:ascii="Times New Roman" w:hAnsi="Times New Roman" w:cs="Times New Roman"/>
        </w:rPr>
        <w:t>(</w:t>
      </w:r>
      <w:r w:rsidR="009446AE">
        <w:rPr>
          <w:rFonts w:ascii="Times New Roman" w:hAnsi="Times New Roman" w:cs="Times New Roman"/>
          <w:b/>
        </w:rPr>
        <w:t>C</w:t>
      </w:r>
      <w:r w:rsidR="00916490">
        <w:rPr>
          <w:rFonts w:ascii="Times New Roman" w:hAnsi="Times New Roman" w:cs="Times New Roman"/>
        </w:rPr>
        <w:t xml:space="preserve">) </w:t>
      </w:r>
      <w:r w:rsidR="0094007C" w:rsidRPr="00D42DC9">
        <w:rPr>
          <w:rFonts w:ascii="Times New Roman" w:hAnsi="Times New Roman" w:cs="Times New Roman"/>
        </w:rPr>
        <w:t xml:space="preserve">Kaplan-Meier curves of </w:t>
      </w:r>
      <w:r w:rsidR="007E7AE5">
        <w:rPr>
          <w:rFonts w:ascii="Times New Roman" w:hAnsi="Times New Roman" w:cs="Times New Roman"/>
        </w:rPr>
        <w:t>TTFT</w:t>
      </w:r>
      <w:r w:rsidR="0094007C" w:rsidRPr="00D42DC9">
        <w:rPr>
          <w:rFonts w:ascii="Times New Roman" w:hAnsi="Times New Roman" w:cs="Times New Roman"/>
        </w:rPr>
        <w:t xml:space="preserve"> stratified by IPS-E in the </w:t>
      </w:r>
      <w:r w:rsidR="00916490">
        <w:rPr>
          <w:rFonts w:ascii="Times New Roman" w:hAnsi="Times New Roman" w:cs="Times New Roman"/>
        </w:rPr>
        <w:t>Mayo Clinic</w:t>
      </w:r>
      <w:r w:rsidR="0094007C">
        <w:rPr>
          <w:rFonts w:ascii="Times New Roman" w:hAnsi="Times New Roman" w:cs="Times New Roman"/>
        </w:rPr>
        <w:t xml:space="preserve"> validation cohort</w:t>
      </w:r>
      <w:r w:rsidR="009B04B4">
        <w:rPr>
          <w:rFonts w:ascii="Times New Roman" w:hAnsi="Times New Roman" w:cs="Times New Roman"/>
        </w:rPr>
        <w:t>. B</w:t>
      </w:r>
      <w:r w:rsidR="00D308E3">
        <w:rPr>
          <w:rFonts w:ascii="Times New Roman" w:hAnsi="Times New Roman" w:cs="Times New Roman"/>
        </w:rPr>
        <w:t>lue, low-</w:t>
      </w:r>
      <w:r w:rsidR="001C2FE9">
        <w:rPr>
          <w:rFonts w:ascii="Times New Roman" w:hAnsi="Times New Roman" w:cs="Times New Roman"/>
        </w:rPr>
        <w:t>risk; green</w:t>
      </w:r>
      <w:r w:rsidR="00D707FF">
        <w:rPr>
          <w:rFonts w:ascii="Times New Roman" w:hAnsi="Times New Roman" w:cs="Times New Roman"/>
        </w:rPr>
        <w:t>,</w:t>
      </w:r>
      <w:r w:rsidR="00D308E3">
        <w:rPr>
          <w:rFonts w:ascii="Times New Roman" w:hAnsi="Times New Roman" w:cs="Times New Roman"/>
        </w:rPr>
        <w:t xml:space="preserve"> intermediate-</w:t>
      </w:r>
      <w:r w:rsidR="001C2FE9">
        <w:rPr>
          <w:rFonts w:ascii="Times New Roman" w:hAnsi="Times New Roman" w:cs="Times New Roman"/>
        </w:rPr>
        <w:t>risk; red, high</w:t>
      </w:r>
      <w:r w:rsidR="00D308E3">
        <w:rPr>
          <w:rFonts w:ascii="Times New Roman" w:hAnsi="Times New Roman" w:cs="Times New Roman"/>
        </w:rPr>
        <w:t>-</w:t>
      </w:r>
      <w:r w:rsidR="001C2FE9">
        <w:rPr>
          <w:rFonts w:ascii="Times New Roman" w:hAnsi="Times New Roman" w:cs="Times New Roman"/>
        </w:rPr>
        <w:t>risk</w:t>
      </w:r>
      <w:r w:rsidR="00F508A6">
        <w:rPr>
          <w:rFonts w:ascii="Times New Roman" w:hAnsi="Times New Roman" w:cs="Times New Roman"/>
        </w:rPr>
        <w:t xml:space="preserve"> by </w:t>
      </w:r>
      <w:r w:rsidR="00031E1E">
        <w:rPr>
          <w:rFonts w:ascii="Times New Roman" w:hAnsi="Times New Roman" w:cs="Times New Roman"/>
        </w:rPr>
        <w:t>IPS-E</w:t>
      </w:r>
      <w:r w:rsidR="001C2FE9">
        <w:rPr>
          <w:rFonts w:ascii="Times New Roman" w:hAnsi="Times New Roman" w:cs="Times New Roman"/>
        </w:rPr>
        <w:t xml:space="preserve">. </w:t>
      </w:r>
      <w:r w:rsidR="003C4E7A">
        <w:rPr>
          <w:rFonts w:ascii="Times New Roman" w:hAnsi="Times New Roman" w:cs="Times New Roman"/>
        </w:rPr>
        <w:t xml:space="preserve">Multiplicity corrected </w:t>
      </w:r>
      <w:r w:rsidR="002D5726" w:rsidRPr="002D5726">
        <w:rPr>
          <w:rFonts w:ascii="Times New Roman" w:hAnsi="Times New Roman" w:cs="Times New Roman"/>
        </w:rPr>
        <w:t xml:space="preserve">P values </w:t>
      </w:r>
      <w:r w:rsidR="00F508A6">
        <w:rPr>
          <w:rFonts w:ascii="Times New Roman" w:hAnsi="Times New Roman" w:cs="Times New Roman"/>
        </w:rPr>
        <w:t>by pairwise log-rank tests</w:t>
      </w:r>
      <w:r w:rsidR="00C84D65">
        <w:rPr>
          <w:rFonts w:ascii="Times New Roman" w:hAnsi="Times New Roman" w:cs="Times New Roman"/>
        </w:rPr>
        <w:t xml:space="preserve"> are shown</w:t>
      </w:r>
      <w:r w:rsidR="002D5726" w:rsidRPr="002D5726">
        <w:rPr>
          <w:rFonts w:ascii="Times New Roman" w:hAnsi="Times New Roman" w:cs="Times New Roman"/>
        </w:rPr>
        <w:t>.</w:t>
      </w:r>
      <w:r w:rsidR="000431BB">
        <w:rPr>
          <w:rFonts w:ascii="Times New Roman" w:hAnsi="Times New Roman" w:cs="Times New Roman"/>
        </w:rPr>
        <w:t xml:space="preserve"> </w:t>
      </w:r>
    </w:p>
    <w:p w14:paraId="66786DE8" w14:textId="77777777" w:rsidR="0094007C" w:rsidRPr="00A73248" w:rsidRDefault="0094007C" w:rsidP="002D5726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5FC4C693" w14:textId="77777777" w:rsidR="002D5726" w:rsidRDefault="00C028FE" w:rsidP="002D572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</w:t>
      </w:r>
      <w:r w:rsidR="00446B39">
        <w:rPr>
          <w:rFonts w:ascii="Times New Roman" w:hAnsi="Times New Roman" w:cs="Times New Roman"/>
          <w:b/>
        </w:rPr>
        <w:t>ure</w:t>
      </w:r>
      <w:r>
        <w:rPr>
          <w:rFonts w:ascii="Times New Roman" w:hAnsi="Times New Roman" w:cs="Times New Roman"/>
          <w:b/>
        </w:rPr>
        <w:t xml:space="preserve"> 3</w:t>
      </w:r>
      <w:r w:rsidR="002D5726" w:rsidRPr="002D5726">
        <w:rPr>
          <w:rFonts w:ascii="Times New Roman" w:hAnsi="Times New Roman" w:cs="Times New Roman"/>
          <w:b/>
        </w:rPr>
        <w:t xml:space="preserve">. </w:t>
      </w:r>
      <w:r w:rsidR="00A73248">
        <w:rPr>
          <w:rFonts w:ascii="Times New Roman" w:hAnsi="Times New Roman" w:cs="Times New Roman"/>
          <w:b/>
        </w:rPr>
        <w:t>Meta-analysis of the e</w:t>
      </w:r>
      <w:r w:rsidR="007F5A53">
        <w:rPr>
          <w:rFonts w:ascii="Times New Roman" w:hAnsi="Times New Roman" w:cs="Times New Roman"/>
          <w:b/>
        </w:rPr>
        <w:t>stimate</w:t>
      </w:r>
      <w:r w:rsidR="00F70A80">
        <w:rPr>
          <w:rFonts w:ascii="Times New Roman" w:hAnsi="Times New Roman" w:cs="Times New Roman"/>
          <w:b/>
        </w:rPr>
        <w:t xml:space="preserve"> of the </w:t>
      </w:r>
      <w:r w:rsidR="00031E1E">
        <w:rPr>
          <w:rFonts w:ascii="Times New Roman" w:hAnsi="Times New Roman" w:cs="Times New Roman"/>
          <w:b/>
        </w:rPr>
        <w:t>IPS-E</w:t>
      </w:r>
      <w:r w:rsidR="00F70A80">
        <w:rPr>
          <w:rFonts w:ascii="Times New Roman" w:hAnsi="Times New Roman" w:cs="Times New Roman"/>
          <w:b/>
        </w:rPr>
        <w:t xml:space="preserve"> discrimination </w:t>
      </w:r>
      <w:r w:rsidR="001C65B8">
        <w:rPr>
          <w:rFonts w:ascii="Times New Roman" w:hAnsi="Times New Roman" w:cs="Times New Roman"/>
          <w:b/>
        </w:rPr>
        <w:t xml:space="preserve">capacity of </w:t>
      </w:r>
      <w:r w:rsidR="00411881">
        <w:rPr>
          <w:rFonts w:ascii="Times New Roman" w:hAnsi="Times New Roman" w:cs="Times New Roman"/>
          <w:b/>
        </w:rPr>
        <w:t>time to first treatment</w:t>
      </w:r>
      <w:r w:rsidR="00A73248">
        <w:rPr>
          <w:rFonts w:ascii="Times New Roman" w:hAnsi="Times New Roman" w:cs="Times New Roman"/>
          <w:b/>
        </w:rPr>
        <w:t xml:space="preserve"> across the study cohorts.</w:t>
      </w:r>
      <w:r w:rsidR="00F70A80">
        <w:rPr>
          <w:rFonts w:ascii="Times New Roman" w:hAnsi="Times New Roman" w:cs="Times New Roman"/>
          <w:b/>
        </w:rPr>
        <w:t xml:space="preserve"> </w:t>
      </w:r>
      <w:r w:rsidR="001C65B8">
        <w:rPr>
          <w:rFonts w:ascii="Times New Roman" w:hAnsi="Times New Roman" w:cs="Times New Roman"/>
        </w:rPr>
        <w:t>Forest plot of the c</w:t>
      </w:r>
      <w:r w:rsidR="002D5726" w:rsidRPr="002D5726">
        <w:rPr>
          <w:rFonts w:ascii="Times New Roman" w:hAnsi="Times New Roman" w:cs="Times New Roman"/>
        </w:rPr>
        <w:t xml:space="preserve">-index of the </w:t>
      </w:r>
      <w:r w:rsidR="00E1609C">
        <w:rPr>
          <w:rFonts w:ascii="Times New Roman" w:hAnsi="Times New Roman" w:cs="Times New Roman"/>
        </w:rPr>
        <w:t>10</w:t>
      </w:r>
      <w:r w:rsidR="002D5726" w:rsidRPr="002D5726">
        <w:rPr>
          <w:rFonts w:ascii="Times New Roman" w:hAnsi="Times New Roman" w:cs="Times New Roman"/>
        </w:rPr>
        <w:t xml:space="preserve"> </w:t>
      </w:r>
      <w:proofErr w:type="spellStart"/>
      <w:r w:rsidR="00916490">
        <w:rPr>
          <w:rFonts w:ascii="Times New Roman" w:hAnsi="Times New Roman" w:cs="Times New Roman"/>
        </w:rPr>
        <w:t>Binet</w:t>
      </w:r>
      <w:proofErr w:type="spellEnd"/>
      <w:r w:rsidR="00916490">
        <w:rPr>
          <w:rFonts w:ascii="Times New Roman" w:hAnsi="Times New Roman" w:cs="Times New Roman"/>
        </w:rPr>
        <w:t xml:space="preserve"> A </w:t>
      </w:r>
      <w:r w:rsidR="002D5726" w:rsidRPr="002D5726">
        <w:rPr>
          <w:rFonts w:ascii="Times New Roman" w:hAnsi="Times New Roman" w:cs="Times New Roman"/>
        </w:rPr>
        <w:t xml:space="preserve">cohorts according </w:t>
      </w:r>
      <w:r w:rsidR="002D5726" w:rsidRPr="002D5726">
        <w:rPr>
          <w:rFonts w:ascii="Times New Roman" w:hAnsi="Times New Roman" w:cs="Times New Roman"/>
        </w:rPr>
        <w:lastRenderedPageBreak/>
        <w:t xml:space="preserve">to </w:t>
      </w:r>
      <w:r w:rsidR="001C65B8">
        <w:rPr>
          <w:rFonts w:ascii="Times New Roman" w:hAnsi="Times New Roman" w:cs="Times New Roman"/>
        </w:rPr>
        <w:t xml:space="preserve">the </w:t>
      </w:r>
      <w:r w:rsidR="00031E1E">
        <w:rPr>
          <w:rFonts w:ascii="Times New Roman" w:hAnsi="Times New Roman" w:cs="Times New Roman"/>
        </w:rPr>
        <w:t>IPS-E</w:t>
      </w:r>
      <w:r w:rsidR="001C65B8">
        <w:rPr>
          <w:rFonts w:ascii="Times New Roman" w:hAnsi="Times New Roman" w:cs="Times New Roman"/>
        </w:rPr>
        <w:t>. Solid boxes indicate c</w:t>
      </w:r>
      <w:r w:rsidR="002D5726" w:rsidRPr="002D5726">
        <w:rPr>
          <w:rFonts w:ascii="Times New Roman" w:hAnsi="Times New Roman" w:cs="Times New Roman"/>
        </w:rPr>
        <w:t>-index in each study with dimensions proportional to sample size weights; horizonta</w:t>
      </w:r>
      <w:r w:rsidR="001C65B8">
        <w:rPr>
          <w:rFonts w:ascii="Times New Roman" w:hAnsi="Times New Roman" w:cs="Times New Roman"/>
        </w:rPr>
        <w:t>l lines indicate bootstrap 95% Confidence Intervals</w:t>
      </w:r>
      <w:r w:rsidR="002D5726" w:rsidRPr="002D5726">
        <w:rPr>
          <w:rFonts w:ascii="Times New Roman" w:hAnsi="Times New Roman" w:cs="Times New Roman"/>
        </w:rPr>
        <w:t xml:space="preserve">. The red </w:t>
      </w:r>
      <w:r w:rsidR="001C65B8">
        <w:rPr>
          <w:rFonts w:ascii="Times New Roman" w:hAnsi="Times New Roman" w:cs="Times New Roman"/>
        </w:rPr>
        <w:t xml:space="preserve">rhombus represents the overall </w:t>
      </w:r>
      <w:r w:rsidR="00E051A2">
        <w:rPr>
          <w:rFonts w:ascii="Times New Roman" w:hAnsi="Times New Roman" w:cs="Times New Roman"/>
        </w:rPr>
        <w:t>estimate by the meta-analysis</w:t>
      </w:r>
      <w:r w:rsidR="002D5726" w:rsidRPr="002D5726">
        <w:rPr>
          <w:rFonts w:ascii="Times New Roman" w:hAnsi="Times New Roman" w:cs="Times New Roman"/>
        </w:rPr>
        <w:t>.</w:t>
      </w:r>
    </w:p>
    <w:p w14:paraId="1B02DE4E" w14:textId="77777777" w:rsidR="00A459D1" w:rsidRDefault="00A459D1" w:rsidP="00A73248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58171533" w14:textId="77777777" w:rsidR="00A73248" w:rsidRDefault="00A73248" w:rsidP="00A73248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</w:t>
      </w:r>
      <w:r w:rsidR="00446B39">
        <w:rPr>
          <w:rFonts w:ascii="Times New Roman" w:hAnsi="Times New Roman" w:cs="Times New Roman"/>
          <w:b/>
        </w:rPr>
        <w:t>ure</w:t>
      </w:r>
      <w:r>
        <w:rPr>
          <w:rFonts w:ascii="Times New Roman" w:hAnsi="Times New Roman" w:cs="Times New Roman"/>
          <w:b/>
        </w:rPr>
        <w:t xml:space="preserve"> </w:t>
      </w:r>
      <w:r w:rsidR="00C028FE">
        <w:rPr>
          <w:rFonts w:ascii="Times New Roman" w:hAnsi="Times New Roman" w:cs="Times New Roman"/>
          <w:b/>
        </w:rPr>
        <w:t>4</w:t>
      </w:r>
      <w:r w:rsidRPr="002D572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Meta-analysis of the estimates of the </w:t>
      </w:r>
      <w:r w:rsidR="00031E1E">
        <w:rPr>
          <w:rFonts w:ascii="Times New Roman" w:hAnsi="Times New Roman" w:cs="Times New Roman"/>
          <w:b/>
        </w:rPr>
        <w:t>IPS-E</w:t>
      </w:r>
      <w:r>
        <w:rPr>
          <w:rFonts w:ascii="Times New Roman" w:hAnsi="Times New Roman" w:cs="Times New Roman"/>
          <w:b/>
        </w:rPr>
        <w:t xml:space="preserve"> cumulative incidence of treatment need across the study cohorts. </w:t>
      </w:r>
      <w:r w:rsidR="00F508A6">
        <w:rPr>
          <w:rFonts w:ascii="Times New Roman" w:hAnsi="Times New Roman" w:cs="Times New Roman"/>
        </w:rPr>
        <w:t>Forest plots of the</w:t>
      </w:r>
      <w:r>
        <w:rPr>
          <w:rFonts w:ascii="Times New Roman" w:hAnsi="Times New Roman" w:cs="Times New Roman"/>
        </w:rPr>
        <w:t xml:space="preserve"> </w:t>
      </w:r>
      <w:r w:rsidRPr="006A1A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A</w:t>
      </w:r>
      <w:r w:rsidRPr="006A1A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="00F508A6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 xml:space="preserve"> </w:t>
      </w:r>
      <w:r w:rsidR="00F508A6">
        <w:rPr>
          <w:rFonts w:ascii="Times New Roman" w:hAnsi="Times New Roman" w:cs="Times New Roman"/>
        </w:rPr>
        <w:t>and 5</w:t>
      </w:r>
      <w:r>
        <w:rPr>
          <w:rFonts w:ascii="Times New Roman" w:hAnsi="Times New Roman" w:cs="Times New Roman"/>
        </w:rPr>
        <w:t xml:space="preserve">-years cumulative incidence of treatment need </w:t>
      </w:r>
      <w:r w:rsidR="00E051A2">
        <w:rPr>
          <w:rFonts w:ascii="Times New Roman" w:hAnsi="Times New Roman" w:cs="Times New Roman"/>
        </w:rPr>
        <w:t>across the</w:t>
      </w:r>
      <w:r w:rsidRPr="002D5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2D5726">
        <w:rPr>
          <w:rFonts w:ascii="Times New Roman" w:hAnsi="Times New Roman" w:cs="Times New Roman"/>
        </w:rPr>
        <w:t xml:space="preserve"> </w:t>
      </w:r>
      <w:proofErr w:type="spellStart"/>
      <w:r w:rsidR="00916490">
        <w:rPr>
          <w:rFonts w:ascii="Times New Roman" w:hAnsi="Times New Roman" w:cs="Times New Roman"/>
        </w:rPr>
        <w:t>Binet</w:t>
      </w:r>
      <w:proofErr w:type="spellEnd"/>
      <w:r w:rsidR="00916490">
        <w:rPr>
          <w:rFonts w:ascii="Times New Roman" w:hAnsi="Times New Roman" w:cs="Times New Roman"/>
        </w:rPr>
        <w:t xml:space="preserve"> A </w:t>
      </w:r>
      <w:r w:rsidRPr="002D5726">
        <w:rPr>
          <w:rFonts w:ascii="Times New Roman" w:hAnsi="Times New Roman" w:cs="Times New Roman"/>
        </w:rPr>
        <w:t xml:space="preserve">cohorts according to </w:t>
      </w:r>
      <w:r>
        <w:rPr>
          <w:rFonts w:ascii="Times New Roman" w:hAnsi="Times New Roman" w:cs="Times New Roman"/>
        </w:rPr>
        <w:t xml:space="preserve">the </w:t>
      </w:r>
      <w:r w:rsidR="00031E1E">
        <w:rPr>
          <w:rFonts w:ascii="Times New Roman" w:hAnsi="Times New Roman" w:cs="Times New Roman"/>
        </w:rPr>
        <w:t>IPS-E</w:t>
      </w:r>
      <w:r>
        <w:rPr>
          <w:rFonts w:ascii="Times New Roman" w:hAnsi="Times New Roman" w:cs="Times New Roman"/>
        </w:rPr>
        <w:t xml:space="preserve">. </w:t>
      </w:r>
      <w:r w:rsidR="00E051A2">
        <w:rPr>
          <w:rFonts w:ascii="Times New Roman" w:hAnsi="Times New Roman" w:cs="Times New Roman"/>
        </w:rPr>
        <w:t>(</w:t>
      </w:r>
      <w:r w:rsidR="00F508A6">
        <w:rPr>
          <w:rFonts w:ascii="Times New Roman" w:hAnsi="Times New Roman" w:cs="Times New Roman"/>
          <w:b/>
        </w:rPr>
        <w:t>B</w:t>
      </w:r>
      <w:r w:rsidR="00E051A2" w:rsidRPr="00E051A2">
        <w:rPr>
          <w:rFonts w:ascii="Times New Roman" w:hAnsi="Times New Roman" w:cs="Times New Roman"/>
        </w:rPr>
        <w:t>) F</w:t>
      </w:r>
      <w:r w:rsidRPr="00E051A2">
        <w:rPr>
          <w:rFonts w:ascii="Times New Roman" w:hAnsi="Times New Roman" w:cs="Times New Roman"/>
        </w:rPr>
        <w:t xml:space="preserve">orest plots of the </w:t>
      </w:r>
      <w:r w:rsidR="00E051A2" w:rsidRPr="00E051A2">
        <w:rPr>
          <w:rFonts w:ascii="Times New Roman" w:hAnsi="Times New Roman" w:cs="Times New Roman"/>
        </w:rPr>
        <w:t xml:space="preserve">number of treatment events per 100 person year </w:t>
      </w:r>
      <w:r w:rsidR="00E051A2">
        <w:rPr>
          <w:rFonts w:ascii="Times New Roman" w:hAnsi="Times New Roman" w:cs="Times New Roman"/>
        </w:rPr>
        <w:t>across the</w:t>
      </w:r>
      <w:r w:rsidR="00E051A2" w:rsidRPr="00E051A2">
        <w:rPr>
          <w:rFonts w:ascii="Times New Roman" w:hAnsi="Times New Roman" w:cs="Times New Roman"/>
        </w:rPr>
        <w:t xml:space="preserve"> 10 </w:t>
      </w:r>
      <w:proofErr w:type="spellStart"/>
      <w:r w:rsidR="00916490">
        <w:rPr>
          <w:rFonts w:ascii="Times New Roman" w:hAnsi="Times New Roman" w:cs="Times New Roman"/>
        </w:rPr>
        <w:t>Binet</w:t>
      </w:r>
      <w:proofErr w:type="spellEnd"/>
      <w:r w:rsidR="00916490">
        <w:rPr>
          <w:rFonts w:ascii="Times New Roman" w:hAnsi="Times New Roman" w:cs="Times New Roman"/>
        </w:rPr>
        <w:t xml:space="preserve"> A </w:t>
      </w:r>
      <w:r w:rsidR="00E051A2" w:rsidRPr="00E051A2">
        <w:rPr>
          <w:rFonts w:ascii="Times New Roman" w:hAnsi="Times New Roman" w:cs="Times New Roman"/>
        </w:rPr>
        <w:t>cohorts according to</w:t>
      </w:r>
      <w:r w:rsidR="00E051A2" w:rsidRPr="002D5726">
        <w:rPr>
          <w:rFonts w:ascii="Times New Roman" w:hAnsi="Times New Roman" w:cs="Times New Roman"/>
        </w:rPr>
        <w:t xml:space="preserve"> </w:t>
      </w:r>
      <w:r w:rsidR="00E051A2">
        <w:rPr>
          <w:rFonts w:ascii="Times New Roman" w:hAnsi="Times New Roman" w:cs="Times New Roman"/>
        </w:rPr>
        <w:t xml:space="preserve">the </w:t>
      </w:r>
      <w:r w:rsidR="00031E1E">
        <w:rPr>
          <w:rFonts w:ascii="Times New Roman" w:hAnsi="Times New Roman" w:cs="Times New Roman"/>
        </w:rPr>
        <w:t>IPS-E</w:t>
      </w:r>
      <w:r>
        <w:rPr>
          <w:rFonts w:ascii="Times New Roman" w:hAnsi="Times New Roman" w:cs="Times New Roman"/>
        </w:rPr>
        <w:t xml:space="preserve">. Solid boxes indicate </w:t>
      </w:r>
      <w:r w:rsidR="00E051A2">
        <w:rPr>
          <w:rFonts w:ascii="Times New Roman" w:hAnsi="Times New Roman" w:cs="Times New Roman"/>
        </w:rPr>
        <w:t>the estimate</w:t>
      </w:r>
      <w:r w:rsidRPr="002D5726">
        <w:rPr>
          <w:rFonts w:ascii="Times New Roman" w:hAnsi="Times New Roman" w:cs="Times New Roman"/>
        </w:rPr>
        <w:t xml:space="preserve"> in each study with dimensions proportional to sample size weights; horizonta</w:t>
      </w:r>
      <w:r>
        <w:rPr>
          <w:rFonts w:ascii="Times New Roman" w:hAnsi="Times New Roman" w:cs="Times New Roman"/>
        </w:rPr>
        <w:t>l lines indicate 95% Confidence Intervals</w:t>
      </w:r>
      <w:r w:rsidRPr="002D5726">
        <w:rPr>
          <w:rFonts w:ascii="Times New Roman" w:hAnsi="Times New Roman" w:cs="Times New Roman"/>
        </w:rPr>
        <w:t xml:space="preserve">. The red </w:t>
      </w:r>
      <w:r>
        <w:rPr>
          <w:rFonts w:ascii="Times New Roman" w:hAnsi="Times New Roman" w:cs="Times New Roman"/>
        </w:rPr>
        <w:t xml:space="preserve">rhombus represents the overall </w:t>
      </w:r>
      <w:r w:rsidR="00E051A2">
        <w:rPr>
          <w:rFonts w:ascii="Times New Roman" w:hAnsi="Times New Roman" w:cs="Times New Roman"/>
        </w:rPr>
        <w:t>estimate by the meta-analysis</w:t>
      </w:r>
      <w:r w:rsidRPr="002D5726">
        <w:rPr>
          <w:rFonts w:ascii="Times New Roman" w:hAnsi="Times New Roman" w:cs="Times New Roman"/>
        </w:rPr>
        <w:t>.</w:t>
      </w:r>
    </w:p>
    <w:p w14:paraId="08952E95" w14:textId="77777777" w:rsidR="00A73248" w:rsidRPr="00F70A80" w:rsidRDefault="00A73248" w:rsidP="00A73248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1085F3B3" w14:textId="77777777" w:rsidR="00EA30F1" w:rsidRDefault="00EA30F1"/>
    <w:sectPr w:rsidR="00EA30F1" w:rsidSect="00F12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CD8169" w16cid:durableId="21C87DCF"/>
  <w16cid:commentId w16cid:paraId="21EA91DB" w16cid:durableId="21C87DD0"/>
  <w16cid:commentId w16cid:paraId="3EEA4A03" w16cid:durableId="21C87DD1"/>
  <w16cid:commentId w16cid:paraId="3D262B8F" w16cid:durableId="21C87DD2"/>
  <w16cid:commentId w16cid:paraId="7C61D7F3" w16cid:durableId="21C87DD3"/>
  <w16cid:commentId w16cid:paraId="50A67EA9" w16cid:durableId="21C87DD4"/>
  <w16cid:commentId w16cid:paraId="1E55FD20" w16cid:durableId="21C87DD5"/>
  <w16cid:commentId w16cid:paraId="63DC8565" w16cid:durableId="21C87DD6"/>
  <w16cid:commentId w16cid:paraId="1DF66C8E" w16cid:durableId="21C87DD7"/>
  <w16cid:commentId w16cid:paraId="11AF368A" w16cid:durableId="21C87D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8C83" w14:textId="77777777" w:rsidR="008213D2" w:rsidRDefault="008213D2">
      <w:pPr>
        <w:spacing w:after="0"/>
      </w:pPr>
      <w:r>
        <w:separator/>
      </w:r>
    </w:p>
  </w:endnote>
  <w:endnote w:type="continuationSeparator" w:id="0">
    <w:p w14:paraId="0CE58B7C" w14:textId="77777777" w:rsidR="008213D2" w:rsidRDefault="008213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216463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F6C6C" w14:textId="175F6DDA" w:rsidR="008213D2" w:rsidRPr="00DC332A" w:rsidRDefault="008213D2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DC332A">
          <w:rPr>
            <w:rFonts w:ascii="Times New Roman" w:hAnsi="Times New Roman" w:cs="Times New Roman"/>
            <w:sz w:val="20"/>
          </w:rPr>
          <w:fldChar w:fldCharType="begin"/>
        </w:r>
        <w:r w:rsidRPr="00DC332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DC332A">
          <w:rPr>
            <w:rFonts w:ascii="Times New Roman" w:hAnsi="Times New Roman" w:cs="Times New Roman"/>
            <w:sz w:val="20"/>
          </w:rPr>
          <w:fldChar w:fldCharType="separate"/>
        </w:r>
        <w:r w:rsidR="00DC7D2F">
          <w:rPr>
            <w:rFonts w:ascii="Times New Roman" w:hAnsi="Times New Roman" w:cs="Times New Roman"/>
            <w:noProof/>
            <w:sz w:val="20"/>
          </w:rPr>
          <w:t>26</w:t>
        </w:r>
        <w:r w:rsidRPr="00DC332A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03AF29F4" w14:textId="77777777" w:rsidR="008213D2" w:rsidRDefault="00821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CE7D" w14:textId="77777777" w:rsidR="008213D2" w:rsidRDefault="008213D2">
      <w:pPr>
        <w:spacing w:after="0"/>
      </w:pPr>
      <w:r>
        <w:separator/>
      </w:r>
    </w:p>
  </w:footnote>
  <w:footnote w:type="continuationSeparator" w:id="0">
    <w:p w14:paraId="55B3A103" w14:textId="77777777" w:rsidR="008213D2" w:rsidRDefault="00821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FE3"/>
    <w:multiLevelType w:val="hybridMultilevel"/>
    <w:tmpl w:val="308CC1C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1B"/>
    <w:multiLevelType w:val="hybridMultilevel"/>
    <w:tmpl w:val="B7C493BE"/>
    <w:lvl w:ilvl="0" w:tplc="A16C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6AC7"/>
    <w:multiLevelType w:val="hybridMultilevel"/>
    <w:tmpl w:val="64125CA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382D"/>
    <w:multiLevelType w:val="hybridMultilevel"/>
    <w:tmpl w:val="CE3093D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7615"/>
    <w:multiLevelType w:val="hybridMultilevel"/>
    <w:tmpl w:val="A8E02E6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37C2"/>
    <w:multiLevelType w:val="multilevel"/>
    <w:tmpl w:val="ABB4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0710C"/>
    <w:multiLevelType w:val="hybridMultilevel"/>
    <w:tmpl w:val="308CC1CE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81716"/>
    <w:multiLevelType w:val="multilevel"/>
    <w:tmpl w:val="ABB4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36843"/>
    <w:multiLevelType w:val="multilevel"/>
    <w:tmpl w:val="51F8F2F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64"/>
    <w:rsid w:val="00000250"/>
    <w:rsid w:val="000007B3"/>
    <w:rsid w:val="00000B6A"/>
    <w:rsid w:val="00000EE0"/>
    <w:rsid w:val="00001671"/>
    <w:rsid w:val="000020D9"/>
    <w:rsid w:val="000042C0"/>
    <w:rsid w:val="00004BFC"/>
    <w:rsid w:val="00006089"/>
    <w:rsid w:val="00006A70"/>
    <w:rsid w:val="0000705A"/>
    <w:rsid w:val="000114E5"/>
    <w:rsid w:val="0001253C"/>
    <w:rsid w:val="00013F1C"/>
    <w:rsid w:val="000167D9"/>
    <w:rsid w:val="000216A5"/>
    <w:rsid w:val="000225A6"/>
    <w:rsid w:val="00022C8B"/>
    <w:rsid w:val="00024DFC"/>
    <w:rsid w:val="00025140"/>
    <w:rsid w:val="0002647A"/>
    <w:rsid w:val="0002683F"/>
    <w:rsid w:val="00027312"/>
    <w:rsid w:val="000275C0"/>
    <w:rsid w:val="00030698"/>
    <w:rsid w:val="00031E1E"/>
    <w:rsid w:val="0003294D"/>
    <w:rsid w:val="000342FC"/>
    <w:rsid w:val="0003447A"/>
    <w:rsid w:val="00034A72"/>
    <w:rsid w:val="00034D5C"/>
    <w:rsid w:val="0003588B"/>
    <w:rsid w:val="0003658E"/>
    <w:rsid w:val="0004078F"/>
    <w:rsid w:val="00040A32"/>
    <w:rsid w:val="00042032"/>
    <w:rsid w:val="000431BB"/>
    <w:rsid w:val="00043818"/>
    <w:rsid w:val="00043AE8"/>
    <w:rsid w:val="0004544D"/>
    <w:rsid w:val="00046D06"/>
    <w:rsid w:val="000470D5"/>
    <w:rsid w:val="000476B7"/>
    <w:rsid w:val="00047CB9"/>
    <w:rsid w:val="0005173F"/>
    <w:rsid w:val="00052357"/>
    <w:rsid w:val="00053342"/>
    <w:rsid w:val="000545EA"/>
    <w:rsid w:val="00054709"/>
    <w:rsid w:val="00060E80"/>
    <w:rsid w:val="000660B6"/>
    <w:rsid w:val="00067633"/>
    <w:rsid w:val="00071795"/>
    <w:rsid w:val="00071ECE"/>
    <w:rsid w:val="00073262"/>
    <w:rsid w:val="00073983"/>
    <w:rsid w:val="0007437E"/>
    <w:rsid w:val="000748BA"/>
    <w:rsid w:val="00075812"/>
    <w:rsid w:val="0008419E"/>
    <w:rsid w:val="00085F3E"/>
    <w:rsid w:val="00086346"/>
    <w:rsid w:val="00087352"/>
    <w:rsid w:val="00087A95"/>
    <w:rsid w:val="0009046F"/>
    <w:rsid w:val="00090494"/>
    <w:rsid w:val="00091B12"/>
    <w:rsid w:val="00092FC3"/>
    <w:rsid w:val="00093A92"/>
    <w:rsid w:val="000A07FC"/>
    <w:rsid w:val="000A2DFA"/>
    <w:rsid w:val="000A63EC"/>
    <w:rsid w:val="000B0C20"/>
    <w:rsid w:val="000B2138"/>
    <w:rsid w:val="000B2587"/>
    <w:rsid w:val="000C11DF"/>
    <w:rsid w:val="000C1807"/>
    <w:rsid w:val="000C1E29"/>
    <w:rsid w:val="000C244B"/>
    <w:rsid w:val="000C3CAB"/>
    <w:rsid w:val="000C500C"/>
    <w:rsid w:val="000C5467"/>
    <w:rsid w:val="000C6639"/>
    <w:rsid w:val="000D0726"/>
    <w:rsid w:val="000D07A5"/>
    <w:rsid w:val="000D1504"/>
    <w:rsid w:val="000D1735"/>
    <w:rsid w:val="000D1FD9"/>
    <w:rsid w:val="000D306F"/>
    <w:rsid w:val="000D6769"/>
    <w:rsid w:val="000D67EF"/>
    <w:rsid w:val="000E6DFD"/>
    <w:rsid w:val="000E7177"/>
    <w:rsid w:val="000E7417"/>
    <w:rsid w:val="000E741F"/>
    <w:rsid w:val="000F0FF9"/>
    <w:rsid w:val="000F29A1"/>
    <w:rsid w:val="000F62D5"/>
    <w:rsid w:val="00100961"/>
    <w:rsid w:val="0010191E"/>
    <w:rsid w:val="00102226"/>
    <w:rsid w:val="00103928"/>
    <w:rsid w:val="00103F9F"/>
    <w:rsid w:val="0010405D"/>
    <w:rsid w:val="0010447D"/>
    <w:rsid w:val="00104B34"/>
    <w:rsid w:val="00107399"/>
    <w:rsid w:val="00110CA5"/>
    <w:rsid w:val="0011207E"/>
    <w:rsid w:val="00112082"/>
    <w:rsid w:val="00112DB9"/>
    <w:rsid w:val="00113383"/>
    <w:rsid w:val="001143BA"/>
    <w:rsid w:val="001151E8"/>
    <w:rsid w:val="00115EEC"/>
    <w:rsid w:val="00117A74"/>
    <w:rsid w:val="0012032D"/>
    <w:rsid w:val="00120EB1"/>
    <w:rsid w:val="00121B7C"/>
    <w:rsid w:val="001231C3"/>
    <w:rsid w:val="00123D07"/>
    <w:rsid w:val="00123D65"/>
    <w:rsid w:val="00125CC5"/>
    <w:rsid w:val="00125F0C"/>
    <w:rsid w:val="00127331"/>
    <w:rsid w:val="0012737C"/>
    <w:rsid w:val="001279EB"/>
    <w:rsid w:val="00130C6C"/>
    <w:rsid w:val="00132296"/>
    <w:rsid w:val="00132A64"/>
    <w:rsid w:val="00134203"/>
    <w:rsid w:val="001346DA"/>
    <w:rsid w:val="00134815"/>
    <w:rsid w:val="001353ED"/>
    <w:rsid w:val="00135674"/>
    <w:rsid w:val="00135FCE"/>
    <w:rsid w:val="00136316"/>
    <w:rsid w:val="0013774C"/>
    <w:rsid w:val="0014103B"/>
    <w:rsid w:val="00142BFA"/>
    <w:rsid w:val="00144A18"/>
    <w:rsid w:val="00144F9C"/>
    <w:rsid w:val="001477A1"/>
    <w:rsid w:val="00147B4D"/>
    <w:rsid w:val="001516DA"/>
    <w:rsid w:val="00151A99"/>
    <w:rsid w:val="00152D5B"/>
    <w:rsid w:val="00153175"/>
    <w:rsid w:val="001543E0"/>
    <w:rsid w:val="001548DA"/>
    <w:rsid w:val="00160AFE"/>
    <w:rsid w:val="00160EFC"/>
    <w:rsid w:val="00161C64"/>
    <w:rsid w:val="00165693"/>
    <w:rsid w:val="001658FF"/>
    <w:rsid w:val="00171CB5"/>
    <w:rsid w:val="001729C4"/>
    <w:rsid w:val="001762E6"/>
    <w:rsid w:val="001773D0"/>
    <w:rsid w:val="00177758"/>
    <w:rsid w:val="00177A66"/>
    <w:rsid w:val="00180245"/>
    <w:rsid w:val="00181552"/>
    <w:rsid w:val="0018262A"/>
    <w:rsid w:val="00183A4D"/>
    <w:rsid w:val="00183E76"/>
    <w:rsid w:val="0018426C"/>
    <w:rsid w:val="001855F9"/>
    <w:rsid w:val="00186141"/>
    <w:rsid w:val="00187CB7"/>
    <w:rsid w:val="001915DD"/>
    <w:rsid w:val="001917BD"/>
    <w:rsid w:val="00192544"/>
    <w:rsid w:val="00192A0E"/>
    <w:rsid w:val="001935B2"/>
    <w:rsid w:val="00196101"/>
    <w:rsid w:val="00196FA7"/>
    <w:rsid w:val="00197241"/>
    <w:rsid w:val="00197FB0"/>
    <w:rsid w:val="001A098C"/>
    <w:rsid w:val="001A1401"/>
    <w:rsid w:val="001A25EB"/>
    <w:rsid w:val="001A2D57"/>
    <w:rsid w:val="001A5318"/>
    <w:rsid w:val="001A55F6"/>
    <w:rsid w:val="001A7574"/>
    <w:rsid w:val="001B15CD"/>
    <w:rsid w:val="001B171B"/>
    <w:rsid w:val="001B2819"/>
    <w:rsid w:val="001B4BE1"/>
    <w:rsid w:val="001B510A"/>
    <w:rsid w:val="001B5E4A"/>
    <w:rsid w:val="001B6B78"/>
    <w:rsid w:val="001C0B74"/>
    <w:rsid w:val="001C225A"/>
    <w:rsid w:val="001C2692"/>
    <w:rsid w:val="001C2E0B"/>
    <w:rsid w:val="001C2FE9"/>
    <w:rsid w:val="001C3366"/>
    <w:rsid w:val="001C4BFD"/>
    <w:rsid w:val="001C5012"/>
    <w:rsid w:val="001C54A2"/>
    <w:rsid w:val="001C554F"/>
    <w:rsid w:val="001C572A"/>
    <w:rsid w:val="001C65B8"/>
    <w:rsid w:val="001C696F"/>
    <w:rsid w:val="001D11E8"/>
    <w:rsid w:val="001D5038"/>
    <w:rsid w:val="001D5C29"/>
    <w:rsid w:val="001D6090"/>
    <w:rsid w:val="001E0122"/>
    <w:rsid w:val="001E0B3A"/>
    <w:rsid w:val="001E2B6A"/>
    <w:rsid w:val="001E3F48"/>
    <w:rsid w:val="001E5279"/>
    <w:rsid w:val="001E5CA2"/>
    <w:rsid w:val="001E6A4E"/>
    <w:rsid w:val="001E7944"/>
    <w:rsid w:val="001F135C"/>
    <w:rsid w:val="001F1AE9"/>
    <w:rsid w:val="001F3B6A"/>
    <w:rsid w:val="001F47E9"/>
    <w:rsid w:val="001F5738"/>
    <w:rsid w:val="001F5C3C"/>
    <w:rsid w:val="001F6FC8"/>
    <w:rsid w:val="001F718A"/>
    <w:rsid w:val="00200BE5"/>
    <w:rsid w:val="00202F64"/>
    <w:rsid w:val="00203C06"/>
    <w:rsid w:val="00204A62"/>
    <w:rsid w:val="00204FB3"/>
    <w:rsid w:val="00205618"/>
    <w:rsid w:val="00206A03"/>
    <w:rsid w:val="0021183B"/>
    <w:rsid w:val="0021321F"/>
    <w:rsid w:val="00214DF9"/>
    <w:rsid w:val="00215204"/>
    <w:rsid w:val="00217755"/>
    <w:rsid w:val="002205D0"/>
    <w:rsid w:val="002230BB"/>
    <w:rsid w:val="00223457"/>
    <w:rsid w:val="00231C00"/>
    <w:rsid w:val="002321CA"/>
    <w:rsid w:val="00233362"/>
    <w:rsid w:val="0023411F"/>
    <w:rsid w:val="00237000"/>
    <w:rsid w:val="0024023D"/>
    <w:rsid w:val="00241441"/>
    <w:rsid w:val="0024163E"/>
    <w:rsid w:val="00244D81"/>
    <w:rsid w:val="00246B1F"/>
    <w:rsid w:val="00250CD7"/>
    <w:rsid w:val="002511A5"/>
    <w:rsid w:val="002517A2"/>
    <w:rsid w:val="002532C5"/>
    <w:rsid w:val="00253307"/>
    <w:rsid w:val="00253579"/>
    <w:rsid w:val="002544E7"/>
    <w:rsid w:val="002553A5"/>
    <w:rsid w:val="00255ACA"/>
    <w:rsid w:val="002577A3"/>
    <w:rsid w:val="002606AA"/>
    <w:rsid w:val="00260B4C"/>
    <w:rsid w:val="00262393"/>
    <w:rsid w:val="00262CEF"/>
    <w:rsid w:val="00262E13"/>
    <w:rsid w:val="00263985"/>
    <w:rsid w:val="002642A8"/>
    <w:rsid w:val="00267C70"/>
    <w:rsid w:val="00272008"/>
    <w:rsid w:val="00273C59"/>
    <w:rsid w:val="00273D0E"/>
    <w:rsid w:val="002741AD"/>
    <w:rsid w:val="00281A8A"/>
    <w:rsid w:val="00282C2A"/>
    <w:rsid w:val="0028396B"/>
    <w:rsid w:val="00284BEF"/>
    <w:rsid w:val="00284CBD"/>
    <w:rsid w:val="00286905"/>
    <w:rsid w:val="00286C41"/>
    <w:rsid w:val="00287CF7"/>
    <w:rsid w:val="00290BC3"/>
    <w:rsid w:val="0029183A"/>
    <w:rsid w:val="00291FBD"/>
    <w:rsid w:val="0029485A"/>
    <w:rsid w:val="00294971"/>
    <w:rsid w:val="00294F3D"/>
    <w:rsid w:val="0029672C"/>
    <w:rsid w:val="00296970"/>
    <w:rsid w:val="002A109A"/>
    <w:rsid w:val="002A36EC"/>
    <w:rsid w:val="002A449B"/>
    <w:rsid w:val="002A56C7"/>
    <w:rsid w:val="002A5A86"/>
    <w:rsid w:val="002B11F5"/>
    <w:rsid w:val="002B1425"/>
    <w:rsid w:val="002B208D"/>
    <w:rsid w:val="002B5396"/>
    <w:rsid w:val="002B5C04"/>
    <w:rsid w:val="002B7CC3"/>
    <w:rsid w:val="002C0858"/>
    <w:rsid w:val="002C4C6B"/>
    <w:rsid w:val="002C5F2D"/>
    <w:rsid w:val="002C5F6F"/>
    <w:rsid w:val="002C616B"/>
    <w:rsid w:val="002D2AFB"/>
    <w:rsid w:val="002D4608"/>
    <w:rsid w:val="002D5726"/>
    <w:rsid w:val="002D5C61"/>
    <w:rsid w:val="002E08F5"/>
    <w:rsid w:val="002E0C8D"/>
    <w:rsid w:val="002E5E96"/>
    <w:rsid w:val="002E7A81"/>
    <w:rsid w:val="002F185F"/>
    <w:rsid w:val="002F18B3"/>
    <w:rsid w:val="002F1CDF"/>
    <w:rsid w:val="002F69CB"/>
    <w:rsid w:val="00300B12"/>
    <w:rsid w:val="003021C1"/>
    <w:rsid w:val="00305BD4"/>
    <w:rsid w:val="00306C96"/>
    <w:rsid w:val="00307B9D"/>
    <w:rsid w:val="003115AD"/>
    <w:rsid w:val="00313943"/>
    <w:rsid w:val="00313ADA"/>
    <w:rsid w:val="00313AF0"/>
    <w:rsid w:val="00313B9F"/>
    <w:rsid w:val="00314BFB"/>
    <w:rsid w:val="00315AB0"/>
    <w:rsid w:val="00316904"/>
    <w:rsid w:val="003177F8"/>
    <w:rsid w:val="00320E9C"/>
    <w:rsid w:val="00323374"/>
    <w:rsid w:val="003239B9"/>
    <w:rsid w:val="00324A0C"/>
    <w:rsid w:val="00325CA4"/>
    <w:rsid w:val="00326060"/>
    <w:rsid w:val="003266AE"/>
    <w:rsid w:val="00330691"/>
    <w:rsid w:val="00330809"/>
    <w:rsid w:val="00330B89"/>
    <w:rsid w:val="00330EBA"/>
    <w:rsid w:val="003327B6"/>
    <w:rsid w:val="003327C1"/>
    <w:rsid w:val="00332B23"/>
    <w:rsid w:val="00332CAD"/>
    <w:rsid w:val="003336A1"/>
    <w:rsid w:val="00335C1E"/>
    <w:rsid w:val="00340846"/>
    <w:rsid w:val="00340B5F"/>
    <w:rsid w:val="00341E5B"/>
    <w:rsid w:val="00342042"/>
    <w:rsid w:val="003420B1"/>
    <w:rsid w:val="00342240"/>
    <w:rsid w:val="00344E52"/>
    <w:rsid w:val="003464B4"/>
    <w:rsid w:val="003479FF"/>
    <w:rsid w:val="00352171"/>
    <w:rsid w:val="003528ED"/>
    <w:rsid w:val="003530DB"/>
    <w:rsid w:val="00353C6A"/>
    <w:rsid w:val="00354080"/>
    <w:rsid w:val="00355751"/>
    <w:rsid w:val="003571E9"/>
    <w:rsid w:val="003636FD"/>
    <w:rsid w:val="0036478C"/>
    <w:rsid w:val="0037057F"/>
    <w:rsid w:val="003708F4"/>
    <w:rsid w:val="00370BEB"/>
    <w:rsid w:val="00370EBB"/>
    <w:rsid w:val="00373B3E"/>
    <w:rsid w:val="00375D07"/>
    <w:rsid w:val="00375D63"/>
    <w:rsid w:val="00377375"/>
    <w:rsid w:val="00380C67"/>
    <w:rsid w:val="003810F5"/>
    <w:rsid w:val="00382A92"/>
    <w:rsid w:val="00383790"/>
    <w:rsid w:val="00390E96"/>
    <w:rsid w:val="00392D8F"/>
    <w:rsid w:val="00393BF5"/>
    <w:rsid w:val="003975AF"/>
    <w:rsid w:val="00397B3B"/>
    <w:rsid w:val="003A513C"/>
    <w:rsid w:val="003A5438"/>
    <w:rsid w:val="003A54FE"/>
    <w:rsid w:val="003A5796"/>
    <w:rsid w:val="003A599A"/>
    <w:rsid w:val="003A5FEF"/>
    <w:rsid w:val="003A6715"/>
    <w:rsid w:val="003A7B31"/>
    <w:rsid w:val="003B1098"/>
    <w:rsid w:val="003B23D6"/>
    <w:rsid w:val="003B27D1"/>
    <w:rsid w:val="003B3975"/>
    <w:rsid w:val="003B4052"/>
    <w:rsid w:val="003C1276"/>
    <w:rsid w:val="003C16EF"/>
    <w:rsid w:val="003C1DC1"/>
    <w:rsid w:val="003C208F"/>
    <w:rsid w:val="003C3969"/>
    <w:rsid w:val="003C4009"/>
    <w:rsid w:val="003C47F1"/>
    <w:rsid w:val="003C4B4B"/>
    <w:rsid w:val="003C4E7A"/>
    <w:rsid w:val="003C5E59"/>
    <w:rsid w:val="003C678C"/>
    <w:rsid w:val="003C7F03"/>
    <w:rsid w:val="003D2FA7"/>
    <w:rsid w:val="003D362D"/>
    <w:rsid w:val="003D3632"/>
    <w:rsid w:val="003D36D4"/>
    <w:rsid w:val="003D51A8"/>
    <w:rsid w:val="003D6371"/>
    <w:rsid w:val="003D76CB"/>
    <w:rsid w:val="003D78FD"/>
    <w:rsid w:val="003E00DE"/>
    <w:rsid w:val="003E242C"/>
    <w:rsid w:val="003E4B6C"/>
    <w:rsid w:val="003E5832"/>
    <w:rsid w:val="003E59F8"/>
    <w:rsid w:val="003E63E4"/>
    <w:rsid w:val="003E6FB1"/>
    <w:rsid w:val="003E74CF"/>
    <w:rsid w:val="003F293D"/>
    <w:rsid w:val="003F3E70"/>
    <w:rsid w:val="003F4AFD"/>
    <w:rsid w:val="003F6379"/>
    <w:rsid w:val="003F6F4A"/>
    <w:rsid w:val="003F7FB4"/>
    <w:rsid w:val="004001BD"/>
    <w:rsid w:val="00400EEA"/>
    <w:rsid w:val="00401BD3"/>
    <w:rsid w:val="00401D3F"/>
    <w:rsid w:val="004044B2"/>
    <w:rsid w:val="004064C1"/>
    <w:rsid w:val="00406D75"/>
    <w:rsid w:val="00407B8C"/>
    <w:rsid w:val="004105BD"/>
    <w:rsid w:val="00411881"/>
    <w:rsid w:val="00411F71"/>
    <w:rsid w:val="00412937"/>
    <w:rsid w:val="00412EA8"/>
    <w:rsid w:val="00413BFB"/>
    <w:rsid w:val="00415C25"/>
    <w:rsid w:val="004160BB"/>
    <w:rsid w:val="00417EFF"/>
    <w:rsid w:val="004216DF"/>
    <w:rsid w:val="004217E0"/>
    <w:rsid w:val="00423A90"/>
    <w:rsid w:val="00423CB2"/>
    <w:rsid w:val="004241A2"/>
    <w:rsid w:val="00424CC5"/>
    <w:rsid w:val="00425CBF"/>
    <w:rsid w:val="0042685C"/>
    <w:rsid w:val="00427419"/>
    <w:rsid w:val="004313C3"/>
    <w:rsid w:val="0043231E"/>
    <w:rsid w:val="0043350D"/>
    <w:rsid w:val="00433B0A"/>
    <w:rsid w:val="0043597F"/>
    <w:rsid w:val="00435B77"/>
    <w:rsid w:val="00435BE2"/>
    <w:rsid w:val="004374D4"/>
    <w:rsid w:val="004377CC"/>
    <w:rsid w:val="00440186"/>
    <w:rsid w:val="00440749"/>
    <w:rsid w:val="004455EB"/>
    <w:rsid w:val="00446B39"/>
    <w:rsid w:val="00450EE4"/>
    <w:rsid w:val="004521D9"/>
    <w:rsid w:val="00452D9E"/>
    <w:rsid w:val="00454838"/>
    <w:rsid w:val="00456453"/>
    <w:rsid w:val="00457B8B"/>
    <w:rsid w:val="004612F6"/>
    <w:rsid w:val="00462FF5"/>
    <w:rsid w:val="00463EF9"/>
    <w:rsid w:val="00464391"/>
    <w:rsid w:val="004665C5"/>
    <w:rsid w:val="00471A32"/>
    <w:rsid w:val="004759E9"/>
    <w:rsid w:val="00475D1C"/>
    <w:rsid w:val="00475FB7"/>
    <w:rsid w:val="00476729"/>
    <w:rsid w:val="00476FD4"/>
    <w:rsid w:val="004776CD"/>
    <w:rsid w:val="00480507"/>
    <w:rsid w:val="00480950"/>
    <w:rsid w:val="00481FA7"/>
    <w:rsid w:val="00487C78"/>
    <w:rsid w:val="004933FF"/>
    <w:rsid w:val="004948EA"/>
    <w:rsid w:val="0049517F"/>
    <w:rsid w:val="004957D8"/>
    <w:rsid w:val="004A0DBF"/>
    <w:rsid w:val="004A21E6"/>
    <w:rsid w:val="004A3038"/>
    <w:rsid w:val="004A5087"/>
    <w:rsid w:val="004A616E"/>
    <w:rsid w:val="004A6233"/>
    <w:rsid w:val="004A7061"/>
    <w:rsid w:val="004A7CA2"/>
    <w:rsid w:val="004B1E46"/>
    <w:rsid w:val="004B27F1"/>
    <w:rsid w:val="004B4DCE"/>
    <w:rsid w:val="004B6426"/>
    <w:rsid w:val="004B674A"/>
    <w:rsid w:val="004C3968"/>
    <w:rsid w:val="004C4AFE"/>
    <w:rsid w:val="004D2205"/>
    <w:rsid w:val="004D5C21"/>
    <w:rsid w:val="004D5EFF"/>
    <w:rsid w:val="004E0065"/>
    <w:rsid w:val="004E31F8"/>
    <w:rsid w:val="004E39F4"/>
    <w:rsid w:val="004E51D7"/>
    <w:rsid w:val="004E5A01"/>
    <w:rsid w:val="004E6250"/>
    <w:rsid w:val="004E6832"/>
    <w:rsid w:val="004F1D65"/>
    <w:rsid w:val="004F2197"/>
    <w:rsid w:val="004F3205"/>
    <w:rsid w:val="004F62F0"/>
    <w:rsid w:val="004F79B2"/>
    <w:rsid w:val="00504331"/>
    <w:rsid w:val="00505386"/>
    <w:rsid w:val="00506DC1"/>
    <w:rsid w:val="00507159"/>
    <w:rsid w:val="005075B1"/>
    <w:rsid w:val="00507836"/>
    <w:rsid w:val="00510768"/>
    <w:rsid w:val="00512763"/>
    <w:rsid w:val="005129EF"/>
    <w:rsid w:val="005135DE"/>
    <w:rsid w:val="005142CA"/>
    <w:rsid w:val="00514A83"/>
    <w:rsid w:val="005237AD"/>
    <w:rsid w:val="00524037"/>
    <w:rsid w:val="00524568"/>
    <w:rsid w:val="005276C8"/>
    <w:rsid w:val="00530FC9"/>
    <w:rsid w:val="00531892"/>
    <w:rsid w:val="0053189B"/>
    <w:rsid w:val="00532848"/>
    <w:rsid w:val="00532F0C"/>
    <w:rsid w:val="00534494"/>
    <w:rsid w:val="005347D9"/>
    <w:rsid w:val="005351BB"/>
    <w:rsid w:val="00535F58"/>
    <w:rsid w:val="00540F03"/>
    <w:rsid w:val="00543347"/>
    <w:rsid w:val="005446F6"/>
    <w:rsid w:val="005447DE"/>
    <w:rsid w:val="00545ACE"/>
    <w:rsid w:val="005504DA"/>
    <w:rsid w:val="00551511"/>
    <w:rsid w:val="0055169E"/>
    <w:rsid w:val="0055502F"/>
    <w:rsid w:val="0055614F"/>
    <w:rsid w:val="00556B7E"/>
    <w:rsid w:val="005579B7"/>
    <w:rsid w:val="0056268E"/>
    <w:rsid w:val="00562BDF"/>
    <w:rsid w:val="00562F9B"/>
    <w:rsid w:val="0056335F"/>
    <w:rsid w:val="00564AC5"/>
    <w:rsid w:val="00565C74"/>
    <w:rsid w:val="005710C5"/>
    <w:rsid w:val="00572BC0"/>
    <w:rsid w:val="00573352"/>
    <w:rsid w:val="00573EE0"/>
    <w:rsid w:val="00575E98"/>
    <w:rsid w:val="005760ED"/>
    <w:rsid w:val="00576BA8"/>
    <w:rsid w:val="00580935"/>
    <w:rsid w:val="00580ABD"/>
    <w:rsid w:val="00580AD7"/>
    <w:rsid w:val="00580E8F"/>
    <w:rsid w:val="00582732"/>
    <w:rsid w:val="0058395F"/>
    <w:rsid w:val="005872DE"/>
    <w:rsid w:val="00590675"/>
    <w:rsid w:val="00592CEB"/>
    <w:rsid w:val="00593C2F"/>
    <w:rsid w:val="00593F72"/>
    <w:rsid w:val="00594249"/>
    <w:rsid w:val="005973BE"/>
    <w:rsid w:val="005A1794"/>
    <w:rsid w:val="005A1BB2"/>
    <w:rsid w:val="005A1C98"/>
    <w:rsid w:val="005A25E8"/>
    <w:rsid w:val="005A3494"/>
    <w:rsid w:val="005A51CA"/>
    <w:rsid w:val="005A58D1"/>
    <w:rsid w:val="005A7EBD"/>
    <w:rsid w:val="005B3415"/>
    <w:rsid w:val="005B51D4"/>
    <w:rsid w:val="005B5974"/>
    <w:rsid w:val="005B6282"/>
    <w:rsid w:val="005C06AD"/>
    <w:rsid w:val="005C0BAD"/>
    <w:rsid w:val="005C3B7E"/>
    <w:rsid w:val="005C58F5"/>
    <w:rsid w:val="005C5992"/>
    <w:rsid w:val="005C5D5C"/>
    <w:rsid w:val="005C62DB"/>
    <w:rsid w:val="005C66B6"/>
    <w:rsid w:val="005C68D9"/>
    <w:rsid w:val="005D3637"/>
    <w:rsid w:val="005D3EA5"/>
    <w:rsid w:val="005D4130"/>
    <w:rsid w:val="005D4475"/>
    <w:rsid w:val="005D5455"/>
    <w:rsid w:val="005D591A"/>
    <w:rsid w:val="005D71DE"/>
    <w:rsid w:val="005D7895"/>
    <w:rsid w:val="005E1A90"/>
    <w:rsid w:val="005E1BBE"/>
    <w:rsid w:val="005E224E"/>
    <w:rsid w:val="005E2911"/>
    <w:rsid w:val="005E3173"/>
    <w:rsid w:val="005E382A"/>
    <w:rsid w:val="005E55CC"/>
    <w:rsid w:val="005E6470"/>
    <w:rsid w:val="005E7B39"/>
    <w:rsid w:val="005F0927"/>
    <w:rsid w:val="005F159D"/>
    <w:rsid w:val="005F1AA9"/>
    <w:rsid w:val="005F25D3"/>
    <w:rsid w:val="005F389B"/>
    <w:rsid w:val="0060017B"/>
    <w:rsid w:val="00600E09"/>
    <w:rsid w:val="00603142"/>
    <w:rsid w:val="00603A8F"/>
    <w:rsid w:val="0060534B"/>
    <w:rsid w:val="0060564E"/>
    <w:rsid w:val="00606913"/>
    <w:rsid w:val="00606973"/>
    <w:rsid w:val="00606DC8"/>
    <w:rsid w:val="00606F92"/>
    <w:rsid w:val="0061010E"/>
    <w:rsid w:val="006109CF"/>
    <w:rsid w:val="00610D49"/>
    <w:rsid w:val="006114B3"/>
    <w:rsid w:val="006119EB"/>
    <w:rsid w:val="0061213F"/>
    <w:rsid w:val="00612190"/>
    <w:rsid w:val="00612710"/>
    <w:rsid w:val="0061471C"/>
    <w:rsid w:val="00617C2B"/>
    <w:rsid w:val="00620499"/>
    <w:rsid w:val="006221C3"/>
    <w:rsid w:val="006223E8"/>
    <w:rsid w:val="00623E08"/>
    <w:rsid w:val="006309D5"/>
    <w:rsid w:val="00630B06"/>
    <w:rsid w:val="00631C05"/>
    <w:rsid w:val="00631E1F"/>
    <w:rsid w:val="00633320"/>
    <w:rsid w:val="00634738"/>
    <w:rsid w:val="006352DE"/>
    <w:rsid w:val="006356E9"/>
    <w:rsid w:val="00635DBC"/>
    <w:rsid w:val="00640126"/>
    <w:rsid w:val="00640F1E"/>
    <w:rsid w:val="0064480A"/>
    <w:rsid w:val="0064504E"/>
    <w:rsid w:val="00645BF9"/>
    <w:rsid w:val="00647A08"/>
    <w:rsid w:val="00651978"/>
    <w:rsid w:val="00652815"/>
    <w:rsid w:val="0065363D"/>
    <w:rsid w:val="006540AB"/>
    <w:rsid w:val="006546F7"/>
    <w:rsid w:val="006550DC"/>
    <w:rsid w:val="00657CC4"/>
    <w:rsid w:val="00657E6C"/>
    <w:rsid w:val="00660438"/>
    <w:rsid w:val="0066125A"/>
    <w:rsid w:val="006625FB"/>
    <w:rsid w:val="006657F9"/>
    <w:rsid w:val="00665B6D"/>
    <w:rsid w:val="00667007"/>
    <w:rsid w:val="00670DB1"/>
    <w:rsid w:val="006710DA"/>
    <w:rsid w:val="00671640"/>
    <w:rsid w:val="00671AE5"/>
    <w:rsid w:val="00672417"/>
    <w:rsid w:val="006725B0"/>
    <w:rsid w:val="00674F27"/>
    <w:rsid w:val="00675A2F"/>
    <w:rsid w:val="00677598"/>
    <w:rsid w:val="00677F03"/>
    <w:rsid w:val="00680BE9"/>
    <w:rsid w:val="0068329E"/>
    <w:rsid w:val="00684611"/>
    <w:rsid w:val="0068767E"/>
    <w:rsid w:val="00687CEE"/>
    <w:rsid w:val="00687D19"/>
    <w:rsid w:val="006905A2"/>
    <w:rsid w:val="006922BD"/>
    <w:rsid w:val="00693393"/>
    <w:rsid w:val="00696BD4"/>
    <w:rsid w:val="006A0C7D"/>
    <w:rsid w:val="006A0DD1"/>
    <w:rsid w:val="006A1A74"/>
    <w:rsid w:val="006A3894"/>
    <w:rsid w:val="006A4DAA"/>
    <w:rsid w:val="006A7183"/>
    <w:rsid w:val="006A7748"/>
    <w:rsid w:val="006B0F90"/>
    <w:rsid w:val="006B1040"/>
    <w:rsid w:val="006B4839"/>
    <w:rsid w:val="006B4E2D"/>
    <w:rsid w:val="006B4E66"/>
    <w:rsid w:val="006B66D3"/>
    <w:rsid w:val="006B683D"/>
    <w:rsid w:val="006B75FE"/>
    <w:rsid w:val="006B765B"/>
    <w:rsid w:val="006C00EC"/>
    <w:rsid w:val="006C0152"/>
    <w:rsid w:val="006C0BFE"/>
    <w:rsid w:val="006C250E"/>
    <w:rsid w:val="006C472B"/>
    <w:rsid w:val="006C56F6"/>
    <w:rsid w:val="006C6687"/>
    <w:rsid w:val="006C7CAE"/>
    <w:rsid w:val="006D0725"/>
    <w:rsid w:val="006D1624"/>
    <w:rsid w:val="006D18F7"/>
    <w:rsid w:val="006D2015"/>
    <w:rsid w:val="006D2B2A"/>
    <w:rsid w:val="006D3E9E"/>
    <w:rsid w:val="006E16B1"/>
    <w:rsid w:val="006E2A7C"/>
    <w:rsid w:val="006E2D7F"/>
    <w:rsid w:val="006E2DE8"/>
    <w:rsid w:val="006E60EC"/>
    <w:rsid w:val="006E61A0"/>
    <w:rsid w:val="006E6E89"/>
    <w:rsid w:val="006E78E5"/>
    <w:rsid w:val="006F0910"/>
    <w:rsid w:val="006F2A9E"/>
    <w:rsid w:val="006F2D05"/>
    <w:rsid w:val="006F399F"/>
    <w:rsid w:val="006F3A3C"/>
    <w:rsid w:val="006F5FCC"/>
    <w:rsid w:val="006F697D"/>
    <w:rsid w:val="006F77B3"/>
    <w:rsid w:val="00700E58"/>
    <w:rsid w:val="00702409"/>
    <w:rsid w:val="00702878"/>
    <w:rsid w:val="00702B11"/>
    <w:rsid w:val="00706CA4"/>
    <w:rsid w:val="00707B64"/>
    <w:rsid w:val="00710F7F"/>
    <w:rsid w:val="0071108E"/>
    <w:rsid w:val="0071601E"/>
    <w:rsid w:val="0071769D"/>
    <w:rsid w:val="00717BBE"/>
    <w:rsid w:val="00721E4C"/>
    <w:rsid w:val="007222C7"/>
    <w:rsid w:val="00723383"/>
    <w:rsid w:val="0072441C"/>
    <w:rsid w:val="00724865"/>
    <w:rsid w:val="007320CF"/>
    <w:rsid w:val="00732179"/>
    <w:rsid w:val="00735A12"/>
    <w:rsid w:val="00736F3A"/>
    <w:rsid w:val="007407B9"/>
    <w:rsid w:val="00741605"/>
    <w:rsid w:val="00744286"/>
    <w:rsid w:val="00744CB3"/>
    <w:rsid w:val="0074522D"/>
    <w:rsid w:val="00746663"/>
    <w:rsid w:val="007466F7"/>
    <w:rsid w:val="00747450"/>
    <w:rsid w:val="00751C1C"/>
    <w:rsid w:val="00751E6C"/>
    <w:rsid w:val="007540FF"/>
    <w:rsid w:val="00754860"/>
    <w:rsid w:val="00754CDB"/>
    <w:rsid w:val="0075528C"/>
    <w:rsid w:val="00755B13"/>
    <w:rsid w:val="0076451D"/>
    <w:rsid w:val="00765413"/>
    <w:rsid w:val="007660E7"/>
    <w:rsid w:val="00773986"/>
    <w:rsid w:val="007748C9"/>
    <w:rsid w:val="007759BC"/>
    <w:rsid w:val="00775B18"/>
    <w:rsid w:val="00775FEC"/>
    <w:rsid w:val="00776BB8"/>
    <w:rsid w:val="00780254"/>
    <w:rsid w:val="0078028B"/>
    <w:rsid w:val="00782927"/>
    <w:rsid w:val="00785190"/>
    <w:rsid w:val="0078587C"/>
    <w:rsid w:val="00790885"/>
    <w:rsid w:val="00792343"/>
    <w:rsid w:val="00793E7C"/>
    <w:rsid w:val="00793FB0"/>
    <w:rsid w:val="00794E34"/>
    <w:rsid w:val="00794F02"/>
    <w:rsid w:val="007A07E3"/>
    <w:rsid w:val="007A2677"/>
    <w:rsid w:val="007A3A46"/>
    <w:rsid w:val="007A42B8"/>
    <w:rsid w:val="007A4728"/>
    <w:rsid w:val="007A7D5C"/>
    <w:rsid w:val="007B0F81"/>
    <w:rsid w:val="007B25F0"/>
    <w:rsid w:val="007B5C16"/>
    <w:rsid w:val="007B69E4"/>
    <w:rsid w:val="007C3B38"/>
    <w:rsid w:val="007C3F02"/>
    <w:rsid w:val="007C4C9E"/>
    <w:rsid w:val="007C608A"/>
    <w:rsid w:val="007C6A00"/>
    <w:rsid w:val="007C7189"/>
    <w:rsid w:val="007D378B"/>
    <w:rsid w:val="007D5CB5"/>
    <w:rsid w:val="007D6DDF"/>
    <w:rsid w:val="007D7286"/>
    <w:rsid w:val="007D7A86"/>
    <w:rsid w:val="007E06F8"/>
    <w:rsid w:val="007E284A"/>
    <w:rsid w:val="007E38C4"/>
    <w:rsid w:val="007E3C1C"/>
    <w:rsid w:val="007E4E28"/>
    <w:rsid w:val="007E4EF7"/>
    <w:rsid w:val="007E671E"/>
    <w:rsid w:val="007E7AE5"/>
    <w:rsid w:val="007F0B86"/>
    <w:rsid w:val="007F0CC8"/>
    <w:rsid w:val="007F0F16"/>
    <w:rsid w:val="007F1D8B"/>
    <w:rsid w:val="007F1F67"/>
    <w:rsid w:val="007F345E"/>
    <w:rsid w:val="007F4E40"/>
    <w:rsid w:val="007F5A53"/>
    <w:rsid w:val="007F63EE"/>
    <w:rsid w:val="007F6622"/>
    <w:rsid w:val="007F69E0"/>
    <w:rsid w:val="007F7559"/>
    <w:rsid w:val="007F7970"/>
    <w:rsid w:val="00800D19"/>
    <w:rsid w:val="00805546"/>
    <w:rsid w:val="00806C2B"/>
    <w:rsid w:val="00810BA2"/>
    <w:rsid w:val="00816E68"/>
    <w:rsid w:val="00817037"/>
    <w:rsid w:val="00817603"/>
    <w:rsid w:val="008213D2"/>
    <w:rsid w:val="00822FA8"/>
    <w:rsid w:val="008244F1"/>
    <w:rsid w:val="008309CE"/>
    <w:rsid w:val="0083103B"/>
    <w:rsid w:val="0083361E"/>
    <w:rsid w:val="008346EA"/>
    <w:rsid w:val="00835D61"/>
    <w:rsid w:val="00840B82"/>
    <w:rsid w:val="00845B61"/>
    <w:rsid w:val="00847854"/>
    <w:rsid w:val="0085628B"/>
    <w:rsid w:val="00856CE8"/>
    <w:rsid w:val="00857084"/>
    <w:rsid w:val="00857262"/>
    <w:rsid w:val="008573AA"/>
    <w:rsid w:val="00857434"/>
    <w:rsid w:val="00860A80"/>
    <w:rsid w:val="00863155"/>
    <w:rsid w:val="00864183"/>
    <w:rsid w:val="00864C0B"/>
    <w:rsid w:val="0086649A"/>
    <w:rsid w:val="00866AB7"/>
    <w:rsid w:val="0086736C"/>
    <w:rsid w:val="00874630"/>
    <w:rsid w:val="0087488D"/>
    <w:rsid w:val="0087646E"/>
    <w:rsid w:val="008765EF"/>
    <w:rsid w:val="00876AD9"/>
    <w:rsid w:val="008775A0"/>
    <w:rsid w:val="00877CFF"/>
    <w:rsid w:val="00882720"/>
    <w:rsid w:val="008828E2"/>
    <w:rsid w:val="00882AD6"/>
    <w:rsid w:val="00883F0B"/>
    <w:rsid w:val="00884AD1"/>
    <w:rsid w:val="00885EC0"/>
    <w:rsid w:val="00885EF3"/>
    <w:rsid w:val="00885FC0"/>
    <w:rsid w:val="008868B3"/>
    <w:rsid w:val="00887510"/>
    <w:rsid w:val="008877E1"/>
    <w:rsid w:val="00887C53"/>
    <w:rsid w:val="008931E2"/>
    <w:rsid w:val="00893FCA"/>
    <w:rsid w:val="00895581"/>
    <w:rsid w:val="0089631D"/>
    <w:rsid w:val="008A2B4B"/>
    <w:rsid w:val="008A305F"/>
    <w:rsid w:val="008A4F18"/>
    <w:rsid w:val="008A573B"/>
    <w:rsid w:val="008A59B3"/>
    <w:rsid w:val="008A6674"/>
    <w:rsid w:val="008A7331"/>
    <w:rsid w:val="008B4942"/>
    <w:rsid w:val="008B5A45"/>
    <w:rsid w:val="008B5EF0"/>
    <w:rsid w:val="008B5FFB"/>
    <w:rsid w:val="008B7284"/>
    <w:rsid w:val="008B7CBA"/>
    <w:rsid w:val="008C31D6"/>
    <w:rsid w:val="008C3FBB"/>
    <w:rsid w:val="008D058E"/>
    <w:rsid w:val="008D10AD"/>
    <w:rsid w:val="008D2F6C"/>
    <w:rsid w:val="008D5088"/>
    <w:rsid w:val="008D561B"/>
    <w:rsid w:val="008D5757"/>
    <w:rsid w:val="008D645C"/>
    <w:rsid w:val="008D79BF"/>
    <w:rsid w:val="008E149A"/>
    <w:rsid w:val="008E1757"/>
    <w:rsid w:val="008E6724"/>
    <w:rsid w:val="008F0E57"/>
    <w:rsid w:val="008F2C49"/>
    <w:rsid w:val="008F344B"/>
    <w:rsid w:val="008F3D94"/>
    <w:rsid w:val="008F678D"/>
    <w:rsid w:val="00903B21"/>
    <w:rsid w:val="00903B70"/>
    <w:rsid w:val="00906B9B"/>
    <w:rsid w:val="0090726B"/>
    <w:rsid w:val="00913D8F"/>
    <w:rsid w:val="00914EE9"/>
    <w:rsid w:val="0091525E"/>
    <w:rsid w:val="00916490"/>
    <w:rsid w:val="0091666F"/>
    <w:rsid w:val="009174D5"/>
    <w:rsid w:val="0092239D"/>
    <w:rsid w:val="009234F7"/>
    <w:rsid w:val="00925168"/>
    <w:rsid w:val="0092556D"/>
    <w:rsid w:val="00927434"/>
    <w:rsid w:val="009323E0"/>
    <w:rsid w:val="00933D2A"/>
    <w:rsid w:val="009354C4"/>
    <w:rsid w:val="00935EC3"/>
    <w:rsid w:val="00937E86"/>
    <w:rsid w:val="0094007C"/>
    <w:rsid w:val="0094067A"/>
    <w:rsid w:val="00941E5C"/>
    <w:rsid w:val="009425C6"/>
    <w:rsid w:val="0094377E"/>
    <w:rsid w:val="0094415C"/>
    <w:rsid w:val="009446AE"/>
    <w:rsid w:val="00946B16"/>
    <w:rsid w:val="00946B1B"/>
    <w:rsid w:val="009508BE"/>
    <w:rsid w:val="00951599"/>
    <w:rsid w:val="009515E9"/>
    <w:rsid w:val="00952898"/>
    <w:rsid w:val="0095303E"/>
    <w:rsid w:val="00953566"/>
    <w:rsid w:val="009547C0"/>
    <w:rsid w:val="0095747C"/>
    <w:rsid w:val="00961D76"/>
    <w:rsid w:val="00963016"/>
    <w:rsid w:val="009637FF"/>
    <w:rsid w:val="0096449A"/>
    <w:rsid w:val="009649FB"/>
    <w:rsid w:val="00964B5C"/>
    <w:rsid w:val="00964FE3"/>
    <w:rsid w:val="009664FB"/>
    <w:rsid w:val="00966A75"/>
    <w:rsid w:val="00967FBB"/>
    <w:rsid w:val="0097057B"/>
    <w:rsid w:val="009705CA"/>
    <w:rsid w:val="00971215"/>
    <w:rsid w:val="00973002"/>
    <w:rsid w:val="00974096"/>
    <w:rsid w:val="00975101"/>
    <w:rsid w:val="00975273"/>
    <w:rsid w:val="00975322"/>
    <w:rsid w:val="00975A4F"/>
    <w:rsid w:val="00975F71"/>
    <w:rsid w:val="00980DD3"/>
    <w:rsid w:val="009821AD"/>
    <w:rsid w:val="00982CCD"/>
    <w:rsid w:val="0098438D"/>
    <w:rsid w:val="00984F31"/>
    <w:rsid w:val="00985D94"/>
    <w:rsid w:val="009861C6"/>
    <w:rsid w:val="00986BF8"/>
    <w:rsid w:val="00990008"/>
    <w:rsid w:val="0099083E"/>
    <w:rsid w:val="00997029"/>
    <w:rsid w:val="009A0400"/>
    <w:rsid w:val="009A0449"/>
    <w:rsid w:val="009A2A7B"/>
    <w:rsid w:val="009A4E73"/>
    <w:rsid w:val="009A59DB"/>
    <w:rsid w:val="009A646E"/>
    <w:rsid w:val="009A6811"/>
    <w:rsid w:val="009A7887"/>
    <w:rsid w:val="009B04B4"/>
    <w:rsid w:val="009B0688"/>
    <w:rsid w:val="009B1CDB"/>
    <w:rsid w:val="009B2198"/>
    <w:rsid w:val="009B22FF"/>
    <w:rsid w:val="009B2BDC"/>
    <w:rsid w:val="009B397D"/>
    <w:rsid w:val="009B3F45"/>
    <w:rsid w:val="009B4AA2"/>
    <w:rsid w:val="009B4C00"/>
    <w:rsid w:val="009B5E3F"/>
    <w:rsid w:val="009B622F"/>
    <w:rsid w:val="009B6258"/>
    <w:rsid w:val="009B6282"/>
    <w:rsid w:val="009B6AC8"/>
    <w:rsid w:val="009C0C10"/>
    <w:rsid w:val="009C10F1"/>
    <w:rsid w:val="009C2ABF"/>
    <w:rsid w:val="009C44BE"/>
    <w:rsid w:val="009C4E88"/>
    <w:rsid w:val="009C77F8"/>
    <w:rsid w:val="009C7F25"/>
    <w:rsid w:val="009D0D61"/>
    <w:rsid w:val="009D11BE"/>
    <w:rsid w:val="009D24B1"/>
    <w:rsid w:val="009D371F"/>
    <w:rsid w:val="009D3CFB"/>
    <w:rsid w:val="009D45DD"/>
    <w:rsid w:val="009D50B2"/>
    <w:rsid w:val="009E1AAF"/>
    <w:rsid w:val="009E3589"/>
    <w:rsid w:val="009E5809"/>
    <w:rsid w:val="009E5C9E"/>
    <w:rsid w:val="009F1578"/>
    <w:rsid w:val="009F2C22"/>
    <w:rsid w:val="009F2EA7"/>
    <w:rsid w:val="009F40B8"/>
    <w:rsid w:val="009F44E2"/>
    <w:rsid w:val="009F4E25"/>
    <w:rsid w:val="009F634C"/>
    <w:rsid w:val="009F65D4"/>
    <w:rsid w:val="009F7302"/>
    <w:rsid w:val="00A002D4"/>
    <w:rsid w:val="00A00F6A"/>
    <w:rsid w:val="00A02174"/>
    <w:rsid w:val="00A02A5B"/>
    <w:rsid w:val="00A03D5F"/>
    <w:rsid w:val="00A04CDF"/>
    <w:rsid w:val="00A05D3E"/>
    <w:rsid w:val="00A13C39"/>
    <w:rsid w:val="00A157A0"/>
    <w:rsid w:val="00A15968"/>
    <w:rsid w:val="00A15C76"/>
    <w:rsid w:val="00A23AA6"/>
    <w:rsid w:val="00A241CC"/>
    <w:rsid w:val="00A344F0"/>
    <w:rsid w:val="00A3525A"/>
    <w:rsid w:val="00A373E1"/>
    <w:rsid w:val="00A377FF"/>
    <w:rsid w:val="00A37B67"/>
    <w:rsid w:val="00A40267"/>
    <w:rsid w:val="00A40450"/>
    <w:rsid w:val="00A409DE"/>
    <w:rsid w:val="00A43C70"/>
    <w:rsid w:val="00A44416"/>
    <w:rsid w:val="00A459D1"/>
    <w:rsid w:val="00A46343"/>
    <w:rsid w:val="00A52108"/>
    <w:rsid w:val="00A52828"/>
    <w:rsid w:val="00A52C66"/>
    <w:rsid w:val="00A55C97"/>
    <w:rsid w:val="00A56783"/>
    <w:rsid w:val="00A56B7D"/>
    <w:rsid w:val="00A6132E"/>
    <w:rsid w:val="00A61803"/>
    <w:rsid w:val="00A61CC7"/>
    <w:rsid w:val="00A61D04"/>
    <w:rsid w:val="00A61DEA"/>
    <w:rsid w:val="00A649DA"/>
    <w:rsid w:val="00A65AA5"/>
    <w:rsid w:val="00A66D29"/>
    <w:rsid w:val="00A6772B"/>
    <w:rsid w:val="00A7140A"/>
    <w:rsid w:val="00A7269B"/>
    <w:rsid w:val="00A72A65"/>
    <w:rsid w:val="00A73248"/>
    <w:rsid w:val="00A73813"/>
    <w:rsid w:val="00A73EB9"/>
    <w:rsid w:val="00A75A07"/>
    <w:rsid w:val="00A765A1"/>
    <w:rsid w:val="00A769B8"/>
    <w:rsid w:val="00A76CAF"/>
    <w:rsid w:val="00A80EB8"/>
    <w:rsid w:val="00A8197D"/>
    <w:rsid w:val="00A83CED"/>
    <w:rsid w:val="00A84884"/>
    <w:rsid w:val="00A92298"/>
    <w:rsid w:val="00A942A9"/>
    <w:rsid w:val="00A9457B"/>
    <w:rsid w:val="00A94B86"/>
    <w:rsid w:val="00A9614B"/>
    <w:rsid w:val="00A96FB2"/>
    <w:rsid w:val="00A976BA"/>
    <w:rsid w:val="00AA1820"/>
    <w:rsid w:val="00AA3947"/>
    <w:rsid w:val="00AA4504"/>
    <w:rsid w:val="00AA46F8"/>
    <w:rsid w:val="00AA5887"/>
    <w:rsid w:val="00AA5F50"/>
    <w:rsid w:val="00AA7002"/>
    <w:rsid w:val="00AB0B99"/>
    <w:rsid w:val="00AB2B3B"/>
    <w:rsid w:val="00AB2C58"/>
    <w:rsid w:val="00AB3D57"/>
    <w:rsid w:val="00AB5080"/>
    <w:rsid w:val="00AB7990"/>
    <w:rsid w:val="00AB7DE8"/>
    <w:rsid w:val="00AC0115"/>
    <w:rsid w:val="00AC02D3"/>
    <w:rsid w:val="00AC03E4"/>
    <w:rsid w:val="00AC1F9B"/>
    <w:rsid w:val="00AC4AFD"/>
    <w:rsid w:val="00AC5123"/>
    <w:rsid w:val="00AC6476"/>
    <w:rsid w:val="00AD02A1"/>
    <w:rsid w:val="00AD11C9"/>
    <w:rsid w:val="00AD1D46"/>
    <w:rsid w:val="00AD48C2"/>
    <w:rsid w:val="00AD717D"/>
    <w:rsid w:val="00AD71E8"/>
    <w:rsid w:val="00AE34FD"/>
    <w:rsid w:val="00AE45F7"/>
    <w:rsid w:val="00AE4A60"/>
    <w:rsid w:val="00AE4EAE"/>
    <w:rsid w:val="00AE5327"/>
    <w:rsid w:val="00AF39B3"/>
    <w:rsid w:val="00AF420A"/>
    <w:rsid w:val="00AF4C2A"/>
    <w:rsid w:val="00AF4F20"/>
    <w:rsid w:val="00AF56C1"/>
    <w:rsid w:val="00AF5831"/>
    <w:rsid w:val="00AF65C0"/>
    <w:rsid w:val="00AF6923"/>
    <w:rsid w:val="00AF75C6"/>
    <w:rsid w:val="00B010B9"/>
    <w:rsid w:val="00B02A05"/>
    <w:rsid w:val="00B02FFC"/>
    <w:rsid w:val="00B03E22"/>
    <w:rsid w:val="00B042C2"/>
    <w:rsid w:val="00B04B2D"/>
    <w:rsid w:val="00B052A0"/>
    <w:rsid w:val="00B10C31"/>
    <w:rsid w:val="00B14FDE"/>
    <w:rsid w:val="00B164D8"/>
    <w:rsid w:val="00B2059B"/>
    <w:rsid w:val="00B20A0A"/>
    <w:rsid w:val="00B20FDB"/>
    <w:rsid w:val="00B25440"/>
    <w:rsid w:val="00B26539"/>
    <w:rsid w:val="00B26FA8"/>
    <w:rsid w:val="00B27406"/>
    <w:rsid w:val="00B3157F"/>
    <w:rsid w:val="00B318EE"/>
    <w:rsid w:val="00B352C3"/>
    <w:rsid w:val="00B35A31"/>
    <w:rsid w:val="00B35BA9"/>
    <w:rsid w:val="00B35F76"/>
    <w:rsid w:val="00B41419"/>
    <w:rsid w:val="00B41F4D"/>
    <w:rsid w:val="00B43801"/>
    <w:rsid w:val="00B440A2"/>
    <w:rsid w:val="00B45147"/>
    <w:rsid w:val="00B46FDF"/>
    <w:rsid w:val="00B500C8"/>
    <w:rsid w:val="00B50D02"/>
    <w:rsid w:val="00B530D8"/>
    <w:rsid w:val="00B56216"/>
    <w:rsid w:val="00B60148"/>
    <w:rsid w:val="00B60EDC"/>
    <w:rsid w:val="00B6181B"/>
    <w:rsid w:val="00B65A85"/>
    <w:rsid w:val="00B66631"/>
    <w:rsid w:val="00B67DDF"/>
    <w:rsid w:val="00B71A56"/>
    <w:rsid w:val="00B74233"/>
    <w:rsid w:val="00B754C7"/>
    <w:rsid w:val="00B76534"/>
    <w:rsid w:val="00B8068E"/>
    <w:rsid w:val="00B816CF"/>
    <w:rsid w:val="00B842A3"/>
    <w:rsid w:val="00B84EE5"/>
    <w:rsid w:val="00B84FF9"/>
    <w:rsid w:val="00B8543F"/>
    <w:rsid w:val="00B85DC2"/>
    <w:rsid w:val="00B876B4"/>
    <w:rsid w:val="00B90181"/>
    <w:rsid w:val="00B93C01"/>
    <w:rsid w:val="00B94C16"/>
    <w:rsid w:val="00B94E97"/>
    <w:rsid w:val="00B952AD"/>
    <w:rsid w:val="00B95A25"/>
    <w:rsid w:val="00BA08C7"/>
    <w:rsid w:val="00BA24EA"/>
    <w:rsid w:val="00BA7A60"/>
    <w:rsid w:val="00BB1EB9"/>
    <w:rsid w:val="00BC2896"/>
    <w:rsid w:val="00BC36C4"/>
    <w:rsid w:val="00BC4A90"/>
    <w:rsid w:val="00BD28C3"/>
    <w:rsid w:val="00BD3AD1"/>
    <w:rsid w:val="00BD5801"/>
    <w:rsid w:val="00BD59B2"/>
    <w:rsid w:val="00BD6664"/>
    <w:rsid w:val="00BD70B2"/>
    <w:rsid w:val="00BE087F"/>
    <w:rsid w:val="00BE0C12"/>
    <w:rsid w:val="00BE2296"/>
    <w:rsid w:val="00BE249D"/>
    <w:rsid w:val="00BE3D81"/>
    <w:rsid w:val="00BE542C"/>
    <w:rsid w:val="00BE5FCA"/>
    <w:rsid w:val="00BE73AE"/>
    <w:rsid w:val="00BF15B1"/>
    <w:rsid w:val="00BF1BAB"/>
    <w:rsid w:val="00BF3144"/>
    <w:rsid w:val="00BF7372"/>
    <w:rsid w:val="00BF7B65"/>
    <w:rsid w:val="00C028FE"/>
    <w:rsid w:val="00C04534"/>
    <w:rsid w:val="00C05AF2"/>
    <w:rsid w:val="00C0602B"/>
    <w:rsid w:val="00C0683A"/>
    <w:rsid w:val="00C11A64"/>
    <w:rsid w:val="00C11CCA"/>
    <w:rsid w:val="00C123C0"/>
    <w:rsid w:val="00C13BF9"/>
    <w:rsid w:val="00C143E3"/>
    <w:rsid w:val="00C154FE"/>
    <w:rsid w:val="00C167E3"/>
    <w:rsid w:val="00C167E7"/>
    <w:rsid w:val="00C20B50"/>
    <w:rsid w:val="00C22559"/>
    <w:rsid w:val="00C2294E"/>
    <w:rsid w:val="00C245DA"/>
    <w:rsid w:val="00C24631"/>
    <w:rsid w:val="00C247DA"/>
    <w:rsid w:val="00C30D72"/>
    <w:rsid w:val="00C31B56"/>
    <w:rsid w:val="00C329C6"/>
    <w:rsid w:val="00C34754"/>
    <w:rsid w:val="00C369A0"/>
    <w:rsid w:val="00C36E99"/>
    <w:rsid w:val="00C40DA9"/>
    <w:rsid w:val="00C41516"/>
    <w:rsid w:val="00C425FC"/>
    <w:rsid w:val="00C434E3"/>
    <w:rsid w:val="00C437B4"/>
    <w:rsid w:val="00C43DF4"/>
    <w:rsid w:val="00C46C85"/>
    <w:rsid w:val="00C53A7B"/>
    <w:rsid w:val="00C54252"/>
    <w:rsid w:val="00C54F50"/>
    <w:rsid w:val="00C55051"/>
    <w:rsid w:val="00C559C9"/>
    <w:rsid w:val="00C55CF7"/>
    <w:rsid w:val="00C5600E"/>
    <w:rsid w:val="00C56302"/>
    <w:rsid w:val="00C57174"/>
    <w:rsid w:val="00C61061"/>
    <w:rsid w:val="00C61AB8"/>
    <w:rsid w:val="00C62384"/>
    <w:rsid w:val="00C629DF"/>
    <w:rsid w:val="00C63F11"/>
    <w:rsid w:val="00C64AB9"/>
    <w:rsid w:val="00C66CD0"/>
    <w:rsid w:val="00C67EC3"/>
    <w:rsid w:val="00C70133"/>
    <w:rsid w:val="00C70E10"/>
    <w:rsid w:val="00C714F6"/>
    <w:rsid w:val="00C74201"/>
    <w:rsid w:val="00C74528"/>
    <w:rsid w:val="00C77BCD"/>
    <w:rsid w:val="00C77C71"/>
    <w:rsid w:val="00C8204D"/>
    <w:rsid w:val="00C84AAA"/>
    <w:rsid w:val="00C84D65"/>
    <w:rsid w:val="00C84FC2"/>
    <w:rsid w:val="00C91820"/>
    <w:rsid w:val="00C96B7C"/>
    <w:rsid w:val="00CA0111"/>
    <w:rsid w:val="00CA102D"/>
    <w:rsid w:val="00CA2290"/>
    <w:rsid w:val="00CA3595"/>
    <w:rsid w:val="00CA5516"/>
    <w:rsid w:val="00CA60B2"/>
    <w:rsid w:val="00CA6CFC"/>
    <w:rsid w:val="00CA6F67"/>
    <w:rsid w:val="00CA73B2"/>
    <w:rsid w:val="00CB0205"/>
    <w:rsid w:val="00CB1D8E"/>
    <w:rsid w:val="00CB1F2B"/>
    <w:rsid w:val="00CB51D5"/>
    <w:rsid w:val="00CB573B"/>
    <w:rsid w:val="00CB5CC3"/>
    <w:rsid w:val="00CB7A12"/>
    <w:rsid w:val="00CB7CD8"/>
    <w:rsid w:val="00CC05E4"/>
    <w:rsid w:val="00CC1C9C"/>
    <w:rsid w:val="00CC39FC"/>
    <w:rsid w:val="00CC40E3"/>
    <w:rsid w:val="00CC518B"/>
    <w:rsid w:val="00CC57CD"/>
    <w:rsid w:val="00CC5A0A"/>
    <w:rsid w:val="00CC6FED"/>
    <w:rsid w:val="00CC7491"/>
    <w:rsid w:val="00CC79A7"/>
    <w:rsid w:val="00CD0534"/>
    <w:rsid w:val="00CD0B61"/>
    <w:rsid w:val="00CD28B1"/>
    <w:rsid w:val="00CD4A51"/>
    <w:rsid w:val="00CD5543"/>
    <w:rsid w:val="00CD5C1F"/>
    <w:rsid w:val="00CD6A1C"/>
    <w:rsid w:val="00CD7C85"/>
    <w:rsid w:val="00CE07AD"/>
    <w:rsid w:val="00CE3C4B"/>
    <w:rsid w:val="00CE3D00"/>
    <w:rsid w:val="00CF3DE0"/>
    <w:rsid w:val="00CF4C4B"/>
    <w:rsid w:val="00CF530F"/>
    <w:rsid w:val="00CF55C5"/>
    <w:rsid w:val="00CF7953"/>
    <w:rsid w:val="00CF7F1C"/>
    <w:rsid w:val="00D00328"/>
    <w:rsid w:val="00D033EC"/>
    <w:rsid w:val="00D055D6"/>
    <w:rsid w:val="00D06A9A"/>
    <w:rsid w:val="00D1057F"/>
    <w:rsid w:val="00D10D7D"/>
    <w:rsid w:val="00D14DC8"/>
    <w:rsid w:val="00D15701"/>
    <w:rsid w:val="00D1592E"/>
    <w:rsid w:val="00D16186"/>
    <w:rsid w:val="00D17554"/>
    <w:rsid w:val="00D17AC2"/>
    <w:rsid w:val="00D20383"/>
    <w:rsid w:val="00D20AF9"/>
    <w:rsid w:val="00D23605"/>
    <w:rsid w:val="00D238B3"/>
    <w:rsid w:val="00D2391C"/>
    <w:rsid w:val="00D23ED5"/>
    <w:rsid w:val="00D24E24"/>
    <w:rsid w:val="00D27FA6"/>
    <w:rsid w:val="00D30197"/>
    <w:rsid w:val="00D307CD"/>
    <w:rsid w:val="00D308E3"/>
    <w:rsid w:val="00D3722B"/>
    <w:rsid w:val="00D37FF0"/>
    <w:rsid w:val="00D4107B"/>
    <w:rsid w:val="00D41982"/>
    <w:rsid w:val="00D428A0"/>
    <w:rsid w:val="00D429A5"/>
    <w:rsid w:val="00D42DC9"/>
    <w:rsid w:val="00D43E6E"/>
    <w:rsid w:val="00D46EAD"/>
    <w:rsid w:val="00D521C3"/>
    <w:rsid w:val="00D52E34"/>
    <w:rsid w:val="00D532EC"/>
    <w:rsid w:val="00D543E2"/>
    <w:rsid w:val="00D56289"/>
    <w:rsid w:val="00D57914"/>
    <w:rsid w:val="00D632B4"/>
    <w:rsid w:val="00D6389D"/>
    <w:rsid w:val="00D654AE"/>
    <w:rsid w:val="00D70194"/>
    <w:rsid w:val="00D70455"/>
    <w:rsid w:val="00D707FF"/>
    <w:rsid w:val="00D7131D"/>
    <w:rsid w:val="00D71B45"/>
    <w:rsid w:val="00D73687"/>
    <w:rsid w:val="00D74A29"/>
    <w:rsid w:val="00D74FB1"/>
    <w:rsid w:val="00D75205"/>
    <w:rsid w:val="00D769BC"/>
    <w:rsid w:val="00D77F00"/>
    <w:rsid w:val="00D805E9"/>
    <w:rsid w:val="00D811A1"/>
    <w:rsid w:val="00D82421"/>
    <w:rsid w:val="00D83CFA"/>
    <w:rsid w:val="00D841BC"/>
    <w:rsid w:val="00D90924"/>
    <w:rsid w:val="00D915DC"/>
    <w:rsid w:val="00D91D09"/>
    <w:rsid w:val="00D9379D"/>
    <w:rsid w:val="00D93E2C"/>
    <w:rsid w:val="00D93FB3"/>
    <w:rsid w:val="00D95CF8"/>
    <w:rsid w:val="00DA00E2"/>
    <w:rsid w:val="00DA19E1"/>
    <w:rsid w:val="00DA24CD"/>
    <w:rsid w:val="00DA3573"/>
    <w:rsid w:val="00DA4BC3"/>
    <w:rsid w:val="00DA767B"/>
    <w:rsid w:val="00DB214E"/>
    <w:rsid w:val="00DB6545"/>
    <w:rsid w:val="00DC04AB"/>
    <w:rsid w:val="00DC0746"/>
    <w:rsid w:val="00DC12B4"/>
    <w:rsid w:val="00DC255A"/>
    <w:rsid w:val="00DC332A"/>
    <w:rsid w:val="00DC3913"/>
    <w:rsid w:val="00DC4F50"/>
    <w:rsid w:val="00DC5B49"/>
    <w:rsid w:val="00DC6B0A"/>
    <w:rsid w:val="00DC736F"/>
    <w:rsid w:val="00DC7D2F"/>
    <w:rsid w:val="00DD0598"/>
    <w:rsid w:val="00DD2BE2"/>
    <w:rsid w:val="00DD3016"/>
    <w:rsid w:val="00DD4CC6"/>
    <w:rsid w:val="00DD607E"/>
    <w:rsid w:val="00DE1B60"/>
    <w:rsid w:val="00DE2BF8"/>
    <w:rsid w:val="00DE44B8"/>
    <w:rsid w:val="00DE5086"/>
    <w:rsid w:val="00DE54A3"/>
    <w:rsid w:val="00DF0CE0"/>
    <w:rsid w:val="00DF5383"/>
    <w:rsid w:val="00DF6686"/>
    <w:rsid w:val="00DF6C37"/>
    <w:rsid w:val="00DF74D0"/>
    <w:rsid w:val="00E02834"/>
    <w:rsid w:val="00E0389A"/>
    <w:rsid w:val="00E03DF7"/>
    <w:rsid w:val="00E03E1E"/>
    <w:rsid w:val="00E051A2"/>
    <w:rsid w:val="00E05F13"/>
    <w:rsid w:val="00E069E0"/>
    <w:rsid w:val="00E070FA"/>
    <w:rsid w:val="00E10E67"/>
    <w:rsid w:val="00E11DD8"/>
    <w:rsid w:val="00E14265"/>
    <w:rsid w:val="00E146F9"/>
    <w:rsid w:val="00E14B6A"/>
    <w:rsid w:val="00E14FA7"/>
    <w:rsid w:val="00E16095"/>
    <w:rsid w:val="00E1609C"/>
    <w:rsid w:val="00E1675D"/>
    <w:rsid w:val="00E17629"/>
    <w:rsid w:val="00E17DD3"/>
    <w:rsid w:val="00E20720"/>
    <w:rsid w:val="00E25E44"/>
    <w:rsid w:val="00E27C56"/>
    <w:rsid w:val="00E32A69"/>
    <w:rsid w:val="00E33756"/>
    <w:rsid w:val="00E33E35"/>
    <w:rsid w:val="00E35193"/>
    <w:rsid w:val="00E367D6"/>
    <w:rsid w:val="00E414B5"/>
    <w:rsid w:val="00E415B0"/>
    <w:rsid w:val="00E442AC"/>
    <w:rsid w:val="00E448CD"/>
    <w:rsid w:val="00E44ABB"/>
    <w:rsid w:val="00E45F48"/>
    <w:rsid w:val="00E50259"/>
    <w:rsid w:val="00E521DB"/>
    <w:rsid w:val="00E5317B"/>
    <w:rsid w:val="00E55FE2"/>
    <w:rsid w:val="00E56E90"/>
    <w:rsid w:val="00E575CE"/>
    <w:rsid w:val="00E61BFE"/>
    <w:rsid w:val="00E61F9A"/>
    <w:rsid w:val="00E663F5"/>
    <w:rsid w:val="00E6646D"/>
    <w:rsid w:val="00E670C8"/>
    <w:rsid w:val="00E7120A"/>
    <w:rsid w:val="00E71691"/>
    <w:rsid w:val="00E729AF"/>
    <w:rsid w:val="00E73381"/>
    <w:rsid w:val="00E73F0A"/>
    <w:rsid w:val="00E74E16"/>
    <w:rsid w:val="00E74E8E"/>
    <w:rsid w:val="00E75168"/>
    <w:rsid w:val="00E805BF"/>
    <w:rsid w:val="00E82650"/>
    <w:rsid w:val="00E828E4"/>
    <w:rsid w:val="00E83992"/>
    <w:rsid w:val="00E87889"/>
    <w:rsid w:val="00E903EA"/>
    <w:rsid w:val="00E927CB"/>
    <w:rsid w:val="00E92B77"/>
    <w:rsid w:val="00E93ED6"/>
    <w:rsid w:val="00E968CE"/>
    <w:rsid w:val="00E96CF5"/>
    <w:rsid w:val="00E97E49"/>
    <w:rsid w:val="00EA017D"/>
    <w:rsid w:val="00EA09DD"/>
    <w:rsid w:val="00EA1CC9"/>
    <w:rsid w:val="00EA2DBA"/>
    <w:rsid w:val="00EA30F1"/>
    <w:rsid w:val="00EA4D0E"/>
    <w:rsid w:val="00EA4F91"/>
    <w:rsid w:val="00EA6993"/>
    <w:rsid w:val="00EB0448"/>
    <w:rsid w:val="00EB3353"/>
    <w:rsid w:val="00EB65E7"/>
    <w:rsid w:val="00EB72DD"/>
    <w:rsid w:val="00EC0137"/>
    <w:rsid w:val="00EC0792"/>
    <w:rsid w:val="00EC1D7F"/>
    <w:rsid w:val="00EC1E7E"/>
    <w:rsid w:val="00EC1F37"/>
    <w:rsid w:val="00EC24E4"/>
    <w:rsid w:val="00EC2BA8"/>
    <w:rsid w:val="00EC4A92"/>
    <w:rsid w:val="00EC7078"/>
    <w:rsid w:val="00EC7642"/>
    <w:rsid w:val="00ED3514"/>
    <w:rsid w:val="00ED397B"/>
    <w:rsid w:val="00ED4081"/>
    <w:rsid w:val="00EE0D73"/>
    <w:rsid w:val="00EE1E88"/>
    <w:rsid w:val="00EE2513"/>
    <w:rsid w:val="00EE408E"/>
    <w:rsid w:val="00EE508A"/>
    <w:rsid w:val="00EE69E1"/>
    <w:rsid w:val="00EF63AE"/>
    <w:rsid w:val="00EF74C8"/>
    <w:rsid w:val="00F0032B"/>
    <w:rsid w:val="00F00540"/>
    <w:rsid w:val="00F00922"/>
    <w:rsid w:val="00F00F62"/>
    <w:rsid w:val="00F01AC4"/>
    <w:rsid w:val="00F023CA"/>
    <w:rsid w:val="00F02D01"/>
    <w:rsid w:val="00F03669"/>
    <w:rsid w:val="00F04EFE"/>
    <w:rsid w:val="00F05C07"/>
    <w:rsid w:val="00F10E84"/>
    <w:rsid w:val="00F10EF4"/>
    <w:rsid w:val="00F1229D"/>
    <w:rsid w:val="00F12360"/>
    <w:rsid w:val="00F145EE"/>
    <w:rsid w:val="00F1610B"/>
    <w:rsid w:val="00F167A1"/>
    <w:rsid w:val="00F16AD1"/>
    <w:rsid w:val="00F23082"/>
    <w:rsid w:val="00F2451E"/>
    <w:rsid w:val="00F246C4"/>
    <w:rsid w:val="00F253DB"/>
    <w:rsid w:val="00F25F90"/>
    <w:rsid w:val="00F27061"/>
    <w:rsid w:val="00F30E90"/>
    <w:rsid w:val="00F3291A"/>
    <w:rsid w:val="00F32DDA"/>
    <w:rsid w:val="00F34A27"/>
    <w:rsid w:val="00F357AC"/>
    <w:rsid w:val="00F37FC7"/>
    <w:rsid w:val="00F41C2F"/>
    <w:rsid w:val="00F42F1C"/>
    <w:rsid w:val="00F43C8F"/>
    <w:rsid w:val="00F47E3E"/>
    <w:rsid w:val="00F47FB1"/>
    <w:rsid w:val="00F507A2"/>
    <w:rsid w:val="00F508A6"/>
    <w:rsid w:val="00F51F88"/>
    <w:rsid w:val="00F52CF2"/>
    <w:rsid w:val="00F545CD"/>
    <w:rsid w:val="00F55209"/>
    <w:rsid w:val="00F5599C"/>
    <w:rsid w:val="00F55A5B"/>
    <w:rsid w:val="00F5662F"/>
    <w:rsid w:val="00F57161"/>
    <w:rsid w:val="00F57DA0"/>
    <w:rsid w:val="00F60A3F"/>
    <w:rsid w:val="00F6420E"/>
    <w:rsid w:val="00F64777"/>
    <w:rsid w:val="00F660A0"/>
    <w:rsid w:val="00F6691B"/>
    <w:rsid w:val="00F66CDB"/>
    <w:rsid w:val="00F671E9"/>
    <w:rsid w:val="00F6781B"/>
    <w:rsid w:val="00F70A80"/>
    <w:rsid w:val="00F718FD"/>
    <w:rsid w:val="00F759CF"/>
    <w:rsid w:val="00F77540"/>
    <w:rsid w:val="00F775C6"/>
    <w:rsid w:val="00F810C6"/>
    <w:rsid w:val="00F81EC0"/>
    <w:rsid w:val="00F83AA1"/>
    <w:rsid w:val="00F84D01"/>
    <w:rsid w:val="00F85D69"/>
    <w:rsid w:val="00F85E65"/>
    <w:rsid w:val="00F90C69"/>
    <w:rsid w:val="00F915D4"/>
    <w:rsid w:val="00F95A7B"/>
    <w:rsid w:val="00FA014A"/>
    <w:rsid w:val="00FA070D"/>
    <w:rsid w:val="00FA07BE"/>
    <w:rsid w:val="00FA2EAE"/>
    <w:rsid w:val="00FA51B1"/>
    <w:rsid w:val="00FA62EB"/>
    <w:rsid w:val="00FA6F0B"/>
    <w:rsid w:val="00FB0E5C"/>
    <w:rsid w:val="00FB1133"/>
    <w:rsid w:val="00FB1C32"/>
    <w:rsid w:val="00FB4704"/>
    <w:rsid w:val="00FB602D"/>
    <w:rsid w:val="00FB67D4"/>
    <w:rsid w:val="00FC0DC5"/>
    <w:rsid w:val="00FC2587"/>
    <w:rsid w:val="00FC25F1"/>
    <w:rsid w:val="00FC322A"/>
    <w:rsid w:val="00FC5D1E"/>
    <w:rsid w:val="00FC5E1B"/>
    <w:rsid w:val="00FC7202"/>
    <w:rsid w:val="00FC7670"/>
    <w:rsid w:val="00FD1EAE"/>
    <w:rsid w:val="00FD2703"/>
    <w:rsid w:val="00FD74F4"/>
    <w:rsid w:val="00FE005B"/>
    <w:rsid w:val="00FE0E0F"/>
    <w:rsid w:val="00FE12FB"/>
    <w:rsid w:val="00FE410B"/>
    <w:rsid w:val="00FE45F2"/>
    <w:rsid w:val="00FE61C5"/>
    <w:rsid w:val="00FF168D"/>
    <w:rsid w:val="00FF31A0"/>
    <w:rsid w:val="00FF3F19"/>
    <w:rsid w:val="00FF466F"/>
    <w:rsid w:val="00FF4A7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AC81"/>
  <w15:docId w15:val="{E9853690-2A38-4890-8946-A3094E57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78F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  <w:lang w:val="en-US"/>
    </w:rPr>
  </w:style>
  <w:style w:type="paragraph" w:styleId="Heading1">
    <w:name w:val="heading 1"/>
    <w:aliases w:val="Titol 1,Heading,Heading3,Level 1,Heading 11,titre 1,Level 11,Heading 111,titre 11,Titol 11,PHD Heading 1,Level 12,Titre 11"/>
    <w:basedOn w:val="Normal"/>
    <w:next w:val="Normal"/>
    <w:link w:val="Heading1Char"/>
    <w:qFormat/>
    <w:rsid w:val="0004078F"/>
    <w:pPr>
      <w:keepNext/>
      <w:numPr>
        <w:numId w:val="9"/>
      </w:numPr>
      <w:tabs>
        <w:tab w:val="left" w:pos="851"/>
      </w:tabs>
      <w:spacing w:before="360" w:after="180"/>
      <w:outlineLvl w:val="0"/>
    </w:pPr>
    <w:rPr>
      <w:b/>
      <w:bCs/>
      <w:caps/>
      <w:kern w:val="32"/>
      <w:sz w:val="36"/>
      <w:szCs w:val="32"/>
    </w:rPr>
  </w:style>
  <w:style w:type="paragraph" w:styleId="Heading2">
    <w:name w:val="heading 2"/>
    <w:aliases w:val="Titre 21,Heading 21,titre 2,Level 2,Titre 211,Heading 211,titre 21,PHD Heading 2,Titre 212,Titre 212 Char,Titre 212 Char Char"/>
    <w:basedOn w:val="Heading1"/>
    <w:next w:val="Normal"/>
    <w:link w:val="Heading2Char"/>
    <w:qFormat/>
    <w:rsid w:val="0004078F"/>
    <w:pPr>
      <w:keepNext w:val="0"/>
      <w:numPr>
        <w:ilvl w:val="1"/>
      </w:numPr>
      <w:tabs>
        <w:tab w:val="clear" w:pos="851"/>
      </w:tabs>
      <w:spacing w:after="120"/>
      <w:outlineLvl w:val="1"/>
    </w:pPr>
    <w:rPr>
      <w:iCs/>
      <w:caps w:val="0"/>
      <w:color w:val="000000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04078F"/>
    <w:pPr>
      <w:numPr>
        <w:ilvl w:val="2"/>
      </w:numPr>
      <w:tabs>
        <w:tab w:val="left" w:pos="851"/>
      </w:tabs>
      <w:autoSpaceDE/>
      <w:autoSpaceDN/>
      <w:adjustRightInd/>
      <w:spacing w:before="180" w:after="60"/>
      <w:outlineLvl w:val="2"/>
    </w:pPr>
    <w:rPr>
      <w:noProof/>
      <w:sz w:val="24"/>
      <w:szCs w:val="22"/>
      <w:lang w:eastAsia="de-DE"/>
    </w:rPr>
  </w:style>
  <w:style w:type="paragraph" w:styleId="Heading4">
    <w:name w:val="heading 4"/>
    <w:aliases w:val="Heading 41,titre 4,Heading 411,titre 41,PHD Heading 4"/>
    <w:basedOn w:val="Heading3"/>
    <w:next w:val="Normal"/>
    <w:link w:val="Heading4Char"/>
    <w:qFormat/>
    <w:rsid w:val="0004078F"/>
    <w:pPr>
      <w:numPr>
        <w:ilvl w:val="3"/>
      </w:numPr>
      <w:outlineLvl w:val="3"/>
    </w:pPr>
    <w:rPr>
      <w:iCs w:val="0"/>
      <w:sz w:val="22"/>
    </w:rPr>
  </w:style>
  <w:style w:type="paragraph" w:styleId="Heading5">
    <w:name w:val="heading 5"/>
    <w:aliases w:val="DontUse,Heading 51,titre 5,Heading 511,titre 51,PHD Heading 5"/>
    <w:basedOn w:val="Normal"/>
    <w:next w:val="Normal"/>
    <w:link w:val="Heading5Char"/>
    <w:qFormat/>
    <w:rsid w:val="0004078F"/>
    <w:pPr>
      <w:keepNext/>
      <w:numPr>
        <w:ilvl w:val="4"/>
        <w:numId w:val="9"/>
      </w:numPr>
      <w:tabs>
        <w:tab w:val="left" w:pos="1080"/>
        <w:tab w:val="left" w:pos="2269"/>
      </w:tabs>
      <w:autoSpaceDE/>
      <w:autoSpaceDN/>
      <w:adjustRightInd/>
      <w:spacing w:before="60" w:after="120"/>
      <w:outlineLvl w:val="4"/>
    </w:pPr>
    <w:rPr>
      <w:b/>
      <w:bCs/>
      <w:lang w:val="de-DE" w:eastAsia="de-DE"/>
    </w:rPr>
  </w:style>
  <w:style w:type="paragraph" w:styleId="Heading6">
    <w:name w:val="heading 6"/>
    <w:aliases w:val="dontUse"/>
    <w:basedOn w:val="Normal"/>
    <w:next w:val="Normal"/>
    <w:link w:val="Heading6Char"/>
    <w:qFormat/>
    <w:rsid w:val="0004078F"/>
    <w:pPr>
      <w:keepNext/>
      <w:numPr>
        <w:ilvl w:val="5"/>
        <w:numId w:val="9"/>
      </w:numPr>
      <w:tabs>
        <w:tab w:val="left" w:pos="1440"/>
      </w:tabs>
      <w:autoSpaceDE/>
      <w:autoSpaceDN/>
      <w:adjustRightInd/>
      <w:spacing w:before="360" w:after="240"/>
      <w:outlineLvl w:val="5"/>
    </w:pPr>
    <w:rPr>
      <w:rFonts w:ascii="Helvetica" w:hAnsi="Helvetica" w:cs="Times New Roman"/>
      <w:b/>
      <w:bCs/>
      <w:sz w:val="28"/>
      <w:szCs w:val="28"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04078F"/>
    <w:pPr>
      <w:numPr>
        <w:ilvl w:val="6"/>
        <w:numId w:val="9"/>
      </w:numPr>
      <w:tabs>
        <w:tab w:val="left" w:pos="0"/>
      </w:tabs>
      <w:autoSpaceDE/>
      <w:autoSpaceDN/>
      <w:adjustRightInd/>
      <w:spacing w:before="240"/>
      <w:outlineLvl w:val="6"/>
    </w:pPr>
    <w:rPr>
      <w:sz w:val="20"/>
      <w:szCs w:val="20"/>
      <w:lang w:val="de-DE" w:eastAsia="de-DE"/>
    </w:rPr>
  </w:style>
  <w:style w:type="paragraph" w:styleId="Heading8">
    <w:name w:val="heading 8"/>
    <w:basedOn w:val="Normal"/>
    <w:next w:val="Normal"/>
    <w:link w:val="Heading8Char"/>
    <w:qFormat/>
    <w:rsid w:val="0004078F"/>
    <w:pPr>
      <w:numPr>
        <w:ilvl w:val="7"/>
        <w:numId w:val="9"/>
      </w:numPr>
      <w:tabs>
        <w:tab w:val="left" w:pos="0"/>
      </w:tabs>
      <w:autoSpaceDE/>
      <w:autoSpaceDN/>
      <w:adjustRightInd/>
      <w:spacing w:before="240"/>
      <w:outlineLvl w:val="7"/>
    </w:pPr>
    <w:rPr>
      <w:i/>
      <w:iCs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04078F"/>
    <w:pPr>
      <w:numPr>
        <w:ilvl w:val="8"/>
        <w:numId w:val="9"/>
      </w:numPr>
      <w:tabs>
        <w:tab w:val="left" w:pos="0"/>
      </w:tabs>
      <w:autoSpaceDE/>
      <w:autoSpaceDN/>
      <w:adjustRightInd/>
      <w:spacing w:before="240"/>
      <w:outlineLvl w:val="8"/>
    </w:pPr>
    <w:rPr>
      <w:i/>
      <w:iCs/>
      <w:sz w:val="18"/>
      <w:szCs w:val="1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">
    <w:name w:val="instruction"/>
    <w:basedOn w:val="Normal"/>
    <w:next w:val="Normal"/>
    <w:autoRedefine/>
    <w:qFormat/>
    <w:rsid w:val="0004078F"/>
    <w:pPr>
      <w:autoSpaceDE/>
      <w:autoSpaceDN/>
      <w:adjustRightInd/>
      <w:spacing w:before="80" w:after="0"/>
      <w:jc w:val="both"/>
    </w:pPr>
    <w:rPr>
      <w:rFonts w:ascii="Helvetica" w:hAnsi="Helvetica"/>
      <w:b/>
      <w:iCs/>
      <w:color w:val="0000FF"/>
      <w:sz w:val="22"/>
      <w:szCs w:val="22"/>
    </w:rPr>
  </w:style>
  <w:style w:type="paragraph" w:customStyle="1" w:styleId="Tabletitle">
    <w:name w:val="Table_title"/>
    <w:basedOn w:val="Normal"/>
    <w:qFormat/>
    <w:rsid w:val="0004078F"/>
    <w:pPr>
      <w:autoSpaceDE/>
      <w:autoSpaceDN/>
      <w:adjustRightInd/>
      <w:spacing w:before="120" w:after="40"/>
      <w:jc w:val="both"/>
    </w:pPr>
    <w:rPr>
      <w:rFonts w:ascii="Helvetica" w:hAnsi="Helvetica"/>
      <w:b/>
      <w:sz w:val="20"/>
      <w:szCs w:val="20"/>
      <w:lang w:val="en-GB" w:eastAsia="ja-JP"/>
    </w:rPr>
  </w:style>
  <w:style w:type="paragraph" w:customStyle="1" w:styleId="ColorfulList-Accent11">
    <w:name w:val="Colorful List - Accent 11"/>
    <w:basedOn w:val="Normal"/>
    <w:uiPriority w:val="99"/>
    <w:qFormat/>
    <w:rsid w:val="0004078F"/>
    <w:pPr>
      <w:widowControl/>
      <w:autoSpaceDE/>
      <w:autoSpaceDN/>
      <w:adjustRightInd/>
      <w:spacing w:after="0"/>
      <w:ind w:left="720"/>
      <w:contextualSpacing/>
    </w:pPr>
    <w:rPr>
      <w:rFonts w:ascii="Times New Roman" w:hAnsi="Times New Roman"/>
      <w:color w:val="000000"/>
    </w:rPr>
  </w:style>
  <w:style w:type="character" w:customStyle="1" w:styleId="Heading1Char">
    <w:name w:val="Heading 1 Char"/>
    <w:aliases w:val="Titol 1 Char,Heading Char,Heading3 Char,Level 1 Char,Heading 11 Char,titre 1 Char,Level 11 Char,Heading 111 Char,titre 11 Char,Titol 11 Char,PHD Heading 1 Char,Level 12 Char,Titre 11 Char"/>
    <w:basedOn w:val="DefaultParagraphFont"/>
    <w:link w:val="Heading1"/>
    <w:rsid w:val="0004078F"/>
    <w:rPr>
      <w:rFonts w:ascii="Arial" w:hAnsi="Arial" w:cs="Arial"/>
      <w:b/>
      <w:bCs/>
      <w:caps/>
      <w:kern w:val="32"/>
      <w:sz w:val="36"/>
      <w:szCs w:val="32"/>
      <w:lang w:val="en-US"/>
    </w:rPr>
  </w:style>
  <w:style w:type="character" w:customStyle="1" w:styleId="Heading2Char">
    <w:name w:val="Heading 2 Char"/>
    <w:aliases w:val="Titre 21 Char,Heading 21 Char,titre 2 Char,Level 2 Char,Titre 211 Char,Heading 211 Char,titre 21 Char,PHD Heading 2 Char,Titre 212 Char1,Titre 212 Char Char1,Titre 212 Char Char Char"/>
    <w:basedOn w:val="DefaultParagraphFont"/>
    <w:link w:val="Heading2"/>
    <w:rsid w:val="0004078F"/>
    <w:rPr>
      <w:rFonts w:ascii="Arial" w:hAnsi="Arial" w:cs="Arial"/>
      <w:b/>
      <w:bCs/>
      <w:iCs/>
      <w:color w:val="000000"/>
      <w:kern w:val="32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04078F"/>
    <w:rPr>
      <w:rFonts w:ascii="Arial" w:hAnsi="Arial" w:cs="Arial"/>
      <w:b/>
      <w:bCs/>
      <w:iCs/>
      <w:noProof/>
      <w:color w:val="000000"/>
      <w:kern w:val="32"/>
      <w:sz w:val="24"/>
      <w:szCs w:val="22"/>
      <w:lang w:val="en-US" w:eastAsia="de-DE"/>
    </w:rPr>
  </w:style>
  <w:style w:type="character" w:customStyle="1" w:styleId="Heading4Char">
    <w:name w:val="Heading 4 Char"/>
    <w:aliases w:val="Heading 41 Char,titre 4 Char,Heading 411 Char,titre 41 Char,PHD Heading 4 Char"/>
    <w:basedOn w:val="DefaultParagraphFont"/>
    <w:link w:val="Heading4"/>
    <w:rsid w:val="0004078F"/>
    <w:rPr>
      <w:rFonts w:ascii="Arial" w:hAnsi="Arial" w:cs="Arial"/>
      <w:b/>
      <w:bCs/>
      <w:noProof/>
      <w:color w:val="000000"/>
      <w:kern w:val="32"/>
      <w:sz w:val="22"/>
      <w:szCs w:val="22"/>
      <w:lang w:val="en-US" w:eastAsia="de-DE"/>
    </w:rPr>
  </w:style>
  <w:style w:type="character" w:customStyle="1" w:styleId="Heading5Char">
    <w:name w:val="Heading 5 Char"/>
    <w:aliases w:val="DontUse Char,Heading 51 Char,titre 5 Char,Heading 511 Char,titre 51 Char,PHD Heading 5 Char"/>
    <w:basedOn w:val="DefaultParagraphFont"/>
    <w:link w:val="Heading5"/>
    <w:rsid w:val="0004078F"/>
    <w:rPr>
      <w:rFonts w:ascii="Arial" w:hAnsi="Arial" w:cs="Arial"/>
      <w:b/>
      <w:bCs/>
      <w:sz w:val="24"/>
      <w:szCs w:val="24"/>
      <w:lang w:val="de-DE" w:eastAsia="de-DE"/>
    </w:rPr>
  </w:style>
  <w:style w:type="character" w:customStyle="1" w:styleId="Heading6Char">
    <w:name w:val="Heading 6 Char"/>
    <w:aliases w:val="dontUse Char"/>
    <w:basedOn w:val="DefaultParagraphFont"/>
    <w:link w:val="Heading6"/>
    <w:rsid w:val="0004078F"/>
    <w:rPr>
      <w:rFonts w:ascii="Helvetica" w:hAnsi="Helvetica"/>
      <w:b/>
      <w:bCs/>
      <w:sz w:val="28"/>
      <w:szCs w:val="28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04078F"/>
    <w:rPr>
      <w:rFonts w:ascii="Arial" w:hAnsi="Arial" w:cs="Arial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04078F"/>
    <w:rPr>
      <w:rFonts w:ascii="Arial" w:hAnsi="Arial" w:cs="Arial"/>
      <w:i/>
      <w:iCs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04078F"/>
    <w:rPr>
      <w:rFonts w:ascii="Arial" w:hAnsi="Arial" w:cs="Arial"/>
      <w:i/>
      <w:iCs/>
      <w:sz w:val="18"/>
      <w:szCs w:val="18"/>
      <w:lang w:val="de-DE" w:eastAsia="de-DE"/>
    </w:rPr>
  </w:style>
  <w:style w:type="character" w:styleId="Strong">
    <w:name w:val="Strong"/>
    <w:uiPriority w:val="22"/>
    <w:qFormat/>
    <w:rsid w:val="0004078F"/>
    <w:rPr>
      <w:b/>
      <w:bCs/>
    </w:rPr>
  </w:style>
  <w:style w:type="character" w:styleId="Emphasis">
    <w:name w:val="Emphasis"/>
    <w:uiPriority w:val="20"/>
    <w:qFormat/>
    <w:rsid w:val="0004078F"/>
    <w:rPr>
      <w:i/>
      <w:iCs/>
    </w:rPr>
  </w:style>
  <w:style w:type="paragraph" w:styleId="ListParagraph">
    <w:name w:val="List Paragraph"/>
    <w:basedOn w:val="Normal"/>
    <w:uiPriority w:val="34"/>
    <w:qFormat/>
    <w:rsid w:val="0004078F"/>
    <w:pPr>
      <w:widowControl/>
      <w:autoSpaceDE/>
      <w:autoSpaceDN/>
      <w:adjustRightInd/>
      <w:spacing w:after="0"/>
      <w:ind w:left="720"/>
      <w:contextualSpacing/>
    </w:pPr>
    <w:rPr>
      <w:rFonts w:ascii="Times New Roman" w:eastAsia="MS Mincho" w:hAnsi="Times New Roman" w:cs="Times New Roman"/>
      <w:lang w:eastAsia="ja-JP"/>
    </w:rPr>
  </w:style>
  <w:style w:type="paragraph" w:customStyle="1" w:styleId="Default">
    <w:name w:val="Default"/>
    <w:rsid w:val="00231C00"/>
    <w:pPr>
      <w:autoSpaceDE w:val="0"/>
      <w:autoSpaceDN w:val="0"/>
      <w:adjustRightInd w:val="0"/>
    </w:pPr>
    <w:rPr>
      <w:rFonts w:ascii="AGaramond" w:hAnsi="AGaramond" w:cs="AGaramond"/>
      <w:color w:val="000000"/>
      <w:sz w:val="24"/>
      <w:szCs w:val="24"/>
    </w:rPr>
  </w:style>
  <w:style w:type="character" w:customStyle="1" w:styleId="A1">
    <w:name w:val="A1"/>
    <w:uiPriority w:val="99"/>
    <w:rsid w:val="00231C00"/>
    <w:rPr>
      <w:rFonts w:ascii="Myriad Pro Light" w:hAnsi="Myriad Pro Light" w:cs="Myriad Pro Light"/>
      <w:b/>
      <w:bCs/>
      <w:color w:val="000000"/>
      <w:sz w:val="16"/>
      <w:szCs w:val="16"/>
    </w:rPr>
  </w:style>
  <w:style w:type="character" w:customStyle="1" w:styleId="A7">
    <w:name w:val="A7"/>
    <w:uiPriority w:val="99"/>
    <w:rsid w:val="00231C00"/>
    <w:rPr>
      <w:rFonts w:ascii="Garamond Premr Pro" w:hAnsi="Garamond Premr Pro" w:cs="Garamond Premr Pro"/>
      <w:color w:val="000000"/>
      <w:sz w:val="14"/>
      <w:szCs w:val="14"/>
    </w:rPr>
  </w:style>
  <w:style w:type="character" w:customStyle="1" w:styleId="apple-converted-space">
    <w:name w:val="apple-converted-space"/>
    <w:basedOn w:val="DefaultParagraphFont"/>
    <w:rsid w:val="00103928"/>
  </w:style>
  <w:style w:type="paragraph" w:styleId="Header">
    <w:name w:val="header"/>
    <w:basedOn w:val="Normal"/>
    <w:link w:val="HeaderChar"/>
    <w:uiPriority w:val="99"/>
    <w:unhideWhenUsed/>
    <w:rsid w:val="00DC332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332A"/>
    <w:rPr>
      <w:rFonts w:ascii="Arial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32A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332A"/>
    <w:rPr>
      <w:rFonts w:ascii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A5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CH" w:eastAsia="it-CH"/>
    </w:rPr>
  </w:style>
  <w:style w:type="character" w:styleId="Hyperlink">
    <w:name w:val="Hyperlink"/>
    <w:basedOn w:val="DefaultParagraphFont"/>
    <w:uiPriority w:val="99"/>
    <w:unhideWhenUsed/>
    <w:rsid w:val="00FC25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F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9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EB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EB"/>
    <w:rPr>
      <w:rFonts w:ascii="Arial" w:hAnsi="Arial" w:cs="Arial"/>
      <w:b/>
      <w:bCs/>
      <w:lang w:val="en-US"/>
    </w:rPr>
  </w:style>
  <w:style w:type="paragraph" w:styleId="Revision">
    <w:name w:val="Revision"/>
    <w:hidden/>
    <w:uiPriority w:val="99"/>
    <w:semiHidden/>
    <w:rsid w:val="001279EB"/>
    <w:rPr>
      <w:rFonts w:ascii="Arial" w:hAnsi="Arial" w:cs="Arial"/>
      <w:sz w:val="24"/>
      <w:szCs w:val="24"/>
      <w:lang w:val="en-US"/>
    </w:rPr>
  </w:style>
  <w:style w:type="paragraph" w:customStyle="1" w:styleId="Title1">
    <w:name w:val="Title1"/>
    <w:basedOn w:val="Normal"/>
    <w:rsid w:val="006114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CH" w:eastAsia="it-CH"/>
    </w:rPr>
  </w:style>
  <w:style w:type="paragraph" w:customStyle="1" w:styleId="desc">
    <w:name w:val="desc"/>
    <w:basedOn w:val="Normal"/>
    <w:rsid w:val="006114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CH" w:eastAsia="it-CH"/>
    </w:rPr>
  </w:style>
  <w:style w:type="paragraph" w:customStyle="1" w:styleId="details">
    <w:name w:val="details"/>
    <w:basedOn w:val="Normal"/>
    <w:rsid w:val="006114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CH" w:eastAsia="it-CH"/>
    </w:rPr>
  </w:style>
  <w:style w:type="character" w:customStyle="1" w:styleId="jrnl">
    <w:name w:val="jrnl"/>
    <w:basedOn w:val="DefaultParagraphFont"/>
    <w:rsid w:val="006114B3"/>
  </w:style>
  <w:style w:type="character" w:styleId="FollowedHyperlink">
    <w:name w:val="FollowedHyperlink"/>
    <w:basedOn w:val="DefaultParagraphFont"/>
    <w:uiPriority w:val="99"/>
    <w:semiHidden/>
    <w:unhideWhenUsed/>
    <w:rsid w:val="00CA5516"/>
    <w:rPr>
      <w:color w:val="954F72"/>
      <w:u w:val="single"/>
    </w:rPr>
  </w:style>
  <w:style w:type="paragraph" w:customStyle="1" w:styleId="msonormal0">
    <w:name w:val="msonormal"/>
    <w:basedOn w:val="Normal"/>
    <w:rsid w:val="00CA5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it-CH" w:eastAsia="it-CH"/>
    </w:rPr>
  </w:style>
  <w:style w:type="paragraph" w:customStyle="1" w:styleId="font5">
    <w:name w:val="font5"/>
    <w:basedOn w:val="Normal"/>
    <w:rsid w:val="00CA5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font6">
    <w:name w:val="font6"/>
    <w:basedOn w:val="Normal"/>
    <w:rsid w:val="00CA5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65">
    <w:name w:val="xl65"/>
    <w:basedOn w:val="Normal"/>
    <w:rsid w:val="00CA5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66">
    <w:name w:val="xl66"/>
    <w:basedOn w:val="Normal"/>
    <w:rsid w:val="00CA5516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67">
    <w:name w:val="xl67"/>
    <w:basedOn w:val="Normal"/>
    <w:rsid w:val="00CA551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68">
    <w:name w:val="xl68"/>
    <w:basedOn w:val="Normal"/>
    <w:rsid w:val="00CA5516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69">
    <w:name w:val="xl69"/>
    <w:basedOn w:val="Normal"/>
    <w:rsid w:val="00CA551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70">
    <w:name w:val="xl70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1">
    <w:name w:val="xl71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2">
    <w:name w:val="xl72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3">
    <w:name w:val="xl73"/>
    <w:basedOn w:val="Normal"/>
    <w:rsid w:val="00CA551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4">
    <w:name w:val="xl74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5">
    <w:name w:val="xl75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76">
    <w:name w:val="xl76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it-CH" w:eastAsia="it-CH"/>
    </w:rPr>
  </w:style>
  <w:style w:type="paragraph" w:customStyle="1" w:styleId="xl77">
    <w:name w:val="xl77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it-CH" w:eastAsia="it-CH"/>
    </w:rPr>
  </w:style>
  <w:style w:type="paragraph" w:customStyle="1" w:styleId="xl78">
    <w:name w:val="xl78"/>
    <w:basedOn w:val="Normal"/>
    <w:rsid w:val="00CA551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i/>
      <w:iCs/>
      <w:color w:val="000000"/>
      <w:sz w:val="16"/>
      <w:szCs w:val="16"/>
      <w:lang w:val="it-CH" w:eastAsia="it-CH"/>
    </w:rPr>
  </w:style>
  <w:style w:type="paragraph" w:customStyle="1" w:styleId="xl79">
    <w:name w:val="xl79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i/>
      <w:iCs/>
      <w:color w:val="000000"/>
      <w:sz w:val="16"/>
      <w:szCs w:val="16"/>
      <w:lang w:val="it-CH" w:eastAsia="it-CH"/>
    </w:rPr>
  </w:style>
  <w:style w:type="paragraph" w:customStyle="1" w:styleId="xl80">
    <w:name w:val="xl80"/>
    <w:basedOn w:val="Normal"/>
    <w:rsid w:val="00CA5516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1">
    <w:name w:val="xl81"/>
    <w:basedOn w:val="Normal"/>
    <w:rsid w:val="00CA551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2">
    <w:name w:val="xl82"/>
    <w:basedOn w:val="Normal"/>
    <w:rsid w:val="00CA551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3">
    <w:name w:val="xl83"/>
    <w:basedOn w:val="Normal"/>
    <w:rsid w:val="00CA5516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4">
    <w:name w:val="xl84"/>
    <w:basedOn w:val="Normal"/>
    <w:rsid w:val="00CA5516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5">
    <w:name w:val="xl85"/>
    <w:basedOn w:val="Normal"/>
    <w:rsid w:val="00CA5516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86">
    <w:name w:val="xl86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it-CH" w:eastAsia="it-CH"/>
    </w:rPr>
  </w:style>
  <w:style w:type="paragraph" w:customStyle="1" w:styleId="xl87">
    <w:name w:val="xl87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it-CH" w:eastAsia="it-CH"/>
    </w:rPr>
  </w:style>
  <w:style w:type="paragraph" w:customStyle="1" w:styleId="xl88">
    <w:name w:val="xl88"/>
    <w:basedOn w:val="Normal"/>
    <w:rsid w:val="00CA5516"/>
    <w:pPr>
      <w:widowControl/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89">
    <w:name w:val="xl89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90">
    <w:name w:val="xl90"/>
    <w:basedOn w:val="Normal"/>
    <w:rsid w:val="00CA5516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91">
    <w:name w:val="xl91"/>
    <w:basedOn w:val="Normal"/>
    <w:rsid w:val="00CA5516"/>
    <w:pPr>
      <w:widowControl/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92">
    <w:name w:val="xl92"/>
    <w:basedOn w:val="Normal"/>
    <w:rsid w:val="00CA5516"/>
    <w:pPr>
      <w:widowControl/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93">
    <w:name w:val="xl93"/>
    <w:basedOn w:val="Normal"/>
    <w:rsid w:val="00CA5516"/>
    <w:pPr>
      <w:widowControl/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94">
    <w:name w:val="xl94"/>
    <w:basedOn w:val="Normal"/>
    <w:rsid w:val="00CA5516"/>
    <w:pPr>
      <w:widowControl/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it-CH" w:eastAsia="it-CH"/>
    </w:rPr>
  </w:style>
  <w:style w:type="paragraph" w:customStyle="1" w:styleId="xl95">
    <w:name w:val="xl95"/>
    <w:basedOn w:val="Normal"/>
    <w:rsid w:val="00CA5516"/>
    <w:pPr>
      <w:widowControl/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  <w:style w:type="paragraph" w:customStyle="1" w:styleId="xl96">
    <w:name w:val="xl96"/>
    <w:basedOn w:val="Normal"/>
    <w:rsid w:val="00CA55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it-CH" w:eastAsia="it-CH"/>
    </w:rPr>
  </w:style>
  <w:style w:type="paragraph" w:customStyle="1" w:styleId="xl97">
    <w:name w:val="xl97"/>
    <w:basedOn w:val="Normal"/>
    <w:rsid w:val="00CA5516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7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6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88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07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805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2141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5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0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31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A71ED0-76E8-4EBB-A6F7-9E6E80DF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7129</Words>
  <Characters>40638</Characters>
  <Application>Microsoft Office Word</Application>
  <DocSecurity>0</DocSecurity>
  <Lines>338</Lines>
  <Paragraphs>95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Servizi Informatici TI-EDU / USI-SUPSI</Company>
  <LinksUpToDate>false</LinksUpToDate>
  <CharactersWithSpaces>47672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Condoluci Adalgisa</dc:creator>
  <cp:lastModifiedBy>Davide Rossi</cp:lastModifiedBy>
  <cp:revision>70</cp:revision>
  <cp:lastPrinted>2020-01-15T18:12:00Z</cp:lastPrinted>
  <dcterms:created xsi:type="dcterms:W3CDTF">2020-01-15T10:41:00Z</dcterms:created>
  <dcterms:modified xsi:type="dcterms:W3CDTF">2020-01-15T18:27:00Z</dcterms:modified>
</cp:coreProperties>
</file>