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D9C4D8" w14:textId="77777777" w:rsidR="00F01A40" w:rsidRPr="007E379E" w:rsidRDefault="00F01A40" w:rsidP="00E16C74">
      <w:pPr>
        <w:spacing w:line="276" w:lineRule="auto"/>
        <w:rPr>
          <w:rFonts w:ascii="Calibri" w:hAnsi="Calibri" w:cs="Arial"/>
          <w:sz w:val="28"/>
          <w:szCs w:val="28"/>
        </w:rPr>
      </w:pPr>
      <w:r w:rsidRPr="007E379E">
        <w:rPr>
          <w:rFonts w:ascii="Calibri" w:hAnsi="Calibri" w:cs="Arial"/>
          <w:b/>
          <w:sz w:val="28"/>
          <w:szCs w:val="28"/>
        </w:rPr>
        <w:t>Aspirin for Primary Prevention of Cardiovascular Disease in Chronic Kidney Disease</w:t>
      </w:r>
      <w:r w:rsidR="0013393A" w:rsidRPr="007E379E">
        <w:rPr>
          <w:rFonts w:ascii="Calibri" w:hAnsi="Calibri" w:cs="Arial"/>
          <w:b/>
          <w:sz w:val="28"/>
          <w:szCs w:val="28"/>
        </w:rPr>
        <w:t>: Where Do W</w:t>
      </w:r>
      <w:r w:rsidRPr="007E379E">
        <w:rPr>
          <w:rFonts w:ascii="Calibri" w:hAnsi="Calibri" w:cs="Arial"/>
          <w:b/>
          <w:sz w:val="28"/>
          <w:szCs w:val="28"/>
        </w:rPr>
        <w:t>e Stand</w:t>
      </w:r>
      <w:r w:rsidR="00AB4967" w:rsidRPr="007E379E">
        <w:rPr>
          <w:rFonts w:ascii="Calibri" w:hAnsi="Calibri" w:cs="Arial"/>
          <w:b/>
          <w:sz w:val="28"/>
          <w:szCs w:val="28"/>
        </w:rPr>
        <w:t>?</w:t>
      </w:r>
      <w:r w:rsidRPr="007E379E">
        <w:rPr>
          <w:rFonts w:ascii="Calibri" w:hAnsi="Calibri" w:cs="Arial"/>
          <w:sz w:val="28"/>
          <w:szCs w:val="28"/>
        </w:rPr>
        <w:t xml:space="preserve"> </w:t>
      </w:r>
    </w:p>
    <w:p w14:paraId="5CE28434" w14:textId="35CF965E" w:rsidR="00E16C74" w:rsidRPr="003F229F" w:rsidRDefault="00E16C74" w:rsidP="00E16C74">
      <w:pPr>
        <w:spacing w:line="276" w:lineRule="auto"/>
        <w:rPr>
          <w:rFonts w:ascii="Calibri" w:hAnsi="Calibri" w:cs="Arial"/>
          <w:b/>
          <w:sz w:val="24"/>
          <w:szCs w:val="24"/>
        </w:rPr>
      </w:pPr>
      <w:r w:rsidRPr="007E379E">
        <w:rPr>
          <w:rFonts w:ascii="Calibri" w:hAnsi="Calibri" w:cs="Arial"/>
          <w:sz w:val="24"/>
          <w:szCs w:val="24"/>
        </w:rPr>
        <w:t>Hugh Gallagher</w:t>
      </w:r>
      <w:r w:rsidR="007E379E">
        <w:rPr>
          <w:rFonts w:ascii="Calibri" w:hAnsi="Calibri" w:cs="Arial"/>
          <w:sz w:val="24"/>
          <w:szCs w:val="24"/>
          <w:vertAlign w:val="superscript"/>
        </w:rPr>
        <w:t>1</w:t>
      </w:r>
      <w:r w:rsidR="00FE4802">
        <w:rPr>
          <w:rFonts w:ascii="Calibri" w:hAnsi="Calibri" w:cs="Arial"/>
          <w:sz w:val="24"/>
          <w:szCs w:val="24"/>
        </w:rPr>
        <w:t xml:space="preserve"> F</w:t>
      </w:r>
      <w:r w:rsidR="003F229F">
        <w:rPr>
          <w:rFonts w:ascii="Calibri" w:hAnsi="Calibri" w:cs="Arial"/>
          <w:sz w:val="24"/>
          <w:szCs w:val="24"/>
        </w:rPr>
        <w:t>RCP, PhD</w:t>
      </w:r>
      <w:r w:rsidR="007E379E" w:rsidRPr="007E379E">
        <w:rPr>
          <w:rFonts w:ascii="Calibri" w:hAnsi="Calibri" w:cs="Arial"/>
          <w:b/>
          <w:sz w:val="24"/>
          <w:szCs w:val="24"/>
        </w:rPr>
        <w:t xml:space="preserve">, </w:t>
      </w:r>
      <w:r w:rsidRPr="007E379E">
        <w:rPr>
          <w:rFonts w:ascii="Calibri" w:hAnsi="Calibri" w:cs="Arial"/>
          <w:sz w:val="24"/>
          <w:szCs w:val="24"/>
        </w:rPr>
        <w:t>Mark Lown</w:t>
      </w:r>
      <w:r w:rsidR="003F229F">
        <w:rPr>
          <w:rFonts w:ascii="Calibri" w:hAnsi="Calibri" w:cs="Arial"/>
          <w:sz w:val="24"/>
          <w:szCs w:val="24"/>
          <w:vertAlign w:val="superscript"/>
        </w:rPr>
        <w:t>2</w:t>
      </w:r>
      <w:r w:rsidR="003F229F">
        <w:rPr>
          <w:rFonts w:ascii="Calibri" w:hAnsi="Calibri" w:cs="Arial"/>
          <w:sz w:val="24"/>
          <w:szCs w:val="24"/>
        </w:rPr>
        <w:t xml:space="preserve"> MBBS, PhD MRCGP</w:t>
      </w:r>
      <w:r w:rsidR="007E379E" w:rsidRPr="007E379E">
        <w:rPr>
          <w:rFonts w:ascii="Calibri" w:hAnsi="Calibri" w:cs="Arial"/>
          <w:b/>
          <w:sz w:val="24"/>
          <w:szCs w:val="24"/>
        </w:rPr>
        <w:t xml:space="preserve">, </w:t>
      </w:r>
      <w:r w:rsidRPr="007E379E">
        <w:rPr>
          <w:rFonts w:ascii="Calibri" w:hAnsi="Calibri" w:cs="Arial"/>
          <w:sz w:val="24"/>
          <w:szCs w:val="24"/>
        </w:rPr>
        <w:t>Ahmet Fuat</w:t>
      </w:r>
      <w:r w:rsidR="003F229F">
        <w:rPr>
          <w:rFonts w:ascii="Calibri" w:hAnsi="Calibri" w:cs="Arial"/>
          <w:sz w:val="24"/>
          <w:szCs w:val="24"/>
          <w:vertAlign w:val="superscript"/>
        </w:rPr>
        <w:t>3</w:t>
      </w:r>
      <w:r w:rsidR="003F229F">
        <w:rPr>
          <w:rFonts w:ascii="Calibri" w:hAnsi="Calibri" w:cs="Arial"/>
          <w:sz w:val="24"/>
          <w:szCs w:val="24"/>
        </w:rPr>
        <w:t xml:space="preserve"> </w:t>
      </w:r>
      <w:r w:rsidR="00BA679D">
        <w:rPr>
          <w:rFonts w:ascii="Calibri" w:hAnsi="Calibri" w:cs="Arial"/>
          <w:sz w:val="24"/>
          <w:szCs w:val="24"/>
        </w:rPr>
        <w:t xml:space="preserve">MBChB, PhD, </w:t>
      </w:r>
      <w:r w:rsidR="00BA679D">
        <w:rPr>
          <w:rStyle w:val="contrib-degrees"/>
          <w:rFonts w:asciiTheme="minorHAnsi" w:hAnsiTheme="minorHAnsi" w:cstheme="minorHAnsi"/>
          <w:bCs/>
          <w:lang w:val="en"/>
        </w:rPr>
        <w:t>FRCGP, FRCP London, FRCP Edinburgh</w:t>
      </w:r>
      <w:r w:rsidR="003F229F" w:rsidRPr="003F229F">
        <w:rPr>
          <w:rStyle w:val="contrib-degrees"/>
          <w:rFonts w:asciiTheme="minorHAnsi" w:hAnsiTheme="minorHAnsi" w:cstheme="minorHAnsi"/>
          <w:bCs/>
          <w:lang w:val="en"/>
        </w:rPr>
        <w:t xml:space="preserve"> PG Dip (Cardiology)</w:t>
      </w:r>
      <w:r w:rsidR="007E379E" w:rsidRPr="007E379E">
        <w:rPr>
          <w:rFonts w:ascii="Calibri" w:hAnsi="Calibri" w:cs="Arial"/>
          <w:b/>
          <w:sz w:val="24"/>
          <w:szCs w:val="24"/>
        </w:rPr>
        <w:t xml:space="preserve">, </w:t>
      </w:r>
      <w:r w:rsidRPr="007E379E">
        <w:rPr>
          <w:rFonts w:ascii="Calibri" w:hAnsi="Calibri" w:cs="Arial"/>
          <w:sz w:val="24"/>
          <w:szCs w:val="24"/>
        </w:rPr>
        <w:t>Paul Roderick</w:t>
      </w:r>
      <w:r w:rsidR="003F229F">
        <w:rPr>
          <w:rFonts w:ascii="Calibri" w:hAnsi="Calibri" w:cs="Arial"/>
          <w:sz w:val="24"/>
          <w:szCs w:val="24"/>
          <w:vertAlign w:val="superscript"/>
        </w:rPr>
        <w:t>2</w:t>
      </w:r>
      <w:r w:rsidR="003F229F">
        <w:rPr>
          <w:rFonts w:ascii="Calibri" w:hAnsi="Calibri" w:cs="Arial"/>
          <w:sz w:val="24"/>
          <w:szCs w:val="24"/>
        </w:rPr>
        <w:t xml:space="preserve"> MD, FRCP, FFPH. </w:t>
      </w:r>
    </w:p>
    <w:p w14:paraId="222669EE" w14:textId="07423FE8" w:rsidR="00E16C74" w:rsidRPr="00FE4802" w:rsidRDefault="007E379E" w:rsidP="00E16C74">
      <w:pPr>
        <w:spacing w:line="276" w:lineRule="auto"/>
        <w:rPr>
          <w:rFonts w:cstheme="minorHAnsi"/>
          <w:b/>
        </w:rPr>
      </w:pPr>
      <w:r>
        <w:rPr>
          <w:rFonts w:ascii="Calibri" w:hAnsi="Calibri" w:cs="Arial"/>
          <w:b/>
          <w:vertAlign w:val="superscript"/>
        </w:rPr>
        <w:t>1</w:t>
      </w:r>
      <w:r w:rsidR="00FE4802">
        <w:rPr>
          <w:rFonts w:ascii="Calibri" w:hAnsi="Calibri" w:cs="Arial"/>
          <w:b/>
        </w:rPr>
        <w:t xml:space="preserve"> </w:t>
      </w:r>
      <w:r w:rsidR="00FE4802" w:rsidRPr="00FE4802">
        <w:rPr>
          <w:rFonts w:cstheme="minorHAnsi"/>
        </w:rPr>
        <w:t xml:space="preserve">SW Thames Renal Unit, Epsom and St. Hellier NHS Trust, </w:t>
      </w:r>
      <w:r w:rsidR="00FE4802" w:rsidRPr="00FE4802">
        <w:rPr>
          <w:rFonts w:cstheme="minorHAnsi"/>
          <w:lang w:val="en"/>
        </w:rPr>
        <w:t>Renal Unit, St Helier Hospital, SM5 1AA</w:t>
      </w:r>
    </w:p>
    <w:p w14:paraId="10C6A1D5" w14:textId="7F5A5643" w:rsidR="007E379E" w:rsidRPr="00BA679D" w:rsidRDefault="007E379E" w:rsidP="00E16C74">
      <w:pPr>
        <w:spacing w:line="276" w:lineRule="auto"/>
        <w:rPr>
          <w:rFonts w:ascii="Calibri" w:hAnsi="Calibri" w:cs="Arial"/>
        </w:rPr>
      </w:pPr>
      <w:r>
        <w:rPr>
          <w:rFonts w:ascii="Calibri" w:hAnsi="Calibri" w:cs="Arial"/>
          <w:b/>
          <w:vertAlign w:val="superscript"/>
        </w:rPr>
        <w:t>2</w:t>
      </w:r>
      <w:r w:rsidR="00BA679D">
        <w:rPr>
          <w:rFonts w:ascii="Calibri" w:hAnsi="Calibri" w:cs="Arial"/>
          <w:b/>
        </w:rPr>
        <w:t xml:space="preserve"> </w:t>
      </w:r>
      <w:r w:rsidR="00BA679D">
        <w:rPr>
          <w:rFonts w:ascii="Calibri" w:hAnsi="Calibri" w:cs="Arial"/>
        </w:rPr>
        <w:t>Primary Care and Population Sciences, University of Southampton, Aldermoor Health Centre, Aldermoor Close, Southampton, SO165ST.</w:t>
      </w:r>
    </w:p>
    <w:p w14:paraId="1CAB9F06" w14:textId="4AB6A9C1" w:rsidR="007E379E" w:rsidRDefault="007E379E" w:rsidP="00E16C74">
      <w:pPr>
        <w:spacing w:line="276" w:lineRule="auto"/>
      </w:pPr>
      <w:r>
        <w:rPr>
          <w:rFonts w:ascii="Calibri" w:hAnsi="Calibri" w:cs="Arial"/>
          <w:b/>
          <w:vertAlign w:val="superscript"/>
        </w:rPr>
        <w:t xml:space="preserve">3 </w:t>
      </w:r>
      <w:r w:rsidR="00BA679D">
        <w:t>GP Specialist in Cardiology, Darlington Memorial Hospital. Senior Clinical Lecturer, Centre for Integrated Health Care Research, University of Durham, Stockton-on-Tees, TS17 6BH.</w:t>
      </w:r>
    </w:p>
    <w:p w14:paraId="5C9B384A" w14:textId="49CB4D4B" w:rsidR="00FE4802" w:rsidRDefault="00FE4802" w:rsidP="00E16C74">
      <w:pPr>
        <w:spacing w:line="276" w:lineRule="auto"/>
      </w:pPr>
    </w:p>
    <w:p w14:paraId="17610AFE" w14:textId="72BCBE56" w:rsidR="00FE4802" w:rsidRPr="00BA679D" w:rsidRDefault="00FE4802" w:rsidP="00E16C74">
      <w:pPr>
        <w:spacing w:line="276" w:lineRule="auto"/>
        <w:rPr>
          <w:rFonts w:ascii="Calibri" w:hAnsi="Calibri" w:cs="Arial"/>
        </w:rPr>
      </w:pPr>
      <w:r>
        <w:t xml:space="preserve">Address for correspondence: </w:t>
      </w:r>
      <w:r w:rsidRPr="007E379E">
        <w:rPr>
          <w:rFonts w:ascii="Calibri" w:hAnsi="Calibri" w:cs="Arial"/>
          <w:sz w:val="24"/>
          <w:szCs w:val="24"/>
        </w:rPr>
        <w:t>Hugh Gallagher</w:t>
      </w:r>
      <w:r>
        <w:rPr>
          <w:rFonts w:ascii="Calibri" w:hAnsi="Calibri" w:cs="Arial"/>
          <w:sz w:val="24"/>
          <w:szCs w:val="24"/>
        </w:rPr>
        <w:t xml:space="preserve">, </w:t>
      </w:r>
      <w:r w:rsidRPr="00FE4802">
        <w:rPr>
          <w:rFonts w:cstheme="minorHAnsi"/>
        </w:rPr>
        <w:t xml:space="preserve">SW Thames Renal Unit, Epsom and St. Hellier NHS Trust, </w:t>
      </w:r>
      <w:r w:rsidRPr="00FE4802">
        <w:rPr>
          <w:rFonts w:cstheme="minorHAnsi"/>
          <w:lang w:val="en"/>
        </w:rPr>
        <w:t>Renal Unit, St Helier Hospital, SM5 1AA</w:t>
      </w:r>
      <w:r>
        <w:rPr>
          <w:rFonts w:cstheme="minorHAnsi"/>
          <w:lang w:val="en"/>
        </w:rPr>
        <w:t xml:space="preserve">. Email: </w:t>
      </w:r>
      <w:r w:rsidRPr="00FE4802">
        <w:rPr>
          <w:rFonts w:cstheme="minorHAnsi"/>
          <w:lang w:val="en"/>
        </w:rPr>
        <w:t>hugh.gallagher1@nhs.net</w:t>
      </w:r>
    </w:p>
    <w:p w14:paraId="1B71252A" w14:textId="1FEF8176" w:rsidR="006540FB" w:rsidRPr="00E16C74" w:rsidRDefault="006540FB" w:rsidP="00E16C74">
      <w:pPr>
        <w:spacing w:line="276" w:lineRule="auto"/>
        <w:rPr>
          <w:rFonts w:ascii="Calibri" w:hAnsi="Calibri" w:cs="Arial"/>
          <w:b/>
        </w:rPr>
      </w:pPr>
      <w:r w:rsidRPr="00E16C74">
        <w:rPr>
          <w:rFonts w:ascii="Calibri" w:hAnsi="Calibri" w:cs="Arial"/>
          <w:b/>
        </w:rPr>
        <w:t>Introduction</w:t>
      </w:r>
    </w:p>
    <w:p w14:paraId="5EAB8024" w14:textId="655076C0" w:rsidR="00AB4967" w:rsidRPr="00E16C74" w:rsidRDefault="005D0ACA" w:rsidP="00E16C74">
      <w:pPr>
        <w:spacing w:line="276" w:lineRule="auto"/>
        <w:rPr>
          <w:rFonts w:ascii="Calibri" w:hAnsi="Calibri" w:cs="Arial"/>
          <w:vertAlign w:val="superscript"/>
        </w:rPr>
      </w:pPr>
      <w:r w:rsidRPr="00E16C74">
        <w:rPr>
          <w:rFonts w:ascii="Calibri" w:hAnsi="Calibri" w:cs="Arial"/>
        </w:rPr>
        <w:t>Chronic kidney disease (CKD) is defined as an</w:t>
      </w:r>
      <w:r w:rsidR="00770BF2" w:rsidRPr="00E16C74">
        <w:rPr>
          <w:rFonts w:ascii="Calibri" w:hAnsi="Calibri" w:cs="Arial"/>
        </w:rPr>
        <w:t>y abnormality of kidney function or structure with implications for health that is present for more than three months. It is classified according to the estimated glome</w:t>
      </w:r>
      <w:r w:rsidR="00314ABA" w:rsidRPr="00E16C74">
        <w:rPr>
          <w:rFonts w:ascii="Calibri" w:hAnsi="Calibri" w:cs="Arial"/>
        </w:rPr>
        <w:t>r</w:t>
      </w:r>
      <w:r w:rsidR="00770BF2" w:rsidRPr="00E16C74">
        <w:rPr>
          <w:rFonts w:ascii="Calibri" w:hAnsi="Calibri" w:cs="Arial"/>
        </w:rPr>
        <w:t>ular filtration rate (eGFR) and urine albumin:creatinine ratio (ACR). The presence of an eGFR &lt; 60 mL/min/1.73m</w:t>
      </w:r>
      <w:r w:rsidR="00770BF2" w:rsidRPr="00E16C74">
        <w:rPr>
          <w:rFonts w:ascii="Calibri" w:hAnsi="Calibri" w:cs="Arial"/>
          <w:vertAlign w:val="superscript"/>
        </w:rPr>
        <w:t>2</w:t>
      </w:r>
      <w:r w:rsidR="00770BF2" w:rsidRPr="00E16C74">
        <w:rPr>
          <w:rFonts w:ascii="Calibri" w:hAnsi="Calibri" w:cs="Arial"/>
        </w:rPr>
        <w:t xml:space="preserve"> or an ACR &gt;= 3 mg/mmol for more than 90 days is diagnostic of CKD. </w:t>
      </w:r>
      <w:r w:rsidR="00770BF2" w:rsidRPr="00E16C74">
        <w:rPr>
          <w:rFonts w:ascii="Calibri" w:hAnsi="Calibri" w:cs="Arial"/>
          <w:vertAlign w:val="superscript"/>
        </w:rPr>
        <w:t xml:space="preserve"> </w:t>
      </w:r>
    </w:p>
    <w:p w14:paraId="745FD4A5" w14:textId="6622EA08" w:rsidR="00956440" w:rsidRPr="00332EFD" w:rsidRDefault="005D0ACA" w:rsidP="00FF6658">
      <w:pPr>
        <w:spacing w:line="276" w:lineRule="auto"/>
        <w:rPr>
          <w:highlight w:val="yellow"/>
          <w:lang w:val="en"/>
        </w:rPr>
      </w:pPr>
      <w:r w:rsidRPr="0076455E">
        <w:rPr>
          <w:rFonts w:ascii="Calibri" w:hAnsi="Calibri" w:cs="Arial"/>
          <w:highlight w:val="yellow"/>
        </w:rPr>
        <w:t xml:space="preserve">Chronic Kidney disease (CKD) is common. </w:t>
      </w:r>
      <w:r w:rsidR="0076455E" w:rsidRPr="0076455E">
        <w:rPr>
          <w:highlight w:val="yellow"/>
        </w:rPr>
        <w:t>Using eGFR levels and urinary albumin</w:t>
      </w:r>
      <w:r w:rsidR="0076455E" w:rsidRPr="0076455E">
        <w:rPr>
          <w:highlight w:val="yellow"/>
        </w:rPr>
        <w:t xml:space="preserve"> in England (2016)</w:t>
      </w:r>
      <w:r w:rsidR="0076455E" w:rsidRPr="0076455E">
        <w:rPr>
          <w:highlight w:val="yellow"/>
        </w:rPr>
        <w:t xml:space="preserve">, 15% of adults aged 35 and over had any </w:t>
      </w:r>
      <w:r w:rsidR="0076455E" w:rsidRPr="0076455E">
        <w:rPr>
          <w:highlight w:val="yellow"/>
        </w:rPr>
        <w:t>CKD</w:t>
      </w:r>
      <w:r w:rsidR="0076455E" w:rsidRPr="0076455E">
        <w:rPr>
          <w:highlight w:val="yellow"/>
        </w:rPr>
        <w:t xml:space="preserve"> (stage 1 to 5), and 7% had </w:t>
      </w:r>
      <w:r w:rsidR="0076455E" w:rsidRPr="0076455E">
        <w:rPr>
          <w:highlight w:val="yellow"/>
        </w:rPr>
        <w:t>CKD stage 3 to 5</w:t>
      </w:r>
      <w:r w:rsidR="0076455E">
        <w:rPr>
          <w:highlight w:val="yellow"/>
        </w:rPr>
        <w:t xml:space="preserve"> (1)</w:t>
      </w:r>
      <w:r w:rsidR="0076455E" w:rsidRPr="0076455E">
        <w:rPr>
          <w:highlight w:val="yellow"/>
        </w:rPr>
        <w:t>.</w:t>
      </w:r>
      <w:r w:rsidRPr="00E16C74">
        <w:rPr>
          <w:rFonts w:ascii="Calibri" w:hAnsi="Calibri" w:cs="Arial"/>
        </w:rPr>
        <w:t xml:space="preserve"> An important minority of people with CKD will </w:t>
      </w:r>
      <w:r w:rsidR="00174D3F">
        <w:rPr>
          <w:rFonts w:ascii="Calibri" w:hAnsi="Calibri" w:cs="Arial"/>
        </w:rPr>
        <w:t>progress to e</w:t>
      </w:r>
      <w:r w:rsidRPr="00E16C74">
        <w:rPr>
          <w:rFonts w:ascii="Calibri" w:hAnsi="Calibri" w:cs="Arial"/>
        </w:rPr>
        <w:t>nd-stage renal disease</w:t>
      </w:r>
      <w:r w:rsidR="00174D3F">
        <w:rPr>
          <w:rFonts w:ascii="Calibri" w:hAnsi="Calibri" w:cs="Arial"/>
        </w:rPr>
        <w:t xml:space="preserve"> and require renal replacement therapy</w:t>
      </w:r>
      <w:r w:rsidRPr="00E16C74">
        <w:rPr>
          <w:rFonts w:ascii="Calibri" w:hAnsi="Calibri" w:cs="Arial"/>
        </w:rPr>
        <w:t xml:space="preserve">, but the greatest significance of CKD is as a powerful and potentially modifiable risk factor for cardiovascular disease (CVD). </w:t>
      </w:r>
      <w:r w:rsidR="00770BF2" w:rsidRPr="00E16C74">
        <w:rPr>
          <w:rFonts w:ascii="Calibri" w:hAnsi="Calibri" w:cs="Arial"/>
        </w:rPr>
        <w:t xml:space="preserve">Large-scale robust epidemiological data indicate that the risks of both all-cause mortality and cardiovascular </w:t>
      </w:r>
      <w:r w:rsidR="00514C2A">
        <w:rPr>
          <w:rFonts w:ascii="Calibri" w:hAnsi="Calibri" w:cs="Arial"/>
        </w:rPr>
        <w:t xml:space="preserve">(CV) </w:t>
      </w:r>
      <w:r w:rsidR="00770BF2" w:rsidRPr="00E16C74">
        <w:rPr>
          <w:rFonts w:ascii="Calibri" w:hAnsi="Calibri" w:cs="Arial"/>
        </w:rPr>
        <w:t>mortality in the general population increase with eGFR &lt; 60 mL/min/1.73m</w:t>
      </w:r>
      <w:r w:rsidR="00770BF2" w:rsidRPr="00E16C74">
        <w:rPr>
          <w:rFonts w:ascii="Calibri" w:hAnsi="Calibri" w:cs="Arial"/>
          <w:vertAlign w:val="superscript"/>
        </w:rPr>
        <w:t>2</w:t>
      </w:r>
      <w:r w:rsidR="00770BF2" w:rsidRPr="00E16C74">
        <w:rPr>
          <w:rFonts w:ascii="Calibri" w:hAnsi="Calibri" w:cs="Arial"/>
        </w:rPr>
        <w:t xml:space="preserve"> or an ACR &gt;= 1 mg/mmol</w:t>
      </w:r>
      <w:r w:rsidR="00FF6658">
        <w:rPr>
          <w:lang w:val="en"/>
        </w:rPr>
        <w:t xml:space="preserve">. </w:t>
      </w:r>
      <w:r w:rsidR="00514C2A">
        <w:rPr>
          <w:lang w:val="en"/>
        </w:rPr>
        <w:t xml:space="preserve"> The risks are graded: </w:t>
      </w:r>
      <w:r w:rsidR="00514C2A">
        <w:rPr>
          <w:highlight w:val="yellow"/>
          <w:lang w:val="en"/>
        </w:rPr>
        <w:t>c</w:t>
      </w:r>
      <w:r w:rsidR="00FF6658" w:rsidRPr="00FF6658">
        <w:rPr>
          <w:highlight w:val="yellow"/>
          <w:lang w:val="en"/>
        </w:rPr>
        <w:t>ompared to eGFR 95 ml/min/1·73 m</w:t>
      </w:r>
      <w:r w:rsidR="00FF6658" w:rsidRPr="00FF6658">
        <w:rPr>
          <w:highlight w:val="yellow"/>
          <w:vertAlign w:val="superscript"/>
          <w:lang w:val="en"/>
        </w:rPr>
        <w:t>2</w:t>
      </w:r>
      <w:r w:rsidR="00FF6658" w:rsidRPr="00FF6658">
        <w:rPr>
          <w:highlight w:val="yellow"/>
          <w:lang w:val="en"/>
        </w:rPr>
        <w:t xml:space="preserve">, </w:t>
      </w:r>
      <w:r w:rsidR="00514C2A">
        <w:rPr>
          <w:highlight w:val="yellow"/>
          <w:lang w:val="en"/>
        </w:rPr>
        <w:t>hazard ratios</w:t>
      </w:r>
      <w:r w:rsidR="00FF6658" w:rsidRPr="00FF6658">
        <w:rPr>
          <w:highlight w:val="yellow"/>
          <w:lang w:val="en"/>
        </w:rPr>
        <w:t xml:space="preserve"> for CV mortality at eGFR 60, 45, and 15 ml/min/1·73 m</w:t>
      </w:r>
      <w:r w:rsidR="00FF6658" w:rsidRPr="00FF6658">
        <w:rPr>
          <w:highlight w:val="yellow"/>
          <w:vertAlign w:val="superscript"/>
          <w:lang w:val="en"/>
        </w:rPr>
        <w:t>2</w:t>
      </w:r>
      <w:r w:rsidR="00FF6658" w:rsidRPr="00FF6658">
        <w:rPr>
          <w:highlight w:val="yellow"/>
          <w:lang w:val="en"/>
        </w:rPr>
        <w:t xml:space="preserve"> </w:t>
      </w:r>
      <w:r w:rsidR="00514C2A">
        <w:rPr>
          <w:highlight w:val="yellow"/>
          <w:lang w:val="en"/>
        </w:rPr>
        <w:t>are</w:t>
      </w:r>
      <w:r w:rsidR="00514C2A" w:rsidRPr="00FF6658">
        <w:rPr>
          <w:highlight w:val="yellow"/>
          <w:lang w:val="en"/>
        </w:rPr>
        <w:t xml:space="preserve"> </w:t>
      </w:r>
      <w:r w:rsidR="00FF6658" w:rsidRPr="00FF6658">
        <w:rPr>
          <w:highlight w:val="yellow"/>
          <w:lang w:val="en"/>
        </w:rPr>
        <w:t>approximately 1.5, 2 and 3</w:t>
      </w:r>
      <w:r w:rsidR="00514C2A">
        <w:rPr>
          <w:highlight w:val="yellow"/>
          <w:lang w:val="en"/>
        </w:rPr>
        <w:t xml:space="preserve"> respectively; a similar pattern is seen with rising urine ACR</w:t>
      </w:r>
      <w:r w:rsidR="00514C2A">
        <w:rPr>
          <w:lang w:val="en"/>
        </w:rPr>
        <w:t xml:space="preserve">.  </w:t>
      </w:r>
      <w:r w:rsidR="00514C2A" w:rsidRPr="00332EFD">
        <w:rPr>
          <w:highlight w:val="yellow"/>
          <w:lang w:val="en"/>
        </w:rPr>
        <w:t xml:space="preserve">eGFR and ACR are multiplicatively associated with mortality risk with no evidence of interaction </w:t>
      </w:r>
      <w:r w:rsidR="00514C2A" w:rsidRPr="00332EFD">
        <w:rPr>
          <w:highlight w:val="yellow"/>
          <w:lang w:val="en"/>
        </w:rPr>
        <w:fldChar w:fldCharType="begin" w:fldLock="1"/>
      </w:r>
      <w:r w:rsidR="00514C2A" w:rsidRPr="00332EFD">
        <w:rPr>
          <w:highlight w:val="yellow"/>
          <w:lang w:val="en"/>
        </w:rPr>
        <w:instrText>ADDIN CSL_CITATION {"citationItems":[{"id":"ITEM-1","itemData":{"DOI":"10.1016/S0140-6736(10)60674-5","ISSN":"1474-547X","PMID":"20483451","abstract":"BACKGROUND Substantial controversy surrounds the use of estimated glomerular filtration rate (eGFR) and albuminuria to define chronic kidney disease and assign its stages. We undertook a meta-analysis to assess the independent and combined associations of eGFR and albuminuria with mortality. METHODS In this collaborative meta-analysis of general population cohorts, we pooled standardised data for all-cause and cardiovascular mortality from studies containing at least 1000 participants and baseline information about eGFR and urine albumin concentrations. Cox proportional hazards models were used to estimate hazard ratios (HRs) for all-cause and cardiovascular mortality associated with eGFR and albuminuria, adjusted for potential confounders. FINDINGS The analysis included 105,872 participants (730,577 person-years) from 14 studies with urine albumin-to-creatinine ratio (ACR) measurements and 1,128,310 participants (4,732,110 person-years) from seven studies with urine protein dipstick measurements. In studies with ACR measurements, risk of mortality was unrelated to eGFR between 75 mL/min/1.73 m(2) and 105 mL/min/1.73 m(2) and increased at lower eGFRs. Compared with eGFR 95 mL/min/1.73 m(2), adjusted HRs for all-cause mortality were 1.18 (95% CI 1.05-1.32) for eGFR 60 mL/min/1.73 m(2), 1.57 (1.39-1.78) for 45 mL/min/1.73 m(2), and 3.14 (2.39-4.13) for 15 mL/min/1.73 m(2). ACR was associated with risk of mortality linearly on the log-log scale without threshold effects. Compared with ACR 0.6 mg/mmol, adjusted HRs for all-cause mortality were 1.20 (1.15-1.26) for ACR 1.1 mg/mmol, 1.63 (1.50-1.77) for 3.4 mg/mmol, and 2.22 (1.97-2.51) for 33.9 mg/mmol. eGFR and ACR were multiplicatively associated with risk of mortality without evidence of interaction. Similar findings were recorded for cardiovascular mortality and in studies with dipstick measurements. INTERPRETATION eGFR less than 60 mL/min/1.73 m(2) and ACR 1.1 mg/mmol (10 mg/g) or more are independent predictors of mortality risk in the general population. This study provides quantitative data for use of both kidney measures for risk assessment and definition and staging of chronic kidney disease. FUNDING Kidney Disease: Improving Global Outcomes (KDIGO), US National Kidney Foundation, and Dutch Kidney Foundation.","author":[{"dropping-particle":"","family":"Chronic Kidney Disease Prognosis Consortium","given":"","non-dropping-particle":"","parse-names":false,"suffix":""},{"dropping-particle":"","family":"Matsushita","given":"Kunihiro","non-dropping-particle":"","parse-names":false,"suffix":""},{"dropping-particle":"","family":"Velde","given":"Marije","non-dropping-particle":"van der","parse-names":false,"suffix":""},{"dropping-particle":"","family":"Astor","given":"Brad C","non-dropping-particle":"","parse-names":false,"suffix":""},{"dropping-particle":"","family":"Woodward","given":"Mark","non-dropping-particle":"","parse-names":false,"suffix":""},{"dropping-particle":"","family":"Levey","given":"Andrew S","non-dropping-particle":"","parse-names":false,"suffix":""},{"dropping-particle":"","family":"Jong","given":"Paul E","non-dropping-particle":"de","parse-names":false,"suffix":""},{"dropping-particle":"","family":"Coresh","given":"Josef","non-dropping-particle":"","parse-names":false,"suffix":""},{"dropping-particle":"","family":"Gansevoort","given":"Ron T","non-dropping-particle":"","parse-names":false,"suffix":""}],"container-title":"Lancet (London, England)","id":"ITEM-1","issue":"9731","issued":{"date-parts":[["2010","6","12"]]},"page":"2073-81","title":"Association of estimated glomerular filtration rate and albuminuria with all-cause and cardiovascular mortality in general population cohorts: a collaborative meta-analysis.","type":"article-journal","volume":"375"},"uris":["http://www.mendeley.com/documents/?uuid=84a4a04a-beb4-4714-aafb-975cb3507ff9"]}],"mendeley":{"formattedCitation":"(2)","plainTextFormattedCitation":"(2)","previouslyFormattedCitation":"(2)"},"properties":{"noteIndex":0},"schema":"https://github.com/citation-style-language/schema/raw/master/csl-citation.json"}</w:instrText>
      </w:r>
      <w:r w:rsidR="00514C2A" w:rsidRPr="00332EFD">
        <w:rPr>
          <w:highlight w:val="yellow"/>
          <w:lang w:val="en"/>
        </w:rPr>
        <w:fldChar w:fldCharType="separate"/>
      </w:r>
      <w:r w:rsidR="00514C2A" w:rsidRPr="00332EFD">
        <w:rPr>
          <w:highlight w:val="yellow"/>
          <w:lang w:val="en"/>
        </w:rPr>
        <w:t>(2)</w:t>
      </w:r>
      <w:r w:rsidR="00514C2A" w:rsidRPr="00332EFD">
        <w:rPr>
          <w:highlight w:val="yellow"/>
          <w:lang w:val="en"/>
        </w:rPr>
        <w:fldChar w:fldCharType="end"/>
      </w:r>
    </w:p>
    <w:p w14:paraId="1B6DA98A" w14:textId="476D8983" w:rsidR="00D80596" w:rsidRPr="00E16C74" w:rsidRDefault="00D80596" w:rsidP="00E16C74">
      <w:pPr>
        <w:spacing w:line="276" w:lineRule="auto"/>
        <w:rPr>
          <w:rFonts w:ascii="Calibri" w:hAnsi="Calibri" w:cs="Arial"/>
        </w:rPr>
      </w:pPr>
      <w:r w:rsidRPr="00E16C74">
        <w:rPr>
          <w:rFonts w:ascii="Calibri" w:hAnsi="Calibri" w:cs="Arial"/>
        </w:rPr>
        <w:t>The pattern of vascular events in people with CKD varies according to disease se</w:t>
      </w:r>
      <w:r w:rsidR="006540FB" w:rsidRPr="00E16C74">
        <w:rPr>
          <w:rFonts w:ascii="Calibri" w:hAnsi="Calibri" w:cs="Arial"/>
        </w:rPr>
        <w:t xml:space="preserve">verity. In less severe </w:t>
      </w:r>
      <w:r w:rsidR="000748A5">
        <w:rPr>
          <w:rFonts w:ascii="Calibri" w:hAnsi="Calibri" w:cs="Arial"/>
        </w:rPr>
        <w:t xml:space="preserve">renal </w:t>
      </w:r>
      <w:r w:rsidR="006540FB" w:rsidRPr="00E16C74">
        <w:rPr>
          <w:rFonts w:ascii="Calibri" w:hAnsi="Calibri" w:cs="Arial"/>
        </w:rPr>
        <w:t xml:space="preserve">disease </w:t>
      </w:r>
      <w:r w:rsidR="00174D3F">
        <w:rPr>
          <w:rFonts w:ascii="Calibri" w:hAnsi="Calibri" w:cs="Arial"/>
        </w:rPr>
        <w:t>atherothrombotic</w:t>
      </w:r>
      <w:r w:rsidRPr="00E16C74">
        <w:rPr>
          <w:rFonts w:ascii="Calibri" w:hAnsi="Calibri" w:cs="Arial"/>
        </w:rPr>
        <w:t xml:space="preserve"> events dominate. With severe impairment of eGFR and in particular in those receiving re</w:t>
      </w:r>
      <w:r w:rsidR="006540FB" w:rsidRPr="00E16C74">
        <w:rPr>
          <w:rFonts w:ascii="Calibri" w:hAnsi="Calibri" w:cs="Arial"/>
        </w:rPr>
        <w:t>nal replacement therapy, athero</w:t>
      </w:r>
      <w:r w:rsidRPr="00E16C74">
        <w:rPr>
          <w:rFonts w:ascii="Calibri" w:hAnsi="Calibri" w:cs="Arial"/>
        </w:rPr>
        <w:t xml:space="preserve">sclerotic events are </w:t>
      </w:r>
      <w:r w:rsidR="00174D3F">
        <w:rPr>
          <w:rFonts w:ascii="Calibri" w:hAnsi="Calibri" w:cs="Arial"/>
        </w:rPr>
        <w:t xml:space="preserve">proportionally </w:t>
      </w:r>
      <w:r w:rsidRPr="00E16C74">
        <w:rPr>
          <w:rFonts w:ascii="Calibri" w:hAnsi="Calibri" w:cs="Arial"/>
        </w:rPr>
        <w:t xml:space="preserve">less common and </w:t>
      </w:r>
      <w:r w:rsidR="009D3CCC">
        <w:rPr>
          <w:rFonts w:ascii="Calibri" w:hAnsi="Calibri" w:cs="Arial"/>
        </w:rPr>
        <w:t xml:space="preserve">serious </w:t>
      </w:r>
      <w:r w:rsidRPr="00E16C74">
        <w:rPr>
          <w:rFonts w:ascii="Calibri" w:hAnsi="Calibri" w:cs="Arial"/>
        </w:rPr>
        <w:t xml:space="preserve">arrhythmia and heart failure more important. </w:t>
      </w:r>
    </w:p>
    <w:p w14:paraId="055768FF" w14:textId="77777777" w:rsidR="00E96210" w:rsidRPr="00E16C74" w:rsidRDefault="00E96210" w:rsidP="00E16C74">
      <w:pPr>
        <w:spacing w:line="276" w:lineRule="auto"/>
        <w:rPr>
          <w:rFonts w:ascii="Calibri" w:hAnsi="Calibri" w:cs="Arial"/>
        </w:rPr>
      </w:pPr>
    </w:p>
    <w:p w14:paraId="5CC6136E" w14:textId="6100D6C4" w:rsidR="00956440" w:rsidRPr="00E16C74" w:rsidRDefault="00F01A40" w:rsidP="00E16C74">
      <w:pPr>
        <w:spacing w:line="276" w:lineRule="auto"/>
        <w:rPr>
          <w:rFonts w:ascii="Calibri" w:hAnsi="Calibri" w:cs="Arial"/>
          <w:b/>
        </w:rPr>
      </w:pPr>
      <w:r w:rsidRPr="00E16C74">
        <w:rPr>
          <w:rFonts w:ascii="Calibri" w:hAnsi="Calibri" w:cs="Arial"/>
          <w:b/>
        </w:rPr>
        <w:t xml:space="preserve">Aspirin and </w:t>
      </w:r>
      <w:r w:rsidR="00314ABA" w:rsidRPr="00E16C74">
        <w:rPr>
          <w:rFonts w:ascii="Calibri" w:hAnsi="Calibri" w:cs="Arial"/>
          <w:b/>
        </w:rPr>
        <w:t>secondary prevention</w:t>
      </w:r>
      <w:r w:rsidR="00956440" w:rsidRPr="00E16C74">
        <w:rPr>
          <w:rFonts w:ascii="Calibri" w:hAnsi="Calibri" w:cs="Arial"/>
          <w:b/>
        </w:rPr>
        <w:t xml:space="preserve"> </w:t>
      </w:r>
      <w:r w:rsidR="006540FB" w:rsidRPr="00E16C74">
        <w:rPr>
          <w:rFonts w:ascii="Calibri" w:hAnsi="Calibri" w:cs="Arial"/>
          <w:b/>
        </w:rPr>
        <w:t>in the general population</w:t>
      </w:r>
    </w:p>
    <w:p w14:paraId="35E449FD" w14:textId="5EA772C1" w:rsidR="00541769" w:rsidRPr="00E16C74" w:rsidRDefault="00956440" w:rsidP="00E16C74">
      <w:pPr>
        <w:spacing w:line="276" w:lineRule="auto"/>
        <w:rPr>
          <w:rFonts w:ascii="Calibri" w:hAnsi="Calibri" w:cs="Arial"/>
        </w:rPr>
      </w:pPr>
      <w:r w:rsidRPr="00E16C74">
        <w:rPr>
          <w:rFonts w:ascii="Calibri" w:hAnsi="Calibri" w:cs="Arial"/>
        </w:rPr>
        <w:t xml:space="preserve">There is good evidence that antiplatelet therapy reduces the risk of subsequent vascular events in patients with </w:t>
      </w:r>
      <w:r w:rsidR="00AB4967" w:rsidRPr="00E16C74">
        <w:rPr>
          <w:rFonts w:ascii="Calibri" w:hAnsi="Calibri" w:cs="Arial"/>
        </w:rPr>
        <w:t>pre-</w:t>
      </w:r>
      <w:r w:rsidRPr="00E16C74">
        <w:rPr>
          <w:rFonts w:ascii="Calibri" w:hAnsi="Calibri" w:cs="Arial"/>
        </w:rPr>
        <w:t>existing CVD (secondary prevention) and that overall the benefits outweigh the risks of major bleeding (the principal complication o</w:t>
      </w:r>
      <w:r w:rsidR="008C5F45" w:rsidRPr="00E16C74">
        <w:rPr>
          <w:rFonts w:ascii="Calibri" w:hAnsi="Calibri" w:cs="Arial"/>
        </w:rPr>
        <w:t xml:space="preserve">f therapy). A meta-analysis </w:t>
      </w:r>
      <w:r w:rsidR="00D93067" w:rsidRPr="00E16C74">
        <w:rPr>
          <w:rFonts w:ascii="Calibri" w:hAnsi="Calibri" w:cs="Arial"/>
        </w:rPr>
        <w:t xml:space="preserve">conducted by the </w:t>
      </w:r>
      <w:r w:rsidR="00D93067" w:rsidRPr="00E16C74">
        <w:rPr>
          <w:rFonts w:ascii="Calibri" w:hAnsi="Calibri" w:cs="Arial"/>
        </w:rPr>
        <w:lastRenderedPageBreak/>
        <w:t xml:space="preserve">Antithrombotic Trialists’ Collaboration (ATC) </w:t>
      </w:r>
      <w:r w:rsidR="00D80596" w:rsidRPr="00E16C74">
        <w:rPr>
          <w:rFonts w:ascii="Calibri" w:hAnsi="Calibri" w:cs="Arial"/>
        </w:rPr>
        <w:t xml:space="preserve">found </w:t>
      </w:r>
      <w:r w:rsidR="00D93067" w:rsidRPr="00E16C74">
        <w:rPr>
          <w:rFonts w:ascii="Calibri" w:hAnsi="Calibri" w:cs="Arial"/>
        </w:rPr>
        <w:t>a relative risk reduction of 22%</w:t>
      </w:r>
      <w:r w:rsidR="00D80596" w:rsidRPr="00E16C74">
        <w:rPr>
          <w:rFonts w:ascii="Calibri" w:hAnsi="Calibri" w:cs="Arial"/>
        </w:rPr>
        <w:t xml:space="preserve"> in major vascular events</w:t>
      </w:r>
      <w:r w:rsidR="00584B18" w:rsidRPr="00E96210">
        <w:rPr>
          <w:rFonts w:ascii="Calibri" w:hAnsi="Calibri" w:cs="Arial"/>
        </w:rPr>
        <w:t xml:space="preserve"> (</w:t>
      </w:r>
      <w:r w:rsidR="00C3232A" w:rsidRPr="00E16C74">
        <w:rPr>
          <w:rFonts w:ascii="Calibri" w:hAnsi="Calibri" w:cs="Arial"/>
        </w:rPr>
        <w:t xml:space="preserve">MVE: </w:t>
      </w:r>
      <w:r w:rsidR="00584B18" w:rsidRPr="00E96210">
        <w:rPr>
          <w:rFonts w:ascii="Calibri" w:hAnsi="Calibri" w:cs="Arial"/>
        </w:rPr>
        <w:t>non-fatal myocardial infar</w:t>
      </w:r>
      <w:r w:rsidR="00584B18" w:rsidRPr="00314ABA">
        <w:rPr>
          <w:rFonts w:ascii="Calibri" w:hAnsi="Calibri" w:cs="Arial"/>
        </w:rPr>
        <w:t>ction</w:t>
      </w:r>
      <w:r w:rsidR="000979B5" w:rsidRPr="00E16C74">
        <w:rPr>
          <w:rFonts w:ascii="Calibri" w:hAnsi="Calibri" w:cs="Arial"/>
        </w:rPr>
        <w:t xml:space="preserve"> [MI]</w:t>
      </w:r>
      <w:r w:rsidR="00584B18" w:rsidRPr="00E96210">
        <w:rPr>
          <w:rFonts w:ascii="Calibri" w:hAnsi="Calibri" w:cs="Arial"/>
        </w:rPr>
        <w:t xml:space="preserve">, non-fatal stroke and </w:t>
      </w:r>
      <w:r w:rsidR="000979B5" w:rsidRPr="00E16C74">
        <w:rPr>
          <w:rFonts w:ascii="Calibri" w:hAnsi="Calibri" w:cs="Arial"/>
        </w:rPr>
        <w:t>cardiovascular</w:t>
      </w:r>
      <w:r w:rsidR="00584B18" w:rsidRPr="00E96210">
        <w:rPr>
          <w:rFonts w:ascii="Calibri" w:hAnsi="Calibri" w:cs="Arial"/>
        </w:rPr>
        <w:t xml:space="preserve"> death)</w:t>
      </w:r>
      <w:r w:rsidR="00D93067" w:rsidRPr="00E16C74">
        <w:rPr>
          <w:rFonts w:ascii="Calibri" w:hAnsi="Calibri" w:cs="Arial"/>
        </w:rPr>
        <w:t xml:space="preserve"> in those treated with </w:t>
      </w:r>
      <w:r w:rsidR="008C5F45" w:rsidRPr="00E16C74">
        <w:rPr>
          <w:rFonts w:ascii="Calibri" w:hAnsi="Calibri" w:cs="Arial"/>
        </w:rPr>
        <w:t>antiplatelet agents (primarily aspirin</w:t>
      </w:r>
      <w:r w:rsidR="006540FB" w:rsidRPr="00E16C74">
        <w:rPr>
          <w:rFonts w:ascii="Calibri" w:hAnsi="Calibri" w:cs="Arial"/>
          <w:i/>
        </w:rPr>
        <w:t xml:space="preserve">) </w:t>
      </w:r>
      <w:r w:rsidR="006540FB" w:rsidRPr="00E16C74">
        <w:rPr>
          <w:rFonts w:ascii="Calibri" w:hAnsi="Calibri" w:cs="Arial"/>
        </w:rPr>
        <w:t>compared with</w:t>
      </w:r>
      <w:r w:rsidR="00D93067" w:rsidRPr="00E16C74">
        <w:rPr>
          <w:rFonts w:ascii="Calibri" w:hAnsi="Calibri" w:cs="Arial"/>
        </w:rPr>
        <w:t xml:space="preserve"> controls</w:t>
      </w:r>
      <w:r w:rsidR="008C5F45" w:rsidRPr="00E16C74">
        <w:rPr>
          <w:rFonts w:ascii="Calibri" w:hAnsi="Calibri" w:cs="Arial"/>
        </w:rPr>
        <w:t>.</w:t>
      </w:r>
      <w:r w:rsidR="00D93067" w:rsidRPr="00E16C74">
        <w:rPr>
          <w:rFonts w:ascii="Calibri" w:hAnsi="Calibri" w:cs="Arial"/>
        </w:rPr>
        <w:t xml:space="preserve">  Overall </w:t>
      </w:r>
      <w:r w:rsidR="006540FB" w:rsidRPr="00E16C74">
        <w:rPr>
          <w:rFonts w:ascii="Calibri" w:hAnsi="Calibri" w:cs="Arial"/>
        </w:rPr>
        <w:t>in this high-risk group (annual absolute</w:t>
      </w:r>
      <w:r w:rsidR="00584B18" w:rsidRPr="00E96210">
        <w:rPr>
          <w:rFonts w:ascii="Calibri" w:hAnsi="Calibri" w:cs="Arial"/>
        </w:rPr>
        <w:t xml:space="preserve"> risk of </w:t>
      </w:r>
      <w:r w:rsidR="00C3232A" w:rsidRPr="00E16C74">
        <w:rPr>
          <w:rFonts w:ascii="Calibri" w:hAnsi="Calibri" w:cs="Arial"/>
        </w:rPr>
        <w:t>MVE</w:t>
      </w:r>
      <w:r w:rsidR="006540FB" w:rsidRPr="00E16C74">
        <w:rPr>
          <w:rFonts w:ascii="Calibri" w:hAnsi="Calibri" w:cs="Arial"/>
        </w:rPr>
        <w:t xml:space="preserve"> </w:t>
      </w:r>
      <w:r w:rsidR="000979B5" w:rsidRPr="00E16C74">
        <w:rPr>
          <w:rFonts w:ascii="Calibri" w:hAnsi="Calibri" w:cs="Arial"/>
        </w:rPr>
        <w:t>greater than</w:t>
      </w:r>
      <w:r w:rsidR="006540FB" w:rsidRPr="00E16C74">
        <w:rPr>
          <w:rFonts w:ascii="Calibri" w:hAnsi="Calibri" w:cs="Arial"/>
        </w:rPr>
        <w:t xml:space="preserve"> 3%)</w:t>
      </w:r>
      <w:r w:rsidR="00314ABA" w:rsidRPr="00E16C74">
        <w:rPr>
          <w:rFonts w:ascii="Calibri" w:hAnsi="Calibri" w:cs="Arial"/>
        </w:rPr>
        <w:t xml:space="preserve"> aspirin prevented 10-20 MVE per 1,000 patient-years</w:t>
      </w:r>
      <w:r w:rsidR="00584B18" w:rsidRPr="00E96210">
        <w:rPr>
          <w:rFonts w:ascii="Calibri" w:hAnsi="Calibri" w:cs="Arial"/>
        </w:rPr>
        <w:t xml:space="preserve"> </w:t>
      </w:r>
      <w:r w:rsidR="00584B18" w:rsidRPr="00E96210">
        <w:rPr>
          <w:rFonts w:ascii="Calibri" w:hAnsi="Calibri" w:cs="Arial"/>
        </w:rPr>
        <w:fldChar w:fldCharType="begin" w:fldLock="1"/>
      </w:r>
      <w:r w:rsidR="00584B18" w:rsidRPr="00314ABA">
        <w:rPr>
          <w:rFonts w:ascii="Calibri" w:hAnsi="Calibri" w:cs="Arial"/>
        </w:rPr>
        <w:instrText>ADDIN CSL_CITATION {"citationItems":[{"id":"ITEM-1","itemData":{"DOI":"10.1136/bmj.324.7329.71","ISBN":"0959-8138 (Print)\\r0959-535X (Linking)","ISSN":"0959-8138","PMID":"11786451","abstract":"{OBJECTIVE}: To determine the effects of antiplatelet therapy among patients at high risk of occlusive vascular events. {DESIGN}: Collaborative meta-analyses (systematic overviews). {INCLUSION} {CRITERIA}: Randomised trials of an antiplatelet regimen versus control or of one antiplatelet regimen versus another in high risk patients (with acute or previous vascular disease or some other predisposing condition) from which results were available before September 1997. Trials had to use a method of randomisation that precluded prior knowledge of the next treatment to be allocated and comparisons had to be unconfounded-that is, have study groups that differed only in terms of antiplatelet regimen. {STUDIES} {REVIEWED}: 287 studies involving 135 000 patients in comparisons of antiplatelet therapy versus control and 77 000 in comparisons of different antiplatelet regimens. {MAIN} {OUTCOME} {MEASURE}: \"Serious vascular event\": non-fatal myocardial infarction, non-fatal stroke, or vascular death. {RESULTS}: Overall, among these high risk patients, allocation to antiplatelet therapy reduced the combined outcome of any serious vascular event by about one quarter; non-fatal myocardial infarction was reduced by one third, non-fatal stroke by one quarter, and vascular mortality by one sixth (with no apparent adverse effect on other deaths). Absolute reductions in the risk of having a serious vascular event were 36 ({SE} 5) per 1000 treated for two years among patients with previous myocardial infarction; 38 (5) per 1000 patients treated for one month among patients with acute myocardial infarction; 36 (6) per 1000 treated for two years among those with previous stroke or transient ischaemic attack; 9 (3) per 1000 treated for three weeks among those with acute stroke; and 22 (3) per 1000 treated for two years among other high risk patients (with separately significant results for those with stable angina (P=0.0005), peripheral arterial disease (P=0.004), and atrial fibrillation (P=0.01)). In each of these high risk categories, the absolute benefits substantially outweighed the absolute risks of major extracranial bleeding. Aspirin was the most widely studied antiplatelet drug, with doses of 75-150 mg daily at least as effective as higher daily doses. The effects of doses lower than 75 mg daily were less certain. Clopidogrel reduced serious vascular events by 10% (4%) compared with aspirin, which was similar to the 12% (7%) reduction observed with its analogue ticlopid…","author":[{"dropping-particle":"","family":"Antithrombotic Trialists' Collaboration","given":"","non-dropping-particle":"","parse-names":false,"suffix":""},{"dropping-particle":"","family":"Trialists","given":"Antithrombotic","non-dropping-particle":"","parse-names":false,"suffix":""}],"container-title":"BMJ (Clinical research ed.)","id":"ITEM-1","issue":"7329","issued":{"date-parts":[["2002"]]},"page":"71-86","title":"Collaborative meta-analysis of randomised trials of antiplatelet therapy for prevention of death, myocardial infarction, and stroke in high risk patients.","type":"article-journal","volume":"324"},"uris":["http://www.mendeley.com/documents/?uuid=bac071b8-eccb-47c7-ac96-6e86b0c9a24a"]}],"mendeley":{"formattedCitation":"(3)","plainTextFormattedCitation":"(3)","previouslyFormattedCitation":"(3)"},"properties":{"noteIndex":0},"schema":"https://github.com/citation-style-language/schema/raw/master/csl-citation.json"}</w:instrText>
      </w:r>
      <w:r w:rsidR="00584B18" w:rsidRPr="00E96210">
        <w:rPr>
          <w:rFonts w:ascii="Calibri" w:hAnsi="Calibri" w:cs="Arial"/>
        </w:rPr>
        <w:fldChar w:fldCharType="separate"/>
      </w:r>
      <w:r w:rsidR="00584B18" w:rsidRPr="00E96210">
        <w:rPr>
          <w:rFonts w:ascii="Calibri" w:hAnsi="Calibri" w:cs="Arial"/>
          <w:noProof/>
        </w:rPr>
        <w:t>(3)</w:t>
      </w:r>
      <w:r w:rsidR="00584B18" w:rsidRPr="00E96210">
        <w:rPr>
          <w:rFonts w:ascii="Calibri" w:hAnsi="Calibri" w:cs="Arial"/>
        </w:rPr>
        <w:fldChar w:fldCharType="end"/>
      </w:r>
      <w:r w:rsidR="00D93067" w:rsidRPr="00E16C74">
        <w:rPr>
          <w:rFonts w:ascii="Calibri" w:hAnsi="Calibri" w:cs="Arial"/>
        </w:rPr>
        <w:t>. Aspirin is</w:t>
      </w:r>
      <w:r w:rsidR="008C5F45" w:rsidRPr="00E16C74">
        <w:rPr>
          <w:rFonts w:ascii="Calibri" w:hAnsi="Calibri" w:cs="Arial"/>
        </w:rPr>
        <w:t xml:space="preserve"> recommended internationally for the secondary prevention of cardiovascular events in people with established cardiovascular disease. </w:t>
      </w:r>
    </w:p>
    <w:p w14:paraId="11F73F63" w14:textId="77777777" w:rsidR="00E96210" w:rsidRDefault="00E96210" w:rsidP="00E96210">
      <w:pPr>
        <w:spacing w:line="276" w:lineRule="auto"/>
        <w:rPr>
          <w:rFonts w:ascii="Calibri" w:hAnsi="Calibri" w:cs="Arial"/>
          <w:b/>
        </w:rPr>
      </w:pPr>
    </w:p>
    <w:p w14:paraId="55476F96" w14:textId="77777777" w:rsidR="00314ABA" w:rsidRPr="00E16C74" w:rsidRDefault="00314ABA" w:rsidP="00E96210">
      <w:pPr>
        <w:spacing w:line="276" w:lineRule="auto"/>
        <w:rPr>
          <w:rFonts w:ascii="Calibri" w:hAnsi="Calibri" w:cs="Arial"/>
          <w:b/>
        </w:rPr>
      </w:pPr>
      <w:r w:rsidRPr="00E16C74">
        <w:rPr>
          <w:rFonts w:ascii="Calibri" w:hAnsi="Calibri" w:cs="Arial"/>
          <w:b/>
        </w:rPr>
        <w:t>Aspirin and primary prevention in the general population</w:t>
      </w:r>
    </w:p>
    <w:p w14:paraId="3090B74B" w14:textId="5112A729" w:rsidR="00E96210" w:rsidRDefault="008C5F45" w:rsidP="00E16C74">
      <w:pPr>
        <w:spacing w:line="276" w:lineRule="auto"/>
        <w:jc w:val="both"/>
        <w:rPr>
          <w:rFonts w:ascii="Calibri" w:hAnsi="Calibri" w:cs="Arial"/>
        </w:rPr>
      </w:pPr>
      <w:r w:rsidRPr="00E16C74">
        <w:rPr>
          <w:rFonts w:ascii="Calibri" w:hAnsi="Calibri" w:cs="Arial"/>
        </w:rPr>
        <w:t>In low</w:t>
      </w:r>
      <w:r w:rsidR="00DE7E05" w:rsidRPr="00E16C74">
        <w:rPr>
          <w:rFonts w:ascii="Calibri" w:hAnsi="Calibri" w:cs="Arial"/>
        </w:rPr>
        <w:t>er</w:t>
      </w:r>
      <w:r w:rsidRPr="00E16C74">
        <w:rPr>
          <w:rFonts w:ascii="Calibri" w:hAnsi="Calibri" w:cs="Arial"/>
        </w:rPr>
        <w:t xml:space="preserve"> risk populations without pre-existin</w:t>
      </w:r>
      <w:r w:rsidR="006A4E0C" w:rsidRPr="00E16C74">
        <w:rPr>
          <w:rFonts w:ascii="Calibri" w:hAnsi="Calibri" w:cs="Arial"/>
        </w:rPr>
        <w:t>g</w:t>
      </w:r>
      <w:r w:rsidRPr="00E16C74">
        <w:rPr>
          <w:rFonts w:ascii="Calibri" w:hAnsi="Calibri" w:cs="Arial"/>
        </w:rPr>
        <w:t xml:space="preserve"> CVD </w:t>
      </w:r>
      <w:r w:rsidR="006A4E0C" w:rsidRPr="00E16C74">
        <w:rPr>
          <w:rFonts w:ascii="Calibri" w:hAnsi="Calibri" w:cs="Arial"/>
        </w:rPr>
        <w:t>t</w:t>
      </w:r>
      <w:r w:rsidRPr="00E16C74">
        <w:rPr>
          <w:rFonts w:ascii="Calibri" w:hAnsi="Calibri" w:cs="Arial"/>
        </w:rPr>
        <w:t xml:space="preserve">he benefits of aspirin for the primary prevention of CVD are smaller and </w:t>
      </w:r>
      <w:r w:rsidR="008C4FFD" w:rsidRPr="00E16C74">
        <w:rPr>
          <w:rFonts w:ascii="Calibri" w:hAnsi="Calibri" w:cs="Arial"/>
        </w:rPr>
        <w:t xml:space="preserve">largely </w:t>
      </w:r>
      <w:r w:rsidRPr="00E16C74">
        <w:rPr>
          <w:rFonts w:ascii="Calibri" w:hAnsi="Calibri" w:cs="Arial"/>
        </w:rPr>
        <w:t xml:space="preserve">offset by </w:t>
      </w:r>
      <w:r w:rsidR="008C4FFD" w:rsidRPr="00E16C74">
        <w:rPr>
          <w:rFonts w:ascii="Calibri" w:hAnsi="Calibri" w:cs="Arial"/>
        </w:rPr>
        <w:t xml:space="preserve">the </w:t>
      </w:r>
      <w:r w:rsidRPr="00E16C74">
        <w:rPr>
          <w:rFonts w:ascii="Calibri" w:hAnsi="Calibri" w:cs="Arial"/>
        </w:rPr>
        <w:t>risk</w:t>
      </w:r>
      <w:r w:rsidR="008C4FFD" w:rsidRPr="00E16C74">
        <w:rPr>
          <w:rFonts w:ascii="Calibri" w:hAnsi="Calibri" w:cs="Arial"/>
        </w:rPr>
        <w:t>s</w:t>
      </w:r>
      <w:r w:rsidRPr="00E16C74">
        <w:rPr>
          <w:rFonts w:ascii="Calibri" w:hAnsi="Calibri" w:cs="Arial"/>
        </w:rPr>
        <w:t xml:space="preserve"> of bleeding</w:t>
      </w:r>
      <w:r w:rsidR="008C4FFD" w:rsidRPr="00E16C74">
        <w:rPr>
          <w:rFonts w:ascii="Calibri" w:hAnsi="Calibri" w:cs="Arial"/>
        </w:rPr>
        <w:t xml:space="preserve">, assuming equivalence </w:t>
      </w:r>
      <w:r w:rsidR="00D93067" w:rsidRPr="00E16C74">
        <w:rPr>
          <w:rFonts w:ascii="Calibri" w:hAnsi="Calibri" w:cs="Arial"/>
        </w:rPr>
        <w:t xml:space="preserve">of impact </w:t>
      </w:r>
      <w:r w:rsidR="008C4FFD" w:rsidRPr="00E16C74">
        <w:rPr>
          <w:rFonts w:ascii="Calibri" w:hAnsi="Calibri" w:cs="Arial"/>
        </w:rPr>
        <w:t>of cardiovascular and bleeding events</w:t>
      </w:r>
      <w:r w:rsidR="00D93067" w:rsidRPr="00E16C74">
        <w:rPr>
          <w:rFonts w:ascii="Calibri" w:hAnsi="Calibri" w:cs="Arial"/>
        </w:rPr>
        <w:t>.</w:t>
      </w:r>
      <w:r w:rsidR="00D93067" w:rsidRPr="00E16C74">
        <w:rPr>
          <w:rFonts w:ascii="Calibri" w:hAnsi="Calibri" w:cs="Arial"/>
          <w:b/>
        </w:rPr>
        <w:t xml:space="preserve"> </w:t>
      </w:r>
      <w:r w:rsidR="00C61BC8" w:rsidRPr="00C61BC8">
        <w:rPr>
          <w:rFonts w:ascii="Calibri" w:hAnsi="Calibri" w:cs="Arial"/>
          <w:highlight w:val="yellow"/>
        </w:rPr>
        <w:t xml:space="preserve">Consequently, </w:t>
      </w:r>
      <w:r w:rsidR="00C61BC8" w:rsidRPr="00C61BC8">
        <w:rPr>
          <w:highlight w:val="yellow"/>
        </w:rPr>
        <w:t>current guidance does not support this use of aspirin, either for the general low risk population or for those with diabetes</w:t>
      </w:r>
      <w:r w:rsidR="00C61BC8" w:rsidRPr="00C61BC8">
        <w:rPr>
          <w:rFonts w:ascii="Calibri" w:hAnsi="Calibri" w:cs="Arial"/>
          <w:b/>
          <w:highlight w:val="yellow"/>
        </w:rPr>
        <w:t>.</w:t>
      </w:r>
      <w:r w:rsidR="00C61BC8">
        <w:rPr>
          <w:rFonts w:ascii="Calibri" w:hAnsi="Calibri" w:cs="Arial"/>
          <w:b/>
        </w:rPr>
        <w:t xml:space="preserve"> </w:t>
      </w:r>
      <w:r w:rsidR="00D93067" w:rsidRPr="00E16C74">
        <w:rPr>
          <w:rFonts w:ascii="Calibri" w:hAnsi="Calibri" w:cs="Arial"/>
        </w:rPr>
        <w:t xml:space="preserve"> An ATC meta-analysis of six primary prevention studies reported a 12% proportional reduction in </w:t>
      </w:r>
      <w:r w:rsidR="000979B5" w:rsidRPr="00E16C74">
        <w:rPr>
          <w:rFonts w:ascii="Calibri" w:hAnsi="Calibri" w:cs="Arial"/>
        </w:rPr>
        <w:t>MVE</w:t>
      </w:r>
      <w:r w:rsidR="00DE7E05" w:rsidRPr="00E16C74">
        <w:rPr>
          <w:rFonts w:ascii="Calibri" w:hAnsi="Calibri" w:cs="Arial"/>
        </w:rPr>
        <w:t xml:space="preserve"> in a low</w:t>
      </w:r>
      <w:r w:rsidR="001E7FA0" w:rsidRPr="00E16C74">
        <w:rPr>
          <w:rFonts w:ascii="Calibri" w:hAnsi="Calibri" w:cs="Arial"/>
        </w:rPr>
        <w:t xml:space="preserve"> risk population: the annual rate of </w:t>
      </w:r>
      <w:r w:rsidR="000979B5" w:rsidRPr="00E16C74">
        <w:rPr>
          <w:rFonts w:ascii="Calibri" w:hAnsi="Calibri" w:cs="Arial"/>
        </w:rPr>
        <w:t>MVE</w:t>
      </w:r>
      <w:r w:rsidR="00D93067" w:rsidRPr="00E16C74">
        <w:rPr>
          <w:rFonts w:ascii="Calibri" w:hAnsi="Calibri" w:cs="Arial"/>
        </w:rPr>
        <w:t xml:space="preserve"> </w:t>
      </w:r>
      <w:r w:rsidR="001E7FA0" w:rsidRPr="00E16C74">
        <w:rPr>
          <w:rFonts w:ascii="Calibri" w:hAnsi="Calibri" w:cs="Arial"/>
        </w:rPr>
        <w:t xml:space="preserve">was 0.51% in aspirin-treated patients vs 0.57% in controls, with major bleeding experienced by 0.10% and 0.07% per year in the two groups respectively.  </w:t>
      </w:r>
      <w:r w:rsidR="00314ABA" w:rsidRPr="00E16C74">
        <w:rPr>
          <w:rFonts w:ascii="Calibri" w:hAnsi="Calibri" w:cs="Arial"/>
        </w:rPr>
        <w:t xml:space="preserve">Only </w:t>
      </w:r>
      <w:r w:rsidR="00D93764" w:rsidRPr="00E16C74">
        <w:rPr>
          <w:rFonts w:ascii="Calibri" w:hAnsi="Calibri" w:cs="Arial"/>
        </w:rPr>
        <w:t xml:space="preserve">1-3 </w:t>
      </w:r>
      <w:r w:rsidR="000979B5" w:rsidRPr="00E16C74">
        <w:rPr>
          <w:rFonts w:ascii="Calibri" w:hAnsi="Calibri" w:cs="Arial"/>
        </w:rPr>
        <w:t>MVE</w:t>
      </w:r>
      <w:r w:rsidR="00D93764" w:rsidRPr="00E16C74">
        <w:rPr>
          <w:rFonts w:ascii="Calibri" w:hAnsi="Calibri" w:cs="Arial"/>
        </w:rPr>
        <w:t xml:space="preserve"> per 1,000 patient-years were prevented</w:t>
      </w:r>
      <w:r w:rsidR="003046FA" w:rsidRPr="00E96210">
        <w:rPr>
          <w:rFonts w:ascii="Calibri" w:hAnsi="Calibri" w:cs="Arial"/>
        </w:rPr>
        <w:t xml:space="preserve"> </w:t>
      </w:r>
      <w:r w:rsidR="003046FA" w:rsidRPr="00E96210">
        <w:rPr>
          <w:rFonts w:ascii="Calibri" w:hAnsi="Calibri" w:cs="Arial"/>
        </w:rPr>
        <w:fldChar w:fldCharType="begin" w:fldLock="1"/>
      </w:r>
      <w:r w:rsidR="00584B18" w:rsidRPr="00314ABA">
        <w:rPr>
          <w:rFonts w:ascii="Calibri" w:hAnsi="Calibri" w:cs="Arial"/>
        </w:rPr>
        <w:instrText>ADDIN CSL_CITATION {"citationItems":[{"id":"ITEM-1","itemData":{"DOI":"10.1016/S0140-6736(09)60503-1","ISBN":"1474-547X (Electronic)\r0140-6736 (Linking)","ISSN":"01406736","PMID":"19482214","abstract":"BACKGROUND\\nLow-dose aspirin is of definite and substantial net benefit for many people who already have occlusive vascular disease. We have assessed the benefits and risks in primary prevention. \\n\\nMETHODS\\nWe undertook meta-analyses of serious vascular events (myocardial infarction, stroke, or vascular death) and major bleeds in six primary prevention trials (95 000 individuals at low average risk, 660 000 person-years, 3554 serious vascular events) and 16 secondary prevention trials (17 000 individuals at high average risk, 43 000 person-years, 3306 serious vascular events) that compared long-term aspirin versus control. We report intention-to-treat analyses of first events during the scheduled treatment period. \\n\\nFINDINGS\\nIn the primary prevention trials, aspirin allocation yielded a 12% proportional reduction in serious vascular events (0·51% aspirin vs 0·57% control per year, p=0·0001), due mainly to a reduction of about a fifth in non-fatal myocardial infarction (0·18% vs 0·23% per year, p&lt;0·0001). The net effect on stroke was not significant (0·20% vs 0·21% per year, p=0·4: haemorrhagic stroke 0·04% vs 0·03%, p=0·05; other stroke 0·16% vs 0·18% per year, p=0·08). Vascular mortality did not differ significantly (0·19% vs 0·19% per year, p=0·7). Aspirin allocation increased major gastrointestinal and extracranial bleeds (0·10% vs 0·07% per year, p&lt;0·0001), and the main risk factors for coronary disease were also risk factors for bleeding. In the secondary prevention trials, aspirin allocation yielded a greater absolute reduction in serious vascular events (6·7% vs 8·2% per year, p&lt;0.0001), with a non-significant increase in haemorrhagic stroke but reductions of about a fifth in total stroke (2·08% vs 2·54% per year, p=0·002) and in coronary events (4·3% vs 5·3% per year, p&lt;0·0001). In both primary and secondary prevention trials, the proportional reductions in the aggregate of all serious vascular events seemed similar for men and women. \\n\\nINTERPRETATION\\nIn primary prevention without previous disease, aspirin is of uncertain net value as the reduction in occlusive events needs to be weighed against any increase in major bleeds. Further trials are in progress. \\n\\nFUNDING\\nUK Medical Research Council, British Heart Foundation, Cancer Research UK, and the European Community Biomed Programme.","author":[{"dropping-particle":"","family":"Trialists","given":"Antithrombotic","non-dropping-particle":"","parse-names":false,"suffix":""},{"dropping-particle":"","family":"Collaboration","given":"A T T","non-dropping-particle":"","parse-names":false,"suffix":""}],"container-title":"The Lancet","id":"ITEM-1","issue":"9678","issued":{"date-parts":[["2009"]]},"page":"1849-1860","publisher":"Elsevier Ltd","title":"Aspirin in the primary and secondary prevention of vascular disease: collaborative meta-analysis of individual participant data from randomised trials","type":"article-journal","volume":"373"},"uris":["http://www.mendeley.com/documents/?uuid=97e6813a-4184-4b6e-870f-2561c5c4623d"]}],"mendeley":{"formattedCitation":"(4)","plainTextFormattedCitation":"(4)","previouslyFormattedCitation":"(4)"},"properties":{"noteIndex":0},"schema":"https://github.com/citation-style-language/schema/raw/master/csl-citation.json"}</w:instrText>
      </w:r>
      <w:r w:rsidR="003046FA" w:rsidRPr="00E96210">
        <w:rPr>
          <w:rFonts w:ascii="Calibri" w:hAnsi="Calibri" w:cs="Arial"/>
        </w:rPr>
        <w:fldChar w:fldCharType="separate"/>
      </w:r>
      <w:r w:rsidR="00584B18" w:rsidRPr="00E96210">
        <w:rPr>
          <w:rFonts w:ascii="Calibri" w:hAnsi="Calibri" w:cs="Arial"/>
          <w:noProof/>
        </w:rPr>
        <w:t>(4)</w:t>
      </w:r>
      <w:r w:rsidR="003046FA" w:rsidRPr="00E96210">
        <w:rPr>
          <w:rFonts w:ascii="Calibri" w:hAnsi="Calibri" w:cs="Arial"/>
        </w:rPr>
        <w:fldChar w:fldCharType="end"/>
      </w:r>
      <w:r w:rsidR="00D93764" w:rsidRPr="00E16C74">
        <w:rPr>
          <w:rFonts w:ascii="Calibri" w:hAnsi="Calibri" w:cs="Arial"/>
        </w:rPr>
        <w:t xml:space="preserve">. </w:t>
      </w:r>
    </w:p>
    <w:p w14:paraId="3AD47E01" w14:textId="77777777" w:rsidR="00FF4A8D" w:rsidRPr="00E16C74" w:rsidRDefault="001D4CB7" w:rsidP="00E16C74">
      <w:pPr>
        <w:spacing w:line="276" w:lineRule="auto"/>
        <w:jc w:val="both"/>
        <w:rPr>
          <w:rFonts w:ascii="Calibri" w:hAnsi="Calibri" w:cs="Arial"/>
          <w:lang w:val="en"/>
        </w:rPr>
      </w:pPr>
      <w:r w:rsidRPr="00E16C74">
        <w:rPr>
          <w:rFonts w:ascii="Calibri" w:hAnsi="Calibri" w:cs="Arial"/>
        </w:rPr>
        <w:t xml:space="preserve">Broadly similar results were seen in </w:t>
      </w:r>
      <w:r w:rsidR="006540FB" w:rsidRPr="00E16C74">
        <w:rPr>
          <w:rFonts w:ascii="Calibri" w:hAnsi="Calibri" w:cs="Arial"/>
        </w:rPr>
        <w:t xml:space="preserve">ASCEND, </w:t>
      </w:r>
      <w:r w:rsidR="00FF4A8D" w:rsidRPr="00E16C74">
        <w:rPr>
          <w:rFonts w:ascii="Calibri" w:hAnsi="Calibri" w:cs="Arial"/>
        </w:rPr>
        <w:t>a large trial of aspirin for primary prevention of cardiovascular disease in people with diabetes published in 2018</w:t>
      </w:r>
      <w:r w:rsidR="00584B18" w:rsidRPr="00E96210">
        <w:rPr>
          <w:rFonts w:ascii="Calibri" w:hAnsi="Calibri" w:cs="Arial"/>
        </w:rPr>
        <w:t xml:space="preserve"> </w:t>
      </w:r>
      <w:r w:rsidR="00584B18" w:rsidRPr="00E96210">
        <w:rPr>
          <w:rFonts w:ascii="Calibri" w:hAnsi="Calibri" w:cs="Arial"/>
        </w:rPr>
        <w:fldChar w:fldCharType="begin" w:fldLock="1"/>
      </w:r>
      <w:r w:rsidR="00584B18" w:rsidRPr="00314ABA">
        <w:rPr>
          <w:rFonts w:ascii="Calibri" w:hAnsi="Calibri" w:cs="Arial"/>
        </w:rPr>
        <w:instrText>ADDIN CSL_CITATION {"citationItems":[{"id":"ITEM-1","itemData":{"author":[{"dropping-particle":"","family":"The ASCEND Study Collaborative Group","given":"","non-dropping-particle":"","parse-names":false,"suffix":""}],"container-title":"New England Journal of Medecine","id":"ITEM-1","issued":{"date-parts":[["2018"]]},"page":"1529-1539","title":"Effects of Aspirin for Primary Prevention in Persons with Diabetes Mellitus","type":"article-journal","volume":"379"},"uris":["http://www.mendeley.com/documents/?uuid=ed37e3c3-c481-49a4-913b-9da3d40efe41"]}],"mendeley":{"formattedCitation":"(5)","plainTextFormattedCitation":"(5)","previouslyFormattedCitation":"(5)"},"properties":{"noteIndex":0},"schema":"https://github.com/citation-style-language/schema/raw/master/csl-citation.json"}</w:instrText>
      </w:r>
      <w:r w:rsidR="00584B18" w:rsidRPr="00E96210">
        <w:rPr>
          <w:rFonts w:ascii="Calibri" w:hAnsi="Calibri" w:cs="Arial"/>
        </w:rPr>
        <w:fldChar w:fldCharType="separate"/>
      </w:r>
      <w:r w:rsidR="00584B18" w:rsidRPr="00E96210">
        <w:rPr>
          <w:rFonts w:ascii="Calibri" w:hAnsi="Calibri" w:cs="Arial"/>
          <w:noProof/>
        </w:rPr>
        <w:t>(5)</w:t>
      </w:r>
      <w:r w:rsidR="00584B18" w:rsidRPr="00E96210">
        <w:rPr>
          <w:rFonts w:ascii="Calibri" w:hAnsi="Calibri" w:cs="Arial"/>
        </w:rPr>
        <w:fldChar w:fldCharType="end"/>
      </w:r>
      <w:r w:rsidR="00FF4A8D" w:rsidRPr="00E16C74">
        <w:rPr>
          <w:rFonts w:ascii="Calibri" w:hAnsi="Calibri" w:cs="Arial"/>
        </w:rPr>
        <w:t>. Two further primary prevention trials published the same year (</w:t>
      </w:r>
      <w:r w:rsidR="00D93764" w:rsidRPr="00E16C74">
        <w:rPr>
          <w:rFonts w:ascii="Calibri" w:hAnsi="Calibri" w:cs="Arial"/>
        </w:rPr>
        <w:t>ARRIVE</w:t>
      </w:r>
      <w:r w:rsidR="00FF4A8D" w:rsidRPr="00E16C74">
        <w:rPr>
          <w:rFonts w:ascii="Calibri" w:hAnsi="Calibri" w:cs="Arial"/>
        </w:rPr>
        <w:t>,</w:t>
      </w:r>
      <w:r w:rsidR="00D93764" w:rsidRPr="00E16C74">
        <w:rPr>
          <w:rFonts w:ascii="Calibri" w:hAnsi="Calibri" w:cs="Arial"/>
        </w:rPr>
        <w:t xml:space="preserve"> </w:t>
      </w:r>
      <w:r w:rsidRPr="00E16C74">
        <w:rPr>
          <w:rFonts w:ascii="Calibri" w:hAnsi="Calibri" w:cs="Arial"/>
        </w:rPr>
        <w:t>in people at moderate CV risk; and ASPREE in healthy older people</w:t>
      </w:r>
      <w:r w:rsidR="00FF4A8D" w:rsidRPr="00E16C74">
        <w:rPr>
          <w:rFonts w:ascii="Calibri" w:hAnsi="Calibri" w:cs="Arial"/>
        </w:rPr>
        <w:t>) found no statistically significant benefits</w:t>
      </w:r>
      <w:r w:rsidR="006540FB" w:rsidRPr="00E16C74">
        <w:rPr>
          <w:rFonts w:ascii="Calibri" w:hAnsi="Calibri" w:cs="Arial"/>
        </w:rPr>
        <w:t xml:space="preserve"> on major vascular events</w:t>
      </w:r>
      <w:r w:rsidRPr="00E16C74">
        <w:rPr>
          <w:rFonts w:ascii="Calibri" w:hAnsi="Calibri" w:cs="Arial"/>
        </w:rPr>
        <w:t xml:space="preserve">. </w:t>
      </w:r>
      <w:r w:rsidR="006540FB" w:rsidRPr="00E16C74">
        <w:rPr>
          <w:rFonts w:ascii="Calibri" w:hAnsi="Calibri" w:cs="Arial"/>
        </w:rPr>
        <w:t xml:space="preserve">However, it is noteworthy that </w:t>
      </w:r>
      <w:r w:rsidR="00314ABA" w:rsidRPr="00E16C74">
        <w:rPr>
          <w:rFonts w:ascii="Calibri" w:hAnsi="Calibri" w:cs="Arial"/>
        </w:rPr>
        <w:t>i</w:t>
      </w:r>
      <w:r w:rsidRPr="00E16C74">
        <w:rPr>
          <w:rFonts w:ascii="Calibri" w:hAnsi="Calibri" w:cs="Arial"/>
        </w:rPr>
        <w:t xml:space="preserve">n all </w:t>
      </w:r>
      <w:r w:rsidR="00FF4A8D" w:rsidRPr="00E16C74">
        <w:rPr>
          <w:rFonts w:ascii="Calibri" w:hAnsi="Calibri" w:cs="Arial"/>
        </w:rPr>
        <w:t xml:space="preserve">three trials the </w:t>
      </w:r>
      <w:r w:rsidRPr="00E16C74">
        <w:rPr>
          <w:rFonts w:ascii="Calibri" w:hAnsi="Calibri" w:cs="Arial"/>
        </w:rPr>
        <w:t xml:space="preserve">baseline CV risk of the populations studied was </w:t>
      </w:r>
      <w:r w:rsidR="00FF4A8D" w:rsidRPr="00E16C74">
        <w:rPr>
          <w:rFonts w:ascii="Calibri" w:hAnsi="Calibri" w:cs="Arial"/>
        </w:rPr>
        <w:t>not dissimilar</w:t>
      </w:r>
      <w:r w:rsidRPr="00E16C74">
        <w:rPr>
          <w:rFonts w:ascii="Calibri" w:hAnsi="Calibri" w:cs="Arial"/>
        </w:rPr>
        <w:t xml:space="preserve"> to that of </w:t>
      </w:r>
      <w:r w:rsidR="00FF4A8D" w:rsidRPr="00E16C74">
        <w:rPr>
          <w:rFonts w:ascii="Calibri" w:hAnsi="Calibri" w:cs="Arial"/>
        </w:rPr>
        <w:t xml:space="preserve">the </w:t>
      </w:r>
      <w:r w:rsidR="00FA0647" w:rsidRPr="00E96210">
        <w:rPr>
          <w:rFonts w:ascii="Calibri" w:hAnsi="Calibri" w:cs="Arial"/>
        </w:rPr>
        <w:t>aforem</w:t>
      </w:r>
      <w:r w:rsidR="00FA0647" w:rsidRPr="00E16C74">
        <w:rPr>
          <w:rFonts w:ascii="Calibri" w:hAnsi="Calibri" w:cs="Arial"/>
        </w:rPr>
        <w:t>e</w:t>
      </w:r>
      <w:r w:rsidR="00FA0647" w:rsidRPr="00E96210">
        <w:rPr>
          <w:rFonts w:ascii="Calibri" w:hAnsi="Calibri" w:cs="Arial"/>
        </w:rPr>
        <w:t>n</w:t>
      </w:r>
      <w:r w:rsidR="00FA0647" w:rsidRPr="00E16C74">
        <w:rPr>
          <w:rFonts w:ascii="Calibri" w:hAnsi="Calibri" w:cs="Arial"/>
        </w:rPr>
        <w:t>tion</w:t>
      </w:r>
      <w:r w:rsidR="00FA0647" w:rsidRPr="00E96210">
        <w:rPr>
          <w:rFonts w:ascii="Calibri" w:hAnsi="Calibri" w:cs="Arial"/>
        </w:rPr>
        <w:t>ed</w:t>
      </w:r>
      <w:r w:rsidR="00FA0647" w:rsidRPr="00E16C74">
        <w:rPr>
          <w:rFonts w:ascii="Calibri" w:hAnsi="Calibri" w:cs="Arial"/>
        </w:rPr>
        <w:t xml:space="preserve"> </w:t>
      </w:r>
      <w:r w:rsidR="00FF4A8D" w:rsidRPr="00E16C74">
        <w:rPr>
          <w:rFonts w:ascii="Calibri" w:hAnsi="Calibri" w:cs="Arial"/>
        </w:rPr>
        <w:t xml:space="preserve">low risk </w:t>
      </w:r>
      <w:r w:rsidRPr="00E16C74">
        <w:rPr>
          <w:rFonts w:ascii="Calibri" w:hAnsi="Calibri" w:cs="Arial"/>
        </w:rPr>
        <w:t>historical primary prevention population</w:t>
      </w:r>
      <w:r w:rsidR="00FF4A8D" w:rsidRPr="00E16C74">
        <w:rPr>
          <w:rFonts w:ascii="Calibri" w:hAnsi="Calibri" w:cs="Arial"/>
        </w:rPr>
        <w:t xml:space="preserve">s </w:t>
      </w:r>
      <w:r w:rsidRPr="00E16C74">
        <w:rPr>
          <w:rFonts w:ascii="Calibri" w:hAnsi="Calibri" w:cs="Arial"/>
        </w:rPr>
        <w:t>(</w:t>
      </w:r>
      <w:r w:rsidR="00FA0647" w:rsidRPr="00E16C74">
        <w:rPr>
          <w:rFonts w:ascii="Calibri" w:hAnsi="Calibri" w:cs="Arial"/>
        </w:rPr>
        <w:t>annual</w:t>
      </w:r>
      <w:r w:rsidR="006540FB" w:rsidRPr="00E16C74">
        <w:rPr>
          <w:rFonts w:ascii="Calibri" w:hAnsi="Calibri" w:cs="Arial"/>
        </w:rPr>
        <w:t xml:space="preserve"> </w:t>
      </w:r>
      <w:r w:rsidRPr="00E16C74">
        <w:rPr>
          <w:rFonts w:ascii="Calibri" w:hAnsi="Calibri" w:cs="Arial"/>
        </w:rPr>
        <w:t xml:space="preserve">rate of </w:t>
      </w:r>
      <w:r w:rsidR="000979B5" w:rsidRPr="00E16C74">
        <w:rPr>
          <w:rFonts w:ascii="Calibri" w:hAnsi="Calibri" w:cs="Arial"/>
        </w:rPr>
        <w:t>MVE</w:t>
      </w:r>
      <w:r w:rsidRPr="00E16C74">
        <w:rPr>
          <w:rFonts w:ascii="Calibri" w:hAnsi="Calibri" w:cs="Arial"/>
        </w:rPr>
        <w:t xml:space="preserve"> 0.9-1.3%</w:t>
      </w:r>
      <w:r w:rsidR="000979B5" w:rsidRPr="00E16C74">
        <w:rPr>
          <w:rFonts w:ascii="Calibri" w:hAnsi="Calibri" w:cs="Arial"/>
        </w:rPr>
        <w:t xml:space="preserve"> in control subjects</w:t>
      </w:r>
      <w:r w:rsidRPr="00E16C74">
        <w:rPr>
          <w:rFonts w:ascii="Calibri" w:hAnsi="Calibri" w:cs="Arial"/>
        </w:rPr>
        <w:t>)</w:t>
      </w:r>
      <w:r w:rsidR="00FF4A8D" w:rsidRPr="00E16C74">
        <w:rPr>
          <w:rFonts w:ascii="Calibri" w:hAnsi="Calibri" w:cs="Arial"/>
        </w:rPr>
        <w:t xml:space="preserve">, probably reflecting </w:t>
      </w:r>
      <w:r w:rsidR="006540FB" w:rsidRPr="00E16C74">
        <w:rPr>
          <w:rFonts w:ascii="Calibri" w:hAnsi="Calibri" w:cs="Arial"/>
        </w:rPr>
        <w:t xml:space="preserve">uptake of </w:t>
      </w:r>
      <w:r w:rsidR="00FF4A8D" w:rsidRPr="00E16C74">
        <w:rPr>
          <w:rFonts w:ascii="Calibri" w:hAnsi="Calibri" w:cs="Arial"/>
        </w:rPr>
        <w:t xml:space="preserve">effective </w:t>
      </w:r>
      <w:r w:rsidR="00FF4A8D" w:rsidRPr="00E16C74">
        <w:rPr>
          <w:rFonts w:ascii="Calibri" w:hAnsi="Calibri" w:cs="Arial"/>
          <w:lang w:val="en"/>
        </w:rPr>
        <w:t>contemporary risk management strategies.</w:t>
      </w:r>
    </w:p>
    <w:p w14:paraId="04F2CA54" w14:textId="77777777" w:rsidR="00E96210" w:rsidRDefault="00E96210" w:rsidP="00E16C74">
      <w:pPr>
        <w:spacing w:line="276" w:lineRule="auto"/>
        <w:jc w:val="both"/>
        <w:rPr>
          <w:rFonts w:ascii="Calibri" w:hAnsi="Calibri" w:cs="Arial"/>
          <w:b/>
        </w:rPr>
      </w:pPr>
    </w:p>
    <w:p w14:paraId="7148A372" w14:textId="77777777" w:rsidR="00FF4A8D" w:rsidRPr="00E16C74" w:rsidRDefault="00314ABA" w:rsidP="00E16C74">
      <w:pPr>
        <w:spacing w:line="276" w:lineRule="auto"/>
        <w:jc w:val="both"/>
        <w:rPr>
          <w:rFonts w:ascii="Calibri" w:hAnsi="Calibri" w:cs="Arial"/>
          <w:b/>
        </w:rPr>
      </w:pPr>
      <w:r w:rsidRPr="00E16C74">
        <w:rPr>
          <w:rFonts w:ascii="Calibri" w:hAnsi="Calibri" w:cs="Arial"/>
          <w:b/>
        </w:rPr>
        <w:t>Is there a role</w:t>
      </w:r>
      <w:r w:rsidR="00FF4A8D" w:rsidRPr="00E16C74">
        <w:rPr>
          <w:rFonts w:ascii="Calibri" w:hAnsi="Calibri" w:cs="Arial"/>
          <w:b/>
        </w:rPr>
        <w:t xml:space="preserve"> for </w:t>
      </w:r>
      <w:r w:rsidRPr="00E16C74">
        <w:rPr>
          <w:rFonts w:ascii="Calibri" w:hAnsi="Calibri" w:cs="Arial"/>
          <w:b/>
        </w:rPr>
        <w:t xml:space="preserve">aspirin </w:t>
      </w:r>
      <w:r w:rsidR="00FF4A8D" w:rsidRPr="00E16C74">
        <w:rPr>
          <w:rFonts w:ascii="Calibri" w:hAnsi="Calibri" w:cs="Arial"/>
          <w:b/>
        </w:rPr>
        <w:t>primary prevention in CKD</w:t>
      </w:r>
      <w:r w:rsidR="00FE30DF" w:rsidRPr="00E16C74">
        <w:rPr>
          <w:rFonts w:ascii="Calibri" w:hAnsi="Calibri" w:cs="Arial"/>
          <w:b/>
        </w:rPr>
        <w:t>?</w:t>
      </w:r>
    </w:p>
    <w:p w14:paraId="0AB34FB1" w14:textId="77777777" w:rsidR="00697A7D" w:rsidRPr="00E16C74" w:rsidRDefault="00FF4A8D" w:rsidP="00E16C74">
      <w:pPr>
        <w:spacing w:line="276" w:lineRule="auto"/>
        <w:jc w:val="both"/>
        <w:rPr>
          <w:rFonts w:ascii="Calibri" w:hAnsi="Calibri" w:cs="Arial"/>
        </w:rPr>
      </w:pPr>
      <w:r w:rsidRPr="00E16C74">
        <w:rPr>
          <w:rFonts w:ascii="Calibri" w:hAnsi="Calibri" w:cs="Arial"/>
        </w:rPr>
        <w:t xml:space="preserve">Despite </w:t>
      </w:r>
      <w:r w:rsidR="00FA0647" w:rsidRPr="00E16C74">
        <w:rPr>
          <w:rFonts w:ascii="Calibri" w:hAnsi="Calibri" w:cs="Arial"/>
        </w:rPr>
        <w:t>the</w:t>
      </w:r>
      <w:r w:rsidRPr="00E16C74">
        <w:rPr>
          <w:rFonts w:ascii="Calibri" w:hAnsi="Calibri" w:cs="Arial"/>
        </w:rPr>
        <w:t xml:space="preserve"> </w:t>
      </w:r>
      <w:r w:rsidR="00FA0647" w:rsidRPr="00E16C74">
        <w:rPr>
          <w:rFonts w:ascii="Calibri" w:hAnsi="Calibri" w:cs="Arial"/>
        </w:rPr>
        <w:t xml:space="preserve">existence of a </w:t>
      </w:r>
      <w:r w:rsidRPr="00E16C74">
        <w:rPr>
          <w:rFonts w:ascii="Calibri" w:hAnsi="Calibri" w:cs="Arial"/>
        </w:rPr>
        <w:t xml:space="preserve">substantial body of evidence, uncertainties still remain over whether and under what circumstances aspirin should be used for primary prevention. </w:t>
      </w:r>
      <w:r w:rsidR="00FA0647" w:rsidRPr="00E16C74">
        <w:rPr>
          <w:rFonts w:ascii="Calibri" w:hAnsi="Calibri" w:cs="Arial"/>
        </w:rPr>
        <w:t>A key</w:t>
      </w:r>
      <w:r w:rsidRPr="00E16C74">
        <w:rPr>
          <w:rFonts w:ascii="Calibri" w:hAnsi="Calibri" w:cs="Arial"/>
        </w:rPr>
        <w:t xml:space="preserve"> group in whom the</w:t>
      </w:r>
      <w:r w:rsidR="00FE30DF" w:rsidRPr="00E16C74">
        <w:rPr>
          <w:rFonts w:ascii="Calibri" w:hAnsi="Calibri" w:cs="Arial"/>
        </w:rPr>
        <w:t xml:space="preserve"> balance of benefits and risk </w:t>
      </w:r>
      <w:r w:rsidR="00FA0647" w:rsidRPr="00E96210">
        <w:rPr>
          <w:rFonts w:ascii="Calibri" w:hAnsi="Calibri" w:cs="Arial"/>
        </w:rPr>
        <w:t>remains</w:t>
      </w:r>
      <w:r w:rsidR="00FA0647" w:rsidRPr="00E16C74">
        <w:rPr>
          <w:rFonts w:ascii="Calibri" w:hAnsi="Calibri" w:cs="Arial"/>
        </w:rPr>
        <w:t xml:space="preserve"> uncertain is</w:t>
      </w:r>
      <w:r w:rsidR="00FE30DF" w:rsidRPr="00E16C74">
        <w:rPr>
          <w:rFonts w:ascii="Calibri" w:hAnsi="Calibri" w:cs="Arial"/>
        </w:rPr>
        <w:t xml:space="preserve"> </w:t>
      </w:r>
      <w:r w:rsidR="00FA0647" w:rsidRPr="00E16C74">
        <w:rPr>
          <w:rFonts w:ascii="Calibri" w:hAnsi="Calibri" w:cs="Arial"/>
        </w:rPr>
        <w:t>those</w:t>
      </w:r>
      <w:r w:rsidR="00FE30DF" w:rsidRPr="00E16C74">
        <w:rPr>
          <w:rFonts w:ascii="Calibri" w:hAnsi="Calibri" w:cs="Arial"/>
        </w:rPr>
        <w:t xml:space="preserve"> with CKD. </w:t>
      </w:r>
      <w:r w:rsidR="00FE3FF5" w:rsidRPr="00E16C74">
        <w:rPr>
          <w:rFonts w:ascii="Calibri" w:hAnsi="Calibri" w:cs="Arial"/>
        </w:rPr>
        <w:t xml:space="preserve"> </w:t>
      </w:r>
    </w:p>
    <w:p w14:paraId="1C04F5C5" w14:textId="77777777" w:rsidR="00FA0647" w:rsidRPr="00E96210" w:rsidRDefault="00FA0647" w:rsidP="00E16C74">
      <w:pPr>
        <w:spacing w:line="276" w:lineRule="auto"/>
        <w:jc w:val="both"/>
        <w:rPr>
          <w:rFonts w:ascii="Calibri" w:hAnsi="Calibri" w:cs="Arial"/>
        </w:rPr>
      </w:pPr>
      <w:r w:rsidRPr="00E16C74">
        <w:rPr>
          <w:rFonts w:ascii="Calibri" w:hAnsi="Calibri" w:cs="Arial"/>
        </w:rPr>
        <w:t xml:space="preserve">CKD substantially increases the risks of CV events, with a graded relationship between advancing stages of CKD and rates of fatal and non-fatal MI, and the probability of death following MI </w:t>
      </w:r>
      <w:r w:rsidRPr="00E16C74">
        <w:rPr>
          <w:rFonts w:ascii="Calibri" w:hAnsi="Calibri" w:cs="Arial"/>
        </w:rPr>
        <w:fldChar w:fldCharType="begin" w:fldLock="1"/>
      </w:r>
      <w:r w:rsidR="00584B18" w:rsidRPr="00314ABA">
        <w:rPr>
          <w:rFonts w:ascii="Calibri" w:hAnsi="Calibri" w:cs="Arial"/>
        </w:rPr>
        <w:instrText>ADDIN CSL_CITATION {"citationItems":[{"id":"ITEM-1","itemData":{"DOI":"10.1038/ki.2013.151","ISSN":"00852538","abstract":"Patients with advanced chronic kidney disease sustain extremely high mortality rates following acute myocardial infarction. Nauta et al. evaluated temporal trends in 12,087 patients with acute myocardial infarction from a single institution over 24 years and report a reduction in 30-day mortality in the most recent decade for all patients, including patients with chronic kidney disease. This trend is optimistic, but understanding contributory factors would be critical in future studies to further improve survival.","author":[{"dropping-particle":"","family":"Shroff","given":"Gautam R.","non-dropping-particle":"","parse-names":false,"suffix":""},{"dropping-particle":"","family":"Herzog","given":"Charles A.","non-dropping-particle":"","parse-names":false,"suffix":""}],"container-title":"Kidney International","id":"ITEM-1","issue":"2","issued":{"date-parts":[["2013"]]},"page":"230-233","title":"Acute myocardial infarction in patients with chronic kidney disease: How are the most vulnerable patients doing?","type":"article-journal","volume":"84"},"uris":["http://www.mendeley.com/documents/?uuid=8235c1ec-fe89-4acd-a9bd-4bb749bdc65f"]}],"mendeley":{"formattedCitation":"(6)","plainTextFormattedCitation":"(6)","previouslyFormattedCitation":"(6)"},"properties":{"noteIndex":0},"schema":"https://github.com/citation-style-language/schema/raw/master/csl-citation.json"}</w:instrText>
      </w:r>
      <w:r w:rsidRPr="00E16C74">
        <w:rPr>
          <w:rFonts w:ascii="Calibri" w:hAnsi="Calibri" w:cs="Arial"/>
        </w:rPr>
        <w:fldChar w:fldCharType="separate"/>
      </w:r>
      <w:r w:rsidR="00584B18" w:rsidRPr="00314ABA">
        <w:rPr>
          <w:rFonts w:ascii="Calibri" w:hAnsi="Calibri" w:cs="Arial"/>
          <w:noProof/>
        </w:rPr>
        <w:t>(6)</w:t>
      </w:r>
      <w:r w:rsidRPr="00E16C74">
        <w:rPr>
          <w:rFonts w:ascii="Calibri" w:hAnsi="Calibri" w:cs="Arial"/>
        </w:rPr>
        <w:fldChar w:fldCharType="end"/>
      </w:r>
      <w:r w:rsidRPr="00E16C74">
        <w:rPr>
          <w:rFonts w:ascii="Calibri" w:hAnsi="Calibri" w:cs="Arial"/>
        </w:rPr>
        <w:t>. I</w:t>
      </w:r>
      <w:r w:rsidR="00FE3FF5" w:rsidRPr="00E16C74">
        <w:rPr>
          <w:rFonts w:ascii="Calibri" w:hAnsi="Calibri" w:cs="Arial"/>
        </w:rPr>
        <w:t>n the</w:t>
      </w:r>
      <w:r w:rsidR="00FE30DF" w:rsidRPr="00E16C74">
        <w:rPr>
          <w:rFonts w:ascii="Calibri" w:hAnsi="Calibri" w:cs="Arial"/>
        </w:rPr>
        <w:t xml:space="preserve"> Renal Risk in Derby Cohort </w:t>
      </w:r>
      <w:r w:rsidR="00FE3FF5" w:rsidRPr="00E16C74">
        <w:rPr>
          <w:rFonts w:ascii="Calibri" w:hAnsi="Calibri" w:cs="Arial"/>
        </w:rPr>
        <w:t>(mean eGFR 52mL/min/1.73m</w:t>
      </w:r>
      <w:r w:rsidR="00FE3FF5" w:rsidRPr="00E16C74">
        <w:rPr>
          <w:rFonts w:ascii="Calibri" w:hAnsi="Calibri" w:cs="Arial"/>
          <w:vertAlign w:val="superscript"/>
        </w:rPr>
        <w:t>2</w:t>
      </w:r>
      <w:r w:rsidR="00FE3FF5" w:rsidRPr="00E16C74">
        <w:rPr>
          <w:rFonts w:ascii="Calibri" w:hAnsi="Calibri" w:cs="Arial"/>
        </w:rPr>
        <w:t>, 16% with albuminuria, 22% with pre-existing CVD) the annual rate of fatal and non-non-fatal CVD was 2.5%</w:t>
      </w:r>
      <w:r w:rsidR="00584B18" w:rsidRPr="00E96210">
        <w:rPr>
          <w:rFonts w:ascii="Calibri" w:hAnsi="Calibri" w:cs="Arial"/>
        </w:rPr>
        <w:t xml:space="preserve"> </w:t>
      </w:r>
      <w:r w:rsidR="00584B18" w:rsidRPr="00E96210">
        <w:rPr>
          <w:rFonts w:ascii="Calibri" w:hAnsi="Calibri" w:cs="Arial"/>
        </w:rPr>
        <w:fldChar w:fldCharType="begin" w:fldLock="1"/>
      </w:r>
      <w:r w:rsidR="00584B18" w:rsidRPr="00314ABA">
        <w:rPr>
          <w:rFonts w:ascii="Calibri" w:hAnsi="Calibri" w:cs="Arial"/>
        </w:rPr>
        <w:instrText>ADDIN CSL_CITATION {"citationItems":[{"id":"ITEM-1","itemData":{"author":[{"dropping-particle":"","family":"McIntyre","given":"Natasha J.","non-dropping-particle":"","parse-names":false,"suffix":""},{"dropping-particle":"","family":"Shardlow","given":"Adam","non-dropping-particle":"","parse-names":false,"suffix":""},{"dropping-particle":"V.","family":"Kohle","given":"Nitin","non-dropping-particle":"","parse-names":false,"suffix":""},{"dropping-particle":"","family":"Fluck","given":"Richard J.","non-dropping-particle":"","parse-names":false,"suffix":""},{"dropping-particle":"","family":"McIntyre","given":"Christopher W.","non-dropping-particle":"","parse-names":false,"suffix":""},{"dropping-particle":"","family":"Taal","given":"Maarten W.","non-dropping-particle":"","parse-names":false,"suffix":""}],"container-title":"Journal of the American Society of Nephrology","id":"ITEM-1","issued":{"date-parts":[["2018"]]},"page":"934","title":"The Association of Markers of Mineral Bone Disease with CVEs in Early CKD","type":"article-journal","volume":"209"},"uris":["http://www.mendeley.com/documents/?uuid=342ae14b-5181-482b-984f-06622c77ac26"]}],"mendeley":{"formattedCitation":"(7)","plainTextFormattedCitation":"(7)","previouslyFormattedCitation":"(7)"},"properties":{"noteIndex":0},"schema":"https://github.com/citation-style-language/schema/raw/master/csl-citation.json"}</w:instrText>
      </w:r>
      <w:r w:rsidR="00584B18" w:rsidRPr="00E96210">
        <w:rPr>
          <w:rFonts w:ascii="Calibri" w:hAnsi="Calibri" w:cs="Arial"/>
        </w:rPr>
        <w:fldChar w:fldCharType="separate"/>
      </w:r>
      <w:r w:rsidR="00584B18" w:rsidRPr="00E96210">
        <w:rPr>
          <w:rFonts w:ascii="Calibri" w:hAnsi="Calibri" w:cs="Arial"/>
          <w:noProof/>
        </w:rPr>
        <w:t>(7)</w:t>
      </w:r>
      <w:r w:rsidR="00584B18" w:rsidRPr="00E96210">
        <w:rPr>
          <w:rFonts w:ascii="Calibri" w:hAnsi="Calibri" w:cs="Arial"/>
        </w:rPr>
        <w:fldChar w:fldCharType="end"/>
      </w:r>
      <w:r w:rsidR="00FE3FF5" w:rsidRPr="00E16C74">
        <w:rPr>
          <w:rFonts w:ascii="Calibri" w:hAnsi="Calibri" w:cs="Arial"/>
        </w:rPr>
        <w:t xml:space="preserve">. </w:t>
      </w:r>
      <w:r w:rsidR="00FE30DF" w:rsidRPr="00E16C74">
        <w:rPr>
          <w:rFonts w:ascii="Calibri" w:hAnsi="Calibri" w:cs="Arial"/>
        </w:rPr>
        <w:t xml:space="preserve">The absolute benefits of aspirin may therefore be higher </w:t>
      </w:r>
      <w:r w:rsidR="005F16E8" w:rsidRPr="00E16C74">
        <w:rPr>
          <w:rFonts w:ascii="Calibri" w:hAnsi="Calibri" w:cs="Arial"/>
        </w:rPr>
        <w:t xml:space="preserve">in the CKD population </w:t>
      </w:r>
      <w:r w:rsidR="00FE30DF" w:rsidRPr="00E16C74">
        <w:rPr>
          <w:rFonts w:ascii="Calibri" w:hAnsi="Calibri" w:cs="Arial"/>
        </w:rPr>
        <w:t xml:space="preserve">than in lower risk </w:t>
      </w:r>
      <w:r w:rsidR="005F16E8" w:rsidRPr="00E16C74">
        <w:rPr>
          <w:rFonts w:ascii="Calibri" w:hAnsi="Calibri" w:cs="Arial"/>
        </w:rPr>
        <w:t>groups</w:t>
      </w:r>
      <w:r w:rsidR="00FE30DF" w:rsidRPr="00E16C74">
        <w:rPr>
          <w:rFonts w:ascii="Calibri" w:hAnsi="Calibri" w:cs="Arial"/>
        </w:rPr>
        <w:t xml:space="preserve"> even if the relative risk reductions are similar. </w:t>
      </w:r>
    </w:p>
    <w:p w14:paraId="05555073" w14:textId="10CE45E9" w:rsidR="005D2EF1" w:rsidRPr="00E16C74" w:rsidRDefault="00FA0647" w:rsidP="00C61BC8">
      <w:pPr>
        <w:spacing w:line="276" w:lineRule="auto"/>
        <w:jc w:val="both"/>
        <w:rPr>
          <w:rFonts w:ascii="Calibri" w:hAnsi="Calibri" w:cs="Arial"/>
        </w:rPr>
      </w:pPr>
      <w:r w:rsidRPr="00E96210">
        <w:rPr>
          <w:rFonts w:ascii="Calibri" w:hAnsi="Calibri" w:cs="Arial"/>
        </w:rPr>
        <w:t>I</w:t>
      </w:r>
      <w:r w:rsidR="005F16E8" w:rsidRPr="00E16C74">
        <w:rPr>
          <w:rFonts w:ascii="Calibri" w:hAnsi="Calibri" w:cs="Arial"/>
        </w:rPr>
        <w:t>t is also possible that the relative risk reductions in CVD with aspirin are greater in people with CKD than in those with normal kidney function.  S</w:t>
      </w:r>
      <w:r w:rsidR="00697A7D" w:rsidRPr="00E16C74">
        <w:rPr>
          <w:rFonts w:ascii="Calibri" w:hAnsi="Calibri" w:cs="Arial"/>
        </w:rPr>
        <w:t>ome s</w:t>
      </w:r>
      <w:r w:rsidR="005F16E8" w:rsidRPr="00E16C74">
        <w:rPr>
          <w:rFonts w:ascii="Calibri" w:hAnsi="Calibri" w:cs="Arial"/>
        </w:rPr>
        <w:t xml:space="preserve">upport for this contention is found in a </w:t>
      </w:r>
      <w:r w:rsidR="005D2EF1" w:rsidRPr="00E16C74">
        <w:rPr>
          <w:rFonts w:ascii="Calibri" w:hAnsi="Calibri" w:cs="Arial"/>
        </w:rPr>
        <w:t xml:space="preserve">post-hoc </w:t>
      </w:r>
      <w:r w:rsidR="005F16E8" w:rsidRPr="00E16C74">
        <w:rPr>
          <w:rFonts w:ascii="Calibri" w:hAnsi="Calibri" w:cs="Arial"/>
        </w:rPr>
        <w:t xml:space="preserve">CKD subgroup analysis from the HOT </w:t>
      </w:r>
      <w:r w:rsidR="00697A7D" w:rsidRPr="00E16C74">
        <w:rPr>
          <w:rFonts w:ascii="Calibri" w:hAnsi="Calibri" w:cs="Arial"/>
        </w:rPr>
        <w:t xml:space="preserve">primary prevention </w:t>
      </w:r>
      <w:r w:rsidR="00C61BC8">
        <w:rPr>
          <w:rFonts w:ascii="Calibri" w:hAnsi="Calibri" w:cs="Arial"/>
        </w:rPr>
        <w:t xml:space="preserve">trial where overall, </w:t>
      </w:r>
      <w:r w:rsidR="00C61BC8">
        <w:rPr>
          <w:rFonts w:ascii="Calibri" w:eastAsia="Gungsuh" w:hAnsi="Calibri" w:cs="Arial"/>
        </w:rPr>
        <w:t>aspirin</w:t>
      </w:r>
      <w:r w:rsidR="00697A7D" w:rsidRPr="00E16C74">
        <w:rPr>
          <w:rFonts w:ascii="Calibri" w:eastAsia="Gungsuh" w:hAnsi="Calibri" w:cs="Arial"/>
        </w:rPr>
        <w:t xml:space="preserve"> </w:t>
      </w:r>
      <w:r w:rsidR="005F16E8" w:rsidRPr="00E16C74">
        <w:rPr>
          <w:rFonts w:ascii="Calibri" w:eastAsia="Gungsuh" w:hAnsi="Calibri" w:cs="Arial"/>
        </w:rPr>
        <w:t>reduced the risk of majo</w:t>
      </w:r>
      <w:r w:rsidR="000979B5" w:rsidRPr="00E16C74">
        <w:rPr>
          <w:rFonts w:ascii="Calibri" w:eastAsia="Gungsuh" w:hAnsi="Calibri" w:cs="Arial"/>
        </w:rPr>
        <w:t xml:space="preserve">r </w:t>
      </w:r>
      <w:r w:rsidR="00697A7D" w:rsidRPr="00E16C74">
        <w:rPr>
          <w:rFonts w:ascii="Calibri" w:eastAsia="Gungsuh" w:hAnsi="Calibri" w:cs="Arial"/>
        </w:rPr>
        <w:t xml:space="preserve">vascular events by 15%. </w:t>
      </w:r>
      <w:r w:rsidR="00697A7D" w:rsidRPr="00E16C74">
        <w:rPr>
          <w:rFonts w:ascii="Calibri" w:hAnsi="Calibri" w:cs="Arial"/>
        </w:rPr>
        <w:t xml:space="preserve">Per </w:t>
      </w:r>
      <w:r w:rsidR="005D2EF1" w:rsidRPr="00E16C74">
        <w:rPr>
          <w:rFonts w:ascii="Calibri" w:hAnsi="Calibri" w:cs="Arial"/>
        </w:rPr>
        <w:t xml:space="preserve">1,000 patient years aspirin prevented 1 </w:t>
      </w:r>
      <w:r w:rsidR="00697A7D" w:rsidRPr="00E16C74">
        <w:rPr>
          <w:rFonts w:ascii="Calibri" w:hAnsi="Calibri" w:cs="Arial"/>
        </w:rPr>
        <w:t>(-1 to 2), 2 (-2 to 5</w:t>
      </w:r>
      <w:r w:rsidR="005F16E8" w:rsidRPr="00E16C74">
        <w:rPr>
          <w:rFonts w:ascii="Calibri" w:hAnsi="Calibri" w:cs="Arial"/>
        </w:rPr>
        <w:t>)</w:t>
      </w:r>
      <w:r w:rsidR="00697A7D" w:rsidRPr="00E16C74">
        <w:rPr>
          <w:rFonts w:ascii="Calibri" w:hAnsi="Calibri" w:cs="Arial"/>
        </w:rPr>
        <w:t xml:space="preserve"> and 20 (6 to 32) </w:t>
      </w:r>
      <w:r w:rsidR="005F16E8" w:rsidRPr="00E16C74">
        <w:rPr>
          <w:rFonts w:ascii="Calibri" w:hAnsi="Calibri" w:cs="Arial"/>
        </w:rPr>
        <w:t xml:space="preserve">major cardiovascular events </w:t>
      </w:r>
      <w:r w:rsidR="00C61BC8" w:rsidRPr="00E16C74">
        <w:rPr>
          <w:rFonts w:ascii="Calibri" w:eastAsia="Gungsuh" w:hAnsi="Calibri" w:cs="Arial"/>
        </w:rPr>
        <w:t xml:space="preserve">for patients with baseline eGFR of </w:t>
      </w:r>
      <w:r w:rsidR="00C61BC8" w:rsidRPr="00E16C74">
        <w:rPr>
          <w:rFonts w:ascii="Calibri" w:eastAsia="Gungsuh" w:hAnsi="Calibri" w:cs="Arial" w:hint="eastAsia"/>
        </w:rPr>
        <w:t>≥</w:t>
      </w:r>
      <w:r w:rsidR="00C61BC8" w:rsidRPr="00E16C74">
        <w:rPr>
          <w:rFonts w:ascii="Calibri" w:eastAsia="Gungsuh" w:hAnsi="Calibri" w:cs="Arial"/>
        </w:rPr>
        <w:t xml:space="preserve">60, 45 to 59, and </w:t>
      </w:r>
      <w:r w:rsidR="00C61BC8" w:rsidRPr="00E16C74">
        <w:rPr>
          <w:rFonts w:ascii="Calibri" w:eastAsia="Gungsuh" w:hAnsi="Calibri" w:cs="Arial"/>
        </w:rPr>
        <w:lastRenderedPageBreak/>
        <w:t>&lt;45mL/min/1.73m</w:t>
      </w:r>
      <w:r w:rsidR="00C61BC8" w:rsidRPr="00E16C74">
        <w:rPr>
          <w:rFonts w:ascii="Calibri" w:hAnsi="Calibri" w:cs="Arial"/>
          <w:vertAlign w:val="superscript"/>
        </w:rPr>
        <w:t>2</w:t>
      </w:r>
      <w:r w:rsidR="00C61BC8">
        <w:rPr>
          <w:rFonts w:ascii="Calibri" w:hAnsi="Calibri" w:cs="Arial"/>
          <w:vertAlign w:val="superscript"/>
        </w:rPr>
        <w:t xml:space="preserve"> </w:t>
      </w:r>
      <w:r w:rsidR="00C61BC8">
        <w:rPr>
          <w:rFonts w:ascii="Calibri" w:hAnsi="Calibri" w:cs="Arial"/>
        </w:rPr>
        <w:t>respectively</w:t>
      </w:r>
      <w:r w:rsidR="00F843D3">
        <w:rPr>
          <w:rFonts w:ascii="Calibri" w:hAnsi="Calibri" w:cs="Arial"/>
        </w:rPr>
        <w:t xml:space="preserve">. </w:t>
      </w:r>
      <w:r w:rsidR="00F843D3" w:rsidRPr="00E16C74">
        <w:rPr>
          <w:rFonts w:ascii="Calibri" w:hAnsi="Calibri" w:cs="Arial"/>
        </w:rPr>
        <w:t>On sensitivity analysis eGFR appeared to define the threshold for benefit</w:t>
      </w:r>
      <w:r w:rsidR="00C61BC8">
        <w:rPr>
          <w:rFonts w:ascii="Calibri" w:hAnsi="Calibri" w:cs="Arial"/>
        </w:rPr>
        <w:t xml:space="preserve"> </w:t>
      </w:r>
      <w:r w:rsidR="00584B18" w:rsidRPr="00E96210">
        <w:rPr>
          <w:rFonts w:ascii="Calibri" w:hAnsi="Calibri" w:cs="Arial"/>
        </w:rPr>
        <w:fldChar w:fldCharType="begin" w:fldLock="1"/>
      </w:r>
      <w:r w:rsidR="00584B18" w:rsidRPr="00314ABA">
        <w:rPr>
          <w:rFonts w:ascii="Calibri" w:hAnsi="Calibri" w:cs="Arial"/>
        </w:rPr>
        <w:instrText>ADDIN CSL_CITATION {"citationItems":[{"id":"ITEM-1","itemData":{"DOI":"10.1016/j.jacc.2010.02.068","ISSN":"1558-3597","PMID":"20828648","abstract":"OBJECTIVES The purpose of this study was to determine the benefit and risk associated with antiplatelet therapy in the chronic kidney disease (CKD) population. BACKGROUND Cardiovascular and possibly bleeding risks are elevated in patients with CKD. The balance of benefit and harm associated with antiplatelet therapy remains uncertain. METHODS The HOT (Hypertension Optimal Treatment) study randomly assigned participants with diastolic hypertension to aspirin (75 mg) or placebo. Study treatment effects were calculated using univariate proportional hazards regression models stratified by baseline estimated glomerular filtration rate (eGFR) with trends tested by adding interaction terms. End points included major cardiovascular events, total mortality, and major bleeding. RESULTS The study included 18,597 participants treated for 3.8 years. Baseline eGFR was &lt; 60 ml/min/1.73 m(2) in 3,619 participants. Major cardiovascular events were reduced by 9% (95% confidence interval [CI]: -9% to 24%), 15% (95% CI: -17% to 39%), and 66% (95% CI: 33% to 83%) for patients with baseline eGFR of ≥ 60, 45 to 59, and &lt; 45 ml/min/1.73 m(2), respectively (p trend = 0.03). Total mortality was reduced by 0% (95% CI: -20% to 17%), 11% (95% CI: -31% to 40%), and 49% (95% CI: 6% to 73%), respectively (p trend = 0.04). Major bleeding events were nonsignificantly greater with lower eGFR (hazard ratio [HR]: 1.52 [95% CI: 1.11 to 2.08], HR: 1.70 [95% CI: 0.74 to 3.88], and HR: 2.81 [95% CI: 0.92 to 8.84], respectively; p trend = 0.30). Among every 1,000 persons with eGFR &lt; 45 ml/min/1.73 m(2) treated for 3.8 years, 76 major cardiovascular events and 54 all-cause deaths will be prevented while 27 excess major bleeds will occur. CONCLUSIONS Aspirin therapy produces greater absolute reduction in major cardiovascular events and mortality in hypertensive patients with CKD than with normal kidney function. An increased risk of major bleeding appears to be outweighed by the substantial benefits.","author":[{"dropping-particle":"","family":"Jardine","given":"Meg J","non-dropping-particle":"","parse-names":false,"suffix":""},{"dropping-particle":"","family":"Ninomiya","given":"Toshiharu","non-dropping-particle":"","parse-names":false,"suffix":""},{"dropping-particle":"","family":"Perkovic","given":"Vlado","non-dropping-particle":"","parse-names":false,"suffix":""},{"dropping-particle":"","family":"Cass","given":"Alan","non-dropping-particle":"","parse-names":false,"suffix":""},{"dropping-particle":"","family":"Turnbull","given":"Fiona","non-dropping-particle":"","parse-names":false,"suffix":""},{"dropping-particle":"","family":"Gallagher","given":"Martin P","non-dropping-particle":"","parse-names":false,"suffix":""},{"dropping-particle":"","family":"Zoungas","given":"Sophia","non-dropping-particle":"","parse-names":false,"suffix":""},{"dropping-particle":"","family":"Lambers Heerspink","given":"Hiddo J","non-dropping-particle":"","parse-names":false,"suffix":""},{"dropping-particle":"","family":"Chalmers","given":"John","non-dropping-particle":"","parse-names":false,"suffix":""},{"dropping-particle":"","family":"Zanchetti","given":"Alberto","non-dropping-particle":"","parse-names":false,"suffix":""}],"container-title":"Journal of the American College of Cardiology","id":"ITEM-1","issue":"12","issued":{"date-parts":[["2010","9","14"]]},"page":"956-65","title":"Aspirin is beneficial in hypertensive patients with chronic kidney disease: a post-hoc subgroup analysis of a randomized controlled trial.","type":"article-journal","volume":"56"},"uris":["http://www.mendeley.com/documents/?uuid=572d8475-900c-4569-b16c-32a50bec92fa"]}],"mendeley":{"formattedCitation":"(8)","plainTextFormattedCitation":"(8)","previouslyFormattedCitation":"(8)"},"properties":{"noteIndex":0},"schema":"https://github.com/citation-style-language/schema/raw/master/csl-citation.json"}</w:instrText>
      </w:r>
      <w:r w:rsidR="00584B18" w:rsidRPr="00E96210">
        <w:rPr>
          <w:rFonts w:ascii="Calibri" w:hAnsi="Calibri" w:cs="Arial"/>
        </w:rPr>
        <w:fldChar w:fldCharType="separate"/>
      </w:r>
      <w:r w:rsidR="00584B18" w:rsidRPr="00E96210">
        <w:rPr>
          <w:rFonts w:ascii="Calibri" w:hAnsi="Calibri" w:cs="Arial"/>
          <w:noProof/>
        </w:rPr>
        <w:t>(8)</w:t>
      </w:r>
      <w:r w:rsidR="00584B18" w:rsidRPr="00E96210">
        <w:rPr>
          <w:rFonts w:ascii="Calibri" w:hAnsi="Calibri" w:cs="Arial"/>
        </w:rPr>
        <w:fldChar w:fldCharType="end"/>
      </w:r>
      <w:r w:rsidR="00697A7D" w:rsidRPr="00E16C74">
        <w:rPr>
          <w:rFonts w:ascii="Calibri" w:hAnsi="Calibri" w:cs="Arial"/>
        </w:rPr>
        <w:t xml:space="preserve">.   </w:t>
      </w:r>
    </w:p>
    <w:p w14:paraId="34FC0300" w14:textId="2F3E439B" w:rsidR="005D2EF1" w:rsidRPr="00E16C74" w:rsidRDefault="00FA0647" w:rsidP="00E16C74">
      <w:pPr>
        <w:spacing w:line="276" w:lineRule="auto"/>
        <w:jc w:val="both"/>
        <w:rPr>
          <w:rFonts w:ascii="Calibri" w:hAnsi="Calibri" w:cs="Arial"/>
          <w:lang w:val="en"/>
        </w:rPr>
      </w:pPr>
      <w:r w:rsidRPr="00E96210">
        <w:rPr>
          <w:rFonts w:ascii="Calibri" w:hAnsi="Calibri" w:cs="Arial"/>
        </w:rPr>
        <w:t>However, i</w:t>
      </w:r>
      <w:r w:rsidR="005D2EF1" w:rsidRPr="00E16C74">
        <w:rPr>
          <w:rFonts w:ascii="Calibri" w:hAnsi="Calibri" w:cs="Arial"/>
        </w:rPr>
        <w:t xml:space="preserve">t is unclear to what extent any benefits may be offset because people with CKD are also at increased risk of </w:t>
      </w:r>
      <w:r w:rsidR="00E16C74">
        <w:rPr>
          <w:rFonts w:ascii="Calibri" w:hAnsi="Calibri" w:cs="Arial"/>
        </w:rPr>
        <w:t xml:space="preserve">major </w:t>
      </w:r>
      <w:r w:rsidR="005D2EF1" w:rsidRPr="00E16C74">
        <w:rPr>
          <w:rFonts w:ascii="Calibri" w:hAnsi="Calibri" w:cs="Arial"/>
        </w:rPr>
        <w:t xml:space="preserve">bleeding.  </w:t>
      </w:r>
      <w:r w:rsidR="005D2EF1" w:rsidRPr="00E16C74">
        <w:rPr>
          <w:rFonts w:ascii="Calibri" w:eastAsia="Gungsuh" w:hAnsi="Calibri" w:cs="Arial"/>
        </w:rPr>
        <w:t xml:space="preserve">Many people with CKD are elderly, which is a risk factor for aspirin-associated bleeding. There are additional specific mechanisms through which the bleeding tendency </w:t>
      </w:r>
      <w:r w:rsidR="00E16C74">
        <w:rPr>
          <w:rFonts w:ascii="Calibri" w:eastAsia="Gungsuh" w:hAnsi="Calibri" w:cs="Arial"/>
        </w:rPr>
        <w:t>is</w:t>
      </w:r>
      <w:r w:rsidR="005D2EF1" w:rsidRPr="00E16C74">
        <w:rPr>
          <w:rFonts w:ascii="Calibri" w:eastAsia="Gungsuh" w:hAnsi="Calibri" w:cs="Arial"/>
        </w:rPr>
        <w:t xml:space="preserve"> increased in CKD, including defective platelet adhesion to the sub-endothelium, defective platelet aggregation, and other intrinsic platelet defect</w:t>
      </w:r>
      <w:r w:rsidR="00584B18" w:rsidRPr="00E96210">
        <w:rPr>
          <w:rFonts w:ascii="Calibri" w:eastAsia="Gungsuh" w:hAnsi="Calibri" w:cs="Arial"/>
        </w:rPr>
        <w:t>s</w:t>
      </w:r>
      <w:r w:rsidR="005D2EF1" w:rsidRPr="00E16C74">
        <w:rPr>
          <w:rFonts w:ascii="Calibri" w:eastAsia="Gungsuh" w:hAnsi="Calibri" w:cs="Arial"/>
        </w:rPr>
        <w:t>.</w:t>
      </w:r>
    </w:p>
    <w:p w14:paraId="430BEBD2" w14:textId="6B4628AC" w:rsidR="00D80596" w:rsidRPr="005878C9" w:rsidRDefault="005D2EF1" w:rsidP="00E16C74">
      <w:pPr>
        <w:spacing w:line="276" w:lineRule="auto"/>
        <w:jc w:val="both"/>
        <w:rPr>
          <w:rFonts w:ascii="Calibri" w:hAnsi="Calibri" w:cs="Arial"/>
        </w:rPr>
      </w:pPr>
      <w:r w:rsidRPr="00E16C74">
        <w:rPr>
          <w:rFonts w:ascii="Calibri" w:hAnsi="Calibri" w:cs="Arial"/>
        </w:rPr>
        <w:t xml:space="preserve">A 2016 systematic review exploring the use of aspirin for primary prevention of CVD in CKD concluded that insufficient randomised control trial data exists to recommend </w:t>
      </w:r>
      <w:r w:rsidR="00C61BC8" w:rsidRPr="00C61BC8">
        <w:rPr>
          <w:rFonts w:ascii="Calibri" w:hAnsi="Calibri" w:cs="Arial"/>
          <w:highlight w:val="yellow"/>
        </w:rPr>
        <w:t>either</w:t>
      </w:r>
      <w:r w:rsidR="00C61BC8">
        <w:rPr>
          <w:rFonts w:ascii="Calibri" w:hAnsi="Calibri" w:cs="Arial"/>
        </w:rPr>
        <w:t xml:space="preserve"> </w:t>
      </w:r>
      <w:r w:rsidRPr="00E16C74">
        <w:rPr>
          <w:rFonts w:ascii="Calibri" w:hAnsi="Calibri" w:cs="Arial"/>
        </w:rPr>
        <w:t>universal use or avoidance of aspirin for primary prevention of cardiovascular events in CKD and that the limitations of the evidence highlighted the need for definitive CKD-specific randomised controlled trials</w:t>
      </w:r>
      <w:r w:rsidR="00584B18" w:rsidRPr="00E96210">
        <w:rPr>
          <w:rFonts w:ascii="Calibri" w:hAnsi="Calibri" w:cs="Arial"/>
        </w:rPr>
        <w:t xml:space="preserve"> </w:t>
      </w:r>
      <w:r w:rsidR="00584B18" w:rsidRPr="00E96210">
        <w:rPr>
          <w:rFonts w:ascii="Calibri" w:hAnsi="Calibri" w:cs="Arial"/>
        </w:rPr>
        <w:fldChar w:fldCharType="begin" w:fldLock="1"/>
      </w:r>
      <w:r w:rsidR="00584B18" w:rsidRPr="00314ABA">
        <w:rPr>
          <w:rFonts w:ascii="Calibri" w:hAnsi="Calibri" w:cs="Arial"/>
        </w:rPr>
        <w:instrText>ADDIN CSL_CITATION {"citationItems":[{"id":"ITEM-1","itemData":{"DOI":"10.1016/j.atherosclerosis.2016.06.013","ISBN":"1879-1484","ISSN":"18791484","PMID":"27341534","abstract":"Background and aims: Chronic kidney disease is a strong independent predictor of cardiovascular disease. No published meta-analyses on the use of aspirin for the primary prevention of cardiovascular disease in chronic kidney disease exist. We therefore performed a systematic review and meta-analysis of this subject. Methods: We used a pre-defined and registered protocol (PROSPERO identification CRD42014008860). We searched Medline and Embase between 1996 and July 2015. Inclusion criteria were adult subjects with non-endstage chronic kidney disease (CKD) and no history of cardiovascular disease. The co-primary outcomes were major cardiovascular events and all-cause mortality. Secondary outcomes included bleeding-related events. We used a random effects model to pool data. Results: Three trials were identified and two of these provided previously unpublished data. The studies included 4468 participants and 16,740 person-years of follow-up. There were no statistically significant reductions in the risk of major cardiovascular events (RR 0.92, 95% CI 0.49 to 1.73, p = 0.79, I2 71%) or mortality (RR 0.74, 95% CI 0.55 to 1.00, p = 0.05, I2 0%) with aspirin compared to the control group. Major bleeding events were increased with aspirin though (RR 1.98, 95% CI 1.11 to 3.52, p = 0.02, I2 0%). Conclusions: There is no clear benefit of aspirin for the primary prevention of cardiovascular events in CKD and no statistically significant reduction in mortality. Aspirin is likely to increase the risk of major bleeding events. Currently, insufficient randomised control trial data exists to recommend universal use or avoidance of aspirin for primary prevention of cardiovascular events in CKD.","author":[{"dropping-particle":"","family":"Major","given":"Rupert W.","non-dropping-particle":"","parse-names":false,"suffix":""},{"dropping-particle":"","family":"Oozeerally","given":"Issaam","non-dropping-particle":"","parse-names":false,"suffix":""},{"dropping-particle":"","family":"Dawson","given":"Simon","non-dropping-particle":"","parse-names":false,"suffix":""},{"dropping-particle":"","family":"Riddleston","given":"Helen","non-dropping-particle":"","parse-names":false,"suffix":""},{"dropping-particle":"","family":"Gray","given":"Laura J.","non-dropping-particle":"","parse-names":false,"suffix":""},{"dropping-particle":"","family":"Brunskill","given":"Nigel J.","non-dropping-particle":"","parse-names":false,"suffix":""}],"container-title":"Atherosclerosis","id":"ITEM-1","issued":{"date-parts":[["2016"]]},"page":"177-182","publisher":"Elsevier Ltd","title":"Aspirin and cardiovascular primary prevention in non-endstage chronic kidney disease: A meta-analysis","type":"article-journal","volume":"251"},"uris":["http://www.mendeley.com/documents/?uuid=c5fc288c-ff58-4876-8236-6745a2e48129"]}],"mendeley":{"formattedCitation":"(9)","plainTextFormattedCitation":"(9)","previouslyFormattedCitation":"(9)"},"properties":{"noteIndex":0},"schema":"https://github.com/citation-style-language/schema/raw/master/csl-citation.json"}</w:instrText>
      </w:r>
      <w:r w:rsidR="00584B18" w:rsidRPr="00E96210">
        <w:rPr>
          <w:rFonts w:ascii="Calibri" w:hAnsi="Calibri" w:cs="Arial"/>
        </w:rPr>
        <w:fldChar w:fldCharType="separate"/>
      </w:r>
      <w:r w:rsidR="00584B18" w:rsidRPr="00E96210">
        <w:rPr>
          <w:rFonts w:ascii="Calibri" w:hAnsi="Calibri" w:cs="Arial"/>
          <w:noProof/>
        </w:rPr>
        <w:t>(9)</w:t>
      </w:r>
      <w:r w:rsidR="00584B18" w:rsidRPr="00E96210">
        <w:rPr>
          <w:rFonts w:ascii="Calibri" w:hAnsi="Calibri" w:cs="Arial"/>
        </w:rPr>
        <w:fldChar w:fldCharType="end"/>
      </w:r>
      <w:r w:rsidRPr="00E16C74">
        <w:rPr>
          <w:rFonts w:ascii="Calibri" w:hAnsi="Calibri" w:cs="Arial"/>
        </w:rPr>
        <w:t xml:space="preserve">.  </w:t>
      </w:r>
      <w:r w:rsidR="00584B18" w:rsidRPr="00E96210">
        <w:rPr>
          <w:rFonts w:ascii="Calibri" w:hAnsi="Calibri" w:cs="Arial"/>
        </w:rPr>
        <w:t>Dad</w:t>
      </w:r>
      <w:r w:rsidR="00B26C31" w:rsidRPr="00E16C74">
        <w:rPr>
          <w:rFonts w:ascii="Calibri" w:hAnsi="Calibri" w:cs="Arial"/>
        </w:rPr>
        <w:t xml:space="preserve"> </w:t>
      </w:r>
      <w:r w:rsidR="00584B18" w:rsidRPr="00E96210">
        <w:rPr>
          <w:rFonts w:ascii="Calibri" w:hAnsi="Calibri" w:cs="Arial"/>
          <w:i/>
        </w:rPr>
        <w:t>e</w:t>
      </w:r>
      <w:r w:rsidR="00B26C31" w:rsidRPr="00E16C74">
        <w:rPr>
          <w:rFonts w:ascii="Calibri" w:hAnsi="Calibri" w:cs="Arial"/>
          <w:i/>
        </w:rPr>
        <w:t>t al</w:t>
      </w:r>
      <w:r w:rsidR="00584B18" w:rsidRPr="00E96210">
        <w:rPr>
          <w:rFonts w:ascii="Calibri" w:hAnsi="Calibri" w:cs="Arial"/>
          <w:i/>
        </w:rPr>
        <w:t>.</w:t>
      </w:r>
      <w:r w:rsidR="00B26C31" w:rsidRPr="00E16C74">
        <w:rPr>
          <w:rFonts w:ascii="Calibri" w:hAnsi="Calibri" w:cs="Arial"/>
        </w:rPr>
        <w:t xml:space="preserve"> concluded, in their review of 2016 US guidance on primary prevention with aspirin</w:t>
      </w:r>
      <w:r w:rsidR="000979B5" w:rsidRPr="00E16C74">
        <w:rPr>
          <w:rFonts w:ascii="Calibri" w:hAnsi="Calibri" w:cs="Arial"/>
        </w:rPr>
        <w:t>,</w:t>
      </w:r>
      <w:r w:rsidR="00B26C31" w:rsidRPr="00E16C74">
        <w:rPr>
          <w:rFonts w:ascii="Calibri" w:hAnsi="Calibri" w:cs="Arial"/>
        </w:rPr>
        <w:t xml:space="preserve"> that “given existing clinical equipoise, the affordability of aspirin, the wide acceptance of aspirin as potentially therapeutic by patients, and the high risk for CVD in advanced kidney disease, adequately powered clinical trials are urgently needed and should be a priority for funding agencies”</w:t>
      </w:r>
      <w:r w:rsidR="00584B18" w:rsidRPr="00E96210">
        <w:rPr>
          <w:rFonts w:ascii="Calibri" w:hAnsi="Calibri" w:cs="Arial"/>
        </w:rPr>
        <w:t xml:space="preserve"> </w:t>
      </w:r>
      <w:r w:rsidR="00584B18" w:rsidRPr="00E96210">
        <w:rPr>
          <w:rFonts w:ascii="Calibri" w:hAnsi="Calibri" w:cs="Arial"/>
        </w:rPr>
        <w:fldChar w:fldCharType="begin" w:fldLock="1"/>
      </w:r>
      <w:r w:rsidR="00584B18" w:rsidRPr="00314ABA">
        <w:rPr>
          <w:rFonts w:ascii="Calibri" w:hAnsi="Calibri" w:cs="Arial"/>
        </w:rPr>
        <w:instrText>ADDIN CSL_CITATION {"citationItems":[{"id":"ITEM-1","itemData":{"DOI":"10.1053/j.ajkd.2016.10.012","ISSN":"15236838","abstract":"A spirin is an old and venerable medication. The antipyretic and analgesic effects of willow bark were known to the ancient Greeks, Assyrians, and Egyptians. Slowly, over centuries, the responsible compound was isolated and purified. 1 The first sam-ple of pure acetylsalicylic acid was produced in Germany in 1897 and marketed in 1899 under the trademark of Aspirin, initially targeting treatment of pain in rheumatism. 2 With increasing clinical expe-rience in the 1900s came observations of both harm, specifically bleeding, and benefit, specifically re-ductions in coronary events. Subsequent research revealed the now well-known mechanism of cyclooxygenase-1 inhibition and downstream thromboxane A 2 generation that results in decreased platelet aggregation and clinical antith-rombotic effect. 2 This led to clinical trials showing prevention of cardiovascular disease (CVD) events, followed by widespread uptake of aspirin use in the general population for CVD prevention. Over the years, many guideline groups have reviewed the evi-dence of benefit and risks with aspirin use and pre-sented guidelines for clinical use, and in April 2016, the US Preventive Services Task Force (USPSTF) updated their guidelines 3 from previous ones in 2009 4 and 2007. 5 Although these updated guidelines discuss aspirin use for both CVD and colorectal cancer risk reduction, this editorial focuses on CVD risk reduction with aspirin and the specific implications for people with chronic kidney disease (CKD). WHAT DOES THIS IMPORTANT REPORT SHOW? Based on data from 3 new USPSTF-commissioned systematic reviews 6-8 and a decision analysis that evaluated potential net life-years and quality-adjusted life-years gained with aspirin use, 9 the USPSTF pro-vided the following conclusions for low-dose aspirin use: The USPSTF concludes with moderate certainty that the benefit of aspirin use for the primary prevention of CVD events.outweighs the increased risk for bleeding by a moderate amount in adults aged 50 to 59 years who have a 10-year CVD risk of 10% or greater (grade B). [and] outweighs the increased risk for bleeding by a small amount in adults aged 60 to 69 years who have a 10-year CVD risk of 10% or greater (Grade C). The USPSTF concludes that the evidence on aspirin use in adults younger than 50 years or older than 69 years is insufficient to determine the balance of benefits and harms (Grade Insufficient evidence).","author":[{"dropping-particle":"","family":"Dad","given":"Taimur","non-dropping-particle":"","parse-names":false,"suffix":""},{"dropping-particle":"","family":"Weiner","given":"Daniel E.","non-dropping-particle":"","parse-names":false,"suffix":""}],"container-title":"American Journal of Kidney Diseases","id":"ITEM-1","issue":"3","issued":{"date-parts":[["2017"]]},"page":"337-340","title":"Does an Aspirin a Day Keep the Doctor Away?","type":"article-journal","volume":"69"},"uris":["http://www.mendeley.com/documents/?uuid=8e15bf1a-d11f-4379-89cd-c4ae59c0154b"]}],"mendeley":{"formattedCitation":"(10)","plainTextFormattedCitation":"(10)","previouslyFormattedCitation":"(10)"},"properties":{"noteIndex":0},"schema":"https://github.com/citation-style-language/schema/raw/master/csl-citation.json"}</w:instrText>
      </w:r>
      <w:r w:rsidR="00584B18" w:rsidRPr="00E96210">
        <w:rPr>
          <w:rFonts w:ascii="Calibri" w:hAnsi="Calibri" w:cs="Arial"/>
        </w:rPr>
        <w:fldChar w:fldCharType="separate"/>
      </w:r>
      <w:r w:rsidR="00584B18" w:rsidRPr="00E96210">
        <w:rPr>
          <w:rFonts w:ascii="Calibri" w:hAnsi="Calibri" w:cs="Arial"/>
          <w:noProof/>
        </w:rPr>
        <w:t>(10)</w:t>
      </w:r>
      <w:r w:rsidR="00584B18" w:rsidRPr="00E96210">
        <w:rPr>
          <w:rFonts w:ascii="Calibri" w:hAnsi="Calibri" w:cs="Arial"/>
        </w:rPr>
        <w:fldChar w:fldCharType="end"/>
      </w:r>
      <w:r w:rsidR="00B26C31" w:rsidRPr="00E16C74">
        <w:rPr>
          <w:rFonts w:ascii="Calibri" w:hAnsi="Calibri" w:cs="Arial"/>
        </w:rPr>
        <w:t>.  In 2014 the National Institute for Heath and Care Excellence recommended a definitive trial of aspirin for primary prevention of CVD in people with CKD</w:t>
      </w:r>
      <w:r w:rsidR="00D80596" w:rsidRPr="00E16C74">
        <w:rPr>
          <w:rFonts w:ascii="Calibri" w:hAnsi="Calibri" w:cs="Arial"/>
        </w:rPr>
        <w:t xml:space="preserve">. </w:t>
      </w:r>
      <w:r w:rsidR="00B26C31" w:rsidRPr="005878C9">
        <w:rPr>
          <w:rFonts w:ascii="Calibri" w:hAnsi="Calibri" w:cs="Arial"/>
        </w:rPr>
        <w:t>Whilst large trials have been published since these commentaries and recommendations, p</w:t>
      </w:r>
      <w:r w:rsidRPr="005878C9">
        <w:rPr>
          <w:rFonts w:ascii="Calibri" w:hAnsi="Calibri" w:cs="Arial"/>
        </w:rPr>
        <w:t xml:space="preserve">eople with CKD have not been well-represented in </w:t>
      </w:r>
      <w:r w:rsidR="00B26C31" w:rsidRPr="005878C9">
        <w:rPr>
          <w:rFonts w:ascii="Calibri" w:hAnsi="Calibri" w:cs="Arial"/>
        </w:rPr>
        <w:t>these studies</w:t>
      </w:r>
      <w:r w:rsidRPr="005878C9">
        <w:rPr>
          <w:rFonts w:ascii="Calibri" w:hAnsi="Calibri" w:cs="Arial"/>
        </w:rPr>
        <w:t xml:space="preserve">: </w:t>
      </w:r>
      <w:r w:rsidR="00B26C31" w:rsidRPr="005878C9">
        <w:rPr>
          <w:rFonts w:ascii="Calibri" w:hAnsi="Calibri" w:cs="Arial"/>
        </w:rPr>
        <w:t xml:space="preserve">for example, </w:t>
      </w:r>
      <w:r w:rsidRPr="005878C9">
        <w:rPr>
          <w:rFonts w:ascii="Calibri" w:hAnsi="Calibri" w:cs="Arial"/>
        </w:rPr>
        <w:t>the proportion with an eGFR &lt; 60mL/min/1.73m2 in ASCEND and ASPREE was 12% and 19% respectively</w:t>
      </w:r>
      <w:r w:rsidR="00D80596" w:rsidRPr="005878C9">
        <w:rPr>
          <w:rFonts w:ascii="Calibri" w:hAnsi="Calibri" w:cs="Arial"/>
        </w:rPr>
        <w:t>.</w:t>
      </w:r>
      <w:r w:rsidR="00863955" w:rsidRPr="005878C9">
        <w:rPr>
          <w:rFonts w:ascii="Calibri" w:hAnsi="Calibri" w:cs="Arial"/>
        </w:rPr>
        <w:t xml:space="preserve"> </w:t>
      </w:r>
    </w:p>
    <w:p w14:paraId="3B62A271" w14:textId="77777777" w:rsidR="00E96210" w:rsidRDefault="00E96210" w:rsidP="00E96210">
      <w:pPr>
        <w:spacing w:line="276" w:lineRule="auto"/>
        <w:rPr>
          <w:rFonts w:ascii="Calibri" w:hAnsi="Calibri" w:cs="Arial"/>
          <w:b/>
        </w:rPr>
      </w:pPr>
    </w:p>
    <w:p w14:paraId="51FEAA02" w14:textId="77777777" w:rsidR="000B6B54" w:rsidRPr="00E16C74" w:rsidRDefault="00E96210" w:rsidP="00E96210">
      <w:pPr>
        <w:spacing w:line="276" w:lineRule="auto"/>
        <w:rPr>
          <w:rFonts w:ascii="Calibri" w:hAnsi="Calibri" w:cs="Arial"/>
          <w:b/>
        </w:rPr>
      </w:pPr>
      <w:r>
        <w:rPr>
          <w:rFonts w:ascii="Calibri" w:hAnsi="Calibri" w:cs="Arial"/>
          <w:b/>
        </w:rPr>
        <w:t>Conclusion</w:t>
      </w:r>
    </w:p>
    <w:p w14:paraId="31CCEA37" w14:textId="34F3A456" w:rsidR="00D80596" w:rsidRDefault="00B26C31" w:rsidP="00E16C74">
      <w:pPr>
        <w:spacing w:line="276" w:lineRule="auto"/>
        <w:jc w:val="both"/>
        <w:rPr>
          <w:rFonts w:ascii="Calibri" w:hAnsi="Calibri" w:cs="Arial"/>
        </w:rPr>
      </w:pPr>
      <w:r w:rsidRPr="00E16C74">
        <w:rPr>
          <w:rFonts w:ascii="Calibri" w:hAnsi="Calibri" w:cs="Arial"/>
        </w:rPr>
        <w:t>The burden of CVD in CKD is substantial</w:t>
      </w:r>
      <w:r w:rsidR="00D80596" w:rsidRPr="00E16C74">
        <w:rPr>
          <w:rFonts w:ascii="Calibri" w:hAnsi="Calibri" w:cs="Arial"/>
        </w:rPr>
        <w:t xml:space="preserve"> and financial impact large: assuming unit costs of £12,200 for a stroke and £7,734 for an MI and incidence of stroke and MI of 12.0 and 11.9 per 1,000 patient-years respectively in people with CKD </w:t>
      </w:r>
      <w:r w:rsidR="00D80596" w:rsidRPr="00E16C74">
        <w:rPr>
          <w:rFonts w:ascii="Calibri" w:hAnsi="Calibri" w:cs="Arial"/>
        </w:rPr>
        <w:fldChar w:fldCharType="begin" w:fldLock="1"/>
      </w:r>
      <w:r w:rsidR="00584B18" w:rsidRPr="00314ABA">
        <w:rPr>
          <w:rFonts w:ascii="Calibri" w:hAnsi="Calibri" w:cs="Arial"/>
        </w:rPr>
        <w:instrText>ADDIN CSL_CITATION {"citationItems":[{"id":"ITEM-1","itemData":{"DOI":"10.1093/ndt/gfs269","ISSN":"1460-2385","PMID":"22815543","abstract":"BACKGROUND Chronic kidney disease (CKD) is a major challenge for health care systems around the world, and the prevalence rates appear to be increasing. We estimate the costs of CKD in a universal health care system. METHODS Economic modelling was used to estimate the annual cost of Stages 3-5 CKD to the National Health Service (NHS) in England, including CKD-related prescribing and care, renal replacement therapy (RRT), and excess strokes, myocardial infarctions (MIs) and Methicillin-Resistant Staphylococcus Aureus (MRSA) infections in people with CKD. RESULTS The cost of CKD to the English NHS in 2009-10 is estimated at £ 1.44 to £ 1.45 billion, which is ≈ 1.3% of all NHS spending in that year. More than half this sum was spent on RRT, which was provided for 2% of the CKD population. The economic model estimates that ≈ 7000 excess strokes and 12 000 excess MIs occurred in the CKD population in 2009-10, relative to an age- and gender-matched population without CKD. The cost of excess strokes and MIs is estimated at £ 174-£ 178 million. CONCLUSIONS The financial impact of CKD is large, with particularly high costs relating to RRT and cardiovascular complications. It is hoped that these detailed cost estimates will be useful in analysing the cost-effectiveness of treatments for CKD.","author":[{"dropping-particle":"","family":"Kerr","given":"Marion","non-dropping-particle":"","parse-names":false,"suffix":""},{"dropping-particle":"","family":"Bray","given":"Benjamin","non-dropping-particle":"","parse-names":false,"suffix":""},{"dropping-particle":"","family":"Medcalf","given":"James","non-dropping-particle":"","parse-names":false,"suffix":""},{"dropping-particle":"","family":"O'Donoghue","given":"Donal J","non-dropping-particle":"","parse-names":false,"suffix":""},{"dropping-particle":"","family":"Matthews","given":"Beverley","non-dropping-particle":"","parse-names":false,"suffix":""}],"container-title":"Nephrology, dialysis, transplantation : official publication of the European Dialysis and Transplant Association - European Renal Association","id":"ITEM-1","issued":{"date-parts":[["2012","10"]]},"page":"iii73-80","title":"Estimating the financial cost of chronic kidney disease to the NHS in England.","type":"article-journal","volume":"27 Suppl 3"},"uris":["http://www.mendeley.com/documents/?uuid=5f1e24ed-f43f-4f3f-a0af-5508c9ad1bdf"]}],"mendeley":{"formattedCitation":"(11)","plainTextFormattedCitation":"(11)","previouslyFormattedCitation":"(11)"},"properties":{"noteIndex":0},"schema":"https://github.com/citation-style-language/schema/raw/master/csl-citation.json"}</w:instrText>
      </w:r>
      <w:r w:rsidR="00D80596" w:rsidRPr="00E16C74">
        <w:rPr>
          <w:rFonts w:ascii="Calibri" w:hAnsi="Calibri" w:cs="Arial"/>
        </w:rPr>
        <w:fldChar w:fldCharType="separate"/>
      </w:r>
      <w:r w:rsidR="00584B18" w:rsidRPr="00314ABA">
        <w:rPr>
          <w:rFonts w:ascii="Calibri" w:hAnsi="Calibri" w:cs="Arial"/>
          <w:noProof/>
        </w:rPr>
        <w:t>(11)</w:t>
      </w:r>
      <w:r w:rsidR="00D80596" w:rsidRPr="00E16C74">
        <w:rPr>
          <w:rFonts w:ascii="Calibri" w:hAnsi="Calibri" w:cs="Arial"/>
        </w:rPr>
        <w:fldChar w:fldCharType="end"/>
      </w:r>
      <w:r w:rsidR="00D80596" w:rsidRPr="00E16C74">
        <w:rPr>
          <w:rFonts w:ascii="Calibri" w:hAnsi="Calibri" w:cs="Arial"/>
        </w:rPr>
        <w:t xml:space="preserve">, the annual costs of strokes and MI in people with CKD in England is in the order of £1bn. </w:t>
      </w:r>
      <w:r w:rsidR="00C61BC8" w:rsidRPr="00C61BC8">
        <w:rPr>
          <w:rFonts w:ascii="Calibri" w:hAnsi="Calibri" w:cs="Arial"/>
          <w:highlight w:val="yellow"/>
        </w:rPr>
        <w:t>Although there is strong evidence for statins for primary prevention of CVD in CKD and they are recommended for all stages of CKD</w:t>
      </w:r>
      <w:r w:rsidR="00C61BC8">
        <w:rPr>
          <w:rFonts w:ascii="Calibri" w:hAnsi="Calibri" w:cs="Arial"/>
        </w:rPr>
        <w:t>, o</w:t>
      </w:r>
      <w:r w:rsidRPr="00E16C74">
        <w:rPr>
          <w:rFonts w:ascii="Calibri" w:hAnsi="Calibri" w:cs="Arial"/>
        </w:rPr>
        <w:t>ur understanding of how to</w:t>
      </w:r>
      <w:r w:rsidR="00332EFD">
        <w:rPr>
          <w:rFonts w:ascii="Calibri" w:hAnsi="Calibri" w:cs="Arial"/>
        </w:rPr>
        <w:t xml:space="preserve"> further</w:t>
      </w:r>
      <w:r w:rsidRPr="00E16C74">
        <w:rPr>
          <w:rFonts w:ascii="Calibri" w:hAnsi="Calibri" w:cs="Arial"/>
        </w:rPr>
        <w:t xml:space="preserve"> reduce cardiovascular risk in CKD is limited</w:t>
      </w:r>
      <w:r w:rsidR="00D80596" w:rsidRPr="00E16C74">
        <w:rPr>
          <w:rFonts w:ascii="Calibri" w:hAnsi="Calibri" w:cs="Arial"/>
        </w:rPr>
        <w:t xml:space="preserve">.  These limitations drive uncertainty and variation in practice. In the UK it has been estimated that </w:t>
      </w:r>
      <w:r w:rsidR="00FA0647" w:rsidRPr="00E96210">
        <w:rPr>
          <w:rFonts w:ascii="Calibri" w:hAnsi="Calibri" w:cs="Arial"/>
        </w:rPr>
        <w:t xml:space="preserve">there are </w:t>
      </w:r>
      <w:r w:rsidR="00D80596" w:rsidRPr="00E16C74">
        <w:rPr>
          <w:rFonts w:ascii="Calibri" w:hAnsi="Calibri" w:cs="Arial"/>
        </w:rPr>
        <w:t xml:space="preserve">more than 3 million people with CKD and no CVD who are not prescribed aspirin but around one million that are receiving aspirin </w:t>
      </w:r>
      <w:r w:rsidR="00174D3F">
        <w:rPr>
          <w:rFonts w:ascii="Calibri" w:hAnsi="Calibri" w:cs="Arial"/>
        </w:rPr>
        <w:t xml:space="preserve">for primary prevention </w:t>
      </w:r>
      <w:r w:rsidR="00D80596" w:rsidRPr="00E16C74">
        <w:rPr>
          <w:rFonts w:ascii="Calibri" w:hAnsi="Calibri" w:cs="Arial"/>
        </w:rPr>
        <w:t>in the absence of definitive evidence</w:t>
      </w:r>
      <w:r w:rsidR="00E16C74">
        <w:rPr>
          <w:rFonts w:ascii="Calibri" w:hAnsi="Calibri" w:cs="Arial"/>
        </w:rPr>
        <w:t>, potentially contributing to treatment burden</w:t>
      </w:r>
      <w:r w:rsidR="00D80596" w:rsidRPr="00E16C74">
        <w:rPr>
          <w:rFonts w:ascii="Calibri" w:hAnsi="Calibri" w:cs="Arial"/>
        </w:rPr>
        <w:t xml:space="preserve"> </w:t>
      </w:r>
      <w:r w:rsidR="00D80596" w:rsidRPr="00E16C74">
        <w:rPr>
          <w:rFonts w:ascii="Calibri" w:hAnsi="Calibri" w:cs="Arial"/>
        </w:rPr>
        <w:fldChar w:fldCharType="begin" w:fldLock="1"/>
      </w:r>
      <w:r w:rsidR="00584B18" w:rsidRPr="00314ABA">
        <w:rPr>
          <w:rFonts w:ascii="Calibri" w:hAnsi="Calibri" w:cs="Arial"/>
        </w:rPr>
        <w:instrText>ADDIN CSL_CITATION {"citationItems":[{"id":"ITEM-1","itemData":{"DOI":"10.1159/000445387","ISSN":"2235-3186","PMID":"27160883","abstract":"BACKGROUND AND AIMS Chronic kidney disease (CKD) is associated with increased cardiovascular (CV) risk. Guidelines have suggested the universal use of statins in CKD but aspirin's role is less well defined. The aim of this study was to determine prescription rates for statins and aspirin in a UK-based CKD cohort and to establish factors that influenced prescription rates. METHODS We used data from a UK primary care CKD cohort to study rates of prescription of statins and aspirin. Simple rates were initially calculated. Binary logistic regression was utilized with either statin or aspirin prescription as the outcome variable and covariates including demographic details and comorbidities. RESULTS There were 31,056 individuals in the cohort with at least one estimated glomerular filtration rate (eGFR) of &lt;60 ml/min/1.73 m2, and 65.1% individuals had 2 eGFR results &lt;60 ml/min/1.73 m2 more than 3 months apart. Mean eGFR at baseline was 51.1 ml/min/1.73 m2 (SD 9.1), and 64.9% had a diagnosis of hypertension (HTN), 18.8% had diabetes mellitus (DM) and 29.8% a history of CV disease. Statins were prescribed to 14,972 (48.2%) and aspirin to 11,023 (35.5%). The regression model suggested that CV disease, HTN and DM influenced the prescriptions of statins and aspirin but overall CKD stage, calculated by either eGFR or proteinuria, did not. CONCLUSIONS Prescriptions of statins and aspirin in CKD is based more on the presence of comorbidities than the CKD severity. Further physician and patient education of the increased CV risk associated with CKD and its suitability for CV medication intervention is required.","author":[{"dropping-particle":"","family":"Major","given":"Rupert","non-dropping-particle":"","parse-names":false,"suffix":""},{"dropping-particle":"","family":"Shepherd","given":"David","non-dropping-particle":"","parse-names":false,"suffix":""},{"dropping-particle":"","family":"Warwick","given":"Graham","non-dropping-particle":"","parse-names":false,"suffix":""},{"dropping-particle":"","family":"Brunskill","given":"Nigel","non-dropping-particle":"","parse-names":false,"suffix":""}],"container-title":"Nephron","id":"ITEM-1","issue":"1","issued":{"date-parts":[["2016"]]},"page":"15-22","title":"Prescription Rates of Cardiovascular Medications in a Large UK Primary Care Chronic Kidney Disease Cohort.","type":"article-journal","volume":"133"},"uris":["http://www.mendeley.com/documents/?uuid=6c4f9ef7-d4a1-4f17-a1af-ed6cf10d2266"]}],"mendeley":{"formattedCitation":"(12)","plainTextFormattedCitation":"(12)","previouslyFormattedCitation":"(12)"},"properties":{"noteIndex":0},"schema":"https://github.com/citation-style-language/schema/raw/master/csl-citation.json"}</w:instrText>
      </w:r>
      <w:r w:rsidR="00D80596" w:rsidRPr="00E16C74">
        <w:rPr>
          <w:rFonts w:ascii="Calibri" w:hAnsi="Calibri" w:cs="Arial"/>
        </w:rPr>
        <w:fldChar w:fldCharType="separate"/>
      </w:r>
      <w:r w:rsidR="00584B18" w:rsidRPr="00314ABA">
        <w:rPr>
          <w:rFonts w:ascii="Calibri" w:hAnsi="Calibri" w:cs="Arial"/>
          <w:noProof/>
        </w:rPr>
        <w:t>(12)</w:t>
      </w:r>
      <w:r w:rsidR="00D80596" w:rsidRPr="00E16C74">
        <w:rPr>
          <w:rFonts w:ascii="Calibri" w:hAnsi="Calibri" w:cs="Arial"/>
        </w:rPr>
        <w:fldChar w:fldCharType="end"/>
      </w:r>
      <w:r w:rsidR="00D80596" w:rsidRPr="00E16C74">
        <w:rPr>
          <w:rFonts w:ascii="Calibri" w:hAnsi="Calibri" w:cs="Arial"/>
        </w:rPr>
        <w:t>. P</w:t>
      </w:r>
      <w:r w:rsidRPr="00E16C74">
        <w:rPr>
          <w:rFonts w:ascii="Calibri" w:hAnsi="Calibri" w:cs="Arial"/>
        </w:rPr>
        <w:t xml:space="preserve">ragmatic </w:t>
      </w:r>
      <w:r w:rsidR="00C61BC8" w:rsidRPr="00C61BC8">
        <w:rPr>
          <w:rFonts w:ascii="Calibri" w:hAnsi="Calibri" w:cs="Arial"/>
          <w:highlight w:val="yellow"/>
        </w:rPr>
        <w:t>trial</w:t>
      </w:r>
      <w:r w:rsidR="00C61BC8">
        <w:rPr>
          <w:rFonts w:ascii="Calibri" w:hAnsi="Calibri" w:cs="Arial"/>
        </w:rPr>
        <w:t xml:space="preserve"> </w:t>
      </w:r>
      <w:r w:rsidRPr="00E16C74">
        <w:rPr>
          <w:rFonts w:ascii="Calibri" w:hAnsi="Calibri" w:cs="Arial"/>
        </w:rPr>
        <w:t xml:space="preserve">evidence </w:t>
      </w:r>
      <w:r w:rsidR="00D80596" w:rsidRPr="00E16C74">
        <w:rPr>
          <w:rFonts w:ascii="Calibri" w:hAnsi="Calibri" w:cs="Arial"/>
        </w:rPr>
        <w:t>to gui</w:t>
      </w:r>
      <w:r w:rsidR="00863955">
        <w:rPr>
          <w:rFonts w:ascii="Calibri" w:hAnsi="Calibri" w:cs="Arial"/>
        </w:rPr>
        <w:t>de</w:t>
      </w:r>
      <w:r w:rsidR="00D80596" w:rsidRPr="00E16C74">
        <w:rPr>
          <w:rFonts w:ascii="Calibri" w:hAnsi="Calibri" w:cs="Arial"/>
        </w:rPr>
        <w:t xml:space="preserve"> future practice in this high-risk group</w:t>
      </w:r>
      <w:r w:rsidRPr="00E16C74">
        <w:rPr>
          <w:rFonts w:ascii="Calibri" w:hAnsi="Calibri" w:cs="Arial"/>
        </w:rPr>
        <w:t xml:space="preserve"> is urgently required.  </w:t>
      </w:r>
    </w:p>
    <w:p w14:paraId="3776930B" w14:textId="5AF3D513" w:rsidR="007A643F" w:rsidRDefault="007A643F" w:rsidP="00E16C74">
      <w:pPr>
        <w:spacing w:line="276" w:lineRule="auto"/>
        <w:jc w:val="both"/>
        <w:rPr>
          <w:rFonts w:ascii="Calibri" w:hAnsi="Calibri" w:cs="Arial"/>
        </w:rPr>
      </w:pPr>
    </w:p>
    <w:p w14:paraId="57423010" w14:textId="0B34CBBA" w:rsidR="007A643F" w:rsidRPr="007A643F" w:rsidRDefault="007A643F" w:rsidP="00E16C74">
      <w:pPr>
        <w:spacing w:line="276" w:lineRule="auto"/>
        <w:jc w:val="both"/>
        <w:rPr>
          <w:rFonts w:ascii="Calibri" w:hAnsi="Calibri" w:cs="Arial"/>
          <w:sz w:val="28"/>
          <w:szCs w:val="28"/>
        </w:rPr>
      </w:pPr>
      <w:r>
        <w:rPr>
          <w:rFonts w:ascii="Calibri" w:hAnsi="Calibri" w:cs="Arial"/>
          <w:b/>
          <w:sz w:val="28"/>
          <w:szCs w:val="28"/>
        </w:rPr>
        <w:t xml:space="preserve">Word Count: </w:t>
      </w:r>
      <w:r w:rsidR="007E379E">
        <w:rPr>
          <w:rFonts w:ascii="Calibri" w:hAnsi="Calibri" w:cs="Arial"/>
          <w:sz w:val="28"/>
          <w:szCs w:val="28"/>
        </w:rPr>
        <w:t>12</w:t>
      </w:r>
      <w:r w:rsidR="0076455E">
        <w:rPr>
          <w:rFonts w:ascii="Calibri" w:hAnsi="Calibri" w:cs="Arial"/>
          <w:sz w:val="28"/>
          <w:szCs w:val="28"/>
        </w:rPr>
        <w:t>93</w:t>
      </w:r>
      <w:bookmarkStart w:id="0" w:name="_GoBack"/>
      <w:bookmarkEnd w:id="0"/>
    </w:p>
    <w:p w14:paraId="3A02C84B" w14:textId="77777777" w:rsidR="00E96210" w:rsidRDefault="00E96210" w:rsidP="00E96210">
      <w:pPr>
        <w:spacing w:line="276" w:lineRule="auto"/>
        <w:rPr>
          <w:rFonts w:ascii="Calibri" w:hAnsi="Calibri" w:cs="Arial"/>
        </w:rPr>
      </w:pPr>
    </w:p>
    <w:p w14:paraId="4AA7766D" w14:textId="2872D405" w:rsidR="003E2B1D" w:rsidRPr="00E16C74" w:rsidRDefault="00E96210" w:rsidP="00E16C74">
      <w:pPr>
        <w:spacing w:line="276" w:lineRule="auto"/>
        <w:rPr>
          <w:rFonts w:ascii="Calibri" w:hAnsi="Calibri" w:cs="Arial"/>
          <w:b/>
        </w:rPr>
      </w:pPr>
      <w:r>
        <w:rPr>
          <w:rFonts w:ascii="Calibri" w:hAnsi="Calibri" w:cs="Arial"/>
        </w:rPr>
        <w:br w:type="page"/>
      </w:r>
      <w:r w:rsidR="002135E6" w:rsidRPr="00E16C74">
        <w:rPr>
          <w:rFonts w:ascii="Calibri" w:hAnsi="Calibri" w:cs="Arial"/>
          <w:b/>
        </w:rPr>
        <w:lastRenderedPageBreak/>
        <w:t>References</w:t>
      </w:r>
    </w:p>
    <w:p w14:paraId="157701C0" w14:textId="1E113B45" w:rsidR="00584B18" w:rsidRPr="0076455E" w:rsidRDefault="00584B18" w:rsidP="00E16C74">
      <w:pPr>
        <w:widowControl w:val="0"/>
        <w:autoSpaceDE w:val="0"/>
        <w:autoSpaceDN w:val="0"/>
        <w:adjustRightInd w:val="0"/>
        <w:spacing w:line="276" w:lineRule="auto"/>
        <w:ind w:left="640" w:hanging="640"/>
        <w:rPr>
          <w:rFonts w:cstheme="minorHAnsi"/>
          <w:noProof/>
        </w:rPr>
      </w:pPr>
      <w:r w:rsidRPr="00E96210">
        <w:rPr>
          <w:rFonts w:ascii="Calibri" w:hAnsi="Calibri" w:cs="Arial"/>
        </w:rPr>
        <w:fldChar w:fldCharType="begin" w:fldLock="1"/>
      </w:r>
      <w:r w:rsidRPr="00314ABA">
        <w:rPr>
          <w:rFonts w:ascii="Calibri" w:hAnsi="Calibri" w:cs="Arial"/>
        </w:rPr>
        <w:instrText xml:space="preserve">ADDIN Mendeley Bibliography CSL_BIBLIOGRAPHY </w:instrText>
      </w:r>
      <w:r w:rsidRPr="00E96210">
        <w:rPr>
          <w:rFonts w:ascii="Calibri" w:hAnsi="Calibri" w:cs="Arial"/>
        </w:rPr>
        <w:fldChar w:fldCharType="separate"/>
      </w:r>
      <w:r w:rsidRPr="0076455E">
        <w:rPr>
          <w:rFonts w:cstheme="minorHAnsi"/>
          <w:noProof/>
        </w:rPr>
        <w:t xml:space="preserve">1. </w:t>
      </w:r>
      <w:r w:rsidRPr="0076455E">
        <w:rPr>
          <w:rFonts w:cstheme="minorHAnsi"/>
          <w:noProof/>
        </w:rPr>
        <w:tab/>
      </w:r>
      <w:hyperlink r:id="rId6" w:history="1">
        <w:r w:rsidR="0076455E" w:rsidRPr="0076455E">
          <w:rPr>
            <w:rFonts w:cstheme="minorHAnsi"/>
            <w:lang w:val="en"/>
          </w:rPr>
          <w:t>Ng Fat L</w:t>
        </w:r>
      </w:hyperlink>
      <w:r w:rsidR="0076455E" w:rsidRPr="0076455E">
        <w:rPr>
          <w:rFonts w:cstheme="minorHAnsi"/>
          <w:lang w:val="en"/>
        </w:rPr>
        <w:t xml:space="preserve">, </w:t>
      </w:r>
      <w:hyperlink r:id="rId7" w:history="1">
        <w:r w:rsidR="0076455E" w:rsidRPr="0076455E">
          <w:rPr>
            <w:rFonts w:cstheme="minorHAnsi"/>
            <w:lang w:val="en"/>
          </w:rPr>
          <w:t>Mindell JS</w:t>
        </w:r>
      </w:hyperlink>
      <w:r w:rsidRPr="0076455E">
        <w:rPr>
          <w:rFonts w:cstheme="minorHAnsi"/>
          <w:noProof/>
        </w:rPr>
        <w:t xml:space="preserve">, </w:t>
      </w:r>
      <w:r w:rsidR="0076455E" w:rsidRPr="0076455E">
        <w:rPr>
          <w:rFonts w:cstheme="minorHAnsi"/>
          <w:noProof/>
        </w:rPr>
        <w:t>Roderick P</w:t>
      </w:r>
      <w:r w:rsidR="0076455E" w:rsidRPr="0076455E">
        <w:rPr>
          <w:rFonts w:cstheme="minorHAnsi"/>
          <w:lang w:val="en"/>
        </w:rPr>
        <w:t xml:space="preserve">. </w:t>
      </w:r>
      <w:r w:rsidR="0076455E" w:rsidRPr="0076455E">
        <w:rPr>
          <w:rFonts w:cstheme="minorHAnsi"/>
          <w:shd w:val="clear" w:color="auto" w:fill="FFFFFF"/>
        </w:rPr>
        <w:t>Health Survey for England 2016; Kidney and Liver Disease</w:t>
      </w:r>
      <w:r w:rsidRPr="0076455E">
        <w:rPr>
          <w:rFonts w:cstheme="minorHAnsi"/>
          <w:noProof/>
        </w:rPr>
        <w:t>.</w:t>
      </w:r>
      <w:r w:rsidR="0076455E">
        <w:rPr>
          <w:rFonts w:cstheme="minorHAnsi"/>
          <w:noProof/>
        </w:rPr>
        <w:t xml:space="preserve"> December 2017.</w:t>
      </w:r>
      <w:r w:rsidRPr="0076455E">
        <w:rPr>
          <w:rFonts w:cstheme="minorHAnsi"/>
          <w:noProof/>
        </w:rPr>
        <w:t xml:space="preserve"> </w:t>
      </w:r>
    </w:p>
    <w:p w14:paraId="118AE78A" w14:textId="77777777" w:rsidR="00584B18" w:rsidRPr="00E16C74" w:rsidRDefault="00584B18" w:rsidP="00E16C74">
      <w:pPr>
        <w:widowControl w:val="0"/>
        <w:autoSpaceDE w:val="0"/>
        <w:autoSpaceDN w:val="0"/>
        <w:adjustRightInd w:val="0"/>
        <w:spacing w:line="276" w:lineRule="auto"/>
        <w:ind w:left="640" w:hanging="640"/>
        <w:rPr>
          <w:rFonts w:ascii="Calibri" w:hAnsi="Calibri" w:cs="Times New Roman"/>
          <w:noProof/>
        </w:rPr>
      </w:pPr>
      <w:r w:rsidRPr="00E16C74">
        <w:rPr>
          <w:rFonts w:ascii="Calibri" w:hAnsi="Calibri" w:cs="Times New Roman"/>
          <w:noProof/>
        </w:rPr>
        <w:t xml:space="preserve">2. </w:t>
      </w:r>
      <w:r w:rsidRPr="00E16C74">
        <w:rPr>
          <w:rFonts w:ascii="Calibri" w:hAnsi="Calibri" w:cs="Times New Roman"/>
          <w:noProof/>
        </w:rPr>
        <w:tab/>
        <w:t>Chronic Kidney Disease Prognosis Consortium, Matsushita K, van der Velde M, Astor BC, Woodward M, Levey AS, et al. Association of estimated glomerular filtration rate and albuminuria with all-cause and cardiovascular mortality in general population cohorts: a collaborative meta-analysis. Lancet (London, England) [Internet]. 2010 Jun 12;375(9731):2073–81. Available from: http://www.ncbi.nlm.nih.gov/pubmed/20483451</w:t>
      </w:r>
    </w:p>
    <w:p w14:paraId="18E142DF" w14:textId="77777777" w:rsidR="00584B18" w:rsidRPr="00E16C74" w:rsidRDefault="00584B18" w:rsidP="00E16C74">
      <w:pPr>
        <w:widowControl w:val="0"/>
        <w:autoSpaceDE w:val="0"/>
        <w:autoSpaceDN w:val="0"/>
        <w:adjustRightInd w:val="0"/>
        <w:spacing w:line="276" w:lineRule="auto"/>
        <w:ind w:left="640" w:hanging="640"/>
        <w:rPr>
          <w:rFonts w:ascii="Calibri" w:hAnsi="Calibri" w:cs="Times New Roman"/>
          <w:noProof/>
        </w:rPr>
      </w:pPr>
      <w:r w:rsidRPr="00E16C74">
        <w:rPr>
          <w:rFonts w:ascii="Calibri" w:hAnsi="Calibri" w:cs="Times New Roman"/>
          <w:noProof/>
        </w:rPr>
        <w:t xml:space="preserve">3. </w:t>
      </w:r>
      <w:r w:rsidRPr="00E16C74">
        <w:rPr>
          <w:rFonts w:ascii="Calibri" w:hAnsi="Calibri" w:cs="Times New Roman"/>
          <w:noProof/>
        </w:rPr>
        <w:tab/>
        <w:t>Antithrombotic Trialists’ Collaboration, Trialists A. Collaborative meta-analysis of randomised trials of antiplatelet therapy for prevention of death, myocardial infarction, and stroke in high risk patients. BMJ [Internet]. 2002;324(7329):71–86. Available from: http://view.ncbi.nlm.nih.gov/pubmed/11786451</w:t>
      </w:r>
    </w:p>
    <w:p w14:paraId="14CF1F29" w14:textId="77777777" w:rsidR="00584B18" w:rsidRPr="00E16C74" w:rsidRDefault="00584B18" w:rsidP="00E16C74">
      <w:pPr>
        <w:widowControl w:val="0"/>
        <w:autoSpaceDE w:val="0"/>
        <w:autoSpaceDN w:val="0"/>
        <w:adjustRightInd w:val="0"/>
        <w:spacing w:line="276" w:lineRule="auto"/>
        <w:ind w:left="640" w:hanging="640"/>
        <w:rPr>
          <w:rFonts w:ascii="Calibri" w:hAnsi="Calibri" w:cs="Times New Roman"/>
          <w:noProof/>
        </w:rPr>
      </w:pPr>
      <w:r w:rsidRPr="00E16C74">
        <w:rPr>
          <w:rFonts w:ascii="Calibri" w:hAnsi="Calibri" w:cs="Times New Roman"/>
          <w:noProof/>
        </w:rPr>
        <w:t xml:space="preserve">4. </w:t>
      </w:r>
      <w:r w:rsidRPr="00E16C74">
        <w:rPr>
          <w:rFonts w:ascii="Calibri" w:hAnsi="Calibri" w:cs="Times New Roman"/>
          <w:noProof/>
        </w:rPr>
        <w:tab/>
        <w:t>Trialists A, Collaboration ATT. Aspirin in the primary and secondary prevention of vascular disease: collaborative meta-analysis of individual participant data from randomised trials. Lancet [Internet]. 2009;373(9678):1849–60. Available from: http://linkinghub.elsevier.com/retrieve/pii/S0140673609605031</w:t>
      </w:r>
    </w:p>
    <w:p w14:paraId="68EB1992" w14:textId="77777777" w:rsidR="00584B18" w:rsidRPr="00E16C74" w:rsidRDefault="00584B18" w:rsidP="00E16C74">
      <w:pPr>
        <w:widowControl w:val="0"/>
        <w:autoSpaceDE w:val="0"/>
        <w:autoSpaceDN w:val="0"/>
        <w:adjustRightInd w:val="0"/>
        <w:spacing w:line="276" w:lineRule="auto"/>
        <w:ind w:left="640" w:hanging="640"/>
        <w:rPr>
          <w:rFonts w:ascii="Calibri" w:hAnsi="Calibri" w:cs="Times New Roman"/>
          <w:noProof/>
        </w:rPr>
      </w:pPr>
      <w:r w:rsidRPr="00E16C74">
        <w:rPr>
          <w:rFonts w:ascii="Calibri" w:hAnsi="Calibri" w:cs="Times New Roman"/>
          <w:noProof/>
        </w:rPr>
        <w:t xml:space="preserve">5. </w:t>
      </w:r>
      <w:r w:rsidRPr="00E16C74">
        <w:rPr>
          <w:rFonts w:ascii="Calibri" w:hAnsi="Calibri" w:cs="Times New Roman"/>
          <w:noProof/>
        </w:rPr>
        <w:tab/>
        <w:t xml:space="preserve">The ASCEND Study Collaborative Group. Effects of Aspirin for Primary Prevention in Persons with Diabetes Mellitus. New Engl J Med. 2018;379:1529–39. </w:t>
      </w:r>
    </w:p>
    <w:p w14:paraId="1E40E04A" w14:textId="77777777" w:rsidR="00584B18" w:rsidRPr="00E16C74" w:rsidRDefault="00584B18" w:rsidP="00E16C74">
      <w:pPr>
        <w:widowControl w:val="0"/>
        <w:autoSpaceDE w:val="0"/>
        <w:autoSpaceDN w:val="0"/>
        <w:adjustRightInd w:val="0"/>
        <w:spacing w:line="276" w:lineRule="auto"/>
        <w:ind w:left="640" w:hanging="640"/>
        <w:rPr>
          <w:rFonts w:ascii="Calibri" w:hAnsi="Calibri" w:cs="Times New Roman"/>
          <w:noProof/>
        </w:rPr>
      </w:pPr>
      <w:r w:rsidRPr="00E16C74">
        <w:rPr>
          <w:rFonts w:ascii="Calibri" w:hAnsi="Calibri" w:cs="Times New Roman"/>
          <w:noProof/>
        </w:rPr>
        <w:t xml:space="preserve">6. </w:t>
      </w:r>
      <w:r w:rsidRPr="00E16C74">
        <w:rPr>
          <w:rFonts w:ascii="Calibri" w:hAnsi="Calibri" w:cs="Times New Roman"/>
          <w:noProof/>
        </w:rPr>
        <w:tab/>
        <w:t xml:space="preserve">Shroff GR, Herzog CA. Acute myocardial infarction in patients with chronic kidney disease: How are the most vulnerable patients doing? Kidney Int. 2013;84(2):230–3. </w:t>
      </w:r>
    </w:p>
    <w:p w14:paraId="39E94017" w14:textId="77777777" w:rsidR="00584B18" w:rsidRPr="00E16C74" w:rsidRDefault="00584B18" w:rsidP="00E16C74">
      <w:pPr>
        <w:widowControl w:val="0"/>
        <w:autoSpaceDE w:val="0"/>
        <w:autoSpaceDN w:val="0"/>
        <w:adjustRightInd w:val="0"/>
        <w:spacing w:line="276" w:lineRule="auto"/>
        <w:ind w:left="640" w:hanging="640"/>
        <w:rPr>
          <w:rFonts w:ascii="Calibri" w:hAnsi="Calibri" w:cs="Times New Roman"/>
          <w:noProof/>
        </w:rPr>
      </w:pPr>
      <w:r w:rsidRPr="00E16C74">
        <w:rPr>
          <w:rFonts w:ascii="Calibri" w:hAnsi="Calibri" w:cs="Times New Roman"/>
          <w:noProof/>
        </w:rPr>
        <w:t xml:space="preserve">7. </w:t>
      </w:r>
      <w:r w:rsidRPr="00E16C74">
        <w:rPr>
          <w:rFonts w:ascii="Calibri" w:hAnsi="Calibri" w:cs="Times New Roman"/>
          <w:noProof/>
        </w:rPr>
        <w:tab/>
        <w:t xml:space="preserve">McIntyre NJ, Shardlow A, Kohle N V., Fluck RJ, McIntyre CW, Taal MW. The Association of Markers of Mineral Bone Disease with CVEs in Early CKD. J Am Soc Nephrol. 2018;209:934. </w:t>
      </w:r>
    </w:p>
    <w:p w14:paraId="444C7797" w14:textId="77777777" w:rsidR="00584B18" w:rsidRPr="00E16C74" w:rsidRDefault="00584B18" w:rsidP="00E16C74">
      <w:pPr>
        <w:widowControl w:val="0"/>
        <w:autoSpaceDE w:val="0"/>
        <w:autoSpaceDN w:val="0"/>
        <w:adjustRightInd w:val="0"/>
        <w:spacing w:line="276" w:lineRule="auto"/>
        <w:ind w:left="640" w:hanging="640"/>
        <w:rPr>
          <w:rFonts w:ascii="Calibri" w:hAnsi="Calibri" w:cs="Times New Roman"/>
          <w:noProof/>
        </w:rPr>
      </w:pPr>
      <w:r w:rsidRPr="00E16C74">
        <w:rPr>
          <w:rFonts w:ascii="Calibri" w:hAnsi="Calibri" w:cs="Times New Roman"/>
          <w:noProof/>
        </w:rPr>
        <w:t xml:space="preserve">8. </w:t>
      </w:r>
      <w:r w:rsidRPr="00E16C74">
        <w:rPr>
          <w:rFonts w:ascii="Calibri" w:hAnsi="Calibri" w:cs="Times New Roman"/>
          <w:noProof/>
        </w:rPr>
        <w:tab/>
        <w:t>Jardine MJ, Ninomiya T, Perkovic V, Cass A, Turnbull F, Gallagher MP, et al. Aspirin is beneficial in hypertensive patients with chronic kidney disease: a post-hoc subgroup analysis of a randomized controlled trial. J Am Coll Cardiol [Internet]. 2010 Sep 14;56(12):956–65. Available from: http://www.ncbi.nlm.nih.gov/pubmed/20828648</w:t>
      </w:r>
    </w:p>
    <w:p w14:paraId="4494AF67" w14:textId="77777777" w:rsidR="00584B18" w:rsidRPr="00E16C74" w:rsidRDefault="00584B18" w:rsidP="00E16C74">
      <w:pPr>
        <w:widowControl w:val="0"/>
        <w:autoSpaceDE w:val="0"/>
        <w:autoSpaceDN w:val="0"/>
        <w:adjustRightInd w:val="0"/>
        <w:spacing w:line="276" w:lineRule="auto"/>
        <w:ind w:left="640" w:hanging="640"/>
        <w:rPr>
          <w:rFonts w:ascii="Calibri" w:hAnsi="Calibri" w:cs="Times New Roman"/>
          <w:noProof/>
        </w:rPr>
      </w:pPr>
      <w:r w:rsidRPr="00E16C74">
        <w:rPr>
          <w:rFonts w:ascii="Calibri" w:hAnsi="Calibri" w:cs="Times New Roman"/>
          <w:noProof/>
        </w:rPr>
        <w:t xml:space="preserve">9. </w:t>
      </w:r>
      <w:r w:rsidRPr="00E16C74">
        <w:rPr>
          <w:rFonts w:ascii="Calibri" w:hAnsi="Calibri" w:cs="Times New Roman"/>
          <w:noProof/>
        </w:rPr>
        <w:tab/>
        <w:t>Major RW, Oozeerally I, Dawson S, Riddleston H, Gray LJ, Brunskill NJ. Aspirin and cardiovascular primary prevention in non-endstage chronic kidney disease: A meta-analysis. Atherosclerosis [Internet]. 2016;251:177–82. Available from: http://dx.doi.org/10.1016/j.atherosclerosis.2016.06.013</w:t>
      </w:r>
    </w:p>
    <w:p w14:paraId="1719CA34" w14:textId="77777777" w:rsidR="00584B18" w:rsidRPr="00E16C74" w:rsidRDefault="00584B18" w:rsidP="00E16C74">
      <w:pPr>
        <w:widowControl w:val="0"/>
        <w:autoSpaceDE w:val="0"/>
        <w:autoSpaceDN w:val="0"/>
        <w:adjustRightInd w:val="0"/>
        <w:spacing w:line="276" w:lineRule="auto"/>
        <w:ind w:left="640" w:hanging="640"/>
        <w:rPr>
          <w:rFonts w:ascii="Calibri" w:hAnsi="Calibri" w:cs="Times New Roman"/>
          <w:noProof/>
        </w:rPr>
      </w:pPr>
      <w:r w:rsidRPr="00E16C74">
        <w:rPr>
          <w:rFonts w:ascii="Calibri" w:hAnsi="Calibri" w:cs="Times New Roman"/>
          <w:noProof/>
        </w:rPr>
        <w:t xml:space="preserve">10. </w:t>
      </w:r>
      <w:r w:rsidRPr="00E16C74">
        <w:rPr>
          <w:rFonts w:ascii="Calibri" w:hAnsi="Calibri" w:cs="Times New Roman"/>
          <w:noProof/>
        </w:rPr>
        <w:tab/>
        <w:t xml:space="preserve">Dad T, Weiner DE. Does an Aspirin a Day Keep the Doctor Away? Am J Kidney Dis. 2017;69(3):337–40. </w:t>
      </w:r>
    </w:p>
    <w:p w14:paraId="536EE0D1" w14:textId="77777777" w:rsidR="00584B18" w:rsidRPr="00E16C74" w:rsidRDefault="00584B18" w:rsidP="00E16C74">
      <w:pPr>
        <w:widowControl w:val="0"/>
        <w:autoSpaceDE w:val="0"/>
        <w:autoSpaceDN w:val="0"/>
        <w:adjustRightInd w:val="0"/>
        <w:spacing w:line="276" w:lineRule="auto"/>
        <w:ind w:left="640" w:hanging="640"/>
        <w:rPr>
          <w:rFonts w:ascii="Calibri" w:hAnsi="Calibri" w:cs="Times New Roman"/>
          <w:noProof/>
        </w:rPr>
      </w:pPr>
      <w:r w:rsidRPr="00E16C74">
        <w:rPr>
          <w:rFonts w:ascii="Calibri" w:hAnsi="Calibri" w:cs="Times New Roman"/>
          <w:noProof/>
        </w:rPr>
        <w:t xml:space="preserve">11. </w:t>
      </w:r>
      <w:r w:rsidRPr="00E16C74">
        <w:rPr>
          <w:rFonts w:ascii="Calibri" w:hAnsi="Calibri" w:cs="Times New Roman"/>
          <w:noProof/>
        </w:rPr>
        <w:tab/>
        <w:t>Kerr M, Bray B, Medcalf J, O’Donoghue DJ, Matthews B. Estimating the financial cost of chronic kidney disease to the NHS in England. Nephrol Dial Transplant [Internet]. 2012 Oct;27 Suppl 3:iii73-80. Available from: http://www.ncbi.nlm.nih.gov/pubmed/22815543</w:t>
      </w:r>
    </w:p>
    <w:p w14:paraId="5FB3870B" w14:textId="77777777" w:rsidR="00584B18" w:rsidRPr="00314ABA" w:rsidRDefault="00584B18" w:rsidP="00E16C74">
      <w:pPr>
        <w:widowControl w:val="0"/>
        <w:autoSpaceDE w:val="0"/>
        <w:autoSpaceDN w:val="0"/>
        <w:adjustRightInd w:val="0"/>
        <w:spacing w:line="276" w:lineRule="auto"/>
        <w:ind w:left="640" w:hanging="640"/>
        <w:rPr>
          <w:rFonts w:ascii="Calibri" w:hAnsi="Calibri"/>
          <w:noProof/>
        </w:rPr>
      </w:pPr>
      <w:r w:rsidRPr="00E16C74">
        <w:rPr>
          <w:rFonts w:ascii="Calibri" w:hAnsi="Calibri" w:cs="Times New Roman"/>
          <w:noProof/>
        </w:rPr>
        <w:t xml:space="preserve">12. </w:t>
      </w:r>
      <w:r w:rsidRPr="00E16C74">
        <w:rPr>
          <w:rFonts w:ascii="Calibri" w:hAnsi="Calibri" w:cs="Times New Roman"/>
          <w:noProof/>
        </w:rPr>
        <w:tab/>
        <w:t>Major R, Shepherd D, Warwick G, Brunskill N. Prescription Rates of Cardiovascular Medications in a Large UK Primary Care Chronic Kidney Disease Cohort. Nephron [Internet]. 2016;133(1):15–22. Available from: http://www.ncbi.nlm.nih.gov/pubmed/27160883</w:t>
      </w:r>
    </w:p>
    <w:p w14:paraId="1905FAE5" w14:textId="36A7ED26" w:rsidR="002135E6" w:rsidRPr="00E16C74" w:rsidRDefault="00584B18" w:rsidP="00E16C74">
      <w:pPr>
        <w:spacing w:line="276" w:lineRule="auto"/>
        <w:rPr>
          <w:rFonts w:ascii="Calibri" w:hAnsi="Calibri" w:cs="Arial"/>
        </w:rPr>
      </w:pPr>
      <w:r w:rsidRPr="00E96210">
        <w:rPr>
          <w:rFonts w:ascii="Calibri" w:hAnsi="Calibri" w:cs="Arial"/>
        </w:rPr>
        <w:fldChar w:fldCharType="end"/>
      </w:r>
    </w:p>
    <w:sectPr w:rsidR="002135E6" w:rsidRPr="00E16C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Gungsuh">
    <w:altName w:val="Malgun Gothic Semilight"/>
    <w:charset w:val="81"/>
    <w:family w:val="roman"/>
    <w:pitch w:val="variable"/>
    <w:sig w:usb0="00000000"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00344A"/>
    <w:multiLevelType w:val="hybridMultilevel"/>
    <w:tmpl w:val="52DAE8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2F3"/>
    <w:rsid w:val="00031566"/>
    <w:rsid w:val="000748A5"/>
    <w:rsid w:val="0008038D"/>
    <w:rsid w:val="000979B5"/>
    <w:rsid w:val="000B2218"/>
    <w:rsid w:val="000B6B54"/>
    <w:rsid w:val="0013393A"/>
    <w:rsid w:val="00174D3F"/>
    <w:rsid w:val="00192FE8"/>
    <w:rsid w:val="001A178F"/>
    <w:rsid w:val="001D4CB7"/>
    <w:rsid w:val="001E7FA0"/>
    <w:rsid w:val="002135E6"/>
    <w:rsid w:val="003046FA"/>
    <w:rsid w:val="00314ABA"/>
    <w:rsid w:val="00332EFD"/>
    <w:rsid w:val="003D2F97"/>
    <w:rsid w:val="003E2B1D"/>
    <w:rsid w:val="003F229F"/>
    <w:rsid w:val="00452012"/>
    <w:rsid w:val="004D08F9"/>
    <w:rsid w:val="00514C2A"/>
    <w:rsid w:val="00541769"/>
    <w:rsid w:val="00584B18"/>
    <w:rsid w:val="005878C9"/>
    <w:rsid w:val="005B21E5"/>
    <w:rsid w:val="005D0ACA"/>
    <w:rsid w:val="005D2EF1"/>
    <w:rsid w:val="005F16E8"/>
    <w:rsid w:val="00625AA8"/>
    <w:rsid w:val="006540FB"/>
    <w:rsid w:val="00697A7D"/>
    <w:rsid w:val="006A4E0C"/>
    <w:rsid w:val="006D66FA"/>
    <w:rsid w:val="00754BF0"/>
    <w:rsid w:val="0076455E"/>
    <w:rsid w:val="00770BF2"/>
    <w:rsid w:val="007A643F"/>
    <w:rsid w:val="007C5B04"/>
    <w:rsid w:val="007E379E"/>
    <w:rsid w:val="00863955"/>
    <w:rsid w:val="008667FF"/>
    <w:rsid w:val="008948E5"/>
    <w:rsid w:val="008A404D"/>
    <w:rsid w:val="008B4642"/>
    <w:rsid w:val="008C4FFD"/>
    <w:rsid w:val="008C5F45"/>
    <w:rsid w:val="00956440"/>
    <w:rsid w:val="009D3CCC"/>
    <w:rsid w:val="00A003C2"/>
    <w:rsid w:val="00AB4967"/>
    <w:rsid w:val="00AF229C"/>
    <w:rsid w:val="00B26C31"/>
    <w:rsid w:val="00B44512"/>
    <w:rsid w:val="00B50AD4"/>
    <w:rsid w:val="00BA679D"/>
    <w:rsid w:val="00BA7EF8"/>
    <w:rsid w:val="00C3232A"/>
    <w:rsid w:val="00C61BC8"/>
    <w:rsid w:val="00D80596"/>
    <w:rsid w:val="00D93067"/>
    <w:rsid w:val="00D93764"/>
    <w:rsid w:val="00DC496A"/>
    <w:rsid w:val="00DE7E05"/>
    <w:rsid w:val="00E16C74"/>
    <w:rsid w:val="00E775F9"/>
    <w:rsid w:val="00E96210"/>
    <w:rsid w:val="00EF312D"/>
    <w:rsid w:val="00F01A40"/>
    <w:rsid w:val="00F16D03"/>
    <w:rsid w:val="00F328AE"/>
    <w:rsid w:val="00F3663B"/>
    <w:rsid w:val="00F502F3"/>
    <w:rsid w:val="00F843D3"/>
    <w:rsid w:val="00F87BD0"/>
    <w:rsid w:val="00FA0647"/>
    <w:rsid w:val="00FE30DF"/>
    <w:rsid w:val="00FE3FF5"/>
    <w:rsid w:val="00FE4802"/>
    <w:rsid w:val="00FF4A8D"/>
    <w:rsid w:val="00FF66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8386"/>
  <w15:docId w15:val="{47C2BEF4-2EA5-4D6E-B169-CA673B765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135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35E6"/>
    <w:pPr>
      <w:ind w:left="720"/>
      <w:contextualSpacing/>
    </w:pPr>
  </w:style>
  <w:style w:type="character" w:styleId="Hyperlink">
    <w:name w:val="Hyperlink"/>
    <w:basedOn w:val="DefaultParagraphFont"/>
    <w:uiPriority w:val="99"/>
    <w:semiHidden/>
    <w:unhideWhenUsed/>
    <w:rsid w:val="002135E6"/>
    <w:rPr>
      <w:color w:val="0000FF"/>
      <w:u w:val="single"/>
    </w:rPr>
  </w:style>
  <w:style w:type="character" w:customStyle="1" w:styleId="Heading1Char">
    <w:name w:val="Heading 1 Char"/>
    <w:basedOn w:val="DefaultParagraphFont"/>
    <w:link w:val="Heading1"/>
    <w:uiPriority w:val="9"/>
    <w:rsid w:val="002135E6"/>
    <w:rPr>
      <w:rFonts w:ascii="Times New Roman" w:eastAsia="Times New Roman" w:hAnsi="Times New Roman" w:cs="Times New Roman"/>
      <w:b/>
      <w:bCs/>
      <w:kern w:val="36"/>
      <w:sz w:val="48"/>
      <w:szCs w:val="48"/>
      <w:lang w:eastAsia="en-GB"/>
    </w:rPr>
  </w:style>
  <w:style w:type="character" w:customStyle="1" w:styleId="jrnl">
    <w:name w:val="jrnl"/>
    <w:basedOn w:val="DefaultParagraphFont"/>
    <w:rsid w:val="00541769"/>
  </w:style>
  <w:style w:type="character" w:customStyle="1" w:styleId="highlight">
    <w:name w:val="highlight"/>
    <w:basedOn w:val="DefaultParagraphFont"/>
    <w:rsid w:val="00541769"/>
  </w:style>
  <w:style w:type="table" w:styleId="TableGrid">
    <w:name w:val="Table Grid"/>
    <w:basedOn w:val="TableNormal"/>
    <w:uiPriority w:val="39"/>
    <w:rsid w:val="00894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6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6FA"/>
    <w:rPr>
      <w:rFonts w:ascii="Tahoma" w:hAnsi="Tahoma" w:cs="Tahoma"/>
      <w:sz w:val="16"/>
      <w:szCs w:val="16"/>
    </w:rPr>
  </w:style>
  <w:style w:type="character" w:styleId="CommentReference">
    <w:name w:val="annotation reference"/>
    <w:basedOn w:val="DefaultParagraphFont"/>
    <w:uiPriority w:val="99"/>
    <w:semiHidden/>
    <w:unhideWhenUsed/>
    <w:rsid w:val="009D3CCC"/>
    <w:rPr>
      <w:sz w:val="16"/>
      <w:szCs w:val="16"/>
    </w:rPr>
  </w:style>
  <w:style w:type="paragraph" w:styleId="CommentText">
    <w:name w:val="annotation text"/>
    <w:basedOn w:val="Normal"/>
    <w:link w:val="CommentTextChar"/>
    <w:uiPriority w:val="99"/>
    <w:semiHidden/>
    <w:unhideWhenUsed/>
    <w:rsid w:val="009D3CCC"/>
    <w:pPr>
      <w:spacing w:line="240" w:lineRule="auto"/>
    </w:pPr>
    <w:rPr>
      <w:sz w:val="20"/>
      <w:szCs w:val="20"/>
    </w:rPr>
  </w:style>
  <w:style w:type="character" w:customStyle="1" w:styleId="CommentTextChar">
    <w:name w:val="Comment Text Char"/>
    <w:basedOn w:val="DefaultParagraphFont"/>
    <w:link w:val="CommentText"/>
    <w:uiPriority w:val="99"/>
    <w:semiHidden/>
    <w:rsid w:val="009D3CCC"/>
    <w:rPr>
      <w:sz w:val="20"/>
      <w:szCs w:val="20"/>
    </w:rPr>
  </w:style>
  <w:style w:type="paragraph" w:styleId="CommentSubject">
    <w:name w:val="annotation subject"/>
    <w:basedOn w:val="CommentText"/>
    <w:next w:val="CommentText"/>
    <w:link w:val="CommentSubjectChar"/>
    <w:uiPriority w:val="99"/>
    <w:semiHidden/>
    <w:unhideWhenUsed/>
    <w:rsid w:val="009D3CCC"/>
    <w:rPr>
      <w:b/>
      <w:bCs/>
    </w:rPr>
  </w:style>
  <w:style w:type="character" w:customStyle="1" w:styleId="CommentSubjectChar">
    <w:name w:val="Comment Subject Char"/>
    <w:basedOn w:val="CommentTextChar"/>
    <w:link w:val="CommentSubject"/>
    <w:uiPriority w:val="99"/>
    <w:semiHidden/>
    <w:rsid w:val="009D3CCC"/>
    <w:rPr>
      <w:b/>
      <w:bCs/>
      <w:sz w:val="20"/>
      <w:szCs w:val="20"/>
    </w:rPr>
  </w:style>
  <w:style w:type="character" w:customStyle="1" w:styleId="contrib-degrees">
    <w:name w:val="contrib-degrees"/>
    <w:basedOn w:val="DefaultParagraphFont"/>
    <w:rsid w:val="003F229F"/>
    <w:rPr>
      <w:rFonts w:ascii="Helvetica" w:hAnsi="Helvetica" w:hint="default"/>
      <w:sz w:val="24"/>
      <w:szCs w:val="24"/>
      <w:bdr w:val="none" w:sz="0" w:space="0" w:color="auto" w:frame="1"/>
      <w:vertAlign w:val="baseline"/>
    </w:rPr>
  </w:style>
  <w:style w:type="character" w:customStyle="1" w:styleId="contrib-role">
    <w:name w:val="contrib-role"/>
    <w:basedOn w:val="DefaultParagraphFont"/>
    <w:rsid w:val="003F229F"/>
    <w:rPr>
      <w:rFonts w:ascii="Helvetica" w:hAnsi="Helvetica" w:hint="default"/>
      <w:sz w:val="24"/>
      <w:szCs w:val="24"/>
      <w:bdr w:val="none" w:sz="0" w:space="0" w:color="auto" w:frame="1"/>
      <w:vertAlign w:val="baseline"/>
    </w:rPr>
  </w:style>
  <w:style w:type="paragraph" w:styleId="Revision">
    <w:name w:val="Revision"/>
    <w:hidden/>
    <w:uiPriority w:val="99"/>
    <w:semiHidden/>
    <w:rsid w:val="00514C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429387">
      <w:bodyDiv w:val="1"/>
      <w:marLeft w:val="0"/>
      <w:marRight w:val="0"/>
      <w:marTop w:val="0"/>
      <w:marBottom w:val="0"/>
      <w:divBdr>
        <w:top w:val="none" w:sz="0" w:space="0" w:color="auto"/>
        <w:left w:val="none" w:sz="0" w:space="0" w:color="auto"/>
        <w:bottom w:val="none" w:sz="0" w:space="0" w:color="auto"/>
        <w:right w:val="none" w:sz="0" w:space="0" w:color="auto"/>
      </w:divBdr>
    </w:div>
    <w:div w:id="154927946">
      <w:bodyDiv w:val="1"/>
      <w:marLeft w:val="0"/>
      <w:marRight w:val="0"/>
      <w:marTop w:val="0"/>
      <w:marBottom w:val="0"/>
      <w:divBdr>
        <w:top w:val="none" w:sz="0" w:space="0" w:color="auto"/>
        <w:left w:val="none" w:sz="0" w:space="0" w:color="auto"/>
        <w:bottom w:val="none" w:sz="0" w:space="0" w:color="auto"/>
        <w:right w:val="none" w:sz="0" w:space="0" w:color="auto"/>
      </w:divBdr>
    </w:div>
    <w:div w:id="167794044">
      <w:bodyDiv w:val="1"/>
      <w:marLeft w:val="0"/>
      <w:marRight w:val="0"/>
      <w:marTop w:val="0"/>
      <w:marBottom w:val="0"/>
      <w:divBdr>
        <w:top w:val="none" w:sz="0" w:space="0" w:color="auto"/>
        <w:left w:val="none" w:sz="0" w:space="0" w:color="auto"/>
        <w:bottom w:val="none" w:sz="0" w:space="0" w:color="auto"/>
        <w:right w:val="none" w:sz="0" w:space="0" w:color="auto"/>
      </w:divBdr>
    </w:div>
    <w:div w:id="455833888">
      <w:bodyDiv w:val="1"/>
      <w:marLeft w:val="0"/>
      <w:marRight w:val="0"/>
      <w:marTop w:val="0"/>
      <w:marBottom w:val="0"/>
      <w:divBdr>
        <w:top w:val="none" w:sz="0" w:space="0" w:color="auto"/>
        <w:left w:val="none" w:sz="0" w:space="0" w:color="auto"/>
        <w:bottom w:val="none" w:sz="0" w:space="0" w:color="auto"/>
        <w:right w:val="none" w:sz="0" w:space="0" w:color="auto"/>
      </w:divBdr>
    </w:div>
    <w:div w:id="637346233">
      <w:bodyDiv w:val="1"/>
      <w:marLeft w:val="0"/>
      <w:marRight w:val="0"/>
      <w:marTop w:val="0"/>
      <w:marBottom w:val="0"/>
      <w:divBdr>
        <w:top w:val="none" w:sz="0" w:space="0" w:color="auto"/>
        <w:left w:val="none" w:sz="0" w:space="0" w:color="auto"/>
        <w:bottom w:val="none" w:sz="0" w:space="0" w:color="auto"/>
        <w:right w:val="none" w:sz="0" w:space="0" w:color="auto"/>
      </w:divBdr>
      <w:divsChild>
        <w:div w:id="2072922348">
          <w:marLeft w:val="446"/>
          <w:marRight w:val="0"/>
          <w:marTop w:val="0"/>
          <w:marBottom w:val="0"/>
          <w:divBdr>
            <w:top w:val="none" w:sz="0" w:space="0" w:color="auto"/>
            <w:left w:val="none" w:sz="0" w:space="0" w:color="auto"/>
            <w:bottom w:val="none" w:sz="0" w:space="0" w:color="auto"/>
            <w:right w:val="none" w:sz="0" w:space="0" w:color="auto"/>
          </w:divBdr>
        </w:div>
        <w:div w:id="375589922">
          <w:marLeft w:val="1166"/>
          <w:marRight w:val="0"/>
          <w:marTop w:val="0"/>
          <w:marBottom w:val="0"/>
          <w:divBdr>
            <w:top w:val="none" w:sz="0" w:space="0" w:color="auto"/>
            <w:left w:val="none" w:sz="0" w:space="0" w:color="auto"/>
            <w:bottom w:val="none" w:sz="0" w:space="0" w:color="auto"/>
            <w:right w:val="none" w:sz="0" w:space="0" w:color="auto"/>
          </w:divBdr>
        </w:div>
        <w:div w:id="1329988136">
          <w:marLeft w:val="1166"/>
          <w:marRight w:val="0"/>
          <w:marTop w:val="0"/>
          <w:marBottom w:val="0"/>
          <w:divBdr>
            <w:top w:val="none" w:sz="0" w:space="0" w:color="auto"/>
            <w:left w:val="none" w:sz="0" w:space="0" w:color="auto"/>
            <w:bottom w:val="none" w:sz="0" w:space="0" w:color="auto"/>
            <w:right w:val="none" w:sz="0" w:space="0" w:color="auto"/>
          </w:divBdr>
        </w:div>
        <w:div w:id="1670330399">
          <w:marLeft w:val="1166"/>
          <w:marRight w:val="0"/>
          <w:marTop w:val="0"/>
          <w:marBottom w:val="0"/>
          <w:divBdr>
            <w:top w:val="none" w:sz="0" w:space="0" w:color="auto"/>
            <w:left w:val="none" w:sz="0" w:space="0" w:color="auto"/>
            <w:bottom w:val="none" w:sz="0" w:space="0" w:color="auto"/>
            <w:right w:val="none" w:sz="0" w:space="0" w:color="auto"/>
          </w:divBdr>
        </w:div>
        <w:div w:id="1374883395">
          <w:marLeft w:val="1166"/>
          <w:marRight w:val="0"/>
          <w:marTop w:val="0"/>
          <w:marBottom w:val="0"/>
          <w:divBdr>
            <w:top w:val="none" w:sz="0" w:space="0" w:color="auto"/>
            <w:left w:val="none" w:sz="0" w:space="0" w:color="auto"/>
            <w:bottom w:val="none" w:sz="0" w:space="0" w:color="auto"/>
            <w:right w:val="none" w:sz="0" w:space="0" w:color="auto"/>
          </w:divBdr>
        </w:div>
        <w:div w:id="826290187">
          <w:marLeft w:val="446"/>
          <w:marRight w:val="0"/>
          <w:marTop w:val="0"/>
          <w:marBottom w:val="0"/>
          <w:divBdr>
            <w:top w:val="none" w:sz="0" w:space="0" w:color="auto"/>
            <w:left w:val="none" w:sz="0" w:space="0" w:color="auto"/>
            <w:bottom w:val="none" w:sz="0" w:space="0" w:color="auto"/>
            <w:right w:val="none" w:sz="0" w:space="0" w:color="auto"/>
          </w:divBdr>
        </w:div>
      </w:divsChild>
    </w:div>
    <w:div w:id="742873083">
      <w:bodyDiv w:val="1"/>
      <w:marLeft w:val="0"/>
      <w:marRight w:val="0"/>
      <w:marTop w:val="0"/>
      <w:marBottom w:val="0"/>
      <w:divBdr>
        <w:top w:val="none" w:sz="0" w:space="0" w:color="auto"/>
        <w:left w:val="none" w:sz="0" w:space="0" w:color="auto"/>
        <w:bottom w:val="none" w:sz="0" w:space="0" w:color="auto"/>
        <w:right w:val="none" w:sz="0" w:space="0" w:color="auto"/>
      </w:divBdr>
      <w:divsChild>
        <w:div w:id="490174477">
          <w:marLeft w:val="0"/>
          <w:marRight w:val="1"/>
          <w:marTop w:val="0"/>
          <w:marBottom w:val="0"/>
          <w:divBdr>
            <w:top w:val="none" w:sz="0" w:space="0" w:color="auto"/>
            <w:left w:val="none" w:sz="0" w:space="0" w:color="auto"/>
            <w:bottom w:val="none" w:sz="0" w:space="0" w:color="auto"/>
            <w:right w:val="none" w:sz="0" w:space="0" w:color="auto"/>
          </w:divBdr>
          <w:divsChild>
            <w:div w:id="1868831309">
              <w:marLeft w:val="0"/>
              <w:marRight w:val="0"/>
              <w:marTop w:val="0"/>
              <w:marBottom w:val="0"/>
              <w:divBdr>
                <w:top w:val="none" w:sz="0" w:space="0" w:color="auto"/>
                <w:left w:val="none" w:sz="0" w:space="0" w:color="auto"/>
                <w:bottom w:val="none" w:sz="0" w:space="0" w:color="auto"/>
                <w:right w:val="none" w:sz="0" w:space="0" w:color="auto"/>
              </w:divBdr>
              <w:divsChild>
                <w:div w:id="190650513">
                  <w:marLeft w:val="0"/>
                  <w:marRight w:val="1"/>
                  <w:marTop w:val="0"/>
                  <w:marBottom w:val="0"/>
                  <w:divBdr>
                    <w:top w:val="none" w:sz="0" w:space="0" w:color="auto"/>
                    <w:left w:val="none" w:sz="0" w:space="0" w:color="auto"/>
                    <w:bottom w:val="none" w:sz="0" w:space="0" w:color="auto"/>
                    <w:right w:val="none" w:sz="0" w:space="0" w:color="auto"/>
                  </w:divBdr>
                  <w:divsChild>
                    <w:div w:id="263268271">
                      <w:marLeft w:val="0"/>
                      <w:marRight w:val="0"/>
                      <w:marTop w:val="0"/>
                      <w:marBottom w:val="0"/>
                      <w:divBdr>
                        <w:top w:val="none" w:sz="0" w:space="0" w:color="auto"/>
                        <w:left w:val="none" w:sz="0" w:space="0" w:color="auto"/>
                        <w:bottom w:val="none" w:sz="0" w:space="0" w:color="auto"/>
                        <w:right w:val="none" w:sz="0" w:space="0" w:color="auto"/>
                      </w:divBdr>
                      <w:divsChild>
                        <w:div w:id="475148812">
                          <w:marLeft w:val="0"/>
                          <w:marRight w:val="0"/>
                          <w:marTop w:val="0"/>
                          <w:marBottom w:val="0"/>
                          <w:divBdr>
                            <w:top w:val="none" w:sz="0" w:space="0" w:color="auto"/>
                            <w:left w:val="none" w:sz="0" w:space="0" w:color="auto"/>
                            <w:bottom w:val="none" w:sz="0" w:space="0" w:color="auto"/>
                            <w:right w:val="none" w:sz="0" w:space="0" w:color="auto"/>
                          </w:divBdr>
                          <w:divsChild>
                            <w:div w:id="428162220">
                              <w:marLeft w:val="0"/>
                              <w:marRight w:val="0"/>
                              <w:marTop w:val="120"/>
                              <w:marBottom w:val="360"/>
                              <w:divBdr>
                                <w:top w:val="none" w:sz="0" w:space="0" w:color="auto"/>
                                <w:left w:val="none" w:sz="0" w:space="0" w:color="auto"/>
                                <w:bottom w:val="none" w:sz="0" w:space="0" w:color="auto"/>
                                <w:right w:val="none" w:sz="0" w:space="0" w:color="auto"/>
                              </w:divBdr>
                              <w:divsChild>
                                <w:div w:id="398671553">
                                  <w:marLeft w:val="420"/>
                                  <w:marRight w:val="0"/>
                                  <w:marTop w:val="0"/>
                                  <w:marBottom w:val="0"/>
                                  <w:divBdr>
                                    <w:top w:val="none" w:sz="0" w:space="0" w:color="auto"/>
                                    <w:left w:val="none" w:sz="0" w:space="0" w:color="auto"/>
                                    <w:bottom w:val="none" w:sz="0" w:space="0" w:color="auto"/>
                                    <w:right w:val="none" w:sz="0" w:space="0" w:color="auto"/>
                                  </w:divBdr>
                                  <w:divsChild>
                                    <w:div w:id="1655798656">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214084">
      <w:bodyDiv w:val="1"/>
      <w:marLeft w:val="0"/>
      <w:marRight w:val="0"/>
      <w:marTop w:val="0"/>
      <w:marBottom w:val="0"/>
      <w:divBdr>
        <w:top w:val="none" w:sz="0" w:space="0" w:color="auto"/>
        <w:left w:val="none" w:sz="0" w:space="0" w:color="auto"/>
        <w:bottom w:val="none" w:sz="0" w:space="0" w:color="auto"/>
        <w:right w:val="none" w:sz="0" w:space="0" w:color="auto"/>
      </w:divBdr>
    </w:div>
    <w:div w:id="1116683154">
      <w:bodyDiv w:val="1"/>
      <w:marLeft w:val="0"/>
      <w:marRight w:val="0"/>
      <w:marTop w:val="0"/>
      <w:marBottom w:val="0"/>
      <w:divBdr>
        <w:top w:val="none" w:sz="0" w:space="0" w:color="auto"/>
        <w:left w:val="none" w:sz="0" w:space="0" w:color="auto"/>
        <w:bottom w:val="none" w:sz="0" w:space="0" w:color="auto"/>
        <w:right w:val="none" w:sz="0" w:space="0" w:color="auto"/>
      </w:divBdr>
    </w:div>
    <w:div w:id="1117331308">
      <w:bodyDiv w:val="1"/>
      <w:marLeft w:val="0"/>
      <w:marRight w:val="0"/>
      <w:marTop w:val="0"/>
      <w:marBottom w:val="0"/>
      <w:divBdr>
        <w:top w:val="none" w:sz="0" w:space="0" w:color="auto"/>
        <w:left w:val="none" w:sz="0" w:space="0" w:color="auto"/>
        <w:bottom w:val="none" w:sz="0" w:space="0" w:color="auto"/>
        <w:right w:val="none" w:sz="0" w:space="0" w:color="auto"/>
      </w:divBdr>
      <w:divsChild>
        <w:div w:id="1484807793">
          <w:marLeft w:val="0"/>
          <w:marRight w:val="0"/>
          <w:marTop w:val="0"/>
          <w:marBottom w:val="0"/>
          <w:divBdr>
            <w:top w:val="none" w:sz="0" w:space="0" w:color="auto"/>
            <w:left w:val="none" w:sz="0" w:space="0" w:color="auto"/>
            <w:bottom w:val="none" w:sz="0" w:space="0" w:color="auto"/>
            <w:right w:val="none" w:sz="0" w:space="0" w:color="auto"/>
          </w:divBdr>
          <w:divsChild>
            <w:div w:id="1928265810">
              <w:marLeft w:val="0"/>
              <w:marRight w:val="0"/>
              <w:marTop w:val="0"/>
              <w:marBottom w:val="0"/>
              <w:divBdr>
                <w:top w:val="none" w:sz="0" w:space="0" w:color="auto"/>
                <w:left w:val="none" w:sz="0" w:space="0" w:color="auto"/>
                <w:bottom w:val="none" w:sz="0" w:space="0" w:color="auto"/>
                <w:right w:val="none" w:sz="0" w:space="0" w:color="auto"/>
              </w:divBdr>
              <w:divsChild>
                <w:div w:id="1533961977">
                  <w:marLeft w:val="0"/>
                  <w:marRight w:val="0"/>
                  <w:marTop w:val="0"/>
                  <w:marBottom w:val="0"/>
                  <w:divBdr>
                    <w:top w:val="none" w:sz="0" w:space="0" w:color="auto"/>
                    <w:left w:val="none" w:sz="0" w:space="0" w:color="auto"/>
                    <w:bottom w:val="none" w:sz="0" w:space="0" w:color="auto"/>
                    <w:right w:val="none" w:sz="0" w:space="0" w:color="auto"/>
                  </w:divBdr>
                  <w:divsChild>
                    <w:div w:id="1244754871">
                      <w:marLeft w:val="0"/>
                      <w:marRight w:val="0"/>
                      <w:marTop w:val="0"/>
                      <w:marBottom w:val="0"/>
                      <w:divBdr>
                        <w:top w:val="none" w:sz="0" w:space="0" w:color="auto"/>
                        <w:left w:val="none" w:sz="0" w:space="0" w:color="auto"/>
                        <w:bottom w:val="none" w:sz="0" w:space="0" w:color="auto"/>
                        <w:right w:val="none" w:sz="0" w:space="0" w:color="auto"/>
                      </w:divBdr>
                      <w:divsChild>
                        <w:div w:id="660282141">
                          <w:marLeft w:val="0"/>
                          <w:marRight w:val="0"/>
                          <w:marTop w:val="0"/>
                          <w:marBottom w:val="0"/>
                          <w:divBdr>
                            <w:top w:val="none" w:sz="0" w:space="0" w:color="auto"/>
                            <w:left w:val="none" w:sz="0" w:space="0" w:color="auto"/>
                            <w:bottom w:val="none" w:sz="0" w:space="0" w:color="auto"/>
                            <w:right w:val="none" w:sz="0" w:space="0" w:color="auto"/>
                          </w:divBdr>
                          <w:divsChild>
                            <w:div w:id="944768161">
                              <w:marLeft w:val="15"/>
                              <w:marRight w:val="195"/>
                              <w:marTop w:val="0"/>
                              <w:marBottom w:val="0"/>
                              <w:divBdr>
                                <w:top w:val="none" w:sz="0" w:space="0" w:color="auto"/>
                                <w:left w:val="none" w:sz="0" w:space="0" w:color="auto"/>
                                <w:bottom w:val="none" w:sz="0" w:space="0" w:color="auto"/>
                                <w:right w:val="none" w:sz="0" w:space="0" w:color="auto"/>
                              </w:divBdr>
                              <w:divsChild>
                                <w:div w:id="1124730625">
                                  <w:marLeft w:val="0"/>
                                  <w:marRight w:val="0"/>
                                  <w:marTop w:val="0"/>
                                  <w:marBottom w:val="0"/>
                                  <w:divBdr>
                                    <w:top w:val="none" w:sz="0" w:space="0" w:color="auto"/>
                                    <w:left w:val="none" w:sz="0" w:space="0" w:color="auto"/>
                                    <w:bottom w:val="none" w:sz="0" w:space="0" w:color="auto"/>
                                    <w:right w:val="none" w:sz="0" w:space="0" w:color="auto"/>
                                  </w:divBdr>
                                  <w:divsChild>
                                    <w:div w:id="1670598063">
                                      <w:marLeft w:val="0"/>
                                      <w:marRight w:val="0"/>
                                      <w:marTop w:val="0"/>
                                      <w:marBottom w:val="0"/>
                                      <w:divBdr>
                                        <w:top w:val="none" w:sz="0" w:space="0" w:color="auto"/>
                                        <w:left w:val="none" w:sz="0" w:space="0" w:color="auto"/>
                                        <w:bottom w:val="none" w:sz="0" w:space="0" w:color="auto"/>
                                        <w:right w:val="none" w:sz="0" w:space="0" w:color="auto"/>
                                      </w:divBdr>
                                      <w:divsChild>
                                        <w:div w:id="1418288277">
                                          <w:marLeft w:val="0"/>
                                          <w:marRight w:val="0"/>
                                          <w:marTop w:val="0"/>
                                          <w:marBottom w:val="0"/>
                                          <w:divBdr>
                                            <w:top w:val="none" w:sz="0" w:space="0" w:color="auto"/>
                                            <w:left w:val="none" w:sz="0" w:space="0" w:color="auto"/>
                                            <w:bottom w:val="none" w:sz="0" w:space="0" w:color="auto"/>
                                            <w:right w:val="none" w:sz="0" w:space="0" w:color="auto"/>
                                          </w:divBdr>
                                          <w:divsChild>
                                            <w:div w:id="477764405">
                                              <w:marLeft w:val="0"/>
                                              <w:marRight w:val="0"/>
                                              <w:marTop w:val="0"/>
                                              <w:marBottom w:val="0"/>
                                              <w:divBdr>
                                                <w:top w:val="none" w:sz="0" w:space="0" w:color="auto"/>
                                                <w:left w:val="none" w:sz="0" w:space="0" w:color="auto"/>
                                                <w:bottom w:val="none" w:sz="0" w:space="0" w:color="auto"/>
                                                <w:right w:val="none" w:sz="0" w:space="0" w:color="auto"/>
                                              </w:divBdr>
                                              <w:divsChild>
                                                <w:div w:id="430124072">
                                                  <w:marLeft w:val="0"/>
                                                  <w:marRight w:val="0"/>
                                                  <w:marTop w:val="0"/>
                                                  <w:marBottom w:val="0"/>
                                                  <w:divBdr>
                                                    <w:top w:val="none" w:sz="0" w:space="0" w:color="auto"/>
                                                    <w:left w:val="none" w:sz="0" w:space="0" w:color="auto"/>
                                                    <w:bottom w:val="none" w:sz="0" w:space="0" w:color="auto"/>
                                                    <w:right w:val="none" w:sz="0" w:space="0" w:color="auto"/>
                                                  </w:divBdr>
                                                  <w:divsChild>
                                                    <w:div w:id="171536286">
                                                      <w:marLeft w:val="0"/>
                                                      <w:marRight w:val="0"/>
                                                      <w:marTop w:val="0"/>
                                                      <w:marBottom w:val="0"/>
                                                      <w:divBdr>
                                                        <w:top w:val="none" w:sz="0" w:space="0" w:color="auto"/>
                                                        <w:left w:val="none" w:sz="0" w:space="0" w:color="auto"/>
                                                        <w:bottom w:val="none" w:sz="0" w:space="0" w:color="auto"/>
                                                        <w:right w:val="none" w:sz="0" w:space="0" w:color="auto"/>
                                                      </w:divBdr>
                                                      <w:divsChild>
                                                        <w:div w:id="1533760902">
                                                          <w:marLeft w:val="0"/>
                                                          <w:marRight w:val="0"/>
                                                          <w:marTop w:val="0"/>
                                                          <w:marBottom w:val="0"/>
                                                          <w:divBdr>
                                                            <w:top w:val="none" w:sz="0" w:space="0" w:color="auto"/>
                                                            <w:left w:val="none" w:sz="0" w:space="0" w:color="auto"/>
                                                            <w:bottom w:val="none" w:sz="0" w:space="0" w:color="auto"/>
                                                            <w:right w:val="none" w:sz="0" w:space="0" w:color="auto"/>
                                                          </w:divBdr>
                                                          <w:divsChild>
                                                            <w:div w:id="107622833">
                                                              <w:marLeft w:val="0"/>
                                                              <w:marRight w:val="0"/>
                                                              <w:marTop w:val="0"/>
                                                              <w:marBottom w:val="0"/>
                                                              <w:divBdr>
                                                                <w:top w:val="none" w:sz="0" w:space="0" w:color="auto"/>
                                                                <w:left w:val="none" w:sz="0" w:space="0" w:color="auto"/>
                                                                <w:bottom w:val="none" w:sz="0" w:space="0" w:color="auto"/>
                                                                <w:right w:val="none" w:sz="0" w:space="0" w:color="auto"/>
                                                              </w:divBdr>
                                                              <w:divsChild>
                                                                <w:div w:id="584655247">
                                                                  <w:marLeft w:val="0"/>
                                                                  <w:marRight w:val="0"/>
                                                                  <w:marTop w:val="0"/>
                                                                  <w:marBottom w:val="0"/>
                                                                  <w:divBdr>
                                                                    <w:top w:val="none" w:sz="0" w:space="0" w:color="auto"/>
                                                                    <w:left w:val="none" w:sz="0" w:space="0" w:color="auto"/>
                                                                    <w:bottom w:val="none" w:sz="0" w:space="0" w:color="auto"/>
                                                                    <w:right w:val="none" w:sz="0" w:space="0" w:color="auto"/>
                                                                  </w:divBdr>
                                                                  <w:divsChild>
                                                                    <w:div w:id="237054169">
                                                                      <w:marLeft w:val="405"/>
                                                                      <w:marRight w:val="0"/>
                                                                      <w:marTop w:val="0"/>
                                                                      <w:marBottom w:val="0"/>
                                                                      <w:divBdr>
                                                                        <w:top w:val="none" w:sz="0" w:space="0" w:color="auto"/>
                                                                        <w:left w:val="none" w:sz="0" w:space="0" w:color="auto"/>
                                                                        <w:bottom w:val="none" w:sz="0" w:space="0" w:color="auto"/>
                                                                        <w:right w:val="none" w:sz="0" w:space="0" w:color="auto"/>
                                                                      </w:divBdr>
                                                                      <w:divsChild>
                                                                        <w:div w:id="542670600">
                                                                          <w:marLeft w:val="0"/>
                                                                          <w:marRight w:val="0"/>
                                                                          <w:marTop w:val="0"/>
                                                                          <w:marBottom w:val="0"/>
                                                                          <w:divBdr>
                                                                            <w:top w:val="none" w:sz="0" w:space="0" w:color="auto"/>
                                                                            <w:left w:val="none" w:sz="0" w:space="0" w:color="auto"/>
                                                                            <w:bottom w:val="none" w:sz="0" w:space="0" w:color="auto"/>
                                                                            <w:right w:val="none" w:sz="0" w:space="0" w:color="auto"/>
                                                                          </w:divBdr>
                                                                          <w:divsChild>
                                                                            <w:div w:id="839924434">
                                                                              <w:marLeft w:val="0"/>
                                                                              <w:marRight w:val="0"/>
                                                                              <w:marTop w:val="0"/>
                                                                              <w:marBottom w:val="0"/>
                                                                              <w:divBdr>
                                                                                <w:top w:val="none" w:sz="0" w:space="0" w:color="auto"/>
                                                                                <w:left w:val="none" w:sz="0" w:space="0" w:color="auto"/>
                                                                                <w:bottom w:val="none" w:sz="0" w:space="0" w:color="auto"/>
                                                                                <w:right w:val="none" w:sz="0" w:space="0" w:color="auto"/>
                                                                              </w:divBdr>
                                                                              <w:divsChild>
                                                                                <w:div w:id="741757529">
                                                                                  <w:marLeft w:val="0"/>
                                                                                  <w:marRight w:val="0"/>
                                                                                  <w:marTop w:val="0"/>
                                                                                  <w:marBottom w:val="0"/>
                                                                                  <w:divBdr>
                                                                                    <w:top w:val="none" w:sz="0" w:space="0" w:color="auto"/>
                                                                                    <w:left w:val="none" w:sz="0" w:space="0" w:color="auto"/>
                                                                                    <w:bottom w:val="none" w:sz="0" w:space="0" w:color="auto"/>
                                                                                    <w:right w:val="none" w:sz="0" w:space="0" w:color="auto"/>
                                                                                  </w:divBdr>
                                                                                  <w:divsChild>
                                                                                    <w:div w:id="1896355339">
                                                                                      <w:marLeft w:val="0"/>
                                                                                      <w:marRight w:val="0"/>
                                                                                      <w:marTop w:val="0"/>
                                                                                      <w:marBottom w:val="0"/>
                                                                                      <w:divBdr>
                                                                                        <w:top w:val="none" w:sz="0" w:space="0" w:color="auto"/>
                                                                                        <w:left w:val="none" w:sz="0" w:space="0" w:color="auto"/>
                                                                                        <w:bottom w:val="none" w:sz="0" w:space="0" w:color="auto"/>
                                                                                        <w:right w:val="none" w:sz="0" w:space="0" w:color="auto"/>
                                                                                      </w:divBdr>
                                                                                      <w:divsChild>
                                                                                        <w:div w:id="123082082">
                                                                                          <w:marLeft w:val="0"/>
                                                                                          <w:marRight w:val="0"/>
                                                                                          <w:marTop w:val="0"/>
                                                                                          <w:marBottom w:val="0"/>
                                                                                          <w:divBdr>
                                                                                            <w:top w:val="none" w:sz="0" w:space="0" w:color="auto"/>
                                                                                            <w:left w:val="none" w:sz="0" w:space="0" w:color="auto"/>
                                                                                            <w:bottom w:val="none" w:sz="0" w:space="0" w:color="auto"/>
                                                                                            <w:right w:val="none" w:sz="0" w:space="0" w:color="auto"/>
                                                                                          </w:divBdr>
                                                                                          <w:divsChild>
                                                                                            <w:div w:id="41635188">
                                                                                              <w:marLeft w:val="0"/>
                                                                                              <w:marRight w:val="0"/>
                                                                                              <w:marTop w:val="0"/>
                                                                                              <w:marBottom w:val="0"/>
                                                                                              <w:divBdr>
                                                                                                <w:top w:val="none" w:sz="0" w:space="0" w:color="auto"/>
                                                                                                <w:left w:val="none" w:sz="0" w:space="0" w:color="auto"/>
                                                                                                <w:bottom w:val="none" w:sz="0" w:space="0" w:color="auto"/>
                                                                                                <w:right w:val="none" w:sz="0" w:space="0" w:color="auto"/>
                                                                                              </w:divBdr>
                                                                                              <w:divsChild>
                                                                                                <w:div w:id="507256881">
                                                                                                  <w:marLeft w:val="0"/>
                                                                                                  <w:marRight w:val="0"/>
                                                                                                  <w:marTop w:val="0"/>
                                                                                                  <w:marBottom w:val="0"/>
                                                                                                  <w:divBdr>
                                                                                                    <w:top w:val="none" w:sz="0" w:space="0" w:color="auto"/>
                                                                                                    <w:left w:val="none" w:sz="0" w:space="0" w:color="auto"/>
                                                                                                    <w:bottom w:val="single" w:sz="6" w:space="15" w:color="auto"/>
                                                                                                    <w:right w:val="none" w:sz="0" w:space="0" w:color="auto"/>
                                                                                                  </w:divBdr>
                                                                                                  <w:divsChild>
                                                                                                    <w:div w:id="1140347156">
                                                                                                      <w:marLeft w:val="0"/>
                                                                                                      <w:marRight w:val="0"/>
                                                                                                      <w:marTop w:val="60"/>
                                                                                                      <w:marBottom w:val="0"/>
                                                                                                      <w:divBdr>
                                                                                                        <w:top w:val="none" w:sz="0" w:space="0" w:color="auto"/>
                                                                                                        <w:left w:val="none" w:sz="0" w:space="0" w:color="auto"/>
                                                                                                        <w:bottom w:val="none" w:sz="0" w:space="0" w:color="auto"/>
                                                                                                        <w:right w:val="none" w:sz="0" w:space="0" w:color="auto"/>
                                                                                                      </w:divBdr>
                                                                                                      <w:divsChild>
                                                                                                        <w:div w:id="462235189">
                                                                                                          <w:marLeft w:val="0"/>
                                                                                                          <w:marRight w:val="0"/>
                                                                                                          <w:marTop w:val="0"/>
                                                                                                          <w:marBottom w:val="0"/>
                                                                                                          <w:divBdr>
                                                                                                            <w:top w:val="none" w:sz="0" w:space="0" w:color="auto"/>
                                                                                                            <w:left w:val="none" w:sz="0" w:space="0" w:color="auto"/>
                                                                                                            <w:bottom w:val="none" w:sz="0" w:space="0" w:color="auto"/>
                                                                                                            <w:right w:val="none" w:sz="0" w:space="0" w:color="auto"/>
                                                                                                          </w:divBdr>
                                                                                                          <w:divsChild>
                                                                                                            <w:div w:id="896283395">
                                                                                                              <w:marLeft w:val="0"/>
                                                                                                              <w:marRight w:val="0"/>
                                                                                                              <w:marTop w:val="0"/>
                                                                                                              <w:marBottom w:val="0"/>
                                                                                                              <w:divBdr>
                                                                                                                <w:top w:val="none" w:sz="0" w:space="0" w:color="auto"/>
                                                                                                                <w:left w:val="none" w:sz="0" w:space="0" w:color="auto"/>
                                                                                                                <w:bottom w:val="none" w:sz="0" w:space="0" w:color="auto"/>
                                                                                                                <w:right w:val="none" w:sz="0" w:space="0" w:color="auto"/>
                                                                                                              </w:divBdr>
                                                                                                              <w:divsChild>
                                                                                                                <w:div w:id="832838863">
                                                                                                                  <w:marLeft w:val="0"/>
                                                                                                                  <w:marRight w:val="0"/>
                                                                                                                  <w:marTop w:val="0"/>
                                                                                                                  <w:marBottom w:val="0"/>
                                                                                                                  <w:divBdr>
                                                                                                                    <w:top w:val="none" w:sz="0" w:space="0" w:color="auto"/>
                                                                                                                    <w:left w:val="none" w:sz="0" w:space="0" w:color="auto"/>
                                                                                                                    <w:bottom w:val="none" w:sz="0" w:space="0" w:color="auto"/>
                                                                                                                    <w:right w:val="none" w:sz="0" w:space="0" w:color="auto"/>
                                                                                                                  </w:divBdr>
                                                                                                                  <w:divsChild>
                                                                                                                    <w:div w:id="2050915521">
                                                                                                                      <w:marLeft w:val="0"/>
                                                                                                                      <w:marRight w:val="0"/>
                                                                                                                      <w:marTop w:val="0"/>
                                                                                                                      <w:marBottom w:val="0"/>
                                                                                                                      <w:divBdr>
                                                                                                                        <w:top w:val="none" w:sz="0" w:space="0" w:color="auto"/>
                                                                                                                        <w:left w:val="none" w:sz="0" w:space="0" w:color="auto"/>
                                                                                                                        <w:bottom w:val="none" w:sz="0" w:space="0" w:color="auto"/>
                                                                                                                        <w:right w:val="none" w:sz="0" w:space="0" w:color="auto"/>
                                                                                                                      </w:divBdr>
                                                                                                                      <w:divsChild>
                                                                                                                        <w:div w:id="1452896454">
                                                                                                                          <w:marLeft w:val="0"/>
                                                                                                                          <w:marRight w:val="0"/>
                                                                                                                          <w:marTop w:val="0"/>
                                                                                                                          <w:marBottom w:val="0"/>
                                                                                                                          <w:divBdr>
                                                                                                                            <w:top w:val="none" w:sz="0" w:space="0" w:color="auto"/>
                                                                                                                            <w:left w:val="none" w:sz="0" w:space="0" w:color="auto"/>
                                                                                                                            <w:bottom w:val="none" w:sz="0" w:space="0" w:color="auto"/>
                                                                                                                            <w:right w:val="none" w:sz="0" w:space="0" w:color="auto"/>
                                                                                                                          </w:divBdr>
                                                                                                                          <w:divsChild>
                                                                                                                            <w:div w:id="1635258068">
                                                                                                                              <w:marLeft w:val="0"/>
                                                                                                                              <w:marRight w:val="0"/>
                                                                                                                              <w:marTop w:val="0"/>
                                                                                                                              <w:marBottom w:val="0"/>
                                                                                                                              <w:divBdr>
                                                                                                                                <w:top w:val="none" w:sz="0" w:space="0" w:color="auto"/>
                                                                                                                                <w:left w:val="none" w:sz="0" w:space="0" w:color="auto"/>
                                                                                                                                <w:bottom w:val="none" w:sz="0" w:space="0" w:color="auto"/>
                                                                                                                                <w:right w:val="none" w:sz="0" w:space="0" w:color="auto"/>
                                                                                                                              </w:divBdr>
                                                                                                                              <w:divsChild>
                                                                                                                                <w:div w:id="2070960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3989942">
                                                                                                                                      <w:marLeft w:val="0"/>
                                                                                                                                      <w:marRight w:val="0"/>
                                                                                                                                      <w:marTop w:val="0"/>
                                                                                                                                      <w:marBottom w:val="0"/>
                                                                                                                                      <w:divBdr>
                                                                                                                                        <w:top w:val="none" w:sz="0" w:space="0" w:color="auto"/>
                                                                                                                                        <w:left w:val="none" w:sz="0" w:space="0" w:color="auto"/>
                                                                                                                                        <w:bottom w:val="none" w:sz="0" w:space="0" w:color="auto"/>
                                                                                                                                        <w:right w:val="none" w:sz="0" w:space="0" w:color="auto"/>
                                                                                                                                      </w:divBdr>
                                                                                                                                      <w:divsChild>
                                                                                                                                        <w:div w:id="1014923028">
                                                                                                                                          <w:marLeft w:val="0"/>
                                                                                                                                          <w:marRight w:val="0"/>
                                                                                                                                          <w:marTop w:val="0"/>
                                                                                                                                          <w:marBottom w:val="0"/>
                                                                                                                                          <w:divBdr>
                                                                                                                                            <w:top w:val="none" w:sz="0" w:space="0" w:color="auto"/>
                                                                                                                                            <w:left w:val="none" w:sz="0" w:space="0" w:color="auto"/>
                                                                                                                                            <w:bottom w:val="none" w:sz="0" w:space="0" w:color="auto"/>
                                                                                                                                            <w:right w:val="none" w:sz="0" w:space="0" w:color="auto"/>
                                                                                                                                          </w:divBdr>
                                                                                                                                          <w:divsChild>
                                                                                                                                            <w:div w:id="1232809714">
                                                                                                                                              <w:marLeft w:val="0"/>
                                                                                                                                              <w:marRight w:val="0"/>
                                                                                                                                              <w:marTop w:val="0"/>
                                                                                                                                              <w:marBottom w:val="0"/>
                                                                                                                                              <w:divBdr>
                                                                                                                                                <w:top w:val="none" w:sz="0" w:space="0" w:color="auto"/>
                                                                                                                                                <w:left w:val="none" w:sz="0" w:space="0" w:color="auto"/>
                                                                                                                                                <w:bottom w:val="none" w:sz="0" w:space="0" w:color="auto"/>
                                                                                                                                                <w:right w:val="none" w:sz="0" w:space="0" w:color="auto"/>
                                                                                                                                              </w:divBdr>
                                                                                                                                            </w:div>
                                                                                                                                            <w:div w:id="37547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0195283">
      <w:bodyDiv w:val="1"/>
      <w:marLeft w:val="0"/>
      <w:marRight w:val="0"/>
      <w:marTop w:val="0"/>
      <w:marBottom w:val="0"/>
      <w:divBdr>
        <w:top w:val="none" w:sz="0" w:space="0" w:color="auto"/>
        <w:left w:val="none" w:sz="0" w:space="0" w:color="auto"/>
        <w:bottom w:val="none" w:sz="0" w:space="0" w:color="auto"/>
        <w:right w:val="none" w:sz="0" w:space="0" w:color="auto"/>
      </w:divBdr>
    </w:div>
    <w:div w:id="1382248359">
      <w:bodyDiv w:val="1"/>
      <w:marLeft w:val="0"/>
      <w:marRight w:val="0"/>
      <w:marTop w:val="0"/>
      <w:marBottom w:val="0"/>
      <w:divBdr>
        <w:top w:val="none" w:sz="0" w:space="0" w:color="auto"/>
        <w:left w:val="none" w:sz="0" w:space="0" w:color="auto"/>
        <w:bottom w:val="none" w:sz="0" w:space="0" w:color="auto"/>
        <w:right w:val="none" w:sz="0" w:space="0" w:color="auto"/>
      </w:divBdr>
    </w:div>
    <w:div w:id="1661274736">
      <w:bodyDiv w:val="1"/>
      <w:marLeft w:val="0"/>
      <w:marRight w:val="0"/>
      <w:marTop w:val="0"/>
      <w:marBottom w:val="0"/>
      <w:divBdr>
        <w:top w:val="none" w:sz="0" w:space="0" w:color="auto"/>
        <w:left w:val="none" w:sz="0" w:space="0" w:color="auto"/>
        <w:bottom w:val="none" w:sz="0" w:space="0" w:color="auto"/>
        <w:right w:val="none" w:sz="0" w:space="0" w:color="auto"/>
      </w:divBdr>
    </w:div>
    <w:div w:id="196511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ncbi.nlm.nih.gov/pubmed/?term=Mindell%20JS%5BAuthor%5D&amp;cauthor=true&amp;cauthor_uid=2699009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cbi.nlm.nih.gov/pubmed/?term=Ng%20Fat%20L%5BAuthor%5D&amp;cauthor=true&amp;cauthor_uid=26990093"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DCBC8-B8CF-4C32-9BC8-2B13841CD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6515</Words>
  <Characters>37141</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 Gallagher</dc:creator>
  <cp:lastModifiedBy>Lown M.</cp:lastModifiedBy>
  <cp:revision>3</cp:revision>
  <cp:lastPrinted>2019-06-11T10:45:00Z</cp:lastPrinted>
  <dcterms:created xsi:type="dcterms:W3CDTF">2019-06-26T11:06:00Z</dcterms:created>
  <dcterms:modified xsi:type="dcterms:W3CDTF">2019-06-26T11:30:00Z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Citation Style_1">
    <vt:lpwstr>http://www.zotero.org/styles/vancouver</vt:lpwstr>
  </property>
  <property fmtid="{D5CDD505-2E9C-101B-9397-08002B2CF9AE}" pid="24" name="Mendeley Unique User Id_1">
    <vt:lpwstr>0fe01f50-0113-3974-bb64-dfd925d2b003</vt:lpwstr>
  </property>
</Properties>
</file>