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CA9B2" w14:textId="77777777" w:rsidR="009A7E66" w:rsidRDefault="009A7E66" w:rsidP="009A7E66">
      <w:pPr>
        <w:jc w:val="both"/>
        <w:rPr>
          <w:rFonts w:ascii="Times New Roman" w:hAnsi="Times New Roman"/>
          <w:b/>
          <w:bCs/>
          <w:szCs w:val="22"/>
        </w:rPr>
      </w:pPr>
      <w:bookmarkStart w:id="0" w:name="_GoBack"/>
      <w:bookmarkEnd w:id="0"/>
    </w:p>
    <w:p w14:paraId="1426CB96" w14:textId="1524F336" w:rsidR="009A7E66" w:rsidRPr="005C094B" w:rsidRDefault="009A7E66" w:rsidP="009A7E66">
      <w:pPr>
        <w:jc w:val="center"/>
        <w:rPr>
          <w:rFonts w:ascii="Times New Roman" w:hAnsi="Times New Roman"/>
          <w:b/>
          <w:bCs/>
          <w:sz w:val="28"/>
          <w:szCs w:val="28"/>
        </w:rPr>
      </w:pPr>
      <w:r w:rsidRPr="005C094B">
        <w:rPr>
          <w:rFonts w:ascii="Times New Roman" w:hAnsi="Times New Roman"/>
          <w:b/>
          <w:bCs/>
          <w:sz w:val="28"/>
          <w:szCs w:val="28"/>
        </w:rPr>
        <w:t xml:space="preserve">Self-perceived fracture risk in the Global Longitudinal Study of Osteoporosis in Women: its correlates and </w:t>
      </w:r>
      <w:r w:rsidR="002354B3">
        <w:rPr>
          <w:rFonts w:ascii="Times New Roman" w:hAnsi="Times New Roman"/>
          <w:b/>
          <w:bCs/>
          <w:sz w:val="28"/>
          <w:szCs w:val="28"/>
        </w:rPr>
        <w:t>relationship with bone microarchitecture</w:t>
      </w:r>
    </w:p>
    <w:p w14:paraId="2F5CFCA1" w14:textId="77777777" w:rsidR="009A7E66" w:rsidRPr="00005118" w:rsidRDefault="009A7E66" w:rsidP="009A7E66">
      <w:pPr>
        <w:jc w:val="center"/>
        <w:rPr>
          <w:rFonts w:ascii="Times New Roman" w:hAnsi="Times New Roman"/>
          <w:sz w:val="24"/>
        </w:rPr>
      </w:pPr>
      <w:r w:rsidRPr="00005118">
        <w:rPr>
          <w:rFonts w:ascii="Times New Roman" w:hAnsi="Times New Roman"/>
          <w:sz w:val="24"/>
        </w:rPr>
        <w:t>A. E. Litwic</w:t>
      </w:r>
      <w:r w:rsidRPr="00005118">
        <w:rPr>
          <w:rFonts w:ascii="Times New Roman" w:hAnsi="Times New Roman"/>
          <w:sz w:val="24"/>
          <w:vertAlign w:val="superscript"/>
        </w:rPr>
        <w:t>1,2</w:t>
      </w:r>
      <w:r w:rsidRPr="00005118">
        <w:rPr>
          <w:rFonts w:ascii="Times New Roman" w:hAnsi="Times New Roman"/>
          <w:sz w:val="24"/>
        </w:rPr>
        <w:t>,</w:t>
      </w:r>
    </w:p>
    <w:p w14:paraId="1D547CBD" w14:textId="77777777" w:rsidR="009A7E66" w:rsidRDefault="009A7E66" w:rsidP="009A7E66">
      <w:pPr>
        <w:jc w:val="center"/>
        <w:rPr>
          <w:rFonts w:ascii="Times New Roman" w:hAnsi="Times New Roman"/>
          <w:sz w:val="24"/>
          <w:vertAlign w:val="superscript"/>
        </w:rPr>
      </w:pPr>
      <w:r w:rsidRPr="00005118">
        <w:rPr>
          <w:rFonts w:ascii="Times New Roman" w:hAnsi="Times New Roman"/>
          <w:sz w:val="24"/>
        </w:rPr>
        <w:t>L. D. Westbury</w:t>
      </w:r>
      <w:r w:rsidRPr="00005118">
        <w:rPr>
          <w:rFonts w:ascii="Times New Roman" w:hAnsi="Times New Roman"/>
          <w:sz w:val="24"/>
          <w:vertAlign w:val="superscript"/>
        </w:rPr>
        <w:t>1</w:t>
      </w:r>
    </w:p>
    <w:p w14:paraId="4D4226BE" w14:textId="29DB607F" w:rsidR="009A7E66" w:rsidRPr="00005118" w:rsidRDefault="006E19EF" w:rsidP="009A7E66">
      <w:pPr>
        <w:jc w:val="center"/>
        <w:rPr>
          <w:rFonts w:ascii="Times New Roman" w:hAnsi="Times New Roman"/>
          <w:sz w:val="24"/>
        </w:rPr>
      </w:pPr>
      <w:r>
        <w:rPr>
          <w:rFonts w:ascii="Times New Roman" w:hAnsi="Times New Roman"/>
          <w:sz w:val="24"/>
        </w:rPr>
        <w:t xml:space="preserve">S. </w:t>
      </w:r>
      <w:r w:rsidR="009A7E66">
        <w:rPr>
          <w:rFonts w:ascii="Times New Roman" w:hAnsi="Times New Roman"/>
          <w:sz w:val="24"/>
        </w:rPr>
        <w:t>Carter</w:t>
      </w:r>
      <w:r w:rsidR="009A7E66">
        <w:rPr>
          <w:rFonts w:ascii="Times New Roman" w:hAnsi="Times New Roman"/>
          <w:sz w:val="24"/>
          <w:vertAlign w:val="superscript"/>
        </w:rPr>
        <w:t>1</w:t>
      </w:r>
    </w:p>
    <w:p w14:paraId="7DD516D2" w14:textId="77777777" w:rsidR="009A7E66" w:rsidRPr="00005118" w:rsidRDefault="009A7E66" w:rsidP="009A7E66">
      <w:pPr>
        <w:jc w:val="center"/>
        <w:rPr>
          <w:rFonts w:ascii="Times New Roman" w:hAnsi="Times New Roman"/>
          <w:sz w:val="24"/>
        </w:rPr>
      </w:pPr>
      <w:r w:rsidRPr="00005118">
        <w:rPr>
          <w:rFonts w:ascii="Times New Roman" w:hAnsi="Times New Roman"/>
          <w:sz w:val="24"/>
        </w:rPr>
        <w:t>K. A. Ward</w:t>
      </w:r>
      <w:r w:rsidRPr="00005118">
        <w:rPr>
          <w:rFonts w:ascii="Times New Roman" w:hAnsi="Times New Roman"/>
          <w:sz w:val="24"/>
          <w:vertAlign w:val="superscript"/>
        </w:rPr>
        <w:t>1,3</w:t>
      </w:r>
      <w:r w:rsidRPr="00005118">
        <w:rPr>
          <w:rFonts w:ascii="Times New Roman" w:hAnsi="Times New Roman"/>
          <w:sz w:val="24"/>
        </w:rPr>
        <w:t>,</w:t>
      </w:r>
    </w:p>
    <w:p w14:paraId="72D96149" w14:textId="77777777" w:rsidR="009A7E66" w:rsidRPr="00005118" w:rsidRDefault="009A7E66" w:rsidP="009A7E66">
      <w:pPr>
        <w:jc w:val="center"/>
        <w:rPr>
          <w:rFonts w:ascii="Times New Roman" w:hAnsi="Times New Roman"/>
          <w:sz w:val="24"/>
        </w:rPr>
      </w:pPr>
      <w:r w:rsidRPr="00005118">
        <w:rPr>
          <w:rFonts w:ascii="Times New Roman" w:hAnsi="Times New Roman"/>
          <w:sz w:val="24"/>
        </w:rPr>
        <w:t>C. Cooper</w:t>
      </w:r>
      <w:r w:rsidRPr="00005118">
        <w:rPr>
          <w:rFonts w:ascii="Times New Roman" w:hAnsi="Times New Roman"/>
          <w:sz w:val="24"/>
          <w:vertAlign w:val="superscript"/>
        </w:rPr>
        <w:t>1,4,5</w:t>
      </w:r>
      <w:r w:rsidRPr="00005118">
        <w:rPr>
          <w:rFonts w:ascii="Times New Roman" w:hAnsi="Times New Roman"/>
          <w:sz w:val="24"/>
        </w:rPr>
        <w:t>,</w:t>
      </w:r>
    </w:p>
    <w:p w14:paraId="1876160C" w14:textId="77777777" w:rsidR="009A7E66" w:rsidRPr="00005118" w:rsidRDefault="009A7E66" w:rsidP="009A7E66">
      <w:pPr>
        <w:jc w:val="center"/>
        <w:rPr>
          <w:rFonts w:ascii="Times New Roman" w:hAnsi="Times New Roman"/>
          <w:sz w:val="24"/>
          <w:vertAlign w:val="superscript"/>
        </w:rPr>
      </w:pPr>
      <w:r w:rsidRPr="00005118">
        <w:rPr>
          <w:rFonts w:ascii="Times New Roman" w:hAnsi="Times New Roman"/>
          <w:sz w:val="24"/>
        </w:rPr>
        <w:t>E. M. Dennison</w:t>
      </w:r>
      <w:r w:rsidRPr="00005118">
        <w:rPr>
          <w:rFonts w:ascii="Times New Roman" w:hAnsi="Times New Roman"/>
          <w:sz w:val="24"/>
          <w:vertAlign w:val="superscript"/>
        </w:rPr>
        <w:t>1,6</w:t>
      </w:r>
    </w:p>
    <w:p w14:paraId="05388CD3" w14:textId="77777777" w:rsidR="009A7E66" w:rsidRPr="00005118" w:rsidRDefault="009A7E66" w:rsidP="009A7E66">
      <w:pPr>
        <w:jc w:val="both"/>
        <w:rPr>
          <w:rFonts w:ascii="Times New Roman" w:hAnsi="Times New Roman"/>
          <w:szCs w:val="22"/>
        </w:rPr>
      </w:pPr>
    </w:p>
    <w:p w14:paraId="657F328C" w14:textId="77777777" w:rsidR="009A7E66" w:rsidRPr="00005118" w:rsidRDefault="009A7E66" w:rsidP="009A7E66">
      <w:pPr>
        <w:jc w:val="both"/>
        <w:rPr>
          <w:rFonts w:ascii="Times New Roman" w:hAnsi="Times New Roman"/>
          <w:b/>
          <w:bCs/>
          <w:szCs w:val="22"/>
        </w:rPr>
      </w:pPr>
    </w:p>
    <w:p w14:paraId="5BC31207" w14:textId="77777777" w:rsidR="009A7E66" w:rsidRPr="00005118" w:rsidRDefault="009A7E66" w:rsidP="009A7E66">
      <w:pPr>
        <w:spacing w:line="480" w:lineRule="auto"/>
        <w:jc w:val="both"/>
        <w:rPr>
          <w:rFonts w:ascii="Times New Roman" w:hAnsi="Times New Roman"/>
          <w:szCs w:val="22"/>
        </w:rPr>
      </w:pPr>
      <w:r w:rsidRPr="00005118">
        <w:rPr>
          <w:rFonts w:ascii="Times New Roman" w:hAnsi="Times New Roman"/>
          <w:szCs w:val="22"/>
        </w:rPr>
        <w:t>Affiliations:</w:t>
      </w:r>
    </w:p>
    <w:p w14:paraId="65978955" w14:textId="77777777" w:rsidR="009A7E66" w:rsidRPr="00005118" w:rsidRDefault="009A7E66" w:rsidP="009A7E66">
      <w:pPr>
        <w:spacing w:line="240" w:lineRule="auto"/>
        <w:jc w:val="both"/>
        <w:rPr>
          <w:rFonts w:ascii="Times New Roman" w:hAnsi="Times New Roman"/>
          <w:szCs w:val="22"/>
        </w:rPr>
      </w:pPr>
      <w:r w:rsidRPr="00005118">
        <w:rPr>
          <w:rFonts w:ascii="Times New Roman" w:hAnsi="Times New Roman"/>
          <w:szCs w:val="22"/>
          <w:vertAlign w:val="superscript"/>
        </w:rPr>
        <w:t>1</w:t>
      </w:r>
      <w:r w:rsidRPr="00005118">
        <w:rPr>
          <w:rFonts w:ascii="Times New Roman" w:hAnsi="Times New Roman"/>
          <w:szCs w:val="22"/>
        </w:rPr>
        <w:t>MRC Lifecourse Epidemiology Unit, University of Southampton, Southampton, UK</w:t>
      </w:r>
    </w:p>
    <w:p w14:paraId="017C6636" w14:textId="77777777" w:rsidR="009A7E66" w:rsidRPr="00005118" w:rsidRDefault="009A7E66" w:rsidP="009A7E66">
      <w:pPr>
        <w:spacing w:line="240" w:lineRule="auto"/>
        <w:jc w:val="both"/>
        <w:rPr>
          <w:rFonts w:ascii="Times New Roman" w:hAnsi="Times New Roman"/>
          <w:szCs w:val="22"/>
        </w:rPr>
      </w:pPr>
      <w:r w:rsidRPr="00005118">
        <w:rPr>
          <w:rFonts w:ascii="Times New Roman" w:hAnsi="Times New Roman"/>
          <w:szCs w:val="22"/>
          <w:vertAlign w:val="superscript"/>
        </w:rPr>
        <w:t>2</w:t>
      </w:r>
      <w:r w:rsidRPr="00005118">
        <w:rPr>
          <w:rFonts w:ascii="Times New Roman" w:hAnsi="Times New Roman"/>
          <w:szCs w:val="22"/>
        </w:rPr>
        <w:t>Department of Nephrology, Transplantology and Internal Medicine, Medical University of Gdańsk, Gdańsk, Poland</w:t>
      </w:r>
    </w:p>
    <w:p w14:paraId="1C69E16A" w14:textId="76A59700" w:rsidR="009A7E66" w:rsidRPr="00005118" w:rsidRDefault="009A7E66" w:rsidP="00544FEF">
      <w:pPr>
        <w:tabs>
          <w:tab w:val="left" w:pos="3119"/>
        </w:tabs>
        <w:spacing w:line="240" w:lineRule="auto"/>
        <w:jc w:val="both"/>
        <w:rPr>
          <w:rFonts w:ascii="Times New Roman" w:hAnsi="Times New Roman"/>
        </w:rPr>
      </w:pPr>
      <w:r w:rsidRPr="00005118">
        <w:rPr>
          <w:rFonts w:ascii="Times New Roman" w:hAnsi="Times New Roman"/>
          <w:szCs w:val="22"/>
          <w:vertAlign w:val="superscript"/>
        </w:rPr>
        <w:t>3</w:t>
      </w:r>
      <w:r w:rsidRPr="00544FEF">
        <w:rPr>
          <w:rFonts w:ascii="Times New Roman" w:hAnsi="Times New Roman"/>
          <w:szCs w:val="22"/>
        </w:rPr>
        <w:t>MRC Nutrition and Bone Health Research Group, Cambridge, UK</w:t>
      </w:r>
    </w:p>
    <w:p w14:paraId="24F9510A" w14:textId="77777777" w:rsidR="009A7E66" w:rsidRPr="00005118" w:rsidRDefault="009A7E66" w:rsidP="009A7E66">
      <w:pPr>
        <w:spacing w:line="240" w:lineRule="auto"/>
        <w:jc w:val="both"/>
        <w:rPr>
          <w:rFonts w:ascii="Times New Roman" w:hAnsi="Times New Roman"/>
        </w:rPr>
      </w:pPr>
      <w:r w:rsidRPr="00005118">
        <w:rPr>
          <w:rFonts w:ascii="Times New Roman" w:hAnsi="Times New Roman"/>
          <w:vertAlign w:val="superscript"/>
        </w:rPr>
        <w:t>4</w:t>
      </w:r>
      <w:r w:rsidRPr="00005118">
        <w:rPr>
          <w:rFonts w:ascii="Times New Roman" w:hAnsi="Times New Roman"/>
        </w:rPr>
        <w:t>NIHR Southampton Biomedical Research Centre, University of Southampton and University Hospital Southampton NHS Foundation Trust, Southampton, UK</w:t>
      </w:r>
    </w:p>
    <w:p w14:paraId="0BA6AE16" w14:textId="35753B67" w:rsidR="009A7E66" w:rsidRPr="00005118" w:rsidRDefault="009A7E66" w:rsidP="009A7E66">
      <w:pPr>
        <w:spacing w:line="240" w:lineRule="auto"/>
        <w:jc w:val="both"/>
        <w:rPr>
          <w:rFonts w:ascii="Times New Roman" w:hAnsi="Times New Roman"/>
          <w:szCs w:val="22"/>
        </w:rPr>
      </w:pPr>
      <w:r w:rsidRPr="00005118">
        <w:rPr>
          <w:rFonts w:ascii="Times New Roman" w:hAnsi="Times New Roman"/>
          <w:vertAlign w:val="superscript"/>
        </w:rPr>
        <w:t>5</w:t>
      </w:r>
      <w:r w:rsidRPr="00005118">
        <w:rPr>
          <w:rFonts w:ascii="Times New Roman" w:hAnsi="Times New Roman"/>
        </w:rPr>
        <w:t xml:space="preserve">NIHR </w:t>
      </w:r>
      <w:r w:rsidR="0037313C">
        <w:rPr>
          <w:rFonts w:ascii="Times New Roman" w:hAnsi="Times New Roman"/>
        </w:rPr>
        <w:t>Oxford</w:t>
      </w:r>
      <w:r w:rsidR="0037313C" w:rsidRPr="00005118">
        <w:rPr>
          <w:rFonts w:ascii="Times New Roman" w:hAnsi="Times New Roman"/>
        </w:rPr>
        <w:t xml:space="preserve"> </w:t>
      </w:r>
      <w:r w:rsidRPr="00005118">
        <w:rPr>
          <w:rFonts w:ascii="Times New Roman" w:hAnsi="Times New Roman"/>
        </w:rPr>
        <w:t xml:space="preserve">Biomedical Research Centre, University of Oxford, Oxford, UK </w:t>
      </w:r>
    </w:p>
    <w:p w14:paraId="14713BBA" w14:textId="6816029E" w:rsidR="009A7E66" w:rsidRPr="00005118" w:rsidRDefault="009A7E66" w:rsidP="009A7E66">
      <w:pPr>
        <w:spacing w:line="240" w:lineRule="auto"/>
        <w:jc w:val="both"/>
        <w:rPr>
          <w:rFonts w:ascii="Times New Roman" w:hAnsi="Times New Roman"/>
          <w:b/>
          <w:szCs w:val="22"/>
        </w:rPr>
      </w:pPr>
      <w:r w:rsidRPr="00005118">
        <w:rPr>
          <w:rFonts w:ascii="Times New Roman" w:hAnsi="Times New Roman"/>
          <w:szCs w:val="22"/>
          <w:vertAlign w:val="superscript"/>
        </w:rPr>
        <w:t>6</w:t>
      </w:r>
      <w:r w:rsidR="0037313C" w:rsidRPr="0037313C">
        <w:t xml:space="preserve"> </w:t>
      </w:r>
      <w:r w:rsidR="0037313C" w:rsidRPr="0037313C">
        <w:rPr>
          <w:rFonts w:ascii="Times New Roman" w:hAnsi="Times New Roman"/>
          <w:szCs w:val="22"/>
        </w:rPr>
        <w:t>Victoria</w:t>
      </w:r>
      <w:r w:rsidR="0037313C" w:rsidRPr="0037313C">
        <w:rPr>
          <w:rFonts w:ascii="Times New Roman" w:hAnsi="Times New Roman"/>
          <w:szCs w:val="22"/>
          <w:vertAlign w:val="superscript"/>
        </w:rPr>
        <w:t xml:space="preserve"> </w:t>
      </w:r>
      <w:r w:rsidRPr="00005118">
        <w:rPr>
          <w:rFonts w:ascii="Times New Roman" w:hAnsi="Times New Roman"/>
          <w:szCs w:val="22"/>
        </w:rPr>
        <w:t>University of Wellington, Wellington, New Zealand</w:t>
      </w:r>
    </w:p>
    <w:p w14:paraId="570D1377" w14:textId="77777777" w:rsidR="009A7E66" w:rsidRPr="00005118" w:rsidRDefault="009A7E66" w:rsidP="009A7E66">
      <w:pPr>
        <w:spacing w:line="480" w:lineRule="auto"/>
        <w:jc w:val="both"/>
        <w:rPr>
          <w:rFonts w:ascii="Times New Roman" w:hAnsi="Times New Roman"/>
          <w:b/>
          <w:szCs w:val="22"/>
        </w:rPr>
      </w:pPr>
      <w:r w:rsidRPr="00005118">
        <w:rPr>
          <w:rFonts w:ascii="Times New Roman" w:hAnsi="Times New Roman"/>
          <w:b/>
          <w:szCs w:val="22"/>
        </w:rPr>
        <w:t xml:space="preserve"> </w:t>
      </w:r>
    </w:p>
    <w:p w14:paraId="2BB0A9F7" w14:textId="77777777" w:rsidR="009A7E66" w:rsidRPr="00005118" w:rsidRDefault="009A7E66" w:rsidP="009A7E66">
      <w:pPr>
        <w:pStyle w:val="BodyText"/>
        <w:spacing w:line="480" w:lineRule="auto"/>
        <w:jc w:val="both"/>
        <w:rPr>
          <w:rFonts w:ascii="Times New Roman" w:hAnsi="Times New Roman"/>
          <w:bCs/>
          <w:sz w:val="22"/>
          <w:szCs w:val="22"/>
        </w:rPr>
      </w:pPr>
      <w:r w:rsidRPr="00005118">
        <w:rPr>
          <w:rFonts w:ascii="Times New Roman" w:hAnsi="Times New Roman"/>
          <w:bCs/>
          <w:sz w:val="22"/>
          <w:szCs w:val="22"/>
        </w:rPr>
        <w:t>Correspondence:</w:t>
      </w:r>
    </w:p>
    <w:p w14:paraId="33752FEA" w14:textId="77777777" w:rsidR="009A7E66" w:rsidRPr="00005118" w:rsidRDefault="009A7E66" w:rsidP="009A7E66">
      <w:pPr>
        <w:pStyle w:val="BodyText"/>
        <w:spacing w:line="480" w:lineRule="auto"/>
        <w:jc w:val="both"/>
        <w:rPr>
          <w:rFonts w:ascii="Times New Roman" w:hAnsi="Times New Roman"/>
          <w:bCs/>
          <w:sz w:val="22"/>
          <w:szCs w:val="22"/>
        </w:rPr>
      </w:pPr>
      <w:r w:rsidRPr="00005118">
        <w:rPr>
          <w:rFonts w:ascii="Times New Roman" w:hAnsi="Times New Roman"/>
          <w:bCs/>
          <w:sz w:val="22"/>
          <w:szCs w:val="22"/>
        </w:rPr>
        <w:t>Prof Elaine Dennison, MRC Lifecourse Epidemiology Unit, Southampton General Hospital, Tremona Road, Southampton, SO16 6YD, UK</w:t>
      </w:r>
    </w:p>
    <w:p w14:paraId="31BBECEA" w14:textId="77777777" w:rsidR="009A7E66" w:rsidRPr="00005118" w:rsidRDefault="009A7E66" w:rsidP="009A7E66">
      <w:pPr>
        <w:jc w:val="both"/>
        <w:rPr>
          <w:rFonts w:ascii="Times New Roman" w:hAnsi="Times New Roman"/>
          <w:szCs w:val="22"/>
        </w:rPr>
      </w:pPr>
      <w:r w:rsidRPr="00005118">
        <w:rPr>
          <w:rFonts w:ascii="Times New Roman" w:hAnsi="Times New Roman"/>
          <w:szCs w:val="22"/>
        </w:rPr>
        <w:t>Telephone 023 8077 7624</w:t>
      </w:r>
      <w:r w:rsidRPr="00005118">
        <w:rPr>
          <w:rFonts w:ascii="Times New Roman" w:hAnsi="Times New Roman"/>
          <w:szCs w:val="22"/>
        </w:rPr>
        <w:tab/>
        <w:t>Fax 023 8070 4021</w:t>
      </w:r>
      <w:r w:rsidRPr="00005118">
        <w:rPr>
          <w:rFonts w:ascii="Times New Roman" w:hAnsi="Times New Roman"/>
          <w:szCs w:val="22"/>
        </w:rPr>
        <w:tab/>
        <w:t xml:space="preserve">email: </w:t>
      </w:r>
      <w:hyperlink r:id="rId8" w:history="1">
        <w:r w:rsidRPr="00005118">
          <w:rPr>
            <w:rStyle w:val="Hyperlink"/>
            <w:rFonts w:ascii="Times New Roman" w:hAnsi="Times New Roman"/>
            <w:szCs w:val="22"/>
          </w:rPr>
          <w:t>emd@mrc.soton.ac.uk</w:t>
        </w:r>
      </w:hyperlink>
    </w:p>
    <w:p w14:paraId="40437CA1" w14:textId="77777777" w:rsidR="009A7E66" w:rsidRDefault="009A7E66" w:rsidP="00383F2A">
      <w:pPr>
        <w:jc w:val="both"/>
        <w:rPr>
          <w:rFonts w:ascii="Times New Roman" w:eastAsia="STXingkai" w:hAnsi="Times New Roman"/>
          <w:b/>
          <w:sz w:val="24"/>
        </w:rPr>
      </w:pPr>
    </w:p>
    <w:p w14:paraId="5640D4E6" w14:textId="77777777" w:rsidR="00597442" w:rsidRDefault="00597442" w:rsidP="00383F2A">
      <w:pPr>
        <w:jc w:val="both"/>
        <w:rPr>
          <w:rFonts w:ascii="Times New Roman" w:eastAsia="STXingkai" w:hAnsi="Times New Roman"/>
          <w:b/>
          <w:sz w:val="24"/>
        </w:rPr>
      </w:pPr>
    </w:p>
    <w:p w14:paraId="10345399" w14:textId="77777777" w:rsidR="00597442" w:rsidRDefault="00597442" w:rsidP="00383F2A">
      <w:pPr>
        <w:jc w:val="both"/>
        <w:rPr>
          <w:rFonts w:ascii="Times New Roman" w:eastAsia="STXingkai" w:hAnsi="Times New Roman"/>
          <w:b/>
          <w:sz w:val="24"/>
        </w:rPr>
      </w:pPr>
    </w:p>
    <w:p w14:paraId="4277D878" w14:textId="77777777" w:rsidR="00597442" w:rsidRDefault="00597442" w:rsidP="00383F2A">
      <w:pPr>
        <w:jc w:val="both"/>
        <w:rPr>
          <w:rFonts w:ascii="Times New Roman" w:eastAsia="STXingkai" w:hAnsi="Times New Roman"/>
          <w:b/>
          <w:sz w:val="24"/>
        </w:rPr>
      </w:pPr>
    </w:p>
    <w:p w14:paraId="38C6800E" w14:textId="5C122C89" w:rsidR="00E13247" w:rsidRPr="00383F2A" w:rsidRDefault="008C36EF" w:rsidP="00383F2A">
      <w:pPr>
        <w:jc w:val="both"/>
        <w:rPr>
          <w:rFonts w:ascii="Times New Roman" w:eastAsia="STXingkai" w:hAnsi="Times New Roman"/>
          <w:b/>
          <w:sz w:val="24"/>
        </w:rPr>
      </w:pPr>
      <w:r w:rsidRPr="00383F2A">
        <w:rPr>
          <w:rFonts w:ascii="Times New Roman" w:eastAsia="STXingkai" w:hAnsi="Times New Roman"/>
          <w:b/>
          <w:sz w:val="24"/>
        </w:rPr>
        <w:t>Abstract</w:t>
      </w:r>
    </w:p>
    <w:p w14:paraId="37DAF8E9" w14:textId="3329426C" w:rsidR="000E3BE2" w:rsidRPr="00383F2A" w:rsidRDefault="000E3BE2" w:rsidP="00383F2A">
      <w:pPr>
        <w:jc w:val="both"/>
        <w:rPr>
          <w:rFonts w:ascii="Times New Roman" w:eastAsia="STXingkai" w:hAnsi="Times New Roman"/>
          <w:sz w:val="24"/>
        </w:rPr>
      </w:pPr>
      <w:r w:rsidRPr="00572336">
        <w:rPr>
          <w:rFonts w:ascii="Times New Roman" w:eastAsia="STXingkai" w:hAnsi="Times New Roman"/>
          <w:b/>
          <w:sz w:val="24"/>
        </w:rPr>
        <w:t>Purpose:</w:t>
      </w:r>
      <w:r w:rsidRPr="00383F2A">
        <w:rPr>
          <w:rFonts w:ascii="Times New Roman" w:eastAsia="STXingkai" w:hAnsi="Times New Roman"/>
          <w:sz w:val="24"/>
        </w:rPr>
        <w:t xml:space="preserve"> </w:t>
      </w:r>
      <w:r w:rsidR="00C319EC">
        <w:rPr>
          <w:rFonts w:ascii="Times New Roman" w:eastAsia="STXingkai" w:hAnsi="Times New Roman"/>
          <w:sz w:val="24"/>
        </w:rPr>
        <w:t>To examine correlates of</w:t>
      </w:r>
      <w:r w:rsidR="00BC138D" w:rsidRPr="00383F2A">
        <w:rPr>
          <w:rFonts w:ascii="Times New Roman" w:eastAsia="STXingkai" w:hAnsi="Times New Roman"/>
          <w:sz w:val="24"/>
        </w:rPr>
        <w:t xml:space="preserve"> self-perceived fracture risk</w:t>
      </w:r>
      <w:r w:rsidR="006B0610" w:rsidRPr="00383F2A">
        <w:rPr>
          <w:rFonts w:ascii="Times New Roman" w:eastAsia="STXingkai" w:hAnsi="Times New Roman"/>
          <w:sz w:val="24"/>
        </w:rPr>
        <w:t xml:space="preserve"> (SPR) and </w:t>
      </w:r>
      <w:r w:rsidR="00C319EC">
        <w:rPr>
          <w:rFonts w:ascii="Times New Roman" w:eastAsia="STXingkai" w:hAnsi="Times New Roman"/>
          <w:sz w:val="24"/>
        </w:rPr>
        <w:t xml:space="preserve">relationships between SPR and </w:t>
      </w:r>
      <w:r w:rsidR="006157FD">
        <w:rPr>
          <w:rFonts w:ascii="Times New Roman" w:eastAsia="STXingkai" w:hAnsi="Times New Roman"/>
          <w:sz w:val="24"/>
        </w:rPr>
        <w:t xml:space="preserve">subsequent </w:t>
      </w:r>
      <w:r w:rsidR="00C319EC">
        <w:rPr>
          <w:rFonts w:ascii="Times New Roman" w:eastAsia="STXingkai" w:hAnsi="Times New Roman"/>
          <w:sz w:val="24"/>
        </w:rPr>
        <w:t>bon</w:t>
      </w:r>
      <w:r w:rsidR="00A8445D">
        <w:rPr>
          <w:rFonts w:ascii="Times New Roman" w:eastAsia="STXingkai" w:hAnsi="Times New Roman"/>
          <w:sz w:val="24"/>
        </w:rPr>
        <w:t xml:space="preserve">e density and microarchitecture </w:t>
      </w:r>
      <w:r w:rsidR="006B0610" w:rsidRPr="00383F2A">
        <w:rPr>
          <w:rFonts w:ascii="Times New Roman" w:eastAsia="STXingkai" w:hAnsi="Times New Roman"/>
          <w:sz w:val="24"/>
        </w:rPr>
        <w:t xml:space="preserve">in the UK arm of the Global Longitudinal </w:t>
      </w:r>
      <w:r w:rsidR="006157FD">
        <w:rPr>
          <w:rFonts w:ascii="Times New Roman" w:eastAsia="STXingkai" w:hAnsi="Times New Roman"/>
          <w:sz w:val="24"/>
        </w:rPr>
        <w:t>S</w:t>
      </w:r>
      <w:r w:rsidR="006B0610" w:rsidRPr="00383F2A">
        <w:rPr>
          <w:rFonts w:ascii="Times New Roman" w:eastAsia="STXingkai" w:hAnsi="Times New Roman"/>
          <w:sz w:val="24"/>
        </w:rPr>
        <w:t>tudy of Osteoporosis in Wome</w:t>
      </w:r>
      <w:r w:rsidR="002E2FCD">
        <w:rPr>
          <w:rFonts w:ascii="Times New Roman" w:eastAsia="STXingkai" w:hAnsi="Times New Roman"/>
          <w:sz w:val="24"/>
        </w:rPr>
        <w:t>n</w:t>
      </w:r>
      <w:r w:rsidR="00C319EC">
        <w:rPr>
          <w:rFonts w:ascii="Times New Roman" w:eastAsia="STXingkai" w:hAnsi="Times New Roman"/>
          <w:sz w:val="24"/>
        </w:rPr>
        <w:t>.</w:t>
      </w:r>
    </w:p>
    <w:p w14:paraId="3CA7F2BC" w14:textId="6BD05BCA" w:rsidR="000E3BE2" w:rsidRPr="00383F2A" w:rsidRDefault="000E3BE2" w:rsidP="00383F2A">
      <w:pPr>
        <w:jc w:val="both"/>
        <w:rPr>
          <w:rFonts w:ascii="Times New Roman" w:eastAsia="STXingkai" w:hAnsi="Times New Roman"/>
          <w:sz w:val="24"/>
        </w:rPr>
      </w:pPr>
      <w:r w:rsidRPr="00572336">
        <w:rPr>
          <w:rFonts w:ascii="Times New Roman" w:eastAsia="STXingkai" w:hAnsi="Times New Roman"/>
          <w:b/>
          <w:sz w:val="24"/>
        </w:rPr>
        <w:t>Methods</w:t>
      </w:r>
      <w:r w:rsidR="003959A6" w:rsidRPr="00572336">
        <w:rPr>
          <w:rFonts w:ascii="Times New Roman" w:eastAsia="STXingkai" w:hAnsi="Times New Roman"/>
          <w:b/>
          <w:sz w:val="24"/>
        </w:rPr>
        <w:t>:</w:t>
      </w:r>
      <w:r w:rsidR="003959A6" w:rsidRPr="00383F2A">
        <w:rPr>
          <w:rFonts w:ascii="Times New Roman" w:eastAsia="STXingkai" w:hAnsi="Times New Roman"/>
          <w:sz w:val="24"/>
        </w:rPr>
        <w:t xml:space="preserve"> </w:t>
      </w:r>
      <w:r w:rsidR="0012293D" w:rsidRPr="00572336">
        <w:rPr>
          <w:rFonts w:ascii="Times New Roman" w:eastAsia="STXingkai" w:hAnsi="Times New Roman"/>
          <w:sz w:val="24"/>
        </w:rPr>
        <w:t>3912 w</w:t>
      </w:r>
      <w:r w:rsidR="00EE3D1D" w:rsidRPr="00572336">
        <w:rPr>
          <w:rFonts w:ascii="Times New Roman" w:eastAsia="STXingkai" w:hAnsi="Times New Roman"/>
          <w:sz w:val="24"/>
        </w:rPr>
        <w:t xml:space="preserve">omen completed baseline questionnaires detailing medical history and </w:t>
      </w:r>
      <w:r w:rsidR="00C319EC" w:rsidRPr="00572336">
        <w:rPr>
          <w:rFonts w:ascii="Times New Roman" w:eastAsia="STXingkai" w:hAnsi="Times New Roman"/>
          <w:sz w:val="24"/>
        </w:rPr>
        <w:t>SPR</w:t>
      </w:r>
      <w:r w:rsidR="0012293D" w:rsidRPr="00572336">
        <w:rPr>
          <w:rFonts w:ascii="Times New Roman" w:eastAsia="STXingkai" w:hAnsi="Times New Roman"/>
          <w:sz w:val="24"/>
        </w:rPr>
        <w:t>;</w:t>
      </w:r>
      <w:r w:rsidR="00EE3D1D" w:rsidRPr="00572336">
        <w:rPr>
          <w:rFonts w:ascii="Times New Roman" w:eastAsia="STXingkai" w:hAnsi="Times New Roman"/>
          <w:sz w:val="24"/>
        </w:rPr>
        <w:t xml:space="preserve"> </w:t>
      </w:r>
      <w:r w:rsidR="0012293D" w:rsidRPr="00572336">
        <w:rPr>
          <w:rFonts w:ascii="Times New Roman" w:eastAsia="STXingkai" w:hAnsi="Times New Roman"/>
          <w:sz w:val="24"/>
        </w:rPr>
        <w:t>4</w:t>
      </w:r>
      <w:r w:rsidR="00B376A7" w:rsidRPr="00572336">
        <w:rPr>
          <w:rFonts w:ascii="Times New Roman" w:eastAsia="STXingkai" w:hAnsi="Times New Roman"/>
          <w:sz w:val="24"/>
        </w:rPr>
        <w:t>92</w:t>
      </w:r>
      <w:r w:rsidR="003959A6" w:rsidRPr="00572336">
        <w:rPr>
          <w:rFonts w:ascii="Times New Roman" w:eastAsia="STXingkai" w:hAnsi="Times New Roman"/>
          <w:sz w:val="24"/>
        </w:rPr>
        <w:t xml:space="preserve"> </w:t>
      </w:r>
      <w:r w:rsidR="003959A6" w:rsidRPr="00383F2A">
        <w:rPr>
          <w:rFonts w:ascii="Times New Roman" w:eastAsia="STXingkai" w:hAnsi="Times New Roman"/>
          <w:sz w:val="24"/>
        </w:rPr>
        <w:t>underwent HRpQCT scan</w:t>
      </w:r>
      <w:r w:rsidR="00F25CA7" w:rsidRPr="00383F2A">
        <w:rPr>
          <w:rFonts w:ascii="Times New Roman" w:eastAsia="STXingkai" w:hAnsi="Times New Roman"/>
          <w:sz w:val="24"/>
        </w:rPr>
        <w:t>s</w:t>
      </w:r>
      <w:r w:rsidR="003959A6" w:rsidRPr="00383F2A">
        <w:rPr>
          <w:rFonts w:ascii="Times New Roman" w:eastAsia="STXingkai" w:hAnsi="Times New Roman"/>
          <w:sz w:val="24"/>
        </w:rPr>
        <w:t xml:space="preserve"> of the radius and tibia </w:t>
      </w:r>
      <w:r w:rsidR="00F25CA7" w:rsidRPr="00383F2A">
        <w:rPr>
          <w:rFonts w:ascii="Times New Roman" w:eastAsia="STXingkai" w:hAnsi="Times New Roman"/>
          <w:sz w:val="24"/>
        </w:rPr>
        <w:t>and</w:t>
      </w:r>
      <w:r w:rsidR="003959A6" w:rsidRPr="00383F2A">
        <w:rPr>
          <w:rFonts w:ascii="Times New Roman" w:eastAsia="STXingkai" w:hAnsi="Times New Roman"/>
          <w:sz w:val="24"/>
        </w:rPr>
        <w:t xml:space="preserve"> DXA scans</w:t>
      </w:r>
      <w:r w:rsidR="00365218" w:rsidRPr="00383F2A">
        <w:rPr>
          <w:rFonts w:ascii="Times New Roman" w:eastAsia="STXingkai" w:hAnsi="Times New Roman"/>
          <w:sz w:val="24"/>
        </w:rPr>
        <w:t xml:space="preserve"> </w:t>
      </w:r>
      <w:r w:rsidR="00B34C9E">
        <w:rPr>
          <w:rFonts w:ascii="Times New Roman" w:eastAsia="STXingkai" w:hAnsi="Times New Roman"/>
          <w:bCs/>
          <w:sz w:val="24"/>
        </w:rPr>
        <w:t>of total body,</w:t>
      </w:r>
      <w:r w:rsidR="00365218" w:rsidRPr="00383F2A">
        <w:rPr>
          <w:rFonts w:ascii="Times New Roman" w:eastAsia="STXingkai" w:hAnsi="Times New Roman"/>
          <w:bCs/>
          <w:sz w:val="24"/>
        </w:rPr>
        <w:t xml:space="preserve"> hip, femoral neck and lumbar spine</w:t>
      </w:r>
      <w:r w:rsidR="00A613E3" w:rsidRPr="00383F2A">
        <w:rPr>
          <w:rFonts w:ascii="Times New Roman" w:eastAsia="STXingkai" w:hAnsi="Times New Roman"/>
          <w:bCs/>
          <w:sz w:val="24"/>
        </w:rPr>
        <w:t xml:space="preserve"> </w:t>
      </w:r>
      <w:r w:rsidR="00C319EC">
        <w:rPr>
          <w:rFonts w:ascii="Times New Roman" w:eastAsia="STXingkai" w:hAnsi="Times New Roman"/>
          <w:bCs/>
          <w:sz w:val="24"/>
        </w:rPr>
        <w:t xml:space="preserve">a median of </w:t>
      </w:r>
      <w:r w:rsidR="00C319EC" w:rsidRPr="00572336">
        <w:rPr>
          <w:rFonts w:ascii="Times New Roman" w:eastAsia="STXingkai" w:hAnsi="Times New Roman"/>
          <w:bCs/>
          <w:sz w:val="24"/>
        </w:rPr>
        <w:t>7.5</w:t>
      </w:r>
      <w:r w:rsidR="00C319EC" w:rsidRPr="00383F2A">
        <w:rPr>
          <w:rFonts w:ascii="Times New Roman" w:eastAsia="STXingkai" w:hAnsi="Times New Roman"/>
          <w:bCs/>
          <w:sz w:val="24"/>
        </w:rPr>
        <w:t xml:space="preserve"> </w:t>
      </w:r>
      <w:r w:rsidR="00A613E3" w:rsidRPr="00383F2A">
        <w:rPr>
          <w:rFonts w:ascii="Times New Roman" w:eastAsia="STXingkai" w:hAnsi="Times New Roman"/>
          <w:bCs/>
          <w:sz w:val="24"/>
        </w:rPr>
        <w:t>years later</w:t>
      </w:r>
      <w:r w:rsidR="003959A6" w:rsidRPr="00383F2A">
        <w:rPr>
          <w:rFonts w:ascii="Times New Roman" w:eastAsia="STXingkai" w:hAnsi="Times New Roman"/>
          <w:sz w:val="24"/>
        </w:rPr>
        <w:t>.</w:t>
      </w:r>
      <w:r w:rsidR="00C319EC">
        <w:rPr>
          <w:rFonts w:ascii="Times New Roman" w:eastAsia="STXingkai" w:hAnsi="Times New Roman"/>
          <w:sz w:val="24"/>
        </w:rPr>
        <w:t xml:space="preserve"> </w:t>
      </w:r>
      <w:r w:rsidR="002E2FCD">
        <w:rPr>
          <w:rFonts w:ascii="Times New Roman" w:eastAsia="STXingkai" w:hAnsi="Times New Roman"/>
          <w:sz w:val="24"/>
        </w:rPr>
        <w:t>C</w:t>
      </w:r>
      <w:r w:rsidR="00C319EC">
        <w:rPr>
          <w:rFonts w:ascii="Times New Roman" w:eastAsia="STXingkai" w:hAnsi="Times New Roman"/>
          <w:sz w:val="24"/>
        </w:rPr>
        <w:t xml:space="preserve">orrelates of SPR were examined and a </w:t>
      </w:r>
      <w:r w:rsidR="000937EE" w:rsidRPr="00383F2A">
        <w:rPr>
          <w:rFonts w:ascii="Times New Roman" w:eastAsia="STXingkai" w:hAnsi="Times New Roman"/>
          <w:sz w:val="24"/>
          <w:lang w:val="en-US"/>
        </w:rPr>
        <w:t>cluster analysis of potential predictors of SPR performed</w:t>
      </w:r>
      <w:r w:rsidR="00C319EC">
        <w:rPr>
          <w:rFonts w:ascii="Times New Roman" w:eastAsia="STXingkai" w:hAnsi="Times New Roman"/>
          <w:sz w:val="24"/>
          <w:lang w:val="en-US"/>
        </w:rPr>
        <w:t>. SPR in relation to HRpQCT and aBMD</w:t>
      </w:r>
      <w:r w:rsidR="002E2FCD">
        <w:rPr>
          <w:rFonts w:ascii="Times New Roman" w:eastAsia="STXingkai" w:hAnsi="Times New Roman"/>
          <w:sz w:val="24"/>
          <w:lang w:val="en-US"/>
        </w:rPr>
        <w:t xml:space="preserve"> parameters</w:t>
      </w:r>
      <w:r w:rsidR="00C319EC">
        <w:rPr>
          <w:rFonts w:ascii="Times New Roman" w:eastAsia="STXingkai" w:hAnsi="Times New Roman"/>
          <w:sz w:val="24"/>
          <w:lang w:val="en-US"/>
        </w:rPr>
        <w:t xml:space="preserve"> was examined using linear regression with and without adjustment </w:t>
      </w:r>
      <w:r w:rsidR="006F016D" w:rsidRPr="00383F2A">
        <w:rPr>
          <w:rFonts w:ascii="Times New Roman" w:eastAsia="STXingkai" w:hAnsi="Times New Roman"/>
          <w:sz w:val="24"/>
        </w:rPr>
        <w:t xml:space="preserve">for </w:t>
      </w:r>
      <w:r w:rsidR="00366186" w:rsidRPr="00383F2A">
        <w:rPr>
          <w:rFonts w:ascii="Times New Roman" w:eastAsia="STXingkai" w:hAnsi="Times New Roman"/>
          <w:sz w:val="24"/>
        </w:rPr>
        <w:t xml:space="preserve">anthropometric, </w:t>
      </w:r>
      <w:r w:rsidR="00365218" w:rsidRPr="00383F2A">
        <w:rPr>
          <w:rFonts w:ascii="Times New Roman" w:eastAsia="STXingkai" w:hAnsi="Times New Roman"/>
          <w:sz w:val="24"/>
        </w:rPr>
        <w:t>demographic and lifestyle covariates</w:t>
      </w:r>
      <w:r w:rsidR="00C319EC">
        <w:rPr>
          <w:rFonts w:ascii="Times New Roman" w:eastAsia="STXingkai" w:hAnsi="Times New Roman"/>
          <w:sz w:val="24"/>
        </w:rPr>
        <w:t>.</w:t>
      </w:r>
    </w:p>
    <w:p w14:paraId="1217E606" w14:textId="75FED2D5" w:rsidR="000E3BE2" w:rsidRPr="00383F2A" w:rsidRDefault="000E3BE2" w:rsidP="00383F2A">
      <w:pPr>
        <w:jc w:val="both"/>
        <w:rPr>
          <w:rFonts w:ascii="Times New Roman" w:eastAsia="STXingkai" w:hAnsi="Times New Roman"/>
          <w:sz w:val="24"/>
        </w:rPr>
      </w:pPr>
      <w:r w:rsidRPr="00572336">
        <w:rPr>
          <w:rFonts w:ascii="Times New Roman" w:eastAsia="STXingkai" w:hAnsi="Times New Roman"/>
          <w:b/>
          <w:sz w:val="24"/>
        </w:rPr>
        <w:t>Results</w:t>
      </w:r>
      <w:r w:rsidR="00791DF3" w:rsidRPr="00572336">
        <w:rPr>
          <w:rFonts w:ascii="Times New Roman" w:eastAsia="STXingkai" w:hAnsi="Times New Roman"/>
          <w:b/>
          <w:sz w:val="24"/>
        </w:rPr>
        <w:t>:</w:t>
      </w:r>
      <w:r w:rsidR="00791DF3" w:rsidRPr="00572336">
        <w:rPr>
          <w:rFonts w:ascii="Times New Roman" w:eastAsia="STXingkai" w:hAnsi="Times New Roman"/>
          <w:sz w:val="24"/>
        </w:rPr>
        <w:t xml:space="preserve"> </w:t>
      </w:r>
      <w:r w:rsidR="00290E36">
        <w:rPr>
          <w:rFonts w:ascii="Times New Roman" w:eastAsia="STXingkai" w:hAnsi="Times New Roman"/>
          <w:sz w:val="24"/>
        </w:rPr>
        <w:t>M</w:t>
      </w:r>
      <w:r w:rsidR="00F15726" w:rsidRPr="00572336">
        <w:rPr>
          <w:rFonts w:ascii="Times New Roman" w:eastAsia="STXingkai" w:hAnsi="Times New Roman"/>
          <w:sz w:val="24"/>
        </w:rPr>
        <w:t xml:space="preserve">ean (SD) </w:t>
      </w:r>
      <w:r w:rsidR="00290E36">
        <w:rPr>
          <w:rFonts w:ascii="Times New Roman" w:eastAsia="STXingkai" w:hAnsi="Times New Roman"/>
          <w:sz w:val="24"/>
        </w:rPr>
        <w:t xml:space="preserve">baseline </w:t>
      </w:r>
      <w:r w:rsidR="00F15726" w:rsidRPr="00572336">
        <w:rPr>
          <w:rFonts w:ascii="Times New Roman" w:eastAsia="STXingkai" w:hAnsi="Times New Roman"/>
          <w:sz w:val="24"/>
        </w:rPr>
        <w:t xml:space="preserve">age </w:t>
      </w:r>
      <w:r w:rsidR="00C53E4C" w:rsidRPr="00572336">
        <w:rPr>
          <w:rFonts w:ascii="Times New Roman" w:eastAsia="STXingkai" w:hAnsi="Times New Roman"/>
          <w:sz w:val="24"/>
        </w:rPr>
        <w:t>was</w:t>
      </w:r>
      <w:r w:rsidR="00F15726" w:rsidRPr="00572336">
        <w:rPr>
          <w:rFonts w:ascii="Times New Roman" w:eastAsia="STXingkai" w:hAnsi="Times New Roman"/>
          <w:sz w:val="24"/>
        </w:rPr>
        <w:t xml:space="preserve"> </w:t>
      </w:r>
      <w:r w:rsidR="00C56204" w:rsidRPr="00572336">
        <w:rPr>
          <w:rFonts w:ascii="Times New Roman" w:eastAsia="STXingkai" w:hAnsi="Times New Roman"/>
          <w:sz w:val="24"/>
        </w:rPr>
        <w:t>69</w:t>
      </w:r>
      <w:r w:rsidR="006D60C0" w:rsidRPr="00572336">
        <w:rPr>
          <w:rFonts w:ascii="Times New Roman" w:eastAsia="STXingkai" w:hAnsi="Times New Roman"/>
          <w:sz w:val="24"/>
        </w:rPr>
        <w:t xml:space="preserve"> (</w:t>
      </w:r>
      <w:r w:rsidR="00C56204" w:rsidRPr="00572336">
        <w:rPr>
          <w:rFonts w:ascii="Times New Roman" w:eastAsia="STXingkai" w:hAnsi="Times New Roman"/>
          <w:sz w:val="24"/>
        </w:rPr>
        <w:t>9.0</w:t>
      </w:r>
      <w:r w:rsidR="006D60C0" w:rsidRPr="00572336">
        <w:rPr>
          <w:rFonts w:ascii="Times New Roman" w:eastAsia="STXingkai" w:hAnsi="Times New Roman"/>
          <w:sz w:val="24"/>
        </w:rPr>
        <w:t>) years</w:t>
      </w:r>
      <w:r w:rsidR="00A8445D" w:rsidRPr="00572336">
        <w:rPr>
          <w:rFonts w:ascii="Times New Roman" w:eastAsia="STXingkai" w:hAnsi="Times New Roman"/>
          <w:sz w:val="24"/>
        </w:rPr>
        <w:t xml:space="preserve">; </w:t>
      </w:r>
      <w:r w:rsidR="006D60C0" w:rsidRPr="00572336">
        <w:rPr>
          <w:rFonts w:ascii="Times New Roman" w:eastAsia="STXingkai" w:hAnsi="Times New Roman"/>
          <w:sz w:val="24"/>
        </w:rPr>
        <w:t>5</w:t>
      </w:r>
      <w:r w:rsidR="000E34C8" w:rsidRPr="00572336">
        <w:rPr>
          <w:rFonts w:ascii="Times New Roman" w:eastAsia="STXingkai" w:hAnsi="Times New Roman"/>
          <w:sz w:val="24"/>
        </w:rPr>
        <w:t>6.6</w:t>
      </w:r>
      <w:r w:rsidR="006D60C0" w:rsidRPr="00572336">
        <w:rPr>
          <w:rFonts w:ascii="Times New Roman" w:eastAsia="STXingkai" w:hAnsi="Times New Roman"/>
          <w:sz w:val="24"/>
        </w:rPr>
        <w:t>% reported a similar SPR</w:t>
      </w:r>
      <w:r w:rsidR="00EE3D1D" w:rsidRPr="00572336">
        <w:rPr>
          <w:rFonts w:ascii="Times New Roman" w:eastAsia="STXingkai" w:hAnsi="Times New Roman"/>
          <w:sz w:val="24"/>
        </w:rPr>
        <w:t xml:space="preserve">; </w:t>
      </w:r>
      <w:r w:rsidR="000E34C8" w:rsidRPr="00572336">
        <w:rPr>
          <w:rFonts w:ascii="Times New Roman" w:eastAsia="STXingkai" w:hAnsi="Times New Roman"/>
          <w:sz w:val="24"/>
        </w:rPr>
        <w:t>28.6</w:t>
      </w:r>
      <w:r w:rsidR="00EE3D1D" w:rsidRPr="00572336">
        <w:rPr>
          <w:rFonts w:ascii="Times New Roman" w:eastAsia="STXingkai" w:hAnsi="Times New Roman"/>
          <w:sz w:val="24"/>
        </w:rPr>
        <w:t xml:space="preserve">% </w:t>
      </w:r>
      <w:r w:rsidR="006D60C0" w:rsidRPr="00572336">
        <w:rPr>
          <w:rFonts w:ascii="Times New Roman" w:eastAsia="STXingkai" w:hAnsi="Times New Roman"/>
          <w:sz w:val="24"/>
        </w:rPr>
        <w:t>lowe</w:t>
      </w:r>
      <w:r w:rsidR="00EE3D1D" w:rsidRPr="00572336">
        <w:rPr>
          <w:rFonts w:ascii="Times New Roman" w:eastAsia="STXingkai" w:hAnsi="Times New Roman"/>
          <w:sz w:val="24"/>
        </w:rPr>
        <w:t>r SPR</w:t>
      </w:r>
      <w:r w:rsidR="00F77083" w:rsidRPr="00572336">
        <w:rPr>
          <w:rFonts w:ascii="Times New Roman" w:eastAsia="STXingkai" w:hAnsi="Times New Roman"/>
          <w:sz w:val="24"/>
        </w:rPr>
        <w:t>;</w:t>
      </w:r>
      <w:r w:rsidR="00EE3D1D" w:rsidRPr="00572336">
        <w:rPr>
          <w:rFonts w:ascii="Times New Roman" w:eastAsia="STXingkai" w:hAnsi="Times New Roman"/>
          <w:sz w:val="24"/>
        </w:rPr>
        <w:t xml:space="preserve"> 14</w:t>
      </w:r>
      <w:r w:rsidR="000E34C8" w:rsidRPr="00572336">
        <w:rPr>
          <w:rFonts w:ascii="Times New Roman" w:eastAsia="STXingkai" w:hAnsi="Times New Roman"/>
          <w:sz w:val="24"/>
        </w:rPr>
        <w:t>.9</w:t>
      </w:r>
      <w:r w:rsidR="00EE3D1D" w:rsidRPr="00572336">
        <w:rPr>
          <w:rFonts w:ascii="Times New Roman" w:eastAsia="STXingkai" w:hAnsi="Times New Roman"/>
          <w:sz w:val="24"/>
        </w:rPr>
        <w:t>% higher SPR</w:t>
      </w:r>
      <w:r w:rsidR="006157FD">
        <w:rPr>
          <w:rFonts w:ascii="Times New Roman" w:eastAsia="STXingkai" w:hAnsi="Times New Roman"/>
          <w:sz w:val="24"/>
        </w:rPr>
        <w:t xml:space="preserve"> compared to women of similar age</w:t>
      </w:r>
      <w:r w:rsidR="00791DF3" w:rsidRPr="00572336">
        <w:rPr>
          <w:rFonts w:ascii="Times New Roman" w:eastAsia="STXingkai" w:hAnsi="Times New Roman"/>
          <w:color w:val="000000"/>
          <w:sz w:val="24"/>
          <w:lang w:eastAsia="en-GB"/>
        </w:rPr>
        <w:t xml:space="preserve">. </w:t>
      </w:r>
      <w:r w:rsidR="0012293D" w:rsidRPr="00572336">
        <w:rPr>
          <w:rFonts w:ascii="Times New Roman" w:eastAsia="STXingkai" w:hAnsi="Times New Roman"/>
          <w:color w:val="000000"/>
          <w:sz w:val="24"/>
          <w:lang w:eastAsia="en-GB"/>
        </w:rPr>
        <w:t xml:space="preserve">In mutually-adjusted analysis, higher SPR was associated (p&lt;0.05) with: lower physical activity and educational attainment; use of </w:t>
      </w:r>
      <w:r w:rsidR="002E2FCD" w:rsidRPr="00572336">
        <w:rPr>
          <w:rFonts w:ascii="Times New Roman" w:eastAsia="STXingkai" w:hAnsi="Times New Roman"/>
          <w:color w:val="000000"/>
          <w:sz w:val="24"/>
          <w:lang w:eastAsia="en-GB"/>
        </w:rPr>
        <w:t>anti–osteoporosis medications (</w:t>
      </w:r>
      <w:r w:rsidR="0012293D" w:rsidRPr="00572336">
        <w:rPr>
          <w:rFonts w:ascii="Times New Roman" w:eastAsia="STXingkai" w:hAnsi="Times New Roman"/>
          <w:color w:val="000000"/>
          <w:sz w:val="24"/>
          <w:lang w:eastAsia="en-GB"/>
        </w:rPr>
        <w:t>AOM</w:t>
      </w:r>
      <w:r w:rsidR="002E2FCD" w:rsidRPr="00572336">
        <w:rPr>
          <w:rFonts w:ascii="Times New Roman" w:eastAsia="STXingkai" w:hAnsi="Times New Roman"/>
          <w:color w:val="000000"/>
          <w:sz w:val="24"/>
          <w:lang w:eastAsia="en-GB"/>
        </w:rPr>
        <w:t>)</w:t>
      </w:r>
      <w:r w:rsidR="0012293D" w:rsidRPr="00572336">
        <w:rPr>
          <w:rFonts w:ascii="Times New Roman" w:eastAsia="STXingkai" w:hAnsi="Times New Roman"/>
          <w:color w:val="000000"/>
          <w:sz w:val="24"/>
          <w:lang w:eastAsia="en-GB"/>
        </w:rPr>
        <w:t xml:space="preserve"> and calcium supplements; greater number of falls in the previous </w:t>
      </w:r>
      <w:r w:rsidR="00A8445D" w:rsidRPr="00572336">
        <w:rPr>
          <w:rFonts w:ascii="Times New Roman" w:eastAsia="STXingkai" w:hAnsi="Times New Roman"/>
          <w:color w:val="000000"/>
          <w:sz w:val="24"/>
          <w:lang w:eastAsia="en-GB"/>
        </w:rPr>
        <w:t>year</w:t>
      </w:r>
      <w:r w:rsidR="0012293D" w:rsidRPr="00572336">
        <w:rPr>
          <w:rFonts w:ascii="Times New Roman" w:eastAsia="STXingkai" w:hAnsi="Times New Roman"/>
          <w:color w:val="000000"/>
          <w:sz w:val="24"/>
          <w:lang w:eastAsia="en-GB"/>
        </w:rPr>
        <w:t xml:space="preserve">; history of fracture since aged 45; family history of hip fracture; and increased comorbidity. </w:t>
      </w:r>
      <w:r w:rsidR="00D428CC" w:rsidRPr="00572336">
        <w:rPr>
          <w:rFonts w:ascii="Times New Roman" w:eastAsia="STXingkai" w:hAnsi="Times New Roman"/>
          <w:sz w:val="24"/>
          <w:lang w:val="en-US"/>
        </w:rPr>
        <w:t>Higher SPR</w:t>
      </w:r>
      <w:r w:rsidR="0012293D" w:rsidRPr="00572336">
        <w:rPr>
          <w:rFonts w:ascii="Times New Roman" w:eastAsia="STXingkai" w:hAnsi="Times New Roman"/>
          <w:sz w:val="24"/>
          <w:lang w:val="en-US"/>
        </w:rPr>
        <w:t xml:space="preserve">, </w:t>
      </w:r>
      <w:r w:rsidR="00D428CC" w:rsidRPr="00572336">
        <w:rPr>
          <w:rFonts w:ascii="Times New Roman" w:eastAsia="STXingkai" w:hAnsi="Times New Roman"/>
          <w:sz w:val="24"/>
          <w:lang w:val="en-US"/>
        </w:rPr>
        <w:t xml:space="preserve">history of fracture, </w:t>
      </w:r>
      <w:r w:rsidR="008B3775" w:rsidRPr="00572336">
        <w:rPr>
          <w:rFonts w:ascii="Times New Roman" w:eastAsia="STXingkai" w:hAnsi="Times New Roman"/>
          <w:sz w:val="24"/>
          <w:lang w:val="en-US"/>
        </w:rPr>
        <w:t xml:space="preserve">and </w:t>
      </w:r>
      <w:r w:rsidR="00A8445D" w:rsidRPr="00572336">
        <w:rPr>
          <w:rFonts w:ascii="Times New Roman" w:eastAsia="STXingkai" w:hAnsi="Times New Roman"/>
          <w:sz w:val="24"/>
          <w:lang w:val="en-US"/>
        </w:rPr>
        <w:t>use of</w:t>
      </w:r>
      <w:r w:rsidR="00D428CC" w:rsidRPr="00572336">
        <w:rPr>
          <w:rFonts w:ascii="Times New Roman" w:eastAsia="STXingkai" w:hAnsi="Times New Roman"/>
          <w:sz w:val="24"/>
          <w:lang w:val="en-US"/>
        </w:rPr>
        <w:t xml:space="preserve"> AOM</w:t>
      </w:r>
      <w:r w:rsidR="00BD7E1D" w:rsidRPr="00572336">
        <w:rPr>
          <w:rFonts w:ascii="Times New Roman" w:eastAsia="STXingkai" w:hAnsi="Times New Roman"/>
          <w:sz w:val="24"/>
          <w:lang w:val="en-US"/>
        </w:rPr>
        <w:t>,</w:t>
      </w:r>
      <w:r w:rsidR="00D428CC" w:rsidRPr="00572336">
        <w:rPr>
          <w:rFonts w:ascii="Times New Roman" w:eastAsia="STXingkai" w:hAnsi="Times New Roman"/>
          <w:sz w:val="24"/>
          <w:lang w:val="en-US"/>
        </w:rPr>
        <w:t xml:space="preserve"> calcium </w:t>
      </w:r>
      <w:r w:rsidR="00BD7E1D" w:rsidRPr="00572336">
        <w:rPr>
          <w:rFonts w:ascii="Times New Roman" w:eastAsia="STXingkai" w:hAnsi="Times New Roman"/>
          <w:sz w:val="24"/>
          <w:lang w:val="en-US"/>
        </w:rPr>
        <w:t>and vitamin D</w:t>
      </w:r>
      <w:r w:rsidR="0012293D" w:rsidRPr="00572336">
        <w:rPr>
          <w:rFonts w:ascii="Times New Roman" w:eastAsia="STXingkai" w:hAnsi="Times New Roman"/>
          <w:sz w:val="24"/>
          <w:lang w:val="en-US"/>
        </w:rPr>
        <w:t xml:space="preserve"> </w:t>
      </w:r>
      <w:r w:rsidR="008B3775" w:rsidRPr="00572336">
        <w:rPr>
          <w:rFonts w:ascii="Times New Roman" w:eastAsia="STXingkai" w:hAnsi="Times New Roman"/>
          <w:sz w:val="24"/>
          <w:lang w:val="en-US"/>
        </w:rPr>
        <w:t xml:space="preserve">clustered </w:t>
      </w:r>
      <w:r w:rsidR="00D428CC" w:rsidRPr="00572336">
        <w:rPr>
          <w:rFonts w:ascii="Times New Roman" w:eastAsia="STXingkai" w:hAnsi="Times New Roman"/>
          <w:sz w:val="24"/>
          <w:lang w:val="en-US"/>
        </w:rPr>
        <w:t>together</w:t>
      </w:r>
      <w:r w:rsidR="006B0610" w:rsidRPr="00572336">
        <w:rPr>
          <w:rFonts w:ascii="Times New Roman" w:eastAsia="STXingkai" w:hAnsi="Times New Roman"/>
          <w:sz w:val="24"/>
          <w:lang w:val="en-US"/>
        </w:rPr>
        <w:t>.</w:t>
      </w:r>
      <w:r w:rsidR="001C3ED0" w:rsidRPr="00572336">
        <w:rPr>
          <w:rFonts w:ascii="Times New Roman" w:eastAsia="STXingkai" w:hAnsi="Times New Roman"/>
          <w:color w:val="000000"/>
          <w:sz w:val="24"/>
          <w:lang w:eastAsia="en-GB"/>
        </w:rPr>
        <w:t xml:space="preserve"> </w:t>
      </w:r>
      <w:r w:rsidR="00B34C9E">
        <w:rPr>
          <w:rFonts w:ascii="Times New Roman" w:eastAsia="STXingkai" w:hAnsi="Times New Roman"/>
          <w:color w:val="000000"/>
          <w:sz w:val="24"/>
          <w:lang w:eastAsia="en-GB"/>
        </w:rPr>
        <w:t>Even</w:t>
      </w:r>
      <w:r w:rsidR="00A8445D" w:rsidRPr="00572336">
        <w:rPr>
          <w:rFonts w:ascii="Times New Roman" w:eastAsia="STXingkai" w:hAnsi="Times New Roman"/>
          <w:color w:val="000000"/>
          <w:sz w:val="24"/>
          <w:lang w:eastAsia="en-GB"/>
        </w:rPr>
        <w:t xml:space="preserve"> after adjustments</w:t>
      </w:r>
      <w:r w:rsidR="00B34C9E">
        <w:rPr>
          <w:rFonts w:ascii="Times New Roman" w:eastAsia="STXingkai" w:hAnsi="Times New Roman"/>
          <w:color w:val="000000"/>
          <w:sz w:val="24"/>
          <w:lang w:eastAsia="en-GB"/>
        </w:rPr>
        <w:t xml:space="preserve"> that included AOM use</w:t>
      </w:r>
      <w:r w:rsidR="00A8445D" w:rsidRPr="00572336">
        <w:rPr>
          <w:rFonts w:ascii="Times New Roman" w:eastAsia="STXingkai" w:hAnsi="Times New Roman"/>
          <w:color w:val="000000"/>
          <w:sz w:val="24"/>
          <w:lang w:eastAsia="en-GB"/>
        </w:rPr>
        <w:t>, h</w:t>
      </w:r>
      <w:r w:rsidR="00791DF3" w:rsidRPr="00572336">
        <w:rPr>
          <w:rFonts w:ascii="Times New Roman" w:eastAsia="STXingkai" w:hAnsi="Times New Roman"/>
          <w:sz w:val="24"/>
        </w:rPr>
        <w:t>igher SPR was associated</w:t>
      </w:r>
      <w:r w:rsidR="00A8445D" w:rsidRPr="00572336">
        <w:rPr>
          <w:rFonts w:ascii="Times New Roman" w:eastAsia="STXingkai" w:hAnsi="Times New Roman"/>
          <w:sz w:val="24"/>
        </w:rPr>
        <w:t xml:space="preserve"> </w:t>
      </w:r>
      <w:r w:rsidR="00791DF3" w:rsidRPr="00572336">
        <w:rPr>
          <w:rFonts w:ascii="Times New Roman" w:eastAsia="STXingkai" w:hAnsi="Times New Roman"/>
          <w:sz w:val="24"/>
        </w:rPr>
        <w:t>with</w:t>
      </w:r>
      <w:r w:rsidR="00A8445D" w:rsidRPr="00572336">
        <w:rPr>
          <w:rFonts w:ascii="Times New Roman" w:eastAsia="STXingkai" w:hAnsi="Times New Roman"/>
          <w:sz w:val="24"/>
        </w:rPr>
        <w:t>:</w:t>
      </w:r>
      <w:r w:rsidR="00791DF3" w:rsidRPr="00572336">
        <w:rPr>
          <w:rFonts w:ascii="Times New Roman" w:eastAsia="STXingkai" w:hAnsi="Times New Roman"/>
          <w:sz w:val="24"/>
        </w:rPr>
        <w:t xml:space="preserve"> </w:t>
      </w:r>
      <w:r w:rsidR="00F15726" w:rsidRPr="00572336">
        <w:rPr>
          <w:rFonts w:ascii="Times New Roman" w:eastAsia="STXingkai" w:hAnsi="Times New Roman"/>
          <w:sz w:val="24"/>
        </w:rPr>
        <w:t xml:space="preserve">lower </w:t>
      </w:r>
      <w:r w:rsidR="00A8445D" w:rsidRPr="00572336">
        <w:rPr>
          <w:rFonts w:ascii="Times New Roman" w:eastAsia="STXingkai" w:hAnsi="Times New Roman"/>
          <w:sz w:val="24"/>
        </w:rPr>
        <w:t xml:space="preserve">radial </w:t>
      </w:r>
      <w:r w:rsidR="00F15726" w:rsidRPr="00572336">
        <w:rPr>
          <w:rFonts w:ascii="Times New Roman" w:eastAsia="STXingkai" w:hAnsi="Times New Roman"/>
          <w:sz w:val="24"/>
        </w:rPr>
        <w:t>trabecular volumetric density and number, and higher trabecular separation</w:t>
      </w:r>
      <w:r w:rsidR="00A8445D" w:rsidRPr="00572336">
        <w:rPr>
          <w:rFonts w:ascii="Times New Roman" w:eastAsia="STXingkai" w:hAnsi="Times New Roman"/>
          <w:sz w:val="24"/>
        </w:rPr>
        <w:t xml:space="preserve">; lower tibial cortical area and trabecular volumetric density; and </w:t>
      </w:r>
      <w:r w:rsidR="00433FEA" w:rsidRPr="00572336">
        <w:rPr>
          <w:rFonts w:ascii="Times New Roman" w:eastAsia="STXingkai" w:hAnsi="Times New Roman"/>
          <w:sz w:val="24"/>
        </w:rPr>
        <w:t xml:space="preserve">lower aBMD </w:t>
      </w:r>
      <w:r w:rsidR="00D5636D" w:rsidRPr="00572336">
        <w:rPr>
          <w:rFonts w:ascii="Times New Roman" w:eastAsia="STXingkai" w:hAnsi="Times New Roman"/>
          <w:sz w:val="24"/>
        </w:rPr>
        <w:t xml:space="preserve">at </w:t>
      </w:r>
      <w:r w:rsidR="00061304">
        <w:rPr>
          <w:rFonts w:ascii="Times New Roman" w:eastAsia="STXingkai" w:hAnsi="Times New Roman"/>
          <w:sz w:val="24"/>
        </w:rPr>
        <w:t xml:space="preserve">the </w:t>
      </w:r>
      <w:r w:rsidR="00F15726" w:rsidRPr="00572336">
        <w:rPr>
          <w:rFonts w:ascii="Times New Roman" w:eastAsia="STXingkai" w:hAnsi="Times New Roman"/>
          <w:sz w:val="24"/>
        </w:rPr>
        <w:t>femoral neck</w:t>
      </w:r>
      <w:r w:rsidR="00A8445D" w:rsidRPr="00572336">
        <w:rPr>
          <w:rFonts w:ascii="Times New Roman" w:eastAsia="STXingkai" w:hAnsi="Times New Roman"/>
          <w:sz w:val="24"/>
        </w:rPr>
        <w:t>.</w:t>
      </w:r>
    </w:p>
    <w:p w14:paraId="715E505D" w14:textId="3E9D9EC6" w:rsidR="00E13247" w:rsidRDefault="000E3BE2" w:rsidP="00383F2A">
      <w:pPr>
        <w:jc w:val="both"/>
        <w:rPr>
          <w:rFonts w:ascii="Times New Roman" w:eastAsia="STXingkai" w:hAnsi="Times New Roman"/>
          <w:sz w:val="24"/>
        </w:rPr>
      </w:pPr>
      <w:r w:rsidRPr="00572336">
        <w:rPr>
          <w:rFonts w:ascii="Times New Roman" w:eastAsia="STXingkai" w:hAnsi="Times New Roman"/>
          <w:b/>
          <w:sz w:val="24"/>
        </w:rPr>
        <w:t>Conclusions</w:t>
      </w:r>
      <w:r w:rsidR="00EE3D1D" w:rsidRPr="00572336">
        <w:rPr>
          <w:rFonts w:ascii="Times New Roman" w:eastAsia="STXingkai" w:hAnsi="Times New Roman"/>
          <w:b/>
          <w:sz w:val="24"/>
        </w:rPr>
        <w:t>:</w:t>
      </w:r>
      <w:r w:rsidR="006825D8" w:rsidRPr="00383F2A">
        <w:rPr>
          <w:rFonts w:ascii="Times New Roman" w:eastAsia="STXingkai" w:hAnsi="Times New Roman"/>
          <w:sz w:val="24"/>
        </w:rPr>
        <w:t xml:space="preserve"> </w:t>
      </w:r>
      <w:r w:rsidR="006B0610" w:rsidRPr="00383F2A">
        <w:rPr>
          <w:rFonts w:ascii="Times New Roman" w:eastAsia="STXingkai" w:hAnsi="Times New Roman"/>
          <w:sz w:val="24"/>
        </w:rPr>
        <w:t>Despite greater AOM</w:t>
      </w:r>
      <w:r w:rsidR="00C243D5">
        <w:rPr>
          <w:rFonts w:ascii="Times New Roman" w:eastAsia="STXingkai" w:hAnsi="Times New Roman"/>
          <w:sz w:val="24"/>
        </w:rPr>
        <w:t xml:space="preserve"> use</w:t>
      </w:r>
      <w:r w:rsidR="006B0610" w:rsidRPr="00383F2A">
        <w:rPr>
          <w:rFonts w:ascii="Times New Roman" w:eastAsia="STXingkai" w:hAnsi="Times New Roman"/>
          <w:sz w:val="24"/>
        </w:rPr>
        <w:t xml:space="preserve">, women with higher baseline SPR had poorer </w:t>
      </w:r>
      <w:r w:rsidR="00A8445D">
        <w:rPr>
          <w:rFonts w:ascii="Times New Roman" w:eastAsia="STXingkai" w:hAnsi="Times New Roman"/>
          <w:sz w:val="24"/>
        </w:rPr>
        <w:t xml:space="preserve">subsequent </w:t>
      </w:r>
      <w:r w:rsidR="006B0610" w:rsidRPr="00383F2A">
        <w:rPr>
          <w:rFonts w:ascii="Times New Roman" w:eastAsia="STXingkai" w:hAnsi="Times New Roman"/>
          <w:sz w:val="24"/>
        </w:rPr>
        <w:t>bone health</w:t>
      </w:r>
      <w:r w:rsidR="00A8445D">
        <w:rPr>
          <w:rFonts w:ascii="Times New Roman" w:eastAsia="STXingkai" w:hAnsi="Times New Roman"/>
          <w:sz w:val="24"/>
        </w:rPr>
        <w:t>.</w:t>
      </w:r>
    </w:p>
    <w:p w14:paraId="1D8BEC72" w14:textId="77777777" w:rsidR="002E2FCD" w:rsidRPr="00383F2A" w:rsidRDefault="002E2FCD" w:rsidP="00383F2A">
      <w:pPr>
        <w:jc w:val="both"/>
        <w:rPr>
          <w:rFonts w:ascii="Times New Roman" w:eastAsia="STXingkai" w:hAnsi="Times New Roman"/>
          <w:b/>
          <w:sz w:val="24"/>
        </w:rPr>
      </w:pPr>
    </w:p>
    <w:p w14:paraId="4A3DFE90" w14:textId="34D3D301" w:rsidR="00E13247" w:rsidRPr="00383F2A" w:rsidRDefault="008A7452" w:rsidP="00383F2A">
      <w:pPr>
        <w:jc w:val="both"/>
        <w:rPr>
          <w:rFonts w:ascii="Times New Roman" w:eastAsia="STXingkai" w:hAnsi="Times New Roman"/>
          <w:b/>
          <w:sz w:val="24"/>
        </w:rPr>
      </w:pPr>
      <w:r w:rsidRPr="00383F2A">
        <w:rPr>
          <w:rFonts w:ascii="Times New Roman" w:eastAsia="STXingkai" w:hAnsi="Times New Roman"/>
          <w:b/>
          <w:sz w:val="24"/>
        </w:rPr>
        <w:t>Keywords:</w:t>
      </w:r>
    </w:p>
    <w:p w14:paraId="26097799" w14:textId="2054933F" w:rsidR="00BC138D" w:rsidRPr="00D6525A" w:rsidRDefault="008A7452" w:rsidP="00D6525A">
      <w:pPr>
        <w:jc w:val="both"/>
        <w:rPr>
          <w:rFonts w:ascii="Times New Roman" w:eastAsia="STXingkai" w:hAnsi="Times New Roman"/>
          <w:b/>
          <w:sz w:val="24"/>
        </w:rPr>
      </w:pPr>
      <w:r w:rsidRPr="00383F2A">
        <w:rPr>
          <w:rFonts w:ascii="Times New Roman" w:eastAsia="STXingkai" w:hAnsi="Times New Roman"/>
          <w:sz w:val="24"/>
        </w:rPr>
        <w:t xml:space="preserve">Self-perceived fracture risk, </w:t>
      </w:r>
      <w:r w:rsidR="002A65A7" w:rsidRPr="00383F2A">
        <w:rPr>
          <w:rFonts w:ascii="Times New Roman" w:eastAsia="STXingkai" w:hAnsi="Times New Roman"/>
          <w:sz w:val="24"/>
        </w:rPr>
        <w:t>D</w:t>
      </w:r>
      <w:r w:rsidR="00E20022" w:rsidRPr="00383F2A">
        <w:rPr>
          <w:rFonts w:ascii="Times New Roman" w:eastAsia="STXingkai" w:hAnsi="Times New Roman"/>
          <w:sz w:val="24"/>
        </w:rPr>
        <w:t>eterminants</w:t>
      </w:r>
      <w:r w:rsidR="002A65A7" w:rsidRPr="00383F2A">
        <w:rPr>
          <w:rFonts w:ascii="Times New Roman" w:eastAsia="STXingkai" w:hAnsi="Times New Roman"/>
          <w:sz w:val="24"/>
        </w:rPr>
        <w:t xml:space="preserve">, </w:t>
      </w:r>
      <w:r w:rsidRPr="00383F2A">
        <w:rPr>
          <w:rFonts w:ascii="Times New Roman" w:eastAsia="STXingkai" w:hAnsi="Times New Roman"/>
          <w:sz w:val="24"/>
        </w:rPr>
        <w:t>HRpQCT, DXA, Osteoporosis, Epidemiology, Fracture risk assessment</w:t>
      </w:r>
      <w:r w:rsidR="00BC138D">
        <w:rPr>
          <w:rFonts w:ascii="Arial" w:hAnsi="Arial" w:cs="Arial"/>
          <w:b/>
          <w:szCs w:val="22"/>
        </w:rPr>
        <w:br w:type="page"/>
      </w:r>
    </w:p>
    <w:p w14:paraId="2501596F" w14:textId="562A3C94" w:rsidR="00112935" w:rsidRPr="00383F2A" w:rsidRDefault="00112935" w:rsidP="00D6525A">
      <w:pPr>
        <w:jc w:val="both"/>
        <w:rPr>
          <w:rFonts w:ascii="Times New Roman" w:hAnsi="Times New Roman"/>
          <w:b/>
          <w:sz w:val="24"/>
        </w:rPr>
      </w:pPr>
      <w:r w:rsidRPr="00383F2A">
        <w:rPr>
          <w:rFonts w:ascii="Times New Roman" w:hAnsi="Times New Roman"/>
          <w:b/>
          <w:sz w:val="24"/>
        </w:rPr>
        <w:lastRenderedPageBreak/>
        <w:t>Introduction</w:t>
      </w:r>
    </w:p>
    <w:p w14:paraId="0C2C0DF6" w14:textId="25917CAF" w:rsidR="007C70A9" w:rsidRPr="00383F2A" w:rsidRDefault="001A3CF9" w:rsidP="00D6525A">
      <w:pPr>
        <w:jc w:val="both"/>
        <w:rPr>
          <w:rFonts w:ascii="Times New Roman" w:hAnsi="Times New Roman"/>
          <w:sz w:val="24"/>
        </w:rPr>
      </w:pPr>
      <w:r w:rsidRPr="00383F2A">
        <w:rPr>
          <w:rFonts w:ascii="Times New Roman" w:hAnsi="Times New Roman"/>
          <w:color w:val="000000"/>
          <w:sz w:val="24"/>
          <w:shd w:val="clear" w:color="auto" w:fill="FFFFFF"/>
        </w:rPr>
        <w:t xml:space="preserve">Osteoporosis, a disease characterized by low bone mass and structural deterioration, is classified as a public health problem due to its </w:t>
      </w:r>
      <w:r w:rsidR="00BC138D" w:rsidRPr="00383F2A">
        <w:rPr>
          <w:rFonts w:ascii="Times New Roman" w:hAnsi="Times New Roman"/>
          <w:color w:val="000000"/>
          <w:sz w:val="24"/>
          <w:shd w:val="clear" w:color="auto" w:fill="FFFFFF"/>
        </w:rPr>
        <w:t xml:space="preserve">association with an </w:t>
      </w:r>
      <w:r w:rsidRPr="00383F2A">
        <w:rPr>
          <w:rFonts w:ascii="Times New Roman" w:hAnsi="Times New Roman"/>
          <w:color w:val="000000"/>
          <w:sz w:val="24"/>
          <w:shd w:val="clear" w:color="auto" w:fill="FFFFFF"/>
        </w:rPr>
        <w:t>increased risk for fragility fractures</w:t>
      </w:r>
      <w:r w:rsidR="007C70A9" w:rsidRPr="00383F2A">
        <w:rPr>
          <w:rFonts w:ascii="Times New Roman" w:hAnsi="Times New Roman"/>
          <w:color w:val="000000"/>
          <w:sz w:val="24"/>
          <w:shd w:val="clear" w:color="auto" w:fill="FFFFFF"/>
        </w:rPr>
        <w:t xml:space="preserve"> and</w:t>
      </w:r>
      <w:r w:rsidR="00433FEA" w:rsidRPr="00383F2A">
        <w:rPr>
          <w:rFonts w:ascii="Times New Roman" w:hAnsi="Times New Roman"/>
          <w:color w:val="000000"/>
          <w:sz w:val="24"/>
          <w:shd w:val="clear" w:color="auto" w:fill="FFFFFF"/>
        </w:rPr>
        <w:t>,</w:t>
      </w:r>
      <w:r w:rsidR="007C70A9" w:rsidRPr="00383F2A">
        <w:rPr>
          <w:rFonts w:ascii="Times New Roman" w:hAnsi="Times New Roman"/>
          <w:color w:val="000000"/>
          <w:sz w:val="24"/>
          <w:shd w:val="clear" w:color="auto" w:fill="FFFFFF"/>
        </w:rPr>
        <w:t xml:space="preserve"> consequently</w:t>
      </w:r>
      <w:r w:rsidR="00BC138D" w:rsidRPr="00383F2A">
        <w:rPr>
          <w:rFonts w:ascii="Times New Roman" w:hAnsi="Times New Roman"/>
          <w:color w:val="000000"/>
          <w:sz w:val="24"/>
          <w:shd w:val="clear" w:color="auto" w:fill="FFFFFF"/>
        </w:rPr>
        <w:t xml:space="preserve"> has </w:t>
      </w:r>
      <w:r w:rsidR="007C70A9" w:rsidRPr="00383F2A">
        <w:rPr>
          <w:rFonts w:ascii="Times New Roman" w:hAnsi="Times New Roman"/>
          <w:color w:val="000000"/>
          <w:sz w:val="24"/>
          <w:shd w:val="clear" w:color="auto" w:fill="FFFFFF"/>
        </w:rPr>
        <w:t>a high impact on quality of life and high rates of morbidity</w:t>
      </w:r>
      <w:r w:rsidR="006F016D" w:rsidRPr="00383F2A">
        <w:rPr>
          <w:rFonts w:ascii="Times New Roman" w:hAnsi="Times New Roman"/>
          <w:color w:val="000000"/>
          <w:sz w:val="24"/>
          <w:shd w:val="clear" w:color="auto" w:fill="FFFFFF"/>
        </w:rPr>
        <w:t xml:space="preserve"> [1]</w:t>
      </w:r>
      <w:r w:rsidRPr="00383F2A">
        <w:rPr>
          <w:rFonts w:ascii="Times New Roman" w:hAnsi="Times New Roman"/>
          <w:color w:val="000000"/>
          <w:sz w:val="24"/>
          <w:shd w:val="clear" w:color="auto" w:fill="FFFFFF"/>
        </w:rPr>
        <w:t xml:space="preserve">. </w:t>
      </w:r>
      <w:r w:rsidR="007C70A9" w:rsidRPr="00383F2A">
        <w:rPr>
          <w:rFonts w:ascii="Times New Roman" w:hAnsi="Times New Roman"/>
          <w:sz w:val="24"/>
        </w:rPr>
        <w:t>Worldwide, there are nearly nine million osteoporotic fractures each year</w:t>
      </w:r>
      <w:r w:rsidR="0006198B" w:rsidRPr="00383F2A">
        <w:rPr>
          <w:rFonts w:ascii="Times New Roman" w:hAnsi="Times New Roman"/>
          <w:sz w:val="24"/>
        </w:rPr>
        <w:t xml:space="preserve">, with reports suggesting that </w:t>
      </w:r>
      <w:r w:rsidR="007C70A9" w:rsidRPr="00383F2A">
        <w:rPr>
          <w:rFonts w:ascii="Times New Roman" w:hAnsi="Times New Roman"/>
          <w:sz w:val="24"/>
        </w:rPr>
        <w:t xml:space="preserve">one in two women and one in five men will experience a fracture in their remaining lifetime from the age of 50 years </w:t>
      </w:r>
      <w:r w:rsidR="007C70A9" w:rsidRPr="00383F2A">
        <w:rPr>
          <w:rFonts w:ascii="Times New Roman" w:hAnsi="Times New Roman"/>
          <w:sz w:val="24"/>
        </w:rPr>
        <w:fldChar w:fldCharType="begin"/>
      </w:r>
      <w:r w:rsidR="007C70A9" w:rsidRPr="00383F2A">
        <w:rPr>
          <w:rFonts w:ascii="Times New Roman" w:hAnsi="Times New Roman"/>
          <w:sz w:val="24"/>
        </w:rPr>
        <w:instrText xml:space="preserve"> ADDIN EN.CITE &lt;EndNote&gt;&lt;Cite&gt;&lt;Author&gt;van Staa&lt;/Author&gt;&lt;Year&gt;2001&lt;/Year&gt;&lt;RecNum&gt;415&lt;/RecNum&gt;&lt;DisplayText&gt;[2]&lt;/DisplayText&gt;&lt;record&gt;&lt;rec-number&gt;415&lt;/rec-number&gt;&lt;foreign-keys&gt;&lt;key app="EN" db-id="9wd90pfwcrrstlewtat5z0dsrrxvrfevwwzw" timestamp="1458827500"&gt;415&lt;/key&gt;&lt;/foreign-keys&gt;&lt;ref-type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7C70A9" w:rsidRPr="00383F2A">
        <w:rPr>
          <w:rFonts w:ascii="Times New Roman" w:hAnsi="Times New Roman"/>
          <w:sz w:val="24"/>
        </w:rPr>
        <w:fldChar w:fldCharType="separate"/>
      </w:r>
      <w:r w:rsidR="00E13247" w:rsidRPr="00383F2A">
        <w:rPr>
          <w:rFonts w:ascii="Times New Roman" w:hAnsi="Times New Roman"/>
          <w:noProof/>
          <w:sz w:val="24"/>
        </w:rPr>
        <w:t>[1,2</w:t>
      </w:r>
      <w:r w:rsidR="007C70A9" w:rsidRPr="00383F2A">
        <w:rPr>
          <w:rFonts w:ascii="Times New Roman" w:hAnsi="Times New Roman"/>
          <w:noProof/>
          <w:sz w:val="24"/>
        </w:rPr>
        <w:t>]</w:t>
      </w:r>
      <w:r w:rsidR="007C70A9" w:rsidRPr="00383F2A">
        <w:rPr>
          <w:rFonts w:ascii="Times New Roman" w:hAnsi="Times New Roman"/>
          <w:sz w:val="24"/>
        </w:rPr>
        <w:fldChar w:fldCharType="end"/>
      </w:r>
      <w:r w:rsidR="007C70A9" w:rsidRPr="00383F2A">
        <w:rPr>
          <w:rFonts w:ascii="Times New Roman" w:hAnsi="Times New Roman"/>
          <w:sz w:val="24"/>
        </w:rPr>
        <w:t>.</w:t>
      </w:r>
      <w:r w:rsidR="0006198B" w:rsidRPr="00383F2A">
        <w:rPr>
          <w:rFonts w:ascii="Times New Roman" w:hAnsi="Times New Roman"/>
          <w:sz w:val="24"/>
        </w:rPr>
        <w:t xml:space="preserve"> With aging of the population, t</w:t>
      </w:r>
      <w:r w:rsidR="007C70A9" w:rsidRPr="00383F2A">
        <w:rPr>
          <w:rFonts w:ascii="Times New Roman" w:hAnsi="Times New Roman"/>
          <w:sz w:val="24"/>
        </w:rPr>
        <w:t xml:space="preserve">he economic cost of osteoporosis and fractures </w:t>
      </w:r>
      <w:r w:rsidR="000F5FAF">
        <w:rPr>
          <w:rFonts w:ascii="Times New Roman" w:hAnsi="Times New Roman"/>
          <w:sz w:val="24"/>
        </w:rPr>
        <w:t>is</w:t>
      </w:r>
      <w:r w:rsidR="007C70A9" w:rsidRPr="00383F2A">
        <w:rPr>
          <w:rFonts w:ascii="Times New Roman" w:hAnsi="Times New Roman"/>
          <w:sz w:val="24"/>
        </w:rPr>
        <w:t xml:space="preserve"> projected to increase in the EU from €37.4 billion in 2010 to €46.8 billion by 2025 and, in the US, from $17 billion in 2005 to $25.3 billion by 2025 </w:t>
      </w:r>
      <w:r w:rsidR="007C70A9" w:rsidRPr="00383F2A">
        <w:rPr>
          <w:rFonts w:ascii="Times New Roman" w:hAnsi="Times New Roman"/>
          <w:sz w:val="24"/>
        </w:rPr>
        <w:fldChar w:fldCharType="begin">
          <w:fldData xml:space="preserve">PEVuZE5vdGU+PENpdGU+PEF1dGhvcj5IZXJubHVuZDwvQXV0aG9yPjxZZWFyPjIwMTM8L1llYXI+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</w:fldData>
        </w:fldChar>
      </w:r>
      <w:r w:rsidR="007C70A9" w:rsidRPr="00383F2A">
        <w:rPr>
          <w:rFonts w:ascii="Times New Roman" w:hAnsi="Times New Roman"/>
          <w:sz w:val="24"/>
        </w:rPr>
        <w:instrText xml:space="preserve"> ADDIN EN.CITE </w:instrText>
      </w:r>
      <w:r w:rsidR="007C70A9" w:rsidRPr="00383F2A">
        <w:rPr>
          <w:rFonts w:ascii="Times New Roman" w:hAnsi="Times New Roman"/>
          <w:sz w:val="24"/>
        </w:rPr>
        <w:fldChar w:fldCharType="begin">
          <w:fldData xml:space="preserve">PEVuZE5vdGU+PENpdGU+PEF1dGhvcj5IZXJubHVuZDwvQXV0aG9yPjxZZWFyPjIwMTM8L1llYXI+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</w:fldData>
        </w:fldChar>
      </w:r>
      <w:r w:rsidR="007C70A9" w:rsidRPr="00383F2A">
        <w:rPr>
          <w:rFonts w:ascii="Times New Roman" w:hAnsi="Times New Roman"/>
          <w:sz w:val="24"/>
        </w:rPr>
        <w:instrText xml:space="preserve"> ADDIN EN.CITE.DATA </w:instrText>
      </w:r>
      <w:r w:rsidR="007C70A9" w:rsidRPr="00383F2A">
        <w:rPr>
          <w:rFonts w:ascii="Times New Roman" w:hAnsi="Times New Roman"/>
          <w:sz w:val="24"/>
        </w:rPr>
      </w:r>
      <w:r w:rsidR="007C70A9" w:rsidRPr="00383F2A">
        <w:rPr>
          <w:rFonts w:ascii="Times New Roman" w:hAnsi="Times New Roman"/>
          <w:sz w:val="24"/>
        </w:rPr>
        <w:fldChar w:fldCharType="end"/>
      </w:r>
      <w:r w:rsidR="007C70A9" w:rsidRPr="00383F2A">
        <w:rPr>
          <w:rFonts w:ascii="Times New Roman" w:hAnsi="Times New Roman"/>
          <w:sz w:val="24"/>
        </w:rPr>
      </w:r>
      <w:r w:rsidR="007C70A9" w:rsidRPr="00383F2A">
        <w:rPr>
          <w:rFonts w:ascii="Times New Roman" w:hAnsi="Times New Roman"/>
          <w:sz w:val="24"/>
        </w:rPr>
        <w:fldChar w:fldCharType="separate"/>
      </w:r>
      <w:r w:rsidR="00E13247" w:rsidRPr="00383F2A">
        <w:rPr>
          <w:rFonts w:ascii="Times New Roman" w:hAnsi="Times New Roman"/>
          <w:noProof/>
          <w:sz w:val="24"/>
        </w:rPr>
        <w:t>[3,4</w:t>
      </w:r>
      <w:r w:rsidR="007C70A9" w:rsidRPr="00383F2A">
        <w:rPr>
          <w:rFonts w:ascii="Times New Roman" w:hAnsi="Times New Roman"/>
          <w:noProof/>
          <w:sz w:val="24"/>
        </w:rPr>
        <w:t>]</w:t>
      </w:r>
      <w:r w:rsidR="007C70A9" w:rsidRPr="00383F2A">
        <w:rPr>
          <w:rFonts w:ascii="Times New Roman" w:hAnsi="Times New Roman"/>
          <w:sz w:val="24"/>
        </w:rPr>
        <w:fldChar w:fldCharType="end"/>
      </w:r>
      <w:r w:rsidR="006F016D" w:rsidRPr="00383F2A">
        <w:rPr>
          <w:rFonts w:ascii="Times New Roman" w:hAnsi="Times New Roman"/>
          <w:sz w:val="24"/>
        </w:rPr>
        <w:t>.</w:t>
      </w:r>
    </w:p>
    <w:p w14:paraId="3D6B35B2" w14:textId="77777777" w:rsidR="006F016D" w:rsidRPr="00383F2A" w:rsidRDefault="006F016D" w:rsidP="00D6525A">
      <w:pPr>
        <w:jc w:val="both"/>
        <w:rPr>
          <w:rFonts w:ascii="Times New Roman" w:hAnsi="Times New Roman"/>
          <w:color w:val="000000"/>
          <w:sz w:val="24"/>
          <w:shd w:val="clear" w:color="auto" w:fill="FFFFFF"/>
        </w:rPr>
      </w:pPr>
    </w:p>
    <w:p w14:paraId="061BDFDD" w14:textId="4BEB29AB" w:rsidR="0069010E" w:rsidRPr="00383F2A" w:rsidRDefault="006025E4" w:rsidP="00B27EE8">
      <w:pPr>
        <w:jc w:val="both"/>
        <w:rPr>
          <w:rFonts w:ascii="Times New Roman" w:hAnsi="Times New Roman"/>
          <w:sz w:val="24"/>
        </w:rPr>
      </w:pPr>
      <w:r w:rsidRPr="00383F2A">
        <w:rPr>
          <w:rFonts w:ascii="Times New Roman" w:hAnsi="Times New Roman"/>
          <w:color w:val="000000"/>
          <w:sz w:val="24"/>
          <w:shd w:val="clear" w:color="auto" w:fill="FFFFFF"/>
        </w:rPr>
        <w:t xml:space="preserve">Patient and healthcare provider </w:t>
      </w:r>
      <w:r w:rsidR="003061CC" w:rsidRPr="00383F2A">
        <w:rPr>
          <w:rFonts w:ascii="Times New Roman" w:hAnsi="Times New Roman"/>
          <w:color w:val="000000"/>
          <w:sz w:val="24"/>
          <w:shd w:val="clear" w:color="auto" w:fill="FFFFFF"/>
        </w:rPr>
        <w:t>awareness of individual fracture risk</w:t>
      </w:r>
      <w:r w:rsidR="00A716BF" w:rsidRPr="00383F2A">
        <w:rPr>
          <w:rFonts w:ascii="Times New Roman" w:hAnsi="Times New Roman"/>
          <w:color w:val="000000"/>
          <w:sz w:val="24"/>
          <w:shd w:val="clear" w:color="auto" w:fill="FFFFFF"/>
        </w:rPr>
        <w:t xml:space="preserve"> </w:t>
      </w:r>
      <w:r w:rsidRPr="00383F2A">
        <w:rPr>
          <w:rFonts w:ascii="Times New Roman" w:hAnsi="Times New Roman"/>
          <w:color w:val="000000"/>
          <w:sz w:val="24"/>
          <w:shd w:val="clear" w:color="auto" w:fill="FFFFFF"/>
        </w:rPr>
        <w:t>is essential for accurate planning and successful implemen</w:t>
      </w:r>
      <w:r w:rsidR="00676F74" w:rsidRPr="00383F2A">
        <w:rPr>
          <w:rFonts w:ascii="Times New Roman" w:hAnsi="Times New Roman"/>
          <w:color w:val="000000"/>
          <w:sz w:val="24"/>
          <w:shd w:val="clear" w:color="auto" w:fill="FFFFFF"/>
        </w:rPr>
        <w:t>tation of preventi</w:t>
      </w:r>
      <w:r w:rsidR="00022C35" w:rsidRPr="00383F2A">
        <w:rPr>
          <w:rFonts w:ascii="Times New Roman" w:hAnsi="Times New Roman"/>
          <w:color w:val="000000"/>
          <w:sz w:val="24"/>
          <w:shd w:val="clear" w:color="auto" w:fill="FFFFFF"/>
        </w:rPr>
        <w:t>on strategies.</w:t>
      </w:r>
      <w:r w:rsidR="00676F74" w:rsidRPr="00383F2A">
        <w:rPr>
          <w:rFonts w:ascii="Times New Roman" w:hAnsi="Times New Roman"/>
          <w:color w:val="000000"/>
          <w:sz w:val="24"/>
          <w:shd w:val="clear" w:color="auto" w:fill="FFFFFF"/>
        </w:rPr>
        <w:t xml:space="preserve"> </w:t>
      </w:r>
      <w:r w:rsidR="001C411A" w:rsidRPr="00383F2A">
        <w:rPr>
          <w:rFonts w:ascii="Times New Roman" w:hAnsi="Times New Roman"/>
          <w:color w:val="000000"/>
          <w:sz w:val="24"/>
          <w:shd w:val="clear" w:color="auto" w:fill="FFFFFF"/>
        </w:rPr>
        <w:t>A number of web-based tools</w:t>
      </w:r>
      <w:r w:rsidR="0069010E" w:rsidRPr="00383F2A">
        <w:rPr>
          <w:rFonts w:ascii="Times New Roman" w:hAnsi="Times New Roman"/>
          <w:color w:val="000000"/>
          <w:sz w:val="24"/>
          <w:shd w:val="clear" w:color="auto" w:fill="FFFFFF"/>
        </w:rPr>
        <w:t xml:space="preserve"> have been developed to improve the identification of individuals at high fracture risk. </w:t>
      </w:r>
      <w:r w:rsidR="00A73E63" w:rsidRPr="00383F2A">
        <w:rPr>
          <w:rFonts w:ascii="Times New Roman" w:hAnsi="Times New Roman"/>
          <w:color w:val="000000"/>
          <w:sz w:val="24"/>
          <w:shd w:val="clear" w:color="auto" w:fill="FFFFFF"/>
        </w:rPr>
        <w:t>Clinical</w:t>
      </w:r>
      <w:r w:rsidR="00601B06" w:rsidRPr="00383F2A">
        <w:rPr>
          <w:rFonts w:ascii="Times New Roman" w:hAnsi="Times New Roman"/>
          <w:color w:val="000000"/>
          <w:sz w:val="24"/>
          <w:shd w:val="clear" w:color="auto" w:fill="FFFFFF"/>
        </w:rPr>
        <w:t xml:space="preserve"> risk factors such as age, weight </w:t>
      </w:r>
      <w:r w:rsidR="003061CC" w:rsidRPr="00383F2A">
        <w:rPr>
          <w:rFonts w:ascii="Times New Roman" w:hAnsi="Times New Roman"/>
          <w:color w:val="000000"/>
          <w:sz w:val="24"/>
          <w:shd w:val="clear" w:color="auto" w:fill="FFFFFF"/>
        </w:rPr>
        <w:t xml:space="preserve">and skeletal properties </w:t>
      </w:r>
      <w:r w:rsidR="00A73E63" w:rsidRPr="00383F2A">
        <w:rPr>
          <w:rFonts w:ascii="Times New Roman" w:hAnsi="Times New Roman"/>
          <w:color w:val="000000"/>
          <w:sz w:val="24"/>
          <w:shd w:val="clear" w:color="auto" w:fill="FFFFFF"/>
        </w:rPr>
        <w:t>are included</w:t>
      </w:r>
      <w:r w:rsidR="001C411A" w:rsidRPr="00383F2A">
        <w:rPr>
          <w:rFonts w:ascii="Times New Roman" w:hAnsi="Times New Roman"/>
          <w:color w:val="000000"/>
          <w:sz w:val="24"/>
          <w:shd w:val="clear" w:color="auto" w:fill="FFFFFF"/>
        </w:rPr>
        <w:t xml:space="preserve"> in fracture prediction algorithms,</w:t>
      </w:r>
      <w:r w:rsidR="0069010E" w:rsidRPr="00383F2A">
        <w:rPr>
          <w:rFonts w:ascii="Times New Roman" w:hAnsi="Times New Roman"/>
          <w:color w:val="000000"/>
          <w:sz w:val="24"/>
          <w:shd w:val="clear" w:color="auto" w:fill="FFFFFF"/>
        </w:rPr>
        <w:t xml:space="preserve"> with</w:t>
      </w:r>
      <w:r w:rsidR="001C411A" w:rsidRPr="00383F2A">
        <w:rPr>
          <w:rFonts w:ascii="Times New Roman" w:hAnsi="Times New Roman"/>
          <w:color w:val="000000"/>
          <w:sz w:val="24"/>
          <w:shd w:val="clear" w:color="auto" w:fill="FFFFFF"/>
        </w:rPr>
        <w:t xml:space="preserve"> the most commonly used globally being FRAX</w:t>
      </w:r>
      <w:r w:rsidR="0069010E" w:rsidRPr="00383F2A">
        <w:rPr>
          <w:rFonts w:ascii="Times New Roman" w:hAnsi="Times New Roman"/>
          <w:color w:val="000000"/>
          <w:sz w:val="24"/>
          <w:shd w:val="clear" w:color="auto" w:fill="FFFFFF"/>
        </w:rPr>
        <w:t xml:space="preserve">. </w:t>
      </w:r>
      <w:r w:rsidR="00DC7B77" w:rsidRPr="00383F2A">
        <w:rPr>
          <w:rFonts w:ascii="Times New Roman" w:hAnsi="Times New Roman"/>
          <w:color w:val="000000"/>
          <w:sz w:val="24"/>
          <w:shd w:val="clear" w:color="auto" w:fill="FFFFFF"/>
        </w:rPr>
        <w:t>Recently</w:t>
      </w:r>
      <w:r w:rsidR="00FF0B1A" w:rsidRPr="00383F2A">
        <w:rPr>
          <w:rFonts w:ascii="Times New Roman" w:hAnsi="Times New Roman"/>
          <w:color w:val="000000"/>
          <w:sz w:val="24"/>
          <w:shd w:val="clear" w:color="auto" w:fill="FFFFFF"/>
        </w:rPr>
        <w:t>, it has been reported</w:t>
      </w:r>
      <w:r w:rsidR="00013B8F">
        <w:rPr>
          <w:rFonts w:ascii="Times New Roman" w:hAnsi="Times New Roman"/>
          <w:color w:val="000000"/>
          <w:sz w:val="24"/>
          <w:shd w:val="clear" w:color="auto" w:fill="FFFFFF"/>
        </w:rPr>
        <w:t xml:space="preserve"> in</w:t>
      </w:r>
      <w:r w:rsidR="00FF0B1A" w:rsidRPr="00383F2A">
        <w:rPr>
          <w:rFonts w:ascii="Times New Roman" w:hAnsi="Times New Roman"/>
          <w:color w:val="000000"/>
          <w:sz w:val="24"/>
          <w:shd w:val="clear" w:color="auto" w:fill="FFFFFF"/>
        </w:rPr>
        <w:t xml:space="preserve"> </w:t>
      </w:r>
      <w:r w:rsidR="001B1B8A" w:rsidRPr="00AA6906">
        <w:rPr>
          <w:rFonts w:ascii="Times New Roman" w:hAnsi="Times New Roman"/>
          <w:sz w:val="24"/>
        </w:rPr>
        <w:t>the Global Longitudinal Study of Osteoporosis in Women (GLOW)</w:t>
      </w:r>
      <w:r w:rsidR="00013B8F">
        <w:rPr>
          <w:rFonts w:ascii="Times New Roman" w:hAnsi="Times New Roman"/>
          <w:sz w:val="24"/>
        </w:rPr>
        <w:t xml:space="preserve"> </w:t>
      </w:r>
      <w:r w:rsidR="00FF0B1A" w:rsidRPr="00383F2A">
        <w:rPr>
          <w:rFonts w:ascii="Times New Roman" w:hAnsi="Times New Roman"/>
          <w:sz w:val="24"/>
        </w:rPr>
        <w:t xml:space="preserve">that self-perception of fracture risk (SPR) </w:t>
      </w:r>
      <w:r w:rsidR="00BC138D" w:rsidRPr="00383F2A">
        <w:rPr>
          <w:rFonts w:ascii="Times New Roman" w:hAnsi="Times New Roman"/>
          <w:sz w:val="24"/>
        </w:rPr>
        <w:t>may also capture</w:t>
      </w:r>
      <w:r w:rsidR="00FF0B1A" w:rsidRPr="00383F2A">
        <w:rPr>
          <w:rFonts w:ascii="Times New Roman" w:hAnsi="Times New Roman"/>
          <w:sz w:val="24"/>
        </w:rPr>
        <w:t xml:space="preserve"> aspects of fracture risk not measured using current risk prediction tools</w:t>
      </w:r>
      <w:r w:rsidR="00BC138D" w:rsidRPr="00383F2A">
        <w:rPr>
          <w:rFonts w:ascii="Times New Roman" w:hAnsi="Times New Roman"/>
          <w:sz w:val="24"/>
        </w:rPr>
        <w:t>,</w:t>
      </w:r>
      <w:r w:rsidR="00FF0B1A" w:rsidRPr="00383F2A">
        <w:rPr>
          <w:rFonts w:ascii="Times New Roman" w:hAnsi="Times New Roman"/>
          <w:sz w:val="24"/>
        </w:rPr>
        <w:t xml:space="preserve"> and </w:t>
      </w:r>
      <w:r w:rsidR="00BC138D" w:rsidRPr="00383F2A">
        <w:rPr>
          <w:rFonts w:ascii="Times New Roman" w:hAnsi="Times New Roman"/>
          <w:sz w:val="24"/>
        </w:rPr>
        <w:t>ha</w:t>
      </w:r>
      <w:r w:rsidR="00FF0B1A" w:rsidRPr="00383F2A">
        <w:rPr>
          <w:rFonts w:ascii="Times New Roman" w:hAnsi="Times New Roman"/>
          <w:sz w:val="24"/>
        </w:rPr>
        <w:t xml:space="preserve">s </w:t>
      </w:r>
      <w:r w:rsidR="00BC138D" w:rsidRPr="00383F2A">
        <w:rPr>
          <w:rFonts w:ascii="Times New Roman" w:hAnsi="Times New Roman"/>
          <w:sz w:val="24"/>
        </w:rPr>
        <w:t xml:space="preserve">been </w:t>
      </w:r>
      <w:r w:rsidR="00FF0B1A" w:rsidRPr="00383F2A">
        <w:rPr>
          <w:rFonts w:ascii="Times New Roman" w:hAnsi="Times New Roman"/>
          <w:sz w:val="24"/>
        </w:rPr>
        <w:t>associated with frac</w:t>
      </w:r>
      <w:r w:rsidR="001C6AD4" w:rsidRPr="00383F2A">
        <w:rPr>
          <w:rFonts w:ascii="Times New Roman" w:hAnsi="Times New Roman"/>
          <w:sz w:val="24"/>
        </w:rPr>
        <w:t>tu</w:t>
      </w:r>
      <w:r w:rsidR="00F73C30" w:rsidRPr="00383F2A">
        <w:rPr>
          <w:rFonts w:ascii="Times New Roman" w:hAnsi="Times New Roman"/>
          <w:sz w:val="24"/>
        </w:rPr>
        <w:t>re risk independently of FRAX [</w:t>
      </w:r>
      <w:r w:rsidR="00496DB9">
        <w:rPr>
          <w:rFonts w:ascii="Times New Roman" w:hAnsi="Times New Roman"/>
          <w:sz w:val="24"/>
        </w:rPr>
        <w:t>5</w:t>
      </w:r>
      <w:r w:rsidR="001C6AD4" w:rsidRPr="00383F2A">
        <w:rPr>
          <w:rFonts w:ascii="Times New Roman" w:hAnsi="Times New Roman"/>
          <w:sz w:val="24"/>
        </w:rPr>
        <w:t>].</w:t>
      </w:r>
      <w:r w:rsidR="00FF0B1A" w:rsidRPr="00383F2A">
        <w:rPr>
          <w:rFonts w:ascii="Times New Roman" w:hAnsi="Times New Roman"/>
          <w:sz w:val="24"/>
        </w:rPr>
        <w:t xml:space="preserve"> </w:t>
      </w:r>
    </w:p>
    <w:p w14:paraId="54F7C4A8" w14:textId="77777777" w:rsidR="006F016D" w:rsidRPr="00383F2A" w:rsidRDefault="006F016D" w:rsidP="00D6525A">
      <w:pPr>
        <w:jc w:val="both"/>
        <w:rPr>
          <w:rFonts w:ascii="Times New Roman" w:hAnsi="Times New Roman"/>
          <w:color w:val="000000"/>
          <w:sz w:val="24"/>
          <w:shd w:val="clear" w:color="auto" w:fill="FFFFFF"/>
        </w:rPr>
      </w:pPr>
    </w:p>
    <w:p w14:paraId="149F0F0F" w14:textId="0B7E44CF" w:rsidR="006F016D" w:rsidRPr="00383F2A" w:rsidRDefault="0054094A" w:rsidP="00D6525A">
      <w:pPr>
        <w:jc w:val="both"/>
        <w:rPr>
          <w:rFonts w:ascii="Times New Roman" w:hAnsi="Times New Roman"/>
          <w:color w:val="000000"/>
          <w:sz w:val="24"/>
          <w:shd w:val="clear" w:color="auto" w:fill="FFFFFF"/>
        </w:rPr>
      </w:pPr>
      <w:r w:rsidRPr="00383F2A">
        <w:rPr>
          <w:rFonts w:ascii="Times New Roman" w:hAnsi="Times New Roman"/>
          <w:color w:val="000000"/>
          <w:sz w:val="24"/>
          <w:shd w:val="clear" w:color="auto" w:fill="FFFFFF"/>
        </w:rPr>
        <w:t xml:space="preserve">Self-perception of risk of a condition is a difficult concept, as it requires an individual to compare their own health status to others. </w:t>
      </w:r>
      <w:r w:rsidR="00065ED5" w:rsidRPr="00383F2A">
        <w:rPr>
          <w:rFonts w:ascii="Times New Roman" w:hAnsi="Times New Roman"/>
          <w:color w:val="000000"/>
          <w:sz w:val="24"/>
          <w:shd w:val="clear" w:color="auto" w:fill="FFFFFF"/>
        </w:rPr>
        <w:t>There is evidence that self-perception of risk of osteoporosis and osteoporotic fractures is underestimated in postmen</w:t>
      </w:r>
      <w:r w:rsidR="00F73C30" w:rsidRPr="00383F2A">
        <w:rPr>
          <w:rFonts w:ascii="Times New Roman" w:hAnsi="Times New Roman"/>
          <w:color w:val="000000"/>
          <w:sz w:val="24"/>
          <w:shd w:val="clear" w:color="auto" w:fill="FFFFFF"/>
        </w:rPr>
        <w:t>opausal women worldwide [</w:t>
      </w:r>
      <w:r w:rsidR="00496DB9">
        <w:rPr>
          <w:rFonts w:ascii="Times New Roman" w:hAnsi="Times New Roman"/>
          <w:color w:val="000000"/>
          <w:sz w:val="24"/>
          <w:shd w:val="clear" w:color="auto" w:fill="FFFFFF"/>
        </w:rPr>
        <w:t>6</w:t>
      </w:r>
      <w:r w:rsidR="001C6AD4" w:rsidRPr="00383F2A">
        <w:rPr>
          <w:rFonts w:ascii="Times New Roman" w:hAnsi="Times New Roman"/>
          <w:color w:val="000000"/>
          <w:sz w:val="24"/>
          <w:shd w:val="clear" w:color="auto" w:fill="FFFFFF"/>
        </w:rPr>
        <w:t>]</w:t>
      </w:r>
      <w:r w:rsidR="00BC138D" w:rsidRPr="00383F2A">
        <w:rPr>
          <w:rFonts w:ascii="Times New Roman" w:hAnsi="Times New Roman"/>
          <w:color w:val="000000"/>
          <w:sz w:val="24"/>
          <w:shd w:val="clear" w:color="auto" w:fill="FFFFFF"/>
        </w:rPr>
        <w:t xml:space="preserve">, and that </w:t>
      </w:r>
      <w:r w:rsidR="000651E9" w:rsidRPr="00383F2A">
        <w:rPr>
          <w:rFonts w:ascii="Times New Roman" w:hAnsi="Times New Roman"/>
          <w:color w:val="000000"/>
          <w:sz w:val="24"/>
          <w:shd w:val="clear" w:color="auto" w:fill="FFFFFF"/>
        </w:rPr>
        <w:t>self-perceived risks of osteoporosis and fracture affect certain behaviours such as seeking medical advic</w:t>
      </w:r>
      <w:r w:rsidR="000F5FAF">
        <w:rPr>
          <w:rFonts w:ascii="Times New Roman" w:hAnsi="Times New Roman"/>
          <w:color w:val="000000"/>
          <w:sz w:val="24"/>
          <w:shd w:val="clear" w:color="auto" w:fill="FFFFFF"/>
        </w:rPr>
        <w:t>e, anti–osteoporosis medication</w:t>
      </w:r>
      <w:r w:rsidR="000651E9" w:rsidRPr="00383F2A">
        <w:rPr>
          <w:rFonts w:ascii="Times New Roman" w:hAnsi="Times New Roman"/>
          <w:color w:val="000000"/>
          <w:sz w:val="24"/>
          <w:shd w:val="clear" w:color="auto" w:fill="FFFFFF"/>
        </w:rPr>
        <w:t xml:space="preserve"> </w:t>
      </w:r>
      <w:r w:rsidR="00EB4411" w:rsidRPr="00383F2A">
        <w:rPr>
          <w:rFonts w:ascii="Times New Roman" w:hAnsi="Times New Roman"/>
          <w:color w:val="000000"/>
          <w:sz w:val="24"/>
          <w:shd w:val="clear" w:color="auto" w:fill="FFFFFF"/>
        </w:rPr>
        <w:t>use and BMD screening</w:t>
      </w:r>
      <w:r w:rsidR="006F016D" w:rsidRPr="00383F2A">
        <w:rPr>
          <w:rFonts w:ascii="Times New Roman" w:hAnsi="Times New Roman"/>
          <w:color w:val="000000"/>
          <w:sz w:val="24"/>
          <w:shd w:val="clear" w:color="auto" w:fill="FFFFFF"/>
        </w:rPr>
        <w:t>, which might lead to</w:t>
      </w:r>
      <w:r w:rsidR="006B378A" w:rsidRPr="00383F2A">
        <w:rPr>
          <w:rFonts w:ascii="Times New Roman" w:hAnsi="Times New Roman"/>
          <w:color w:val="000000"/>
          <w:sz w:val="24"/>
          <w:shd w:val="clear" w:color="auto" w:fill="FFFFFF"/>
        </w:rPr>
        <w:t xml:space="preserve"> greater healthcare engagement, treatment</w:t>
      </w:r>
      <w:r w:rsidR="006F016D" w:rsidRPr="00383F2A">
        <w:rPr>
          <w:rFonts w:ascii="Times New Roman" w:hAnsi="Times New Roman"/>
          <w:color w:val="000000"/>
          <w:sz w:val="24"/>
          <w:shd w:val="clear" w:color="auto" w:fill="FFFFFF"/>
        </w:rPr>
        <w:t xml:space="preserve"> </w:t>
      </w:r>
      <w:r w:rsidR="006B378A" w:rsidRPr="00383F2A">
        <w:rPr>
          <w:rFonts w:ascii="Times New Roman" w:hAnsi="Times New Roman"/>
          <w:color w:val="000000"/>
          <w:sz w:val="24"/>
          <w:shd w:val="clear" w:color="auto" w:fill="FFFFFF"/>
        </w:rPr>
        <w:t xml:space="preserve">and </w:t>
      </w:r>
      <w:r w:rsidR="006F016D" w:rsidRPr="00383F2A">
        <w:rPr>
          <w:rFonts w:ascii="Times New Roman" w:hAnsi="Times New Roman"/>
          <w:color w:val="000000"/>
          <w:sz w:val="24"/>
          <w:shd w:val="clear" w:color="auto" w:fill="FFFFFF"/>
        </w:rPr>
        <w:t>altered bone health</w:t>
      </w:r>
      <w:r w:rsidR="00F73C30" w:rsidRPr="00383F2A">
        <w:rPr>
          <w:rFonts w:ascii="Times New Roman" w:hAnsi="Times New Roman"/>
          <w:color w:val="000000"/>
          <w:sz w:val="24"/>
          <w:shd w:val="clear" w:color="auto" w:fill="FFFFFF"/>
        </w:rPr>
        <w:t xml:space="preserve"> [</w:t>
      </w:r>
      <w:r w:rsidR="00496DB9">
        <w:rPr>
          <w:rFonts w:ascii="Times New Roman" w:hAnsi="Times New Roman"/>
          <w:color w:val="000000"/>
          <w:sz w:val="24"/>
          <w:shd w:val="clear" w:color="auto" w:fill="FFFFFF"/>
        </w:rPr>
        <w:t>5</w:t>
      </w:r>
      <w:r w:rsidR="00F73C30" w:rsidRPr="00383F2A">
        <w:rPr>
          <w:rFonts w:ascii="Times New Roman" w:hAnsi="Times New Roman"/>
          <w:color w:val="000000"/>
          <w:sz w:val="24"/>
          <w:shd w:val="clear" w:color="auto" w:fill="FFFFFF"/>
        </w:rPr>
        <w:t>,</w:t>
      </w:r>
      <w:r w:rsidR="00496DB9">
        <w:rPr>
          <w:rFonts w:ascii="Times New Roman" w:hAnsi="Times New Roman"/>
          <w:color w:val="000000"/>
          <w:sz w:val="24"/>
          <w:shd w:val="clear" w:color="auto" w:fill="FFFFFF"/>
        </w:rPr>
        <w:t>7</w:t>
      </w:r>
      <w:r w:rsidR="00EB4411" w:rsidRPr="00383F2A">
        <w:rPr>
          <w:rFonts w:ascii="Times New Roman" w:hAnsi="Times New Roman"/>
          <w:color w:val="000000"/>
          <w:sz w:val="24"/>
          <w:shd w:val="clear" w:color="auto" w:fill="FFFFFF"/>
        </w:rPr>
        <w:t>]</w:t>
      </w:r>
      <w:r w:rsidR="006F016D" w:rsidRPr="00383F2A">
        <w:rPr>
          <w:rFonts w:ascii="Times New Roman" w:hAnsi="Times New Roman"/>
          <w:color w:val="000000"/>
          <w:sz w:val="24"/>
          <w:shd w:val="clear" w:color="auto" w:fill="FFFFFF"/>
        </w:rPr>
        <w:t>.</w:t>
      </w:r>
      <w:r w:rsidR="00876EE2">
        <w:rPr>
          <w:rFonts w:ascii="Times New Roman" w:hAnsi="Times New Roman"/>
          <w:color w:val="000000"/>
          <w:sz w:val="24"/>
          <w:shd w:val="clear" w:color="auto" w:fill="FFFFFF"/>
        </w:rPr>
        <w:t xml:space="preserve"> Furthermore</w:t>
      </w:r>
      <w:r w:rsidR="0041167B">
        <w:rPr>
          <w:rFonts w:ascii="Times New Roman" w:hAnsi="Times New Roman"/>
          <w:color w:val="000000"/>
          <w:sz w:val="24"/>
          <w:shd w:val="clear" w:color="auto" w:fill="FFFFFF"/>
        </w:rPr>
        <w:t>, f</w:t>
      </w:r>
      <w:r w:rsidR="0041167B" w:rsidRPr="0041167B">
        <w:rPr>
          <w:rFonts w:ascii="Times New Roman" w:hAnsi="Times New Roman"/>
          <w:color w:val="000000"/>
          <w:sz w:val="24"/>
          <w:shd w:val="clear" w:color="auto" w:fill="FFFFFF"/>
        </w:rPr>
        <w:t>indings from GLOW cohort suggest that increased self-perceived fracture risk is strongly associated with incident fracture rate</w:t>
      </w:r>
      <w:r w:rsidR="00480C6B">
        <w:rPr>
          <w:rFonts w:ascii="Times New Roman" w:hAnsi="Times New Roman"/>
          <w:color w:val="000000"/>
          <w:sz w:val="24"/>
          <w:shd w:val="clear" w:color="auto" w:fill="FFFFFF"/>
        </w:rPr>
        <w:t xml:space="preserve"> </w:t>
      </w:r>
      <w:r w:rsidR="009F4C4E">
        <w:rPr>
          <w:rFonts w:ascii="Times New Roman" w:hAnsi="Times New Roman"/>
          <w:color w:val="000000"/>
          <w:sz w:val="24"/>
          <w:shd w:val="clear" w:color="auto" w:fill="FFFFFF"/>
        </w:rPr>
        <w:t>[</w:t>
      </w:r>
      <w:r w:rsidR="0012196B">
        <w:rPr>
          <w:rFonts w:ascii="Times New Roman" w:hAnsi="Times New Roman"/>
          <w:color w:val="000000"/>
          <w:sz w:val="24"/>
          <w:shd w:val="clear" w:color="auto" w:fill="FFFFFF"/>
        </w:rPr>
        <w:t>8</w:t>
      </w:r>
      <w:r w:rsidR="00382F80">
        <w:rPr>
          <w:rFonts w:ascii="Times New Roman" w:hAnsi="Times New Roman"/>
          <w:color w:val="000000"/>
          <w:sz w:val="24"/>
          <w:shd w:val="clear" w:color="auto" w:fill="FFFFFF"/>
        </w:rPr>
        <w:t>].</w:t>
      </w:r>
      <w:r w:rsidR="00EA0515" w:rsidRPr="00383F2A">
        <w:rPr>
          <w:rFonts w:ascii="Times New Roman" w:hAnsi="Times New Roman"/>
          <w:color w:val="000000"/>
          <w:sz w:val="24"/>
          <w:shd w:val="clear" w:color="auto" w:fill="FFFFFF"/>
        </w:rPr>
        <w:t xml:space="preserve"> However, </w:t>
      </w:r>
      <w:r w:rsidR="009E08AF" w:rsidRPr="00383F2A">
        <w:rPr>
          <w:rFonts w:ascii="Times New Roman" w:hAnsi="Times New Roman"/>
          <w:color w:val="000000"/>
          <w:sz w:val="24"/>
          <w:shd w:val="clear" w:color="auto" w:fill="FFFFFF"/>
        </w:rPr>
        <w:t xml:space="preserve">very little is known </w:t>
      </w:r>
      <w:r w:rsidR="00F07B5B" w:rsidRPr="00383F2A">
        <w:rPr>
          <w:rFonts w:ascii="Times New Roman" w:hAnsi="Times New Roman"/>
          <w:color w:val="000000"/>
          <w:sz w:val="24"/>
          <w:shd w:val="clear" w:color="auto" w:fill="FFFFFF"/>
        </w:rPr>
        <w:t xml:space="preserve">about what determines </w:t>
      </w:r>
      <w:r w:rsidR="000F5FAF">
        <w:rPr>
          <w:rFonts w:ascii="Times New Roman" w:hAnsi="Times New Roman"/>
          <w:color w:val="000000"/>
          <w:sz w:val="24"/>
          <w:shd w:val="clear" w:color="auto" w:fill="FFFFFF"/>
        </w:rPr>
        <w:t>self-perceived fracture risk (SPR).</w:t>
      </w:r>
    </w:p>
    <w:p w14:paraId="4CA9C88A" w14:textId="4687EC7B" w:rsidR="001A3CF9" w:rsidRPr="00383F2A" w:rsidRDefault="001A3CF9" w:rsidP="00D6525A">
      <w:pPr>
        <w:jc w:val="both"/>
        <w:rPr>
          <w:rFonts w:ascii="Times New Roman" w:hAnsi="Times New Roman"/>
          <w:color w:val="000000"/>
          <w:sz w:val="24"/>
          <w:shd w:val="clear" w:color="auto" w:fill="FFFFFF"/>
        </w:rPr>
      </w:pPr>
    </w:p>
    <w:p w14:paraId="281590FB" w14:textId="77777777" w:rsidR="00AA6906" w:rsidRDefault="00AA6906" w:rsidP="00D6525A">
      <w:pPr>
        <w:jc w:val="both"/>
        <w:rPr>
          <w:rFonts w:ascii="Times New Roman" w:hAnsi="Times New Roman"/>
          <w:color w:val="000000"/>
          <w:sz w:val="24"/>
          <w:shd w:val="clear" w:color="auto" w:fill="FFFFFF"/>
        </w:rPr>
      </w:pPr>
      <w:r w:rsidRPr="00AA6906">
        <w:rPr>
          <w:rFonts w:ascii="Times New Roman" w:hAnsi="Times New Roman"/>
          <w:sz w:val="24"/>
        </w:rPr>
        <w:t>To address this, we have used data from the UK arm of the Global Longitudinal Study of Osteoporosis in Women (GLOW) to: identify correlates of SPR; examine how these correlates interrelate by performing a cluster analysis; and relate SPR to subsequent bone density and microarchitecture.</w:t>
      </w:r>
    </w:p>
    <w:p w14:paraId="794035EE" w14:textId="5E67A7DA" w:rsidR="006B28D8" w:rsidRPr="00AA6906" w:rsidRDefault="00EA4FC5" w:rsidP="00D6525A">
      <w:pPr>
        <w:jc w:val="both"/>
        <w:rPr>
          <w:rFonts w:ascii="Times New Roman" w:hAnsi="Times New Roman"/>
          <w:color w:val="000000"/>
          <w:sz w:val="24"/>
          <w:shd w:val="clear" w:color="auto" w:fill="FFFFFF"/>
        </w:rPr>
      </w:pPr>
      <w:r w:rsidRPr="00383F2A">
        <w:rPr>
          <w:rFonts w:ascii="Times New Roman" w:hAnsi="Times New Roman"/>
          <w:b/>
          <w:sz w:val="24"/>
        </w:rPr>
        <w:t>Methods</w:t>
      </w:r>
    </w:p>
    <w:p w14:paraId="6EE45A28" w14:textId="77777777" w:rsidR="00550C9B" w:rsidRPr="00383F2A" w:rsidRDefault="00552A24" w:rsidP="00D6525A">
      <w:pPr>
        <w:jc w:val="both"/>
        <w:rPr>
          <w:rFonts w:ascii="Times New Roman" w:hAnsi="Times New Roman"/>
          <w:i/>
          <w:sz w:val="24"/>
        </w:rPr>
      </w:pPr>
      <w:r w:rsidRPr="00383F2A">
        <w:rPr>
          <w:rFonts w:ascii="Times New Roman" w:hAnsi="Times New Roman"/>
          <w:i/>
          <w:sz w:val="24"/>
        </w:rPr>
        <w:t>Study participants</w:t>
      </w:r>
    </w:p>
    <w:p w14:paraId="4963A4D2" w14:textId="4706A000" w:rsidR="007856E6" w:rsidRPr="00383F2A" w:rsidRDefault="00DE6416" w:rsidP="00D6525A">
      <w:pPr>
        <w:jc w:val="both"/>
        <w:rPr>
          <w:rFonts w:ascii="Times New Roman" w:hAnsi="Times New Roman"/>
          <w:sz w:val="24"/>
        </w:rPr>
      </w:pPr>
      <w:r w:rsidRPr="00383F2A">
        <w:rPr>
          <w:rFonts w:ascii="Times New Roman" w:hAnsi="Times New Roman"/>
          <w:sz w:val="24"/>
        </w:rPr>
        <w:t xml:space="preserve">GLOW is a prospective, observational cohort study conducted through general physician practices in 10 countries. Study design and recruitment have been described in detail previously </w:t>
      </w:r>
      <w:r w:rsidR="00456E84" w:rsidRPr="00383F2A">
        <w:rPr>
          <w:rFonts w:ascii="Times New Roman" w:hAnsi="Times New Roman"/>
          <w:sz w:val="24"/>
        </w:rPr>
        <w:fldChar w:fldCharType="begin"/>
      </w:r>
      <w:r w:rsidR="00F4416D" w:rsidRPr="00383F2A">
        <w:rPr>
          <w:rFonts w:ascii="Times New Roman" w:hAnsi="Times New Roman"/>
          <w:sz w:val="24"/>
        </w:rPr>
        <w:instrText xml:space="preserve"> ADDIN EN.CITE &lt;EndNote&gt;&lt;Cite&gt;&lt;Author&gt;Hooven&lt;/Author&gt;&lt;Year&gt;2009&lt;/Year&gt;&lt;RecNum&gt;94&lt;/RecNum&gt;&lt;DisplayText&gt;[3]&lt;/DisplayText&gt;&lt;record&gt;&lt;rec-number&gt;94&lt;/rec-number&gt;&lt;foreign-keys&gt;&lt;key app="EN" db-id="xp2sx5aahpsveaea2zq5s2xsef9d0fsxsxex" timestamp="1494926303"&gt;94&lt;/key&gt;&lt;/foreign-keys&gt;&lt;ref-type name="Journal Article"&gt;17&lt;/ref-type&gt;&lt;contributors&gt;&lt;authors&gt;&lt;author&gt;Hooven, Frederick H&lt;/author&gt;&lt;author&gt;Adachi, Jonathan D&lt;/author&gt;&lt;author&gt;Adami, Silvano&lt;/author&gt;&lt;author&gt;Boonen, Steven&lt;/author&gt;&lt;author&gt;Compston, J&lt;/author&gt;&lt;author&gt;Cooper, Cyrus&lt;/author&gt;&lt;author&gt;Delmas, Pierre&lt;/author&gt;&lt;author&gt;Diez-Perez, Adolfo&lt;/author&gt;&lt;author&gt;Gehlbach, S&lt;/author&gt;&lt;author&gt;Greenspan, Susan L&lt;/author&gt;&lt;/authors&gt;&lt;/contributors&gt;&lt;titles&gt;&lt;title&gt;The Global Longitudinal Study of Osteoporosis in Women (GLOW): rationale and study design&lt;/title&gt;&lt;secondary-title&gt;Osteoporosis international&lt;/secondary-title&gt;&lt;/titles&gt;&lt;periodical&gt;&lt;full-title&gt;Osteoporosis International&lt;/full-title&gt;&lt;abbr-1&gt;Osteoporos. Int.&lt;/abbr-1&gt;&lt;abbr-2&gt;Osteoporos Int&lt;/abbr-2&gt;&lt;/periodical&gt;&lt;pages&gt;1107-1116&lt;/pages&gt;&lt;volume&gt;20&lt;/volume&gt;&lt;number&gt;7&lt;/number&gt;&lt;dates&gt;&lt;year&gt;2009&lt;/year&gt;&lt;/dates&gt;&lt;isbn&gt;0937-941X&lt;/isbn&gt;&lt;urls&gt;&lt;/urls&gt;&lt;/record&gt;&lt;/Cite&gt;&lt;/EndNote&gt;</w:instrText>
      </w:r>
      <w:r w:rsidR="00456E84" w:rsidRPr="00383F2A">
        <w:rPr>
          <w:rFonts w:ascii="Times New Roman" w:hAnsi="Times New Roman"/>
          <w:sz w:val="24"/>
        </w:rPr>
        <w:fldChar w:fldCharType="separate"/>
      </w:r>
      <w:r w:rsidR="00F73C30" w:rsidRPr="00383F2A">
        <w:rPr>
          <w:rFonts w:ascii="Times New Roman" w:hAnsi="Times New Roman"/>
          <w:noProof/>
          <w:sz w:val="24"/>
        </w:rPr>
        <w:t>[</w:t>
      </w:r>
      <w:r w:rsidR="00AA35FB">
        <w:rPr>
          <w:rFonts w:ascii="Times New Roman" w:hAnsi="Times New Roman"/>
          <w:noProof/>
          <w:sz w:val="24"/>
        </w:rPr>
        <w:t>9</w:t>
      </w:r>
      <w:r w:rsidR="00F4416D" w:rsidRPr="00383F2A">
        <w:rPr>
          <w:rFonts w:ascii="Times New Roman" w:hAnsi="Times New Roman"/>
          <w:noProof/>
          <w:sz w:val="24"/>
        </w:rPr>
        <w:t>]</w:t>
      </w:r>
      <w:r w:rsidR="00456E84" w:rsidRPr="00383F2A">
        <w:rPr>
          <w:rFonts w:ascii="Times New Roman" w:hAnsi="Times New Roman"/>
          <w:sz w:val="24"/>
        </w:rPr>
        <w:fldChar w:fldCharType="end"/>
      </w:r>
      <w:r w:rsidR="00203736" w:rsidRPr="00383F2A">
        <w:rPr>
          <w:rFonts w:ascii="Times New Roman" w:hAnsi="Times New Roman"/>
          <w:sz w:val="24"/>
        </w:rPr>
        <w:t>.</w:t>
      </w:r>
      <w:r w:rsidR="00146131" w:rsidRPr="00383F2A">
        <w:rPr>
          <w:rFonts w:ascii="Times New Roman" w:hAnsi="Times New Roman"/>
          <w:sz w:val="24"/>
        </w:rPr>
        <w:t xml:space="preserve"> </w:t>
      </w:r>
      <w:r w:rsidRPr="00383F2A">
        <w:rPr>
          <w:rFonts w:ascii="Times New Roman" w:hAnsi="Times New Roman"/>
          <w:sz w:val="24"/>
        </w:rPr>
        <w:t>In brief, practices, representative of each region, were recruited through primary care networks and provided the names of women aged 55 years and older who had been seen by their physician in the past 24 months. The primary aim of GLOW was to characterise the descriptive epidemiology and health impact of osteoporosis-related fractures among women who were 55 years of age and older worldwide. Globally, GLOW enrolled over 60,000 women through over 700</w:t>
      </w:r>
      <w:r w:rsidR="00AA35FB">
        <w:rPr>
          <w:rFonts w:ascii="Times New Roman" w:hAnsi="Times New Roman"/>
          <w:sz w:val="24"/>
        </w:rPr>
        <w:t xml:space="preserve"> </w:t>
      </w:r>
      <w:r w:rsidRPr="00383F2A">
        <w:rPr>
          <w:rFonts w:ascii="Times New Roman" w:hAnsi="Times New Roman"/>
          <w:sz w:val="24"/>
        </w:rPr>
        <w:t xml:space="preserve">physicians in 10 countries, and conducted annual follow-up for up to 5 years. In Southampton only, </w:t>
      </w:r>
      <w:r w:rsidR="006D125C" w:rsidRPr="00383F2A">
        <w:rPr>
          <w:rFonts w:ascii="Times New Roman" w:hAnsi="Times New Roman"/>
          <w:sz w:val="24"/>
        </w:rPr>
        <w:t>a sub</w:t>
      </w:r>
      <w:r w:rsidR="004C653D" w:rsidRPr="00383F2A">
        <w:rPr>
          <w:rFonts w:ascii="Times New Roman" w:hAnsi="Times New Roman"/>
          <w:sz w:val="24"/>
        </w:rPr>
        <w:t xml:space="preserve">group of </w:t>
      </w:r>
      <w:r w:rsidRPr="00383F2A">
        <w:rPr>
          <w:rFonts w:ascii="Times New Roman" w:hAnsi="Times New Roman"/>
          <w:sz w:val="24"/>
        </w:rPr>
        <w:t xml:space="preserve">participants with baseline data and at least one follow-up questionnaire were invited, after completion of 5 years of follow-up, for a follow-up study which included </w:t>
      </w:r>
      <w:r w:rsidR="00C62485" w:rsidRPr="00383F2A">
        <w:rPr>
          <w:rFonts w:ascii="Times New Roman" w:hAnsi="Times New Roman"/>
          <w:sz w:val="24"/>
        </w:rPr>
        <w:t>dual energy x-ray absorptiometry (</w:t>
      </w:r>
      <w:r w:rsidRPr="00383F2A">
        <w:rPr>
          <w:rFonts w:ascii="Times New Roman" w:hAnsi="Times New Roman"/>
          <w:sz w:val="24"/>
        </w:rPr>
        <w:t>DXA</w:t>
      </w:r>
      <w:r w:rsidR="00C62485" w:rsidRPr="00383F2A">
        <w:rPr>
          <w:rFonts w:ascii="Times New Roman" w:hAnsi="Times New Roman"/>
          <w:sz w:val="24"/>
        </w:rPr>
        <w:t>)</w:t>
      </w:r>
      <w:r w:rsidRPr="00383F2A">
        <w:rPr>
          <w:rFonts w:ascii="Times New Roman" w:hAnsi="Times New Roman"/>
          <w:sz w:val="24"/>
        </w:rPr>
        <w:t xml:space="preserve"> and </w:t>
      </w:r>
      <w:r w:rsidR="00C62485" w:rsidRPr="00383F2A">
        <w:rPr>
          <w:rFonts w:ascii="Times New Roman" w:hAnsi="Times New Roman"/>
          <w:sz w:val="24"/>
        </w:rPr>
        <w:t>high resolution peripheral quantitative computed tomography (</w:t>
      </w:r>
      <w:r w:rsidRPr="00383F2A">
        <w:rPr>
          <w:rFonts w:ascii="Times New Roman" w:hAnsi="Times New Roman"/>
          <w:sz w:val="24"/>
        </w:rPr>
        <w:t>HRpQCT</w:t>
      </w:r>
      <w:r w:rsidR="00C62485" w:rsidRPr="00383F2A">
        <w:rPr>
          <w:rFonts w:ascii="Times New Roman" w:hAnsi="Times New Roman"/>
          <w:sz w:val="24"/>
        </w:rPr>
        <w:t>) scans</w:t>
      </w:r>
      <w:r w:rsidRPr="00383F2A">
        <w:rPr>
          <w:rFonts w:ascii="Times New Roman" w:hAnsi="Times New Roman"/>
          <w:sz w:val="24"/>
        </w:rPr>
        <w:t xml:space="preserve">. Participants were scanned between April 2014 and </w:t>
      </w:r>
      <w:r w:rsidR="004151BB" w:rsidRPr="00383F2A">
        <w:rPr>
          <w:rFonts w:ascii="Times New Roman" w:hAnsi="Times New Roman"/>
          <w:sz w:val="24"/>
        </w:rPr>
        <w:t>December</w:t>
      </w:r>
      <w:r w:rsidRPr="00383F2A">
        <w:rPr>
          <w:rFonts w:ascii="Times New Roman" w:hAnsi="Times New Roman"/>
          <w:sz w:val="24"/>
        </w:rPr>
        <w:t xml:space="preserve"> 201</w:t>
      </w:r>
      <w:r w:rsidR="004151BB" w:rsidRPr="00383F2A">
        <w:rPr>
          <w:rFonts w:ascii="Times New Roman" w:hAnsi="Times New Roman"/>
          <w:sz w:val="24"/>
        </w:rPr>
        <w:t>7</w:t>
      </w:r>
      <w:r w:rsidRPr="00383F2A">
        <w:rPr>
          <w:rFonts w:ascii="Times New Roman" w:hAnsi="Times New Roman"/>
          <w:sz w:val="24"/>
        </w:rPr>
        <w:t>. Patients, who were institutionalized or were not able to complete the study survey by themselves due to cognitive impairment, language barriers, institutionalization, or were too ill to complete the survey or attend for the scans were excluded.</w:t>
      </w:r>
      <w:r w:rsidR="00E92182" w:rsidRPr="00E92182">
        <w:t xml:space="preserve"> </w:t>
      </w:r>
    </w:p>
    <w:p w14:paraId="401EEB34" w14:textId="77777777" w:rsidR="00B310EF" w:rsidRPr="00383F2A" w:rsidRDefault="00B310EF" w:rsidP="00D6525A">
      <w:pPr>
        <w:jc w:val="both"/>
        <w:rPr>
          <w:rFonts w:ascii="Times New Roman" w:hAnsi="Times New Roman"/>
          <w:sz w:val="24"/>
        </w:rPr>
      </w:pPr>
    </w:p>
    <w:p w14:paraId="6919B7D7" w14:textId="2D36341C" w:rsidR="00B310EF" w:rsidRPr="00383F2A" w:rsidRDefault="00E05682" w:rsidP="00D6525A">
      <w:pPr>
        <w:jc w:val="both"/>
        <w:rPr>
          <w:rFonts w:ascii="Times New Roman" w:hAnsi="Times New Roman"/>
          <w:i/>
          <w:sz w:val="24"/>
        </w:rPr>
      </w:pPr>
      <w:r>
        <w:rPr>
          <w:rFonts w:ascii="Times New Roman" w:hAnsi="Times New Roman"/>
          <w:i/>
          <w:sz w:val="24"/>
        </w:rPr>
        <w:t>Baseline q</w:t>
      </w:r>
      <w:r w:rsidR="00550C9B" w:rsidRPr="00383F2A">
        <w:rPr>
          <w:rFonts w:ascii="Times New Roman" w:hAnsi="Times New Roman"/>
          <w:i/>
          <w:sz w:val="24"/>
        </w:rPr>
        <w:t>uestionnaire</w:t>
      </w:r>
      <w:r w:rsidR="00957F20" w:rsidRPr="00383F2A">
        <w:rPr>
          <w:rFonts w:ascii="Times New Roman" w:hAnsi="Times New Roman"/>
          <w:i/>
          <w:sz w:val="24"/>
        </w:rPr>
        <w:t>s</w:t>
      </w:r>
    </w:p>
    <w:p w14:paraId="73809F4D" w14:textId="77777777" w:rsidR="00621983" w:rsidRPr="00383F2A" w:rsidRDefault="00621983" w:rsidP="00D6525A">
      <w:pPr>
        <w:jc w:val="both"/>
        <w:rPr>
          <w:rFonts w:ascii="Times New Roman" w:hAnsi="Times New Roman"/>
          <w:bCs/>
          <w:sz w:val="24"/>
        </w:rPr>
      </w:pPr>
      <w:r w:rsidRPr="00383F2A">
        <w:rPr>
          <w:rFonts w:ascii="Times New Roman" w:hAnsi="Times New Roman"/>
          <w:bCs/>
          <w:sz w:val="24"/>
        </w:rPr>
        <w:t xml:space="preserve">To ascertain self-perceived fracture risk (SPR), participants were asked to rate their risk of fracturing/breaking a bone, compared to other women of the same age, out of the following responses: ‘much lower’; ‘a little lower’; ‘about the same’; ‘a little higher’; and ‘much higher’. Fracture history since age 45 years was ascertained at the following locations: </w:t>
      </w:r>
      <w:r w:rsidRPr="00B12D6F">
        <w:rPr>
          <w:rFonts w:ascii="Times New Roman" w:hAnsi="Times New Roman"/>
          <w:bCs/>
          <w:sz w:val="24"/>
        </w:rPr>
        <w:t>clavicle, upper arm, wrist, spine, rib, hip, pelvis, ankle, upper leg and lower leg</w:t>
      </w:r>
      <w:r w:rsidRPr="00383F2A">
        <w:rPr>
          <w:rFonts w:ascii="Times New Roman" w:hAnsi="Times New Roman"/>
          <w:bCs/>
          <w:sz w:val="24"/>
        </w:rPr>
        <w:t>. Family history of hip fracture was obtained by asking participants whether their mother or father had ever broken or fractured their hip. Information on the number of falls during the previous 12 months was also collected.</w:t>
      </w:r>
    </w:p>
    <w:p w14:paraId="286C3B7E" w14:textId="77777777" w:rsidR="00621983" w:rsidRPr="00383F2A" w:rsidRDefault="00621983" w:rsidP="00D6525A">
      <w:pPr>
        <w:jc w:val="both"/>
        <w:rPr>
          <w:rFonts w:ascii="Times New Roman" w:hAnsi="Times New Roman"/>
          <w:bCs/>
          <w:sz w:val="24"/>
        </w:rPr>
      </w:pPr>
    </w:p>
    <w:p w14:paraId="5B33279D" w14:textId="4FFD8560" w:rsidR="00621983" w:rsidRPr="00383F2A" w:rsidRDefault="00621983" w:rsidP="00D6525A">
      <w:pPr>
        <w:jc w:val="both"/>
        <w:rPr>
          <w:rFonts w:ascii="Times New Roman" w:hAnsi="Times New Roman"/>
          <w:bCs/>
          <w:sz w:val="24"/>
        </w:rPr>
      </w:pPr>
      <w:r w:rsidRPr="00383F2A">
        <w:rPr>
          <w:rFonts w:ascii="Times New Roman" w:hAnsi="Times New Roman"/>
          <w:bCs/>
          <w:sz w:val="24"/>
        </w:rPr>
        <w:t>Further information ascertained from questionnaires included: age; self-reported height and weight; smoking status; alcohol consumption; physical activity; educational attainment; current use of anti-osteoporotic medication (AOM), calcium supplements and Vitamin D supplements (or multivitamin with Vitamin D); current/previous use of oestrogen or hormone replacement therapy (HRT); and years since menopause. Participants were considered to be taking AOM if they reported current use of alendronate, calcitonin, etidronate, ibandronate, pamidronate, raloxifene, risedronate, strontium ranelate, teriparatide, tibolon</w:t>
      </w:r>
      <w:r w:rsidR="00C62485" w:rsidRPr="00383F2A">
        <w:rPr>
          <w:rFonts w:ascii="Times New Roman" w:hAnsi="Times New Roman"/>
          <w:bCs/>
          <w:sz w:val="24"/>
        </w:rPr>
        <w:t>e</w:t>
      </w:r>
      <w:r w:rsidRPr="00383F2A">
        <w:rPr>
          <w:rFonts w:ascii="Times New Roman" w:hAnsi="Times New Roman"/>
          <w:bCs/>
          <w:sz w:val="24"/>
        </w:rPr>
        <w:t xml:space="preserve"> or zoledronic acid. Participants were asked whether a doctor or health provider had ever told them that they had the following conditions: hypertension; heart disease; high cholesterol; asthma; chronic bronchitis/emphysema; </w:t>
      </w:r>
      <w:r w:rsidR="004B6CC4">
        <w:rPr>
          <w:rFonts w:ascii="Times New Roman" w:hAnsi="Times New Roman"/>
          <w:bCs/>
          <w:sz w:val="24"/>
        </w:rPr>
        <w:t xml:space="preserve">osteoporosis; </w:t>
      </w:r>
      <w:r w:rsidRPr="00383F2A">
        <w:rPr>
          <w:rFonts w:ascii="Times New Roman" w:hAnsi="Times New Roman"/>
          <w:bCs/>
          <w:sz w:val="24"/>
        </w:rPr>
        <w:t>osteoarthritis/degenerative joint disease; rheumatoid arthritis; stroke; ulcerative colitis/Crohn’s disease; celiac disease; Parkinson’s disease; multiple sclerosis; cancer; and type 1 diabetes.</w:t>
      </w:r>
    </w:p>
    <w:p w14:paraId="4C80479B" w14:textId="77777777" w:rsidR="00903693" w:rsidRPr="00383F2A" w:rsidRDefault="00903693" w:rsidP="00D6525A">
      <w:pPr>
        <w:jc w:val="both"/>
        <w:rPr>
          <w:rFonts w:ascii="Times New Roman" w:hAnsi="Times New Roman"/>
          <w:sz w:val="24"/>
          <w:lang w:val="en-US"/>
        </w:rPr>
      </w:pPr>
    </w:p>
    <w:p w14:paraId="15C0BF09" w14:textId="2132CC51" w:rsidR="00550C9B" w:rsidRPr="00383F2A" w:rsidRDefault="00235D6F" w:rsidP="00D6525A">
      <w:pPr>
        <w:jc w:val="both"/>
        <w:rPr>
          <w:rFonts w:ascii="Times New Roman" w:hAnsi="Times New Roman"/>
          <w:i/>
          <w:sz w:val="24"/>
        </w:rPr>
      </w:pPr>
      <w:r w:rsidRPr="00383F2A">
        <w:rPr>
          <w:rFonts w:ascii="Times New Roman" w:hAnsi="Times New Roman"/>
          <w:i/>
          <w:sz w:val="24"/>
        </w:rPr>
        <w:t xml:space="preserve">Anthropometry and </w:t>
      </w:r>
      <w:r w:rsidR="00550C9B" w:rsidRPr="00383F2A">
        <w:rPr>
          <w:rFonts w:ascii="Times New Roman" w:hAnsi="Times New Roman"/>
          <w:i/>
          <w:sz w:val="24"/>
        </w:rPr>
        <w:t>DXA</w:t>
      </w:r>
    </w:p>
    <w:p w14:paraId="68B514ED" w14:textId="5AD3AE0E" w:rsidR="00BF2524" w:rsidRPr="00383F2A" w:rsidRDefault="00646976" w:rsidP="00D6525A">
      <w:pPr>
        <w:jc w:val="both"/>
        <w:rPr>
          <w:rFonts w:ascii="Times New Roman" w:hAnsi="Times New Roman"/>
          <w:bCs/>
          <w:sz w:val="24"/>
        </w:rPr>
      </w:pPr>
      <w:r w:rsidRPr="00383F2A">
        <w:rPr>
          <w:rFonts w:ascii="Times New Roman" w:hAnsi="Times New Roman"/>
          <w:bCs/>
          <w:sz w:val="24"/>
        </w:rPr>
        <w:t xml:space="preserve">In </w:t>
      </w:r>
      <w:r w:rsidR="00C62485" w:rsidRPr="00383F2A">
        <w:rPr>
          <w:rFonts w:ascii="Times New Roman" w:hAnsi="Times New Roman"/>
          <w:bCs/>
          <w:sz w:val="24"/>
        </w:rPr>
        <w:t xml:space="preserve">a </w:t>
      </w:r>
      <w:r w:rsidR="006D125C" w:rsidRPr="00383F2A">
        <w:rPr>
          <w:rFonts w:ascii="Times New Roman" w:hAnsi="Times New Roman"/>
          <w:bCs/>
          <w:sz w:val="24"/>
        </w:rPr>
        <w:t xml:space="preserve">subgroup of </w:t>
      </w:r>
      <w:r w:rsidRPr="00383F2A">
        <w:rPr>
          <w:rFonts w:ascii="Times New Roman" w:hAnsi="Times New Roman"/>
          <w:bCs/>
          <w:sz w:val="24"/>
        </w:rPr>
        <w:t>participants that underwent DXA</w:t>
      </w:r>
      <w:r w:rsidR="00CE0DFB">
        <w:rPr>
          <w:rFonts w:ascii="Times New Roman" w:hAnsi="Times New Roman"/>
          <w:bCs/>
          <w:sz w:val="24"/>
        </w:rPr>
        <w:t xml:space="preserve"> at a median (lower quartile, upper quartile) of </w:t>
      </w:r>
      <w:r w:rsidR="00CE0DFB" w:rsidRPr="00B12D6F">
        <w:rPr>
          <w:rFonts w:ascii="Times New Roman" w:hAnsi="Times New Roman"/>
          <w:bCs/>
          <w:sz w:val="24"/>
        </w:rPr>
        <w:t>7.5 (7.1, 8.9)</w:t>
      </w:r>
      <w:r w:rsidR="00CE0DFB">
        <w:rPr>
          <w:rFonts w:ascii="Times New Roman" w:hAnsi="Times New Roman"/>
          <w:bCs/>
          <w:sz w:val="24"/>
        </w:rPr>
        <w:t xml:space="preserve"> years after the baseline questionnaire</w:t>
      </w:r>
      <w:r w:rsidR="00C62485" w:rsidRPr="00383F2A">
        <w:rPr>
          <w:rFonts w:ascii="Times New Roman" w:hAnsi="Times New Roman"/>
          <w:bCs/>
          <w:sz w:val="24"/>
        </w:rPr>
        <w:t>,</w:t>
      </w:r>
      <w:r w:rsidR="00C07AF3" w:rsidRPr="00383F2A">
        <w:rPr>
          <w:rFonts w:ascii="Times New Roman" w:hAnsi="Times New Roman"/>
          <w:bCs/>
          <w:sz w:val="24"/>
        </w:rPr>
        <w:t xml:space="preserve"> h</w:t>
      </w:r>
      <w:r w:rsidR="000A4B45" w:rsidRPr="00383F2A">
        <w:rPr>
          <w:rFonts w:ascii="Times New Roman" w:hAnsi="Times New Roman"/>
          <w:bCs/>
          <w:sz w:val="24"/>
        </w:rPr>
        <w:t>eight was measured to the nearest 0.1 cm using a Marsden stadiometer</w:t>
      </w:r>
      <w:r w:rsidR="00DA574D" w:rsidRPr="00383F2A">
        <w:rPr>
          <w:rFonts w:ascii="Times New Roman" w:hAnsi="Times New Roman"/>
          <w:bCs/>
          <w:sz w:val="24"/>
        </w:rPr>
        <w:t xml:space="preserve"> on the day of scanning</w:t>
      </w:r>
      <w:r w:rsidR="000A4B45" w:rsidRPr="00383F2A">
        <w:rPr>
          <w:rFonts w:ascii="Times New Roman" w:hAnsi="Times New Roman"/>
          <w:bCs/>
          <w:sz w:val="24"/>
        </w:rPr>
        <w:t>; weight was measured to the nearest 0.1 kg using a Marsden MPPS-250 (Marsden Weighing Machine Group Limited, Rotherham, UK) digital floor scale.</w:t>
      </w:r>
      <w:r w:rsidR="0003192D" w:rsidRPr="00383F2A">
        <w:rPr>
          <w:rFonts w:ascii="Times New Roman" w:hAnsi="Times New Roman"/>
          <w:bCs/>
          <w:sz w:val="24"/>
        </w:rPr>
        <w:t xml:space="preserve"> Areal b</w:t>
      </w:r>
      <w:r w:rsidR="00D45300" w:rsidRPr="00383F2A">
        <w:rPr>
          <w:rFonts w:ascii="Times New Roman" w:hAnsi="Times New Roman"/>
          <w:bCs/>
          <w:sz w:val="24"/>
        </w:rPr>
        <w:t>one mineral density (</w:t>
      </w:r>
      <w:r w:rsidR="0003192D" w:rsidRPr="00383F2A">
        <w:rPr>
          <w:rFonts w:ascii="Times New Roman" w:hAnsi="Times New Roman"/>
          <w:bCs/>
          <w:sz w:val="24"/>
        </w:rPr>
        <w:t>a</w:t>
      </w:r>
      <w:r w:rsidR="000A4B45" w:rsidRPr="00383F2A">
        <w:rPr>
          <w:rFonts w:ascii="Times New Roman" w:hAnsi="Times New Roman"/>
          <w:bCs/>
          <w:sz w:val="24"/>
        </w:rPr>
        <w:t>BMD, g/cm</w:t>
      </w:r>
      <w:r w:rsidR="000A4B45" w:rsidRPr="00383F2A">
        <w:rPr>
          <w:rFonts w:ascii="Times New Roman" w:hAnsi="Times New Roman"/>
          <w:bCs/>
          <w:sz w:val="24"/>
          <w:vertAlign w:val="superscript"/>
        </w:rPr>
        <w:t>2</w:t>
      </w:r>
      <w:r w:rsidR="000A4B45" w:rsidRPr="00383F2A">
        <w:rPr>
          <w:rFonts w:ascii="Times New Roman" w:hAnsi="Times New Roman"/>
          <w:bCs/>
          <w:sz w:val="24"/>
        </w:rPr>
        <w:t xml:space="preserve">) </w:t>
      </w:r>
      <w:r w:rsidR="00D45300" w:rsidRPr="00383F2A">
        <w:rPr>
          <w:rFonts w:ascii="Times New Roman" w:hAnsi="Times New Roman"/>
          <w:bCs/>
          <w:sz w:val="24"/>
        </w:rPr>
        <w:t>of the</w:t>
      </w:r>
      <w:r w:rsidR="00B34C9E">
        <w:rPr>
          <w:rFonts w:ascii="Times New Roman" w:hAnsi="Times New Roman"/>
          <w:bCs/>
          <w:sz w:val="24"/>
        </w:rPr>
        <w:t xml:space="preserve"> total body,</w:t>
      </w:r>
      <w:r w:rsidR="00D45300" w:rsidRPr="00383F2A">
        <w:rPr>
          <w:rFonts w:ascii="Times New Roman" w:hAnsi="Times New Roman"/>
          <w:bCs/>
          <w:sz w:val="24"/>
        </w:rPr>
        <w:t xml:space="preserve"> hip, femoral neck and </w:t>
      </w:r>
      <w:r w:rsidR="00244094" w:rsidRPr="00383F2A">
        <w:rPr>
          <w:rFonts w:ascii="Times New Roman" w:hAnsi="Times New Roman"/>
          <w:bCs/>
          <w:sz w:val="24"/>
        </w:rPr>
        <w:t>lumbar spine</w:t>
      </w:r>
      <w:r w:rsidR="00D45300" w:rsidRPr="00383F2A">
        <w:rPr>
          <w:rFonts w:ascii="Times New Roman" w:hAnsi="Times New Roman"/>
          <w:bCs/>
          <w:sz w:val="24"/>
        </w:rPr>
        <w:t xml:space="preserve"> was </w:t>
      </w:r>
      <w:r w:rsidR="000A4B45" w:rsidRPr="00383F2A">
        <w:rPr>
          <w:rFonts w:ascii="Times New Roman" w:hAnsi="Times New Roman"/>
          <w:bCs/>
          <w:sz w:val="24"/>
        </w:rPr>
        <w:t xml:space="preserve">measured </w:t>
      </w:r>
      <w:r w:rsidR="00D45300" w:rsidRPr="00383F2A">
        <w:rPr>
          <w:rFonts w:ascii="Times New Roman" w:hAnsi="Times New Roman"/>
          <w:bCs/>
          <w:sz w:val="24"/>
        </w:rPr>
        <w:t>using a DXA Hologic Horizon W (software version Apex 5.5.3.1 [Vertec Scientific, Reading, UK])</w:t>
      </w:r>
      <w:r w:rsidR="00BB2D64" w:rsidRPr="00383F2A">
        <w:rPr>
          <w:rFonts w:ascii="Times New Roman" w:hAnsi="Times New Roman"/>
          <w:bCs/>
          <w:sz w:val="24"/>
        </w:rPr>
        <w:t>.</w:t>
      </w:r>
      <w:r w:rsidR="00D96687" w:rsidRPr="00383F2A">
        <w:rPr>
          <w:rFonts w:ascii="Times New Roman" w:hAnsi="Times New Roman"/>
          <w:bCs/>
          <w:sz w:val="24"/>
        </w:rPr>
        <w:t xml:space="preserve"> </w:t>
      </w:r>
      <w:r w:rsidR="00A22912">
        <w:rPr>
          <w:rFonts w:ascii="Times New Roman" w:hAnsi="Times New Roman"/>
          <w:bCs/>
          <w:sz w:val="24"/>
        </w:rPr>
        <w:t xml:space="preserve"> </w:t>
      </w:r>
    </w:p>
    <w:p w14:paraId="153A6FA9" w14:textId="77777777" w:rsidR="00D96687" w:rsidRPr="00383F2A" w:rsidRDefault="00D96687" w:rsidP="00D6525A">
      <w:pPr>
        <w:jc w:val="both"/>
        <w:rPr>
          <w:rFonts w:ascii="Times New Roman" w:hAnsi="Times New Roman"/>
          <w:sz w:val="24"/>
        </w:rPr>
      </w:pPr>
    </w:p>
    <w:p w14:paraId="05F0B20D" w14:textId="427C4EED" w:rsidR="00550C9B" w:rsidRPr="00383F2A" w:rsidRDefault="0056147D" w:rsidP="00D6525A">
      <w:pPr>
        <w:jc w:val="both"/>
        <w:rPr>
          <w:rFonts w:ascii="Times New Roman" w:hAnsi="Times New Roman"/>
          <w:i/>
          <w:sz w:val="24"/>
        </w:rPr>
      </w:pPr>
      <w:r w:rsidRPr="00383F2A">
        <w:rPr>
          <w:rFonts w:ascii="Times New Roman" w:hAnsi="Times New Roman"/>
          <w:i/>
          <w:sz w:val="24"/>
        </w:rPr>
        <w:t>Assessment of bone by HRpQCT</w:t>
      </w:r>
    </w:p>
    <w:p w14:paraId="7DEB4A0D" w14:textId="5EBAC647" w:rsidR="00D22191" w:rsidRPr="00383F2A" w:rsidRDefault="00CE0DFB" w:rsidP="00D6525A">
      <w:pPr>
        <w:jc w:val="both"/>
        <w:rPr>
          <w:rFonts w:ascii="Times New Roman" w:hAnsi="Times New Roman"/>
          <w:noProof/>
          <w:sz w:val="24"/>
        </w:rPr>
      </w:pPr>
      <w:r>
        <w:rPr>
          <w:rFonts w:ascii="Times New Roman" w:hAnsi="Times New Roman"/>
          <w:sz w:val="24"/>
        </w:rPr>
        <w:t>This s</w:t>
      </w:r>
      <w:r w:rsidR="00935B45" w:rsidRPr="00383F2A">
        <w:rPr>
          <w:rFonts w:ascii="Times New Roman" w:hAnsi="Times New Roman"/>
          <w:sz w:val="24"/>
        </w:rPr>
        <w:t>ubgroup of p</w:t>
      </w:r>
      <w:r w:rsidR="00DA574D" w:rsidRPr="00383F2A">
        <w:rPr>
          <w:rFonts w:ascii="Times New Roman" w:hAnsi="Times New Roman"/>
          <w:sz w:val="24"/>
        </w:rPr>
        <w:t>articipants</w:t>
      </w:r>
      <w:r w:rsidR="00AE0FD9" w:rsidRPr="00383F2A">
        <w:rPr>
          <w:rFonts w:ascii="Times New Roman" w:hAnsi="Times New Roman"/>
          <w:sz w:val="24"/>
        </w:rPr>
        <w:t xml:space="preserve"> </w:t>
      </w:r>
      <w:r>
        <w:rPr>
          <w:rFonts w:ascii="Times New Roman" w:hAnsi="Times New Roman"/>
          <w:sz w:val="24"/>
        </w:rPr>
        <w:t xml:space="preserve">also </w:t>
      </w:r>
      <w:r w:rsidR="00AE0FD9" w:rsidRPr="00383F2A">
        <w:rPr>
          <w:rFonts w:ascii="Times New Roman" w:hAnsi="Times New Roman"/>
          <w:sz w:val="24"/>
        </w:rPr>
        <w:t xml:space="preserve">underwent </w:t>
      </w:r>
      <w:r w:rsidR="009914F9" w:rsidRPr="00383F2A">
        <w:rPr>
          <w:rFonts w:ascii="Times New Roman" w:hAnsi="Times New Roman"/>
          <w:sz w:val="24"/>
        </w:rPr>
        <w:t xml:space="preserve">a </w:t>
      </w:r>
      <w:r w:rsidR="00AE0FD9" w:rsidRPr="00383F2A">
        <w:rPr>
          <w:rFonts w:ascii="Times New Roman" w:hAnsi="Times New Roman"/>
          <w:sz w:val="24"/>
        </w:rPr>
        <w:t xml:space="preserve">HRpQCT </w:t>
      </w:r>
      <w:r w:rsidR="009914F9" w:rsidRPr="00383F2A">
        <w:rPr>
          <w:rFonts w:ascii="Times New Roman" w:hAnsi="Times New Roman"/>
          <w:sz w:val="24"/>
        </w:rPr>
        <w:t xml:space="preserve">scan </w:t>
      </w:r>
      <w:r w:rsidR="00AE0FD9" w:rsidRPr="00383F2A">
        <w:rPr>
          <w:rFonts w:ascii="Times New Roman" w:hAnsi="Times New Roman"/>
          <w:sz w:val="24"/>
        </w:rPr>
        <w:t xml:space="preserve">of </w:t>
      </w:r>
      <w:r w:rsidR="00F34CB0" w:rsidRPr="00383F2A">
        <w:rPr>
          <w:rFonts w:ascii="Times New Roman" w:hAnsi="Times New Roman"/>
          <w:sz w:val="24"/>
        </w:rPr>
        <w:t xml:space="preserve">the </w:t>
      </w:r>
      <w:r w:rsidR="00AE0FD9" w:rsidRPr="00383F2A">
        <w:rPr>
          <w:rFonts w:ascii="Times New Roman" w:hAnsi="Times New Roman"/>
          <w:sz w:val="24"/>
        </w:rPr>
        <w:t xml:space="preserve">non-dominant distal radius </w:t>
      </w:r>
      <w:r w:rsidR="00E11839" w:rsidRPr="00383F2A">
        <w:rPr>
          <w:rFonts w:ascii="Times New Roman" w:hAnsi="Times New Roman"/>
          <w:sz w:val="24"/>
        </w:rPr>
        <w:t xml:space="preserve">and tibia </w:t>
      </w:r>
      <w:r w:rsidR="00AE0FD9" w:rsidRPr="00383F2A">
        <w:rPr>
          <w:rFonts w:ascii="Times New Roman" w:hAnsi="Times New Roman"/>
          <w:sz w:val="24"/>
        </w:rPr>
        <w:t>using XtremeCT</w:t>
      </w:r>
      <w:r w:rsidR="00C62485" w:rsidRPr="00383F2A">
        <w:rPr>
          <w:rFonts w:ascii="Times New Roman" w:hAnsi="Times New Roman"/>
          <w:sz w:val="24"/>
        </w:rPr>
        <w:t xml:space="preserve"> </w:t>
      </w:r>
      <w:r w:rsidR="009914F9" w:rsidRPr="00383F2A">
        <w:rPr>
          <w:rFonts w:ascii="Times New Roman" w:hAnsi="Times New Roman"/>
          <w:sz w:val="24"/>
        </w:rPr>
        <w:t>(</w:t>
      </w:r>
      <w:r w:rsidR="00AE0FD9" w:rsidRPr="00383F2A">
        <w:rPr>
          <w:rFonts w:ascii="Times New Roman" w:hAnsi="Times New Roman"/>
          <w:sz w:val="24"/>
        </w:rPr>
        <w:t>Scanco Medical, Basserdorf, Switzerland)</w:t>
      </w:r>
      <w:r w:rsidR="00DA574D" w:rsidRPr="00383F2A">
        <w:rPr>
          <w:rFonts w:ascii="Times New Roman" w:hAnsi="Times New Roman"/>
          <w:sz w:val="24"/>
        </w:rPr>
        <w:t xml:space="preserve"> on the same day as the DXA scan</w:t>
      </w:r>
      <w:r w:rsidR="009914F9" w:rsidRPr="00383F2A">
        <w:rPr>
          <w:rFonts w:ascii="Times New Roman" w:hAnsi="Times New Roman"/>
          <w:sz w:val="24"/>
        </w:rPr>
        <w:t>; if there was a history of fracture on the non-</w:t>
      </w:r>
      <w:r w:rsidR="00036E4C" w:rsidRPr="00383F2A">
        <w:rPr>
          <w:rFonts w:ascii="Times New Roman" w:hAnsi="Times New Roman"/>
          <w:sz w:val="24"/>
        </w:rPr>
        <w:t>dominant</w:t>
      </w:r>
      <w:r w:rsidR="009914F9" w:rsidRPr="00383F2A">
        <w:rPr>
          <w:rFonts w:ascii="Times New Roman" w:hAnsi="Times New Roman"/>
          <w:sz w:val="24"/>
        </w:rPr>
        <w:t xml:space="preserve"> limb, the non</w:t>
      </w:r>
      <w:r w:rsidR="00036E4C" w:rsidRPr="00383F2A">
        <w:rPr>
          <w:rFonts w:ascii="Times New Roman" w:hAnsi="Times New Roman"/>
          <w:sz w:val="24"/>
        </w:rPr>
        <w:t>-</w:t>
      </w:r>
      <w:r w:rsidR="009914F9" w:rsidRPr="00383F2A">
        <w:rPr>
          <w:rFonts w:ascii="Times New Roman" w:hAnsi="Times New Roman"/>
          <w:sz w:val="24"/>
        </w:rPr>
        <w:t>fractured limb was measured</w:t>
      </w:r>
      <w:r w:rsidR="00AE0FD9" w:rsidRPr="00383F2A">
        <w:rPr>
          <w:rFonts w:ascii="Times New Roman" w:hAnsi="Times New Roman"/>
          <w:sz w:val="24"/>
        </w:rPr>
        <w:t>.</w:t>
      </w:r>
      <w:r w:rsidR="00D22191" w:rsidRPr="00383F2A">
        <w:rPr>
          <w:rFonts w:ascii="Times New Roman" w:hAnsi="Times New Roman"/>
          <w:sz w:val="24"/>
        </w:rPr>
        <w:t xml:space="preserve"> </w:t>
      </w:r>
      <w:r w:rsidR="009914F9" w:rsidRPr="00383F2A">
        <w:rPr>
          <w:rFonts w:ascii="Times New Roman" w:hAnsi="Times New Roman"/>
          <w:sz w:val="24"/>
        </w:rPr>
        <w:t>A</w:t>
      </w:r>
      <w:r w:rsidR="00D22191" w:rsidRPr="00383F2A">
        <w:rPr>
          <w:rFonts w:ascii="Times New Roman" w:hAnsi="Times New Roman"/>
          <w:sz w:val="24"/>
        </w:rPr>
        <w:t xml:space="preserve"> stack of 1</w:t>
      </w:r>
      <w:r w:rsidR="004151BB" w:rsidRPr="00383F2A">
        <w:rPr>
          <w:rFonts w:ascii="Times New Roman" w:hAnsi="Times New Roman"/>
          <w:sz w:val="24"/>
        </w:rPr>
        <w:t>04</w:t>
      </w:r>
      <w:r w:rsidR="00D22191" w:rsidRPr="00383F2A">
        <w:rPr>
          <w:rFonts w:ascii="Times New Roman" w:hAnsi="Times New Roman"/>
          <w:sz w:val="24"/>
        </w:rPr>
        <w:t xml:space="preserve"> parallel </w:t>
      </w:r>
      <w:r w:rsidR="009914F9" w:rsidRPr="00383F2A">
        <w:rPr>
          <w:rFonts w:ascii="Times New Roman" w:hAnsi="Times New Roman"/>
          <w:sz w:val="24"/>
        </w:rPr>
        <w:t>HRpQ</w:t>
      </w:r>
      <w:r w:rsidR="00D22191" w:rsidRPr="00383F2A">
        <w:rPr>
          <w:rFonts w:ascii="Times New Roman" w:hAnsi="Times New Roman"/>
          <w:sz w:val="24"/>
        </w:rPr>
        <w:t xml:space="preserve">CT slices </w:t>
      </w:r>
      <w:r w:rsidR="00DB0572" w:rsidRPr="00383F2A">
        <w:rPr>
          <w:rFonts w:ascii="Times New Roman" w:hAnsi="Times New Roman"/>
          <w:sz w:val="24"/>
        </w:rPr>
        <w:t xml:space="preserve">were </w:t>
      </w:r>
      <w:r w:rsidR="009914F9" w:rsidRPr="00383F2A">
        <w:rPr>
          <w:rFonts w:ascii="Times New Roman" w:hAnsi="Times New Roman"/>
          <w:sz w:val="24"/>
        </w:rPr>
        <w:t xml:space="preserve">acquired </w:t>
      </w:r>
      <w:r w:rsidR="00D22191" w:rsidRPr="00383F2A">
        <w:rPr>
          <w:rFonts w:ascii="Times New Roman" w:hAnsi="Times New Roman"/>
          <w:sz w:val="24"/>
        </w:rPr>
        <w:t>with an</w:t>
      </w:r>
      <w:r w:rsidR="004F6CB9" w:rsidRPr="00383F2A">
        <w:rPr>
          <w:rFonts w:ascii="Times New Roman" w:hAnsi="Times New Roman"/>
          <w:sz w:val="24"/>
        </w:rPr>
        <w:t xml:space="preserve"> isotropic voxel size of 82 µm.</w:t>
      </w:r>
      <w:r w:rsidR="00D22191" w:rsidRPr="00383F2A">
        <w:rPr>
          <w:rFonts w:ascii="Times New Roman" w:hAnsi="Times New Roman"/>
          <w:sz w:val="24"/>
        </w:rPr>
        <w:t xml:space="preserve"> Methods used to process the </w:t>
      </w:r>
      <w:r w:rsidR="009914F9" w:rsidRPr="00383F2A">
        <w:rPr>
          <w:rFonts w:ascii="Times New Roman" w:hAnsi="Times New Roman"/>
          <w:sz w:val="24"/>
        </w:rPr>
        <w:t>HRpQ</w:t>
      </w:r>
      <w:r w:rsidR="00D22191" w:rsidRPr="00383F2A">
        <w:rPr>
          <w:rFonts w:ascii="Times New Roman" w:hAnsi="Times New Roman"/>
          <w:sz w:val="24"/>
        </w:rPr>
        <w:t>CT data have been described pr</w:t>
      </w:r>
      <w:r w:rsidR="00F2597A" w:rsidRPr="00383F2A">
        <w:rPr>
          <w:rFonts w:ascii="Times New Roman" w:hAnsi="Times New Roman"/>
          <w:sz w:val="24"/>
        </w:rPr>
        <w:t xml:space="preserve">eviously </w:t>
      </w:r>
      <w:r w:rsidR="003E20A7" w:rsidRPr="00383F2A">
        <w:rPr>
          <w:rFonts w:ascii="Times New Roman" w:hAnsi="Times New Roman"/>
          <w:sz w:val="24"/>
        </w:rPr>
        <w:fldChar w:fldCharType="begin">
          <w:fldData xml:space="preserve">PEVuZE5vdGU+PENpdGU+PEF1dGhvcj5Cb3V0cm95PC9BdXRob3I+PFllYXI+MjAwNTwvWWVhcj48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LTE+VGhlIEpvdXJuYWwgb2YgY2xpbmljYWwgZW5kb2NyaW5vbG9neSBhbmQgbWV0YWJvbGlzbTwv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</w:fldData>
        </w:fldChar>
      </w:r>
      <w:r w:rsidR="00F4416D" w:rsidRPr="00383F2A">
        <w:rPr>
          <w:rFonts w:ascii="Times New Roman" w:hAnsi="Times New Roman"/>
          <w:sz w:val="24"/>
        </w:rPr>
        <w:instrText xml:space="preserve"> ADDIN EN.CITE </w:instrText>
      </w:r>
      <w:r w:rsidR="00F4416D" w:rsidRPr="00383F2A">
        <w:rPr>
          <w:rFonts w:ascii="Times New Roman" w:hAnsi="Times New Roman"/>
          <w:sz w:val="24"/>
        </w:rPr>
        <w:fldChar w:fldCharType="begin">
          <w:fldData xml:space="preserve">PEVuZE5vdGU+PENpdGU+PEF1dGhvcj5Cb3V0cm95PC9BdXRob3I+PFllYXI+MjAwNTwvWWVhcj48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LTE+VGhlIEpvdXJuYWwgb2YgY2xpbmljYWwgZW5kb2NyaW5vbG9neSBhbmQgbWV0YWJvbGlzbTwv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</w:fldData>
        </w:fldChar>
      </w:r>
      <w:r w:rsidR="00F4416D" w:rsidRPr="00383F2A">
        <w:rPr>
          <w:rFonts w:ascii="Times New Roman" w:hAnsi="Times New Roman"/>
          <w:sz w:val="24"/>
        </w:rPr>
        <w:instrText xml:space="preserve"> ADDIN EN.CITE.DATA </w:instrText>
      </w:r>
      <w:r w:rsidR="00F4416D" w:rsidRPr="00383F2A">
        <w:rPr>
          <w:rFonts w:ascii="Times New Roman" w:hAnsi="Times New Roman"/>
          <w:sz w:val="24"/>
        </w:rPr>
      </w:r>
      <w:r w:rsidR="00F4416D" w:rsidRPr="00383F2A">
        <w:rPr>
          <w:rFonts w:ascii="Times New Roman" w:hAnsi="Times New Roman"/>
          <w:sz w:val="24"/>
        </w:rPr>
        <w:fldChar w:fldCharType="end"/>
      </w:r>
      <w:r w:rsidR="003E20A7" w:rsidRPr="00383F2A">
        <w:rPr>
          <w:rFonts w:ascii="Times New Roman" w:hAnsi="Times New Roman"/>
          <w:sz w:val="24"/>
        </w:rPr>
      </w:r>
      <w:r w:rsidR="003E20A7" w:rsidRPr="00383F2A">
        <w:rPr>
          <w:rFonts w:ascii="Times New Roman" w:hAnsi="Times New Roman"/>
          <w:sz w:val="24"/>
        </w:rPr>
        <w:fldChar w:fldCharType="separate"/>
      </w:r>
      <w:r w:rsidR="00A56121" w:rsidRPr="00383F2A">
        <w:rPr>
          <w:rFonts w:ascii="Times New Roman" w:hAnsi="Times New Roman"/>
          <w:noProof/>
          <w:sz w:val="24"/>
        </w:rPr>
        <w:t>[</w:t>
      </w:r>
      <w:r w:rsidR="00AA35FB">
        <w:rPr>
          <w:rFonts w:ascii="Times New Roman" w:hAnsi="Times New Roman"/>
          <w:noProof/>
          <w:sz w:val="24"/>
        </w:rPr>
        <w:t>10</w:t>
      </w:r>
      <w:r w:rsidR="00F4416D" w:rsidRPr="00383F2A">
        <w:rPr>
          <w:rFonts w:ascii="Times New Roman" w:hAnsi="Times New Roman"/>
          <w:noProof/>
          <w:sz w:val="24"/>
        </w:rPr>
        <w:t>]</w:t>
      </w:r>
      <w:r w:rsidR="003E20A7" w:rsidRPr="00383F2A">
        <w:rPr>
          <w:rFonts w:ascii="Times New Roman" w:hAnsi="Times New Roman"/>
          <w:sz w:val="24"/>
        </w:rPr>
        <w:fldChar w:fldCharType="end"/>
      </w:r>
      <w:r w:rsidR="00F2597A" w:rsidRPr="00383F2A">
        <w:rPr>
          <w:rFonts w:ascii="Times New Roman" w:hAnsi="Times New Roman"/>
          <w:sz w:val="24"/>
        </w:rPr>
        <w:t>.</w:t>
      </w:r>
      <w:r w:rsidR="00D22191" w:rsidRPr="00383F2A">
        <w:rPr>
          <w:rFonts w:ascii="Times New Roman" w:hAnsi="Times New Roman"/>
          <w:sz w:val="24"/>
        </w:rPr>
        <w:t xml:space="preserve"> </w:t>
      </w:r>
      <w:r w:rsidR="004A60A9" w:rsidRPr="00383F2A">
        <w:rPr>
          <w:rFonts w:ascii="Times New Roman" w:hAnsi="Times New Roman"/>
          <w:sz w:val="24"/>
        </w:rPr>
        <w:t xml:space="preserve">For this analysis, the standard evaluation and cortical porosity scripts were run to obtain estimates of the following parameters at the radius and tibia: total area and trabecular area, </w:t>
      </w:r>
      <w:r w:rsidR="00CC16CD" w:rsidRPr="00383F2A">
        <w:rPr>
          <w:rFonts w:ascii="Times New Roman" w:hAnsi="Times New Roman"/>
          <w:sz w:val="24"/>
        </w:rPr>
        <w:t xml:space="preserve">volumetric </w:t>
      </w:r>
      <w:r w:rsidR="004A60A9" w:rsidRPr="00383F2A">
        <w:rPr>
          <w:rFonts w:ascii="Times New Roman" w:hAnsi="Times New Roman"/>
          <w:sz w:val="24"/>
        </w:rPr>
        <w:t xml:space="preserve">density, number, thickness and separation; cortical area, thickness, volumetric density and pores diameter; and cortical porosity </w:t>
      </w:r>
      <w:r w:rsidR="004A60A9" w:rsidRPr="00383F2A">
        <w:rPr>
          <w:rFonts w:ascii="Times New Roman" w:hAnsi="Times New Roman"/>
          <w:sz w:val="24"/>
        </w:rPr>
        <w:fldChar w:fldCharType="begin">
          <w:fldData xml:space="preserve">PEVuZE5vdGU+PENpdGU+PEF1dGhvcj5CdXJnaGFyZHQ8L0F1dGhvcj48WWVhcj4yMDEwPC9ZZWFy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bD48YWx0LXBlcmlvZGljYWw+PGZ1bGwtdGl0bGU+SiBCb25lIE1pbmVyIFJlczwvZnVsbC10aXRs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</w:fldData>
        </w:fldChar>
      </w:r>
      <w:r w:rsidR="00F4416D" w:rsidRPr="00383F2A">
        <w:rPr>
          <w:rFonts w:ascii="Times New Roman" w:hAnsi="Times New Roman"/>
          <w:sz w:val="24"/>
        </w:rPr>
        <w:instrText xml:space="preserve"> ADDIN EN.CITE </w:instrText>
      </w:r>
      <w:r w:rsidR="00F4416D" w:rsidRPr="00383F2A">
        <w:rPr>
          <w:rFonts w:ascii="Times New Roman" w:hAnsi="Times New Roman"/>
          <w:sz w:val="24"/>
        </w:rPr>
        <w:fldChar w:fldCharType="begin">
          <w:fldData xml:space="preserve">PEVuZE5vdGU+PENpdGU+PEF1dGhvcj5CdXJnaGFyZHQ8L0F1dGhvcj48WWVhcj4yMDEwPC9ZZWFy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bD48YWx0LXBlcmlvZGljYWw+PGZ1bGwtdGl0bGU+SiBCb25lIE1pbmVyIFJlczwvZnVsbC10aXRs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</w:fldData>
        </w:fldChar>
      </w:r>
      <w:r w:rsidR="00F4416D" w:rsidRPr="00383F2A">
        <w:rPr>
          <w:rFonts w:ascii="Times New Roman" w:hAnsi="Times New Roman"/>
          <w:sz w:val="24"/>
        </w:rPr>
        <w:instrText xml:space="preserve"> ADDIN EN.CITE.DATA </w:instrText>
      </w:r>
      <w:r w:rsidR="00F4416D" w:rsidRPr="00383F2A">
        <w:rPr>
          <w:rFonts w:ascii="Times New Roman" w:hAnsi="Times New Roman"/>
          <w:sz w:val="24"/>
        </w:rPr>
      </w:r>
      <w:r w:rsidR="00F4416D" w:rsidRPr="00383F2A">
        <w:rPr>
          <w:rFonts w:ascii="Times New Roman" w:hAnsi="Times New Roman"/>
          <w:sz w:val="24"/>
        </w:rPr>
        <w:fldChar w:fldCharType="end"/>
      </w:r>
      <w:r w:rsidR="004A60A9" w:rsidRPr="00383F2A">
        <w:rPr>
          <w:rFonts w:ascii="Times New Roman" w:hAnsi="Times New Roman"/>
          <w:sz w:val="24"/>
        </w:rPr>
      </w:r>
      <w:r w:rsidR="004A60A9" w:rsidRPr="00383F2A">
        <w:rPr>
          <w:rFonts w:ascii="Times New Roman" w:hAnsi="Times New Roman"/>
          <w:sz w:val="24"/>
        </w:rPr>
        <w:fldChar w:fldCharType="separate"/>
      </w:r>
      <w:r w:rsidR="00F73C30" w:rsidRPr="00383F2A">
        <w:rPr>
          <w:rFonts w:ascii="Times New Roman" w:hAnsi="Times New Roman"/>
          <w:noProof/>
          <w:sz w:val="24"/>
        </w:rPr>
        <w:t>[</w:t>
      </w:r>
      <w:r w:rsidR="006B1AB2">
        <w:rPr>
          <w:rFonts w:ascii="Times New Roman" w:hAnsi="Times New Roman"/>
          <w:noProof/>
          <w:sz w:val="24"/>
        </w:rPr>
        <w:t>1</w:t>
      </w:r>
      <w:r w:rsidR="00AA35FB">
        <w:rPr>
          <w:rFonts w:ascii="Times New Roman" w:hAnsi="Times New Roman"/>
          <w:noProof/>
          <w:sz w:val="24"/>
        </w:rPr>
        <w:t>1</w:t>
      </w:r>
      <w:r w:rsidR="00F4416D" w:rsidRPr="00383F2A">
        <w:rPr>
          <w:rFonts w:ascii="Times New Roman" w:hAnsi="Times New Roman"/>
          <w:noProof/>
          <w:sz w:val="24"/>
        </w:rPr>
        <w:t>]</w:t>
      </w:r>
      <w:r w:rsidR="004A60A9" w:rsidRPr="00383F2A">
        <w:rPr>
          <w:rFonts w:ascii="Times New Roman" w:hAnsi="Times New Roman"/>
          <w:sz w:val="24"/>
        </w:rPr>
        <w:fldChar w:fldCharType="end"/>
      </w:r>
      <w:r w:rsidR="004A60A9" w:rsidRPr="00383F2A">
        <w:rPr>
          <w:rFonts w:ascii="Times New Roman" w:hAnsi="Times New Roman"/>
          <w:sz w:val="24"/>
        </w:rPr>
        <w:t>.</w:t>
      </w:r>
    </w:p>
    <w:p w14:paraId="4714C1C6" w14:textId="77777777" w:rsidR="00036E4C" w:rsidRDefault="00036E4C" w:rsidP="00D6525A">
      <w:pPr>
        <w:jc w:val="both"/>
        <w:rPr>
          <w:rFonts w:ascii="Times New Roman" w:hAnsi="Times New Roman"/>
          <w:sz w:val="24"/>
        </w:rPr>
      </w:pPr>
    </w:p>
    <w:p w14:paraId="385631A8" w14:textId="77777777" w:rsidR="00E05682" w:rsidRPr="00B12D6F" w:rsidRDefault="00E05682" w:rsidP="00E05682">
      <w:pPr>
        <w:jc w:val="both"/>
        <w:rPr>
          <w:rFonts w:ascii="Times New Roman" w:hAnsi="Times New Roman"/>
          <w:bCs/>
          <w:i/>
          <w:sz w:val="24"/>
        </w:rPr>
      </w:pPr>
      <w:r w:rsidRPr="00B12D6F">
        <w:rPr>
          <w:rFonts w:ascii="Times New Roman" w:hAnsi="Times New Roman"/>
          <w:bCs/>
          <w:i/>
          <w:sz w:val="24"/>
        </w:rPr>
        <w:t>Derived variables</w:t>
      </w:r>
    </w:p>
    <w:p w14:paraId="5DBBCDE0" w14:textId="06B32728" w:rsidR="00E05682" w:rsidRPr="00383F2A" w:rsidRDefault="00CE0DFB" w:rsidP="00E05682">
      <w:pPr>
        <w:jc w:val="both"/>
        <w:rPr>
          <w:rFonts w:ascii="Times New Roman" w:hAnsi="Times New Roman"/>
          <w:bCs/>
          <w:sz w:val="24"/>
        </w:rPr>
      </w:pPr>
      <w:r>
        <w:rPr>
          <w:rFonts w:ascii="Times New Roman" w:hAnsi="Times New Roman"/>
          <w:bCs/>
          <w:sz w:val="24"/>
        </w:rPr>
        <w:t>Self-reported b</w:t>
      </w:r>
      <w:r w:rsidR="00E05682" w:rsidRPr="00383F2A">
        <w:rPr>
          <w:rFonts w:ascii="Times New Roman" w:hAnsi="Times New Roman"/>
          <w:bCs/>
          <w:sz w:val="24"/>
        </w:rPr>
        <w:t xml:space="preserve">ody mass index (BMI) </w:t>
      </w:r>
      <w:r>
        <w:rPr>
          <w:rFonts w:ascii="Times New Roman" w:hAnsi="Times New Roman"/>
          <w:bCs/>
          <w:sz w:val="24"/>
        </w:rPr>
        <w:t xml:space="preserve">at baseline </w:t>
      </w:r>
      <w:r w:rsidR="00E05682" w:rsidRPr="00383F2A">
        <w:rPr>
          <w:rFonts w:ascii="Times New Roman" w:hAnsi="Times New Roman"/>
          <w:bCs/>
          <w:sz w:val="24"/>
        </w:rPr>
        <w:t xml:space="preserve">was calculated </w:t>
      </w:r>
      <w:r>
        <w:rPr>
          <w:rFonts w:ascii="Times New Roman" w:hAnsi="Times New Roman"/>
          <w:bCs/>
          <w:sz w:val="24"/>
        </w:rPr>
        <w:t>from the self-reported measures of height and weight</w:t>
      </w:r>
      <w:r w:rsidR="00E05682" w:rsidRPr="00383F2A">
        <w:rPr>
          <w:rFonts w:ascii="Times New Roman" w:hAnsi="Times New Roman"/>
          <w:bCs/>
          <w:sz w:val="24"/>
        </w:rPr>
        <w:t xml:space="preserve">. </w:t>
      </w:r>
      <w:r>
        <w:rPr>
          <w:rFonts w:ascii="Times New Roman" w:hAnsi="Times New Roman"/>
          <w:bCs/>
          <w:sz w:val="24"/>
        </w:rPr>
        <w:t>Self-reported h</w:t>
      </w:r>
      <w:r w:rsidR="00E05682" w:rsidRPr="00383F2A">
        <w:rPr>
          <w:rFonts w:ascii="Times New Roman" w:hAnsi="Times New Roman"/>
          <w:bCs/>
          <w:sz w:val="24"/>
        </w:rPr>
        <w:t xml:space="preserve">eight and weight were correlated </w:t>
      </w:r>
      <w:r w:rsidR="00E05682" w:rsidRPr="00B12D6F">
        <w:rPr>
          <w:rFonts w:ascii="Times New Roman" w:hAnsi="Times New Roman"/>
          <w:bCs/>
          <w:sz w:val="24"/>
        </w:rPr>
        <w:t>(r=0.</w:t>
      </w:r>
      <w:r w:rsidR="00A411B2" w:rsidRPr="00B12D6F">
        <w:rPr>
          <w:rFonts w:ascii="Times New Roman" w:hAnsi="Times New Roman"/>
          <w:bCs/>
          <w:sz w:val="24"/>
        </w:rPr>
        <w:t>32</w:t>
      </w:r>
      <w:r w:rsidR="00E05682" w:rsidRPr="00B12D6F">
        <w:rPr>
          <w:rFonts w:ascii="Times New Roman" w:hAnsi="Times New Roman"/>
          <w:bCs/>
          <w:sz w:val="24"/>
        </w:rPr>
        <w:t>, p&lt;0.001);</w:t>
      </w:r>
      <w:r w:rsidR="00E05682" w:rsidRPr="00383F2A">
        <w:rPr>
          <w:rFonts w:ascii="Times New Roman" w:hAnsi="Times New Roman"/>
          <w:bCs/>
          <w:sz w:val="24"/>
        </w:rPr>
        <w:t xml:space="preserve"> a sex-specific standardised residual of weight-adjusted-for-height </w:t>
      </w:r>
      <w:r>
        <w:rPr>
          <w:rFonts w:ascii="Times New Roman" w:hAnsi="Times New Roman"/>
          <w:bCs/>
          <w:sz w:val="24"/>
        </w:rPr>
        <w:t xml:space="preserve">at baseline </w:t>
      </w:r>
      <w:r w:rsidR="00E05682" w:rsidRPr="00383F2A">
        <w:rPr>
          <w:rFonts w:ascii="Times New Roman" w:hAnsi="Times New Roman"/>
          <w:bCs/>
          <w:sz w:val="24"/>
        </w:rPr>
        <w:t>was derived as a marker of adiposity for inclusion in regression models.</w:t>
      </w:r>
      <w:r>
        <w:rPr>
          <w:rFonts w:ascii="Times New Roman" w:hAnsi="Times New Roman"/>
          <w:bCs/>
          <w:sz w:val="24"/>
        </w:rPr>
        <w:t xml:space="preserve"> Variables for BMI and weight-for-height residual were also calculated at follow-up from measured height and weight among the subgroup that underwent DXA and HRpQCT. </w:t>
      </w:r>
      <w:r w:rsidR="00E05682" w:rsidRPr="00383F2A">
        <w:rPr>
          <w:rFonts w:ascii="Times New Roman" w:hAnsi="Times New Roman"/>
          <w:bCs/>
          <w:sz w:val="24"/>
        </w:rPr>
        <w:t xml:space="preserve">The total number of comorbidities </w:t>
      </w:r>
      <w:r>
        <w:rPr>
          <w:rFonts w:ascii="Times New Roman" w:hAnsi="Times New Roman"/>
          <w:bCs/>
          <w:sz w:val="24"/>
        </w:rPr>
        <w:t>at baseline</w:t>
      </w:r>
      <w:r w:rsidR="004B6CC4">
        <w:rPr>
          <w:rFonts w:ascii="Times New Roman" w:hAnsi="Times New Roman"/>
          <w:bCs/>
          <w:sz w:val="24"/>
        </w:rPr>
        <w:t>, excluding osteoporosis,</w:t>
      </w:r>
      <w:r>
        <w:rPr>
          <w:rFonts w:ascii="Times New Roman" w:hAnsi="Times New Roman"/>
          <w:bCs/>
          <w:sz w:val="24"/>
        </w:rPr>
        <w:t xml:space="preserve"> </w:t>
      </w:r>
      <w:r w:rsidR="00E05682" w:rsidRPr="00383F2A">
        <w:rPr>
          <w:rFonts w:ascii="Times New Roman" w:hAnsi="Times New Roman"/>
          <w:bCs/>
          <w:sz w:val="24"/>
        </w:rPr>
        <w:t>was used as a marker for overall morbidity.</w:t>
      </w:r>
      <w:r w:rsidR="00DD7EA2" w:rsidRPr="00DD7EA2">
        <w:t xml:space="preserve"> </w:t>
      </w:r>
      <w:r w:rsidR="00DD7EA2" w:rsidRPr="00DD7EA2">
        <w:rPr>
          <w:rFonts w:ascii="Times New Roman" w:hAnsi="Times New Roman"/>
          <w:bCs/>
          <w:sz w:val="24"/>
        </w:rPr>
        <w:t>FRAX scores</w:t>
      </w:r>
      <w:r w:rsidR="00DD7EA2">
        <w:rPr>
          <w:rFonts w:ascii="Times New Roman" w:hAnsi="Times New Roman"/>
          <w:bCs/>
          <w:sz w:val="24"/>
        </w:rPr>
        <w:t xml:space="preserve"> for </w:t>
      </w:r>
      <w:r w:rsidR="00DD7EA2" w:rsidRPr="00DD7EA2">
        <w:rPr>
          <w:rFonts w:ascii="Times New Roman" w:hAnsi="Times New Roman"/>
          <w:bCs/>
          <w:sz w:val="24"/>
        </w:rPr>
        <w:t xml:space="preserve">10-year probability of major osteoporotic fracture </w:t>
      </w:r>
      <w:r w:rsidR="004E3794">
        <w:rPr>
          <w:rFonts w:ascii="Times New Roman" w:hAnsi="Times New Roman"/>
          <w:bCs/>
          <w:sz w:val="24"/>
        </w:rPr>
        <w:t xml:space="preserve">(MOF) </w:t>
      </w:r>
      <w:r w:rsidR="00DD7EA2" w:rsidRPr="00DD7EA2">
        <w:rPr>
          <w:rFonts w:ascii="Times New Roman" w:hAnsi="Times New Roman"/>
          <w:bCs/>
          <w:sz w:val="24"/>
        </w:rPr>
        <w:t>and hip fracture</w:t>
      </w:r>
      <w:r w:rsidR="00DD7EA2">
        <w:rPr>
          <w:rFonts w:ascii="Times New Roman" w:hAnsi="Times New Roman"/>
          <w:bCs/>
          <w:sz w:val="24"/>
        </w:rPr>
        <w:t xml:space="preserve"> </w:t>
      </w:r>
      <w:r w:rsidR="00DD7EA2" w:rsidRPr="00DD7EA2">
        <w:rPr>
          <w:rFonts w:ascii="Times New Roman" w:hAnsi="Times New Roman"/>
          <w:bCs/>
          <w:sz w:val="24"/>
        </w:rPr>
        <w:t xml:space="preserve">were calculated for women </w:t>
      </w:r>
      <w:r w:rsidR="00DD7EA2">
        <w:rPr>
          <w:rFonts w:ascii="Times New Roman" w:hAnsi="Times New Roman"/>
          <w:bCs/>
          <w:sz w:val="24"/>
        </w:rPr>
        <w:t>from their baseline survey responses</w:t>
      </w:r>
      <w:r w:rsidR="00DD7EA2" w:rsidRPr="00DD7EA2">
        <w:rPr>
          <w:rFonts w:ascii="Times New Roman" w:hAnsi="Times New Roman"/>
          <w:bCs/>
          <w:sz w:val="24"/>
        </w:rPr>
        <w:t>, without inclusion of bone mineral density measurement</w:t>
      </w:r>
      <w:r w:rsidR="00DD7EA2">
        <w:rPr>
          <w:rFonts w:ascii="Times New Roman" w:hAnsi="Times New Roman"/>
          <w:bCs/>
          <w:sz w:val="24"/>
        </w:rPr>
        <w:t>s</w:t>
      </w:r>
      <w:r w:rsidR="00DD7EA2" w:rsidRPr="00DD7EA2">
        <w:rPr>
          <w:rFonts w:ascii="Times New Roman" w:hAnsi="Times New Roman"/>
          <w:bCs/>
          <w:sz w:val="24"/>
        </w:rPr>
        <w:t xml:space="preserve">. </w:t>
      </w:r>
    </w:p>
    <w:p w14:paraId="08D5EE09" w14:textId="77777777" w:rsidR="00E05682" w:rsidRPr="00383F2A" w:rsidRDefault="00E05682" w:rsidP="00D6525A">
      <w:pPr>
        <w:jc w:val="both"/>
        <w:rPr>
          <w:rFonts w:ascii="Times New Roman" w:hAnsi="Times New Roman"/>
          <w:sz w:val="24"/>
        </w:rPr>
      </w:pPr>
    </w:p>
    <w:p w14:paraId="738D207B" w14:textId="0F89F784" w:rsidR="00ED6260" w:rsidRPr="00383F2A" w:rsidRDefault="006356D2" w:rsidP="00D6525A">
      <w:pPr>
        <w:jc w:val="both"/>
        <w:rPr>
          <w:rFonts w:ascii="Times New Roman" w:hAnsi="Times New Roman"/>
          <w:i/>
          <w:sz w:val="24"/>
        </w:rPr>
      </w:pPr>
      <w:r w:rsidRPr="00383F2A">
        <w:rPr>
          <w:rFonts w:ascii="Times New Roman" w:hAnsi="Times New Roman"/>
          <w:i/>
          <w:sz w:val="24"/>
        </w:rPr>
        <w:t xml:space="preserve">Statistical </w:t>
      </w:r>
      <w:r w:rsidR="00176414" w:rsidRPr="00383F2A">
        <w:rPr>
          <w:rFonts w:ascii="Times New Roman" w:hAnsi="Times New Roman"/>
          <w:i/>
          <w:sz w:val="24"/>
        </w:rPr>
        <w:t>a</w:t>
      </w:r>
      <w:r w:rsidRPr="00383F2A">
        <w:rPr>
          <w:rFonts w:ascii="Times New Roman" w:hAnsi="Times New Roman"/>
          <w:i/>
          <w:sz w:val="24"/>
        </w:rPr>
        <w:t>nalysis</w:t>
      </w:r>
      <w:r w:rsidR="00AA0D28">
        <w:rPr>
          <w:rFonts w:ascii="Times New Roman" w:hAnsi="Times New Roman"/>
          <w:i/>
          <w:sz w:val="24"/>
        </w:rPr>
        <w:t xml:space="preserve">: </w:t>
      </w:r>
      <w:r w:rsidR="00A22912">
        <w:rPr>
          <w:rFonts w:ascii="Times New Roman" w:hAnsi="Times New Roman"/>
          <w:i/>
          <w:sz w:val="24"/>
        </w:rPr>
        <w:t>cross-sectional correlates of SPR at baseline</w:t>
      </w:r>
    </w:p>
    <w:p w14:paraId="33D8AB13" w14:textId="7E0A97EE" w:rsidR="00812A9B" w:rsidRPr="00383F2A" w:rsidRDefault="00812A9B" w:rsidP="00D6525A">
      <w:pPr>
        <w:jc w:val="both"/>
        <w:rPr>
          <w:rFonts w:ascii="Times New Roman" w:hAnsi="Times New Roman"/>
          <w:sz w:val="24"/>
          <w:lang w:val="en-US"/>
        </w:rPr>
      </w:pPr>
      <w:r w:rsidRPr="00383F2A">
        <w:rPr>
          <w:rFonts w:ascii="Times New Roman" w:hAnsi="Times New Roman"/>
          <w:sz w:val="24"/>
          <w:lang w:val="en-US"/>
        </w:rPr>
        <w:t xml:space="preserve">Participant characteristics of the </w:t>
      </w:r>
      <w:r w:rsidRPr="00B12D6F">
        <w:rPr>
          <w:rFonts w:ascii="Times New Roman" w:hAnsi="Times New Roman"/>
          <w:sz w:val="24"/>
          <w:lang w:val="en-US"/>
        </w:rPr>
        <w:t>3912</w:t>
      </w:r>
      <w:r w:rsidRPr="00383F2A">
        <w:rPr>
          <w:rFonts w:ascii="Times New Roman" w:hAnsi="Times New Roman"/>
          <w:sz w:val="24"/>
          <w:lang w:val="en-US"/>
        </w:rPr>
        <w:t xml:space="preserve"> women with data on SPR</w:t>
      </w:r>
      <w:r w:rsidR="00AA0D28">
        <w:rPr>
          <w:rFonts w:ascii="Times New Roman" w:hAnsi="Times New Roman"/>
          <w:sz w:val="24"/>
          <w:lang w:val="en-US"/>
        </w:rPr>
        <w:t xml:space="preserve"> at baseline</w:t>
      </w:r>
      <w:r w:rsidRPr="00383F2A">
        <w:rPr>
          <w:rFonts w:ascii="Times New Roman" w:hAnsi="Times New Roman"/>
          <w:sz w:val="24"/>
          <w:lang w:val="en-US"/>
        </w:rPr>
        <w:t xml:space="preserve"> were described using summary statistics</w:t>
      </w:r>
      <w:r w:rsidR="00AA0D28">
        <w:rPr>
          <w:rFonts w:ascii="Times New Roman" w:hAnsi="Times New Roman"/>
          <w:sz w:val="24"/>
          <w:lang w:val="en-US"/>
        </w:rPr>
        <w:t xml:space="preserve"> (Table 1)</w:t>
      </w:r>
      <w:r w:rsidR="008A624C">
        <w:rPr>
          <w:rFonts w:ascii="Times New Roman" w:hAnsi="Times New Roman"/>
          <w:sz w:val="24"/>
          <w:lang w:val="en-US"/>
        </w:rPr>
        <w:t xml:space="preserve">. </w:t>
      </w:r>
      <w:r w:rsidRPr="00383F2A">
        <w:rPr>
          <w:rFonts w:ascii="Times New Roman" w:hAnsi="Times New Roman"/>
          <w:sz w:val="24"/>
          <w:lang w:val="en-US"/>
        </w:rPr>
        <w:t>Ordinal logistic regression was used to examine univariate associations between participant characteristics and SPR. Characteristics significantly associated (p&lt;0.05) with SPR were then included in a mutually-adjusted model</w:t>
      </w:r>
      <w:r w:rsidR="00463856">
        <w:rPr>
          <w:rFonts w:ascii="Times New Roman" w:hAnsi="Times New Roman"/>
          <w:sz w:val="24"/>
          <w:lang w:val="en-US"/>
        </w:rPr>
        <w:t>; FRAX scores were not included in mutually-adjusted analyses as the inclusion of these variables and participant characteristics which are components of FRAX may result in multicollinearity.</w:t>
      </w:r>
      <w:r w:rsidR="00BB4DAF">
        <w:rPr>
          <w:rFonts w:ascii="Times New Roman" w:hAnsi="Times New Roman"/>
          <w:sz w:val="24"/>
          <w:lang w:val="en-US"/>
        </w:rPr>
        <w:t xml:space="preserve"> Sensitivity analyses were performed among the following groups;</w:t>
      </w:r>
      <w:r w:rsidR="00865189">
        <w:rPr>
          <w:rFonts w:ascii="Times New Roman" w:hAnsi="Times New Roman"/>
          <w:sz w:val="24"/>
          <w:lang w:val="en-US"/>
        </w:rPr>
        <w:t xml:space="preserve"> have osteoporosis;</w:t>
      </w:r>
      <w:r w:rsidR="00DD7EA2">
        <w:rPr>
          <w:rFonts w:ascii="Times New Roman" w:hAnsi="Times New Roman"/>
          <w:sz w:val="24"/>
          <w:lang w:val="en-US"/>
        </w:rPr>
        <w:t xml:space="preserve"> current use of AOM; have osteoporosis or current use of AOM.</w:t>
      </w:r>
      <w:r w:rsidR="00865189">
        <w:rPr>
          <w:rFonts w:ascii="Times New Roman" w:hAnsi="Times New Roman"/>
          <w:sz w:val="24"/>
          <w:lang w:val="en-US"/>
        </w:rPr>
        <w:t xml:space="preserve"> </w:t>
      </w:r>
    </w:p>
    <w:p w14:paraId="3000E579" w14:textId="77777777" w:rsidR="006B0610" w:rsidRDefault="006B0610" w:rsidP="00D6525A">
      <w:pPr>
        <w:jc w:val="both"/>
        <w:rPr>
          <w:rFonts w:ascii="Times New Roman" w:hAnsi="Times New Roman"/>
          <w:sz w:val="24"/>
          <w:lang w:val="en-US"/>
        </w:rPr>
      </w:pPr>
    </w:p>
    <w:p w14:paraId="7EDB6426" w14:textId="305E909C" w:rsidR="00A22912" w:rsidRPr="00B12D6F" w:rsidRDefault="00A22912" w:rsidP="00D6525A">
      <w:pPr>
        <w:jc w:val="both"/>
        <w:rPr>
          <w:rFonts w:ascii="Times New Roman" w:hAnsi="Times New Roman"/>
          <w:i/>
          <w:sz w:val="24"/>
        </w:rPr>
      </w:pPr>
      <w:r w:rsidRPr="00383F2A">
        <w:rPr>
          <w:rFonts w:ascii="Times New Roman" w:hAnsi="Times New Roman"/>
          <w:i/>
          <w:sz w:val="24"/>
        </w:rPr>
        <w:t>Statistical analysis</w:t>
      </w:r>
      <w:r>
        <w:rPr>
          <w:rFonts w:ascii="Times New Roman" w:hAnsi="Times New Roman"/>
          <w:i/>
          <w:sz w:val="24"/>
        </w:rPr>
        <w:t>: cluster analysis of potential predictors of SPR</w:t>
      </w:r>
    </w:p>
    <w:p w14:paraId="5CBFFE42" w14:textId="3E557406" w:rsidR="00812A9B" w:rsidRPr="00383F2A" w:rsidRDefault="00812A9B" w:rsidP="00D6525A">
      <w:pPr>
        <w:jc w:val="both"/>
        <w:rPr>
          <w:rFonts w:ascii="Times New Roman" w:hAnsi="Times New Roman"/>
          <w:sz w:val="24"/>
          <w:lang w:val="en-US"/>
        </w:rPr>
      </w:pPr>
      <w:r w:rsidRPr="00383F2A">
        <w:rPr>
          <w:rFonts w:ascii="Times New Roman" w:hAnsi="Times New Roman"/>
          <w:sz w:val="24"/>
          <w:lang w:val="en-US"/>
        </w:rPr>
        <w:t xml:space="preserve">A cluster analysis of the </w:t>
      </w:r>
      <w:r w:rsidR="00AA0D28">
        <w:rPr>
          <w:rFonts w:ascii="Times New Roman" w:hAnsi="Times New Roman"/>
          <w:sz w:val="24"/>
          <w:lang w:val="en-US"/>
        </w:rPr>
        <w:t xml:space="preserve">participant characteristics in </w:t>
      </w:r>
      <w:r w:rsidR="003B4AB5">
        <w:rPr>
          <w:rFonts w:ascii="Times New Roman" w:hAnsi="Times New Roman"/>
          <w:sz w:val="24"/>
          <w:lang w:val="en-US"/>
        </w:rPr>
        <w:t>Table 1 (</w:t>
      </w:r>
      <w:r w:rsidR="00AA0D28">
        <w:rPr>
          <w:rFonts w:ascii="Times New Roman" w:hAnsi="Times New Roman"/>
          <w:sz w:val="24"/>
          <w:lang w:val="en-US"/>
        </w:rPr>
        <w:t>excluding SPR and only using self-reported height and weight-</w:t>
      </w:r>
      <w:r w:rsidR="003B4AB5">
        <w:rPr>
          <w:rFonts w:ascii="Times New Roman" w:hAnsi="Times New Roman"/>
          <w:sz w:val="24"/>
          <w:lang w:val="en-US"/>
        </w:rPr>
        <w:t xml:space="preserve">for-height residual as measures of anthropometry) </w:t>
      </w:r>
      <w:r w:rsidRPr="00383F2A">
        <w:rPr>
          <w:rFonts w:ascii="Times New Roman" w:hAnsi="Times New Roman"/>
          <w:sz w:val="24"/>
          <w:lang w:val="en-US"/>
        </w:rPr>
        <w:t>was performed</w:t>
      </w:r>
      <w:r w:rsidR="00BF1CCB">
        <w:rPr>
          <w:rFonts w:ascii="Times New Roman" w:hAnsi="Times New Roman"/>
          <w:sz w:val="24"/>
          <w:lang w:val="en-US"/>
        </w:rPr>
        <w:t xml:space="preserve"> among the </w:t>
      </w:r>
      <w:r w:rsidR="00BF1CCB" w:rsidRPr="00B12D6F">
        <w:rPr>
          <w:rFonts w:ascii="Times New Roman" w:hAnsi="Times New Roman"/>
          <w:sz w:val="24"/>
          <w:lang w:val="en-US"/>
        </w:rPr>
        <w:t>2582</w:t>
      </w:r>
      <w:r w:rsidR="00BF1CCB">
        <w:rPr>
          <w:rFonts w:ascii="Times New Roman" w:hAnsi="Times New Roman"/>
          <w:sz w:val="24"/>
          <w:lang w:val="en-US"/>
        </w:rPr>
        <w:t xml:space="preserve"> participants with complete data on these characteristics</w:t>
      </w:r>
      <w:r w:rsidR="00041223">
        <w:rPr>
          <w:rFonts w:ascii="Times New Roman" w:hAnsi="Times New Roman"/>
          <w:sz w:val="24"/>
          <w:lang w:val="en-US"/>
        </w:rPr>
        <w:t>; a flow diagram for the various samples of participants used for analysis is presented in Figure 1</w:t>
      </w:r>
      <w:r w:rsidR="00BF1CCB">
        <w:rPr>
          <w:rFonts w:ascii="Times New Roman" w:hAnsi="Times New Roman"/>
          <w:sz w:val="24"/>
          <w:lang w:val="en-US"/>
        </w:rPr>
        <w:t xml:space="preserve">. This used the </w:t>
      </w:r>
      <w:r w:rsidRPr="00383F2A">
        <w:rPr>
          <w:rFonts w:ascii="Times New Roman" w:hAnsi="Times New Roman"/>
          <w:sz w:val="24"/>
          <w:lang w:val="en-US"/>
        </w:rPr>
        <w:t>TwoStep Cluster Analysis procedure in SPSS (version 25) which is suitable for a mixture of categorical and continuous variables [</w:t>
      </w:r>
      <w:r w:rsidR="006B1AB2">
        <w:rPr>
          <w:rFonts w:ascii="Times New Roman" w:hAnsi="Times New Roman"/>
          <w:sz w:val="24"/>
          <w:lang w:val="en-US"/>
        </w:rPr>
        <w:t>1</w:t>
      </w:r>
      <w:r w:rsidR="00AA35FB">
        <w:rPr>
          <w:rFonts w:ascii="Times New Roman" w:hAnsi="Times New Roman"/>
          <w:sz w:val="24"/>
          <w:lang w:val="en-US"/>
        </w:rPr>
        <w:t>2</w:t>
      </w:r>
      <w:r w:rsidRPr="00383F2A">
        <w:rPr>
          <w:rFonts w:ascii="Times New Roman" w:hAnsi="Times New Roman"/>
          <w:sz w:val="24"/>
          <w:lang w:val="en-US"/>
        </w:rPr>
        <w:t xml:space="preserve">]. This procedure involves grouping observations into clusters based on the distance measure and then applying a hierarchical clustering algorithm to these clusters; the cluster solution with the lowest Bayesian information criterion (BIC) is selected as optimal. The change in log-likelihood from merging two clusters as opposed to keeping them separate was used as the distance measure. Goodness-of-fit of the cluster solution was determined using the silhouette coefficient, a measure of how similar participants are within clusters compared to how similar they are between clusters, which ranges from -1 to 1 (&lt;0.2: poor; 0.2-0.5: fair; &gt;0.5: good). Participant characteristics were then compared between the clusters using descriptive statistics. </w:t>
      </w:r>
    </w:p>
    <w:p w14:paraId="46EFD6E3" w14:textId="77777777" w:rsidR="00C62485" w:rsidRPr="00383F2A" w:rsidRDefault="00C62485" w:rsidP="00D6525A">
      <w:pPr>
        <w:jc w:val="both"/>
        <w:rPr>
          <w:rFonts w:ascii="Times New Roman" w:hAnsi="Times New Roman"/>
          <w:sz w:val="24"/>
          <w:lang w:val="en-US"/>
        </w:rPr>
      </w:pPr>
    </w:p>
    <w:p w14:paraId="5814D981" w14:textId="77777777" w:rsidR="003B4AB5" w:rsidRDefault="003B4AB5" w:rsidP="00D6525A">
      <w:pPr>
        <w:jc w:val="both"/>
        <w:rPr>
          <w:rFonts w:ascii="Times New Roman" w:hAnsi="Times New Roman"/>
          <w:sz w:val="24"/>
        </w:rPr>
      </w:pPr>
    </w:p>
    <w:p w14:paraId="27613EDA" w14:textId="5F54DFB9" w:rsidR="003B4AB5" w:rsidRPr="00B12D6F" w:rsidRDefault="003B4AB5" w:rsidP="00D6525A">
      <w:pPr>
        <w:jc w:val="both"/>
        <w:rPr>
          <w:rFonts w:ascii="Times New Roman" w:hAnsi="Times New Roman"/>
          <w:i/>
          <w:sz w:val="24"/>
        </w:rPr>
      </w:pPr>
      <w:r w:rsidRPr="00383F2A">
        <w:rPr>
          <w:rFonts w:ascii="Times New Roman" w:hAnsi="Times New Roman"/>
          <w:i/>
          <w:sz w:val="24"/>
        </w:rPr>
        <w:t>Statistical analysis</w:t>
      </w:r>
      <w:r>
        <w:rPr>
          <w:rFonts w:ascii="Times New Roman" w:hAnsi="Times New Roman"/>
          <w:i/>
          <w:sz w:val="24"/>
        </w:rPr>
        <w:t>: SPR in relation to DXA aBMD and HRpQCT parameters</w:t>
      </w:r>
    </w:p>
    <w:p w14:paraId="47C4F7FE" w14:textId="5D81B661" w:rsidR="00361A2A" w:rsidRPr="00383F2A" w:rsidRDefault="003B4AB5" w:rsidP="00D6525A">
      <w:pPr>
        <w:jc w:val="both"/>
        <w:rPr>
          <w:rFonts w:ascii="Times New Roman" w:hAnsi="Times New Roman"/>
          <w:sz w:val="24"/>
          <w:lang w:val="en-US"/>
        </w:rPr>
      </w:pPr>
      <w:r>
        <w:rPr>
          <w:rFonts w:ascii="Times New Roman" w:hAnsi="Times New Roman"/>
          <w:sz w:val="24"/>
        </w:rPr>
        <w:t>The sample for this subgroup analysis comprised</w:t>
      </w:r>
      <w:r w:rsidR="000119BF" w:rsidRPr="00383F2A">
        <w:rPr>
          <w:rFonts w:ascii="Times New Roman" w:hAnsi="Times New Roman"/>
          <w:sz w:val="24"/>
        </w:rPr>
        <w:t xml:space="preserve"> </w:t>
      </w:r>
      <w:r w:rsidRPr="00B12D6F">
        <w:rPr>
          <w:rFonts w:ascii="Times New Roman" w:hAnsi="Times New Roman"/>
          <w:sz w:val="24"/>
        </w:rPr>
        <w:t>492</w:t>
      </w:r>
      <w:r w:rsidR="001734D4" w:rsidRPr="00383F2A">
        <w:rPr>
          <w:rFonts w:ascii="Times New Roman" w:hAnsi="Times New Roman"/>
          <w:sz w:val="24"/>
        </w:rPr>
        <w:t xml:space="preserve"> </w:t>
      </w:r>
      <w:r w:rsidR="000119BF" w:rsidRPr="00383F2A">
        <w:rPr>
          <w:rFonts w:ascii="Times New Roman" w:hAnsi="Times New Roman"/>
          <w:sz w:val="24"/>
        </w:rPr>
        <w:t xml:space="preserve">individuals with </w:t>
      </w:r>
      <w:r w:rsidR="005F6FDA" w:rsidRPr="00383F2A">
        <w:rPr>
          <w:rFonts w:ascii="Times New Roman" w:hAnsi="Times New Roman"/>
          <w:sz w:val="24"/>
        </w:rPr>
        <w:t xml:space="preserve">data on </w:t>
      </w:r>
      <w:r w:rsidR="00E33BFB" w:rsidRPr="00383F2A">
        <w:rPr>
          <w:rFonts w:ascii="Times New Roman" w:hAnsi="Times New Roman"/>
          <w:sz w:val="24"/>
        </w:rPr>
        <w:t>SPR</w:t>
      </w:r>
      <w:r w:rsidR="00ED686A" w:rsidRPr="00383F2A">
        <w:rPr>
          <w:rFonts w:ascii="Times New Roman" w:hAnsi="Times New Roman"/>
          <w:sz w:val="24"/>
        </w:rPr>
        <w:t xml:space="preserve"> and</w:t>
      </w:r>
      <w:r w:rsidR="005F6FDA" w:rsidRPr="00383F2A">
        <w:rPr>
          <w:rFonts w:ascii="Times New Roman" w:hAnsi="Times New Roman"/>
          <w:sz w:val="24"/>
        </w:rPr>
        <w:t xml:space="preserve"> at least one </w:t>
      </w:r>
      <w:r w:rsidR="00CD6CA5" w:rsidRPr="00383F2A">
        <w:rPr>
          <w:rFonts w:ascii="Times New Roman" w:hAnsi="Times New Roman"/>
          <w:sz w:val="24"/>
        </w:rPr>
        <w:t xml:space="preserve">of the </w:t>
      </w:r>
      <w:r w:rsidR="005F6FDA" w:rsidRPr="00383F2A">
        <w:rPr>
          <w:rFonts w:ascii="Times New Roman" w:hAnsi="Times New Roman"/>
          <w:sz w:val="24"/>
        </w:rPr>
        <w:t xml:space="preserve">HRpQCT </w:t>
      </w:r>
      <w:r w:rsidR="00ED686A" w:rsidRPr="00383F2A">
        <w:rPr>
          <w:rFonts w:ascii="Times New Roman" w:hAnsi="Times New Roman"/>
          <w:sz w:val="24"/>
        </w:rPr>
        <w:t>parameter</w:t>
      </w:r>
      <w:r w:rsidR="00CD6CA5" w:rsidRPr="00383F2A">
        <w:rPr>
          <w:rFonts w:ascii="Times New Roman" w:hAnsi="Times New Roman"/>
          <w:sz w:val="24"/>
        </w:rPr>
        <w:t>s outlined above</w:t>
      </w:r>
      <w:r w:rsidR="00ED686A" w:rsidRPr="00383F2A">
        <w:rPr>
          <w:rFonts w:ascii="Times New Roman" w:hAnsi="Times New Roman"/>
          <w:sz w:val="24"/>
        </w:rPr>
        <w:t>.</w:t>
      </w:r>
      <w:r w:rsidR="002978A1" w:rsidRPr="00383F2A">
        <w:rPr>
          <w:rFonts w:ascii="Times New Roman" w:hAnsi="Times New Roman"/>
          <w:sz w:val="24"/>
        </w:rPr>
        <w:t xml:space="preserve"> Of these </w:t>
      </w:r>
      <w:r w:rsidR="00BF1CCB" w:rsidRPr="00B12D6F">
        <w:rPr>
          <w:rFonts w:ascii="Times New Roman" w:hAnsi="Times New Roman"/>
          <w:sz w:val="24"/>
        </w:rPr>
        <w:t>492</w:t>
      </w:r>
      <w:r w:rsidR="002978A1" w:rsidRPr="00383F2A">
        <w:rPr>
          <w:rFonts w:ascii="Times New Roman" w:hAnsi="Times New Roman"/>
          <w:sz w:val="24"/>
        </w:rPr>
        <w:t xml:space="preserve"> participants, </w:t>
      </w:r>
      <w:r w:rsidR="00BF1CCB" w:rsidRPr="00B12D6F">
        <w:rPr>
          <w:rFonts w:ascii="Times New Roman" w:hAnsi="Times New Roman"/>
          <w:sz w:val="24"/>
        </w:rPr>
        <w:t>384</w:t>
      </w:r>
      <w:r w:rsidR="002978A1" w:rsidRPr="00383F2A">
        <w:rPr>
          <w:rFonts w:ascii="Times New Roman" w:hAnsi="Times New Roman"/>
          <w:sz w:val="24"/>
        </w:rPr>
        <w:t xml:space="preserve"> and </w:t>
      </w:r>
      <w:r w:rsidR="00BF1CCB" w:rsidRPr="00B12D6F">
        <w:rPr>
          <w:rFonts w:ascii="Times New Roman" w:hAnsi="Times New Roman"/>
          <w:sz w:val="24"/>
        </w:rPr>
        <w:t>477</w:t>
      </w:r>
      <w:r w:rsidR="002978A1" w:rsidRPr="00383F2A">
        <w:rPr>
          <w:rFonts w:ascii="Times New Roman" w:hAnsi="Times New Roman"/>
          <w:sz w:val="24"/>
        </w:rPr>
        <w:t xml:space="preserve"> had data on at least one radial and tibial HRpQCT parameter respectively; </w:t>
      </w:r>
      <w:r w:rsidR="00BB2D64" w:rsidRPr="00383F2A">
        <w:rPr>
          <w:rFonts w:ascii="Times New Roman" w:hAnsi="Times New Roman"/>
          <w:sz w:val="24"/>
        </w:rPr>
        <w:t xml:space="preserve">the number of </w:t>
      </w:r>
      <w:r w:rsidR="002978A1" w:rsidRPr="00383F2A">
        <w:rPr>
          <w:rFonts w:ascii="Times New Roman" w:hAnsi="Times New Roman"/>
          <w:sz w:val="24"/>
        </w:rPr>
        <w:t xml:space="preserve">participants with available data for the </w:t>
      </w:r>
      <w:r w:rsidR="00614150" w:rsidRPr="00383F2A">
        <w:rPr>
          <w:rFonts w:ascii="Times New Roman" w:hAnsi="Times New Roman"/>
          <w:sz w:val="24"/>
        </w:rPr>
        <w:t>DXA a</w:t>
      </w:r>
      <w:r w:rsidR="007369F9" w:rsidRPr="00383F2A">
        <w:rPr>
          <w:rFonts w:ascii="Times New Roman" w:hAnsi="Times New Roman"/>
          <w:sz w:val="24"/>
        </w:rPr>
        <w:t>BMD</w:t>
      </w:r>
      <w:r w:rsidR="002978A1" w:rsidRPr="00383F2A">
        <w:rPr>
          <w:rFonts w:ascii="Times New Roman" w:hAnsi="Times New Roman"/>
          <w:sz w:val="24"/>
        </w:rPr>
        <w:t xml:space="preserve"> </w:t>
      </w:r>
      <w:r w:rsidR="00BB2D64" w:rsidRPr="00383F2A">
        <w:rPr>
          <w:rFonts w:ascii="Times New Roman" w:hAnsi="Times New Roman"/>
          <w:sz w:val="24"/>
        </w:rPr>
        <w:t>parameters</w:t>
      </w:r>
      <w:r w:rsidR="002978A1" w:rsidRPr="00383F2A">
        <w:rPr>
          <w:rFonts w:ascii="Times New Roman" w:hAnsi="Times New Roman"/>
          <w:sz w:val="24"/>
        </w:rPr>
        <w:t xml:space="preserve"> ranged from </w:t>
      </w:r>
      <w:r w:rsidR="002978A1" w:rsidRPr="00B12D6F">
        <w:rPr>
          <w:rFonts w:ascii="Times New Roman" w:hAnsi="Times New Roman"/>
          <w:sz w:val="24"/>
        </w:rPr>
        <w:t>410 to 4</w:t>
      </w:r>
      <w:r w:rsidR="00C34594" w:rsidRPr="00B12D6F">
        <w:rPr>
          <w:rFonts w:ascii="Times New Roman" w:hAnsi="Times New Roman"/>
          <w:sz w:val="24"/>
        </w:rPr>
        <w:t>71</w:t>
      </w:r>
      <w:r w:rsidR="002978A1" w:rsidRPr="00383F2A">
        <w:rPr>
          <w:rFonts w:ascii="Times New Roman" w:hAnsi="Times New Roman"/>
          <w:sz w:val="24"/>
        </w:rPr>
        <w:t>, depending on the parameter</w:t>
      </w:r>
      <w:r w:rsidR="00041223">
        <w:rPr>
          <w:rFonts w:ascii="Times New Roman" w:hAnsi="Times New Roman"/>
          <w:sz w:val="24"/>
        </w:rPr>
        <w:t xml:space="preserve"> (Figure 1)</w:t>
      </w:r>
      <w:r w:rsidR="002978A1" w:rsidRPr="00383F2A">
        <w:rPr>
          <w:rFonts w:ascii="Times New Roman" w:hAnsi="Times New Roman"/>
          <w:sz w:val="24"/>
        </w:rPr>
        <w:t>.</w:t>
      </w:r>
      <w:r w:rsidR="006F016D" w:rsidRPr="00383F2A">
        <w:rPr>
          <w:rFonts w:ascii="Times New Roman" w:hAnsi="Times New Roman"/>
          <w:sz w:val="24"/>
        </w:rPr>
        <w:t xml:space="preserve"> </w:t>
      </w:r>
      <w:r w:rsidR="00397EAF" w:rsidRPr="00383F2A">
        <w:rPr>
          <w:rFonts w:ascii="Times New Roman" w:hAnsi="Times New Roman"/>
          <w:sz w:val="24"/>
        </w:rPr>
        <w:t xml:space="preserve">Participant characteristics of </w:t>
      </w:r>
      <w:r w:rsidR="00C34594">
        <w:rPr>
          <w:rFonts w:ascii="Times New Roman" w:hAnsi="Times New Roman"/>
          <w:sz w:val="24"/>
        </w:rPr>
        <w:t xml:space="preserve">this whole subgroup </w:t>
      </w:r>
      <w:r w:rsidR="00397EAF" w:rsidRPr="00383F2A">
        <w:rPr>
          <w:rFonts w:ascii="Times New Roman" w:hAnsi="Times New Roman"/>
          <w:sz w:val="24"/>
        </w:rPr>
        <w:t xml:space="preserve">were </w:t>
      </w:r>
      <w:r w:rsidR="00E11839" w:rsidRPr="00383F2A">
        <w:rPr>
          <w:rFonts w:ascii="Times New Roman" w:hAnsi="Times New Roman"/>
          <w:sz w:val="24"/>
        </w:rPr>
        <w:t>described using summary statistics.</w:t>
      </w:r>
      <w:r w:rsidR="00397EAF" w:rsidRPr="00383F2A">
        <w:rPr>
          <w:rFonts w:ascii="Times New Roman" w:hAnsi="Times New Roman"/>
          <w:sz w:val="24"/>
        </w:rPr>
        <w:t xml:space="preserve"> </w:t>
      </w:r>
      <w:r w:rsidR="00E11839" w:rsidRPr="00383F2A">
        <w:rPr>
          <w:rFonts w:ascii="Times New Roman" w:hAnsi="Times New Roman"/>
          <w:sz w:val="24"/>
        </w:rPr>
        <w:t>Linear regression was used to e</w:t>
      </w:r>
      <w:r w:rsidR="001734D4" w:rsidRPr="00383F2A">
        <w:rPr>
          <w:rFonts w:ascii="Times New Roman" w:hAnsi="Times New Roman"/>
          <w:sz w:val="24"/>
        </w:rPr>
        <w:t xml:space="preserve">xamine </w:t>
      </w:r>
      <w:r w:rsidR="00E33BFB" w:rsidRPr="00383F2A">
        <w:rPr>
          <w:rFonts w:ascii="Times New Roman" w:hAnsi="Times New Roman"/>
          <w:sz w:val="24"/>
        </w:rPr>
        <w:t>SPR</w:t>
      </w:r>
      <w:r w:rsidR="001734D4" w:rsidRPr="00383F2A">
        <w:rPr>
          <w:rFonts w:ascii="Times New Roman" w:hAnsi="Times New Roman"/>
          <w:sz w:val="24"/>
        </w:rPr>
        <w:t xml:space="preserve"> in relation to the </w:t>
      </w:r>
      <w:r w:rsidR="00E11839" w:rsidRPr="00383F2A">
        <w:rPr>
          <w:rFonts w:ascii="Times New Roman" w:hAnsi="Times New Roman"/>
          <w:sz w:val="24"/>
        </w:rPr>
        <w:t>HRpQCT parameters</w:t>
      </w:r>
      <w:r w:rsidR="00AA0632" w:rsidRPr="00383F2A">
        <w:rPr>
          <w:rFonts w:ascii="Times New Roman" w:hAnsi="Times New Roman"/>
          <w:sz w:val="24"/>
        </w:rPr>
        <w:t xml:space="preserve"> of the tibia and radius</w:t>
      </w:r>
      <w:r w:rsidR="001734D4" w:rsidRPr="00383F2A">
        <w:rPr>
          <w:rFonts w:ascii="Times New Roman" w:hAnsi="Times New Roman"/>
          <w:sz w:val="24"/>
        </w:rPr>
        <w:t xml:space="preserve"> and the </w:t>
      </w:r>
      <w:r w:rsidR="00932550">
        <w:rPr>
          <w:rFonts w:ascii="Times New Roman" w:hAnsi="Times New Roman"/>
          <w:sz w:val="24"/>
        </w:rPr>
        <w:t>a</w:t>
      </w:r>
      <w:r w:rsidR="001734D4" w:rsidRPr="00383F2A">
        <w:rPr>
          <w:rFonts w:ascii="Times New Roman" w:hAnsi="Times New Roman"/>
          <w:sz w:val="24"/>
        </w:rPr>
        <w:t>BMD parameters</w:t>
      </w:r>
      <w:r w:rsidR="00E11839" w:rsidRPr="00383F2A">
        <w:rPr>
          <w:rFonts w:ascii="Times New Roman" w:hAnsi="Times New Roman"/>
          <w:sz w:val="24"/>
        </w:rPr>
        <w:t xml:space="preserve">. </w:t>
      </w:r>
      <w:r w:rsidR="00ED6260" w:rsidRPr="009529D7">
        <w:rPr>
          <w:rFonts w:ascii="Times New Roman" w:hAnsi="Times New Roman"/>
          <w:sz w:val="24"/>
        </w:rPr>
        <w:t xml:space="preserve">Unadjusted and adjusted associations, accounting for age </w:t>
      </w:r>
      <w:r w:rsidR="00E11839" w:rsidRPr="009529D7">
        <w:rPr>
          <w:rFonts w:ascii="Times New Roman" w:hAnsi="Times New Roman"/>
          <w:sz w:val="24"/>
        </w:rPr>
        <w:t>at time of scan,</w:t>
      </w:r>
      <w:r w:rsidR="001101AC" w:rsidRPr="009529D7">
        <w:rPr>
          <w:rFonts w:ascii="Times New Roman" w:hAnsi="Times New Roman"/>
          <w:sz w:val="24"/>
        </w:rPr>
        <w:t xml:space="preserve"> follow-up time, </w:t>
      </w:r>
      <w:r w:rsidR="008941BB" w:rsidRPr="009529D7">
        <w:rPr>
          <w:rFonts w:ascii="Times New Roman" w:hAnsi="Times New Roman"/>
          <w:sz w:val="24"/>
        </w:rPr>
        <w:t xml:space="preserve">measured </w:t>
      </w:r>
      <w:r w:rsidR="00E11839" w:rsidRPr="009529D7">
        <w:rPr>
          <w:rFonts w:ascii="Times New Roman" w:hAnsi="Times New Roman"/>
          <w:sz w:val="24"/>
        </w:rPr>
        <w:t>height</w:t>
      </w:r>
      <w:r w:rsidR="008941BB" w:rsidRPr="009529D7">
        <w:rPr>
          <w:rFonts w:ascii="Times New Roman" w:hAnsi="Times New Roman"/>
          <w:sz w:val="24"/>
        </w:rPr>
        <w:t xml:space="preserve"> at follow-up</w:t>
      </w:r>
      <w:r w:rsidR="00E11839" w:rsidRPr="009529D7">
        <w:rPr>
          <w:rFonts w:ascii="Times New Roman" w:hAnsi="Times New Roman"/>
          <w:sz w:val="24"/>
        </w:rPr>
        <w:t xml:space="preserve">, </w:t>
      </w:r>
      <w:r w:rsidR="00C34594" w:rsidRPr="009529D7">
        <w:rPr>
          <w:rFonts w:ascii="Times New Roman" w:hAnsi="Times New Roman"/>
          <w:sz w:val="24"/>
        </w:rPr>
        <w:t>weight-for-height residual</w:t>
      </w:r>
      <w:r w:rsidR="008941BB" w:rsidRPr="009529D7">
        <w:rPr>
          <w:rFonts w:ascii="Times New Roman" w:hAnsi="Times New Roman"/>
          <w:sz w:val="24"/>
        </w:rPr>
        <w:t xml:space="preserve"> from measured values at follow-up</w:t>
      </w:r>
      <w:r w:rsidR="001734D4" w:rsidRPr="009529D7">
        <w:rPr>
          <w:rFonts w:ascii="Times New Roman" w:hAnsi="Times New Roman"/>
          <w:sz w:val="24"/>
        </w:rPr>
        <w:t xml:space="preserve">, </w:t>
      </w:r>
      <w:r w:rsidR="00ED6260" w:rsidRPr="009529D7">
        <w:rPr>
          <w:rFonts w:ascii="Times New Roman" w:hAnsi="Times New Roman"/>
          <w:sz w:val="24"/>
        </w:rPr>
        <w:t xml:space="preserve">physical activity, smoking status, alcohol consumption, </w:t>
      </w:r>
      <w:r w:rsidR="00C62485" w:rsidRPr="009529D7">
        <w:rPr>
          <w:rFonts w:ascii="Times New Roman" w:hAnsi="Times New Roman"/>
          <w:sz w:val="24"/>
        </w:rPr>
        <w:t>e</w:t>
      </w:r>
      <w:r w:rsidR="00ED6260" w:rsidRPr="009529D7">
        <w:rPr>
          <w:rFonts w:ascii="Times New Roman" w:hAnsi="Times New Roman"/>
          <w:sz w:val="24"/>
        </w:rPr>
        <w:t xml:space="preserve">ducation, time since last </w:t>
      </w:r>
      <w:r w:rsidR="00E11839" w:rsidRPr="009529D7">
        <w:rPr>
          <w:rFonts w:ascii="Times New Roman" w:hAnsi="Times New Roman"/>
          <w:sz w:val="24"/>
        </w:rPr>
        <w:t>menstrual cycle</w:t>
      </w:r>
      <w:r w:rsidR="00ED6260" w:rsidRPr="009529D7">
        <w:rPr>
          <w:rFonts w:ascii="Times New Roman" w:hAnsi="Times New Roman"/>
          <w:sz w:val="24"/>
        </w:rPr>
        <w:t>, use of AOM</w:t>
      </w:r>
      <w:r w:rsidR="002938FA">
        <w:rPr>
          <w:rFonts w:ascii="Times New Roman" w:hAnsi="Times New Roman"/>
          <w:sz w:val="24"/>
        </w:rPr>
        <w:t>, calcium and vitamin D supplements,</w:t>
      </w:r>
      <w:r w:rsidR="00ED6260" w:rsidRPr="009529D7">
        <w:rPr>
          <w:rFonts w:ascii="Times New Roman" w:hAnsi="Times New Roman"/>
          <w:sz w:val="24"/>
        </w:rPr>
        <w:t xml:space="preserve"> and </w:t>
      </w:r>
      <w:r w:rsidR="005F3217" w:rsidRPr="009529D7">
        <w:rPr>
          <w:rFonts w:ascii="Times New Roman" w:hAnsi="Times New Roman"/>
          <w:sz w:val="24"/>
        </w:rPr>
        <w:t>oestrogen/</w:t>
      </w:r>
      <w:r w:rsidR="00ED6260" w:rsidRPr="009529D7">
        <w:rPr>
          <w:rFonts w:ascii="Times New Roman" w:hAnsi="Times New Roman"/>
          <w:sz w:val="24"/>
        </w:rPr>
        <w:t>HRT, were examined.</w:t>
      </w:r>
      <w:r w:rsidR="00E11839" w:rsidRPr="00383F2A">
        <w:rPr>
          <w:rFonts w:ascii="Times New Roman" w:hAnsi="Times New Roman"/>
          <w:sz w:val="24"/>
        </w:rPr>
        <w:t xml:space="preserve"> </w:t>
      </w:r>
      <w:r w:rsidR="002978A1" w:rsidRPr="00383F2A">
        <w:rPr>
          <w:rFonts w:ascii="Times New Roman" w:hAnsi="Times New Roman"/>
          <w:sz w:val="24"/>
        </w:rPr>
        <w:t>SPR</w:t>
      </w:r>
      <w:r w:rsidR="00ED686A" w:rsidRPr="00383F2A">
        <w:rPr>
          <w:rFonts w:ascii="Times New Roman" w:hAnsi="Times New Roman"/>
          <w:sz w:val="24"/>
        </w:rPr>
        <w:t xml:space="preserve"> was treated as an ordinal variable</w:t>
      </w:r>
      <w:r w:rsidR="009858C0" w:rsidRPr="00383F2A">
        <w:rPr>
          <w:rFonts w:ascii="Times New Roman" w:hAnsi="Times New Roman"/>
          <w:sz w:val="24"/>
        </w:rPr>
        <w:t xml:space="preserve"> with five levels</w:t>
      </w:r>
      <w:r w:rsidR="00ED686A" w:rsidRPr="00383F2A">
        <w:rPr>
          <w:rFonts w:ascii="Times New Roman" w:hAnsi="Times New Roman"/>
          <w:sz w:val="24"/>
        </w:rPr>
        <w:t xml:space="preserve">. </w:t>
      </w:r>
      <w:r w:rsidR="00361A2A" w:rsidRPr="00383F2A">
        <w:rPr>
          <w:rFonts w:ascii="Times New Roman" w:hAnsi="Times New Roman"/>
          <w:sz w:val="24"/>
          <w:lang w:val="en-US"/>
        </w:rPr>
        <w:t>Apart from the cluster analysis, all analyses were conducted using Stata, version 15.0</w:t>
      </w:r>
    </w:p>
    <w:p w14:paraId="79282F51" w14:textId="787BFDCF" w:rsidR="00ED6260" w:rsidRPr="00383F2A" w:rsidRDefault="00ED6260" w:rsidP="006B0610">
      <w:pPr>
        <w:jc w:val="both"/>
        <w:rPr>
          <w:rFonts w:ascii="Times New Roman" w:hAnsi="Times New Roman"/>
          <w:sz w:val="24"/>
          <w:lang w:val="en-US"/>
        </w:rPr>
      </w:pPr>
    </w:p>
    <w:p w14:paraId="15AC2925" w14:textId="57FCE890" w:rsidR="00ED6260" w:rsidRPr="00383F2A" w:rsidRDefault="006B28D8" w:rsidP="00D6525A">
      <w:pPr>
        <w:jc w:val="both"/>
        <w:rPr>
          <w:rFonts w:ascii="Times New Roman" w:hAnsi="Times New Roman"/>
          <w:b/>
          <w:sz w:val="24"/>
        </w:rPr>
      </w:pPr>
      <w:r w:rsidRPr="00383F2A">
        <w:rPr>
          <w:rFonts w:ascii="Times New Roman" w:hAnsi="Times New Roman"/>
          <w:b/>
          <w:sz w:val="24"/>
        </w:rPr>
        <w:t>Results</w:t>
      </w:r>
    </w:p>
    <w:p w14:paraId="56E9B678" w14:textId="136CDB94" w:rsidR="00176414" w:rsidRPr="00383F2A" w:rsidRDefault="00CF229E" w:rsidP="00D6525A">
      <w:pPr>
        <w:jc w:val="both"/>
        <w:rPr>
          <w:rFonts w:ascii="Times New Roman" w:hAnsi="Times New Roman"/>
          <w:i/>
          <w:sz w:val="24"/>
        </w:rPr>
      </w:pPr>
      <w:r w:rsidRPr="00383F2A">
        <w:rPr>
          <w:rFonts w:ascii="Times New Roman" w:hAnsi="Times New Roman"/>
          <w:i/>
          <w:sz w:val="24"/>
        </w:rPr>
        <w:t>Participant characteristics</w:t>
      </w:r>
    </w:p>
    <w:p w14:paraId="5AC78C0F" w14:textId="77777777" w:rsidR="004E3794" w:rsidRDefault="004C6D6C" w:rsidP="00D6525A">
      <w:pPr>
        <w:spacing w:after="180"/>
        <w:jc w:val="both"/>
        <w:rPr>
          <w:rFonts w:ascii="Times New Roman" w:hAnsi="Times New Roman"/>
          <w:sz w:val="24"/>
          <w:lang w:val="en-US"/>
        </w:rPr>
      </w:pPr>
      <w:r w:rsidRPr="00383F2A">
        <w:rPr>
          <w:rFonts w:ascii="Times New Roman" w:hAnsi="Times New Roman"/>
          <w:sz w:val="24"/>
          <w:lang w:val="en-US"/>
        </w:rPr>
        <w:t xml:space="preserve">Baseline participant characteristics of the </w:t>
      </w:r>
      <w:r w:rsidR="00BF5979" w:rsidRPr="00383F2A">
        <w:rPr>
          <w:rFonts w:ascii="Times New Roman" w:hAnsi="Times New Roman"/>
          <w:sz w:val="24"/>
          <w:lang w:val="en-US"/>
        </w:rPr>
        <w:t xml:space="preserve">baseline </w:t>
      </w:r>
      <w:r w:rsidRPr="00383F2A">
        <w:rPr>
          <w:rFonts w:ascii="Times New Roman" w:hAnsi="Times New Roman"/>
          <w:sz w:val="24"/>
          <w:lang w:val="en-US"/>
        </w:rPr>
        <w:t xml:space="preserve">analysis sample </w:t>
      </w:r>
      <w:r w:rsidR="006B0610" w:rsidRPr="00383F2A">
        <w:rPr>
          <w:rFonts w:ascii="Times New Roman" w:hAnsi="Times New Roman"/>
          <w:sz w:val="24"/>
          <w:lang w:val="en-US"/>
        </w:rPr>
        <w:t>(</w:t>
      </w:r>
      <w:r w:rsidR="0055089E" w:rsidRPr="00383F2A">
        <w:rPr>
          <w:rFonts w:ascii="Times New Roman" w:hAnsi="Times New Roman"/>
          <w:sz w:val="24"/>
          <w:lang w:val="en-US"/>
        </w:rPr>
        <w:t>n=</w:t>
      </w:r>
      <w:r w:rsidR="0055089E" w:rsidRPr="009529D7">
        <w:rPr>
          <w:rFonts w:ascii="Times New Roman" w:hAnsi="Times New Roman"/>
          <w:sz w:val="24"/>
          <w:lang w:val="en-US"/>
        </w:rPr>
        <w:t>3912</w:t>
      </w:r>
      <w:r w:rsidR="00B138E1">
        <w:rPr>
          <w:rFonts w:ascii="Times New Roman" w:hAnsi="Times New Roman"/>
          <w:sz w:val="24"/>
          <w:lang w:val="en-US"/>
        </w:rPr>
        <w:t>)</w:t>
      </w:r>
      <w:r w:rsidR="006B0610" w:rsidRPr="00383F2A">
        <w:rPr>
          <w:rFonts w:ascii="Times New Roman" w:hAnsi="Times New Roman"/>
          <w:sz w:val="24"/>
          <w:lang w:val="en-US"/>
        </w:rPr>
        <w:t xml:space="preserve"> </w:t>
      </w:r>
      <w:r w:rsidRPr="00383F2A">
        <w:rPr>
          <w:rFonts w:ascii="Times New Roman" w:hAnsi="Times New Roman"/>
          <w:sz w:val="24"/>
          <w:lang w:val="en-US"/>
        </w:rPr>
        <w:t xml:space="preserve">are presented in Table 1. Mean (SD) age was </w:t>
      </w:r>
      <w:r w:rsidRPr="009529D7">
        <w:rPr>
          <w:rFonts w:ascii="Times New Roman" w:hAnsi="Times New Roman"/>
          <w:sz w:val="24"/>
          <w:lang w:val="en-US"/>
        </w:rPr>
        <w:t>69.0 (9.0)</w:t>
      </w:r>
      <w:r w:rsidRPr="00383F2A">
        <w:rPr>
          <w:rFonts w:ascii="Times New Roman" w:hAnsi="Times New Roman"/>
          <w:sz w:val="24"/>
          <w:lang w:val="en-US"/>
        </w:rPr>
        <w:t xml:space="preserve"> years. Overall, </w:t>
      </w:r>
      <w:r w:rsidRPr="009529D7">
        <w:rPr>
          <w:rFonts w:ascii="Times New Roman" w:hAnsi="Times New Roman"/>
          <w:sz w:val="24"/>
          <w:lang w:val="en-US"/>
        </w:rPr>
        <w:t>2213 (56.6%)</w:t>
      </w:r>
      <w:r w:rsidRPr="00383F2A">
        <w:rPr>
          <w:rFonts w:ascii="Times New Roman" w:hAnsi="Times New Roman"/>
          <w:sz w:val="24"/>
          <w:lang w:val="en-US"/>
        </w:rPr>
        <w:t xml:space="preserve"> reported a similar SPR compared to other women of the same age; </w:t>
      </w:r>
      <w:r w:rsidRPr="009529D7">
        <w:rPr>
          <w:rFonts w:ascii="Times New Roman" w:hAnsi="Times New Roman"/>
          <w:sz w:val="24"/>
          <w:lang w:val="en-US"/>
        </w:rPr>
        <w:t>1118 (28.6%)</w:t>
      </w:r>
      <w:r w:rsidRPr="00383F2A">
        <w:rPr>
          <w:rFonts w:ascii="Times New Roman" w:hAnsi="Times New Roman"/>
          <w:sz w:val="24"/>
          <w:lang w:val="en-US"/>
        </w:rPr>
        <w:t xml:space="preserve"> reported a lower risk and </w:t>
      </w:r>
      <w:r w:rsidRPr="009529D7">
        <w:rPr>
          <w:rFonts w:ascii="Times New Roman" w:hAnsi="Times New Roman"/>
          <w:sz w:val="24"/>
          <w:lang w:val="en-US"/>
        </w:rPr>
        <w:t>581 (14.9%)</w:t>
      </w:r>
      <w:r w:rsidRPr="00383F2A">
        <w:rPr>
          <w:rFonts w:ascii="Times New Roman" w:hAnsi="Times New Roman"/>
          <w:sz w:val="24"/>
          <w:lang w:val="en-US"/>
        </w:rPr>
        <w:t xml:space="preserve"> reported a higher risk.</w:t>
      </w:r>
      <w:r w:rsidR="00C62485" w:rsidRPr="00383F2A">
        <w:rPr>
          <w:rFonts w:ascii="Times New Roman" w:hAnsi="Times New Roman"/>
          <w:sz w:val="24"/>
          <w:lang w:val="en-US"/>
        </w:rPr>
        <w:t xml:space="preserve"> </w:t>
      </w:r>
      <w:r w:rsidR="004E3794" w:rsidRPr="004E3794">
        <w:rPr>
          <w:rFonts w:ascii="Times New Roman" w:hAnsi="Times New Roman"/>
          <w:sz w:val="24"/>
          <w:lang w:val="en-US"/>
        </w:rPr>
        <w:t xml:space="preserve">Median (lower quartile, upper quartile) FRAX probabilities for 10-year MOF and hip fracture are presented in Table 1. MOF FRAX probabilities for women with lower, similar and higher SPR were 10.4 (7.1, 16.0), 10.7 (7.1, 17.2) and 15.6 (9.1, 22.8) respectively; corresponding FRAX probabilities for hip fracture were 2.1 (1.1, 5.4), 2.1 (1.0, 5.5) and 3.7 (1.6, 8.8) (data not shown). </w:t>
      </w:r>
    </w:p>
    <w:p w14:paraId="5561536B" w14:textId="56E54DBC" w:rsidR="00B410D7" w:rsidRPr="00383F2A" w:rsidRDefault="00B410D7" w:rsidP="00D6525A">
      <w:pPr>
        <w:spacing w:after="180"/>
        <w:jc w:val="both"/>
        <w:rPr>
          <w:rFonts w:ascii="Times New Roman" w:hAnsi="Times New Roman"/>
          <w:sz w:val="24"/>
        </w:rPr>
      </w:pPr>
      <w:r w:rsidRPr="00383F2A">
        <w:rPr>
          <w:rFonts w:ascii="Times New Roman" w:hAnsi="Times New Roman"/>
          <w:sz w:val="24"/>
        </w:rPr>
        <w:t>Participant characteristics for the subgroup analysis sample</w:t>
      </w:r>
      <w:r w:rsidR="006E19EF">
        <w:rPr>
          <w:rFonts w:ascii="Times New Roman" w:hAnsi="Times New Roman"/>
          <w:sz w:val="24"/>
        </w:rPr>
        <w:t xml:space="preserve"> (n=492)</w:t>
      </w:r>
      <w:r w:rsidRPr="00383F2A">
        <w:rPr>
          <w:rFonts w:ascii="Times New Roman" w:hAnsi="Times New Roman"/>
          <w:sz w:val="24"/>
        </w:rPr>
        <w:t xml:space="preserve"> </w:t>
      </w:r>
      <w:r w:rsidR="00BF5979" w:rsidRPr="00383F2A">
        <w:rPr>
          <w:rFonts w:ascii="Times New Roman" w:hAnsi="Times New Roman"/>
          <w:sz w:val="24"/>
        </w:rPr>
        <w:t>wh</w:t>
      </w:r>
      <w:r w:rsidR="006D1D1E">
        <w:rPr>
          <w:rFonts w:ascii="Times New Roman" w:hAnsi="Times New Roman"/>
          <w:sz w:val="24"/>
        </w:rPr>
        <w:t>o underwent bone assessment</w:t>
      </w:r>
      <w:r w:rsidR="006E19EF">
        <w:rPr>
          <w:rFonts w:ascii="Times New Roman" w:hAnsi="Times New Roman"/>
          <w:sz w:val="24"/>
        </w:rPr>
        <w:t>s</w:t>
      </w:r>
      <w:r w:rsidR="006D1D1E">
        <w:rPr>
          <w:rFonts w:ascii="Times New Roman" w:hAnsi="Times New Roman"/>
          <w:sz w:val="24"/>
        </w:rPr>
        <w:t xml:space="preserve"> </w:t>
      </w:r>
      <w:r w:rsidRPr="00383F2A">
        <w:rPr>
          <w:rFonts w:ascii="Times New Roman" w:hAnsi="Times New Roman"/>
          <w:sz w:val="24"/>
        </w:rPr>
        <w:t xml:space="preserve">are presented in Table </w:t>
      </w:r>
      <w:r w:rsidR="00F21CA4" w:rsidRPr="00383F2A">
        <w:rPr>
          <w:rFonts w:ascii="Times New Roman" w:hAnsi="Times New Roman"/>
          <w:sz w:val="24"/>
        </w:rPr>
        <w:t>2</w:t>
      </w:r>
      <w:r w:rsidRPr="00383F2A">
        <w:rPr>
          <w:rFonts w:ascii="Times New Roman" w:hAnsi="Times New Roman"/>
          <w:sz w:val="24"/>
        </w:rPr>
        <w:t xml:space="preserve">. Mean (SD) age at scan was </w:t>
      </w:r>
      <w:r w:rsidR="006D1D1E" w:rsidRPr="009529D7">
        <w:rPr>
          <w:rFonts w:ascii="Times New Roman" w:hAnsi="Times New Roman"/>
          <w:color w:val="000000"/>
          <w:sz w:val="24"/>
          <w:lang w:eastAsia="en-GB"/>
        </w:rPr>
        <w:t>70.9 (5.4)</w:t>
      </w:r>
      <w:r w:rsidRPr="00383F2A">
        <w:rPr>
          <w:rFonts w:ascii="Times New Roman" w:hAnsi="Times New Roman"/>
          <w:color w:val="000000"/>
          <w:sz w:val="24"/>
          <w:lang w:eastAsia="en-GB"/>
        </w:rPr>
        <w:t xml:space="preserve"> years respectively, resulting in a median (lower quartile, upper quartile) follow-up time of </w:t>
      </w:r>
      <w:r w:rsidR="006D1D1E" w:rsidRPr="009529D7">
        <w:rPr>
          <w:rFonts w:ascii="Times New Roman" w:hAnsi="Times New Roman"/>
          <w:color w:val="000000"/>
          <w:sz w:val="24"/>
          <w:lang w:eastAsia="en-GB"/>
        </w:rPr>
        <w:t>7.5 (7.1, 8.9)</w:t>
      </w:r>
      <w:r w:rsidRPr="00383F2A">
        <w:rPr>
          <w:rFonts w:ascii="Times New Roman" w:hAnsi="Times New Roman"/>
          <w:color w:val="000000"/>
          <w:sz w:val="24"/>
          <w:lang w:eastAsia="en-GB"/>
        </w:rPr>
        <w:t xml:space="preserve"> years</w:t>
      </w:r>
      <w:r w:rsidRPr="00383F2A">
        <w:rPr>
          <w:rFonts w:ascii="Times New Roman" w:hAnsi="Times New Roman"/>
          <w:sz w:val="24"/>
        </w:rPr>
        <w:t xml:space="preserve">. Overall, </w:t>
      </w:r>
      <w:r w:rsidR="006D1D1E" w:rsidRPr="009529D7">
        <w:rPr>
          <w:rFonts w:ascii="Times New Roman" w:hAnsi="Times New Roman"/>
          <w:sz w:val="24"/>
        </w:rPr>
        <w:t>283 (57.5%)</w:t>
      </w:r>
      <w:r w:rsidRPr="00383F2A">
        <w:rPr>
          <w:rFonts w:ascii="Times New Roman" w:hAnsi="Times New Roman"/>
          <w:sz w:val="24"/>
        </w:rPr>
        <w:t xml:space="preserve"> reported a similar SPR compared to other women of the same age; </w:t>
      </w:r>
      <w:r w:rsidR="006D1D1E" w:rsidRPr="009529D7">
        <w:rPr>
          <w:rFonts w:ascii="Times New Roman" w:hAnsi="Times New Roman"/>
          <w:sz w:val="24"/>
        </w:rPr>
        <w:t>140 (28.5%)</w:t>
      </w:r>
      <w:r w:rsidRPr="00383F2A">
        <w:rPr>
          <w:rFonts w:ascii="Times New Roman" w:hAnsi="Times New Roman"/>
          <w:sz w:val="24"/>
        </w:rPr>
        <w:t xml:space="preserve"> reported a lower risk</w:t>
      </w:r>
      <w:r w:rsidR="00FA39D8">
        <w:rPr>
          <w:rFonts w:ascii="Times New Roman" w:hAnsi="Times New Roman"/>
          <w:sz w:val="24"/>
        </w:rPr>
        <w:t xml:space="preserve"> </w:t>
      </w:r>
      <w:r w:rsidRPr="00383F2A">
        <w:rPr>
          <w:rFonts w:ascii="Times New Roman" w:hAnsi="Times New Roman"/>
          <w:sz w:val="24"/>
        </w:rPr>
        <w:t xml:space="preserve">and </w:t>
      </w:r>
      <w:r w:rsidR="006D1D1E" w:rsidRPr="009529D7">
        <w:rPr>
          <w:rFonts w:ascii="Times New Roman" w:hAnsi="Times New Roman"/>
          <w:sz w:val="24"/>
        </w:rPr>
        <w:t>69 (14.0%)</w:t>
      </w:r>
      <w:r w:rsidRPr="00383F2A">
        <w:rPr>
          <w:rFonts w:ascii="Times New Roman" w:hAnsi="Times New Roman"/>
          <w:sz w:val="24"/>
        </w:rPr>
        <w:t xml:space="preserve"> reported a higher risk</w:t>
      </w:r>
      <w:r w:rsidR="00073055">
        <w:rPr>
          <w:rFonts w:ascii="Times New Roman" w:hAnsi="Times New Roman"/>
          <w:sz w:val="24"/>
        </w:rPr>
        <w:t>.</w:t>
      </w:r>
    </w:p>
    <w:p w14:paraId="5C1A97BA" w14:textId="77777777" w:rsidR="004C6D6C" w:rsidRPr="00383F2A" w:rsidRDefault="004C6D6C" w:rsidP="00D6525A">
      <w:pPr>
        <w:spacing w:after="180"/>
        <w:jc w:val="both"/>
        <w:rPr>
          <w:rFonts w:ascii="Times New Roman" w:hAnsi="Times New Roman"/>
          <w:sz w:val="24"/>
          <w:lang w:val="en-US"/>
        </w:rPr>
      </w:pPr>
    </w:p>
    <w:p w14:paraId="033BACB1" w14:textId="5A082935" w:rsidR="004C6D6C" w:rsidRPr="00383F2A" w:rsidRDefault="004C6D6C" w:rsidP="00D6525A">
      <w:pPr>
        <w:spacing w:after="180"/>
        <w:jc w:val="both"/>
        <w:rPr>
          <w:rFonts w:ascii="Times New Roman" w:hAnsi="Times New Roman"/>
          <w:i/>
          <w:sz w:val="24"/>
          <w:lang w:val="en-US"/>
        </w:rPr>
      </w:pPr>
      <w:r w:rsidRPr="00383F2A">
        <w:rPr>
          <w:rFonts w:ascii="Times New Roman" w:hAnsi="Times New Roman"/>
          <w:i/>
          <w:sz w:val="24"/>
          <w:lang w:val="en-US"/>
        </w:rPr>
        <w:t xml:space="preserve">Associations between </w:t>
      </w:r>
      <w:r w:rsidR="003F28F0">
        <w:rPr>
          <w:rFonts w:ascii="Times New Roman" w:hAnsi="Times New Roman"/>
          <w:i/>
          <w:sz w:val="24"/>
          <w:lang w:val="en-US"/>
        </w:rPr>
        <w:t xml:space="preserve">baseline </w:t>
      </w:r>
      <w:r w:rsidRPr="00383F2A">
        <w:rPr>
          <w:rFonts w:ascii="Times New Roman" w:hAnsi="Times New Roman"/>
          <w:i/>
          <w:sz w:val="24"/>
          <w:lang w:val="en-US"/>
        </w:rPr>
        <w:t>participant characteristics and SPR</w:t>
      </w:r>
    </w:p>
    <w:p w14:paraId="235CA7EB" w14:textId="1AE9AC62" w:rsidR="004C6D6C" w:rsidRPr="00383F2A" w:rsidRDefault="004C6D6C" w:rsidP="00D6525A">
      <w:pPr>
        <w:spacing w:after="180"/>
        <w:jc w:val="both"/>
        <w:rPr>
          <w:rFonts w:ascii="Times New Roman" w:hAnsi="Times New Roman"/>
          <w:sz w:val="24"/>
          <w:lang w:val="en-US"/>
        </w:rPr>
      </w:pPr>
      <w:r w:rsidRPr="00383F2A">
        <w:rPr>
          <w:rFonts w:ascii="Times New Roman" w:hAnsi="Times New Roman"/>
          <w:sz w:val="24"/>
          <w:lang w:val="en-US"/>
        </w:rPr>
        <w:t xml:space="preserve">Cross-sectional associations between baseline participant characteristics and SPR are presented in Table </w:t>
      </w:r>
      <w:r w:rsidR="00F21CA4" w:rsidRPr="00383F2A">
        <w:rPr>
          <w:rFonts w:ascii="Times New Roman" w:hAnsi="Times New Roman"/>
          <w:sz w:val="24"/>
          <w:lang w:val="en-US"/>
        </w:rPr>
        <w:t>3</w:t>
      </w:r>
      <w:r w:rsidRPr="00383F2A">
        <w:rPr>
          <w:rFonts w:ascii="Times New Roman" w:hAnsi="Times New Roman"/>
          <w:sz w:val="24"/>
          <w:lang w:val="en-US"/>
        </w:rPr>
        <w:t xml:space="preserve">. </w:t>
      </w:r>
      <w:r w:rsidRPr="009529D7">
        <w:rPr>
          <w:rFonts w:ascii="Times New Roman" w:hAnsi="Times New Roman"/>
          <w:sz w:val="24"/>
          <w:lang w:val="en-US"/>
        </w:rPr>
        <w:t xml:space="preserve">In univariate analyses, the following were associated (p&lt;0.05) with higher SPR: shorter </w:t>
      </w:r>
      <w:r w:rsidR="003F28F0" w:rsidRPr="009529D7">
        <w:rPr>
          <w:rFonts w:ascii="Times New Roman" w:hAnsi="Times New Roman"/>
          <w:sz w:val="24"/>
          <w:lang w:val="en-US"/>
        </w:rPr>
        <w:t xml:space="preserve">self-reported </w:t>
      </w:r>
      <w:r w:rsidRPr="009529D7">
        <w:rPr>
          <w:rFonts w:ascii="Times New Roman" w:hAnsi="Times New Roman"/>
          <w:sz w:val="24"/>
          <w:lang w:val="en-US"/>
        </w:rPr>
        <w:t xml:space="preserve">height; lower alcohol consumption, physical activity and educational attainment; current use of AOM and calcium supplements; longer time since menopause; greater number of falls in the previous 12 months; history of fracture since aged 45 years; family history of hip fracture; </w:t>
      </w:r>
      <w:r w:rsidR="005525E0">
        <w:rPr>
          <w:rFonts w:ascii="Times New Roman" w:hAnsi="Times New Roman"/>
          <w:sz w:val="24"/>
          <w:lang w:val="en-US"/>
        </w:rPr>
        <w:t xml:space="preserve">higher </w:t>
      </w:r>
      <w:r w:rsidR="00463856">
        <w:rPr>
          <w:rFonts w:ascii="Times New Roman" w:hAnsi="Times New Roman"/>
          <w:sz w:val="24"/>
          <w:lang w:val="en-US"/>
        </w:rPr>
        <w:t xml:space="preserve">FRAX scores for MOF and hip fracture; </w:t>
      </w:r>
      <w:r w:rsidRPr="009529D7">
        <w:rPr>
          <w:rFonts w:ascii="Times New Roman" w:hAnsi="Times New Roman"/>
          <w:sz w:val="24"/>
          <w:lang w:val="en-US"/>
        </w:rPr>
        <w:t>and increased comorbidity.</w:t>
      </w:r>
      <w:r w:rsidRPr="00383F2A">
        <w:rPr>
          <w:rFonts w:ascii="Times New Roman" w:hAnsi="Times New Roman"/>
          <w:sz w:val="24"/>
          <w:lang w:val="en-US"/>
        </w:rPr>
        <w:t xml:space="preserve"> </w:t>
      </w:r>
      <w:r w:rsidRPr="009529D7">
        <w:rPr>
          <w:rFonts w:ascii="Times New Roman" w:hAnsi="Times New Roman"/>
          <w:sz w:val="24"/>
          <w:lang w:val="en-US"/>
        </w:rPr>
        <w:t xml:space="preserve">Apart from associations regarding </w:t>
      </w:r>
      <w:r w:rsidR="003F28F0" w:rsidRPr="009529D7">
        <w:rPr>
          <w:rFonts w:ascii="Times New Roman" w:hAnsi="Times New Roman"/>
          <w:sz w:val="24"/>
          <w:lang w:val="en-US"/>
        </w:rPr>
        <w:t xml:space="preserve">self-reported </w:t>
      </w:r>
      <w:r w:rsidRPr="009529D7">
        <w:rPr>
          <w:rFonts w:ascii="Times New Roman" w:hAnsi="Times New Roman"/>
          <w:sz w:val="24"/>
          <w:lang w:val="en-US"/>
        </w:rPr>
        <w:t>height and alcohol consumption, all were significant (p&lt;0.05) in mutually-adjusted analysis</w:t>
      </w:r>
      <w:r w:rsidR="00463856">
        <w:rPr>
          <w:rFonts w:ascii="Times New Roman" w:hAnsi="Times New Roman"/>
          <w:sz w:val="24"/>
          <w:lang w:val="en-US"/>
        </w:rPr>
        <w:t xml:space="preserve"> (FRAX variables were not included in the mutually-adjusted model)</w:t>
      </w:r>
      <w:r w:rsidRPr="009529D7">
        <w:rPr>
          <w:rFonts w:ascii="Times New Roman" w:hAnsi="Times New Roman"/>
          <w:sz w:val="24"/>
          <w:lang w:val="en-US"/>
        </w:rPr>
        <w:t>; however the direction was reversed for time since menopause such that greater time was associated with reduced SPR.</w:t>
      </w:r>
    </w:p>
    <w:p w14:paraId="0F79AB9D" w14:textId="11346DEB" w:rsidR="006C4233" w:rsidRPr="00383F2A" w:rsidRDefault="00BB4DAF" w:rsidP="00D6525A">
      <w:pPr>
        <w:spacing w:after="180"/>
        <w:jc w:val="both"/>
        <w:rPr>
          <w:rFonts w:ascii="Times New Roman" w:hAnsi="Times New Roman"/>
          <w:sz w:val="24"/>
          <w:lang w:val="en-US"/>
        </w:rPr>
      </w:pPr>
      <w:r w:rsidRPr="00BB4DAF">
        <w:rPr>
          <w:rFonts w:ascii="Times New Roman" w:hAnsi="Times New Roman"/>
          <w:sz w:val="24"/>
          <w:lang w:val="en-US"/>
        </w:rPr>
        <w:t xml:space="preserve">In sensitivity analyses among participants with osteoporosis, currently taking AOM and with either of these conditions, many associations were not significant, perhaps due to the reduction in sample size. However, the following characteristics associated with SPR in the main analysis were also significant (p&lt;0.05) or </w:t>
      </w:r>
      <w:r w:rsidR="009B387E">
        <w:rPr>
          <w:rFonts w:ascii="Times New Roman" w:hAnsi="Times New Roman"/>
          <w:sz w:val="24"/>
          <w:lang w:val="en-US"/>
        </w:rPr>
        <w:t>had a trend towards significance (p</w:t>
      </w:r>
      <w:r w:rsidR="00EC19C3">
        <w:rPr>
          <w:rFonts w:ascii="Times New Roman" w:hAnsi="Times New Roman"/>
          <w:sz w:val="24"/>
          <w:lang w:val="en-US"/>
        </w:rPr>
        <w:t>≤</w:t>
      </w:r>
      <w:r w:rsidR="009B387E">
        <w:rPr>
          <w:rFonts w:ascii="Times New Roman" w:hAnsi="Times New Roman"/>
          <w:sz w:val="24"/>
          <w:lang w:val="en-US"/>
        </w:rPr>
        <w:t>0.071)</w:t>
      </w:r>
      <w:r w:rsidRPr="00BB4DAF">
        <w:rPr>
          <w:rFonts w:ascii="Times New Roman" w:hAnsi="Times New Roman"/>
          <w:sz w:val="24"/>
          <w:lang w:val="en-US"/>
        </w:rPr>
        <w:t xml:space="preserve"> in sensitivity analyses (Supplementary Table 1): physical act</w:t>
      </w:r>
      <w:r w:rsidR="009B387E">
        <w:rPr>
          <w:rFonts w:ascii="Times New Roman" w:hAnsi="Times New Roman"/>
          <w:sz w:val="24"/>
          <w:lang w:val="en-US"/>
        </w:rPr>
        <w:t>ivity; currently taking calcium</w:t>
      </w:r>
      <w:r w:rsidRPr="00BB4DAF">
        <w:rPr>
          <w:rFonts w:ascii="Times New Roman" w:hAnsi="Times New Roman"/>
          <w:sz w:val="24"/>
          <w:lang w:val="en-US"/>
        </w:rPr>
        <w:t>;</w:t>
      </w:r>
      <w:r w:rsidR="009B387E">
        <w:rPr>
          <w:rFonts w:ascii="Times New Roman" w:hAnsi="Times New Roman"/>
          <w:sz w:val="24"/>
          <w:lang w:val="en-US"/>
        </w:rPr>
        <w:t xml:space="preserve"> and</w:t>
      </w:r>
      <w:r w:rsidRPr="00BB4DAF">
        <w:rPr>
          <w:rFonts w:ascii="Times New Roman" w:hAnsi="Times New Roman"/>
          <w:sz w:val="24"/>
          <w:lang w:val="en-US"/>
        </w:rPr>
        <w:t xml:space="preserve"> having a fracture since 45.</w:t>
      </w:r>
    </w:p>
    <w:p w14:paraId="3FCE7A47" w14:textId="77777777" w:rsidR="006C4233" w:rsidRPr="00383F2A" w:rsidRDefault="006C4233" w:rsidP="00D6525A">
      <w:pPr>
        <w:spacing w:after="180"/>
        <w:jc w:val="both"/>
        <w:rPr>
          <w:rFonts w:ascii="Times New Roman" w:hAnsi="Times New Roman"/>
          <w:i/>
          <w:sz w:val="24"/>
          <w:lang w:val="en-US"/>
        </w:rPr>
      </w:pPr>
    </w:p>
    <w:p w14:paraId="6F35C224" w14:textId="77777777" w:rsidR="006C4233" w:rsidRPr="00383F2A" w:rsidRDefault="006C4233" w:rsidP="00D6525A">
      <w:pPr>
        <w:spacing w:after="180"/>
        <w:jc w:val="both"/>
        <w:rPr>
          <w:rFonts w:ascii="Times New Roman" w:hAnsi="Times New Roman"/>
          <w:i/>
          <w:sz w:val="24"/>
          <w:lang w:val="en-US"/>
        </w:rPr>
      </w:pPr>
      <w:r w:rsidRPr="00383F2A">
        <w:rPr>
          <w:rFonts w:ascii="Times New Roman" w:hAnsi="Times New Roman"/>
          <w:i/>
          <w:sz w:val="24"/>
          <w:lang w:val="en-US"/>
        </w:rPr>
        <w:t>Cluster analysis of participant characteristics</w:t>
      </w:r>
    </w:p>
    <w:p w14:paraId="7C65E2CC" w14:textId="08D36716" w:rsidR="006C4233" w:rsidRPr="00383F2A" w:rsidRDefault="006C4233" w:rsidP="00D6525A">
      <w:pPr>
        <w:spacing w:after="180"/>
        <w:jc w:val="both"/>
        <w:rPr>
          <w:rFonts w:ascii="Times New Roman" w:hAnsi="Times New Roman"/>
          <w:sz w:val="24"/>
          <w:lang w:val="en-US"/>
        </w:rPr>
      </w:pPr>
      <w:r w:rsidRPr="00383F2A">
        <w:rPr>
          <w:rFonts w:ascii="Times New Roman" w:hAnsi="Times New Roman"/>
          <w:sz w:val="24"/>
          <w:lang w:val="en-US"/>
        </w:rPr>
        <w:t xml:space="preserve">The four-cluster solution was optimal according to the BIC criterion; the number of participants in each cluster ranged from 459-904. </w:t>
      </w:r>
    </w:p>
    <w:p w14:paraId="3C0EE98B" w14:textId="7F9B6765" w:rsidR="004C6D6C" w:rsidRDefault="006C4233" w:rsidP="00D6525A">
      <w:pPr>
        <w:spacing w:after="180"/>
        <w:jc w:val="both"/>
        <w:rPr>
          <w:rFonts w:ascii="Times New Roman" w:hAnsi="Times New Roman"/>
          <w:sz w:val="24"/>
          <w:lang w:val="en-US"/>
        </w:rPr>
      </w:pPr>
      <w:r w:rsidRPr="00383F2A">
        <w:rPr>
          <w:rFonts w:ascii="Times New Roman" w:hAnsi="Times New Roman"/>
          <w:sz w:val="24"/>
          <w:lang w:val="en-US"/>
        </w:rPr>
        <w:t xml:space="preserve">Descriptive statistics for the participant characteristics according to each cluster are shown in Table </w:t>
      </w:r>
      <w:r w:rsidR="00C5714E" w:rsidRPr="00383F2A">
        <w:rPr>
          <w:rFonts w:ascii="Times New Roman" w:hAnsi="Times New Roman"/>
          <w:sz w:val="24"/>
          <w:lang w:val="en-US"/>
        </w:rPr>
        <w:t>4</w:t>
      </w:r>
      <w:r w:rsidRPr="00383F2A">
        <w:rPr>
          <w:rFonts w:ascii="Times New Roman" w:hAnsi="Times New Roman"/>
          <w:sz w:val="24"/>
          <w:lang w:val="en-US"/>
        </w:rPr>
        <w:t xml:space="preserve">. </w:t>
      </w:r>
      <w:r w:rsidRPr="008B7BA0">
        <w:rPr>
          <w:rFonts w:ascii="Times New Roman" w:hAnsi="Times New Roman"/>
          <w:sz w:val="24"/>
          <w:lang w:val="en-US"/>
        </w:rPr>
        <w:t>Compared to the other clusters, Cluster 1 had a greater proportion of women with the following characteristics: current use of AOM (35.4% vs ≤4.5% in other clusters), calcium supplements (97.3% vs ≤1.1%) and Vitamin D supplements (51.5% vs ≤13.1%); and a fracture since age 45 years (33.7% vs ≤27.5%). Although not used in the cluster analysis algorithm, the proportion with higher SPR was also much higher in Cluster 1 (32.9%) compared to other clusters (≤11.2%).</w:t>
      </w:r>
    </w:p>
    <w:p w14:paraId="44E81329" w14:textId="2C0E3567" w:rsidR="00400AA4" w:rsidRPr="00383F2A" w:rsidRDefault="00400AA4" w:rsidP="00D6525A">
      <w:pPr>
        <w:spacing w:after="180"/>
        <w:jc w:val="both"/>
        <w:rPr>
          <w:rFonts w:ascii="Times New Roman" w:hAnsi="Times New Roman"/>
          <w:sz w:val="24"/>
          <w:lang w:val="en-US"/>
        </w:rPr>
      </w:pPr>
      <w:r w:rsidRPr="00383F2A">
        <w:rPr>
          <w:rFonts w:ascii="Times New Roman" w:hAnsi="Times New Roman"/>
          <w:sz w:val="24"/>
          <w:lang w:val="en-US"/>
        </w:rPr>
        <w:t xml:space="preserve">The silhouette coefficient of 0.1 indicated that the clustering was not substantial. </w:t>
      </w:r>
      <w:r>
        <w:rPr>
          <w:rFonts w:ascii="Times New Roman" w:hAnsi="Times New Roman"/>
          <w:sz w:val="24"/>
          <w:lang w:val="en-US"/>
        </w:rPr>
        <w:t>However</w:t>
      </w:r>
      <w:r w:rsidRPr="00383F2A">
        <w:rPr>
          <w:rFonts w:ascii="Times New Roman" w:hAnsi="Times New Roman"/>
          <w:sz w:val="24"/>
          <w:lang w:val="en-US"/>
        </w:rPr>
        <w:t>, the results show that higher SPR and the risk factors for this variable tend to cluster together.</w:t>
      </w:r>
    </w:p>
    <w:p w14:paraId="068CBD67" w14:textId="77777777" w:rsidR="004151BB" w:rsidRPr="00383F2A" w:rsidRDefault="004151BB" w:rsidP="00D6525A">
      <w:pPr>
        <w:jc w:val="both"/>
        <w:rPr>
          <w:rFonts w:ascii="Times New Roman" w:hAnsi="Times New Roman"/>
          <w:sz w:val="24"/>
        </w:rPr>
      </w:pPr>
    </w:p>
    <w:p w14:paraId="01CAC46A" w14:textId="77219817" w:rsidR="004151BB" w:rsidRPr="00E92182" w:rsidRDefault="004151BB" w:rsidP="00D6525A">
      <w:pPr>
        <w:jc w:val="both"/>
        <w:rPr>
          <w:rFonts w:ascii="Times New Roman" w:hAnsi="Times New Roman"/>
          <w:i/>
          <w:sz w:val="24"/>
        </w:rPr>
      </w:pPr>
      <w:r w:rsidRPr="00E92182">
        <w:rPr>
          <w:rFonts w:ascii="Times New Roman" w:hAnsi="Times New Roman"/>
          <w:i/>
          <w:sz w:val="24"/>
        </w:rPr>
        <w:t xml:space="preserve">Associations between SPR and </w:t>
      </w:r>
      <w:r w:rsidR="00614150" w:rsidRPr="00E92182">
        <w:rPr>
          <w:rFonts w:ascii="Times New Roman" w:hAnsi="Times New Roman"/>
          <w:i/>
          <w:sz w:val="24"/>
        </w:rPr>
        <w:t>DXA a</w:t>
      </w:r>
      <w:r w:rsidR="007369F9" w:rsidRPr="00E92182">
        <w:rPr>
          <w:rFonts w:ascii="Times New Roman" w:hAnsi="Times New Roman"/>
          <w:i/>
          <w:sz w:val="24"/>
        </w:rPr>
        <w:t>BMD</w:t>
      </w:r>
      <w:r w:rsidRPr="00E92182">
        <w:rPr>
          <w:rFonts w:ascii="Times New Roman" w:hAnsi="Times New Roman"/>
          <w:i/>
          <w:sz w:val="24"/>
        </w:rPr>
        <w:t xml:space="preserve"> parameters</w:t>
      </w:r>
    </w:p>
    <w:p w14:paraId="5ADDB59A" w14:textId="31836386" w:rsidR="004151BB" w:rsidRPr="00A76DD6" w:rsidRDefault="004151BB" w:rsidP="00D6525A">
      <w:pPr>
        <w:jc w:val="both"/>
        <w:rPr>
          <w:rFonts w:ascii="Times New Roman" w:hAnsi="Times New Roman"/>
          <w:color w:val="000000" w:themeColor="text1"/>
          <w:sz w:val="24"/>
        </w:rPr>
      </w:pPr>
      <w:r w:rsidRPr="00E92182">
        <w:rPr>
          <w:rFonts w:ascii="Times New Roman" w:hAnsi="Times New Roman"/>
          <w:sz w:val="24"/>
        </w:rPr>
        <w:t xml:space="preserve">The relationships between SPR and </w:t>
      </w:r>
      <w:r w:rsidR="00614150" w:rsidRPr="00E92182">
        <w:rPr>
          <w:rFonts w:ascii="Times New Roman" w:hAnsi="Times New Roman"/>
          <w:sz w:val="24"/>
        </w:rPr>
        <w:t>DXA a</w:t>
      </w:r>
      <w:r w:rsidR="007369F9" w:rsidRPr="00E92182">
        <w:rPr>
          <w:rFonts w:ascii="Times New Roman" w:hAnsi="Times New Roman"/>
          <w:sz w:val="24"/>
        </w:rPr>
        <w:t>BMD</w:t>
      </w:r>
      <w:r w:rsidRPr="00E92182">
        <w:rPr>
          <w:rFonts w:ascii="Times New Roman" w:hAnsi="Times New Roman"/>
          <w:sz w:val="24"/>
        </w:rPr>
        <w:t xml:space="preserve"> parameters are presented in Table </w:t>
      </w:r>
      <w:r w:rsidR="00D9768A" w:rsidRPr="00E92182">
        <w:rPr>
          <w:rFonts w:ascii="Times New Roman" w:hAnsi="Times New Roman"/>
          <w:sz w:val="24"/>
        </w:rPr>
        <w:t>5</w:t>
      </w:r>
      <w:r w:rsidRPr="00E92182">
        <w:rPr>
          <w:rFonts w:ascii="Times New Roman" w:hAnsi="Times New Roman"/>
          <w:sz w:val="24"/>
        </w:rPr>
        <w:t xml:space="preserve">. </w:t>
      </w:r>
      <w:r w:rsidR="00E539F9" w:rsidRPr="00E92182">
        <w:rPr>
          <w:rFonts w:ascii="Times New Roman" w:hAnsi="Times New Roman"/>
          <w:sz w:val="24"/>
        </w:rPr>
        <w:t>H</w:t>
      </w:r>
      <w:r w:rsidRPr="00E92182">
        <w:rPr>
          <w:rFonts w:ascii="Times New Roman" w:hAnsi="Times New Roman"/>
          <w:sz w:val="24"/>
        </w:rPr>
        <w:t xml:space="preserve">igher SPR was associated (p&lt;0.02) with </w:t>
      </w:r>
      <w:r w:rsidR="001178F4" w:rsidRPr="00E92182">
        <w:rPr>
          <w:rFonts w:ascii="Times New Roman" w:hAnsi="Times New Roman"/>
          <w:sz w:val="24"/>
        </w:rPr>
        <w:t xml:space="preserve">subsequent </w:t>
      </w:r>
      <w:r w:rsidR="00E539F9" w:rsidRPr="00E92182">
        <w:rPr>
          <w:rFonts w:ascii="Times New Roman" w:hAnsi="Times New Roman"/>
          <w:sz w:val="24"/>
        </w:rPr>
        <w:t xml:space="preserve">lower aBMD of the </w:t>
      </w:r>
      <w:r w:rsidRPr="00E92182">
        <w:rPr>
          <w:rFonts w:ascii="Times New Roman" w:hAnsi="Times New Roman"/>
          <w:sz w:val="24"/>
        </w:rPr>
        <w:t>total hip, femoral neck and total lumbar</w:t>
      </w:r>
      <w:r w:rsidR="00E539F9" w:rsidRPr="00E92182">
        <w:rPr>
          <w:rFonts w:ascii="Times New Roman" w:hAnsi="Times New Roman"/>
          <w:sz w:val="24"/>
        </w:rPr>
        <w:t xml:space="preserve"> spine in unadjusted analysis; </w:t>
      </w:r>
      <w:r w:rsidR="002938FA" w:rsidRPr="00E92182">
        <w:rPr>
          <w:rFonts w:ascii="Times New Roman" w:hAnsi="Times New Roman"/>
          <w:sz w:val="24"/>
        </w:rPr>
        <w:t xml:space="preserve">the </w:t>
      </w:r>
      <w:r w:rsidR="00E539F9" w:rsidRPr="00E92182">
        <w:rPr>
          <w:rFonts w:ascii="Times New Roman" w:hAnsi="Times New Roman"/>
          <w:sz w:val="24"/>
        </w:rPr>
        <w:t xml:space="preserve">association regarding femoral neck </w:t>
      </w:r>
      <w:r w:rsidR="002938FA" w:rsidRPr="00E92182">
        <w:rPr>
          <w:rFonts w:ascii="Times New Roman" w:hAnsi="Times New Roman"/>
          <w:sz w:val="24"/>
        </w:rPr>
        <w:t xml:space="preserve">aBMD was </w:t>
      </w:r>
      <w:r w:rsidR="00E539F9" w:rsidRPr="00E92182">
        <w:rPr>
          <w:rFonts w:ascii="Times New Roman" w:hAnsi="Times New Roman"/>
          <w:sz w:val="24"/>
        </w:rPr>
        <w:t>robust to adjustment</w:t>
      </w:r>
      <w:r w:rsidR="008D1013" w:rsidRPr="00E92182">
        <w:rPr>
          <w:rFonts w:ascii="Times New Roman" w:hAnsi="Times New Roman"/>
          <w:sz w:val="24"/>
        </w:rPr>
        <w:t xml:space="preserve"> (p</w:t>
      </w:r>
      <w:r w:rsidR="002938FA" w:rsidRPr="00E92182">
        <w:rPr>
          <w:rFonts w:ascii="Times New Roman" w:hAnsi="Times New Roman"/>
          <w:sz w:val="24"/>
        </w:rPr>
        <w:t>=0.003</w:t>
      </w:r>
      <w:r w:rsidR="008D1013" w:rsidRPr="00E92182">
        <w:rPr>
          <w:rFonts w:ascii="Times New Roman" w:hAnsi="Times New Roman"/>
          <w:sz w:val="24"/>
        </w:rPr>
        <w:t>)</w:t>
      </w:r>
      <w:r w:rsidR="003103A4">
        <w:rPr>
          <w:rFonts w:ascii="Arial" w:hAnsi="Arial" w:cs="Arial"/>
          <w:color w:val="500050"/>
          <w:szCs w:val="22"/>
          <w:shd w:val="clear" w:color="auto" w:fill="FFFFFF"/>
        </w:rPr>
        <w:t xml:space="preserve">, </w:t>
      </w:r>
      <w:r w:rsidR="003103A4" w:rsidRPr="00A76DD6">
        <w:rPr>
          <w:rFonts w:ascii="Times New Roman" w:hAnsi="Times New Roman"/>
          <w:color w:val="000000" w:themeColor="text1"/>
          <w:sz w:val="24"/>
          <w:shd w:val="clear" w:color="auto" w:fill="FFFFFF"/>
        </w:rPr>
        <w:t xml:space="preserve">whereas for total hip it </w:t>
      </w:r>
      <w:r w:rsidR="00B87115" w:rsidRPr="00A76DD6">
        <w:rPr>
          <w:rFonts w:ascii="Times New Roman" w:hAnsi="Times New Roman"/>
          <w:color w:val="000000" w:themeColor="text1"/>
          <w:sz w:val="24"/>
          <w:shd w:val="clear" w:color="auto" w:fill="FFFFFF"/>
        </w:rPr>
        <w:t>was</w:t>
      </w:r>
      <w:r w:rsidR="003103A4" w:rsidRPr="00A76DD6">
        <w:rPr>
          <w:rFonts w:ascii="Times New Roman" w:hAnsi="Times New Roman"/>
          <w:color w:val="000000" w:themeColor="text1"/>
          <w:sz w:val="24"/>
          <w:shd w:val="clear" w:color="auto" w:fill="FFFFFF"/>
        </w:rPr>
        <w:t xml:space="preserve"> reduced by almost 40%</w:t>
      </w:r>
      <w:r w:rsidR="00365CD0" w:rsidRPr="00A76DD6">
        <w:rPr>
          <w:rFonts w:ascii="Times New Roman" w:hAnsi="Times New Roman"/>
          <w:color w:val="000000" w:themeColor="text1"/>
          <w:sz w:val="24"/>
          <w:shd w:val="clear" w:color="auto" w:fill="FFFFFF"/>
        </w:rPr>
        <w:t xml:space="preserve">. </w:t>
      </w:r>
      <w:r w:rsidR="007778FE" w:rsidRPr="00A76DD6">
        <w:rPr>
          <w:rFonts w:ascii="Times New Roman" w:hAnsi="Times New Roman"/>
          <w:color w:val="000000" w:themeColor="text1"/>
          <w:sz w:val="24"/>
          <w:shd w:val="clear" w:color="auto" w:fill="FFFFFF"/>
        </w:rPr>
        <w:t xml:space="preserve">The total hip encompasses the whole of the proximal femur region. In these women, it may be that the adjustment for body size and weight would have a much greater effect on this region of interest than on the femoral neck, which is a defined ROI-size not determined by the size of the bone.  Also, whilst the total hip </w:t>
      </w:r>
      <w:r w:rsidR="00CE733B" w:rsidRPr="00A76DD6">
        <w:rPr>
          <w:rFonts w:ascii="Times New Roman" w:hAnsi="Times New Roman"/>
          <w:color w:val="000000" w:themeColor="text1"/>
          <w:sz w:val="24"/>
          <w:shd w:val="clear" w:color="auto" w:fill="FFFFFF"/>
        </w:rPr>
        <w:t>wa</w:t>
      </w:r>
      <w:r w:rsidR="007778FE" w:rsidRPr="00A76DD6">
        <w:rPr>
          <w:rFonts w:ascii="Times New Roman" w:hAnsi="Times New Roman"/>
          <w:color w:val="000000" w:themeColor="text1"/>
          <w:sz w:val="24"/>
          <w:shd w:val="clear" w:color="auto" w:fill="FFFFFF"/>
        </w:rPr>
        <w:t>s reduced by 40%, the difference remains, albeit of borderline significance using the arbitrary p&lt;0.05 as the cut-off (p=0.058).</w:t>
      </w:r>
    </w:p>
    <w:p w14:paraId="4FB53513" w14:textId="77777777" w:rsidR="004A60A9" w:rsidRPr="00E92182" w:rsidRDefault="004A60A9" w:rsidP="00D6525A">
      <w:pPr>
        <w:jc w:val="both"/>
        <w:rPr>
          <w:rFonts w:ascii="Times New Roman" w:hAnsi="Times New Roman"/>
          <w:i/>
          <w:sz w:val="24"/>
        </w:rPr>
      </w:pPr>
    </w:p>
    <w:p w14:paraId="6B081AB2" w14:textId="1C74C64D" w:rsidR="000A29A3" w:rsidRPr="00E92182" w:rsidRDefault="000A29A3" w:rsidP="00D6525A">
      <w:pPr>
        <w:jc w:val="both"/>
        <w:rPr>
          <w:rFonts w:ascii="Times New Roman" w:hAnsi="Times New Roman"/>
          <w:i/>
          <w:sz w:val="24"/>
        </w:rPr>
      </w:pPr>
      <w:r w:rsidRPr="00E92182">
        <w:rPr>
          <w:rFonts w:ascii="Times New Roman" w:hAnsi="Times New Roman"/>
          <w:i/>
          <w:sz w:val="24"/>
        </w:rPr>
        <w:t xml:space="preserve">Associations between </w:t>
      </w:r>
      <w:r w:rsidR="0085678A" w:rsidRPr="00E92182">
        <w:rPr>
          <w:rFonts w:ascii="Times New Roman" w:hAnsi="Times New Roman"/>
          <w:i/>
          <w:sz w:val="24"/>
        </w:rPr>
        <w:t>SPR</w:t>
      </w:r>
      <w:r w:rsidRPr="00E92182">
        <w:rPr>
          <w:rFonts w:ascii="Times New Roman" w:hAnsi="Times New Roman"/>
          <w:i/>
          <w:sz w:val="24"/>
        </w:rPr>
        <w:t xml:space="preserve"> and </w:t>
      </w:r>
      <w:r w:rsidR="0085678A" w:rsidRPr="00E92182">
        <w:rPr>
          <w:rFonts w:ascii="Times New Roman" w:hAnsi="Times New Roman"/>
          <w:i/>
          <w:sz w:val="24"/>
        </w:rPr>
        <w:t xml:space="preserve">radial </w:t>
      </w:r>
      <w:r w:rsidRPr="00E92182">
        <w:rPr>
          <w:rFonts w:ascii="Times New Roman" w:hAnsi="Times New Roman"/>
          <w:i/>
          <w:sz w:val="24"/>
        </w:rPr>
        <w:t>HRpQCT parameters</w:t>
      </w:r>
      <w:r w:rsidR="00CD6CA5" w:rsidRPr="00E92182">
        <w:rPr>
          <w:rFonts w:ascii="Times New Roman" w:hAnsi="Times New Roman"/>
          <w:i/>
          <w:sz w:val="24"/>
        </w:rPr>
        <w:t xml:space="preserve"> </w:t>
      </w:r>
    </w:p>
    <w:p w14:paraId="2DD448A8" w14:textId="17B72F8D" w:rsidR="0035534B" w:rsidRPr="00E92182" w:rsidRDefault="00CD6CA5" w:rsidP="00D6525A">
      <w:pPr>
        <w:jc w:val="both"/>
        <w:rPr>
          <w:rFonts w:ascii="Times New Roman" w:hAnsi="Times New Roman"/>
          <w:sz w:val="24"/>
        </w:rPr>
      </w:pPr>
      <w:r w:rsidRPr="00E92182">
        <w:rPr>
          <w:rFonts w:ascii="Times New Roman" w:hAnsi="Times New Roman"/>
          <w:sz w:val="24"/>
        </w:rPr>
        <w:t>The association</w:t>
      </w:r>
      <w:r w:rsidR="00702BE7" w:rsidRPr="00E92182">
        <w:rPr>
          <w:rFonts w:ascii="Times New Roman" w:hAnsi="Times New Roman"/>
          <w:sz w:val="24"/>
        </w:rPr>
        <w:t>s</w:t>
      </w:r>
      <w:r w:rsidR="000A29A3" w:rsidRPr="00E92182">
        <w:rPr>
          <w:rFonts w:ascii="Times New Roman" w:hAnsi="Times New Roman"/>
          <w:sz w:val="24"/>
        </w:rPr>
        <w:t xml:space="preserve"> between </w:t>
      </w:r>
      <w:r w:rsidR="0085678A" w:rsidRPr="00E92182">
        <w:rPr>
          <w:rFonts w:ascii="Times New Roman" w:hAnsi="Times New Roman"/>
          <w:sz w:val="24"/>
        </w:rPr>
        <w:t>SPR</w:t>
      </w:r>
      <w:r w:rsidR="000A29A3" w:rsidRPr="00E92182">
        <w:rPr>
          <w:rFonts w:ascii="Times New Roman" w:hAnsi="Times New Roman"/>
          <w:sz w:val="24"/>
        </w:rPr>
        <w:t xml:space="preserve"> and </w:t>
      </w:r>
      <w:r w:rsidR="00B13534" w:rsidRPr="00E92182">
        <w:rPr>
          <w:rFonts w:ascii="Times New Roman" w:hAnsi="Times New Roman"/>
          <w:sz w:val="24"/>
        </w:rPr>
        <w:t xml:space="preserve">radial </w:t>
      </w:r>
      <w:r w:rsidRPr="00E92182">
        <w:rPr>
          <w:rFonts w:ascii="Times New Roman" w:hAnsi="Times New Roman"/>
          <w:sz w:val="24"/>
        </w:rPr>
        <w:t xml:space="preserve">HRpQCT parameters are presented in Table </w:t>
      </w:r>
      <w:r w:rsidR="00D9768A" w:rsidRPr="00E92182">
        <w:rPr>
          <w:rFonts w:ascii="Times New Roman" w:hAnsi="Times New Roman"/>
          <w:sz w:val="24"/>
        </w:rPr>
        <w:t>6</w:t>
      </w:r>
      <w:r w:rsidR="000A29A3" w:rsidRPr="00E92182">
        <w:rPr>
          <w:rFonts w:ascii="Times New Roman" w:hAnsi="Times New Roman"/>
          <w:sz w:val="24"/>
        </w:rPr>
        <w:t>.</w:t>
      </w:r>
      <w:r w:rsidRPr="00E92182">
        <w:rPr>
          <w:rFonts w:ascii="Times New Roman" w:hAnsi="Times New Roman"/>
          <w:sz w:val="24"/>
        </w:rPr>
        <w:t xml:space="preserve"> </w:t>
      </w:r>
      <w:r w:rsidR="0035534B" w:rsidRPr="00E92182">
        <w:rPr>
          <w:rFonts w:ascii="Times New Roman" w:hAnsi="Times New Roman"/>
          <w:sz w:val="24"/>
        </w:rPr>
        <w:t xml:space="preserve">Higher </w:t>
      </w:r>
      <w:r w:rsidR="00B13534" w:rsidRPr="00E92182">
        <w:rPr>
          <w:rFonts w:ascii="Times New Roman" w:hAnsi="Times New Roman"/>
          <w:sz w:val="24"/>
        </w:rPr>
        <w:t>SPR</w:t>
      </w:r>
      <w:r w:rsidRPr="00E92182">
        <w:rPr>
          <w:rFonts w:ascii="Times New Roman" w:hAnsi="Times New Roman"/>
          <w:sz w:val="24"/>
        </w:rPr>
        <w:t xml:space="preserve"> was associa</w:t>
      </w:r>
      <w:r w:rsidR="00E539F9" w:rsidRPr="00E92182">
        <w:rPr>
          <w:rFonts w:ascii="Times New Roman" w:hAnsi="Times New Roman"/>
          <w:sz w:val="24"/>
        </w:rPr>
        <w:t xml:space="preserve">ted with lower trabecular volumetric density and number, </w:t>
      </w:r>
      <w:r w:rsidRPr="00E92182">
        <w:rPr>
          <w:rFonts w:ascii="Times New Roman" w:hAnsi="Times New Roman"/>
          <w:sz w:val="24"/>
        </w:rPr>
        <w:t>and higher trabecular separation</w:t>
      </w:r>
      <w:r w:rsidR="00E539F9" w:rsidRPr="00E92182">
        <w:rPr>
          <w:rFonts w:ascii="Times New Roman" w:hAnsi="Times New Roman"/>
          <w:sz w:val="24"/>
        </w:rPr>
        <w:t xml:space="preserve"> </w:t>
      </w:r>
      <w:r w:rsidRPr="00E92182">
        <w:rPr>
          <w:rFonts w:ascii="Times New Roman" w:hAnsi="Times New Roman"/>
          <w:sz w:val="24"/>
        </w:rPr>
        <w:t>in unadjusted and adjusted analysis</w:t>
      </w:r>
      <w:r w:rsidR="00E539F9" w:rsidRPr="00E92182">
        <w:rPr>
          <w:rFonts w:ascii="Times New Roman" w:hAnsi="Times New Roman"/>
          <w:sz w:val="24"/>
        </w:rPr>
        <w:t xml:space="preserve"> (p&lt;0.0</w:t>
      </w:r>
      <w:r w:rsidR="002938FA" w:rsidRPr="00E92182">
        <w:rPr>
          <w:rFonts w:ascii="Times New Roman" w:hAnsi="Times New Roman"/>
          <w:sz w:val="24"/>
        </w:rPr>
        <w:t>3</w:t>
      </w:r>
      <w:r w:rsidR="00E539F9" w:rsidRPr="00E92182">
        <w:rPr>
          <w:rFonts w:ascii="Times New Roman" w:hAnsi="Times New Roman"/>
          <w:sz w:val="24"/>
        </w:rPr>
        <w:t>)</w:t>
      </w:r>
      <w:r w:rsidR="00385445" w:rsidRPr="00E92182">
        <w:rPr>
          <w:rFonts w:ascii="Times New Roman" w:hAnsi="Times New Roman"/>
          <w:sz w:val="24"/>
        </w:rPr>
        <w:t xml:space="preserve">. </w:t>
      </w:r>
    </w:p>
    <w:p w14:paraId="3B37FD99" w14:textId="77777777" w:rsidR="00DF23F9" w:rsidRPr="00E92182" w:rsidRDefault="00DF23F9" w:rsidP="00D6525A">
      <w:pPr>
        <w:jc w:val="both"/>
        <w:rPr>
          <w:rFonts w:ascii="Times New Roman" w:hAnsi="Times New Roman"/>
          <w:sz w:val="24"/>
        </w:rPr>
      </w:pPr>
    </w:p>
    <w:p w14:paraId="4D9F415D" w14:textId="09DBA16C" w:rsidR="00B13534" w:rsidRPr="00E92182" w:rsidRDefault="00B13534" w:rsidP="00D6525A">
      <w:pPr>
        <w:jc w:val="both"/>
        <w:rPr>
          <w:rFonts w:ascii="Times New Roman" w:hAnsi="Times New Roman"/>
          <w:i/>
          <w:sz w:val="24"/>
        </w:rPr>
      </w:pPr>
      <w:r w:rsidRPr="00E92182">
        <w:rPr>
          <w:rFonts w:ascii="Times New Roman" w:hAnsi="Times New Roman"/>
          <w:i/>
          <w:sz w:val="24"/>
        </w:rPr>
        <w:t xml:space="preserve">Associations between SPR and tibial HRpQCT parameters </w:t>
      </w:r>
    </w:p>
    <w:p w14:paraId="231D7887" w14:textId="20DC437C" w:rsidR="00E539F9" w:rsidRDefault="00B13534" w:rsidP="00D6525A">
      <w:pPr>
        <w:jc w:val="both"/>
        <w:rPr>
          <w:rFonts w:ascii="Times New Roman" w:hAnsi="Times New Roman"/>
          <w:sz w:val="24"/>
        </w:rPr>
      </w:pPr>
      <w:r w:rsidRPr="00E92182">
        <w:rPr>
          <w:rFonts w:ascii="Times New Roman" w:hAnsi="Times New Roman"/>
          <w:sz w:val="24"/>
        </w:rPr>
        <w:t xml:space="preserve">The associations between SPR and tibial HRpQCT parameters are also presented in Table </w:t>
      </w:r>
      <w:r w:rsidR="0031209A" w:rsidRPr="00E92182">
        <w:rPr>
          <w:rFonts w:ascii="Times New Roman" w:hAnsi="Times New Roman"/>
          <w:sz w:val="24"/>
        </w:rPr>
        <w:t>6</w:t>
      </w:r>
      <w:r w:rsidR="002A551E" w:rsidRPr="00E92182">
        <w:rPr>
          <w:rFonts w:ascii="Times New Roman" w:hAnsi="Times New Roman"/>
          <w:sz w:val="24"/>
        </w:rPr>
        <w:t xml:space="preserve">. Higher </w:t>
      </w:r>
      <w:r w:rsidRPr="00E92182">
        <w:rPr>
          <w:rFonts w:ascii="Times New Roman" w:hAnsi="Times New Roman"/>
          <w:sz w:val="24"/>
        </w:rPr>
        <w:t>SPR</w:t>
      </w:r>
      <w:r w:rsidR="00112935" w:rsidRPr="00E92182">
        <w:rPr>
          <w:rFonts w:ascii="Times New Roman" w:hAnsi="Times New Roman"/>
          <w:sz w:val="24"/>
        </w:rPr>
        <w:t xml:space="preserve"> was associated with </w:t>
      </w:r>
      <w:r w:rsidR="00385445" w:rsidRPr="00E92182">
        <w:rPr>
          <w:rFonts w:ascii="Times New Roman" w:hAnsi="Times New Roman"/>
          <w:sz w:val="24"/>
        </w:rPr>
        <w:t>lower cortical area and thickness as well as lower trabecular volumetric density and thickness in unadjusted analysis (p&lt;0.05); relationships for cortical area and trabecular volumetric density were robust in adjusted analysis (p&lt;0.0</w:t>
      </w:r>
      <w:r w:rsidR="008D5DAB" w:rsidRPr="00E92182">
        <w:rPr>
          <w:rFonts w:ascii="Times New Roman" w:hAnsi="Times New Roman"/>
          <w:sz w:val="24"/>
        </w:rPr>
        <w:t>4</w:t>
      </w:r>
      <w:r w:rsidR="00385445" w:rsidRPr="00E92182">
        <w:rPr>
          <w:rFonts w:ascii="Times New Roman" w:hAnsi="Times New Roman"/>
          <w:sz w:val="24"/>
        </w:rPr>
        <w:t>). Higher SPR was related to higher trabecular separation in adjusted analysis (p=0.0</w:t>
      </w:r>
      <w:r w:rsidR="008D5DAB" w:rsidRPr="00E92182">
        <w:rPr>
          <w:rFonts w:ascii="Times New Roman" w:hAnsi="Times New Roman"/>
          <w:sz w:val="24"/>
        </w:rPr>
        <w:t>27</w:t>
      </w:r>
      <w:r w:rsidR="00385445" w:rsidRPr="00E92182">
        <w:rPr>
          <w:rFonts w:ascii="Times New Roman" w:hAnsi="Times New Roman"/>
          <w:sz w:val="24"/>
        </w:rPr>
        <w:t>) and associations before adjustment were borderline significant (p=0.055). When additionally adjusted for total hip aBMD, no associations regarding radial or tibial HRpQCT parameters were robust.</w:t>
      </w:r>
    </w:p>
    <w:p w14:paraId="753D7D73" w14:textId="77777777" w:rsidR="00BF5979" w:rsidRDefault="00BF5979" w:rsidP="00D6525A">
      <w:pPr>
        <w:jc w:val="both"/>
        <w:rPr>
          <w:rFonts w:ascii="Times New Roman" w:hAnsi="Times New Roman"/>
          <w:sz w:val="24"/>
        </w:rPr>
      </w:pPr>
    </w:p>
    <w:p w14:paraId="7C23E8F8" w14:textId="77777777" w:rsidR="000F5FAF" w:rsidRPr="00383F2A" w:rsidRDefault="000F5FAF" w:rsidP="00D6525A">
      <w:pPr>
        <w:jc w:val="both"/>
        <w:rPr>
          <w:rFonts w:ascii="Times New Roman" w:hAnsi="Times New Roman"/>
          <w:i/>
          <w:sz w:val="24"/>
        </w:rPr>
      </w:pPr>
    </w:p>
    <w:p w14:paraId="71BB2E97" w14:textId="73C55AE8" w:rsidR="006254F5" w:rsidRPr="00383F2A" w:rsidRDefault="006254F5" w:rsidP="00D6525A">
      <w:pPr>
        <w:jc w:val="both"/>
        <w:rPr>
          <w:rFonts w:ascii="Times New Roman" w:hAnsi="Times New Roman"/>
          <w:i/>
          <w:sz w:val="24"/>
        </w:rPr>
      </w:pPr>
      <w:r w:rsidRPr="00383F2A">
        <w:rPr>
          <w:rFonts w:ascii="Times New Roman" w:hAnsi="Times New Roman"/>
          <w:i/>
          <w:sz w:val="24"/>
        </w:rPr>
        <w:t>Sensitivity analysis</w:t>
      </w:r>
    </w:p>
    <w:p w14:paraId="34F73E08" w14:textId="16299C39" w:rsidR="006254F5" w:rsidRPr="00383F2A" w:rsidRDefault="006254F5" w:rsidP="00D6525A">
      <w:pPr>
        <w:jc w:val="both"/>
        <w:rPr>
          <w:rFonts w:ascii="Times New Roman" w:hAnsi="Times New Roman"/>
          <w:sz w:val="24"/>
        </w:rPr>
      </w:pPr>
      <w:r w:rsidRPr="00383F2A">
        <w:rPr>
          <w:rFonts w:ascii="Times New Roman" w:hAnsi="Times New Roman"/>
          <w:color w:val="212121"/>
          <w:sz w:val="24"/>
          <w:shd w:val="clear" w:color="auto" w:fill="FFFFFF"/>
        </w:rPr>
        <w:t xml:space="preserve">In this </w:t>
      </w:r>
      <w:r w:rsidR="00166B66">
        <w:rPr>
          <w:rFonts w:ascii="Times New Roman" w:hAnsi="Times New Roman"/>
          <w:color w:val="212121"/>
          <w:sz w:val="24"/>
          <w:shd w:val="clear" w:color="auto" w:fill="FFFFFF"/>
        </w:rPr>
        <w:t>subgroup</w:t>
      </w:r>
      <w:r w:rsidRPr="00383F2A">
        <w:rPr>
          <w:rFonts w:ascii="Times New Roman" w:hAnsi="Times New Roman"/>
          <w:color w:val="212121"/>
          <w:sz w:val="24"/>
          <w:shd w:val="clear" w:color="auto" w:fill="FFFFFF"/>
        </w:rPr>
        <w:t xml:space="preserve">, </w:t>
      </w:r>
      <w:r w:rsidR="00166B66" w:rsidRPr="008B7BA0">
        <w:rPr>
          <w:rFonts w:ascii="Times New Roman" w:hAnsi="Times New Roman"/>
          <w:sz w:val="24"/>
        </w:rPr>
        <w:t>69</w:t>
      </w:r>
      <w:r w:rsidRPr="00383F2A">
        <w:rPr>
          <w:rFonts w:ascii="Times New Roman" w:hAnsi="Times New Roman"/>
          <w:sz w:val="24"/>
        </w:rPr>
        <w:t xml:space="preserve"> women had a fracture </w:t>
      </w:r>
      <w:r w:rsidR="00166B66">
        <w:rPr>
          <w:rFonts w:ascii="Times New Roman" w:hAnsi="Times New Roman"/>
          <w:sz w:val="24"/>
        </w:rPr>
        <w:t>since</w:t>
      </w:r>
      <w:r w:rsidRPr="00383F2A">
        <w:rPr>
          <w:rFonts w:ascii="Times New Roman" w:hAnsi="Times New Roman"/>
          <w:sz w:val="24"/>
        </w:rPr>
        <w:t xml:space="preserve"> age 45</w:t>
      </w:r>
      <w:r w:rsidR="00166B66">
        <w:rPr>
          <w:rFonts w:ascii="Times New Roman" w:hAnsi="Times New Roman"/>
          <w:sz w:val="24"/>
        </w:rPr>
        <w:t xml:space="preserve"> years</w:t>
      </w:r>
      <w:r w:rsidRPr="00383F2A">
        <w:rPr>
          <w:rFonts w:ascii="Times New Roman" w:hAnsi="Times New Roman"/>
          <w:sz w:val="24"/>
        </w:rPr>
        <w:t xml:space="preserve">, </w:t>
      </w:r>
      <w:r w:rsidR="00166B66" w:rsidRPr="008B7BA0">
        <w:rPr>
          <w:rFonts w:ascii="Times New Roman" w:hAnsi="Times New Roman"/>
          <w:sz w:val="24"/>
        </w:rPr>
        <w:t>31</w:t>
      </w:r>
      <w:r w:rsidRPr="00383F2A">
        <w:rPr>
          <w:rFonts w:ascii="Times New Roman" w:hAnsi="Times New Roman"/>
          <w:sz w:val="24"/>
        </w:rPr>
        <w:t xml:space="preserve"> were using AOM, </w:t>
      </w:r>
      <w:r w:rsidRPr="008B7BA0">
        <w:rPr>
          <w:rFonts w:ascii="Times New Roman" w:hAnsi="Times New Roman"/>
          <w:sz w:val="24"/>
        </w:rPr>
        <w:t>63</w:t>
      </w:r>
      <w:r w:rsidRPr="00383F2A">
        <w:rPr>
          <w:rFonts w:ascii="Times New Roman" w:hAnsi="Times New Roman"/>
          <w:sz w:val="24"/>
        </w:rPr>
        <w:t xml:space="preserve"> had a family history of hip fracture, and </w:t>
      </w:r>
      <w:r w:rsidR="00166B66" w:rsidRPr="008B7BA0">
        <w:rPr>
          <w:rFonts w:ascii="Times New Roman" w:hAnsi="Times New Roman"/>
          <w:sz w:val="24"/>
        </w:rPr>
        <w:t>141</w:t>
      </w:r>
      <w:r w:rsidRPr="00383F2A">
        <w:rPr>
          <w:rFonts w:ascii="Times New Roman" w:hAnsi="Times New Roman"/>
          <w:sz w:val="24"/>
        </w:rPr>
        <w:t xml:space="preserve"> women </w:t>
      </w:r>
      <w:r w:rsidR="00166B66">
        <w:rPr>
          <w:rFonts w:ascii="Times New Roman" w:hAnsi="Times New Roman"/>
          <w:sz w:val="24"/>
        </w:rPr>
        <w:t>had at least one of these characteristics</w:t>
      </w:r>
      <w:r w:rsidRPr="00383F2A">
        <w:rPr>
          <w:rFonts w:ascii="Times New Roman" w:hAnsi="Times New Roman"/>
          <w:sz w:val="24"/>
        </w:rPr>
        <w:t xml:space="preserve">. </w:t>
      </w:r>
      <w:r w:rsidR="006765AE">
        <w:rPr>
          <w:rFonts w:ascii="Times New Roman" w:hAnsi="Times New Roman"/>
          <w:color w:val="212121"/>
          <w:sz w:val="24"/>
          <w:shd w:val="clear" w:color="auto" w:fill="FFFFFF"/>
        </w:rPr>
        <w:t>These groups have</w:t>
      </w:r>
      <w:r w:rsidRPr="00383F2A">
        <w:rPr>
          <w:rFonts w:ascii="Times New Roman" w:hAnsi="Times New Roman"/>
          <w:color w:val="212121"/>
          <w:sz w:val="24"/>
          <w:shd w:val="clear" w:color="auto" w:fill="FFFFFF"/>
        </w:rPr>
        <w:t xml:space="preserve"> been identified as higher risk and this prior knowledge/experience is likely to increase their SPR score, and may have led to previous BMD testing. We were therefore interested to investigate </w:t>
      </w:r>
      <w:r w:rsidRPr="00383F2A">
        <w:rPr>
          <w:rFonts w:ascii="Times New Roman" w:hAnsi="Times New Roman"/>
          <w:sz w:val="24"/>
        </w:rPr>
        <w:t>the associations between higher SPR and aBMD and HRpQCT parameters in groups where participants with prior fracture, AOM use, family history of hip fracture and any of these three characteristics were excluded</w:t>
      </w:r>
      <w:r w:rsidR="00E22947">
        <w:rPr>
          <w:rFonts w:ascii="Times New Roman" w:hAnsi="Times New Roman"/>
          <w:sz w:val="24"/>
        </w:rPr>
        <w:t xml:space="preserve"> (data not shown)</w:t>
      </w:r>
      <w:r w:rsidR="007A618D" w:rsidRPr="00383F2A">
        <w:rPr>
          <w:rFonts w:ascii="Times New Roman" w:hAnsi="Times New Roman"/>
          <w:sz w:val="24"/>
        </w:rPr>
        <w:t xml:space="preserve">. </w:t>
      </w:r>
      <w:r w:rsidR="00236651" w:rsidRPr="008B7BA0">
        <w:rPr>
          <w:rFonts w:ascii="Times New Roman" w:hAnsi="Times New Roman"/>
          <w:sz w:val="24"/>
        </w:rPr>
        <w:t>When each of these four sets of exclusions were applied</w:t>
      </w:r>
      <w:r w:rsidR="006765AE" w:rsidRPr="008B7BA0">
        <w:rPr>
          <w:rFonts w:ascii="Times New Roman" w:hAnsi="Times New Roman"/>
          <w:sz w:val="24"/>
        </w:rPr>
        <w:t xml:space="preserve">, higher SPR was associated with lower femoral neck </w:t>
      </w:r>
      <w:r w:rsidR="00236651" w:rsidRPr="008B7BA0">
        <w:rPr>
          <w:rFonts w:ascii="Times New Roman" w:hAnsi="Times New Roman"/>
          <w:sz w:val="24"/>
        </w:rPr>
        <w:t>a</w:t>
      </w:r>
      <w:r w:rsidR="006765AE" w:rsidRPr="008B7BA0">
        <w:rPr>
          <w:rFonts w:ascii="Times New Roman" w:hAnsi="Times New Roman"/>
          <w:sz w:val="24"/>
        </w:rPr>
        <w:t>BMD in unadjusted and adjusted analysis</w:t>
      </w:r>
      <w:r w:rsidRPr="00383F2A">
        <w:rPr>
          <w:rFonts w:ascii="Times New Roman" w:hAnsi="Times New Roman"/>
          <w:sz w:val="24"/>
        </w:rPr>
        <w:t>.</w:t>
      </w:r>
      <w:r w:rsidR="006765AE">
        <w:rPr>
          <w:rFonts w:ascii="Times New Roman" w:hAnsi="Times New Roman"/>
          <w:sz w:val="24"/>
        </w:rPr>
        <w:t xml:space="preserve"> </w:t>
      </w:r>
      <w:r w:rsidR="006765AE" w:rsidRPr="008B7BA0">
        <w:rPr>
          <w:rFonts w:ascii="Times New Roman" w:hAnsi="Times New Roman"/>
          <w:sz w:val="24"/>
        </w:rPr>
        <w:t>When women on AOM at baseline were excluded, higher SPR remained associated with lower radial trabecular number and higher trabecular separation</w:t>
      </w:r>
      <w:r w:rsidR="00CE76BF" w:rsidRPr="008B7BA0">
        <w:rPr>
          <w:rFonts w:ascii="Times New Roman" w:hAnsi="Times New Roman"/>
          <w:sz w:val="24"/>
        </w:rPr>
        <w:t xml:space="preserve"> both before and after adjustments</w:t>
      </w:r>
      <w:r w:rsidR="006765AE">
        <w:rPr>
          <w:rFonts w:ascii="Times New Roman" w:hAnsi="Times New Roman"/>
          <w:sz w:val="24"/>
        </w:rPr>
        <w:t>.</w:t>
      </w:r>
      <w:r w:rsidRPr="00383F2A">
        <w:rPr>
          <w:rFonts w:ascii="Times New Roman" w:hAnsi="Times New Roman"/>
          <w:sz w:val="24"/>
        </w:rPr>
        <w:t xml:space="preserve"> </w:t>
      </w:r>
      <w:r w:rsidRPr="008B7BA0">
        <w:rPr>
          <w:rFonts w:ascii="Times New Roman" w:hAnsi="Times New Roman"/>
          <w:sz w:val="24"/>
        </w:rPr>
        <w:t>When women with previous fracture</w:t>
      </w:r>
      <w:r w:rsidR="00CE76BF" w:rsidRPr="008B7BA0">
        <w:rPr>
          <w:rFonts w:ascii="Times New Roman" w:hAnsi="Times New Roman"/>
          <w:sz w:val="24"/>
        </w:rPr>
        <w:t>s</w:t>
      </w:r>
      <w:r w:rsidRPr="008B7BA0">
        <w:rPr>
          <w:rFonts w:ascii="Times New Roman" w:hAnsi="Times New Roman"/>
          <w:sz w:val="24"/>
        </w:rPr>
        <w:t xml:space="preserve"> were excluded</w:t>
      </w:r>
      <w:r w:rsidR="00C62485" w:rsidRPr="008B7BA0">
        <w:rPr>
          <w:rFonts w:ascii="Times New Roman" w:hAnsi="Times New Roman"/>
          <w:sz w:val="24"/>
        </w:rPr>
        <w:t>,</w:t>
      </w:r>
      <w:r w:rsidRPr="008B7BA0">
        <w:rPr>
          <w:rFonts w:ascii="Times New Roman" w:hAnsi="Times New Roman"/>
          <w:sz w:val="24"/>
        </w:rPr>
        <w:t xml:space="preserve"> higher SPR remained associated with </w:t>
      </w:r>
      <w:r w:rsidR="006765AE" w:rsidRPr="008B7BA0">
        <w:rPr>
          <w:rFonts w:ascii="Times New Roman" w:hAnsi="Times New Roman"/>
          <w:sz w:val="24"/>
        </w:rPr>
        <w:t>lower radial trabecular number and higher trabecular s</w:t>
      </w:r>
      <w:r w:rsidR="00E22947" w:rsidRPr="008B7BA0">
        <w:rPr>
          <w:rFonts w:ascii="Times New Roman" w:hAnsi="Times New Roman"/>
          <w:sz w:val="24"/>
        </w:rPr>
        <w:t xml:space="preserve">eparation in adjusted analyses; </w:t>
      </w:r>
      <w:r w:rsidR="006765AE" w:rsidRPr="008B7BA0">
        <w:rPr>
          <w:rFonts w:ascii="Times New Roman" w:hAnsi="Times New Roman"/>
          <w:sz w:val="24"/>
        </w:rPr>
        <w:t xml:space="preserve">relationships were </w:t>
      </w:r>
      <w:r w:rsidR="004026D6">
        <w:rPr>
          <w:rFonts w:ascii="Times New Roman" w:hAnsi="Times New Roman"/>
          <w:sz w:val="24"/>
        </w:rPr>
        <w:t>borderline significant</w:t>
      </w:r>
      <w:r w:rsidR="004026D6" w:rsidRPr="008B7BA0">
        <w:rPr>
          <w:rFonts w:ascii="Times New Roman" w:hAnsi="Times New Roman"/>
          <w:sz w:val="24"/>
        </w:rPr>
        <w:t xml:space="preserve"> </w:t>
      </w:r>
      <w:r w:rsidR="006765AE" w:rsidRPr="008B7BA0">
        <w:rPr>
          <w:rFonts w:ascii="Times New Roman" w:hAnsi="Times New Roman"/>
          <w:sz w:val="24"/>
        </w:rPr>
        <w:t>when those with a family history of hip fracture were excluded.</w:t>
      </w:r>
      <w:r w:rsidR="006765AE">
        <w:rPr>
          <w:rFonts w:ascii="Times New Roman" w:hAnsi="Times New Roman"/>
          <w:sz w:val="24"/>
        </w:rPr>
        <w:t xml:space="preserve"> </w:t>
      </w:r>
      <w:r w:rsidR="00E22947" w:rsidRPr="008B7BA0">
        <w:rPr>
          <w:rFonts w:ascii="Times New Roman" w:hAnsi="Times New Roman"/>
          <w:sz w:val="24"/>
        </w:rPr>
        <w:t xml:space="preserve">Higher SPR was related to lower tibial trabecular volumetric density when women with family history of hip fracture were excluded; in the other sets of sensitivity analyses, no other associations regarding tibial parameters were robust in </w:t>
      </w:r>
      <w:r w:rsidR="00D471CE" w:rsidRPr="008B7BA0">
        <w:rPr>
          <w:rFonts w:ascii="Times New Roman" w:hAnsi="Times New Roman"/>
          <w:sz w:val="24"/>
        </w:rPr>
        <w:t xml:space="preserve">both </w:t>
      </w:r>
      <w:r w:rsidR="00E22947" w:rsidRPr="008B7BA0">
        <w:rPr>
          <w:rFonts w:ascii="Times New Roman" w:hAnsi="Times New Roman"/>
          <w:sz w:val="24"/>
        </w:rPr>
        <w:t>unadjusted and adjusted analysis</w:t>
      </w:r>
      <w:r w:rsidR="00E22947">
        <w:rPr>
          <w:rFonts w:ascii="Times New Roman" w:hAnsi="Times New Roman"/>
          <w:sz w:val="24"/>
        </w:rPr>
        <w:t xml:space="preserve">. When all three exclusions were applied, no tibial or radial associations were robust. </w:t>
      </w:r>
    </w:p>
    <w:p w14:paraId="4DDF4C35" w14:textId="77777777" w:rsidR="00C62485" w:rsidRPr="00383F2A" w:rsidRDefault="00C62485" w:rsidP="00D6525A">
      <w:pPr>
        <w:jc w:val="both"/>
        <w:rPr>
          <w:rFonts w:ascii="Times New Roman" w:hAnsi="Times New Roman"/>
          <w:sz w:val="24"/>
        </w:rPr>
      </w:pPr>
    </w:p>
    <w:p w14:paraId="3379CADA" w14:textId="77777777" w:rsidR="00AB2DAD" w:rsidRPr="00383F2A" w:rsidRDefault="00AB2DAD" w:rsidP="006B0610">
      <w:pPr>
        <w:jc w:val="both"/>
        <w:rPr>
          <w:rFonts w:ascii="Times New Roman" w:hAnsi="Times New Roman"/>
          <w:sz w:val="24"/>
        </w:rPr>
      </w:pPr>
    </w:p>
    <w:p w14:paraId="6267CFE1" w14:textId="4C01F81F" w:rsidR="00AB2DAD" w:rsidRPr="00383F2A" w:rsidRDefault="00AB2DAD" w:rsidP="00D6525A">
      <w:pPr>
        <w:jc w:val="both"/>
        <w:rPr>
          <w:rFonts w:ascii="Times New Roman" w:hAnsi="Times New Roman"/>
          <w:b/>
          <w:sz w:val="24"/>
        </w:rPr>
      </w:pPr>
      <w:r w:rsidRPr="00383F2A">
        <w:rPr>
          <w:rFonts w:ascii="Times New Roman" w:hAnsi="Times New Roman"/>
          <w:b/>
          <w:sz w:val="24"/>
        </w:rPr>
        <w:t>Discussion</w:t>
      </w:r>
    </w:p>
    <w:p w14:paraId="0F9A57DC" w14:textId="4E906BB6" w:rsidR="00CC3729" w:rsidRDefault="002A74BC" w:rsidP="00D6525A">
      <w:pPr>
        <w:autoSpaceDE w:val="0"/>
        <w:autoSpaceDN w:val="0"/>
        <w:adjustRightInd w:val="0"/>
        <w:spacing w:after="0"/>
        <w:jc w:val="both"/>
        <w:rPr>
          <w:rFonts w:ascii="Times New Roman" w:hAnsi="Times New Roman"/>
          <w:sz w:val="24"/>
        </w:rPr>
      </w:pPr>
      <w:r w:rsidRPr="00383F2A">
        <w:rPr>
          <w:rFonts w:ascii="Times New Roman" w:hAnsi="Times New Roman"/>
          <w:sz w:val="24"/>
        </w:rPr>
        <w:t>In this study, w</w:t>
      </w:r>
      <w:r w:rsidR="002564AC" w:rsidRPr="00383F2A">
        <w:rPr>
          <w:rFonts w:ascii="Times New Roman" w:hAnsi="Times New Roman"/>
          <w:sz w:val="24"/>
        </w:rPr>
        <w:t xml:space="preserve">e </w:t>
      </w:r>
      <w:r w:rsidR="00E47CB5" w:rsidRPr="00383F2A">
        <w:rPr>
          <w:rFonts w:ascii="Times New Roman" w:hAnsi="Times New Roman"/>
          <w:sz w:val="24"/>
        </w:rPr>
        <w:t>have identified personal characteristics associated with self-perception of</w:t>
      </w:r>
      <w:r w:rsidR="00683B4C" w:rsidRPr="00383F2A">
        <w:rPr>
          <w:rFonts w:ascii="Times New Roman" w:hAnsi="Times New Roman"/>
          <w:sz w:val="24"/>
        </w:rPr>
        <w:t xml:space="preserve"> risk of fracture</w:t>
      </w:r>
      <w:r w:rsidR="00E47CB5" w:rsidRPr="00383F2A">
        <w:rPr>
          <w:rFonts w:ascii="Times New Roman" w:hAnsi="Times New Roman"/>
          <w:sz w:val="24"/>
        </w:rPr>
        <w:t xml:space="preserve">. </w:t>
      </w:r>
      <w:r w:rsidR="00650779" w:rsidRPr="00383F2A">
        <w:rPr>
          <w:rFonts w:ascii="Times New Roman" w:hAnsi="Times New Roman"/>
          <w:sz w:val="24"/>
          <w:lang w:val="en-US"/>
        </w:rPr>
        <w:t>A cluster analysis</w:t>
      </w:r>
      <w:r w:rsidR="001C5314" w:rsidRPr="00383F2A">
        <w:rPr>
          <w:rFonts w:ascii="Times New Roman" w:hAnsi="Times New Roman"/>
          <w:sz w:val="24"/>
          <w:lang w:val="en-US"/>
        </w:rPr>
        <w:t xml:space="preserve"> of </w:t>
      </w:r>
      <w:r w:rsidR="00D471CE">
        <w:rPr>
          <w:rFonts w:ascii="Times New Roman" w:hAnsi="Times New Roman"/>
          <w:sz w:val="24"/>
          <w:lang w:val="en-US"/>
        </w:rPr>
        <w:t>baseline participant characteristics</w:t>
      </w:r>
      <w:r w:rsidR="00E47CB5" w:rsidRPr="00383F2A">
        <w:rPr>
          <w:rFonts w:ascii="Times New Roman" w:hAnsi="Times New Roman"/>
          <w:sz w:val="24"/>
          <w:lang w:val="en-US"/>
        </w:rPr>
        <w:t xml:space="preserve"> identifi</w:t>
      </w:r>
      <w:r w:rsidR="002A58F2" w:rsidRPr="00383F2A">
        <w:rPr>
          <w:rFonts w:ascii="Times New Roman" w:hAnsi="Times New Roman"/>
          <w:sz w:val="24"/>
          <w:lang w:val="en-US"/>
        </w:rPr>
        <w:t>ed one cluster</w:t>
      </w:r>
      <w:r w:rsidR="00210E6E" w:rsidRPr="00383F2A">
        <w:rPr>
          <w:rFonts w:ascii="Times New Roman" w:hAnsi="Times New Roman"/>
          <w:sz w:val="24"/>
          <w:lang w:val="en-US"/>
        </w:rPr>
        <w:t xml:space="preserve">, in which </w:t>
      </w:r>
      <w:r w:rsidR="00CC4D1E" w:rsidRPr="00383F2A">
        <w:rPr>
          <w:rFonts w:ascii="Times New Roman" w:hAnsi="Times New Roman"/>
          <w:sz w:val="24"/>
          <w:lang w:val="en-US"/>
        </w:rPr>
        <w:t>higher SPR</w:t>
      </w:r>
      <w:r w:rsidR="00E47CB5" w:rsidRPr="00383F2A">
        <w:rPr>
          <w:rFonts w:ascii="Times New Roman" w:hAnsi="Times New Roman"/>
          <w:sz w:val="24"/>
          <w:lang w:val="en-US"/>
        </w:rPr>
        <w:t xml:space="preserve">, prior </w:t>
      </w:r>
      <w:r w:rsidR="007E4916" w:rsidRPr="00383F2A">
        <w:rPr>
          <w:rFonts w:ascii="Times New Roman" w:hAnsi="Times New Roman"/>
          <w:sz w:val="24"/>
          <w:lang w:val="en-US"/>
        </w:rPr>
        <w:t>history of fracture since age of 45, current use of AOM</w:t>
      </w:r>
      <w:r w:rsidR="00683B4C" w:rsidRPr="00383F2A">
        <w:rPr>
          <w:rFonts w:ascii="Times New Roman" w:hAnsi="Times New Roman"/>
          <w:sz w:val="24"/>
          <w:lang w:val="en-US"/>
        </w:rPr>
        <w:t>, vitamin D and calcium supplementation cluster</w:t>
      </w:r>
      <w:r w:rsidR="00E47CB5" w:rsidRPr="00383F2A">
        <w:rPr>
          <w:rFonts w:ascii="Times New Roman" w:hAnsi="Times New Roman"/>
          <w:sz w:val="24"/>
          <w:lang w:val="en-US"/>
        </w:rPr>
        <w:t>ed</w:t>
      </w:r>
      <w:r w:rsidR="00683B4C" w:rsidRPr="00383F2A">
        <w:rPr>
          <w:rFonts w:ascii="Times New Roman" w:hAnsi="Times New Roman"/>
          <w:sz w:val="24"/>
          <w:lang w:val="en-US"/>
        </w:rPr>
        <w:t xml:space="preserve"> together.</w:t>
      </w:r>
      <w:r w:rsidR="00BF5979" w:rsidRPr="00383F2A">
        <w:rPr>
          <w:rFonts w:ascii="Times New Roman" w:hAnsi="Times New Roman"/>
          <w:sz w:val="24"/>
          <w:lang w:val="en-US"/>
        </w:rPr>
        <w:t xml:space="preserve"> Hence this seems to identify women who, through prior fracture experience, have initiated and remained on therapy and acknowledge their higher fracture risk. However, d</w:t>
      </w:r>
      <w:r w:rsidR="00E47CB5" w:rsidRPr="00383F2A">
        <w:rPr>
          <w:rFonts w:ascii="Times New Roman" w:hAnsi="Times New Roman"/>
          <w:sz w:val="24"/>
          <w:lang w:val="en-US"/>
        </w:rPr>
        <w:t>espite greater use of anti-osteoporosis medication</w:t>
      </w:r>
      <w:r w:rsidR="00D471CE">
        <w:rPr>
          <w:rFonts w:ascii="Times New Roman" w:hAnsi="Times New Roman"/>
          <w:sz w:val="24"/>
          <w:lang w:val="en-US"/>
        </w:rPr>
        <w:t>s</w:t>
      </w:r>
      <w:r w:rsidR="00E47CB5" w:rsidRPr="00383F2A">
        <w:rPr>
          <w:rFonts w:ascii="Times New Roman" w:hAnsi="Times New Roman"/>
          <w:sz w:val="24"/>
          <w:lang w:val="en-US"/>
        </w:rPr>
        <w:t xml:space="preserve">, a higher SPR was still related to impaired </w:t>
      </w:r>
      <w:r w:rsidR="0005525B" w:rsidRPr="00383F2A">
        <w:rPr>
          <w:rFonts w:ascii="Times New Roman" w:hAnsi="Times New Roman"/>
          <w:sz w:val="24"/>
        </w:rPr>
        <w:t xml:space="preserve">bone density and microarchitecture measured </w:t>
      </w:r>
      <w:r w:rsidR="00D471CE">
        <w:rPr>
          <w:rFonts w:ascii="Times New Roman" w:hAnsi="Times New Roman"/>
          <w:sz w:val="24"/>
        </w:rPr>
        <w:t>a median of 7.5</w:t>
      </w:r>
      <w:r w:rsidR="00D471CE" w:rsidRPr="00383F2A">
        <w:rPr>
          <w:rFonts w:ascii="Times New Roman" w:hAnsi="Times New Roman"/>
          <w:sz w:val="24"/>
        </w:rPr>
        <w:t xml:space="preserve"> </w:t>
      </w:r>
      <w:r w:rsidR="0005525B" w:rsidRPr="00383F2A">
        <w:rPr>
          <w:rFonts w:ascii="Times New Roman" w:hAnsi="Times New Roman"/>
          <w:sz w:val="24"/>
        </w:rPr>
        <w:t xml:space="preserve">years later. </w:t>
      </w:r>
      <w:r w:rsidR="00D471CE">
        <w:rPr>
          <w:rFonts w:ascii="Times New Roman" w:hAnsi="Times New Roman"/>
          <w:sz w:val="24"/>
        </w:rPr>
        <w:t xml:space="preserve">Associations were similar even when separately excluding the following groups of participants: </w:t>
      </w:r>
      <w:r w:rsidR="0005525B" w:rsidRPr="00383F2A">
        <w:rPr>
          <w:rFonts w:ascii="Times New Roman" w:hAnsi="Times New Roman"/>
          <w:sz w:val="24"/>
        </w:rPr>
        <w:t>previously experienced a fracture</w:t>
      </w:r>
      <w:r w:rsidR="00D471CE">
        <w:rPr>
          <w:rFonts w:ascii="Times New Roman" w:hAnsi="Times New Roman"/>
          <w:sz w:val="24"/>
        </w:rPr>
        <w:t xml:space="preserve"> since age 45; </w:t>
      </w:r>
      <w:r w:rsidR="0005525B" w:rsidRPr="00383F2A">
        <w:rPr>
          <w:rFonts w:ascii="Times New Roman" w:hAnsi="Times New Roman"/>
          <w:sz w:val="24"/>
        </w:rPr>
        <w:t xml:space="preserve">reported a family history of </w:t>
      </w:r>
      <w:r w:rsidR="00D471CE">
        <w:rPr>
          <w:rFonts w:ascii="Times New Roman" w:hAnsi="Times New Roman"/>
          <w:sz w:val="24"/>
        </w:rPr>
        <w:t xml:space="preserve">hip </w:t>
      </w:r>
      <w:r w:rsidR="0005525B" w:rsidRPr="00383F2A">
        <w:rPr>
          <w:rFonts w:ascii="Times New Roman" w:hAnsi="Times New Roman"/>
          <w:sz w:val="24"/>
        </w:rPr>
        <w:t>fracture</w:t>
      </w:r>
      <w:r w:rsidR="00D471CE">
        <w:rPr>
          <w:rFonts w:ascii="Times New Roman" w:hAnsi="Times New Roman"/>
          <w:sz w:val="24"/>
        </w:rPr>
        <w:t xml:space="preserve">; and </w:t>
      </w:r>
      <w:r w:rsidR="0005525B" w:rsidRPr="00383F2A">
        <w:rPr>
          <w:rFonts w:ascii="Times New Roman" w:hAnsi="Times New Roman"/>
          <w:sz w:val="24"/>
        </w:rPr>
        <w:t xml:space="preserve">taking </w:t>
      </w:r>
      <w:r w:rsidR="00CC3729">
        <w:rPr>
          <w:rFonts w:ascii="Times New Roman" w:hAnsi="Times New Roman"/>
          <w:sz w:val="24"/>
        </w:rPr>
        <w:t>AOM</w:t>
      </w:r>
      <w:r w:rsidR="0005525B" w:rsidRPr="00383F2A">
        <w:rPr>
          <w:rFonts w:ascii="Times New Roman" w:hAnsi="Times New Roman"/>
          <w:sz w:val="24"/>
        </w:rPr>
        <w:t xml:space="preserve">. </w:t>
      </w:r>
      <w:r w:rsidR="00CC3729">
        <w:rPr>
          <w:rFonts w:ascii="Times New Roman" w:hAnsi="Times New Roman"/>
          <w:sz w:val="24"/>
        </w:rPr>
        <w:t>Although associations regarding tibial and radial HRpQCT parameters were attenuated when participants with any of these three characteristics were excluded, this could have been due to the reduction in sample size and robust associations between higher SPR and lower femoral neck aBMD remained after these exclusions.</w:t>
      </w:r>
    </w:p>
    <w:p w14:paraId="52EA9D90" w14:textId="77777777" w:rsidR="00CC3729" w:rsidRDefault="00CC3729" w:rsidP="00D6525A">
      <w:pPr>
        <w:autoSpaceDE w:val="0"/>
        <w:autoSpaceDN w:val="0"/>
        <w:adjustRightInd w:val="0"/>
        <w:spacing w:after="0"/>
        <w:jc w:val="both"/>
        <w:rPr>
          <w:rFonts w:ascii="Times New Roman" w:hAnsi="Times New Roman"/>
          <w:sz w:val="24"/>
        </w:rPr>
      </w:pPr>
    </w:p>
    <w:p w14:paraId="52268905" w14:textId="56AA6E69" w:rsidR="0005525B" w:rsidRPr="00383F2A" w:rsidRDefault="006F10E7" w:rsidP="00D6525A">
      <w:pPr>
        <w:autoSpaceDE w:val="0"/>
        <w:autoSpaceDN w:val="0"/>
        <w:adjustRightInd w:val="0"/>
        <w:spacing w:after="0"/>
        <w:jc w:val="both"/>
        <w:rPr>
          <w:rFonts w:ascii="Times New Roman" w:hAnsi="Times New Roman"/>
          <w:sz w:val="24"/>
          <w:lang w:val="en-US"/>
        </w:rPr>
      </w:pPr>
      <w:r w:rsidRPr="00383F2A">
        <w:rPr>
          <w:rFonts w:ascii="Times New Roman" w:hAnsi="Times New Roman"/>
          <w:sz w:val="24"/>
        </w:rPr>
        <w:t>To our knowledge this is the first time that associations between SPR and DXA aBMD and HRpQCT parameters among postmenopausal women have been examined</w:t>
      </w:r>
      <w:r w:rsidR="001178F4">
        <w:rPr>
          <w:rFonts w:ascii="Times New Roman" w:hAnsi="Times New Roman"/>
          <w:sz w:val="24"/>
        </w:rPr>
        <w:t xml:space="preserve">, and suggests that women can correctly identify </w:t>
      </w:r>
      <w:r w:rsidR="00CC3729">
        <w:rPr>
          <w:rFonts w:ascii="Times New Roman" w:hAnsi="Times New Roman"/>
          <w:sz w:val="24"/>
        </w:rPr>
        <w:t xml:space="preserve">personal </w:t>
      </w:r>
      <w:r w:rsidR="001178F4">
        <w:rPr>
          <w:rFonts w:ascii="Times New Roman" w:hAnsi="Times New Roman"/>
          <w:sz w:val="24"/>
        </w:rPr>
        <w:t xml:space="preserve">factors associated with heightened osteoporosis risk, but despite uptake of AOM, that risk remains elevated </w:t>
      </w:r>
      <w:r w:rsidR="008B7BA0">
        <w:rPr>
          <w:rFonts w:ascii="Times New Roman" w:hAnsi="Times New Roman"/>
          <w:sz w:val="24"/>
        </w:rPr>
        <w:t>at around</w:t>
      </w:r>
      <w:r w:rsidR="00CC3729">
        <w:rPr>
          <w:rFonts w:ascii="Times New Roman" w:hAnsi="Times New Roman"/>
          <w:sz w:val="24"/>
        </w:rPr>
        <w:t xml:space="preserve"> 7</w:t>
      </w:r>
      <w:r w:rsidR="008B7BA0">
        <w:rPr>
          <w:rFonts w:ascii="Times New Roman" w:hAnsi="Times New Roman"/>
          <w:sz w:val="24"/>
        </w:rPr>
        <w:t>.5</w:t>
      </w:r>
      <w:r w:rsidR="001178F4">
        <w:rPr>
          <w:rFonts w:ascii="Times New Roman" w:hAnsi="Times New Roman"/>
          <w:sz w:val="24"/>
        </w:rPr>
        <w:t xml:space="preserve"> years later</w:t>
      </w:r>
      <w:r w:rsidRPr="00383F2A">
        <w:rPr>
          <w:rFonts w:ascii="Times New Roman" w:hAnsi="Times New Roman"/>
          <w:sz w:val="24"/>
        </w:rPr>
        <w:t>.</w:t>
      </w:r>
      <w:r w:rsidR="009D1A7A">
        <w:rPr>
          <w:rFonts w:ascii="Times New Roman" w:hAnsi="Times New Roman"/>
          <w:sz w:val="24"/>
        </w:rPr>
        <w:t xml:space="preserve"> </w:t>
      </w:r>
      <w:r w:rsidR="0090533E">
        <w:rPr>
          <w:rFonts w:ascii="Times New Roman" w:hAnsi="Times New Roman"/>
          <w:sz w:val="24"/>
        </w:rPr>
        <w:t xml:space="preserve">Findings from this study </w:t>
      </w:r>
      <w:r w:rsidR="00CE68A4">
        <w:rPr>
          <w:rFonts w:ascii="Times New Roman" w:hAnsi="Times New Roman"/>
          <w:sz w:val="24"/>
        </w:rPr>
        <w:t>demonstrated</w:t>
      </w:r>
      <w:r w:rsidR="0090533E">
        <w:rPr>
          <w:rFonts w:ascii="Times New Roman" w:hAnsi="Times New Roman"/>
          <w:sz w:val="24"/>
        </w:rPr>
        <w:t xml:space="preserve"> that higher SPR bands are related to decrease in areal BMD at femoral neck and lower </w:t>
      </w:r>
      <w:r w:rsidR="0090533E" w:rsidRPr="00F516DC">
        <w:rPr>
          <w:rFonts w:ascii="Times New Roman" w:hAnsi="Times New Roman"/>
          <w:sz w:val="24"/>
        </w:rPr>
        <w:t>tibial trabecular volumetric density</w:t>
      </w:r>
      <w:r w:rsidR="0090533E">
        <w:rPr>
          <w:rFonts w:ascii="Times New Roman" w:hAnsi="Times New Roman"/>
          <w:sz w:val="24"/>
        </w:rPr>
        <w:t xml:space="preserve">. There is evidence to suggest that </w:t>
      </w:r>
      <w:r w:rsidR="0090533E" w:rsidRPr="00AD5BF7">
        <w:rPr>
          <w:rFonts w:ascii="Times New Roman" w:hAnsi="Times New Roman"/>
          <w:sz w:val="24"/>
        </w:rPr>
        <w:t>1SD decrease in BMD is associated with a 1.5-3-fold times higher fracture risk</w:t>
      </w:r>
      <w:r w:rsidR="0090533E">
        <w:rPr>
          <w:rFonts w:ascii="Times New Roman" w:hAnsi="Times New Roman"/>
          <w:sz w:val="24"/>
        </w:rPr>
        <w:t xml:space="preserve"> [</w:t>
      </w:r>
      <w:r w:rsidR="00EF76FF">
        <w:rPr>
          <w:rFonts w:ascii="Times New Roman" w:hAnsi="Times New Roman"/>
          <w:sz w:val="24"/>
        </w:rPr>
        <w:t>13</w:t>
      </w:r>
      <w:r w:rsidR="0090533E">
        <w:rPr>
          <w:rFonts w:ascii="Times New Roman" w:hAnsi="Times New Roman"/>
          <w:sz w:val="24"/>
        </w:rPr>
        <w:t xml:space="preserve">]. Our data suggests that </w:t>
      </w:r>
      <w:r w:rsidR="0090533E" w:rsidRPr="00945EF0">
        <w:rPr>
          <w:rFonts w:ascii="Times New Roman" w:hAnsi="Times New Roman"/>
          <w:sz w:val="24"/>
        </w:rPr>
        <w:t>it is likely that there will be increased fracture risk in women</w:t>
      </w:r>
      <w:r w:rsidR="0090533E">
        <w:rPr>
          <w:rFonts w:ascii="Times New Roman" w:hAnsi="Times New Roman"/>
          <w:sz w:val="24"/>
        </w:rPr>
        <w:t xml:space="preserve"> with higher SPR</w:t>
      </w:r>
      <w:r w:rsidR="0090533E" w:rsidRPr="00945EF0">
        <w:rPr>
          <w:rFonts w:ascii="Times New Roman" w:hAnsi="Times New Roman"/>
          <w:sz w:val="24"/>
        </w:rPr>
        <w:t xml:space="preserve"> as they continue to lose bone and age</w:t>
      </w:r>
      <w:r w:rsidR="0090533E">
        <w:rPr>
          <w:rFonts w:ascii="Times New Roman" w:hAnsi="Times New Roman"/>
          <w:sz w:val="24"/>
        </w:rPr>
        <w:t>.</w:t>
      </w:r>
    </w:p>
    <w:p w14:paraId="2B635AFC" w14:textId="77777777" w:rsidR="0005525B" w:rsidRPr="00383F2A" w:rsidRDefault="0005525B" w:rsidP="00D6525A">
      <w:pPr>
        <w:autoSpaceDE w:val="0"/>
        <w:autoSpaceDN w:val="0"/>
        <w:adjustRightInd w:val="0"/>
        <w:spacing w:after="0"/>
        <w:jc w:val="both"/>
        <w:rPr>
          <w:rFonts w:ascii="Times New Roman" w:hAnsi="Times New Roman"/>
          <w:sz w:val="24"/>
        </w:rPr>
      </w:pPr>
    </w:p>
    <w:p w14:paraId="1DA64B0B" w14:textId="1C3B21F5" w:rsidR="0005525B" w:rsidRPr="00383F2A" w:rsidRDefault="0005525B" w:rsidP="00D6525A">
      <w:pPr>
        <w:autoSpaceDE w:val="0"/>
        <w:autoSpaceDN w:val="0"/>
        <w:adjustRightInd w:val="0"/>
        <w:spacing w:after="0"/>
        <w:jc w:val="both"/>
        <w:rPr>
          <w:rFonts w:ascii="Times New Roman" w:hAnsi="Times New Roman"/>
          <w:sz w:val="24"/>
        </w:rPr>
      </w:pPr>
      <w:r w:rsidRPr="00383F2A">
        <w:rPr>
          <w:rFonts w:ascii="Times New Roman" w:hAnsi="Times New Roman"/>
          <w:sz w:val="24"/>
        </w:rPr>
        <w:t xml:space="preserve">There are limitations to our study. These are observational data that demonstrate associations, but not causality, and need to be tested in other populations. Secondly, the SPR questionnaire has not been validated. Finally, </w:t>
      </w:r>
      <w:r w:rsidR="00421B41">
        <w:rPr>
          <w:rFonts w:ascii="Times New Roman" w:hAnsi="Times New Roman"/>
          <w:sz w:val="24"/>
        </w:rPr>
        <w:t>t</w:t>
      </w:r>
      <w:r w:rsidR="00C47AAC">
        <w:rPr>
          <w:rFonts w:ascii="Times New Roman" w:hAnsi="Times New Roman"/>
          <w:sz w:val="24"/>
        </w:rPr>
        <w:t xml:space="preserve">here </w:t>
      </w:r>
      <w:r w:rsidR="00BE6776">
        <w:rPr>
          <w:rFonts w:ascii="Times New Roman" w:hAnsi="Times New Roman"/>
          <w:sz w:val="24"/>
        </w:rPr>
        <w:t xml:space="preserve">is no information available </w:t>
      </w:r>
      <w:r w:rsidR="005256F0">
        <w:rPr>
          <w:rFonts w:ascii="Times New Roman" w:hAnsi="Times New Roman"/>
          <w:sz w:val="24"/>
        </w:rPr>
        <w:t xml:space="preserve">if the participants had </w:t>
      </w:r>
      <w:r w:rsidR="0037152A">
        <w:rPr>
          <w:rFonts w:ascii="Times New Roman" w:hAnsi="Times New Roman"/>
          <w:sz w:val="24"/>
        </w:rPr>
        <w:t>a</w:t>
      </w:r>
      <w:r w:rsidR="00BE6776">
        <w:rPr>
          <w:rFonts w:ascii="Times New Roman" w:hAnsi="Times New Roman"/>
          <w:sz w:val="24"/>
        </w:rPr>
        <w:t xml:space="preserve"> DXA scan </w:t>
      </w:r>
      <w:r w:rsidR="00FD04FA">
        <w:rPr>
          <w:rFonts w:ascii="Times New Roman" w:hAnsi="Times New Roman"/>
          <w:sz w:val="24"/>
        </w:rPr>
        <w:t xml:space="preserve">performed </w:t>
      </w:r>
      <w:r w:rsidR="0037152A">
        <w:rPr>
          <w:rFonts w:ascii="Times New Roman" w:hAnsi="Times New Roman"/>
          <w:sz w:val="24"/>
        </w:rPr>
        <w:t>prior</w:t>
      </w:r>
      <w:r w:rsidR="00015E98">
        <w:rPr>
          <w:rFonts w:ascii="Times New Roman" w:hAnsi="Times New Roman"/>
          <w:sz w:val="24"/>
        </w:rPr>
        <w:t>. W</w:t>
      </w:r>
      <w:r w:rsidRPr="00383F2A">
        <w:rPr>
          <w:rFonts w:ascii="Times New Roman" w:hAnsi="Times New Roman"/>
          <w:sz w:val="24"/>
        </w:rPr>
        <w:t xml:space="preserve">omen who have had a prior fracture had or took bone-specific treatment may well have had a DXA </w:t>
      </w:r>
      <w:r w:rsidR="00FB3DF4">
        <w:rPr>
          <w:rFonts w:ascii="Times New Roman" w:hAnsi="Times New Roman"/>
          <w:sz w:val="24"/>
        </w:rPr>
        <w:t>scan</w:t>
      </w:r>
      <w:r w:rsidRPr="00383F2A">
        <w:rPr>
          <w:rFonts w:ascii="Times New Roman" w:hAnsi="Times New Roman"/>
          <w:sz w:val="24"/>
        </w:rPr>
        <w:t>. It would not be unexpected that those participants rated their SPR as higher compared to other women of the same age. Those women were likely to integrate the bone protective behavio</w:t>
      </w:r>
      <w:r w:rsidR="00E47CB5" w:rsidRPr="00383F2A">
        <w:rPr>
          <w:rFonts w:ascii="Times New Roman" w:hAnsi="Times New Roman"/>
          <w:sz w:val="24"/>
        </w:rPr>
        <w:t>u</w:t>
      </w:r>
      <w:r w:rsidRPr="00383F2A">
        <w:rPr>
          <w:rFonts w:ascii="Times New Roman" w:hAnsi="Times New Roman"/>
          <w:sz w:val="24"/>
        </w:rPr>
        <w:t>r and</w:t>
      </w:r>
      <w:r w:rsidR="001178F4">
        <w:rPr>
          <w:rFonts w:ascii="Times New Roman" w:hAnsi="Times New Roman"/>
          <w:sz w:val="24"/>
        </w:rPr>
        <w:t xml:space="preserve"> measures into their daily life</w:t>
      </w:r>
      <w:r w:rsidR="00512E56">
        <w:rPr>
          <w:rFonts w:ascii="Times New Roman" w:hAnsi="Times New Roman"/>
          <w:sz w:val="24"/>
        </w:rPr>
        <w:t xml:space="preserve"> resulting in a </w:t>
      </w:r>
      <w:r w:rsidR="001178F4">
        <w:rPr>
          <w:rFonts w:ascii="Times New Roman" w:hAnsi="Times New Roman"/>
          <w:sz w:val="24"/>
        </w:rPr>
        <w:t>‘self-fulfilling prophesy’.</w:t>
      </w:r>
      <w:r w:rsidR="00512E56">
        <w:rPr>
          <w:rFonts w:ascii="Times New Roman" w:hAnsi="Times New Roman"/>
          <w:sz w:val="24"/>
        </w:rPr>
        <w:t xml:space="preserve"> </w:t>
      </w:r>
      <w:r w:rsidRPr="00383F2A">
        <w:rPr>
          <w:rFonts w:ascii="Times New Roman" w:hAnsi="Times New Roman"/>
          <w:sz w:val="24"/>
        </w:rPr>
        <w:t xml:space="preserve">However, even if it is taken into account, we still observed lower aBMD and less favourable HRpQCT parameters </w:t>
      </w:r>
      <w:r w:rsidR="00512E56">
        <w:rPr>
          <w:rFonts w:ascii="Times New Roman" w:hAnsi="Times New Roman"/>
          <w:sz w:val="24"/>
        </w:rPr>
        <w:t>around 7 years</w:t>
      </w:r>
      <w:r w:rsidRPr="00383F2A">
        <w:rPr>
          <w:rFonts w:ascii="Times New Roman" w:hAnsi="Times New Roman"/>
          <w:sz w:val="24"/>
        </w:rPr>
        <w:t xml:space="preserve"> later in this group.</w:t>
      </w:r>
      <w:r w:rsidR="00BF5979" w:rsidRPr="00383F2A">
        <w:rPr>
          <w:rFonts w:ascii="Times New Roman" w:hAnsi="Times New Roman"/>
          <w:sz w:val="24"/>
        </w:rPr>
        <w:t xml:space="preserve"> In many ways, this group represent the ‘best case’ scenario of osteoporosis care in that women have been identified as osteoporotic</w:t>
      </w:r>
      <w:r w:rsidR="00512E56">
        <w:rPr>
          <w:rFonts w:ascii="Times New Roman" w:hAnsi="Times New Roman"/>
          <w:sz w:val="24"/>
        </w:rPr>
        <w:t xml:space="preserve">, </w:t>
      </w:r>
      <w:r w:rsidR="00BF5979" w:rsidRPr="00383F2A">
        <w:rPr>
          <w:rFonts w:ascii="Times New Roman" w:hAnsi="Times New Roman"/>
          <w:sz w:val="24"/>
        </w:rPr>
        <w:t>recognise this diagnosis and</w:t>
      </w:r>
      <w:r w:rsidR="00512E56">
        <w:rPr>
          <w:rFonts w:ascii="Times New Roman" w:hAnsi="Times New Roman"/>
          <w:sz w:val="24"/>
        </w:rPr>
        <w:t xml:space="preserve"> </w:t>
      </w:r>
      <w:r w:rsidR="00BF5979" w:rsidRPr="00383F2A">
        <w:rPr>
          <w:rFonts w:ascii="Times New Roman" w:hAnsi="Times New Roman"/>
          <w:sz w:val="24"/>
        </w:rPr>
        <w:t>remain on therapy to counteract this risk. The situation in many clinical cases may be much worse.</w:t>
      </w:r>
      <w:r w:rsidRPr="00383F2A">
        <w:rPr>
          <w:rFonts w:ascii="Times New Roman" w:hAnsi="Times New Roman"/>
          <w:sz w:val="24"/>
        </w:rPr>
        <w:t xml:space="preserve"> </w:t>
      </w:r>
      <w:r w:rsidR="00E47CB5" w:rsidRPr="00383F2A">
        <w:rPr>
          <w:rFonts w:ascii="Times New Roman" w:hAnsi="Times New Roman"/>
          <w:sz w:val="24"/>
        </w:rPr>
        <w:t xml:space="preserve">Longer follow up of this group </w:t>
      </w:r>
      <w:r w:rsidR="00512E56">
        <w:rPr>
          <w:rFonts w:ascii="Times New Roman" w:hAnsi="Times New Roman"/>
          <w:sz w:val="24"/>
        </w:rPr>
        <w:t>could be highly beneficial</w:t>
      </w:r>
      <w:r w:rsidR="00E47CB5" w:rsidRPr="00383F2A">
        <w:rPr>
          <w:rFonts w:ascii="Times New Roman" w:hAnsi="Times New Roman"/>
          <w:sz w:val="24"/>
        </w:rPr>
        <w:t>.</w:t>
      </w:r>
      <w:r w:rsidRPr="00383F2A">
        <w:rPr>
          <w:rFonts w:ascii="Times New Roman" w:hAnsi="Times New Roman"/>
          <w:sz w:val="24"/>
        </w:rPr>
        <w:t xml:space="preserve"> </w:t>
      </w:r>
    </w:p>
    <w:p w14:paraId="13EDFAF3" w14:textId="77777777" w:rsidR="0005525B" w:rsidRPr="00383F2A" w:rsidRDefault="0005525B" w:rsidP="00D6525A">
      <w:pPr>
        <w:autoSpaceDE w:val="0"/>
        <w:autoSpaceDN w:val="0"/>
        <w:adjustRightInd w:val="0"/>
        <w:spacing w:after="0"/>
        <w:jc w:val="both"/>
        <w:rPr>
          <w:rFonts w:ascii="Times New Roman" w:hAnsi="Times New Roman"/>
          <w:sz w:val="24"/>
        </w:rPr>
      </w:pPr>
    </w:p>
    <w:p w14:paraId="2BC0F4C6" w14:textId="5690FD8E" w:rsidR="0005525B" w:rsidRPr="00EB2D09" w:rsidRDefault="00860AE7" w:rsidP="00D6525A">
      <w:pPr>
        <w:autoSpaceDE w:val="0"/>
        <w:autoSpaceDN w:val="0"/>
        <w:adjustRightInd w:val="0"/>
        <w:spacing w:after="0"/>
        <w:jc w:val="both"/>
        <w:rPr>
          <w:rFonts w:ascii="Times New Roman" w:hAnsi="Times New Roman"/>
          <w:sz w:val="24"/>
        </w:rPr>
      </w:pPr>
      <w:r>
        <w:rPr>
          <w:rFonts w:ascii="Times New Roman" w:hAnsi="Times New Roman"/>
          <w:sz w:val="24"/>
        </w:rPr>
        <w:t xml:space="preserve">In </w:t>
      </w:r>
      <w:r w:rsidR="007B43E7">
        <w:rPr>
          <w:rFonts w:ascii="Times New Roman" w:hAnsi="Times New Roman"/>
          <w:sz w:val="24"/>
        </w:rPr>
        <w:t>the current study</w:t>
      </w:r>
      <w:r w:rsidR="00BF66F1">
        <w:rPr>
          <w:rFonts w:ascii="Times New Roman" w:hAnsi="Times New Roman"/>
          <w:sz w:val="24"/>
        </w:rPr>
        <w:t>, the higher SPR</w:t>
      </w:r>
      <w:r w:rsidR="00B355EC">
        <w:rPr>
          <w:rFonts w:ascii="Times New Roman" w:hAnsi="Times New Roman"/>
          <w:sz w:val="24"/>
        </w:rPr>
        <w:t xml:space="preserve"> was associated with </w:t>
      </w:r>
      <w:r w:rsidR="00BF66F1">
        <w:rPr>
          <w:rFonts w:ascii="Times New Roman" w:hAnsi="Times New Roman"/>
          <w:sz w:val="24"/>
          <w:lang w:val="en-US"/>
        </w:rPr>
        <w:t>higher FRAX scores for MOF and hip fracture</w:t>
      </w:r>
      <w:r w:rsidR="00BF66F1">
        <w:rPr>
          <w:rFonts w:ascii="Times New Roman" w:hAnsi="Times New Roman"/>
          <w:sz w:val="24"/>
        </w:rPr>
        <w:t>.</w:t>
      </w:r>
      <w:r w:rsidR="007513BE">
        <w:rPr>
          <w:rFonts w:ascii="Times New Roman" w:hAnsi="Times New Roman"/>
          <w:sz w:val="24"/>
        </w:rPr>
        <w:t xml:space="preserve"> However, </w:t>
      </w:r>
      <w:r w:rsidR="0005525B" w:rsidRPr="00383F2A">
        <w:rPr>
          <w:rFonts w:ascii="Times New Roman" w:hAnsi="Times New Roman"/>
          <w:sz w:val="24"/>
        </w:rPr>
        <w:t>SPR of osteoporosis and osteoporotic fractures has been reported to be underestimated in postmenopausal women worldwide. Rothmann et al observed that women participating in the Risk-Stratified Osteoporosis Strategy Evaluation (ROSE) study underestimated their fracture risk compared to the risk estimated by FRAX</w:t>
      </w:r>
      <w:r w:rsidR="00E47CB5" w:rsidRPr="00383F2A">
        <w:rPr>
          <w:rFonts w:ascii="Times New Roman" w:hAnsi="Times New Roman"/>
          <w:sz w:val="24"/>
        </w:rPr>
        <w:t xml:space="preserve"> [</w:t>
      </w:r>
      <w:r w:rsidR="0005525B" w:rsidRPr="00383F2A">
        <w:rPr>
          <w:rFonts w:ascii="Times New Roman" w:hAnsi="Times New Roman"/>
          <w:sz w:val="24"/>
        </w:rPr>
        <w:t>1</w:t>
      </w:r>
      <w:r w:rsidR="00EF76FF">
        <w:rPr>
          <w:rFonts w:ascii="Times New Roman" w:hAnsi="Times New Roman"/>
          <w:sz w:val="24"/>
        </w:rPr>
        <w:t>4</w:t>
      </w:r>
      <w:r w:rsidR="00E47CB5" w:rsidRPr="00383F2A">
        <w:rPr>
          <w:rFonts w:ascii="Times New Roman" w:hAnsi="Times New Roman"/>
          <w:sz w:val="24"/>
        </w:rPr>
        <w:t>]</w:t>
      </w:r>
      <w:r w:rsidR="0005525B" w:rsidRPr="00383F2A">
        <w:rPr>
          <w:rFonts w:ascii="Times New Roman" w:hAnsi="Times New Roman"/>
          <w:sz w:val="24"/>
        </w:rPr>
        <w:t>. Similarly, findings from GLOW showed that women at increased fracture risk generally perceive their risk to be lower or about the same as women of the same age</w:t>
      </w:r>
      <w:r w:rsidR="00E47CB5" w:rsidRPr="00383F2A">
        <w:rPr>
          <w:rFonts w:ascii="Times New Roman" w:hAnsi="Times New Roman"/>
          <w:sz w:val="24"/>
        </w:rPr>
        <w:t xml:space="preserve"> [</w:t>
      </w:r>
      <w:r w:rsidR="00AA35FB">
        <w:rPr>
          <w:rFonts w:ascii="Times New Roman" w:hAnsi="Times New Roman"/>
          <w:sz w:val="24"/>
        </w:rPr>
        <w:t>8</w:t>
      </w:r>
      <w:r w:rsidR="00830A58">
        <w:rPr>
          <w:rFonts w:ascii="Times New Roman" w:hAnsi="Times New Roman"/>
          <w:sz w:val="24"/>
        </w:rPr>
        <w:t>,</w:t>
      </w:r>
      <w:r w:rsidR="0005525B" w:rsidRPr="00383F2A">
        <w:rPr>
          <w:rFonts w:ascii="Times New Roman" w:hAnsi="Times New Roman"/>
          <w:sz w:val="24"/>
        </w:rPr>
        <w:t>1</w:t>
      </w:r>
      <w:r w:rsidR="00EF76FF">
        <w:rPr>
          <w:rFonts w:ascii="Times New Roman" w:hAnsi="Times New Roman"/>
          <w:sz w:val="24"/>
        </w:rPr>
        <w:t>5</w:t>
      </w:r>
      <w:r w:rsidR="00830A58">
        <w:rPr>
          <w:rFonts w:ascii="Times New Roman" w:hAnsi="Times New Roman"/>
          <w:sz w:val="24"/>
        </w:rPr>
        <w:t>]</w:t>
      </w:r>
      <w:r w:rsidR="0005525B" w:rsidRPr="00383F2A">
        <w:rPr>
          <w:rFonts w:ascii="Times New Roman" w:hAnsi="Times New Roman"/>
          <w:sz w:val="24"/>
        </w:rPr>
        <w:t xml:space="preserve">. </w:t>
      </w:r>
      <w:r w:rsidR="00F73F72">
        <w:rPr>
          <w:rFonts w:ascii="Times New Roman" w:hAnsi="Times New Roman"/>
          <w:sz w:val="24"/>
        </w:rPr>
        <w:t xml:space="preserve">Furthermore, </w:t>
      </w:r>
      <w:r w:rsidR="00AC6998">
        <w:rPr>
          <w:rFonts w:ascii="Times New Roman" w:hAnsi="Times New Roman"/>
          <w:sz w:val="24"/>
        </w:rPr>
        <w:t xml:space="preserve">it was previously </w:t>
      </w:r>
      <w:r w:rsidR="00AC6998" w:rsidRPr="00AC6998">
        <w:rPr>
          <w:rFonts w:ascii="Times New Roman" w:hAnsi="Times New Roman"/>
          <w:sz w:val="24"/>
        </w:rPr>
        <w:t>demonstrated</w:t>
      </w:r>
      <w:r w:rsidR="00AC6998">
        <w:rPr>
          <w:rFonts w:ascii="Times New Roman" w:hAnsi="Times New Roman"/>
          <w:sz w:val="24"/>
        </w:rPr>
        <w:t xml:space="preserve"> in GLOW</w:t>
      </w:r>
      <w:r w:rsidR="00AC6998" w:rsidRPr="00AC6998">
        <w:rPr>
          <w:rFonts w:ascii="Times New Roman" w:hAnsi="Times New Roman"/>
          <w:sz w:val="24"/>
        </w:rPr>
        <w:t xml:space="preserve"> that SPR of fracture does capture some aspect of fracture risk not currently measured using the conventional fracture prediction tool FRAX</w:t>
      </w:r>
      <w:r w:rsidR="00D40C09">
        <w:rPr>
          <w:rFonts w:ascii="Times New Roman" w:hAnsi="Times New Roman"/>
          <w:sz w:val="24"/>
        </w:rPr>
        <w:t xml:space="preserve"> </w:t>
      </w:r>
      <w:r w:rsidR="00F659F7">
        <w:rPr>
          <w:rFonts w:ascii="Times New Roman" w:hAnsi="Times New Roman"/>
          <w:sz w:val="24"/>
        </w:rPr>
        <w:t>[5]</w:t>
      </w:r>
      <w:r w:rsidR="00AC6998">
        <w:rPr>
          <w:rFonts w:ascii="Times New Roman" w:hAnsi="Times New Roman"/>
          <w:sz w:val="24"/>
        </w:rPr>
        <w:t xml:space="preserve">. </w:t>
      </w:r>
      <w:r w:rsidR="0005525B" w:rsidRPr="00383F2A">
        <w:rPr>
          <w:rFonts w:ascii="Times New Roman" w:hAnsi="Times New Roman"/>
          <w:sz w:val="24"/>
        </w:rPr>
        <w:t>The perception of personal risk has been shown to modify an individual’s behaviour related to their bone health</w:t>
      </w:r>
      <w:r w:rsidR="006B1AB2">
        <w:rPr>
          <w:rFonts w:ascii="Times New Roman" w:hAnsi="Times New Roman"/>
          <w:sz w:val="24"/>
        </w:rPr>
        <w:t xml:space="preserve"> [5,7]</w:t>
      </w:r>
      <w:r w:rsidR="0005525B" w:rsidRPr="00383F2A">
        <w:rPr>
          <w:rFonts w:ascii="Times New Roman" w:hAnsi="Times New Roman"/>
          <w:sz w:val="24"/>
        </w:rPr>
        <w:t>. Heightened self-perceived risks of osteoporosis and fracture significantly increases the likelihood of seeking medical advice hence, increasing the chances, in appropriate individuals, of being given a diagnosis of osteoporosis – a well known predictor of treatment initiation</w:t>
      </w:r>
      <w:r w:rsidR="00830A58">
        <w:rPr>
          <w:rFonts w:ascii="Times New Roman" w:hAnsi="Times New Roman"/>
          <w:sz w:val="24"/>
        </w:rPr>
        <w:t xml:space="preserve"> </w:t>
      </w:r>
      <w:r w:rsidR="00086702" w:rsidRPr="00383F2A">
        <w:rPr>
          <w:rFonts w:ascii="Times New Roman" w:hAnsi="Times New Roman"/>
          <w:sz w:val="24"/>
        </w:rPr>
        <w:t>[</w:t>
      </w:r>
      <w:r w:rsidR="00830A58">
        <w:rPr>
          <w:rFonts w:ascii="Times New Roman" w:hAnsi="Times New Roman"/>
          <w:sz w:val="24"/>
        </w:rPr>
        <w:t>7</w:t>
      </w:r>
      <w:r w:rsidR="006B1AB2">
        <w:rPr>
          <w:rFonts w:ascii="Times New Roman" w:hAnsi="Times New Roman"/>
          <w:sz w:val="24"/>
        </w:rPr>
        <w:t>]</w:t>
      </w:r>
      <w:r w:rsidR="0005525B" w:rsidRPr="00383F2A">
        <w:rPr>
          <w:rFonts w:ascii="Times New Roman" w:hAnsi="Times New Roman"/>
          <w:sz w:val="24"/>
        </w:rPr>
        <w:t>.  Moreover, heightened self-perceived risks of fracture is known to be associated with BMD testing.</w:t>
      </w:r>
    </w:p>
    <w:p w14:paraId="247B281F" w14:textId="77777777" w:rsidR="0005525B" w:rsidRPr="00383F2A" w:rsidRDefault="0005525B" w:rsidP="00D6525A">
      <w:pPr>
        <w:autoSpaceDE w:val="0"/>
        <w:autoSpaceDN w:val="0"/>
        <w:adjustRightInd w:val="0"/>
        <w:spacing w:after="0"/>
        <w:jc w:val="both"/>
        <w:rPr>
          <w:rFonts w:ascii="Times New Roman" w:hAnsi="Times New Roman"/>
          <w:sz w:val="24"/>
        </w:rPr>
      </w:pPr>
    </w:p>
    <w:p w14:paraId="23BEFF16" w14:textId="2502B1B7" w:rsidR="0005525B" w:rsidRPr="00383F2A" w:rsidRDefault="0005525B" w:rsidP="00D6525A">
      <w:pPr>
        <w:autoSpaceDE w:val="0"/>
        <w:autoSpaceDN w:val="0"/>
        <w:adjustRightInd w:val="0"/>
        <w:spacing w:after="0"/>
        <w:jc w:val="both"/>
        <w:rPr>
          <w:rFonts w:ascii="Times New Roman" w:hAnsi="Times New Roman"/>
          <w:sz w:val="24"/>
        </w:rPr>
      </w:pPr>
      <w:r w:rsidRPr="00383F2A">
        <w:rPr>
          <w:rFonts w:ascii="Times New Roman" w:hAnsi="Times New Roman"/>
          <w:sz w:val="24"/>
        </w:rPr>
        <w:t>Although the positive effect of risk perception on BMD testing has been previously described, the analysis of the relationship between the results of bone microarchitecture parameters and fracture risk perception is novel. There is evidence that other factors independent of aBMD, including skeletal properties of trabecular microstructure examined by HRpQCT, contribute to fracture risk</w:t>
      </w:r>
      <w:r w:rsidR="00524C16">
        <w:rPr>
          <w:rFonts w:ascii="Times New Roman" w:hAnsi="Times New Roman"/>
          <w:sz w:val="24"/>
        </w:rPr>
        <w:t xml:space="preserve"> [</w:t>
      </w:r>
      <w:r w:rsidRPr="00383F2A">
        <w:rPr>
          <w:rFonts w:ascii="Times New Roman" w:hAnsi="Times New Roman"/>
          <w:sz w:val="24"/>
        </w:rPr>
        <w:t>1</w:t>
      </w:r>
      <w:r w:rsidR="00EF76FF">
        <w:rPr>
          <w:rFonts w:ascii="Times New Roman" w:hAnsi="Times New Roman"/>
          <w:sz w:val="24"/>
        </w:rPr>
        <w:t>6</w:t>
      </w:r>
      <w:r w:rsidR="00830A58">
        <w:rPr>
          <w:rFonts w:ascii="Times New Roman" w:hAnsi="Times New Roman"/>
          <w:sz w:val="24"/>
        </w:rPr>
        <w:t>-</w:t>
      </w:r>
      <w:r w:rsidR="006B1AB2">
        <w:rPr>
          <w:rFonts w:ascii="Times New Roman" w:hAnsi="Times New Roman"/>
          <w:sz w:val="24"/>
        </w:rPr>
        <w:t>1</w:t>
      </w:r>
      <w:r w:rsidR="000D3930">
        <w:rPr>
          <w:rFonts w:ascii="Times New Roman" w:hAnsi="Times New Roman"/>
          <w:sz w:val="24"/>
        </w:rPr>
        <w:t>8</w:t>
      </w:r>
      <w:r w:rsidR="006B1AB2">
        <w:rPr>
          <w:rFonts w:ascii="Times New Roman" w:hAnsi="Times New Roman"/>
          <w:sz w:val="24"/>
        </w:rPr>
        <w:t>]</w:t>
      </w:r>
      <w:r w:rsidRPr="00383F2A">
        <w:rPr>
          <w:rFonts w:ascii="Times New Roman" w:hAnsi="Times New Roman"/>
          <w:sz w:val="24"/>
        </w:rPr>
        <w:t xml:space="preserve">. This study suggests that there is association between SPR and bone microarchitecture. </w:t>
      </w:r>
      <w:r w:rsidR="00BF5979" w:rsidRPr="00383F2A">
        <w:rPr>
          <w:rFonts w:ascii="Times New Roman" w:hAnsi="Times New Roman"/>
          <w:sz w:val="24"/>
        </w:rPr>
        <w:t>T</w:t>
      </w:r>
      <w:r w:rsidRPr="00383F2A">
        <w:rPr>
          <w:rFonts w:ascii="Times New Roman" w:hAnsi="Times New Roman"/>
          <w:sz w:val="24"/>
        </w:rPr>
        <w:t>aking osteoporosis medications was strongly associated with a higher self-perceived fracture risk in this study. This concurs with findings from a cross-sectional analysis of GLOW where women with higher SPR were more likely to report AOM use than women with lower SPR</w:t>
      </w:r>
      <w:r w:rsidR="006B1AB2">
        <w:rPr>
          <w:rFonts w:ascii="Times New Roman" w:hAnsi="Times New Roman"/>
          <w:sz w:val="24"/>
        </w:rPr>
        <w:t xml:space="preserve"> [5]</w:t>
      </w:r>
      <w:r w:rsidRPr="00383F2A">
        <w:rPr>
          <w:rFonts w:ascii="Times New Roman" w:hAnsi="Times New Roman"/>
          <w:sz w:val="24"/>
        </w:rPr>
        <w:t>. Barcenilla-Wong et al. also reported that elevated self-perceived risk of fracture increases the likelihood of taking AOM prospectively</w:t>
      </w:r>
      <w:r w:rsidR="006B1AB2">
        <w:rPr>
          <w:rFonts w:ascii="Times New Roman" w:hAnsi="Times New Roman"/>
          <w:sz w:val="24"/>
        </w:rPr>
        <w:t xml:space="preserve"> [7].</w:t>
      </w:r>
      <w:r w:rsidRPr="00383F2A">
        <w:rPr>
          <w:rFonts w:ascii="Times New Roman" w:hAnsi="Times New Roman"/>
          <w:sz w:val="24"/>
        </w:rPr>
        <w:t xml:space="preserve"> </w:t>
      </w:r>
    </w:p>
    <w:p w14:paraId="714CAFF4" w14:textId="77777777" w:rsidR="0005525B" w:rsidRPr="00383F2A" w:rsidRDefault="0005525B" w:rsidP="00D6525A">
      <w:pPr>
        <w:autoSpaceDE w:val="0"/>
        <w:autoSpaceDN w:val="0"/>
        <w:adjustRightInd w:val="0"/>
        <w:spacing w:after="0"/>
        <w:jc w:val="both"/>
        <w:rPr>
          <w:rFonts w:ascii="Times New Roman" w:hAnsi="Times New Roman"/>
          <w:sz w:val="24"/>
        </w:rPr>
      </w:pPr>
    </w:p>
    <w:p w14:paraId="6CB50A24" w14:textId="37F3422E" w:rsidR="00FE1ACA" w:rsidRPr="00383F2A" w:rsidRDefault="0005525B" w:rsidP="00D6525A">
      <w:pPr>
        <w:autoSpaceDE w:val="0"/>
        <w:autoSpaceDN w:val="0"/>
        <w:adjustRightInd w:val="0"/>
        <w:spacing w:after="0"/>
        <w:jc w:val="both"/>
        <w:rPr>
          <w:rFonts w:ascii="Times New Roman" w:hAnsi="Times New Roman"/>
          <w:sz w:val="24"/>
        </w:rPr>
      </w:pPr>
      <w:r w:rsidRPr="00383F2A">
        <w:rPr>
          <w:rFonts w:ascii="Times New Roman" w:hAnsi="Times New Roman"/>
          <w:sz w:val="24"/>
        </w:rPr>
        <w:t xml:space="preserve">In conclusion, we have identified </w:t>
      </w:r>
      <w:r w:rsidR="00BF5979" w:rsidRPr="00383F2A">
        <w:rPr>
          <w:rFonts w:ascii="Times New Roman" w:hAnsi="Times New Roman"/>
          <w:sz w:val="24"/>
        </w:rPr>
        <w:t xml:space="preserve">individual </w:t>
      </w:r>
      <w:r w:rsidR="00E121C2" w:rsidRPr="00383F2A">
        <w:rPr>
          <w:rFonts w:ascii="Times New Roman" w:hAnsi="Times New Roman"/>
          <w:sz w:val="24"/>
        </w:rPr>
        <w:t>characteristics correlated with higher SPR</w:t>
      </w:r>
      <w:r w:rsidR="00BF5979" w:rsidRPr="00383F2A">
        <w:rPr>
          <w:rFonts w:ascii="Times New Roman" w:hAnsi="Times New Roman"/>
          <w:sz w:val="24"/>
        </w:rPr>
        <w:t xml:space="preserve">, considered how they cluster together and studied relationships between SPR and subsequent objectively assessed bone health. </w:t>
      </w:r>
      <w:r w:rsidRPr="00383F2A">
        <w:rPr>
          <w:rFonts w:ascii="Times New Roman" w:hAnsi="Times New Roman"/>
          <w:sz w:val="24"/>
        </w:rPr>
        <w:t>This is particularly notable as previous research has suggested that while women often underestimate fracture risk, a higher SPR is associated with health seeking behaviour and better compliance with OP medication</w:t>
      </w:r>
      <w:r w:rsidR="00BF5979" w:rsidRPr="00383F2A">
        <w:rPr>
          <w:rFonts w:ascii="Times New Roman" w:hAnsi="Times New Roman"/>
          <w:sz w:val="24"/>
        </w:rPr>
        <w:t>, as we observed in this study</w:t>
      </w:r>
      <w:r w:rsidRPr="00383F2A">
        <w:rPr>
          <w:rFonts w:ascii="Times New Roman" w:hAnsi="Times New Roman"/>
          <w:sz w:val="24"/>
        </w:rPr>
        <w:t>. An exploration of SPR through further studies, including qualitative work, may allow development of novel fracture prediction methods, and strategies to reduce fracture risk.</w:t>
      </w:r>
    </w:p>
    <w:p w14:paraId="34C3C4BE" w14:textId="77777777" w:rsidR="0062423A" w:rsidRPr="00383F2A" w:rsidRDefault="0062423A" w:rsidP="006B0610">
      <w:pPr>
        <w:autoSpaceDE w:val="0"/>
        <w:autoSpaceDN w:val="0"/>
        <w:adjustRightInd w:val="0"/>
        <w:spacing w:after="0"/>
        <w:jc w:val="both"/>
        <w:rPr>
          <w:rFonts w:ascii="Times New Roman" w:eastAsiaTheme="minorHAnsi" w:hAnsi="Times New Roman"/>
          <w:sz w:val="24"/>
        </w:rPr>
      </w:pPr>
    </w:p>
    <w:p w14:paraId="12699893" w14:textId="26F08EEC" w:rsidR="00426FF6" w:rsidRPr="00D6525A" w:rsidRDefault="00EA0BE3" w:rsidP="00D6525A">
      <w:pPr>
        <w:autoSpaceDE w:val="0"/>
        <w:autoSpaceDN w:val="0"/>
        <w:adjustRightInd w:val="0"/>
        <w:spacing w:after="0"/>
        <w:jc w:val="both"/>
        <w:rPr>
          <w:rFonts w:ascii="Times New Roman" w:eastAsiaTheme="minorHAnsi" w:hAnsi="Times New Roman"/>
          <w:sz w:val="24"/>
        </w:rPr>
      </w:pPr>
      <w:r w:rsidRPr="00383F2A">
        <w:rPr>
          <w:rFonts w:ascii="Times New Roman" w:eastAsiaTheme="minorHAnsi" w:hAnsi="Times New Roman"/>
          <w:sz w:val="24"/>
        </w:rPr>
        <w:t xml:space="preserve">AE Litwic, LD Westbury, </w:t>
      </w:r>
      <w:r w:rsidR="007144B5">
        <w:rPr>
          <w:rFonts w:ascii="Times New Roman" w:eastAsiaTheme="minorHAnsi" w:hAnsi="Times New Roman"/>
          <w:sz w:val="24"/>
        </w:rPr>
        <w:t xml:space="preserve">S Carter and </w:t>
      </w:r>
      <w:r w:rsidRPr="00383F2A">
        <w:rPr>
          <w:rFonts w:ascii="Times New Roman" w:eastAsiaTheme="minorHAnsi" w:hAnsi="Times New Roman"/>
          <w:sz w:val="24"/>
        </w:rPr>
        <w:t xml:space="preserve">KA Ward declare that they have no conflict of interest. C Cooper reports personal fees from Alliance for Better Bone Health, Amgen, Eli Lilly, GSK, Medtronic, Merck, Novartis, Pfizer, Roche, Servier, Takeda and UCB. </w:t>
      </w:r>
      <w:r w:rsidR="00057E97" w:rsidRPr="00383F2A">
        <w:rPr>
          <w:rFonts w:ascii="Times New Roman" w:eastAsiaTheme="minorHAnsi" w:hAnsi="Times New Roman"/>
          <w:sz w:val="24"/>
        </w:rPr>
        <w:t xml:space="preserve">EM Dennison reports consulting </w:t>
      </w:r>
      <w:r w:rsidR="00057E97" w:rsidRPr="00D6525A">
        <w:rPr>
          <w:rFonts w:ascii="Times New Roman" w:eastAsiaTheme="minorHAnsi" w:hAnsi="Times New Roman"/>
          <w:sz w:val="24"/>
        </w:rPr>
        <w:t>and speaker fees from Pfizer and UCB</w:t>
      </w:r>
      <w:r w:rsidRPr="00D6525A">
        <w:rPr>
          <w:rFonts w:ascii="Times New Roman" w:eastAsiaTheme="minorHAnsi" w:hAnsi="Times New Roman"/>
          <w:sz w:val="24"/>
        </w:rPr>
        <w:t>.</w:t>
      </w:r>
    </w:p>
    <w:p w14:paraId="4F24AB6D" w14:textId="76A7322D" w:rsidR="00DB39D1" w:rsidRPr="00D6525A" w:rsidRDefault="00DB39D1" w:rsidP="00D6525A">
      <w:pPr>
        <w:autoSpaceDE w:val="0"/>
        <w:autoSpaceDN w:val="0"/>
        <w:adjustRightInd w:val="0"/>
        <w:spacing w:after="0"/>
        <w:jc w:val="both"/>
        <w:rPr>
          <w:rFonts w:ascii="Times New Roman" w:eastAsiaTheme="minorHAnsi" w:hAnsi="Times New Roman"/>
          <w:sz w:val="24"/>
        </w:rPr>
      </w:pPr>
    </w:p>
    <w:p w14:paraId="0FCA2224" w14:textId="77777777" w:rsidR="000A29A3" w:rsidRPr="00D6525A" w:rsidRDefault="000A29A3" w:rsidP="00D6525A">
      <w:pPr>
        <w:jc w:val="both"/>
        <w:rPr>
          <w:rFonts w:ascii="Times New Roman" w:hAnsi="Times New Roman"/>
          <w:sz w:val="24"/>
        </w:rPr>
      </w:pPr>
    </w:p>
    <w:p w14:paraId="1D420187" w14:textId="07E9A6AC" w:rsidR="00B02B6D" w:rsidRPr="00D6525A" w:rsidRDefault="00B02B6D" w:rsidP="00D6525A">
      <w:pPr>
        <w:jc w:val="both"/>
        <w:rPr>
          <w:rFonts w:ascii="Times New Roman" w:hAnsi="Times New Roman"/>
          <w:b/>
          <w:sz w:val="24"/>
        </w:rPr>
      </w:pPr>
      <w:r w:rsidRPr="00D6525A">
        <w:rPr>
          <w:rFonts w:ascii="Times New Roman" w:hAnsi="Times New Roman"/>
          <w:b/>
          <w:sz w:val="24"/>
        </w:rPr>
        <w:t>References</w:t>
      </w:r>
      <w:r w:rsidR="00E13247" w:rsidRPr="00D6525A">
        <w:rPr>
          <w:rFonts w:ascii="Times New Roman" w:hAnsi="Times New Roman"/>
          <w:b/>
          <w:sz w:val="24"/>
        </w:rPr>
        <w:t>:</w:t>
      </w:r>
    </w:p>
    <w:p w14:paraId="467970E9" w14:textId="7D7DDF4E" w:rsidR="0065066F" w:rsidRPr="00D6525A" w:rsidRDefault="00E13247" w:rsidP="00D6525A">
      <w:pPr>
        <w:pStyle w:val="EndNoteBibliography"/>
        <w:spacing w:after="0" w:line="360" w:lineRule="auto"/>
        <w:jc w:val="both"/>
        <w:rPr>
          <w:rFonts w:ascii="Times New Roman" w:hAnsi="Times New Roman" w:cs="Times New Roman"/>
          <w:sz w:val="24"/>
        </w:rPr>
      </w:pPr>
      <w:r w:rsidRPr="00D6525A">
        <w:rPr>
          <w:rFonts w:ascii="Times New Roman" w:hAnsi="Times New Roman" w:cs="Times New Roman"/>
          <w:sz w:val="24"/>
        </w:rPr>
        <w:t xml:space="preserve">1. </w:t>
      </w:r>
      <w:r w:rsidR="0065066F" w:rsidRPr="00D6525A">
        <w:rPr>
          <w:rFonts w:ascii="Times New Roman" w:hAnsi="Times New Roman" w:cs="Times New Roman"/>
          <w:sz w:val="24"/>
        </w:rPr>
        <w:t xml:space="preserve"> Johnell O, Kanis JA (2006) An estimate of the worldwide prevalence and disability associated with osteoporotic fractures. Osteoporosis </w:t>
      </w:r>
      <w:r w:rsidR="004066AB" w:rsidRPr="00D6525A">
        <w:rPr>
          <w:rFonts w:ascii="Times New Roman" w:hAnsi="Times New Roman" w:cs="Times New Roman"/>
          <w:sz w:val="24"/>
        </w:rPr>
        <w:t xml:space="preserve">Int </w:t>
      </w:r>
      <w:r w:rsidR="0065066F" w:rsidRPr="00D6525A">
        <w:rPr>
          <w:rFonts w:ascii="Times New Roman" w:hAnsi="Times New Roman" w:cs="Times New Roman"/>
          <w:sz w:val="24"/>
        </w:rPr>
        <w:t>17:1726-1733</w:t>
      </w:r>
    </w:p>
    <w:p w14:paraId="3BED62E0" w14:textId="39880F18" w:rsidR="0065066F" w:rsidRPr="00D6525A" w:rsidRDefault="00E13247" w:rsidP="00D6525A">
      <w:pPr>
        <w:pStyle w:val="EndNoteBibliography"/>
        <w:spacing w:after="0" w:line="360" w:lineRule="auto"/>
        <w:jc w:val="both"/>
        <w:rPr>
          <w:rFonts w:ascii="Times New Roman" w:hAnsi="Times New Roman" w:cs="Times New Roman"/>
          <w:sz w:val="24"/>
        </w:rPr>
      </w:pPr>
      <w:r w:rsidRPr="00D6525A">
        <w:rPr>
          <w:rFonts w:ascii="Times New Roman" w:hAnsi="Times New Roman" w:cs="Times New Roman"/>
          <w:sz w:val="24"/>
        </w:rPr>
        <w:t xml:space="preserve">2. </w:t>
      </w:r>
      <w:r w:rsidR="0065066F" w:rsidRPr="00D6525A">
        <w:rPr>
          <w:rFonts w:ascii="Times New Roman" w:hAnsi="Times New Roman" w:cs="Times New Roman"/>
          <w:sz w:val="24"/>
        </w:rPr>
        <w:t>van Staa TP, Dennison EM, Leufkens HG, Cooper C (2001) Epidemiology of fractures in England and Wales. Bone 29:517-522</w:t>
      </w:r>
    </w:p>
    <w:p w14:paraId="1CF7091D" w14:textId="02F1D663" w:rsidR="0065066F" w:rsidRPr="00D6525A" w:rsidRDefault="00E13247" w:rsidP="00D6525A">
      <w:pPr>
        <w:pStyle w:val="EndNoteBibliography"/>
        <w:spacing w:after="0" w:line="360" w:lineRule="auto"/>
        <w:jc w:val="both"/>
        <w:rPr>
          <w:rFonts w:ascii="Times New Roman" w:hAnsi="Times New Roman" w:cs="Times New Roman"/>
          <w:sz w:val="24"/>
        </w:rPr>
      </w:pPr>
      <w:r w:rsidRPr="00D6525A">
        <w:rPr>
          <w:rFonts w:ascii="Times New Roman" w:hAnsi="Times New Roman" w:cs="Times New Roman"/>
          <w:sz w:val="24"/>
        </w:rPr>
        <w:t xml:space="preserve">3. </w:t>
      </w:r>
      <w:r w:rsidR="0065066F" w:rsidRPr="00D6525A">
        <w:rPr>
          <w:rFonts w:ascii="Times New Roman" w:hAnsi="Times New Roman" w:cs="Times New Roman"/>
          <w:sz w:val="24"/>
        </w:rPr>
        <w:t xml:space="preserve">Hernlund E, Svedbom A, Ivergard M, Compston J, Cooper C, Stenmark J, McCloskey EV, Jonsson B, Kanis JA (2013) Osteoporosis in the European Union: medical management, epidemiology and economic burden. A report prepared in collaboration with the International Osteoporosis Foundation (IOF) and the European Federation of Pharmaceutical Industry Associations (EFPIA). </w:t>
      </w:r>
      <w:r w:rsidR="004D5316" w:rsidRPr="00D6525A">
        <w:rPr>
          <w:rFonts w:ascii="Times New Roman" w:hAnsi="Times New Roman" w:cs="Times New Roman"/>
          <w:sz w:val="24"/>
        </w:rPr>
        <w:t>Arch Osteoporos.</w:t>
      </w:r>
      <w:r w:rsidR="004D5316" w:rsidRPr="00D6525A" w:rsidDel="004D5316">
        <w:rPr>
          <w:rFonts w:ascii="Times New Roman" w:hAnsi="Times New Roman" w:cs="Times New Roman"/>
          <w:sz w:val="24"/>
        </w:rPr>
        <w:t xml:space="preserve"> </w:t>
      </w:r>
      <w:r w:rsidR="0065066F" w:rsidRPr="00D6525A">
        <w:rPr>
          <w:rFonts w:ascii="Times New Roman" w:hAnsi="Times New Roman" w:cs="Times New Roman"/>
          <w:sz w:val="24"/>
        </w:rPr>
        <w:t>8:136</w:t>
      </w:r>
    </w:p>
    <w:p w14:paraId="4C2559ED" w14:textId="1025624A" w:rsidR="0065066F" w:rsidRPr="00D6525A" w:rsidRDefault="00E13247" w:rsidP="00D6525A">
      <w:pPr>
        <w:pStyle w:val="EndNoteBibliography"/>
        <w:spacing w:after="0" w:line="360" w:lineRule="auto"/>
        <w:jc w:val="both"/>
        <w:rPr>
          <w:rFonts w:ascii="Times New Roman" w:hAnsi="Times New Roman" w:cs="Times New Roman"/>
          <w:sz w:val="24"/>
        </w:rPr>
      </w:pPr>
      <w:r w:rsidRPr="00D6525A">
        <w:rPr>
          <w:rFonts w:ascii="Times New Roman" w:hAnsi="Times New Roman" w:cs="Times New Roman"/>
          <w:sz w:val="24"/>
        </w:rPr>
        <w:t xml:space="preserve">4. </w:t>
      </w:r>
      <w:r w:rsidR="0065066F" w:rsidRPr="00D6525A">
        <w:rPr>
          <w:rFonts w:ascii="Times New Roman" w:hAnsi="Times New Roman" w:cs="Times New Roman"/>
          <w:sz w:val="24"/>
        </w:rPr>
        <w:t xml:space="preserve">Burge R, Dawson-Hughes B, Solomon DH, Wong JB, King A, Tosteson A (2007) Incidence and economic burden of osteoporosis-related fractures in the United States, 2005-2025. </w:t>
      </w:r>
      <w:r w:rsidR="004D5316" w:rsidRPr="00D6525A">
        <w:rPr>
          <w:rFonts w:ascii="Times New Roman" w:hAnsi="Times New Roman" w:cs="Times New Roman"/>
          <w:sz w:val="24"/>
        </w:rPr>
        <w:t>JBMR</w:t>
      </w:r>
      <w:r w:rsidR="0065066F" w:rsidRPr="00D6525A">
        <w:rPr>
          <w:rFonts w:ascii="Times New Roman" w:hAnsi="Times New Roman" w:cs="Times New Roman"/>
          <w:sz w:val="24"/>
        </w:rPr>
        <w:t xml:space="preserve"> 22:465-475</w:t>
      </w:r>
    </w:p>
    <w:p w14:paraId="3BC2DD7F" w14:textId="478B0FFD" w:rsidR="001C6AD4" w:rsidRPr="00D6525A" w:rsidRDefault="00524C16"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5</w:t>
      </w:r>
      <w:r w:rsidR="001C6AD4" w:rsidRPr="00D6525A">
        <w:rPr>
          <w:rFonts w:ascii="Times New Roman" w:hAnsi="Times New Roman" w:cs="Times New Roman"/>
          <w:sz w:val="24"/>
        </w:rPr>
        <w:t>. Litwic A, Compston J, Wyman A, Siris E, Gehlbach S, Adachi J, Chapurlat R, Díez-Pérez A, LaCroix A, Nieves J (2017) Self-perception of fracture risk: what can it tell us? Osteoporosis Int 28:3495-3500</w:t>
      </w:r>
    </w:p>
    <w:p w14:paraId="06B5B8F5" w14:textId="0C893887" w:rsidR="001C6AD4" w:rsidRPr="00D6525A" w:rsidRDefault="00524C16"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6</w:t>
      </w:r>
      <w:r w:rsidR="001C6AD4" w:rsidRPr="00D6525A">
        <w:rPr>
          <w:rFonts w:ascii="Times New Roman" w:hAnsi="Times New Roman" w:cs="Times New Roman"/>
          <w:sz w:val="24"/>
        </w:rPr>
        <w:t>. Langer FW, da Silveira Codevilla AA, Bringhenti R, Dal Osto LC, Campos TRS, Martins TT, Barin AE, Rigo PH, Boufleuer ND, Santinon SF (2016) Low self-awareness of osteoporosis and fracture risk among postmenopausal women</w:t>
      </w:r>
      <w:r w:rsidR="00C73819" w:rsidRPr="00D6525A">
        <w:rPr>
          <w:rFonts w:ascii="Times New Roman" w:hAnsi="Times New Roman" w:cs="Times New Roman"/>
          <w:sz w:val="24"/>
        </w:rPr>
        <w:t xml:space="preserve"> Arch Osteoporos.</w:t>
      </w:r>
      <w:r w:rsidR="001C6AD4" w:rsidRPr="00D6525A">
        <w:rPr>
          <w:rFonts w:ascii="Times New Roman" w:hAnsi="Times New Roman" w:cs="Times New Roman"/>
          <w:sz w:val="24"/>
        </w:rPr>
        <w:t>11:27</w:t>
      </w:r>
    </w:p>
    <w:p w14:paraId="7130C1E3" w14:textId="4AC1C87C" w:rsidR="00A26498" w:rsidRDefault="00524C16"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7</w:t>
      </w:r>
      <w:r w:rsidR="00A26498" w:rsidRPr="00D6525A">
        <w:rPr>
          <w:rFonts w:ascii="Times New Roman" w:hAnsi="Times New Roman" w:cs="Times New Roman"/>
          <w:sz w:val="24"/>
        </w:rPr>
        <w:t xml:space="preserve">. </w:t>
      </w:r>
      <w:r w:rsidR="006870B0" w:rsidRPr="00D6525A">
        <w:rPr>
          <w:rFonts w:ascii="Times New Roman" w:hAnsi="Times New Roman" w:cs="Times New Roman"/>
          <w:color w:val="303030"/>
          <w:sz w:val="24"/>
          <w:shd w:val="clear" w:color="auto" w:fill="FFFFFF"/>
        </w:rPr>
        <w:t>Barcenilla-Wong, A. L., Chen, J. S., &amp; March, L. M. (2014). Concern and risk perception: effects on osteoprotective behaviour. </w:t>
      </w:r>
      <w:r w:rsidR="006870B0" w:rsidRPr="00D6525A">
        <w:rPr>
          <w:rFonts w:ascii="Times New Roman" w:hAnsi="Times New Roman" w:cs="Times New Roman"/>
          <w:iCs/>
          <w:color w:val="303030"/>
          <w:sz w:val="24"/>
          <w:shd w:val="clear" w:color="auto" w:fill="FFFFFF"/>
        </w:rPr>
        <w:t>J Osteoporos</w:t>
      </w:r>
      <w:r w:rsidR="006870B0" w:rsidRPr="00D6525A">
        <w:rPr>
          <w:rFonts w:ascii="Times New Roman" w:hAnsi="Times New Roman" w:cs="Times New Roman"/>
          <w:color w:val="303030"/>
          <w:sz w:val="24"/>
          <w:shd w:val="clear" w:color="auto" w:fill="FFFFFF"/>
        </w:rPr>
        <w:t>, </w:t>
      </w:r>
      <w:r w:rsidR="006870B0" w:rsidRPr="00D6525A">
        <w:rPr>
          <w:rFonts w:ascii="Times New Roman" w:hAnsi="Times New Roman" w:cs="Times New Roman"/>
          <w:i/>
          <w:iCs/>
          <w:color w:val="303030"/>
          <w:sz w:val="24"/>
          <w:shd w:val="clear" w:color="auto" w:fill="FFFFFF"/>
        </w:rPr>
        <w:t>2014</w:t>
      </w:r>
      <w:r w:rsidR="006870B0" w:rsidRPr="00D6525A">
        <w:rPr>
          <w:rFonts w:ascii="Times New Roman" w:hAnsi="Times New Roman" w:cs="Times New Roman"/>
          <w:color w:val="303030"/>
          <w:sz w:val="24"/>
          <w:shd w:val="clear" w:color="auto" w:fill="FFFFFF"/>
        </w:rPr>
        <w:t>, 142546.</w:t>
      </w:r>
      <w:r w:rsidR="006870B0" w:rsidRPr="00D6525A" w:rsidDel="006870B0">
        <w:rPr>
          <w:rFonts w:ascii="Times New Roman" w:hAnsi="Times New Roman" w:cs="Times New Roman"/>
          <w:sz w:val="24"/>
        </w:rPr>
        <w:t xml:space="preserve"> </w:t>
      </w:r>
    </w:p>
    <w:p w14:paraId="2CEC6162" w14:textId="7CD49342" w:rsidR="000D7E34" w:rsidRPr="00D6525A" w:rsidRDefault="000D7E34"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 xml:space="preserve">8. </w:t>
      </w:r>
      <w:r w:rsidRPr="00D6525A">
        <w:rPr>
          <w:rFonts w:ascii="Times New Roman" w:hAnsi="Times New Roman" w:cs="Times New Roman"/>
          <w:sz w:val="24"/>
        </w:rPr>
        <w:t>Gregson CL, Dennison EM, Compston JE, et al. (2014) Disease-specific perception of fracture risk and incident fracture rates: GLOW cohort study. Osteoporosis Int 25:85-95</w:t>
      </w:r>
    </w:p>
    <w:p w14:paraId="14D001AF" w14:textId="5CE713AA" w:rsidR="001B5269" w:rsidRDefault="00DC1B05"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9</w:t>
      </w:r>
      <w:r w:rsidR="001B5269" w:rsidRPr="00D6525A">
        <w:rPr>
          <w:rFonts w:ascii="Times New Roman" w:hAnsi="Times New Roman" w:cs="Times New Roman"/>
          <w:sz w:val="24"/>
        </w:rPr>
        <w:t>. Hooven FH, Adachi JD, Adami S, Boonen S, Compston J, Cooper C, Delmas P, Diez-Perez A, Gehlbach S, Greenspan SL (2009) The Global Longitudinal Study of Osteoporosis in Women (GLOW): rationale an</w:t>
      </w:r>
      <w:r w:rsidR="004066AB" w:rsidRPr="00D6525A">
        <w:rPr>
          <w:rFonts w:ascii="Times New Roman" w:hAnsi="Times New Roman" w:cs="Times New Roman"/>
          <w:sz w:val="24"/>
        </w:rPr>
        <w:t>d study design. Osteoporos. Int</w:t>
      </w:r>
      <w:r w:rsidR="001B5269" w:rsidRPr="00D6525A">
        <w:rPr>
          <w:rFonts w:ascii="Times New Roman" w:hAnsi="Times New Roman" w:cs="Times New Roman"/>
          <w:sz w:val="24"/>
        </w:rPr>
        <w:t xml:space="preserve"> 20:1107-1116</w:t>
      </w:r>
    </w:p>
    <w:p w14:paraId="5CCFEB7B" w14:textId="27EA4C6E" w:rsidR="001B5269" w:rsidRPr="00D6525A" w:rsidRDefault="00DC1B05"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10</w:t>
      </w:r>
      <w:r w:rsidR="001B5269" w:rsidRPr="00D6525A">
        <w:rPr>
          <w:rFonts w:ascii="Times New Roman" w:hAnsi="Times New Roman" w:cs="Times New Roman"/>
          <w:sz w:val="24"/>
        </w:rPr>
        <w:t xml:space="preserve">.Boutroy S, Bouxsein ML, Munoz F, Delmas PD (2005) In vivo assessment of trabecular bone microarchitecture by high-resolution peripheral quantitative computed tomography. </w:t>
      </w:r>
      <w:r w:rsidR="008A342F" w:rsidRPr="00D6525A">
        <w:rPr>
          <w:rFonts w:ascii="Times New Roman" w:hAnsi="Times New Roman" w:cs="Times New Roman"/>
          <w:sz w:val="24"/>
        </w:rPr>
        <w:t>J Clin Endocrinol Metab</w:t>
      </w:r>
      <w:r w:rsidR="008A342F" w:rsidRPr="00D6525A" w:rsidDel="008A342F">
        <w:rPr>
          <w:rFonts w:ascii="Times New Roman" w:hAnsi="Times New Roman" w:cs="Times New Roman"/>
          <w:sz w:val="24"/>
        </w:rPr>
        <w:t xml:space="preserve"> </w:t>
      </w:r>
      <w:r w:rsidR="001B5269" w:rsidRPr="00D6525A">
        <w:rPr>
          <w:rFonts w:ascii="Times New Roman" w:hAnsi="Times New Roman" w:cs="Times New Roman"/>
          <w:sz w:val="24"/>
        </w:rPr>
        <w:t xml:space="preserve"> 90:6508-6515</w:t>
      </w:r>
    </w:p>
    <w:p w14:paraId="1C13C90D" w14:textId="549CF5FB" w:rsidR="00A56121" w:rsidRDefault="00DC1B05"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11</w:t>
      </w:r>
      <w:r w:rsidR="00A56121" w:rsidRPr="00D6525A">
        <w:rPr>
          <w:rFonts w:ascii="Times New Roman" w:hAnsi="Times New Roman" w:cs="Times New Roman"/>
          <w:sz w:val="24"/>
        </w:rPr>
        <w:t xml:space="preserve">. Burghardt AJ, Kazakia GJ, Ramachandran S, Link TM, Majumdar S (2010) Age- and gender-related differences in the geometric properties and biomechanical significance of intracortical porosity in the distal radius and tibia. </w:t>
      </w:r>
      <w:r w:rsidR="008A342F" w:rsidRPr="00D6525A">
        <w:rPr>
          <w:rFonts w:ascii="Times New Roman" w:hAnsi="Times New Roman" w:cs="Times New Roman"/>
          <w:sz w:val="24"/>
        </w:rPr>
        <w:t>JBMR</w:t>
      </w:r>
      <w:r w:rsidR="00A56121" w:rsidRPr="00D6525A">
        <w:rPr>
          <w:rFonts w:ascii="Times New Roman" w:hAnsi="Times New Roman" w:cs="Times New Roman"/>
          <w:sz w:val="24"/>
        </w:rPr>
        <w:t xml:space="preserve"> 25:983-993</w:t>
      </w:r>
    </w:p>
    <w:p w14:paraId="2DF0F223" w14:textId="249578D9" w:rsidR="006B1AB2" w:rsidRPr="006B1AB2" w:rsidRDefault="00DC1B05" w:rsidP="006B1AB2">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12</w:t>
      </w:r>
      <w:r w:rsidR="006B1AB2">
        <w:rPr>
          <w:rFonts w:ascii="Times New Roman" w:hAnsi="Times New Roman" w:cs="Times New Roman"/>
          <w:sz w:val="24"/>
        </w:rPr>
        <w:t xml:space="preserve">. </w:t>
      </w:r>
      <w:r w:rsidR="006B1AB2" w:rsidRPr="006B1AB2">
        <w:rPr>
          <w:rFonts w:ascii="Times New Roman" w:hAnsi="Times New Roman" w:cs="Times New Roman"/>
          <w:sz w:val="24"/>
        </w:rPr>
        <w:t>SPSS Inc (2001) The SPSS TwoStep Cluster Component: A scalable component</w:t>
      </w:r>
    </w:p>
    <w:p w14:paraId="0F86069A" w14:textId="77777777" w:rsidR="006B1AB2" w:rsidRPr="006B1AB2" w:rsidRDefault="006B1AB2" w:rsidP="006B1AB2">
      <w:pPr>
        <w:pStyle w:val="EndNoteBibliography"/>
        <w:spacing w:after="0" w:line="360" w:lineRule="auto"/>
        <w:jc w:val="both"/>
        <w:rPr>
          <w:rFonts w:ascii="Times New Roman" w:hAnsi="Times New Roman" w:cs="Times New Roman"/>
          <w:sz w:val="24"/>
        </w:rPr>
      </w:pPr>
      <w:r w:rsidRPr="006B1AB2">
        <w:rPr>
          <w:rFonts w:ascii="Times New Roman" w:hAnsi="Times New Roman" w:cs="Times New Roman"/>
          <w:sz w:val="24"/>
        </w:rPr>
        <w:t>enabling more efficient customer segmentation. Technical report. SPSS, Chicago, IL.</w:t>
      </w:r>
    </w:p>
    <w:p w14:paraId="23B80C47" w14:textId="77777777" w:rsidR="006B1AB2" w:rsidRPr="006B1AB2" w:rsidRDefault="006B1AB2" w:rsidP="006B1AB2">
      <w:pPr>
        <w:pStyle w:val="EndNoteBibliography"/>
        <w:spacing w:after="0" w:line="360" w:lineRule="auto"/>
        <w:jc w:val="both"/>
        <w:rPr>
          <w:rFonts w:ascii="Times New Roman" w:hAnsi="Times New Roman" w:cs="Times New Roman"/>
          <w:sz w:val="24"/>
        </w:rPr>
      </w:pPr>
      <w:r w:rsidRPr="006B1AB2">
        <w:rPr>
          <w:rFonts w:ascii="Times New Roman" w:hAnsi="Times New Roman" w:cs="Times New Roman"/>
          <w:sz w:val="24"/>
        </w:rPr>
        <w:t>Cited 18/09/2019. Available from</w:t>
      </w:r>
    </w:p>
    <w:p w14:paraId="66BBBA76" w14:textId="77777777" w:rsidR="006B1AB2" w:rsidRPr="006B1AB2" w:rsidRDefault="006B1AB2" w:rsidP="006B1AB2">
      <w:pPr>
        <w:pStyle w:val="EndNoteBibliography"/>
        <w:spacing w:after="0" w:line="360" w:lineRule="auto"/>
        <w:jc w:val="both"/>
        <w:rPr>
          <w:rFonts w:ascii="Times New Roman" w:hAnsi="Times New Roman" w:cs="Times New Roman"/>
          <w:sz w:val="24"/>
        </w:rPr>
      </w:pPr>
      <w:r w:rsidRPr="006B1AB2">
        <w:rPr>
          <w:rFonts w:ascii="Times New Roman" w:hAnsi="Times New Roman" w:cs="Times New Roman"/>
          <w:sz w:val="24"/>
        </w:rPr>
        <w:t>https://www.spss.ch/upload/1122644952_The%20SPSS%20TwoStep%20Cluster%2</w:t>
      </w:r>
    </w:p>
    <w:p w14:paraId="5FC544E5" w14:textId="2F7E87F8" w:rsidR="006B1AB2" w:rsidRDefault="006B1AB2" w:rsidP="00D6525A">
      <w:pPr>
        <w:pStyle w:val="EndNoteBibliography"/>
        <w:spacing w:after="0" w:line="360" w:lineRule="auto"/>
        <w:jc w:val="both"/>
        <w:rPr>
          <w:rFonts w:ascii="Times New Roman" w:hAnsi="Times New Roman" w:cs="Times New Roman"/>
          <w:sz w:val="24"/>
        </w:rPr>
      </w:pPr>
      <w:r w:rsidRPr="006B1AB2">
        <w:rPr>
          <w:rFonts w:ascii="Times New Roman" w:hAnsi="Times New Roman" w:cs="Times New Roman"/>
          <w:sz w:val="24"/>
        </w:rPr>
        <w:t>0Component.pdf</w:t>
      </w:r>
    </w:p>
    <w:p w14:paraId="24330F76" w14:textId="68C5B095" w:rsidR="00D22C40" w:rsidRPr="00D6525A" w:rsidRDefault="00D22C40"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 xml:space="preserve">13. </w:t>
      </w:r>
      <w:r w:rsidRPr="00D22C40">
        <w:rPr>
          <w:rFonts w:ascii="Times New Roman" w:hAnsi="Times New Roman" w:cs="Times New Roman"/>
          <w:sz w:val="24"/>
        </w:rPr>
        <w:t>Marshall D, Johnell O, Wedel H</w:t>
      </w:r>
      <w:r w:rsidR="00B84347">
        <w:rPr>
          <w:rFonts w:ascii="Times New Roman" w:hAnsi="Times New Roman" w:cs="Times New Roman"/>
          <w:sz w:val="24"/>
        </w:rPr>
        <w:t xml:space="preserve"> (1996)</w:t>
      </w:r>
      <w:r w:rsidRPr="00D22C40">
        <w:rPr>
          <w:rFonts w:ascii="Times New Roman" w:hAnsi="Times New Roman" w:cs="Times New Roman"/>
          <w:sz w:val="24"/>
        </w:rPr>
        <w:t xml:space="preserve"> Meta-analysis of how well measures of bone mineral density predict occurrence of osteoporotic fractures BMJ 312 :1254</w:t>
      </w:r>
    </w:p>
    <w:p w14:paraId="670729C4" w14:textId="504CC462" w:rsidR="009A6EA3" w:rsidRPr="00D6525A" w:rsidRDefault="00DC1B05"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1</w:t>
      </w:r>
      <w:r w:rsidR="00B84347">
        <w:rPr>
          <w:rFonts w:ascii="Times New Roman" w:hAnsi="Times New Roman" w:cs="Times New Roman"/>
          <w:sz w:val="24"/>
        </w:rPr>
        <w:t>4</w:t>
      </w:r>
      <w:r w:rsidR="009A6EA3" w:rsidRPr="00D6525A">
        <w:rPr>
          <w:rFonts w:ascii="Times New Roman" w:hAnsi="Times New Roman" w:cs="Times New Roman"/>
          <w:sz w:val="24"/>
        </w:rPr>
        <w:t xml:space="preserve">. Rothmann MJ, Ammentorp J, Bech M, Gram J, Rasmussen OW, Barkmann R, Gluer CC, Hermann AP (2015) Self-perceived facture risk: factors underlying women's perception of risk for osteoporotic fractures: the Risk-Stratified Osteoporosis Strategy Evaluation study (ROSE). Osteoporosis </w:t>
      </w:r>
      <w:r w:rsidR="00F81C26" w:rsidRPr="00D6525A">
        <w:rPr>
          <w:rFonts w:ascii="Times New Roman" w:hAnsi="Times New Roman" w:cs="Times New Roman"/>
          <w:sz w:val="24"/>
        </w:rPr>
        <w:t>Int</w:t>
      </w:r>
      <w:r w:rsidR="009A6EA3" w:rsidRPr="00D6525A">
        <w:rPr>
          <w:rFonts w:ascii="Times New Roman" w:hAnsi="Times New Roman" w:cs="Times New Roman"/>
          <w:sz w:val="24"/>
        </w:rPr>
        <w:t xml:space="preserve"> 26:689-697</w:t>
      </w:r>
    </w:p>
    <w:p w14:paraId="54C10027" w14:textId="7E4EF6A7" w:rsidR="009A6EA3" w:rsidRPr="00D6525A" w:rsidRDefault="00DC1B05" w:rsidP="00D6525A">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1</w:t>
      </w:r>
      <w:r w:rsidR="00B84347">
        <w:rPr>
          <w:rFonts w:ascii="Times New Roman" w:hAnsi="Times New Roman" w:cs="Times New Roman"/>
          <w:sz w:val="24"/>
        </w:rPr>
        <w:t>5</w:t>
      </w:r>
      <w:r w:rsidR="009A6EA3" w:rsidRPr="00D6525A">
        <w:rPr>
          <w:rFonts w:ascii="Times New Roman" w:hAnsi="Times New Roman" w:cs="Times New Roman"/>
          <w:sz w:val="24"/>
        </w:rPr>
        <w:t xml:space="preserve">. Siris ES, Gehlbach S, Adachi JD, et al. (2011) Failure to perceive increased risk of fracture in women 55 years and older: the Global Longitudinal Study of Osteoporosis in Women (GLOW). Osteoporosis </w:t>
      </w:r>
      <w:r w:rsidR="00F81C26" w:rsidRPr="00D6525A">
        <w:rPr>
          <w:rFonts w:ascii="Times New Roman" w:hAnsi="Times New Roman" w:cs="Times New Roman"/>
          <w:sz w:val="24"/>
        </w:rPr>
        <w:t xml:space="preserve">Int </w:t>
      </w:r>
      <w:r w:rsidR="009A6EA3" w:rsidRPr="00D6525A">
        <w:rPr>
          <w:rFonts w:ascii="Times New Roman" w:hAnsi="Times New Roman" w:cs="Times New Roman"/>
          <w:sz w:val="24"/>
        </w:rPr>
        <w:t xml:space="preserve"> 22:27-35</w:t>
      </w:r>
    </w:p>
    <w:p w14:paraId="64C56418" w14:textId="4412D0DD" w:rsidR="0001466B" w:rsidRPr="00D6525A" w:rsidRDefault="009A6EA3" w:rsidP="00D6525A">
      <w:pPr>
        <w:pStyle w:val="EndNoteBibliography"/>
        <w:spacing w:after="0" w:line="360" w:lineRule="auto"/>
        <w:jc w:val="both"/>
        <w:rPr>
          <w:rFonts w:ascii="Times New Roman" w:hAnsi="Times New Roman" w:cs="Times New Roman"/>
          <w:color w:val="303030"/>
          <w:sz w:val="24"/>
          <w:shd w:val="clear" w:color="auto" w:fill="FFFFFF"/>
        </w:rPr>
      </w:pPr>
      <w:r w:rsidRPr="00D6525A">
        <w:rPr>
          <w:rFonts w:ascii="Times New Roman" w:hAnsi="Times New Roman" w:cs="Times New Roman"/>
          <w:sz w:val="24"/>
        </w:rPr>
        <w:t xml:space="preserve"> </w:t>
      </w:r>
      <w:r w:rsidR="00AB5268" w:rsidRPr="00D6525A">
        <w:rPr>
          <w:rFonts w:ascii="Times New Roman" w:hAnsi="Times New Roman" w:cs="Times New Roman"/>
          <w:sz w:val="24"/>
        </w:rPr>
        <w:t>1</w:t>
      </w:r>
      <w:r w:rsidR="00B84347">
        <w:rPr>
          <w:rFonts w:ascii="Times New Roman" w:hAnsi="Times New Roman" w:cs="Times New Roman"/>
          <w:sz w:val="24"/>
        </w:rPr>
        <w:t>6</w:t>
      </w:r>
      <w:r w:rsidR="0001466B" w:rsidRPr="00D6525A">
        <w:rPr>
          <w:rFonts w:ascii="Times New Roman" w:hAnsi="Times New Roman" w:cs="Times New Roman"/>
          <w:sz w:val="24"/>
        </w:rPr>
        <w:t xml:space="preserve">. </w:t>
      </w:r>
      <w:r w:rsidR="00797172" w:rsidRPr="00D6525A">
        <w:rPr>
          <w:rFonts w:ascii="Times New Roman" w:hAnsi="Times New Roman" w:cs="Times New Roman"/>
          <w:sz w:val="24"/>
        </w:rPr>
        <w:t>Edwards, M. H., Robinson, D. E., Ward, K. A., Javaid, M. K., Walker-Bone, K., Cooper, C., &amp; Dennison, E. M. (2016). Cluster analysis of bone microarchitecture from high resolution peripheral quantitative computed tomography demonstrates two separate phenotypes associated with high fracture risk in men and women. Bone, 88, 131-137</w:t>
      </w:r>
    </w:p>
    <w:p w14:paraId="7D881101" w14:textId="20E38B0C" w:rsidR="000A29A3" w:rsidRDefault="00AB5268" w:rsidP="00D6525A">
      <w:pPr>
        <w:pStyle w:val="EndNoteBibliography"/>
        <w:spacing w:after="0" w:line="360" w:lineRule="auto"/>
        <w:jc w:val="both"/>
        <w:rPr>
          <w:rFonts w:ascii="Times New Roman" w:hAnsi="Times New Roman" w:cs="Times New Roman"/>
          <w:color w:val="303030"/>
          <w:sz w:val="24"/>
          <w:shd w:val="clear" w:color="auto" w:fill="FFFFFF"/>
        </w:rPr>
      </w:pPr>
      <w:r w:rsidRPr="00D6525A">
        <w:rPr>
          <w:rFonts w:ascii="Times New Roman" w:hAnsi="Times New Roman" w:cs="Times New Roman"/>
          <w:color w:val="303030"/>
          <w:sz w:val="24"/>
          <w:shd w:val="clear" w:color="auto" w:fill="FFFFFF"/>
        </w:rPr>
        <w:t>1</w:t>
      </w:r>
      <w:r w:rsidR="00B84347">
        <w:rPr>
          <w:rFonts w:ascii="Times New Roman" w:hAnsi="Times New Roman" w:cs="Times New Roman"/>
          <w:color w:val="303030"/>
          <w:sz w:val="24"/>
          <w:shd w:val="clear" w:color="auto" w:fill="FFFFFF"/>
        </w:rPr>
        <w:t>7</w:t>
      </w:r>
      <w:r w:rsidR="0001466B" w:rsidRPr="00D6525A">
        <w:rPr>
          <w:rFonts w:ascii="Times New Roman" w:hAnsi="Times New Roman" w:cs="Times New Roman"/>
          <w:color w:val="303030"/>
          <w:sz w:val="24"/>
          <w:shd w:val="clear" w:color="auto" w:fill="FFFFFF"/>
        </w:rPr>
        <w:t xml:space="preserve">. </w:t>
      </w:r>
      <w:r w:rsidR="00797172" w:rsidRPr="00D6525A">
        <w:rPr>
          <w:rFonts w:ascii="Times New Roman" w:hAnsi="Times New Roman" w:cs="Times New Roman"/>
          <w:color w:val="303030"/>
          <w:sz w:val="24"/>
          <w:shd w:val="clear" w:color="auto" w:fill="FFFFFF"/>
        </w:rPr>
        <w:t>Litwic, A. E., Westbury, L. D., Robinson, D. E., Ward, K. A., Cooper, C., &amp; Dennison, E. M. (2017). Bone Phenotype Assessed by HRpQCT and Associations with Fracture Risk in the GLOW Study. </w:t>
      </w:r>
      <w:r w:rsidR="00797172" w:rsidRPr="00524C16">
        <w:rPr>
          <w:rFonts w:ascii="Times New Roman" w:hAnsi="Times New Roman" w:cs="Times New Roman"/>
          <w:color w:val="303030"/>
          <w:sz w:val="24"/>
          <w:shd w:val="clear" w:color="auto" w:fill="FFFFFF"/>
        </w:rPr>
        <w:t>Calcif Tissue Int</w:t>
      </w:r>
      <w:r w:rsidR="00797172" w:rsidRPr="00D6525A">
        <w:rPr>
          <w:rFonts w:ascii="Times New Roman" w:hAnsi="Times New Roman" w:cs="Times New Roman"/>
          <w:color w:val="303030"/>
          <w:sz w:val="24"/>
          <w:shd w:val="clear" w:color="auto" w:fill="FFFFFF"/>
        </w:rPr>
        <w:t> </w:t>
      </w:r>
      <w:r w:rsidR="00797172" w:rsidRPr="00D6525A">
        <w:rPr>
          <w:rFonts w:ascii="Times New Roman" w:hAnsi="Times New Roman" w:cs="Times New Roman"/>
          <w:i/>
          <w:iCs/>
          <w:color w:val="303030"/>
          <w:sz w:val="24"/>
          <w:shd w:val="clear" w:color="auto" w:fill="FFFFFF"/>
        </w:rPr>
        <w:t>102</w:t>
      </w:r>
      <w:r w:rsidR="00797172" w:rsidRPr="00D6525A">
        <w:rPr>
          <w:rFonts w:ascii="Times New Roman" w:hAnsi="Times New Roman" w:cs="Times New Roman"/>
          <w:color w:val="303030"/>
          <w:sz w:val="24"/>
          <w:shd w:val="clear" w:color="auto" w:fill="FFFFFF"/>
        </w:rPr>
        <w:t>(1), 14-22</w:t>
      </w:r>
    </w:p>
    <w:p w14:paraId="76C472D1" w14:textId="1359C9F4" w:rsidR="00FC6F82" w:rsidRPr="000D3930" w:rsidRDefault="00830A58" w:rsidP="000D3930">
      <w:pPr>
        <w:pStyle w:val="EndNoteBibliography"/>
        <w:spacing w:after="0" w:line="360" w:lineRule="auto"/>
        <w:jc w:val="both"/>
        <w:rPr>
          <w:rFonts w:ascii="Times New Roman" w:hAnsi="Times New Roman" w:cs="Times New Roman"/>
          <w:sz w:val="24"/>
        </w:rPr>
      </w:pPr>
      <w:r>
        <w:rPr>
          <w:rFonts w:ascii="Times New Roman" w:hAnsi="Times New Roman" w:cs="Times New Roman"/>
          <w:sz w:val="24"/>
        </w:rPr>
        <w:t>1</w:t>
      </w:r>
      <w:r w:rsidR="00B84347">
        <w:rPr>
          <w:rFonts w:ascii="Times New Roman" w:hAnsi="Times New Roman" w:cs="Times New Roman"/>
          <w:sz w:val="24"/>
        </w:rPr>
        <w:t>8</w:t>
      </w:r>
      <w:r w:rsidR="00524C16" w:rsidRPr="00D6525A">
        <w:rPr>
          <w:rFonts w:ascii="Times New Roman" w:hAnsi="Times New Roman" w:cs="Times New Roman"/>
          <w:sz w:val="24"/>
        </w:rPr>
        <w:t xml:space="preserve">. Samelson EJ, Broe KE, Xu H et al. (2019) Cortical and trabecular bone microarchitecture as an independent predictor of incident fracture risk in older women and men in the Bone Microarchitecture International Consortium (BoMIC): a prospective study. Lancet Diabetes Endocrinol. 7, 34–43 </w:t>
      </w:r>
      <w:r w:rsidR="00880D6D">
        <w:rPr>
          <w:rFonts w:ascii="Times New Roman" w:hAnsi="Times New Roman"/>
          <w:sz w:val="24"/>
        </w:rPr>
        <w:br w:type="page"/>
      </w:r>
    </w:p>
    <w:p w14:paraId="39F4E391" w14:textId="5F02A204" w:rsidR="003B7BEE" w:rsidRDefault="003B7BEE" w:rsidP="003B7BEE">
      <w:pPr>
        <w:spacing w:after="160" w:line="259" w:lineRule="auto"/>
        <w:rPr>
          <w:rFonts w:ascii="Times New Roman" w:hAnsi="Times New Roman"/>
          <w:b/>
          <w:szCs w:val="22"/>
        </w:rPr>
      </w:pPr>
      <w:r w:rsidRPr="00061304">
        <w:rPr>
          <w:rFonts w:ascii="Times New Roman" w:hAnsi="Times New Roman"/>
          <w:b/>
          <w:szCs w:val="22"/>
        </w:rPr>
        <w:t xml:space="preserve">Figure 1: Flow diagram </w:t>
      </w:r>
      <w:r w:rsidR="00041223">
        <w:rPr>
          <w:rFonts w:ascii="Times New Roman" w:hAnsi="Times New Roman"/>
          <w:b/>
          <w:szCs w:val="22"/>
        </w:rPr>
        <w:t>for the analytical samples of participants</w:t>
      </w:r>
    </w:p>
    <w:p w14:paraId="02CAF80A" w14:textId="4DFA49D3" w:rsidR="003B7BEE" w:rsidRPr="00061304" w:rsidRDefault="00570D80" w:rsidP="003B7BEE">
      <w:pPr>
        <w:spacing w:after="160" w:line="259" w:lineRule="auto"/>
        <w:rPr>
          <w:rFonts w:ascii="Times New Roman" w:hAnsi="Times New Roman"/>
          <w:b/>
          <w:szCs w:val="22"/>
        </w:rPr>
      </w:pPr>
      <w:r w:rsidRPr="00570D80">
        <w:rPr>
          <w:noProof/>
          <w:lang w:eastAsia="en-GB"/>
        </w:rPr>
        <mc:AlternateContent>
          <mc:Choice Requires="wpg">
            <w:drawing>
              <wp:anchor distT="0" distB="0" distL="114300" distR="114300" simplePos="0" relativeHeight="251658241" behindDoc="0" locked="0" layoutInCell="1" allowOverlap="1" wp14:anchorId="4BDB5313" wp14:editId="5C399A6E">
                <wp:simplePos x="0" y="0"/>
                <wp:positionH relativeFrom="column">
                  <wp:posOffset>-95416</wp:posOffset>
                </wp:positionH>
                <wp:positionV relativeFrom="paragraph">
                  <wp:posOffset>289588</wp:posOffset>
                </wp:positionV>
                <wp:extent cx="4987792" cy="6244757"/>
                <wp:effectExtent l="0" t="0" r="0" b="0"/>
                <wp:wrapNone/>
                <wp:docPr id="31" name="Group 30"/>
                <wp:cNvGraphicFramePr/>
                <a:graphic xmlns:a="http://schemas.openxmlformats.org/drawingml/2006/main">
                  <a:graphicData uri="http://schemas.microsoft.com/office/word/2010/wordprocessingGroup">
                    <wpg:wgp>
                      <wpg:cNvGrpSpPr/>
                      <wpg:grpSpPr>
                        <a:xfrm>
                          <a:off x="0" y="0"/>
                          <a:ext cx="4987792" cy="6244757"/>
                          <a:chOff x="0" y="0"/>
                          <a:chExt cx="4987792" cy="6244757"/>
                        </a:xfrm>
                      </wpg:grpSpPr>
                      <wpg:grpSp>
                        <wpg:cNvPr id="2" name="Group 2"/>
                        <wpg:cNvGrpSpPr/>
                        <wpg:grpSpPr>
                          <a:xfrm>
                            <a:off x="0" y="0"/>
                            <a:ext cx="4886410" cy="5360259"/>
                            <a:chOff x="0" y="0"/>
                            <a:chExt cx="4886410" cy="5360259"/>
                          </a:xfrm>
                        </wpg:grpSpPr>
                        <wps:wsp>
                          <wps:cNvPr id="4" name="TextBox 3"/>
                          <wps:cNvSpPr txBox="1"/>
                          <wps:spPr>
                            <a:xfrm>
                              <a:off x="1394796" y="34066"/>
                              <a:ext cx="1585595" cy="675640"/>
                            </a:xfrm>
                            <a:prstGeom prst="rect">
                              <a:avLst/>
                            </a:prstGeom>
                            <a:noFill/>
                            <a:ln>
                              <a:solidFill>
                                <a:schemeClr val="tx1"/>
                              </a:solidFill>
                            </a:ln>
                          </wps:spPr>
                          <wps:txbx>
                            <w:txbxContent>
                              <w:p w14:paraId="5A1C006A" w14:textId="77777777" w:rsidR="00891876" w:rsidRDefault="00891876" w:rsidP="00570D80">
                                <w:pPr>
                                  <w:pStyle w:val="NormalWeb"/>
                                  <w:spacing w:before="0" w:beforeAutospacing="0" w:after="0" w:afterAutospacing="0"/>
                                </w:pPr>
                                <w:r>
                                  <w:rPr>
                                    <w:b/>
                                    <w:bCs/>
                                    <w:color w:val="000000" w:themeColor="text1"/>
                                    <w:kern w:val="24"/>
                                    <w:sz w:val="20"/>
                                    <w:szCs w:val="20"/>
                                  </w:rPr>
                                  <w:t>Sample for examining SPR correlates</w:t>
                                </w:r>
                              </w:p>
                              <w:p w14:paraId="7F48C6E8" w14:textId="77777777" w:rsidR="00891876" w:rsidRDefault="00891876" w:rsidP="00570D80">
                                <w:pPr>
                                  <w:pStyle w:val="NormalWeb"/>
                                  <w:spacing w:before="0" w:beforeAutospacing="0" w:after="0" w:afterAutospacing="0"/>
                                </w:pPr>
                                <w:r>
                                  <w:rPr>
                                    <w:color w:val="000000" w:themeColor="text1"/>
                                    <w:kern w:val="24"/>
                                    <w:sz w:val="20"/>
                                    <w:szCs w:val="20"/>
                                  </w:rPr>
                                  <w:t xml:space="preserve">Participants with data on SPR </w:t>
                                </w:r>
                                <w:r>
                                  <w:rPr>
                                    <w:i/>
                                    <w:iCs/>
                                    <w:color w:val="000000" w:themeColor="text1"/>
                                    <w:kern w:val="24"/>
                                    <w:sz w:val="20"/>
                                    <w:szCs w:val="20"/>
                                  </w:rPr>
                                  <w:t>(n=3912)</w:t>
                                </w:r>
                              </w:p>
                            </w:txbxContent>
                          </wps:txbx>
                          <wps:bodyPr wrap="square" rtlCol="0">
                            <a:spAutoFit/>
                          </wps:bodyPr>
                        </wps:wsp>
                        <wps:wsp>
                          <wps:cNvPr id="5" name="TextBox 4"/>
                          <wps:cNvSpPr txBox="1"/>
                          <wps:spPr>
                            <a:xfrm>
                              <a:off x="3276050" y="0"/>
                              <a:ext cx="1610360" cy="967740"/>
                            </a:xfrm>
                            <a:prstGeom prst="rect">
                              <a:avLst/>
                            </a:prstGeom>
                            <a:noFill/>
                            <a:ln>
                              <a:solidFill>
                                <a:schemeClr val="tx1"/>
                              </a:solidFill>
                            </a:ln>
                          </wps:spPr>
                          <wps:txbx>
                            <w:txbxContent>
                              <w:p w14:paraId="2603C1C5" w14:textId="77777777" w:rsidR="00891876" w:rsidRDefault="00891876" w:rsidP="00570D80">
                                <w:pPr>
                                  <w:pStyle w:val="NormalWeb"/>
                                  <w:spacing w:before="0" w:beforeAutospacing="0" w:after="0" w:afterAutospacing="0"/>
                                </w:pPr>
                                <w:r>
                                  <w:rPr>
                                    <w:b/>
                                    <w:bCs/>
                                    <w:color w:val="000000" w:themeColor="text1"/>
                                    <w:kern w:val="24"/>
                                    <w:sz w:val="20"/>
                                    <w:szCs w:val="20"/>
                                  </w:rPr>
                                  <w:t>Cluster analysis sample</w:t>
                                </w:r>
                              </w:p>
                              <w:p w14:paraId="792D7668" w14:textId="77777777" w:rsidR="00891876" w:rsidRDefault="00891876" w:rsidP="00570D80">
                                <w:pPr>
                                  <w:pStyle w:val="NormalWeb"/>
                                  <w:spacing w:before="0" w:beforeAutospacing="0" w:after="0" w:afterAutospacing="0"/>
                                </w:pPr>
                                <w:r>
                                  <w:rPr>
                                    <w:color w:val="000000" w:themeColor="text1"/>
                                    <w:kern w:val="24"/>
                                    <w:sz w:val="20"/>
                                    <w:szCs w:val="20"/>
                                  </w:rPr>
                                  <w:t>Complete baseline data on SPR and participant characteristics included in the cluster analysis</w:t>
                                </w:r>
                              </w:p>
                              <w:p w14:paraId="60247DCC" w14:textId="77777777" w:rsidR="00891876" w:rsidRDefault="00891876" w:rsidP="00570D80">
                                <w:pPr>
                                  <w:pStyle w:val="NormalWeb"/>
                                  <w:spacing w:before="0" w:beforeAutospacing="0" w:after="0" w:afterAutospacing="0"/>
                                </w:pPr>
                                <w:r>
                                  <w:rPr>
                                    <w:i/>
                                    <w:iCs/>
                                    <w:color w:val="000000" w:themeColor="text1"/>
                                    <w:kern w:val="24"/>
                                    <w:sz w:val="20"/>
                                    <w:szCs w:val="20"/>
                                  </w:rPr>
                                  <w:t>(n=2582)</w:t>
                                </w:r>
                              </w:p>
                            </w:txbxContent>
                          </wps:txbx>
                          <wps:bodyPr wrap="square" rtlCol="0">
                            <a:spAutoFit/>
                          </wps:bodyPr>
                        </wps:wsp>
                        <wps:wsp>
                          <wps:cNvPr id="6" name="Straight Arrow Connector 6"/>
                          <wps:cNvCnPr>
                            <a:stCxn id="4" idx="3"/>
                          </wps:cNvCnPr>
                          <wps:spPr>
                            <a:xfrm flipV="1">
                              <a:off x="2981023" y="370870"/>
                              <a:ext cx="295422" cy="171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TextBox 11"/>
                          <wps:cNvSpPr txBox="1"/>
                          <wps:spPr>
                            <a:xfrm>
                              <a:off x="1880874" y="3410758"/>
                              <a:ext cx="1871980" cy="1873250"/>
                            </a:xfrm>
                            <a:prstGeom prst="rect">
                              <a:avLst/>
                            </a:prstGeom>
                            <a:noFill/>
                            <a:ln>
                              <a:solidFill>
                                <a:schemeClr val="tx1"/>
                              </a:solidFill>
                            </a:ln>
                          </wps:spPr>
                          <wps:txbx>
                            <w:txbxContent>
                              <w:p w14:paraId="72FAEB6D" w14:textId="1E6F7374" w:rsidR="00891876" w:rsidRDefault="00891876" w:rsidP="00570D80">
                                <w:pPr>
                                  <w:pStyle w:val="NormalWeb"/>
                                  <w:spacing w:before="0" w:beforeAutospacing="0" w:after="0" w:afterAutospacing="0"/>
                                </w:pPr>
                                <w:r>
                                  <w:rPr>
                                    <w:b/>
                                    <w:bCs/>
                                    <w:color w:val="000000" w:themeColor="text1"/>
                                    <w:kern w:val="24"/>
                                    <w:sz w:val="20"/>
                                    <w:szCs w:val="20"/>
                                  </w:rPr>
                                  <w:t>Sample for examining baseline SPR in relation to HRpQCT and DXA</w:t>
                                </w:r>
                                <w:r w:rsidR="0012207C">
                                  <w:rPr>
                                    <w:b/>
                                    <w:bCs/>
                                    <w:color w:val="000000" w:themeColor="text1"/>
                                    <w:kern w:val="24"/>
                                    <w:sz w:val="20"/>
                                    <w:szCs w:val="20"/>
                                  </w:rPr>
                                  <w:t xml:space="preserve"> parameters</w:t>
                                </w:r>
                              </w:p>
                              <w:p w14:paraId="1F269927"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at least one radial or tibial parameter </w:t>
                                </w:r>
                                <w:r>
                                  <w:rPr>
                                    <w:i/>
                                    <w:iCs/>
                                    <w:color w:val="000000" w:themeColor="text1"/>
                                    <w:kern w:val="24"/>
                                    <w:sz w:val="20"/>
                                    <w:szCs w:val="20"/>
                                  </w:rPr>
                                  <w:t>(n=492)</w:t>
                                </w:r>
                              </w:p>
                              <w:p w14:paraId="5F3A0334" w14:textId="77777777" w:rsidR="00891876" w:rsidRDefault="00891876" w:rsidP="00570D80">
                                <w:pPr>
                                  <w:pStyle w:val="NormalWeb"/>
                                  <w:spacing w:before="0" w:beforeAutospacing="0" w:after="0" w:afterAutospacing="0"/>
                                </w:pPr>
                              </w:p>
                              <w:p w14:paraId="26CE3E04" w14:textId="77777777" w:rsidR="00891876" w:rsidRDefault="00891876" w:rsidP="00570D80">
                                <w:pPr>
                                  <w:pStyle w:val="NormalWeb"/>
                                  <w:spacing w:before="0" w:beforeAutospacing="0" w:after="0" w:afterAutospacing="0"/>
                                </w:pPr>
                                <w:r>
                                  <w:rPr>
                                    <w:color w:val="000000" w:themeColor="text1"/>
                                    <w:kern w:val="24"/>
                                    <w:sz w:val="20"/>
                                    <w:szCs w:val="20"/>
                                  </w:rPr>
                                  <w:t xml:space="preserve">Number of observations for DXA aBMD parameters: </w:t>
                                </w:r>
                              </w:p>
                              <w:p w14:paraId="512DF8EB" w14:textId="77777777" w:rsidR="00891876" w:rsidRDefault="00891876" w:rsidP="00570D80">
                                <w:pPr>
                                  <w:pStyle w:val="NormalWeb"/>
                                  <w:spacing w:before="0" w:beforeAutospacing="0" w:after="0" w:afterAutospacing="0"/>
                                </w:pPr>
                                <w:r>
                                  <w:rPr>
                                    <w:color w:val="000000" w:themeColor="text1"/>
                                    <w:kern w:val="24"/>
                                    <w:sz w:val="20"/>
                                    <w:szCs w:val="20"/>
                                  </w:rPr>
                                  <w:t xml:space="preserve">Whole body total </w:t>
                                </w:r>
                                <w:r>
                                  <w:rPr>
                                    <w:i/>
                                    <w:iCs/>
                                    <w:color w:val="000000" w:themeColor="text1"/>
                                    <w:kern w:val="24"/>
                                    <w:sz w:val="20"/>
                                    <w:szCs w:val="20"/>
                                  </w:rPr>
                                  <w:t>(n=410)</w:t>
                                </w:r>
                              </w:p>
                              <w:p w14:paraId="6BB32490" w14:textId="77777777" w:rsidR="00891876" w:rsidRDefault="00891876" w:rsidP="00570D80">
                                <w:pPr>
                                  <w:pStyle w:val="NormalWeb"/>
                                  <w:spacing w:before="0" w:beforeAutospacing="0" w:after="0" w:afterAutospacing="0"/>
                                </w:pPr>
                                <w:r>
                                  <w:rPr>
                                    <w:color w:val="000000" w:themeColor="text1"/>
                                    <w:kern w:val="24"/>
                                    <w:sz w:val="20"/>
                                    <w:szCs w:val="20"/>
                                  </w:rPr>
                                  <w:t xml:space="preserve">Total hip </w:t>
                                </w:r>
                                <w:r>
                                  <w:rPr>
                                    <w:i/>
                                    <w:iCs/>
                                    <w:color w:val="000000" w:themeColor="text1"/>
                                    <w:kern w:val="24"/>
                                    <w:sz w:val="20"/>
                                    <w:szCs w:val="20"/>
                                  </w:rPr>
                                  <w:t>(n=464)</w:t>
                                </w:r>
                              </w:p>
                              <w:p w14:paraId="528E964E" w14:textId="77777777" w:rsidR="00891876" w:rsidRDefault="00891876" w:rsidP="00570D80">
                                <w:pPr>
                                  <w:pStyle w:val="NormalWeb"/>
                                  <w:spacing w:before="0" w:beforeAutospacing="0" w:after="0" w:afterAutospacing="0"/>
                                </w:pPr>
                                <w:r>
                                  <w:rPr>
                                    <w:color w:val="000000" w:themeColor="text1"/>
                                    <w:kern w:val="24"/>
                                    <w:sz w:val="20"/>
                                    <w:szCs w:val="20"/>
                                  </w:rPr>
                                  <w:t xml:space="preserve">Femoral neck </w:t>
                                </w:r>
                                <w:r>
                                  <w:rPr>
                                    <w:i/>
                                    <w:iCs/>
                                    <w:color w:val="000000" w:themeColor="text1"/>
                                    <w:kern w:val="24"/>
                                    <w:sz w:val="20"/>
                                    <w:szCs w:val="20"/>
                                  </w:rPr>
                                  <w:t>(n=457)</w:t>
                                </w:r>
                              </w:p>
                              <w:p w14:paraId="4329210D" w14:textId="7B02C7B3" w:rsidR="00891876" w:rsidRDefault="00891876" w:rsidP="00570D80">
                                <w:pPr>
                                  <w:pStyle w:val="NormalWeb"/>
                                  <w:spacing w:before="0" w:beforeAutospacing="0" w:after="0" w:afterAutospacing="0"/>
                                </w:pPr>
                                <w:r>
                                  <w:rPr>
                                    <w:color w:val="000000" w:themeColor="text1"/>
                                    <w:kern w:val="24"/>
                                    <w:sz w:val="20"/>
                                    <w:szCs w:val="20"/>
                                  </w:rPr>
                                  <w:t xml:space="preserve">Total lumbar spine </w:t>
                                </w:r>
                                <w:r w:rsidR="00DD7EA2">
                                  <w:rPr>
                                    <w:i/>
                                    <w:iCs/>
                                    <w:color w:val="000000" w:themeColor="text1"/>
                                    <w:kern w:val="24"/>
                                    <w:sz w:val="20"/>
                                    <w:szCs w:val="20"/>
                                  </w:rPr>
                                  <w:t>(n=471</w:t>
                                </w:r>
                                <w:r>
                                  <w:rPr>
                                    <w:i/>
                                    <w:iCs/>
                                    <w:color w:val="000000" w:themeColor="text1"/>
                                    <w:kern w:val="24"/>
                                    <w:sz w:val="20"/>
                                    <w:szCs w:val="20"/>
                                  </w:rPr>
                                  <w:t>)</w:t>
                                </w:r>
                              </w:p>
                            </w:txbxContent>
                          </wps:txbx>
                          <wps:bodyPr wrap="square" rtlCol="0">
                            <a:spAutoFit/>
                          </wps:bodyPr>
                        </wps:wsp>
                        <wps:wsp>
                          <wps:cNvPr id="8" name="Straight Arrow Connector 8"/>
                          <wps:cNvCnPr>
                            <a:stCxn id="9" idx="2"/>
                            <a:endCxn id="7" idx="0"/>
                          </wps:cNvCnPr>
                          <wps:spPr>
                            <a:xfrm>
                              <a:off x="2027413" y="3161608"/>
                              <a:ext cx="789627" cy="2492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TextBox 18"/>
                          <wps:cNvSpPr txBox="1"/>
                          <wps:spPr>
                            <a:xfrm>
                              <a:off x="1412415" y="1259148"/>
                              <a:ext cx="1229995" cy="1902460"/>
                            </a:xfrm>
                            <a:prstGeom prst="rect">
                              <a:avLst/>
                            </a:prstGeom>
                            <a:noFill/>
                            <a:ln>
                              <a:solidFill>
                                <a:schemeClr val="tx1"/>
                              </a:solidFill>
                            </a:ln>
                          </wps:spPr>
                          <wps:txbx>
                            <w:txbxContent>
                              <w:p w14:paraId="1BE5CD16"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at least one radial HRpQCT parameter </w:t>
                                </w:r>
                                <w:r>
                                  <w:rPr>
                                    <w:i/>
                                    <w:iCs/>
                                    <w:color w:val="000000" w:themeColor="text1"/>
                                    <w:kern w:val="24"/>
                                    <w:sz w:val="20"/>
                                    <w:szCs w:val="20"/>
                                  </w:rPr>
                                  <w:t>(n=384)</w:t>
                                </w:r>
                              </w:p>
                              <w:p w14:paraId="3239940E" w14:textId="77777777" w:rsidR="00891876" w:rsidRDefault="00891876" w:rsidP="00570D80">
                                <w:pPr>
                                  <w:pStyle w:val="NormalWeb"/>
                                  <w:spacing w:before="0" w:beforeAutospacing="0" w:after="0" w:afterAutospacing="0"/>
                                </w:pPr>
                              </w:p>
                              <w:p w14:paraId="59F984E8"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all radial parameters </w:t>
                                </w:r>
                                <w:r>
                                  <w:rPr>
                                    <w:i/>
                                    <w:iCs/>
                                    <w:color w:val="000000" w:themeColor="text1"/>
                                    <w:kern w:val="24"/>
                                    <w:sz w:val="20"/>
                                    <w:szCs w:val="20"/>
                                  </w:rPr>
                                  <w:t>(n=375)</w:t>
                                </w:r>
                              </w:p>
                              <w:p w14:paraId="65F1BBB8" w14:textId="77777777" w:rsidR="00891876" w:rsidRDefault="00891876" w:rsidP="00570D80">
                                <w:pPr>
                                  <w:pStyle w:val="NormalWeb"/>
                                  <w:spacing w:before="0" w:beforeAutospacing="0" w:after="0" w:afterAutospacing="0"/>
                                </w:pPr>
                              </w:p>
                              <w:p w14:paraId="546C8FCC" w14:textId="3C337DD7" w:rsidR="00891876" w:rsidRDefault="00891876" w:rsidP="00570D80">
                                <w:pPr>
                                  <w:pStyle w:val="NormalWeb"/>
                                  <w:spacing w:before="0" w:beforeAutospacing="0" w:after="0" w:afterAutospacing="0"/>
                                </w:pPr>
                                <w:r>
                                  <w:rPr>
                                    <w:color w:val="000000" w:themeColor="text1"/>
                                    <w:kern w:val="24"/>
                                    <w:sz w:val="20"/>
                                    <w:szCs w:val="20"/>
                                  </w:rPr>
                                  <w:t xml:space="preserve">Excluded from radial analysis due to problems with scans or poor scan quality </w:t>
                                </w:r>
                                <w:r>
                                  <w:rPr>
                                    <w:i/>
                                    <w:iCs/>
                                    <w:color w:val="000000" w:themeColor="text1"/>
                                    <w:kern w:val="24"/>
                                    <w:sz w:val="20"/>
                                    <w:szCs w:val="20"/>
                                  </w:rPr>
                                  <w:t>(n=10</w:t>
                                </w:r>
                                <w:r w:rsidR="0012207C">
                                  <w:rPr>
                                    <w:i/>
                                    <w:iCs/>
                                    <w:color w:val="000000" w:themeColor="text1"/>
                                    <w:kern w:val="24"/>
                                    <w:sz w:val="20"/>
                                    <w:szCs w:val="20"/>
                                  </w:rPr>
                                  <w:t>3</w:t>
                                </w:r>
                                <w:r>
                                  <w:rPr>
                                    <w:i/>
                                    <w:iCs/>
                                    <w:color w:val="000000" w:themeColor="text1"/>
                                    <w:kern w:val="24"/>
                                    <w:sz w:val="20"/>
                                    <w:szCs w:val="20"/>
                                  </w:rPr>
                                  <w:t>)</w:t>
                                </w:r>
                              </w:p>
                            </w:txbxContent>
                          </wps:txbx>
                          <wps:bodyPr wrap="square" rtlCol="0">
                            <a:spAutoFit/>
                          </wps:bodyPr>
                        </wps:wsp>
                        <wps:wsp>
                          <wps:cNvPr id="10" name="TextBox 32"/>
                          <wps:cNvSpPr txBox="1"/>
                          <wps:spPr>
                            <a:xfrm>
                              <a:off x="0" y="437198"/>
                              <a:ext cx="1107440" cy="237490"/>
                            </a:xfrm>
                            <a:prstGeom prst="rect">
                              <a:avLst/>
                            </a:prstGeom>
                            <a:noFill/>
                            <a:ln>
                              <a:noFill/>
                            </a:ln>
                          </wps:spPr>
                          <wps:txbx>
                            <w:txbxContent>
                              <w:p w14:paraId="63D564F1" w14:textId="77777777" w:rsidR="00891876" w:rsidRDefault="00891876" w:rsidP="00570D80">
                                <w:pPr>
                                  <w:pStyle w:val="NormalWeb"/>
                                  <w:spacing w:before="0" w:beforeAutospacing="0" w:after="0" w:afterAutospacing="0"/>
                                </w:pPr>
                                <w:r>
                                  <w:rPr>
                                    <w:b/>
                                    <w:bCs/>
                                    <w:i/>
                                    <w:iCs/>
                                    <w:color w:val="000000" w:themeColor="text1"/>
                                    <w:kern w:val="24"/>
                                    <w:sz w:val="20"/>
                                    <w:szCs w:val="20"/>
                                  </w:rPr>
                                  <w:t>Baseline samples</w:t>
                                </w:r>
                              </w:p>
                            </w:txbxContent>
                          </wps:txbx>
                          <wps:bodyPr wrap="square" rtlCol="0">
                            <a:spAutoFit/>
                          </wps:bodyPr>
                        </wps:wsp>
                        <wps:wsp>
                          <wps:cNvPr id="11" name="TextBox 50"/>
                          <wps:cNvSpPr txBox="1"/>
                          <wps:spPr>
                            <a:xfrm>
                              <a:off x="2889004" y="1252116"/>
                              <a:ext cx="1209040" cy="1902460"/>
                            </a:xfrm>
                            <a:prstGeom prst="rect">
                              <a:avLst/>
                            </a:prstGeom>
                            <a:noFill/>
                            <a:ln>
                              <a:solidFill>
                                <a:schemeClr val="tx1"/>
                              </a:solidFill>
                            </a:ln>
                          </wps:spPr>
                          <wps:txbx>
                            <w:txbxContent>
                              <w:p w14:paraId="0C8E579B"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at least one tibial HRpQCT parameter </w:t>
                                </w:r>
                                <w:r>
                                  <w:rPr>
                                    <w:i/>
                                    <w:iCs/>
                                    <w:color w:val="000000" w:themeColor="text1"/>
                                    <w:kern w:val="24"/>
                                    <w:sz w:val="20"/>
                                    <w:szCs w:val="20"/>
                                  </w:rPr>
                                  <w:t>(n=477)</w:t>
                                </w:r>
                              </w:p>
                              <w:p w14:paraId="05BB6B7F" w14:textId="77777777" w:rsidR="00891876" w:rsidRDefault="00891876" w:rsidP="00570D80">
                                <w:pPr>
                                  <w:pStyle w:val="NormalWeb"/>
                                  <w:spacing w:before="0" w:beforeAutospacing="0" w:after="0" w:afterAutospacing="0"/>
                                </w:pPr>
                              </w:p>
                              <w:p w14:paraId="4BC397EB"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all tibial parameters </w:t>
                                </w:r>
                                <w:r>
                                  <w:rPr>
                                    <w:i/>
                                    <w:iCs/>
                                    <w:color w:val="000000" w:themeColor="text1"/>
                                    <w:kern w:val="24"/>
                                    <w:sz w:val="20"/>
                                    <w:szCs w:val="20"/>
                                  </w:rPr>
                                  <w:t>(n=468)</w:t>
                                </w:r>
                              </w:p>
                              <w:p w14:paraId="02179EF6" w14:textId="77777777" w:rsidR="00891876" w:rsidRDefault="00891876" w:rsidP="00570D80">
                                <w:pPr>
                                  <w:pStyle w:val="NormalWeb"/>
                                  <w:spacing w:before="0" w:beforeAutospacing="0" w:after="0" w:afterAutospacing="0"/>
                                </w:pPr>
                              </w:p>
                              <w:p w14:paraId="29A7FE92" w14:textId="77777777" w:rsidR="00891876" w:rsidRDefault="00891876" w:rsidP="00570D80">
                                <w:pPr>
                                  <w:pStyle w:val="NormalWeb"/>
                                  <w:spacing w:before="0" w:beforeAutospacing="0" w:after="0" w:afterAutospacing="0"/>
                                </w:pPr>
                                <w:r>
                                  <w:rPr>
                                    <w:color w:val="000000" w:themeColor="text1"/>
                                    <w:kern w:val="24"/>
                                    <w:sz w:val="20"/>
                                    <w:szCs w:val="20"/>
                                  </w:rPr>
                                  <w:t xml:space="preserve">Excluded from tibial analysis due to problems with scans or poor scan quality </w:t>
                                </w:r>
                                <w:r>
                                  <w:rPr>
                                    <w:i/>
                                    <w:iCs/>
                                    <w:color w:val="000000" w:themeColor="text1"/>
                                    <w:kern w:val="24"/>
                                    <w:sz w:val="20"/>
                                    <w:szCs w:val="20"/>
                                  </w:rPr>
                                  <w:t>(n=19)</w:t>
                                </w:r>
                              </w:p>
                            </w:txbxContent>
                          </wps:txbx>
                          <wps:bodyPr wrap="square" rtlCol="0">
                            <a:spAutoFit/>
                          </wps:bodyPr>
                        </wps:wsp>
                        <wps:wsp>
                          <wps:cNvPr id="12" name="Straight Arrow Connector 12"/>
                          <wps:cNvCnPr>
                            <a:stCxn id="4" idx="2"/>
                            <a:endCxn id="11" idx="0"/>
                          </wps:cNvCnPr>
                          <wps:spPr>
                            <a:xfrm>
                              <a:off x="2187994" y="741955"/>
                              <a:ext cx="1306676" cy="5104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a:stCxn id="11" idx="2"/>
                            <a:endCxn id="7" idx="0"/>
                          </wps:cNvCnPr>
                          <wps:spPr>
                            <a:xfrm flipH="1">
                              <a:off x="2817040" y="3154576"/>
                              <a:ext cx="676484" cy="2562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4" idx="2"/>
                            <a:endCxn id="9" idx="0"/>
                          </wps:cNvCnPr>
                          <wps:spPr>
                            <a:xfrm flipH="1">
                              <a:off x="2028134" y="741955"/>
                              <a:ext cx="159860" cy="517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TextBox 120"/>
                          <wps:cNvSpPr txBox="1"/>
                          <wps:spPr>
                            <a:xfrm>
                              <a:off x="11406" y="2834367"/>
                              <a:ext cx="1239520" cy="967740"/>
                            </a:xfrm>
                            <a:prstGeom prst="rect">
                              <a:avLst/>
                            </a:prstGeom>
                            <a:noFill/>
                            <a:ln>
                              <a:noFill/>
                            </a:ln>
                          </wps:spPr>
                          <wps:txbx>
                            <w:txbxContent>
                              <w:p w14:paraId="2CDDE59B" w14:textId="77777777" w:rsidR="00891876" w:rsidRDefault="00891876" w:rsidP="00570D80">
                                <w:pPr>
                                  <w:pStyle w:val="NormalWeb"/>
                                  <w:spacing w:before="0" w:beforeAutospacing="0" w:after="0" w:afterAutospacing="0"/>
                                </w:pPr>
                                <w:r>
                                  <w:rPr>
                                    <w:b/>
                                    <w:bCs/>
                                    <w:i/>
                                    <w:iCs/>
                                    <w:color w:val="000000" w:themeColor="text1"/>
                                    <w:kern w:val="24"/>
                                    <w:sz w:val="20"/>
                                    <w:szCs w:val="20"/>
                                  </w:rPr>
                                  <w:t>Subgroup with data on SPR at baseline who underwent DXA and HRpQCT a median of 7.5 years after baseline</w:t>
                                </w:r>
                              </w:p>
                            </w:txbxContent>
                          </wps:txbx>
                          <wps:bodyPr wrap="square" rtlCol="0">
                            <a:spAutoFit/>
                          </wps:bodyPr>
                        </wps:wsp>
                        <wps:wsp>
                          <wps:cNvPr id="16" name="Left Brace 16"/>
                          <wps:cNvSpPr/>
                          <wps:spPr>
                            <a:xfrm>
                              <a:off x="1200372" y="1252402"/>
                              <a:ext cx="106638" cy="4107857"/>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Left Brace 17"/>
                          <wps:cNvSpPr/>
                          <wps:spPr>
                            <a:xfrm>
                              <a:off x="1192209" y="0"/>
                              <a:ext cx="114801" cy="1120117"/>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TextBox 29"/>
                        <wps:cNvSpPr txBox="1"/>
                        <wps:spPr>
                          <a:xfrm>
                            <a:off x="502" y="5715167"/>
                            <a:ext cx="4987290" cy="529590"/>
                          </a:xfrm>
                          <a:prstGeom prst="rect">
                            <a:avLst/>
                          </a:prstGeom>
                          <a:noFill/>
                        </wps:spPr>
                        <wps:txbx>
                          <w:txbxContent>
                            <w:p w14:paraId="57BE387C" w14:textId="77777777" w:rsidR="00891876" w:rsidRDefault="00891876" w:rsidP="00570D80">
                              <w:pPr>
                                <w:pStyle w:val="NormalWeb"/>
                                <w:spacing w:before="0" w:beforeAutospacing="0" w:after="0" w:afterAutospacing="0"/>
                              </w:pPr>
                              <w:r>
                                <w:rPr>
                                  <w:color w:val="000000" w:themeColor="text1"/>
                                  <w:kern w:val="24"/>
                                  <w:sz w:val="20"/>
                                  <w:szCs w:val="20"/>
                                </w:rPr>
                                <w:t xml:space="preserve">SPR: Self-perception of fracture risk; DXA: Dual-energy X-ray absorptiometry; aBMD: Areal bone mineral density; HRpQCT: High resolution peripheral quantitative computed tomography </w:t>
                              </w:r>
                            </w:p>
                          </w:txbxContent>
                        </wps:txbx>
                        <wps:bodyPr wrap="square" rtlCol="0">
                          <a:spAutoFit/>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DB5313" id="Group 30" o:spid="_x0000_s1026" style="position:absolute;margin-left:-7.5pt;margin-top:22.8pt;width:392.75pt;height:491.7pt;z-index:251658241;mso-height-relative:margin" coordsize="49877,62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">
                <v:group id="Group 2" o:spid="_x0000_s1027" style="position:absolute;width:48864;height:53602" coordsize="48864,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type id="_x0000_t202" coordsize="21600,21600" o:spt="202" path="m,l,21600r21600,l21600,xe">
                    <v:stroke joinstyle="miter"/>
                    <v:path gradientshapeok="t" o:connecttype="rect"/>
                  </v:shapetype>
                  <v:shape id="TextBox 3" o:spid="_x0000_s1028" type="#_x0000_t202" style="position:absolute;left:13947;top:340;width:15856;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" filled="f" strokecolor="black [3213]">
                    <v:textbox style="mso-fit-shape-to-text:t">
                      <w:txbxContent>
                        <w:p w14:paraId="5A1C006A" w14:textId="77777777" w:rsidR="00891876" w:rsidRDefault="00891876" w:rsidP="00570D80">
                          <w:pPr>
                            <w:pStyle w:val="NormalWeb"/>
                            <w:spacing w:before="0" w:beforeAutospacing="0" w:after="0" w:afterAutospacing="0"/>
                          </w:pPr>
                          <w:r>
                            <w:rPr>
                              <w:b/>
                              <w:bCs/>
                              <w:color w:val="000000" w:themeColor="text1"/>
                              <w:kern w:val="24"/>
                              <w:sz w:val="20"/>
                              <w:szCs w:val="20"/>
                            </w:rPr>
                            <w:t>Sample for examining SPR correlates</w:t>
                          </w:r>
                        </w:p>
                        <w:p w14:paraId="7F48C6E8" w14:textId="77777777" w:rsidR="00891876" w:rsidRDefault="00891876" w:rsidP="00570D80">
                          <w:pPr>
                            <w:pStyle w:val="NormalWeb"/>
                            <w:spacing w:before="0" w:beforeAutospacing="0" w:after="0" w:afterAutospacing="0"/>
                          </w:pPr>
                          <w:r>
                            <w:rPr>
                              <w:color w:val="000000" w:themeColor="text1"/>
                              <w:kern w:val="24"/>
                              <w:sz w:val="20"/>
                              <w:szCs w:val="20"/>
                            </w:rPr>
                            <w:t xml:space="preserve">Participants with data on SPR </w:t>
                          </w:r>
                          <w:r>
                            <w:rPr>
                              <w:i/>
                              <w:iCs/>
                              <w:color w:val="000000" w:themeColor="text1"/>
                              <w:kern w:val="24"/>
                              <w:sz w:val="20"/>
                              <w:szCs w:val="20"/>
                            </w:rPr>
                            <w:t>(n=3912)</w:t>
                          </w:r>
                        </w:p>
                      </w:txbxContent>
                    </v:textbox>
                  </v:shape>
                  <v:shape id="TextBox 4" o:spid="_x0000_s1029" type="#_x0000_t202" style="position:absolute;left:32760;width:16104;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" filled="f" strokecolor="black [3213]">
                    <v:textbox style="mso-fit-shape-to-text:t">
                      <w:txbxContent>
                        <w:p w14:paraId="2603C1C5" w14:textId="77777777" w:rsidR="00891876" w:rsidRDefault="00891876" w:rsidP="00570D80">
                          <w:pPr>
                            <w:pStyle w:val="NormalWeb"/>
                            <w:spacing w:before="0" w:beforeAutospacing="0" w:after="0" w:afterAutospacing="0"/>
                          </w:pPr>
                          <w:r>
                            <w:rPr>
                              <w:b/>
                              <w:bCs/>
                              <w:color w:val="000000" w:themeColor="text1"/>
                              <w:kern w:val="24"/>
                              <w:sz w:val="20"/>
                              <w:szCs w:val="20"/>
                            </w:rPr>
                            <w:t>Cluster analysis sample</w:t>
                          </w:r>
                        </w:p>
                        <w:p w14:paraId="792D7668" w14:textId="77777777" w:rsidR="00891876" w:rsidRDefault="00891876" w:rsidP="00570D80">
                          <w:pPr>
                            <w:pStyle w:val="NormalWeb"/>
                            <w:spacing w:before="0" w:beforeAutospacing="0" w:after="0" w:afterAutospacing="0"/>
                          </w:pPr>
                          <w:r>
                            <w:rPr>
                              <w:color w:val="000000" w:themeColor="text1"/>
                              <w:kern w:val="24"/>
                              <w:sz w:val="20"/>
                              <w:szCs w:val="20"/>
                            </w:rPr>
                            <w:t>Complete baseline data on SPR and participant characteristics included in the cluster analysis</w:t>
                          </w:r>
                        </w:p>
                        <w:p w14:paraId="60247DCC" w14:textId="77777777" w:rsidR="00891876" w:rsidRDefault="00891876" w:rsidP="00570D80">
                          <w:pPr>
                            <w:pStyle w:val="NormalWeb"/>
                            <w:spacing w:before="0" w:beforeAutospacing="0" w:after="0" w:afterAutospacing="0"/>
                          </w:pPr>
                          <w:r>
                            <w:rPr>
                              <w:i/>
                              <w:iCs/>
                              <w:color w:val="000000" w:themeColor="text1"/>
                              <w:kern w:val="24"/>
                              <w:sz w:val="20"/>
                              <w:szCs w:val="20"/>
                            </w:rPr>
                            <w:t>(n=2582)</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29810;top:3708;width:2954;height:1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" strokecolor="black [3213]" strokeweight=".5pt">
                    <v:stroke endarrow="block" joinstyle="miter"/>
                  </v:shape>
                  <v:shape id="TextBox 11" o:spid="_x0000_s1031" type="#_x0000_t202" style="position:absolute;left:18808;top:34107;width:18720;height:18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" filled="f" strokecolor="black [3213]">
                    <v:textbox style="mso-fit-shape-to-text:t">
                      <w:txbxContent>
                        <w:p w14:paraId="72FAEB6D" w14:textId="1E6F7374" w:rsidR="00891876" w:rsidRDefault="00891876" w:rsidP="00570D80">
                          <w:pPr>
                            <w:pStyle w:val="NormalWeb"/>
                            <w:spacing w:before="0" w:beforeAutospacing="0" w:after="0" w:afterAutospacing="0"/>
                          </w:pPr>
                          <w:r>
                            <w:rPr>
                              <w:b/>
                              <w:bCs/>
                              <w:color w:val="000000" w:themeColor="text1"/>
                              <w:kern w:val="24"/>
                              <w:sz w:val="20"/>
                              <w:szCs w:val="20"/>
                            </w:rPr>
                            <w:t xml:space="preserve">Sample for examining baseline SPR in relation to </w:t>
                          </w:r>
                          <w:proofErr w:type="spellStart"/>
                          <w:r>
                            <w:rPr>
                              <w:b/>
                              <w:bCs/>
                              <w:color w:val="000000" w:themeColor="text1"/>
                              <w:kern w:val="24"/>
                              <w:sz w:val="20"/>
                              <w:szCs w:val="20"/>
                            </w:rPr>
                            <w:t>HRpQCT</w:t>
                          </w:r>
                          <w:proofErr w:type="spellEnd"/>
                          <w:r>
                            <w:rPr>
                              <w:b/>
                              <w:bCs/>
                              <w:color w:val="000000" w:themeColor="text1"/>
                              <w:kern w:val="24"/>
                              <w:sz w:val="20"/>
                              <w:szCs w:val="20"/>
                            </w:rPr>
                            <w:t xml:space="preserve"> and DXA</w:t>
                          </w:r>
                          <w:r w:rsidR="0012207C">
                            <w:rPr>
                              <w:b/>
                              <w:bCs/>
                              <w:color w:val="000000" w:themeColor="text1"/>
                              <w:kern w:val="24"/>
                              <w:sz w:val="20"/>
                              <w:szCs w:val="20"/>
                            </w:rPr>
                            <w:t xml:space="preserve"> parameters</w:t>
                          </w:r>
                        </w:p>
                        <w:p w14:paraId="1F269927"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at least one radial or tibial parameter </w:t>
                          </w:r>
                          <w:r>
                            <w:rPr>
                              <w:i/>
                              <w:iCs/>
                              <w:color w:val="000000" w:themeColor="text1"/>
                              <w:kern w:val="24"/>
                              <w:sz w:val="20"/>
                              <w:szCs w:val="20"/>
                            </w:rPr>
                            <w:t>(n=492)</w:t>
                          </w:r>
                        </w:p>
                        <w:p w14:paraId="5F3A0334" w14:textId="77777777" w:rsidR="00891876" w:rsidRDefault="00891876" w:rsidP="00570D80">
                          <w:pPr>
                            <w:pStyle w:val="NormalWeb"/>
                            <w:spacing w:before="0" w:beforeAutospacing="0" w:after="0" w:afterAutospacing="0"/>
                          </w:pPr>
                        </w:p>
                        <w:p w14:paraId="26CE3E04" w14:textId="77777777" w:rsidR="00891876" w:rsidRDefault="00891876" w:rsidP="00570D80">
                          <w:pPr>
                            <w:pStyle w:val="NormalWeb"/>
                            <w:spacing w:before="0" w:beforeAutospacing="0" w:after="0" w:afterAutospacing="0"/>
                          </w:pPr>
                          <w:r>
                            <w:rPr>
                              <w:color w:val="000000" w:themeColor="text1"/>
                              <w:kern w:val="24"/>
                              <w:sz w:val="20"/>
                              <w:szCs w:val="20"/>
                            </w:rPr>
                            <w:t xml:space="preserve">Number of observations for DXA </w:t>
                          </w:r>
                          <w:proofErr w:type="spellStart"/>
                          <w:r>
                            <w:rPr>
                              <w:color w:val="000000" w:themeColor="text1"/>
                              <w:kern w:val="24"/>
                              <w:sz w:val="20"/>
                              <w:szCs w:val="20"/>
                            </w:rPr>
                            <w:t>aBMD</w:t>
                          </w:r>
                          <w:proofErr w:type="spellEnd"/>
                          <w:r>
                            <w:rPr>
                              <w:color w:val="000000" w:themeColor="text1"/>
                              <w:kern w:val="24"/>
                              <w:sz w:val="20"/>
                              <w:szCs w:val="20"/>
                            </w:rPr>
                            <w:t xml:space="preserve"> parameters: </w:t>
                          </w:r>
                        </w:p>
                        <w:p w14:paraId="512DF8EB" w14:textId="77777777" w:rsidR="00891876" w:rsidRDefault="00891876" w:rsidP="00570D80">
                          <w:pPr>
                            <w:pStyle w:val="NormalWeb"/>
                            <w:spacing w:before="0" w:beforeAutospacing="0" w:after="0" w:afterAutospacing="0"/>
                          </w:pPr>
                          <w:r>
                            <w:rPr>
                              <w:color w:val="000000" w:themeColor="text1"/>
                              <w:kern w:val="24"/>
                              <w:sz w:val="20"/>
                              <w:szCs w:val="20"/>
                            </w:rPr>
                            <w:t xml:space="preserve">Whole body total </w:t>
                          </w:r>
                          <w:r>
                            <w:rPr>
                              <w:i/>
                              <w:iCs/>
                              <w:color w:val="000000" w:themeColor="text1"/>
                              <w:kern w:val="24"/>
                              <w:sz w:val="20"/>
                              <w:szCs w:val="20"/>
                            </w:rPr>
                            <w:t>(n=410)</w:t>
                          </w:r>
                        </w:p>
                        <w:p w14:paraId="6BB32490" w14:textId="77777777" w:rsidR="00891876" w:rsidRDefault="00891876" w:rsidP="00570D80">
                          <w:pPr>
                            <w:pStyle w:val="NormalWeb"/>
                            <w:spacing w:before="0" w:beforeAutospacing="0" w:after="0" w:afterAutospacing="0"/>
                          </w:pPr>
                          <w:r>
                            <w:rPr>
                              <w:color w:val="000000" w:themeColor="text1"/>
                              <w:kern w:val="24"/>
                              <w:sz w:val="20"/>
                              <w:szCs w:val="20"/>
                            </w:rPr>
                            <w:t xml:space="preserve">Total hip </w:t>
                          </w:r>
                          <w:r>
                            <w:rPr>
                              <w:i/>
                              <w:iCs/>
                              <w:color w:val="000000" w:themeColor="text1"/>
                              <w:kern w:val="24"/>
                              <w:sz w:val="20"/>
                              <w:szCs w:val="20"/>
                            </w:rPr>
                            <w:t>(n=464)</w:t>
                          </w:r>
                        </w:p>
                        <w:p w14:paraId="528E964E" w14:textId="77777777" w:rsidR="00891876" w:rsidRDefault="00891876" w:rsidP="00570D80">
                          <w:pPr>
                            <w:pStyle w:val="NormalWeb"/>
                            <w:spacing w:before="0" w:beforeAutospacing="0" w:after="0" w:afterAutospacing="0"/>
                          </w:pPr>
                          <w:r>
                            <w:rPr>
                              <w:color w:val="000000" w:themeColor="text1"/>
                              <w:kern w:val="24"/>
                              <w:sz w:val="20"/>
                              <w:szCs w:val="20"/>
                            </w:rPr>
                            <w:t xml:space="preserve">Femoral neck </w:t>
                          </w:r>
                          <w:r>
                            <w:rPr>
                              <w:i/>
                              <w:iCs/>
                              <w:color w:val="000000" w:themeColor="text1"/>
                              <w:kern w:val="24"/>
                              <w:sz w:val="20"/>
                              <w:szCs w:val="20"/>
                            </w:rPr>
                            <w:t>(n=457)</w:t>
                          </w:r>
                        </w:p>
                        <w:p w14:paraId="4329210D" w14:textId="7B02C7B3" w:rsidR="00891876" w:rsidRDefault="00891876" w:rsidP="00570D80">
                          <w:pPr>
                            <w:pStyle w:val="NormalWeb"/>
                            <w:spacing w:before="0" w:beforeAutospacing="0" w:after="0" w:afterAutospacing="0"/>
                          </w:pPr>
                          <w:r>
                            <w:rPr>
                              <w:color w:val="000000" w:themeColor="text1"/>
                              <w:kern w:val="24"/>
                              <w:sz w:val="20"/>
                              <w:szCs w:val="20"/>
                            </w:rPr>
                            <w:t xml:space="preserve">Total lumbar spine </w:t>
                          </w:r>
                          <w:r w:rsidR="00DD7EA2">
                            <w:rPr>
                              <w:i/>
                              <w:iCs/>
                              <w:color w:val="000000" w:themeColor="text1"/>
                              <w:kern w:val="24"/>
                              <w:sz w:val="20"/>
                              <w:szCs w:val="20"/>
                            </w:rPr>
                            <w:t>(n=471</w:t>
                          </w:r>
                          <w:r>
                            <w:rPr>
                              <w:i/>
                              <w:iCs/>
                              <w:color w:val="000000" w:themeColor="text1"/>
                              <w:kern w:val="24"/>
                              <w:sz w:val="20"/>
                              <w:szCs w:val="20"/>
                            </w:rPr>
                            <w:t>)</w:t>
                          </w:r>
                        </w:p>
                      </w:txbxContent>
                    </v:textbox>
                  </v:shape>
                  <v:shape id="Straight Arrow Connector 8" o:spid="_x0000_s1032" type="#_x0000_t32" style="position:absolute;left:20274;top:31616;width:7896;height:2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" strokecolor="black [3213]" strokeweight=".5pt">
                    <v:stroke endarrow="block" joinstyle="miter"/>
                  </v:shape>
                  <v:shape id="TextBox 18" o:spid="_x0000_s1033" type="#_x0000_t202" style="position:absolute;left:14124;top:12591;width:12300;height:1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" filled="f" strokecolor="black [3213]">
                    <v:textbox style="mso-fit-shape-to-text:t">
                      <w:txbxContent>
                        <w:p w14:paraId="1BE5CD16"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at least one radial </w:t>
                          </w:r>
                          <w:proofErr w:type="spellStart"/>
                          <w:r>
                            <w:rPr>
                              <w:color w:val="000000" w:themeColor="text1"/>
                              <w:kern w:val="24"/>
                              <w:sz w:val="20"/>
                              <w:szCs w:val="20"/>
                            </w:rPr>
                            <w:t>HRpQCT</w:t>
                          </w:r>
                          <w:proofErr w:type="spellEnd"/>
                          <w:r>
                            <w:rPr>
                              <w:color w:val="000000" w:themeColor="text1"/>
                              <w:kern w:val="24"/>
                              <w:sz w:val="20"/>
                              <w:szCs w:val="20"/>
                            </w:rPr>
                            <w:t xml:space="preserve"> parameter </w:t>
                          </w:r>
                          <w:r>
                            <w:rPr>
                              <w:i/>
                              <w:iCs/>
                              <w:color w:val="000000" w:themeColor="text1"/>
                              <w:kern w:val="24"/>
                              <w:sz w:val="20"/>
                              <w:szCs w:val="20"/>
                            </w:rPr>
                            <w:t>(n=384)</w:t>
                          </w:r>
                        </w:p>
                        <w:p w14:paraId="3239940E" w14:textId="77777777" w:rsidR="00891876" w:rsidRDefault="00891876" w:rsidP="00570D80">
                          <w:pPr>
                            <w:pStyle w:val="NormalWeb"/>
                            <w:spacing w:before="0" w:beforeAutospacing="0" w:after="0" w:afterAutospacing="0"/>
                          </w:pPr>
                        </w:p>
                        <w:p w14:paraId="59F984E8"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all radial parameters </w:t>
                          </w:r>
                          <w:r>
                            <w:rPr>
                              <w:i/>
                              <w:iCs/>
                              <w:color w:val="000000" w:themeColor="text1"/>
                              <w:kern w:val="24"/>
                              <w:sz w:val="20"/>
                              <w:szCs w:val="20"/>
                            </w:rPr>
                            <w:t>(n=375)</w:t>
                          </w:r>
                        </w:p>
                        <w:p w14:paraId="65F1BBB8" w14:textId="77777777" w:rsidR="00891876" w:rsidRDefault="00891876" w:rsidP="00570D80">
                          <w:pPr>
                            <w:pStyle w:val="NormalWeb"/>
                            <w:spacing w:before="0" w:beforeAutospacing="0" w:after="0" w:afterAutospacing="0"/>
                          </w:pPr>
                        </w:p>
                        <w:p w14:paraId="546C8FCC" w14:textId="3C337DD7" w:rsidR="00891876" w:rsidRDefault="00891876" w:rsidP="00570D80">
                          <w:pPr>
                            <w:pStyle w:val="NormalWeb"/>
                            <w:spacing w:before="0" w:beforeAutospacing="0" w:after="0" w:afterAutospacing="0"/>
                          </w:pPr>
                          <w:r>
                            <w:rPr>
                              <w:color w:val="000000" w:themeColor="text1"/>
                              <w:kern w:val="24"/>
                              <w:sz w:val="20"/>
                              <w:szCs w:val="20"/>
                            </w:rPr>
                            <w:t xml:space="preserve">Excluded from radial analysis due to problems with scans or poor scan quality </w:t>
                          </w:r>
                          <w:r>
                            <w:rPr>
                              <w:i/>
                              <w:iCs/>
                              <w:color w:val="000000" w:themeColor="text1"/>
                              <w:kern w:val="24"/>
                              <w:sz w:val="20"/>
                              <w:szCs w:val="20"/>
                            </w:rPr>
                            <w:t>(n=10</w:t>
                          </w:r>
                          <w:r w:rsidR="0012207C">
                            <w:rPr>
                              <w:i/>
                              <w:iCs/>
                              <w:color w:val="000000" w:themeColor="text1"/>
                              <w:kern w:val="24"/>
                              <w:sz w:val="20"/>
                              <w:szCs w:val="20"/>
                            </w:rPr>
                            <w:t>3</w:t>
                          </w:r>
                          <w:r>
                            <w:rPr>
                              <w:i/>
                              <w:iCs/>
                              <w:color w:val="000000" w:themeColor="text1"/>
                              <w:kern w:val="24"/>
                              <w:sz w:val="20"/>
                              <w:szCs w:val="20"/>
                            </w:rPr>
                            <w:t>)</w:t>
                          </w:r>
                        </w:p>
                      </w:txbxContent>
                    </v:textbox>
                  </v:shape>
                  <v:shape id="TextBox 32" o:spid="_x0000_s1034" type="#_x0000_t202" style="position:absolute;top:4371;width:1107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" filled="f" stroked="f">
                    <v:textbox style="mso-fit-shape-to-text:t">
                      <w:txbxContent>
                        <w:p w14:paraId="63D564F1" w14:textId="77777777" w:rsidR="00891876" w:rsidRDefault="00891876" w:rsidP="00570D80">
                          <w:pPr>
                            <w:pStyle w:val="NormalWeb"/>
                            <w:spacing w:before="0" w:beforeAutospacing="0" w:after="0" w:afterAutospacing="0"/>
                          </w:pPr>
                          <w:r>
                            <w:rPr>
                              <w:b/>
                              <w:bCs/>
                              <w:i/>
                              <w:iCs/>
                              <w:color w:val="000000" w:themeColor="text1"/>
                              <w:kern w:val="24"/>
                              <w:sz w:val="20"/>
                              <w:szCs w:val="20"/>
                            </w:rPr>
                            <w:t>Baseline samples</w:t>
                          </w:r>
                        </w:p>
                      </w:txbxContent>
                    </v:textbox>
                  </v:shape>
                  <v:shape id="TextBox 50" o:spid="_x0000_s1035" type="#_x0000_t202" style="position:absolute;left:28890;top:12521;width:12090;height:19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" filled="f" strokecolor="black [3213]">
                    <v:textbox style="mso-fit-shape-to-text:t">
                      <w:txbxContent>
                        <w:p w14:paraId="0C8E579B"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at least one tibial </w:t>
                          </w:r>
                          <w:proofErr w:type="spellStart"/>
                          <w:r>
                            <w:rPr>
                              <w:color w:val="000000" w:themeColor="text1"/>
                              <w:kern w:val="24"/>
                              <w:sz w:val="20"/>
                              <w:szCs w:val="20"/>
                            </w:rPr>
                            <w:t>HRpQCT</w:t>
                          </w:r>
                          <w:proofErr w:type="spellEnd"/>
                          <w:r>
                            <w:rPr>
                              <w:color w:val="000000" w:themeColor="text1"/>
                              <w:kern w:val="24"/>
                              <w:sz w:val="20"/>
                              <w:szCs w:val="20"/>
                            </w:rPr>
                            <w:t xml:space="preserve"> parameter </w:t>
                          </w:r>
                          <w:r>
                            <w:rPr>
                              <w:i/>
                              <w:iCs/>
                              <w:color w:val="000000" w:themeColor="text1"/>
                              <w:kern w:val="24"/>
                              <w:sz w:val="20"/>
                              <w:szCs w:val="20"/>
                            </w:rPr>
                            <w:t>(n=477)</w:t>
                          </w:r>
                        </w:p>
                        <w:p w14:paraId="05BB6B7F" w14:textId="77777777" w:rsidR="00891876" w:rsidRDefault="00891876" w:rsidP="00570D80">
                          <w:pPr>
                            <w:pStyle w:val="NormalWeb"/>
                            <w:spacing w:before="0" w:beforeAutospacing="0" w:after="0" w:afterAutospacing="0"/>
                          </w:pPr>
                        </w:p>
                        <w:p w14:paraId="4BC397EB" w14:textId="77777777" w:rsidR="00891876" w:rsidRDefault="00891876" w:rsidP="00570D80">
                          <w:pPr>
                            <w:pStyle w:val="NormalWeb"/>
                            <w:spacing w:before="0" w:beforeAutospacing="0" w:after="0" w:afterAutospacing="0"/>
                            <w:rPr>
                              <w:i/>
                              <w:iCs/>
                              <w:color w:val="000000" w:themeColor="text1"/>
                              <w:kern w:val="24"/>
                              <w:sz w:val="20"/>
                              <w:szCs w:val="20"/>
                            </w:rPr>
                          </w:pPr>
                          <w:r>
                            <w:rPr>
                              <w:color w:val="000000" w:themeColor="text1"/>
                              <w:kern w:val="24"/>
                              <w:sz w:val="20"/>
                              <w:szCs w:val="20"/>
                            </w:rPr>
                            <w:t xml:space="preserve">Data on all tibial parameters </w:t>
                          </w:r>
                          <w:r>
                            <w:rPr>
                              <w:i/>
                              <w:iCs/>
                              <w:color w:val="000000" w:themeColor="text1"/>
                              <w:kern w:val="24"/>
                              <w:sz w:val="20"/>
                              <w:szCs w:val="20"/>
                            </w:rPr>
                            <w:t>(n=468)</w:t>
                          </w:r>
                        </w:p>
                        <w:p w14:paraId="02179EF6" w14:textId="77777777" w:rsidR="00891876" w:rsidRDefault="00891876" w:rsidP="00570D80">
                          <w:pPr>
                            <w:pStyle w:val="NormalWeb"/>
                            <w:spacing w:before="0" w:beforeAutospacing="0" w:after="0" w:afterAutospacing="0"/>
                          </w:pPr>
                        </w:p>
                        <w:p w14:paraId="29A7FE92" w14:textId="77777777" w:rsidR="00891876" w:rsidRDefault="00891876" w:rsidP="00570D80">
                          <w:pPr>
                            <w:pStyle w:val="NormalWeb"/>
                            <w:spacing w:before="0" w:beforeAutospacing="0" w:after="0" w:afterAutospacing="0"/>
                          </w:pPr>
                          <w:r>
                            <w:rPr>
                              <w:color w:val="000000" w:themeColor="text1"/>
                              <w:kern w:val="24"/>
                              <w:sz w:val="20"/>
                              <w:szCs w:val="20"/>
                            </w:rPr>
                            <w:t xml:space="preserve">Excluded from tibial analysis due to problems with scans or poor scan quality </w:t>
                          </w:r>
                          <w:r>
                            <w:rPr>
                              <w:i/>
                              <w:iCs/>
                              <w:color w:val="000000" w:themeColor="text1"/>
                              <w:kern w:val="24"/>
                              <w:sz w:val="20"/>
                              <w:szCs w:val="20"/>
                            </w:rPr>
                            <w:t>(n=19)</w:t>
                          </w:r>
                        </w:p>
                      </w:txbxContent>
                    </v:textbox>
                  </v:shape>
                  <v:shape id="Straight Arrow Connector 12" o:spid="_x0000_s1036" type="#_x0000_t32" style="position:absolute;left:21879;top:7419;width:13067;height:5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" strokecolor="black [3213]" strokeweight=".5pt">
                    <v:stroke endarrow="block" joinstyle="miter"/>
                  </v:shape>
                  <v:shape id="Straight Arrow Connector 13" o:spid="_x0000_s1037" type="#_x0000_t32" style="position:absolute;left:28170;top:31545;width:6765;height:25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" strokecolor="black [3213]" strokeweight=".5pt">
                    <v:stroke endarrow="block" joinstyle="miter"/>
                  </v:shape>
                  <v:shape id="Straight Arrow Connector 14" o:spid="_x0000_s1038" type="#_x0000_t32" style="position:absolute;left:20281;top:7419;width:1598;height:5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" strokecolor="black [3213]" strokeweight=".5pt">
                    <v:stroke endarrow="block" joinstyle="miter"/>
                  </v:shape>
                  <v:shape id="TextBox 120" o:spid="_x0000_s1039" type="#_x0000_t202" style="position:absolute;left:114;top:28343;width:12395;height:9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" filled="f" stroked="f">
                    <v:textbox style="mso-fit-shape-to-text:t">
                      <w:txbxContent>
                        <w:p w14:paraId="2CDDE59B" w14:textId="77777777" w:rsidR="00891876" w:rsidRDefault="00891876" w:rsidP="00570D80">
                          <w:pPr>
                            <w:pStyle w:val="NormalWeb"/>
                            <w:spacing w:before="0" w:beforeAutospacing="0" w:after="0" w:afterAutospacing="0"/>
                          </w:pPr>
                          <w:r>
                            <w:rPr>
                              <w:b/>
                              <w:bCs/>
                              <w:i/>
                              <w:iCs/>
                              <w:color w:val="000000" w:themeColor="text1"/>
                              <w:kern w:val="24"/>
                              <w:sz w:val="20"/>
                              <w:szCs w:val="20"/>
                            </w:rPr>
                            <w:t xml:space="preserve">Subgroup with data on SPR at baseline who underwent DXA and </w:t>
                          </w:r>
                          <w:proofErr w:type="spellStart"/>
                          <w:r>
                            <w:rPr>
                              <w:b/>
                              <w:bCs/>
                              <w:i/>
                              <w:iCs/>
                              <w:color w:val="000000" w:themeColor="text1"/>
                              <w:kern w:val="24"/>
                              <w:sz w:val="20"/>
                              <w:szCs w:val="20"/>
                            </w:rPr>
                            <w:t>HRpQCT</w:t>
                          </w:r>
                          <w:proofErr w:type="spellEnd"/>
                          <w:r>
                            <w:rPr>
                              <w:b/>
                              <w:bCs/>
                              <w:i/>
                              <w:iCs/>
                              <w:color w:val="000000" w:themeColor="text1"/>
                              <w:kern w:val="24"/>
                              <w:sz w:val="20"/>
                              <w:szCs w:val="20"/>
                            </w:rPr>
                            <w:t xml:space="preserve"> a median of 7.5 years after baseline</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6" o:spid="_x0000_s1040" type="#_x0000_t87" style="position:absolute;left:12003;top:12524;width:1067;height:4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" adj="47" strokecolor="black [3213]" strokeweight=".5pt">
                    <v:stroke joinstyle="miter"/>
                  </v:shape>
                  <v:shape id="Left Brace 17" o:spid="_x0000_s1041" type="#_x0000_t87" style="position:absolute;left:11922;width:1148;height:1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" adj="184" strokecolor="black [3213]" strokeweight=".5pt">
                    <v:stroke joinstyle="miter"/>
                  </v:shape>
                </v:group>
                <v:shape id="_x0000_s1042" type="#_x0000_t202" style="position:absolute;left:5;top:57151;width:49872;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" filled="f" stroked="f">
                  <v:textbox style="mso-fit-shape-to-text:t">
                    <w:txbxContent>
                      <w:p w14:paraId="57BE387C" w14:textId="77777777" w:rsidR="00891876" w:rsidRDefault="00891876" w:rsidP="00570D80">
                        <w:pPr>
                          <w:pStyle w:val="NormalWeb"/>
                          <w:spacing w:before="0" w:beforeAutospacing="0" w:after="0" w:afterAutospacing="0"/>
                        </w:pPr>
                        <w:r>
                          <w:rPr>
                            <w:color w:val="000000" w:themeColor="text1"/>
                            <w:kern w:val="24"/>
                            <w:sz w:val="20"/>
                            <w:szCs w:val="20"/>
                          </w:rPr>
                          <w:t xml:space="preserve">SPR: Self-perception of fracture risk; DXA: Dual-energy X-ray absorptiometry; </w:t>
                        </w:r>
                        <w:proofErr w:type="spellStart"/>
                        <w:r>
                          <w:rPr>
                            <w:color w:val="000000" w:themeColor="text1"/>
                            <w:kern w:val="24"/>
                            <w:sz w:val="20"/>
                            <w:szCs w:val="20"/>
                          </w:rPr>
                          <w:t>aBMD</w:t>
                        </w:r>
                        <w:proofErr w:type="spellEnd"/>
                        <w:r>
                          <w:rPr>
                            <w:color w:val="000000" w:themeColor="text1"/>
                            <w:kern w:val="24"/>
                            <w:sz w:val="20"/>
                            <w:szCs w:val="20"/>
                          </w:rPr>
                          <w:t xml:space="preserve">: Areal bone mineral density; </w:t>
                        </w:r>
                        <w:proofErr w:type="spellStart"/>
                        <w:r>
                          <w:rPr>
                            <w:color w:val="000000" w:themeColor="text1"/>
                            <w:kern w:val="24"/>
                            <w:sz w:val="20"/>
                            <w:szCs w:val="20"/>
                          </w:rPr>
                          <w:t>HRpQCT</w:t>
                        </w:r>
                        <w:proofErr w:type="spellEnd"/>
                        <w:r>
                          <w:rPr>
                            <w:color w:val="000000" w:themeColor="text1"/>
                            <w:kern w:val="24"/>
                            <w:sz w:val="20"/>
                            <w:szCs w:val="20"/>
                          </w:rPr>
                          <w:t xml:space="preserve">: High resolution peripheral quantitative computed tomography </w:t>
                        </w:r>
                      </w:p>
                    </w:txbxContent>
                  </v:textbox>
                </v:shape>
              </v:group>
            </w:pict>
          </mc:Fallback>
        </mc:AlternateContent>
      </w:r>
    </w:p>
    <w:p w14:paraId="73E9AB3E" w14:textId="0B1AF726" w:rsidR="00FC6F82" w:rsidRDefault="00FC6F82" w:rsidP="00133CE8">
      <w:pPr>
        <w:spacing w:after="160" w:line="259" w:lineRule="auto"/>
        <w:rPr>
          <w:rFonts w:ascii="Times New Roman" w:hAnsi="Times New Roman"/>
          <w:sz w:val="24"/>
        </w:rPr>
      </w:pPr>
    </w:p>
    <w:p w14:paraId="665B6E12" w14:textId="3AA72EFF" w:rsidR="00FC6F82" w:rsidRDefault="00FC6F82" w:rsidP="00133CE8">
      <w:pPr>
        <w:spacing w:after="160" w:line="259" w:lineRule="auto"/>
        <w:rPr>
          <w:rFonts w:ascii="Times New Roman" w:hAnsi="Times New Roman"/>
          <w:sz w:val="24"/>
        </w:rPr>
      </w:pPr>
    </w:p>
    <w:p w14:paraId="5C9A8ED1" w14:textId="634CA225" w:rsidR="00FC6F82" w:rsidRDefault="00FC6F82" w:rsidP="00133CE8">
      <w:pPr>
        <w:spacing w:after="160" w:line="259" w:lineRule="auto"/>
        <w:rPr>
          <w:rFonts w:ascii="Times New Roman" w:hAnsi="Times New Roman"/>
          <w:sz w:val="24"/>
        </w:rPr>
      </w:pPr>
    </w:p>
    <w:p w14:paraId="3065BF71" w14:textId="77777777" w:rsidR="00FC6F82" w:rsidRDefault="00FC6F82" w:rsidP="00133CE8">
      <w:pPr>
        <w:spacing w:after="160" w:line="259" w:lineRule="auto"/>
        <w:rPr>
          <w:rFonts w:ascii="Times New Roman" w:hAnsi="Times New Roman"/>
          <w:sz w:val="24"/>
        </w:rPr>
      </w:pPr>
    </w:p>
    <w:p w14:paraId="4A6E31E2" w14:textId="77777777" w:rsidR="00FC6F82" w:rsidRDefault="00FC6F82" w:rsidP="00133CE8">
      <w:pPr>
        <w:spacing w:after="160" w:line="259" w:lineRule="auto"/>
        <w:rPr>
          <w:rFonts w:ascii="Times New Roman" w:hAnsi="Times New Roman"/>
          <w:sz w:val="24"/>
        </w:rPr>
      </w:pPr>
    </w:p>
    <w:p w14:paraId="007C9128" w14:textId="77777777" w:rsidR="00FC6F82" w:rsidRDefault="00FC6F82" w:rsidP="00133CE8">
      <w:pPr>
        <w:spacing w:after="160" w:line="259" w:lineRule="auto"/>
        <w:rPr>
          <w:rFonts w:ascii="Times New Roman" w:hAnsi="Times New Roman"/>
          <w:sz w:val="24"/>
        </w:rPr>
      </w:pPr>
    </w:p>
    <w:p w14:paraId="45D96E24" w14:textId="77777777" w:rsidR="00FC6F82" w:rsidRDefault="00FC6F82" w:rsidP="00133CE8">
      <w:pPr>
        <w:spacing w:after="160" w:line="259" w:lineRule="auto"/>
        <w:rPr>
          <w:rFonts w:ascii="Times New Roman" w:hAnsi="Times New Roman"/>
          <w:sz w:val="24"/>
        </w:rPr>
      </w:pPr>
    </w:p>
    <w:p w14:paraId="41634747" w14:textId="77777777" w:rsidR="00FC6F82" w:rsidRDefault="00FC6F82" w:rsidP="00133CE8">
      <w:pPr>
        <w:spacing w:after="160" w:line="259" w:lineRule="auto"/>
        <w:rPr>
          <w:rFonts w:ascii="Times New Roman" w:hAnsi="Times New Roman"/>
          <w:sz w:val="24"/>
        </w:rPr>
      </w:pPr>
    </w:p>
    <w:p w14:paraId="18B238D3" w14:textId="77777777" w:rsidR="00FC6F82" w:rsidRDefault="00FC6F82" w:rsidP="00133CE8">
      <w:pPr>
        <w:spacing w:after="160" w:line="259" w:lineRule="auto"/>
        <w:rPr>
          <w:rFonts w:ascii="Times New Roman" w:hAnsi="Times New Roman"/>
          <w:sz w:val="24"/>
        </w:rPr>
      </w:pPr>
    </w:p>
    <w:p w14:paraId="083ABBD1" w14:textId="77777777" w:rsidR="00FC6F82" w:rsidRDefault="00FC6F82" w:rsidP="00133CE8">
      <w:pPr>
        <w:spacing w:after="160" w:line="259" w:lineRule="auto"/>
        <w:rPr>
          <w:rFonts w:ascii="Times New Roman" w:hAnsi="Times New Roman"/>
          <w:sz w:val="24"/>
        </w:rPr>
      </w:pPr>
    </w:p>
    <w:p w14:paraId="5043E723" w14:textId="77777777" w:rsidR="00FC6F82" w:rsidRDefault="00FC6F82" w:rsidP="00133CE8">
      <w:pPr>
        <w:spacing w:after="160" w:line="259" w:lineRule="auto"/>
        <w:rPr>
          <w:rFonts w:ascii="Times New Roman" w:hAnsi="Times New Roman"/>
          <w:sz w:val="24"/>
        </w:rPr>
      </w:pPr>
    </w:p>
    <w:p w14:paraId="58071BFB" w14:textId="77777777" w:rsidR="00FC6F82" w:rsidRDefault="00FC6F82" w:rsidP="00133CE8">
      <w:pPr>
        <w:spacing w:after="160" w:line="259" w:lineRule="auto"/>
        <w:rPr>
          <w:rFonts w:ascii="Times New Roman" w:hAnsi="Times New Roman"/>
          <w:sz w:val="24"/>
        </w:rPr>
      </w:pPr>
    </w:p>
    <w:p w14:paraId="23C94619" w14:textId="77777777" w:rsidR="00FC6F82" w:rsidRDefault="00FC6F82" w:rsidP="00133CE8">
      <w:pPr>
        <w:spacing w:after="160" w:line="259" w:lineRule="auto"/>
        <w:rPr>
          <w:rFonts w:ascii="Times New Roman" w:hAnsi="Times New Roman"/>
          <w:sz w:val="24"/>
        </w:rPr>
      </w:pPr>
    </w:p>
    <w:p w14:paraId="7B9305B8" w14:textId="77777777" w:rsidR="00FC6F82" w:rsidRDefault="00FC6F82" w:rsidP="00133CE8">
      <w:pPr>
        <w:spacing w:after="160" w:line="259" w:lineRule="auto"/>
        <w:rPr>
          <w:rFonts w:ascii="Times New Roman" w:hAnsi="Times New Roman"/>
          <w:sz w:val="24"/>
        </w:rPr>
      </w:pPr>
    </w:p>
    <w:p w14:paraId="524F5F7A" w14:textId="77777777" w:rsidR="00FC6F82" w:rsidRDefault="00FC6F82" w:rsidP="00133CE8">
      <w:pPr>
        <w:spacing w:after="160" w:line="259" w:lineRule="auto"/>
        <w:rPr>
          <w:rFonts w:ascii="Times New Roman" w:hAnsi="Times New Roman"/>
          <w:sz w:val="24"/>
        </w:rPr>
      </w:pPr>
    </w:p>
    <w:p w14:paraId="4A0E9A12" w14:textId="77777777" w:rsidR="00FC6F82" w:rsidRDefault="00FC6F82" w:rsidP="00133CE8">
      <w:pPr>
        <w:spacing w:after="160" w:line="259" w:lineRule="auto"/>
        <w:rPr>
          <w:rFonts w:ascii="Times New Roman" w:hAnsi="Times New Roman"/>
          <w:sz w:val="24"/>
        </w:rPr>
      </w:pPr>
    </w:p>
    <w:p w14:paraId="2D397AB5" w14:textId="77777777" w:rsidR="00FC6F82" w:rsidRDefault="00FC6F82" w:rsidP="00133CE8">
      <w:pPr>
        <w:spacing w:after="160" w:line="259" w:lineRule="auto"/>
        <w:rPr>
          <w:rFonts w:ascii="Times New Roman" w:hAnsi="Times New Roman"/>
          <w:sz w:val="24"/>
        </w:rPr>
      </w:pPr>
    </w:p>
    <w:p w14:paraId="11254740" w14:textId="77777777" w:rsidR="00FC6F82" w:rsidRDefault="00FC6F82" w:rsidP="00133CE8">
      <w:pPr>
        <w:spacing w:after="160" w:line="259" w:lineRule="auto"/>
        <w:rPr>
          <w:rFonts w:ascii="Times New Roman" w:hAnsi="Times New Roman"/>
          <w:sz w:val="24"/>
        </w:rPr>
      </w:pPr>
    </w:p>
    <w:p w14:paraId="5E2B1F64" w14:textId="77777777" w:rsidR="00FC6F82" w:rsidRDefault="00FC6F82" w:rsidP="00133CE8">
      <w:pPr>
        <w:spacing w:after="160" w:line="259" w:lineRule="auto"/>
        <w:rPr>
          <w:rFonts w:ascii="Times New Roman" w:hAnsi="Times New Roman"/>
          <w:sz w:val="24"/>
        </w:rPr>
      </w:pPr>
    </w:p>
    <w:p w14:paraId="3760218F" w14:textId="77777777" w:rsidR="00FC6F82" w:rsidRDefault="00FC6F82" w:rsidP="00133CE8">
      <w:pPr>
        <w:spacing w:after="160" w:line="259" w:lineRule="auto"/>
        <w:rPr>
          <w:rFonts w:ascii="Times New Roman" w:hAnsi="Times New Roman"/>
          <w:sz w:val="24"/>
        </w:rPr>
      </w:pPr>
    </w:p>
    <w:p w14:paraId="7DF449CE" w14:textId="77777777" w:rsidR="00FC6F82" w:rsidRDefault="00FC6F82" w:rsidP="00133CE8">
      <w:pPr>
        <w:spacing w:after="160" w:line="259" w:lineRule="auto"/>
        <w:rPr>
          <w:rFonts w:ascii="Times New Roman" w:hAnsi="Times New Roman"/>
          <w:sz w:val="24"/>
        </w:rPr>
      </w:pPr>
    </w:p>
    <w:p w14:paraId="1FC06264" w14:textId="77777777" w:rsidR="00FC6F82" w:rsidRDefault="00FC6F82" w:rsidP="00133CE8">
      <w:pPr>
        <w:spacing w:after="160" w:line="259" w:lineRule="auto"/>
        <w:rPr>
          <w:rFonts w:ascii="Times New Roman" w:hAnsi="Times New Roman"/>
          <w:sz w:val="24"/>
        </w:rPr>
      </w:pPr>
    </w:p>
    <w:p w14:paraId="328B683A" w14:textId="77777777" w:rsidR="00FC6F82" w:rsidRDefault="00FC6F82" w:rsidP="00133CE8">
      <w:pPr>
        <w:spacing w:after="160" w:line="259" w:lineRule="auto"/>
        <w:rPr>
          <w:rFonts w:ascii="Times New Roman" w:hAnsi="Times New Roman"/>
          <w:sz w:val="24"/>
        </w:rPr>
      </w:pPr>
    </w:p>
    <w:p w14:paraId="292A4101" w14:textId="77777777" w:rsidR="00FC6F82" w:rsidRDefault="00FC6F82" w:rsidP="00133CE8">
      <w:pPr>
        <w:spacing w:after="160" w:line="259" w:lineRule="auto"/>
        <w:rPr>
          <w:rFonts w:ascii="Times New Roman" w:hAnsi="Times New Roman"/>
          <w:sz w:val="24"/>
        </w:rPr>
      </w:pPr>
    </w:p>
    <w:p w14:paraId="550C8539" w14:textId="77777777" w:rsidR="00FC6F82" w:rsidRDefault="00FC6F82" w:rsidP="00133CE8">
      <w:pPr>
        <w:spacing w:after="160" w:line="259" w:lineRule="auto"/>
        <w:rPr>
          <w:rFonts w:ascii="Times New Roman" w:hAnsi="Times New Roman"/>
          <w:sz w:val="24"/>
        </w:rPr>
      </w:pPr>
    </w:p>
    <w:p w14:paraId="5C5FCEF2" w14:textId="77777777" w:rsidR="00FC6F82" w:rsidRDefault="00FC6F82" w:rsidP="00133CE8">
      <w:pPr>
        <w:spacing w:after="160" w:line="259" w:lineRule="auto"/>
        <w:rPr>
          <w:rFonts w:ascii="Times New Roman" w:hAnsi="Times New Roman"/>
          <w:sz w:val="24"/>
        </w:rPr>
      </w:pPr>
    </w:p>
    <w:p w14:paraId="629301B0" w14:textId="77777777" w:rsidR="00FC6F82" w:rsidRDefault="00FC6F82" w:rsidP="00133CE8">
      <w:pPr>
        <w:spacing w:after="160" w:line="259" w:lineRule="auto"/>
        <w:rPr>
          <w:rFonts w:ascii="Times New Roman" w:hAnsi="Times New Roman"/>
          <w:sz w:val="24"/>
        </w:rPr>
      </w:pPr>
    </w:p>
    <w:p w14:paraId="3CB4ACBB" w14:textId="5DE3E905" w:rsidR="00FC6F82" w:rsidRDefault="003930B9" w:rsidP="00133CE8">
      <w:pPr>
        <w:spacing w:after="160" w:line="259" w:lineRule="auto"/>
        <w:rPr>
          <w:rFonts w:ascii="Times New Roman" w:hAnsi="Times New Roman"/>
          <w:sz w:val="24"/>
        </w:rPr>
      </w:pPr>
      <w:r w:rsidRPr="003930B9">
        <w:rPr>
          <w:noProof/>
          <w:lang w:eastAsia="en-GB"/>
        </w:rPr>
        <mc:AlternateContent>
          <mc:Choice Requires="wps">
            <w:drawing>
              <wp:anchor distT="0" distB="0" distL="114300" distR="114300" simplePos="0" relativeHeight="251658240" behindDoc="0" locked="0" layoutInCell="1" allowOverlap="1" wp14:anchorId="01CB9116" wp14:editId="6D422163">
                <wp:simplePos x="0" y="0"/>
                <wp:positionH relativeFrom="column">
                  <wp:posOffset>-94996</wp:posOffset>
                </wp:positionH>
                <wp:positionV relativeFrom="paragraph">
                  <wp:posOffset>3034208</wp:posOffset>
                </wp:positionV>
                <wp:extent cx="4988024" cy="553998"/>
                <wp:effectExtent l="0" t="0" r="0" b="0"/>
                <wp:wrapNone/>
                <wp:docPr id="30" name="TextBox 29"/>
                <wp:cNvGraphicFramePr/>
                <a:graphic xmlns:a="http://schemas.openxmlformats.org/drawingml/2006/main">
                  <a:graphicData uri="http://schemas.microsoft.com/office/word/2010/wordprocessingShape">
                    <wps:wsp>
                      <wps:cNvSpPr txBox="1"/>
                      <wps:spPr>
                        <a:xfrm>
                          <a:off x="0" y="0"/>
                          <a:ext cx="4988024" cy="553998"/>
                        </a:xfrm>
                        <a:prstGeom prst="rect">
                          <a:avLst/>
                        </a:prstGeom>
                        <a:noFill/>
                      </wps:spPr>
                      <wps:txbx>
                        <w:txbxContent>
                          <w:p w14:paraId="48087B4E" w14:textId="77777777" w:rsidR="00891876" w:rsidRDefault="00891876" w:rsidP="003930B9">
                            <w:pPr>
                              <w:pStyle w:val="NormalWeb"/>
                              <w:spacing w:before="0" w:beforeAutospacing="0" w:after="0" w:afterAutospacing="0"/>
                            </w:pPr>
                            <w:r>
                              <w:rPr>
                                <w:color w:val="000000" w:themeColor="text1"/>
                                <w:kern w:val="24"/>
                                <w:sz w:val="20"/>
                                <w:szCs w:val="20"/>
                              </w:rPr>
                              <w:t xml:space="preserve">SPR: Self-perception of fracture risk; DXA: Dual-energy X-ray absorptiometry; aBMD: Areal bone mineral density; HRpQCT: High resolution peripheral quantitative computed tomography </w:t>
                            </w:r>
                          </w:p>
                        </w:txbxContent>
                      </wps:txbx>
                      <wps:bodyPr wrap="square" rtlCol="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CB9116" id="TextBox 29" o:spid="_x0000_s1043" type="#_x0000_t202" style="position:absolute;margin-left:-7.5pt;margin-top:238.9pt;width:392.75pt;height:4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" filled="f" stroked="f">
                <v:textbox style="mso-fit-shape-to-text:t">
                  <w:txbxContent>
                    <w:p w14:paraId="48087B4E" w14:textId="77777777" w:rsidR="00891876" w:rsidRDefault="00891876" w:rsidP="003930B9">
                      <w:pPr>
                        <w:pStyle w:val="NormalWeb"/>
                        <w:spacing w:before="0" w:beforeAutospacing="0" w:after="0" w:afterAutospacing="0"/>
                      </w:pPr>
                      <w:r>
                        <w:rPr>
                          <w:color w:val="000000" w:themeColor="text1"/>
                          <w:kern w:val="24"/>
                          <w:sz w:val="20"/>
                          <w:szCs w:val="20"/>
                        </w:rPr>
                        <w:t xml:space="preserve">SPR: Self-perception of fracture risk; DXA: Dual-energy X-ray absorptiometry; </w:t>
                      </w:r>
                      <w:proofErr w:type="spellStart"/>
                      <w:r>
                        <w:rPr>
                          <w:color w:val="000000" w:themeColor="text1"/>
                          <w:kern w:val="24"/>
                          <w:sz w:val="20"/>
                          <w:szCs w:val="20"/>
                        </w:rPr>
                        <w:t>aBMD</w:t>
                      </w:r>
                      <w:proofErr w:type="spellEnd"/>
                      <w:r>
                        <w:rPr>
                          <w:color w:val="000000" w:themeColor="text1"/>
                          <w:kern w:val="24"/>
                          <w:sz w:val="20"/>
                          <w:szCs w:val="20"/>
                        </w:rPr>
                        <w:t xml:space="preserve">: Areal bone mineral density; </w:t>
                      </w:r>
                      <w:proofErr w:type="spellStart"/>
                      <w:r>
                        <w:rPr>
                          <w:color w:val="000000" w:themeColor="text1"/>
                          <w:kern w:val="24"/>
                          <w:sz w:val="20"/>
                          <w:szCs w:val="20"/>
                        </w:rPr>
                        <w:t>HRpQCT</w:t>
                      </w:r>
                      <w:proofErr w:type="spellEnd"/>
                      <w:r>
                        <w:rPr>
                          <w:color w:val="000000" w:themeColor="text1"/>
                          <w:kern w:val="24"/>
                          <w:sz w:val="20"/>
                          <w:szCs w:val="20"/>
                        </w:rPr>
                        <w:t xml:space="preserve">: High resolution peripheral quantitative computed tomography </w:t>
                      </w:r>
                    </w:p>
                  </w:txbxContent>
                </v:textbox>
              </v:shape>
            </w:pict>
          </mc:Fallback>
        </mc:AlternateContent>
      </w:r>
    </w:p>
    <w:p w14:paraId="1097E62B" w14:textId="77777777" w:rsidR="00FC6F82" w:rsidRPr="00133CE8" w:rsidRDefault="00FC6F82" w:rsidP="00133CE8">
      <w:pPr>
        <w:spacing w:after="160" w:line="259" w:lineRule="auto"/>
        <w:rPr>
          <w:rFonts w:ascii="Times New Roman" w:hAnsi="Times New Roman"/>
          <w:noProof/>
          <w:sz w:val="24"/>
          <w:lang w:val="en-US"/>
        </w:rPr>
      </w:pPr>
    </w:p>
    <w:tbl>
      <w:tblPr>
        <w:tblW w:w="8071" w:type="dxa"/>
        <w:tblLayout w:type="fixed"/>
        <w:tblLook w:val="04A0" w:firstRow="1" w:lastRow="0" w:firstColumn="1" w:lastColumn="0" w:noHBand="0" w:noVBand="1"/>
      </w:tblPr>
      <w:tblGrid>
        <w:gridCol w:w="4820"/>
        <w:gridCol w:w="1550"/>
        <w:gridCol w:w="1701"/>
      </w:tblGrid>
      <w:tr w:rsidR="00880D6D" w:rsidRPr="009A499C" w14:paraId="3C5DBFDC" w14:textId="77777777" w:rsidTr="004319B4">
        <w:trPr>
          <w:trHeight w:val="255"/>
        </w:trPr>
        <w:tc>
          <w:tcPr>
            <w:tcW w:w="8071" w:type="dxa"/>
            <w:gridSpan w:val="3"/>
            <w:tcBorders>
              <w:top w:val="nil"/>
              <w:left w:val="nil"/>
              <w:bottom w:val="nil"/>
              <w:right w:val="nil"/>
            </w:tcBorders>
            <w:shd w:val="clear" w:color="auto" w:fill="auto"/>
            <w:hideMark/>
          </w:tcPr>
          <w:p w14:paraId="66754826"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 xml:space="preserve">Table 1: </w:t>
            </w:r>
            <w:r>
              <w:rPr>
                <w:rFonts w:ascii="Times New Roman" w:hAnsi="Times New Roman"/>
                <w:b/>
                <w:bCs/>
                <w:color w:val="000000"/>
                <w:sz w:val="20"/>
                <w:szCs w:val="20"/>
              </w:rPr>
              <w:t>Baseline p</w:t>
            </w:r>
            <w:r w:rsidRPr="009A499C">
              <w:rPr>
                <w:rFonts w:ascii="Times New Roman" w:hAnsi="Times New Roman"/>
                <w:b/>
                <w:bCs/>
                <w:color w:val="000000"/>
                <w:sz w:val="20"/>
                <w:szCs w:val="20"/>
              </w:rPr>
              <w:t>articipant characteristics of the analysis sample (n=</w:t>
            </w:r>
            <w:r w:rsidRPr="009A499C">
              <w:rPr>
                <w:rFonts w:ascii="Times New Roman" w:hAnsi="Times New Roman"/>
                <w:b/>
                <w:sz w:val="20"/>
                <w:szCs w:val="20"/>
                <w:lang w:val="en-US"/>
              </w:rPr>
              <w:t>3912)</w:t>
            </w:r>
          </w:p>
        </w:tc>
      </w:tr>
      <w:tr w:rsidR="00880D6D" w:rsidRPr="009A499C" w14:paraId="13A47C8E" w14:textId="77777777" w:rsidTr="004319B4">
        <w:trPr>
          <w:trHeight w:val="255"/>
        </w:trPr>
        <w:tc>
          <w:tcPr>
            <w:tcW w:w="4820" w:type="dxa"/>
            <w:tcBorders>
              <w:top w:val="nil"/>
              <w:left w:val="nil"/>
              <w:bottom w:val="nil"/>
              <w:right w:val="nil"/>
            </w:tcBorders>
            <w:shd w:val="clear" w:color="auto" w:fill="auto"/>
            <w:noWrap/>
            <w:vAlign w:val="bottom"/>
            <w:hideMark/>
          </w:tcPr>
          <w:p w14:paraId="73961D88" w14:textId="77777777" w:rsidR="00880D6D" w:rsidRPr="009A499C" w:rsidRDefault="00880D6D" w:rsidP="00276638">
            <w:pPr>
              <w:spacing w:line="240" w:lineRule="auto"/>
              <w:jc w:val="both"/>
              <w:rPr>
                <w:rFonts w:ascii="Times New Roman" w:hAnsi="Times New Roman"/>
                <w:b/>
                <w:bCs/>
                <w:color w:val="000000"/>
                <w:sz w:val="20"/>
                <w:szCs w:val="20"/>
              </w:rPr>
            </w:pPr>
          </w:p>
        </w:tc>
        <w:tc>
          <w:tcPr>
            <w:tcW w:w="1550" w:type="dxa"/>
            <w:tcBorders>
              <w:top w:val="nil"/>
              <w:left w:val="nil"/>
              <w:bottom w:val="nil"/>
              <w:right w:val="nil"/>
            </w:tcBorders>
            <w:shd w:val="clear" w:color="auto" w:fill="auto"/>
            <w:noWrap/>
            <w:vAlign w:val="bottom"/>
            <w:hideMark/>
          </w:tcPr>
          <w:p w14:paraId="60F7D69A" w14:textId="77777777" w:rsidR="00880D6D" w:rsidRPr="009A499C" w:rsidRDefault="00880D6D" w:rsidP="00276638">
            <w:pPr>
              <w:spacing w:line="240" w:lineRule="auto"/>
              <w:jc w:val="both"/>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14:paraId="1EF0B6E0"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670F483D" w14:textId="77777777" w:rsidTr="004319B4">
        <w:trPr>
          <w:trHeight w:val="283"/>
        </w:trPr>
        <w:tc>
          <w:tcPr>
            <w:tcW w:w="4820" w:type="dxa"/>
            <w:tcBorders>
              <w:top w:val="single" w:sz="4" w:space="0" w:color="auto"/>
              <w:left w:val="nil"/>
              <w:bottom w:val="single" w:sz="4" w:space="0" w:color="auto"/>
              <w:right w:val="nil"/>
            </w:tcBorders>
            <w:shd w:val="clear" w:color="auto" w:fill="auto"/>
            <w:vAlign w:val="center"/>
            <w:hideMark/>
          </w:tcPr>
          <w:p w14:paraId="284B0A83" w14:textId="26E0F022" w:rsidR="00880D6D" w:rsidRPr="009A499C" w:rsidRDefault="0071484B" w:rsidP="00276638">
            <w:pPr>
              <w:spacing w:line="240" w:lineRule="auto"/>
              <w:jc w:val="both"/>
              <w:rPr>
                <w:rFonts w:ascii="Times New Roman" w:hAnsi="Times New Roman"/>
                <w:b/>
                <w:bCs/>
                <w:color w:val="000000"/>
                <w:sz w:val="20"/>
                <w:szCs w:val="20"/>
              </w:rPr>
            </w:pPr>
            <w:r>
              <w:rPr>
                <w:rFonts w:ascii="Times New Roman" w:hAnsi="Times New Roman"/>
                <w:b/>
                <w:bCs/>
                <w:color w:val="000000"/>
                <w:sz w:val="20"/>
                <w:szCs w:val="20"/>
              </w:rPr>
              <w:t>Participant c</w:t>
            </w:r>
            <w:r w:rsidR="00880D6D" w:rsidRPr="009A499C">
              <w:rPr>
                <w:rFonts w:ascii="Times New Roman" w:hAnsi="Times New Roman"/>
                <w:b/>
                <w:bCs/>
                <w:color w:val="000000"/>
                <w:sz w:val="20"/>
                <w:szCs w:val="20"/>
              </w:rPr>
              <w:t>haracteristic</w:t>
            </w:r>
          </w:p>
        </w:tc>
        <w:tc>
          <w:tcPr>
            <w:tcW w:w="1550" w:type="dxa"/>
            <w:tcBorders>
              <w:top w:val="single" w:sz="4" w:space="0" w:color="auto"/>
              <w:left w:val="nil"/>
              <w:bottom w:val="single" w:sz="4" w:space="0" w:color="auto"/>
              <w:right w:val="nil"/>
            </w:tcBorders>
            <w:shd w:val="clear" w:color="auto" w:fill="auto"/>
            <w:vAlign w:val="center"/>
            <w:hideMark/>
          </w:tcPr>
          <w:p w14:paraId="61DEFC89"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N (%)</w:t>
            </w:r>
          </w:p>
        </w:tc>
        <w:tc>
          <w:tcPr>
            <w:tcW w:w="1701" w:type="dxa"/>
            <w:tcBorders>
              <w:top w:val="single" w:sz="4" w:space="0" w:color="auto"/>
              <w:left w:val="nil"/>
              <w:bottom w:val="single" w:sz="4" w:space="0" w:color="auto"/>
              <w:right w:val="nil"/>
            </w:tcBorders>
            <w:shd w:val="clear" w:color="auto" w:fill="auto"/>
            <w:vAlign w:val="center"/>
            <w:hideMark/>
          </w:tcPr>
          <w:p w14:paraId="428AEF68"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Missing values</w:t>
            </w:r>
          </w:p>
        </w:tc>
      </w:tr>
      <w:tr w:rsidR="00880D6D" w:rsidRPr="009A499C" w14:paraId="6416C42E" w14:textId="77777777" w:rsidTr="004319B4">
        <w:trPr>
          <w:trHeight w:val="255"/>
        </w:trPr>
        <w:tc>
          <w:tcPr>
            <w:tcW w:w="4820" w:type="dxa"/>
            <w:tcBorders>
              <w:top w:val="nil"/>
              <w:left w:val="nil"/>
              <w:bottom w:val="nil"/>
              <w:right w:val="nil"/>
            </w:tcBorders>
            <w:shd w:val="clear" w:color="auto" w:fill="auto"/>
            <w:noWrap/>
            <w:vAlign w:val="center"/>
            <w:hideMark/>
          </w:tcPr>
          <w:p w14:paraId="505335B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Age (years)*</w:t>
            </w:r>
          </w:p>
        </w:tc>
        <w:tc>
          <w:tcPr>
            <w:tcW w:w="1550" w:type="dxa"/>
            <w:tcBorders>
              <w:top w:val="nil"/>
              <w:left w:val="nil"/>
              <w:bottom w:val="nil"/>
              <w:right w:val="nil"/>
            </w:tcBorders>
            <w:shd w:val="clear" w:color="auto" w:fill="auto"/>
            <w:noWrap/>
            <w:vAlign w:val="center"/>
            <w:hideMark/>
          </w:tcPr>
          <w:p w14:paraId="2341448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69.0 (9.0)</w:t>
            </w:r>
          </w:p>
        </w:tc>
        <w:tc>
          <w:tcPr>
            <w:tcW w:w="1701" w:type="dxa"/>
            <w:tcBorders>
              <w:top w:val="nil"/>
              <w:left w:val="nil"/>
              <w:bottom w:val="nil"/>
              <w:right w:val="nil"/>
            </w:tcBorders>
            <w:shd w:val="clear" w:color="auto" w:fill="auto"/>
            <w:noWrap/>
            <w:vAlign w:val="center"/>
            <w:hideMark/>
          </w:tcPr>
          <w:p w14:paraId="19EE3FE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w:t>
            </w:r>
          </w:p>
        </w:tc>
      </w:tr>
      <w:tr w:rsidR="00880D6D" w:rsidRPr="009A499C" w14:paraId="2C582543" w14:textId="77777777" w:rsidTr="004319B4">
        <w:trPr>
          <w:trHeight w:val="255"/>
        </w:trPr>
        <w:tc>
          <w:tcPr>
            <w:tcW w:w="4820" w:type="dxa"/>
            <w:tcBorders>
              <w:top w:val="nil"/>
              <w:left w:val="nil"/>
              <w:bottom w:val="nil"/>
              <w:right w:val="nil"/>
            </w:tcBorders>
            <w:shd w:val="clear" w:color="auto" w:fill="auto"/>
            <w:noWrap/>
            <w:vAlign w:val="center"/>
            <w:hideMark/>
          </w:tcPr>
          <w:p w14:paraId="5871003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Self-reported height (cm)*</w:t>
            </w:r>
          </w:p>
        </w:tc>
        <w:tc>
          <w:tcPr>
            <w:tcW w:w="1550" w:type="dxa"/>
            <w:tcBorders>
              <w:top w:val="nil"/>
              <w:left w:val="nil"/>
              <w:bottom w:val="nil"/>
              <w:right w:val="nil"/>
            </w:tcBorders>
            <w:shd w:val="clear" w:color="auto" w:fill="auto"/>
            <w:noWrap/>
            <w:vAlign w:val="center"/>
            <w:hideMark/>
          </w:tcPr>
          <w:p w14:paraId="0221055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161.7 (6.8)</w:t>
            </w:r>
          </w:p>
        </w:tc>
        <w:tc>
          <w:tcPr>
            <w:tcW w:w="1701" w:type="dxa"/>
            <w:tcBorders>
              <w:top w:val="nil"/>
              <w:left w:val="nil"/>
              <w:bottom w:val="nil"/>
              <w:right w:val="nil"/>
            </w:tcBorders>
            <w:shd w:val="clear" w:color="auto" w:fill="auto"/>
            <w:noWrap/>
            <w:vAlign w:val="center"/>
            <w:hideMark/>
          </w:tcPr>
          <w:p w14:paraId="47D75EA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193</w:t>
            </w:r>
          </w:p>
        </w:tc>
      </w:tr>
      <w:tr w:rsidR="00880D6D" w:rsidRPr="009A499C" w14:paraId="2336B43A" w14:textId="77777777" w:rsidTr="004319B4">
        <w:trPr>
          <w:trHeight w:val="255"/>
        </w:trPr>
        <w:tc>
          <w:tcPr>
            <w:tcW w:w="4820" w:type="dxa"/>
            <w:tcBorders>
              <w:top w:val="nil"/>
              <w:left w:val="nil"/>
              <w:bottom w:val="nil"/>
              <w:right w:val="nil"/>
            </w:tcBorders>
            <w:shd w:val="clear" w:color="auto" w:fill="auto"/>
            <w:noWrap/>
            <w:vAlign w:val="center"/>
            <w:hideMark/>
          </w:tcPr>
          <w:p w14:paraId="4C9A42F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Self-reported weight (kg)*</w:t>
            </w:r>
          </w:p>
        </w:tc>
        <w:tc>
          <w:tcPr>
            <w:tcW w:w="1550" w:type="dxa"/>
            <w:tcBorders>
              <w:top w:val="nil"/>
              <w:left w:val="nil"/>
              <w:bottom w:val="nil"/>
              <w:right w:val="nil"/>
            </w:tcBorders>
            <w:shd w:val="clear" w:color="auto" w:fill="auto"/>
            <w:noWrap/>
            <w:vAlign w:val="center"/>
            <w:hideMark/>
          </w:tcPr>
          <w:p w14:paraId="550816C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68.3 (12.8)</w:t>
            </w:r>
          </w:p>
        </w:tc>
        <w:tc>
          <w:tcPr>
            <w:tcW w:w="1701" w:type="dxa"/>
            <w:tcBorders>
              <w:top w:val="nil"/>
              <w:left w:val="nil"/>
              <w:bottom w:val="nil"/>
              <w:right w:val="nil"/>
            </w:tcBorders>
            <w:shd w:val="clear" w:color="auto" w:fill="auto"/>
            <w:noWrap/>
            <w:vAlign w:val="center"/>
            <w:hideMark/>
          </w:tcPr>
          <w:p w14:paraId="325FE09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215</w:t>
            </w:r>
          </w:p>
        </w:tc>
      </w:tr>
      <w:tr w:rsidR="00880D6D" w:rsidRPr="009A499C" w14:paraId="78013803" w14:textId="77777777" w:rsidTr="004319B4">
        <w:trPr>
          <w:trHeight w:val="255"/>
        </w:trPr>
        <w:tc>
          <w:tcPr>
            <w:tcW w:w="4820" w:type="dxa"/>
            <w:tcBorders>
              <w:top w:val="nil"/>
              <w:left w:val="nil"/>
              <w:bottom w:val="nil"/>
              <w:right w:val="nil"/>
            </w:tcBorders>
            <w:shd w:val="clear" w:color="auto" w:fill="auto"/>
            <w:noWrap/>
            <w:vAlign w:val="center"/>
            <w:hideMark/>
          </w:tcPr>
          <w:p w14:paraId="04ACEC97" w14:textId="5B1325F8"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BMI</w:t>
            </w:r>
            <w:r w:rsidR="003930B9">
              <w:rPr>
                <w:rFonts w:ascii="Times New Roman" w:hAnsi="Times New Roman"/>
                <w:color w:val="000000"/>
                <w:sz w:val="20"/>
                <w:szCs w:val="20"/>
              </w:rPr>
              <w:t xml:space="preserve"> </w:t>
            </w:r>
            <w:r w:rsidRPr="009A499C">
              <w:rPr>
                <w:rFonts w:ascii="Times New Roman" w:hAnsi="Times New Roman"/>
                <w:color w:val="000000"/>
                <w:sz w:val="20"/>
                <w:szCs w:val="20"/>
              </w:rPr>
              <w:t>(kg/m</w:t>
            </w:r>
            <w:r w:rsidRPr="009A499C">
              <w:rPr>
                <w:rFonts w:ascii="Times New Roman" w:hAnsi="Times New Roman"/>
                <w:color w:val="000000"/>
                <w:sz w:val="20"/>
                <w:szCs w:val="20"/>
                <w:vertAlign w:val="superscript"/>
              </w:rPr>
              <w:t>2</w:t>
            </w:r>
            <w:r w:rsidRPr="009A499C">
              <w:rPr>
                <w:rFonts w:ascii="Times New Roman" w:hAnsi="Times New Roman"/>
                <w:color w:val="000000"/>
                <w:sz w:val="20"/>
                <w:szCs w:val="20"/>
              </w:rPr>
              <w:t>)*</w:t>
            </w:r>
          </w:p>
        </w:tc>
        <w:tc>
          <w:tcPr>
            <w:tcW w:w="1550" w:type="dxa"/>
            <w:tcBorders>
              <w:top w:val="nil"/>
              <w:left w:val="nil"/>
              <w:bottom w:val="nil"/>
              <w:right w:val="nil"/>
            </w:tcBorders>
            <w:shd w:val="clear" w:color="auto" w:fill="auto"/>
            <w:noWrap/>
            <w:vAlign w:val="center"/>
            <w:hideMark/>
          </w:tcPr>
          <w:p w14:paraId="78FD165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26.1 (4.7)</w:t>
            </w:r>
          </w:p>
        </w:tc>
        <w:tc>
          <w:tcPr>
            <w:tcW w:w="1701" w:type="dxa"/>
            <w:tcBorders>
              <w:top w:val="nil"/>
              <w:left w:val="nil"/>
              <w:bottom w:val="nil"/>
              <w:right w:val="nil"/>
            </w:tcBorders>
            <w:shd w:val="clear" w:color="auto" w:fill="auto"/>
            <w:noWrap/>
            <w:vAlign w:val="center"/>
            <w:hideMark/>
          </w:tcPr>
          <w:p w14:paraId="204E543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354</w:t>
            </w:r>
          </w:p>
        </w:tc>
      </w:tr>
      <w:tr w:rsidR="00880D6D" w:rsidRPr="009A499C" w14:paraId="32423F6C" w14:textId="77777777" w:rsidTr="004319B4">
        <w:trPr>
          <w:trHeight w:val="255"/>
        </w:trPr>
        <w:tc>
          <w:tcPr>
            <w:tcW w:w="4820" w:type="dxa"/>
            <w:tcBorders>
              <w:top w:val="nil"/>
              <w:left w:val="nil"/>
              <w:bottom w:val="nil"/>
              <w:right w:val="nil"/>
            </w:tcBorders>
            <w:shd w:val="clear" w:color="auto" w:fill="auto"/>
            <w:noWrap/>
            <w:vAlign w:val="center"/>
            <w:hideMark/>
          </w:tcPr>
          <w:p w14:paraId="61CEC53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Current smoker</w:t>
            </w:r>
          </w:p>
        </w:tc>
        <w:tc>
          <w:tcPr>
            <w:tcW w:w="1550" w:type="dxa"/>
            <w:tcBorders>
              <w:top w:val="nil"/>
              <w:left w:val="nil"/>
              <w:bottom w:val="nil"/>
              <w:right w:val="nil"/>
            </w:tcBorders>
            <w:shd w:val="clear" w:color="auto" w:fill="auto"/>
            <w:noWrap/>
            <w:vAlign w:val="center"/>
            <w:hideMark/>
          </w:tcPr>
          <w:p w14:paraId="5470F88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273 (7.1%)</w:t>
            </w:r>
          </w:p>
        </w:tc>
        <w:tc>
          <w:tcPr>
            <w:tcW w:w="1701" w:type="dxa"/>
            <w:tcBorders>
              <w:top w:val="nil"/>
              <w:left w:val="nil"/>
              <w:bottom w:val="nil"/>
              <w:right w:val="nil"/>
            </w:tcBorders>
            <w:shd w:val="clear" w:color="auto" w:fill="auto"/>
            <w:noWrap/>
            <w:vAlign w:val="center"/>
            <w:hideMark/>
          </w:tcPr>
          <w:p w14:paraId="0CFBC85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48</w:t>
            </w:r>
          </w:p>
        </w:tc>
      </w:tr>
      <w:tr w:rsidR="00880D6D" w:rsidRPr="009A499C" w14:paraId="0F56C919" w14:textId="77777777" w:rsidTr="004319B4">
        <w:trPr>
          <w:trHeight w:val="255"/>
        </w:trPr>
        <w:tc>
          <w:tcPr>
            <w:tcW w:w="4820" w:type="dxa"/>
            <w:tcBorders>
              <w:top w:val="nil"/>
              <w:left w:val="nil"/>
              <w:bottom w:val="nil"/>
              <w:right w:val="nil"/>
            </w:tcBorders>
            <w:shd w:val="clear" w:color="auto" w:fill="auto"/>
            <w:noWrap/>
            <w:vAlign w:val="center"/>
            <w:hideMark/>
          </w:tcPr>
          <w:p w14:paraId="3287EF7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Self-perceived fracture risk</w:t>
            </w:r>
          </w:p>
        </w:tc>
        <w:tc>
          <w:tcPr>
            <w:tcW w:w="1550" w:type="dxa"/>
            <w:tcBorders>
              <w:top w:val="nil"/>
              <w:left w:val="nil"/>
              <w:bottom w:val="nil"/>
              <w:right w:val="nil"/>
            </w:tcBorders>
            <w:shd w:val="clear" w:color="auto" w:fill="auto"/>
            <w:noWrap/>
            <w:vAlign w:val="center"/>
            <w:hideMark/>
          </w:tcPr>
          <w:p w14:paraId="23F9C0C2"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3F648BDF"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3731CDA8" w14:textId="77777777" w:rsidTr="004319B4">
        <w:trPr>
          <w:trHeight w:val="255"/>
        </w:trPr>
        <w:tc>
          <w:tcPr>
            <w:tcW w:w="4820" w:type="dxa"/>
            <w:tcBorders>
              <w:top w:val="nil"/>
              <w:left w:val="nil"/>
              <w:bottom w:val="nil"/>
              <w:right w:val="nil"/>
            </w:tcBorders>
            <w:shd w:val="clear" w:color="auto" w:fill="auto"/>
            <w:noWrap/>
            <w:vAlign w:val="center"/>
            <w:hideMark/>
          </w:tcPr>
          <w:p w14:paraId="0F6D8AD1"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Much lower</w:t>
            </w:r>
          </w:p>
        </w:tc>
        <w:tc>
          <w:tcPr>
            <w:tcW w:w="1550" w:type="dxa"/>
            <w:tcBorders>
              <w:top w:val="nil"/>
              <w:left w:val="nil"/>
              <w:bottom w:val="nil"/>
              <w:right w:val="nil"/>
            </w:tcBorders>
            <w:shd w:val="clear" w:color="auto" w:fill="auto"/>
            <w:noWrap/>
            <w:vAlign w:val="center"/>
            <w:hideMark/>
          </w:tcPr>
          <w:p w14:paraId="7873396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472 (12.1%)</w:t>
            </w:r>
          </w:p>
        </w:tc>
        <w:tc>
          <w:tcPr>
            <w:tcW w:w="1701" w:type="dxa"/>
            <w:vMerge w:val="restart"/>
            <w:tcBorders>
              <w:top w:val="nil"/>
              <w:left w:val="nil"/>
              <w:bottom w:val="nil"/>
              <w:right w:val="nil"/>
            </w:tcBorders>
            <w:shd w:val="clear" w:color="auto" w:fill="auto"/>
            <w:noWrap/>
            <w:vAlign w:val="center"/>
            <w:hideMark/>
          </w:tcPr>
          <w:p w14:paraId="776D4D0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w:t>
            </w:r>
          </w:p>
        </w:tc>
      </w:tr>
      <w:tr w:rsidR="00880D6D" w:rsidRPr="009A499C" w14:paraId="7F9AB550" w14:textId="77777777" w:rsidTr="004319B4">
        <w:trPr>
          <w:trHeight w:val="255"/>
        </w:trPr>
        <w:tc>
          <w:tcPr>
            <w:tcW w:w="4820" w:type="dxa"/>
            <w:tcBorders>
              <w:top w:val="nil"/>
              <w:left w:val="nil"/>
              <w:bottom w:val="nil"/>
              <w:right w:val="nil"/>
            </w:tcBorders>
            <w:shd w:val="clear" w:color="auto" w:fill="auto"/>
            <w:noWrap/>
            <w:vAlign w:val="center"/>
            <w:hideMark/>
          </w:tcPr>
          <w:p w14:paraId="0CAB691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 little lower</w:t>
            </w:r>
          </w:p>
        </w:tc>
        <w:tc>
          <w:tcPr>
            <w:tcW w:w="1550" w:type="dxa"/>
            <w:tcBorders>
              <w:top w:val="nil"/>
              <w:left w:val="nil"/>
              <w:bottom w:val="nil"/>
              <w:right w:val="nil"/>
            </w:tcBorders>
            <w:shd w:val="clear" w:color="auto" w:fill="auto"/>
            <w:noWrap/>
            <w:vAlign w:val="center"/>
            <w:hideMark/>
          </w:tcPr>
          <w:p w14:paraId="26EB870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646 (16.5%)</w:t>
            </w:r>
          </w:p>
        </w:tc>
        <w:tc>
          <w:tcPr>
            <w:tcW w:w="1701" w:type="dxa"/>
            <w:vMerge/>
            <w:tcBorders>
              <w:top w:val="nil"/>
              <w:left w:val="nil"/>
              <w:bottom w:val="nil"/>
              <w:right w:val="nil"/>
            </w:tcBorders>
            <w:vAlign w:val="center"/>
            <w:hideMark/>
          </w:tcPr>
          <w:p w14:paraId="34A6D734"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42A36CD6" w14:textId="77777777" w:rsidTr="004319B4">
        <w:trPr>
          <w:trHeight w:val="255"/>
        </w:trPr>
        <w:tc>
          <w:tcPr>
            <w:tcW w:w="4820" w:type="dxa"/>
            <w:tcBorders>
              <w:top w:val="nil"/>
              <w:left w:val="nil"/>
              <w:bottom w:val="nil"/>
              <w:right w:val="nil"/>
            </w:tcBorders>
            <w:shd w:val="clear" w:color="auto" w:fill="auto"/>
            <w:noWrap/>
            <w:vAlign w:val="center"/>
            <w:hideMark/>
          </w:tcPr>
          <w:p w14:paraId="6D2AAC94"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About the same</w:t>
            </w:r>
          </w:p>
        </w:tc>
        <w:tc>
          <w:tcPr>
            <w:tcW w:w="1550" w:type="dxa"/>
            <w:tcBorders>
              <w:top w:val="nil"/>
              <w:left w:val="nil"/>
              <w:bottom w:val="nil"/>
              <w:right w:val="nil"/>
            </w:tcBorders>
            <w:shd w:val="clear" w:color="auto" w:fill="auto"/>
            <w:noWrap/>
            <w:vAlign w:val="center"/>
            <w:hideMark/>
          </w:tcPr>
          <w:p w14:paraId="192BA6F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2213 (56.6%)</w:t>
            </w:r>
          </w:p>
        </w:tc>
        <w:tc>
          <w:tcPr>
            <w:tcW w:w="1701" w:type="dxa"/>
            <w:vMerge/>
            <w:tcBorders>
              <w:top w:val="nil"/>
              <w:left w:val="nil"/>
              <w:bottom w:val="nil"/>
              <w:right w:val="nil"/>
            </w:tcBorders>
            <w:vAlign w:val="center"/>
            <w:hideMark/>
          </w:tcPr>
          <w:p w14:paraId="3AB16604"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16305E32" w14:textId="77777777" w:rsidTr="004319B4">
        <w:trPr>
          <w:trHeight w:val="255"/>
        </w:trPr>
        <w:tc>
          <w:tcPr>
            <w:tcW w:w="4820" w:type="dxa"/>
            <w:tcBorders>
              <w:top w:val="nil"/>
              <w:left w:val="nil"/>
              <w:bottom w:val="nil"/>
              <w:right w:val="nil"/>
            </w:tcBorders>
            <w:shd w:val="clear" w:color="auto" w:fill="auto"/>
            <w:noWrap/>
            <w:vAlign w:val="center"/>
            <w:hideMark/>
          </w:tcPr>
          <w:p w14:paraId="12932F3A"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 little higher</w:t>
            </w:r>
          </w:p>
        </w:tc>
        <w:tc>
          <w:tcPr>
            <w:tcW w:w="1550" w:type="dxa"/>
            <w:tcBorders>
              <w:top w:val="nil"/>
              <w:left w:val="nil"/>
              <w:bottom w:val="nil"/>
              <w:right w:val="nil"/>
            </w:tcBorders>
            <w:shd w:val="clear" w:color="auto" w:fill="auto"/>
            <w:noWrap/>
            <w:vAlign w:val="center"/>
            <w:hideMark/>
          </w:tcPr>
          <w:p w14:paraId="3387839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442 (11.3%)</w:t>
            </w:r>
          </w:p>
        </w:tc>
        <w:tc>
          <w:tcPr>
            <w:tcW w:w="1701" w:type="dxa"/>
            <w:vMerge/>
            <w:tcBorders>
              <w:top w:val="nil"/>
              <w:left w:val="nil"/>
              <w:bottom w:val="nil"/>
              <w:right w:val="nil"/>
            </w:tcBorders>
            <w:vAlign w:val="center"/>
            <w:hideMark/>
          </w:tcPr>
          <w:p w14:paraId="70D0D2B5"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5F90EE30" w14:textId="77777777" w:rsidTr="004319B4">
        <w:trPr>
          <w:trHeight w:val="255"/>
        </w:trPr>
        <w:tc>
          <w:tcPr>
            <w:tcW w:w="4820" w:type="dxa"/>
            <w:tcBorders>
              <w:top w:val="nil"/>
              <w:left w:val="nil"/>
              <w:bottom w:val="nil"/>
              <w:right w:val="nil"/>
            </w:tcBorders>
            <w:shd w:val="clear" w:color="auto" w:fill="auto"/>
            <w:noWrap/>
            <w:vAlign w:val="center"/>
            <w:hideMark/>
          </w:tcPr>
          <w:p w14:paraId="589A6221"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Much higher</w:t>
            </w:r>
          </w:p>
        </w:tc>
        <w:tc>
          <w:tcPr>
            <w:tcW w:w="1550" w:type="dxa"/>
            <w:tcBorders>
              <w:top w:val="nil"/>
              <w:left w:val="nil"/>
              <w:bottom w:val="nil"/>
              <w:right w:val="nil"/>
            </w:tcBorders>
            <w:shd w:val="clear" w:color="auto" w:fill="auto"/>
            <w:noWrap/>
            <w:vAlign w:val="center"/>
            <w:hideMark/>
          </w:tcPr>
          <w:p w14:paraId="35B36E2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139 (3.6%)</w:t>
            </w:r>
          </w:p>
        </w:tc>
        <w:tc>
          <w:tcPr>
            <w:tcW w:w="1701" w:type="dxa"/>
            <w:vMerge/>
            <w:tcBorders>
              <w:top w:val="nil"/>
              <w:left w:val="nil"/>
              <w:bottom w:val="nil"/>
              <w:right w:val="nil"/>
            </w:tcBorders>
            <w:vAlign w:val="center"/>
            <w:hideMark/>
          </w:tcPr>
          <w:p w14:paraId="3F955955"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62378B17" w14:textId="77777777" w:rsidTr="004319B4">
        <w:trPr>
          <w:trHeight w:val="255"/>
        </w:trPr>
        <w:tc>
          <w:tcPr>
            <w:tcW w:w="4820" w:type="dxa"/>
            <w:tcBorders>
              <w:top w:val="nil"/>
              <w:left w:val="nil"/>
              <w:bottom w:val="nil"/>
              <w:right w:val="nil"/>
            </w:tcBorders>
            <w:shd w:val="clear" w:color="auto" w:fill="auto"/>
            <w:noWrap/>
            <w:vAlign w:val="center"/>
            <w:hideMark/>
          </w:tcPr>
          <w:p w14:paraId="560E9F3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Alcohol consumption</w:t>
            </w:r>
          </w:p>
        </w:tc>
        <w:tc>
          <w:tcPr>
            <w:tcW w:w="1550" w:type="dxa"/>
            <w:tcBorders>
              <w:top w:val="nil"/>
              <w:left w:val="nil"/>
              <w:bottom w:val="nil"/>
              <w:right w:val="nil"/>
            </w:tcBorders>
            <w:shd w:val="clear" w:color="auto" w:fill="auto"/>
            <w:noWrap/>
            <w:vAlign w:val="center"/>
            <w:hideMark/>
          </w:tcPr>
          <w:p w14:paraId="0A001EBD"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41A7ECE3"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2E03E279" w14:textId="77777777" w:rsidTr="004319B4">
        <w:trPr>
          <w:trHeight w:val="255"/>
        </w:trPr>
        <w:tc>
          <w:tcPr>
            <w:tcW w:w="4820" w:type="dxa"/>
            <w:tcBorders>
              <w:top w:val="nil"/>
              <w:left w:val="nil"/>
              <w:bottom w:val="nil"/>
              <w:right w:val="nil"/>
            </w:tcBorders>
            <w:shd w:val="clear" w:color="auto" w:fill="auto"/>
            <w:noWrap/>
            <w:vAlign w:val="center"/>
            <w:hideMark/>
          </w:tcPr>
          <w:p w14:paraId="07DFEE44"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None</w:t>
            </w:r>
          </w:p>
        </w:tc>
        <w:tc>
          <w:tcPr>
            <w:tcW w:w="1550" w:type="dxa"/>
            <w:tcBorders>
              <w:top w:val="nil"/>
              <w:left w:val="nil"/>
              <w:bottom w:val="nil"/>
              <w:right w:val="nil"/>
            </w:tcBorders>
            <w:shd w:val="clear" w:color="auto" w:fill="auto"/>
            <w:noWrap/>
            <w:vAlign w:val="center"/>
            <w:hideMark/>
          </w:tcPr>
          <w:p w14:paraId="34C4525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1242 (32.0%)</w:t>
            </w:r>
          </w:p>
        </w:tc>
        <w:tc>
          <w:tcPr>
            <w:tcW w:w="1701" w:type="dxa"/>
            <w:vMerge w:val="restart"/>
            <w:tcBorders>
              <w:top w:val="nil"/>
              <w:left w:val="nil"/>
              <w:bottom w:val="nil"/>
              <w:right w:val="nil"/>
            </w:tcBorders>
            <w:shd w:val="clear" w:color="auto" w:fill="auto"/>
            <w:noWrap/>
            <w:vAlign w:val="center"/>
            <w:hideMark/>
          </w:tcPr>
          <w:p w14:paraId="6A9695F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34</w:t>
            </w:r>
          </w:p>
        </w:tc>
      </w:tr>
      <w:tr w:rsidR="00880D6D" w:rsidRPr="009A499C" w14:paraId="62A86685" w14:textId="77777777" w:rsidTr="004319B4">
        <w:trPr>
          <w:trHeight w:val="255"/>
        </w:trPr>
        <w:tc>
          <w:tcPr>
            <w:tcW w:w="4820" w:type="dxa"/>
            <w:tcBorders>
              <w:top w:val="nil"/>
              <w:left w:val="nil"/>
              <w:bottom w:val="nil"/>
              <w:right w:val="nil"/>
            </w:tcBorders>
            <w:shd w:val="clear" w:color="auto" w:fill="auto"/>
            <w:noWrap/>
            <w:vAlign w:val="center"/>
            <w:hideMark/>
          </w:tcPr>
          <w:p w14:paraId="66140935"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1-6</w:t>
            </w:r>
          </w:p>
        </w:tc>
        <w:tc>
          <w:tcPr>
            <w:tcW w:w="1550" w:type="dxa"/>
            <w:tcBorders>
              <w:top w:val="nil"/>
              <w:left w:val="nil"/>
              <w:bottom w:val="nil"/>
              <w:right w:val="nil"/>
            </w:tcBorders>
            <w:shd w:val="clear" w:color="auto" w:fill="auto"/>
            <w:noWrap/>
            <w:vAlign w:val="center"/>
            <w:hideMark/>
          </w:tcPr>
          <w:p w14:paraId="29B21A8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1598 (41.2%)</w:t>
            </w:r>
          </w:p>
        </w:tc>
        <w:tc>
          <w:tcPr>
            <w:tcW w:w="1701" w:type="dxa"/>
            <w:vMerge/>
            <w:tcBorders>
              <w:top w:val="nil"/>
              <w:left w:val="nil"/>
              <w:bottom w:val="nil"/>
              <w:right w:val="nil"/>
            </w:tcBorders>
            <w:vAlign w:val="center"/>
            <w:hideMark/>
          </w:tcPr>
          <w:p w14:paraId="30AFC86A"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3C0C2FCD" w14:textId="77777777" w:rsidTr="004319B4">
        <w:trPr>
          <w:trHeight w:val="255"/>
        </w:trPr>
        <w:tc>
          <w:tcPr>
            <w:tcW w:w="4820" w:type="dxa"/>
            <w:tcBorders>
              <w:top w:val="nil"/>
              <w:left w:val="nil"/>
              <w:bottom w:val="nil"/>
              <w:right w:val="nil"/>
            </w:tcBorders>
            <w:shd w:val="clear" w:color="auto" w:fill="auto"/>
            <w:noWrap/>
            <w:vAlign w:val="center"/>
            <w:hideMark/>
          </w:tcPr>
          <w:p w14:paraId="7171D840"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7-13</w:t>
            </w:r>
          </w:p>
        </w:tc>
        <w:tc>
          <w:tcPr>
            <w:tcW w:w="1550" w:type="dxa"/>
            <w:tcBorders>
              <w:top w:val="nil"/>
              <w:left w:val="nil"/>
              <w:bottom w:val="nil"/>
              <w:right w:val="nil"/>
            </w:tcBorders>
            <w:shd w:val="clear" w:color="auto" w:fill="auto"/>
            <w:noWrap/>
            <w:vAlign w:val="center"/>
            <w:hideMark/>
          </w:tcPr>
          <w:p w14:paraId="37820A9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779 (20.1%)</w:t>
            </w:r>
          </w:p>
        </w:tc>
        <w:tc>
          <w:tcPr>
            <w:tcW w:w="1701" w:type="dxa"/>
            <w:vMerge/>
            <w:tcBorders>
              <w:top w:val="nil"/>
              <w:left w:val="nil"/>
              <w:bottom w:val="nil"/>
              <w:right w:val="nil"/>
            </w:tcBorders>
            <w:vAlign w:val="center"/>
            <w:hideMark/>
          </w:tcPr>
          <w:p w14:paraId="12DCCF5F"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0BE0865A" w14:textId="77777777" w:rsidTr="004319B4">
        <w:trPr>
          <w:trHeight w:val="255"/>
        </w:trPr>
        <w:tc>
          <w:tcPr>
            <w:tcW w:w="4820" w:type="dxa"/>
            <w:tcBorders>
              <w:top w:val="nil"/>
              <w:left w:val="nil"/>
              <w:bottom w:val="nil"/>
              <w:right w:val="nil"/>
            </w:tcBorders>
            <w:shd w:val="clear" w:color="auto" w:fill="auto"/>
            <w:noWrap/>
            <w:vAlign w:val="center"/>
            <w:hideMark/>
          </w:tcPr>
          <w:p w14:paraId="3A929F7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14-20</w:t>
            </w:r>
          </w:p>
        </w:tc>
        <w:tc>
          <w:tcPr>
            <w:tcW w:w="1550" w:type="dxa"/>
            <w:tcBorders>
              <w:top w:val="nil"/>
              <w:left w:val="nil"/>
              <w:bottom w:val="nil"/>
              <w:right w:val="nil"/>
            </w:tcBorders>
            <w:shd w:val="clear" w:color="auto" w:fill="auto"/>
            <w:noWrap/>
            <w:vAlign w:val="center"/>
            <w:hideMark/>
          </w:tcPr>
          <w:p w14:paraId="25FC89D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222 (5.7%)</w:t>
            </w:r>
          </w:p>
        </w:tc>
        <w:tc>
          <w:tcPr>
            <w:tcW w:w="1701" w:type="dxa"/>
            <w:vMerge/>
            <w:tcBorders>
              <w:top w:val="nil"/>
              <w:left w:val="nil"/>
              <w:bottom w:val="nil"/>
              <w:right w:val="nil"/>
            </w:tcBorders>
            <w:vAlign w:val="center"/>
            <w:hideMark/>
          </w:tcPr>
          <w:p w14:paraId="64402536"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0234BCF8" w14:textId="77777777" w:rsidTr="004319B4">
        <w:trPr>
          <w:trHeight w:val="255"/>
        </w:trPr>
        <w:tc>
          <w:tcPr>
            <w:tcW w:w="4820" w:type="dxa"/>
            <w:tcBorders>
              <w:top w:val="nil"/>
              <w:left w:val="nil"/>
              <w:bottom w:val="nil"/>
              <w:right w:val="nil"/>
            </w:tcBorders>
            <w:shd w:val="clear" w:color="auto" w:fill="auto"/>
            <w:noWrap/>
            <w:vAlign w:val="center"/>
            <w:hideMark/>
          </w:tcPr>
          <w:p w14:paraId="3F8ED63B"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&gt;20</w:t>
            </w:r>
          </w:p>
        </w:tc>
        <w:tc>
          <w:tcPr>
            <w:tcW w:w="1550" w:type="dxa"/>
            <w:tcBorders>
              <w:top w:val="nil"/>
              <w:left w:val="nil"/>
              <w:bottom w:val="nil"/>
              <w:right w:val="nil"/>
            </w:tcBorders>
            <w:shd w:val="clear" w:color="auto" w:fill="auto"/>
            <w:noWrap/>
            <w:vAlign w:val="center"/>
            <w:hideMark/>
          </w:tcPr>
          <w:p w14:paraId="65BD5D5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37 (1.0%)</w:t>
            </w:r>
          </w:p>
        </w:tc>
        <w:tc>
          <w:tcPr>
            <w:tcW w:w="1701" w:type="dxa"/>
            <w:vMerge/>
            <w:tcBorders>
              <w:top w:val="nil"/>
              <w:left w:val="nil"/>
              <w:bottom w:val="nil"/>
              <w:right w:val="nil"/>
            </w:tcBorders>
            <w:vAlign w:val="center"/>
            <w:hideMark/>
          </w:tcPr>
          <w:p w14:paraId="2CB3A103"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382CD977" w14:textId="77777777" w:rsidTr="004319B4">
        <w:trPr>
          <w:trHeight w:val="255"/>
        </w:trPr>
        <w:tc>
          <w:tcPr>
            <w:tcW w:w="4820" w:type="dxa"/>
            <w:tcBorders>
              <w:top w:val="nil"/>
              <w:left w:val="nil"/>
              <w:bottom w:val="nil"/>
              <w:right w:val="nil"/>
            </w:tcBorders>
            <w:shd w:val="clear" w:color="auto" w:fill="auto"/>
            <w:noWrap/>
            <w:vAlign w:val="center"/>
            <w:hideMark/>
          </w:tcPr>
          <w:p w14:paraId="3C42378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Physically active compared to others</w:t>
            </w:r>
          </w:p>
        </w:tc>
        <w:tc>
          <w:tcPr>
            <w:tcW w:w="1550" w:type="dxa"/>
            <w:tcBorders>
              <w:top w:val="nil"/>
              <w:left w:val="nil"/>
              <w:bottom w:val="nil"/>
              <w:right w:val="nil"/>
            </w:tcBorders>
            <w:shd w:val="clear" w:color="auto" w:fill="auto"/>
            <w:noWrap/>
            <w:vAlign w:val="center"/>
            <w:hideMark/>
          </w:tcPr>
          <w:p w14:paraId="53583FA8"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7B8F012B"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4083D48F" w14:textId="77777777" w:rsidTr="004319B4">
        <w:trPr>
          <w:trHeight w:val="255"/>
        </w:trPr>
        <w:tc>
          <w:tcPr>
            <w:tcW w:w="4820" w:type="dxa"/>
            <w:tcBorders>
              <w:top w:val="nil"/>
              <w:left w:val="nil"/>
              <w:bottom w:val="nil"/>
              <w:right w:val="nil"/>
            </w:tcBorders>
            <w:shd w:val="clear" w:color="auto" w:fill="auto"/>
            <w:noWrap/>
            <w:vAlign w:val="center"/>
            <w:hideMark/>
          </w:tcPr>
          <w:p w14:paraId="2B9F7409"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Not at all</w:t>
            </w:r>
          </w:p>
        </w:tc>
        <w:tc>
          <w:tcPr>
            <w:tcW w:w="1550" w:type="dxa"/>
            <w:tcBorders>
              <w:top w:val="nil"/>
              <w:left w:val="nil"/>
              <w:bottom w:val="nil"/>
              <w:right w:val="nil"/>
            </w:tcBorders>
            <w:shd w:val="clear" w:color="auto" w:fill="auto"/>
            <w:noWrap/>
            <w:vAlign w:val="center"/>
            <w:hideMark/>
          </w:tcPr>
          <w:p w14:paraId="1F3353E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135 (3.5%)</w:t>
            </w:r>
          </w:p>
        </w:tc>
        <w:tc>
          <w:tcPr>
            <w:tcW w:w="1701" w:type="dxa"/>
            <w:vMerge w:val="restart"/>
            <w:tcBorders>
              <w:top w:val="nil"/>
              <w:left w:val="nil"/>
              <w:bottom w:val="nil"/>
              <w:right w:val="nil"/>
            </w:tcBorders>
            <w:shd w:val="clear" w:color="auto" w:fill="auto"/>
            <w:noWrap/>
            <w:vAlign w:val="center"/>
            <w:hideMark/>
          </w:tcPr>
          <w:p w14:paraId="0F26046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56</w:t>
            </w:r>
          </w:p>
        </w:tc>
      </w:tr>
      <w:tr w:rsidR="00880D6D" w:rsidRPr="009A499C" w14:paraId="53AD0356" w14:textId="77777777" w:rsidTr="004319B4">
        <w:trPr>
          <w:trHeight w:val="255"/>
        </w:trPr>
        <w:tc>
          <w:tcPr>
            <w:tcW w:w="4820" w:type="dxa"/>
            <w:tcBorders>
              <w:top w:val="nil"/>
              <w:left w:val="nil"/>
              <w:bottom w:val="nil"/>
              <w:right w:val="nil"/>
            </w:tcBorders>
            <w:shd w:val="clear" w:color="auto" w:fill="auto"/>
            <w:noWrap/>
            <w:vAlign w:val="center"/>
            <w:hideMark/>
          </w:tcPr>
          <w:p w14:paraId="1C7E566E"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 little</w:t>
            </w:r>
          </w:p>
        </w:tc>
        <w:tc>
          <w:tcPr>
            <w:tcW w:w="1550" w:type="dxa"/>
            <w:tcBorders>
              <w:top w:val="nil"/>
              <w:left w:val="nil"/>
              <w:bottom w:val="nil"/>
              <w:right w:val="nil"/>
            </w:tcBorders>
            <w:shd w:val="clear" w:color="auto" w:fill="auto"/>
            <w:noWrap/>
            <w:vAlign w:val="center"/>
            <w:hideMark/>
          </w:tcPr>
          <w:p w14:paraId="35C683B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694 (18.0%)</w:t>
            </w:r>
          </w:p>
        </w:tc>
        <w:tc>
          <w:tcPr>
            <w:tcW w:w="1701" w:type="dxa"/>
            <w:vMerge/>
            <w:tcBorders>
              <w:top w:val="nil"/>
              <w:left w:val="nil"/>
              <w:bottom w:val="nil"/>
              <w:right w:val="nil"/>
            </w:tcBorders>
            <w:vAlign w:val="center"/>
            <w:hideMark/>
          </w:tcPr>
          <w:p w14:paraId="1BB6ECF4"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0B61A623" w14:textId="77777777" w:rsidTr="004319B4">
        <w:trPr>
          <w:trHeight w:val="255"/>
        </w:trPr>
        <w:tc>
          <w:tcPr>
            <w:tcW w:w="4820" w:type="dxa"/>
            <w:tcBorders>
              <w:top w:val="nil"/>
              <w:left w:val="nil"/>
              <w:bottom w:val="nil"/>
              <w:right w:val="nil"/>
            </w:tcBorders>
            <w:shd w:val="clear" w:color="auto" w:fill="auto"/>
            <w:noWrap/>
            <w:vAlign w:val="center"/>
            <w:hideMark/>
          </w:tcPr>
          <w:p w14:paraId="2F65EB03"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Somewhat</w:t>
            </w:r>
          </w:p>
        </w:tc>
        <w:tc>
          <w:tcPr>
            <w:tcW w:w="1550" w:type="dxa"/>
            <w:tcBorders>
              <w:top w:val="nil"/>
              <w:left w:val="nil"/>
              <w:bottom w:val="nil"/>
              <w:right w:val="nil"/>
            </w:tcBorders>
            <w:shd w:val="clear" w:color="auto" w:fill="auto"/>
            <w:noWrap/>
            <w:vAlign w:val="center"/>
            <w:hideMark/>
          </w:tcPr>
          <w:p w14:paraId="73F593B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1893 (49.1%)</w:t>
            </w:r>
          </w:p>
        </w:tc>
        <w:tc>
          <w:tcPr>
            <w:tcW w:w="1701" w:type="dxa"/>
            <w:vMerge/>
            <w:tcBorders>
              <w:top w:val="nil"/>
              <w:left w:val="nil"/>
              <w:bottom w:val="nil"/>
              <w:right w:val="nil"/>
            </w:tcBorders>
            <w:vAlign w:val="center"/>
            <w:hideMark/>
          </w:tcPr>
          <w:p w14:paraId="2F3124E8"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509A97F7" w14:textId="77777777" w:rsidTr="004319B4">
        <w:trPr>
          <w:trHeight w:val="255"/>
        </w:trPr>
        <w:tc>
          <w:tcPr>
            <w:tcW w:w="4820" w:type="dxa"/>
            <w:tcBorders>
              <w:top w:val="nil"/>
              <w:left w:val="nil"/>
              <w:bottom w:val="nil"/>
              <w:right w:val="nil"/>
            </w:tcBorders>
            <w:shd w:val="clear" w:color="auto" w:fill="auto"/>
            <w:noWrap/>
            <w:vAlign w:val="center"/>
            <w:hideMark/>
          </w:tcPr>
          <w:p w14:paraId="3C2F35A0"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Very</w:t>
            </w:r>
          </w:p>
        </w:tc>
        <w:tc>
          <w:tcPr>
            <w:tcW w:w="1550" w:type="dxa"/>
            <w:tcBorders>
              <w:top w:val="nil"/>
              <w:left w:val="nil"/>
              <w:bottom w:val="nil"/>
              <w:right w:val="nil"/>
            </w:tcBorders>
            <w:shd w:val="clear" w:color="auto" w:fill="auto"/>
            <w:noWrap/>
            <w:vAlign w:val="center"/>
            <w:hideMark/>
          </w:tcPr>
          <w:p w14:paraId="7A291BB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1134 (29.4%)</w:t>
            </w:r>
          </w:p>
        </w:tc>
        <w:tc>
          <w:tcPr>
            <w:tcW w:w="1701" w:type="dxa"/>
            <w:vMerge/>
            <w:tcBorders>
              <w:top w:val="nil"/>
              <w:left w:val="nil"/>
              <w:bottom w:val="nil"/>
              <w:right w:val="nil"/>
            </w:tcBorders>
            <w:vAlign w:val="center"/>
            <w:hideMark/>
          </w:tcPr>
          <w:p w14:paraId="1618CDC4"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787D5244" w14:textId="77777777" w:rsidTr="004319B4">
        <w:trPr>
          <w:trHeight w:val="255"/>
        </w:trPr>
        <w:tc>
          <w:tcPr>
            <w:tcW w:w="4820" w:type="dxa"/>
            <w:tcBorders>
              <w:top w:val="nil"/>
              <w:left w:val="nil"/>
              <w:bottom w:val="nil"/>
              <w:right w:val="nil"/>
            </w:tcBorders>
            <w:shd w:val="clear" w:color="auto" w:fill="auto"/>
            <w:noWrap/>
            <w:vAlign w:val="center"/>
            <w:hideMark/>
          </w:tcPr>
          <w:p w14:paraId="55C4CEA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Educational attainment</w:t>
            </w:r>
          </w:p>
        </w:tc>
        <w:tc>
          <w:tcPr>
            <w:tcW w:w="1550" w:type="dxa"/>
            <w:tcBorders>
              <w:top w:val="nil"/>
              <w:left w:val="nil"/>
              <w:bottom w:val="nil"/>
              <w:right w:val="nil"/>
            </w:tcBorders>
            <w:shd w:val="clear" w:color="auto" w:fill="auto"/>
            <w:noWrap/>
            <w:vAlign w:val="center"/>
            <w:hideMark/>
          </w:tcPr>
          <w:p w14:paraId="7A39848E"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0B9F4741"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1EA8575A" w14:textId="77777777" w:rsidTr="004319B4">
        <w:trPr>
          <w:trHeight w:val="255"/>
        </w:trPr>
        <w:tc>
          <w:tcPr>
            <w:tcW w:w="4820" w:type="dxa"/>
            <w:tcBorders>
              <w:top w:val="nil"/>
              <w:left w:val="nil"/>
              <w:bottom w:val="nil"/>
              <w:right w:val="nil"/>
            </w:tcBorders>
            <w:shd w:val="clear" w:color="auto" w:fill="auto"/>
            <w:noWrap/>
            <w:vAlign w:val="center"/>
            <w:hideMark/>
          </w:tcPr>
          <w:p w14:paraId="7AC9E9BE"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Below GCSE</w:t>
            </w:r>
          </w:p>
        </w:tc>
        <w:tc>
          <w:tcPr>
            <w:tcW w:w="1550" w:type="dxa"/>
            <w:tcBorders>
              <w:top w:val="nil"/>
              <w:left w:val="nil"/>
              <w:bottom w:val="nil"/>
              <w:right w:val="nil"/>
            </w:tcBorders>
            <w:shd w:val="clear" w:color="auto" w:fill="auto"/>
            <w:noWrap/>
            <w:vAlign w:val="center"/>
            <w:hideMark/>
          </w:tcPr>
          <w:p w14:paraId="2F1925B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1540 (39.4%)</w:t>
            </w:r>
          </w:p>
        </w:tc>
        <w:tc>
          <w:tcPr>
            <w:tcW w:w="1701" w:type="dxa"/>
            <w:vMerge w:val="restart"/>
            <w:tcBorders>
              <w:top w:val="nil"/>
              <w:left w:val="nil"/>
              <w:bottom w:val="nil"/>
              <w:right w:val="nil"/>
            </w:tcBorders>
            <w:shd w:val="clear" w:color="auto" w:fill="auto"/>
            <w:noWrap/>
            <w:vAlign w:val="center"/>
            <w:hideMark/>
          </w:tcPr>
          <w:p w14:paraId="72C8DBE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w:t>
            </w:r>
          </w:p>
        </w:tc>
      </w:tr>
      <w:tr w:rsidR="00880D6D" w:rsidRPr="009A499C" w14:paraId="7D120EAA" w14:textId="77777777" w:rsidTr="004319B4">
        <w:trPr>
          <w:trHeight w:val="255"/>
        </w:trPr>
        <w:tc>
          <w:tcPr>
            <w:tcW w:w="4820" w:type="dxa"/>
            <w:tcBorders>
              <w:top w:val="nil"/>
              <w:left w:val="nil"/>
              <w:bottom w:val="nil"/>
              <w:right w:val="nil"/>
            </w:tcBorders>
            <w:shd w:val="clear" w:color="auto" w:fill="auto"/>
            <w:noWrap/>
            <w:vAlign w:val="center"/>
            <w:hideMark/>
          </w:tcPr>
          <w:p w14:paraId="3B2BE10D"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GCSE</w:t>
            </w:r>
          </w:p>
        </w:tc>
        <w:tc>
          <w:tcPr>
            <w:tcW w:w="1550" w:type="dxa"/>
            <w:tcBorders>
              <w:top w:val="nil"/>
              <w:left w:val="nil"/>
              <w:bottom w:val="nil"/>
              <w:right w:val="nil"/>
            </w:tcBorders>
            <w:shd w:val="clear" w:color="auto" w:fill="auto"/>
            <w:noWrap/>
            <w:vAlign w:val="center"/>
            <w:hideMark/>
          </w:tcPr>
          <w:p w14:paraId="1D6582E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1185 (30.3%)</w:t>
            </w:r>
          </w:p>
        </w:tc>
        <w:tc>
          <w:tcPr>
            <w:tcW w:w="1701" w:type="dxa"/>
            <w:vMerge/>
            <w:tcBorders>
              <w:top w:val="nil"/>
              <w:left w:val="nil"/>
              <w:bottom w:val="nil"/>
              <w:right w:val="nil"/>
            </w:tcBorders>
            <w:vAlign w:val="center"/>
            <w:hideMark/>
          </w:tcPr>
          <w:p w14:paraId="5A5B567E"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66621373" w14:textId="77777777" w:rsidTr="004319B4">
        <w:trPr>
          <w:trHeight w:val="255"/>
        </w:trPr>
        <w:tc>
          <w:tcPr>
            <w:tcW w:w="4820" w:type="dxa"/>
            <w:tcBorders>
              <w:top w:val="nil"/>
              <w:left w:val="nil"/>
              <w:bottom w:val="nil"/>
              <w:right w:val="nil"/>
            </w:tcBorders>
            <w:shd w:val="clear" w:color="auto" w:fill="auto"/>
            <w:noWrap/>
            <w:vAlign w:val="center"/>
            <w:hideMark/>
          </w:tcPr>
          <w:p w14:paraId="38C9895E"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A-level</w:t>
            </w:r>
          </w:p>
        </w:tc>
        <w:tc>
          <w:tcPr>
            <w:tcW w:w="1550" w:type="dxa"/>
            <w:tcBorders>
              <w:top w:val="nil"/>
              <w:left w:val="nil"/>
              <w:bottom w:val="nil"/>
              <w:right w:val="nil"/>
            </w:tcBorders>
            <w:shd w:val="clear" w:color="auto" w:fill="auto"/>
            <w:noWrap/>
            <w:vAlign w:val="center"/>
            <w:hideMark/>
          </w:tcPr>
          <w:p w14:paraId="26A7AD7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522 (13.3%)</w:t>
            </w:r>
          </w:p>
        </w:tc>
        <w:tc>
          <w:tcPr>
            <w:tcW w:w="1701" w:type="dxa"/>
            <w:vMerge/>
            <w:tcBorders>
              <w:top w:val="nil"/>
              <w:left w:val="nil"/>
              <w:bottom w:val="nil"/>
              <w:right w:val="nil"/>
            </w:tcBorders>
            <w:vAlign w:val="center"/>
            <w:hideMark/>
          </w:tcPr>
          <w:p w14:paraId="09B7AC85"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44973582" w14:textId="77777777" w:rsidTr="004319B4">
        <w:trPr>
          <w:trHeight w:val="255"/>
        </w:trPr>
        <w:tc>
          <w:tcPr>
            <w:tcW w:w="4820" w:type="dxa"/>
            <w:tcBorders>
              <w:top w:val="nil"/>
              <w:left w:val="nil"/>
              <w:bottom w:val="nil"/>
              <w:right w:val="nil"/>
            </w:tcBorders>
            <w:shd w:val="clear" w:color="auto" w:fill="auto"/>
            <w:noWrap/>
            <w:vAlign w:val="center"/>
            <w:hideMark/>
          </w:tcPr>
          <w:p w14:paraId="5B911843"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Degree</w:t>
            </w:r>
          </w:p>
        </w:tc>
        <w:tc>
          <w:tcPr>
            <w:tcW w:w="1550" w:type="dxa"/>
            <w:tcBorders>
              <w:top w:val="nil"/>
              <w:left w:val="nil"/>
              <w:bottom w:val="nil"/>
              <w:right w:val="nil"/>
            </w:tcBorders>
            <w:shd w:val="clear" w:color="auto" w:fill="auto"/>
            <w:noWrap/>
            <w:vAlign w:val="center"/>
            <w:hideMark/>
          </w:tcPr>
          <w:p w14:paraId="685CBB5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665 (17.0%)</w:t>
            </w:r>
          </w:p>
        </w:tc>
        <w:tc>
          <w:tcPr>
            <w:tcW w:w="1701" w:type="dxa"/>
            <w:vMerge/>
            <w:tcBorders>
              <w:top w:val="nil"/>
              <w:left w:val="nil"/>
              <w:bottom w:val="nil"/>
              <w:right w:val="nil"/>
            </w:tcBorders>
            <w:vAlign w:val="center"/>
            <w:hideMark/>
          </w:tcPr>
          <w:p w14:paraId="488C2C95"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6964C8DC" w14:textId="77777777" w:rsidTr="004319B4">
        <w:trPr>
          <w:trHeight w:val="255"/>
        </w:trPr>
        <w:tc>
          <w:tcPr>
            <w:tcW w:w="4820" w:type="dxa"/>
            <w:tcBorders>
              <w:top w:val="nil"/>
              <w:left w:val="nil"/>
              <w:bottom w:val="nil"/>
              <w:right w:val="nil"/>
            </w:tcBorders>
            <w:shd w:val="clear" w:color="auto" w:fill="auto"/>
            <w:noWrap/>
            <w:vAlign w:val="center"/>
            <w:hideMark/>
          </w:tcPr>
          <w:p w14:paraId="77EC8CD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 xml:space="preserve">Current use of anti-osteoporotic medication </w:t>
            </w:r>
          </w:p>
        </w:tc>
        <w:tc>
          <w:tcPr>
            <w:tcW w:w="1550" w:type="dxa"/>
            <w:tcBorders>
              <w:top w:val="nil"/>
              <w:left w:val="nil"/>
              <w:bottom w:val="nil"/>
              <w:right w:val="nil"/>
            </w:tcBorders>
            <w:shd w:val="clear" w:color="auto" w:fill="auto"/>
            <w:noWrap/>
            <w:vAlign w:val="center"/>
            <w:hideMark/>
          </w:tcPr>
          <w:p w14:paraId="48E44BC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348 (9.4%)</w:t>
            </w:r>
          </w:p>
        </w:tc>
        <w:tc>
          <w:tcPr>
            <w:tcW w:w="1701" w:type="dxa"/>
            <w:tcBorders>
              <w:top w:val="nil"/>
              <w:left w:val="nil"/>
              <w:bottom w:val="nil"/>
              <w:right w:val="nil"/>
            </w:tcBorders>
            <w:shd w:val="clear" w:color="auto" w:fill="auto"/>
            <w:noWrap/>
            <w:vAlign w:val="center"/>
            <w:hideMark/>
          </w:tcPr>
          <w:p w14:paraId="793B0CB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222</w:t>
            </w:r>
          </w:p>
        </w:tc>
      </w:tr>
      <w:tr w:rsidR="00880D6D" w:rsidRPr="009A499C" w14:paraId="329E8992" w14:textId="77777777" w:rsidTr="004319B4">
        <w:trPr>
          <w:trHeight w:val="255"/>
        </w:trPr>
        <w:tc>
          <w:tcPr>
            <w:tcW w:w="4820" w:type="dxa"/>
            <w:tcBorders>
              <w:top w:val="nil"/>
              <w:left w:val="nil"/>
              <w:bottom w:val="nil"/>
              <w:right w:val="nil"/>
            </w:tcBorders>
            <w:shd w:val="clear" w:color="auto" w:fill="auto"/>
            <w:noWrap/>
            <w:vAlign w:val="center"/>
            <w:hideMark/>
          </w:tcPr>
          <w:p w14:paraId="5A7A993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Ever used estrogen/hormone replacement therapy</w:t>
            </w:r>
          </w:p>
        </w:tc>
        <w:tc>
          <w:tcPr>
            <w:tcW w:w="1550" w:type="dxa"/>
            <w:tcBorders>
              <w:top w:val="nil"/>
              <w:left w:val="nil"/>
              <w:bottom w:val="nil"/>
              <w:right w:val="nil"/>
            </w:tcBorders>
            <w:shd w:val="clear" w:color="auto" w:fill="auto"/>
            <w:noWrap/>
            <w:vAlign w:val="center"/>
            <w:hideMark/>
          </w:tcPr>
          <w:p w14:paraId="2C55493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1328 (34.6%)</w:t>
            </w:r>
          </w:p>
        </w:tc>
        <w:tc>
          <w:tcPr>
            <w:tcW w:w="1701" w:type="dxa"/>
            <w:tcBorders>
              <w:top w:val="nil"/>
              <w:left w:val="nil"/>
              <w:bottom w:val="nil"/>
              <w:right w:val="nil"/>
            </w:tcBorders>
            <w:shd w:val="clear" w:color="auto" w:fill="auto"/>
            <w:noWrap/>
            <w:vAlign w:val="center"/>
            <w:hideMark/>
          </w:tcPr>
          <w:p w14:paraId="5EE5D80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71</w:t>
            </w:r>
          </w:p>
        </w:tc>
      </w:tr>
      <w:tr w:rsidR="00880D6D" w:rsidRPr="009A499C" w14:paraId="53C70B1B" w14:textId="77777777" w:rsidTr="004319B4">
        <w:trPr>
          <w:trHeight w:val="255"/>
        </w:trPr>
        <w:tc>
          <w:tcPr>
            <w:tcW w:w="4820" w:type="dxa"/>
            <w:tcBorders>
              <w:top w:val="nil"/>
              <w:left w:val="nil"/>
              <w:bottom w:val="nil"/>
              <w:right w:val="nil"/>
            </w:tcBorders>
            <w:shd w:val="clear" w:color="auto" w:fill="auto"/>
            <w:noWrap/>
            <w:vAlign w:val="center"/>
            <w:hideMark/>
          </w:tcPr>
          <w:p w14:paraId="071082E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 xml:space="preserve">Currently taking calcium  </w:t>
            </w:r>
          </w:p>
        </w:tc>
        <w:tc>
          <w:tcPr>
            <w:tcW w:w="1550" w:type="dxa"/>
            <w:tcBorders>
              <w:top w:val="nil"/>
              <w:left w:val="nil"/>
              <w:bottom w:val="nil"/>
              <w:right w:val="nil"/>
            </w:tcBorders>
            <w:shd w:val="clear" w:color="auto" w:fill="auto"/>
            <w:noWrap/>
            <w:vAlign w:val="center"/>
            <w:hideMark/>
          </w:tcPr>
          <w:p w14:paraId="1F79A73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736 (19.3%)</w:t>
            </w:r>
          </w:p>
        </w:tc>
        <w:tc>
          <w:tcPr>
            <w:tcW w:w="1701" w:type="dxa"/>
            <w:tcBorders>
              <w:top w:val="nil"/>
              <w:left w:val="nil"/>
              <w:bottom w:val="nil"/>
              <w:right w:val="nil"/>
            </w:tcBorders>
            <w:shd w:val="clear" w:color="auto" w:fill="auto"/>
            <w:noWrap/>
            <w:vAlign w:val="center"/>
            <w:hideMark/>
          </w:tcPr>
          <w:p w14:paraId="19119D2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97</w:t>
            </w:r>
          </w:p>
        </w:tc>
      </w:tr>
      <w:tr w:rsidR="00880D6D" w:rsidRPr="009A499C" w14:paraId="39B41ECA" w14:textId="77777777" w:rsidTr="004319B4">
        <w:trPr>
          <w:trHeight w:val="255"/>
        </w:trPr>
        <w:tc>
          <w:tcPr>
            <w:tcW w:w="4820" w:type="dxa"/>
            <w:tcBorders>
              <w:top w:val="nil"/>
              <w:left w:val="nil"/>
              <w:bottom w:val="nil"/>
              <w:right w:val="nil"/>
            </w:tcBorders>
            <w:shd w:val="clear" w:color="auto" w:fill="auto"/>
            <w:noWrap/>
            <w:vAlign w:val="center"/>
            <w:hideMark/>
          </w:tcPr>
          <w:p w14:paraId="1601E32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Currently taking Vit D/multivitamin with Vit D</w:t>
            </w:r>
          </w:p>
        </w:tc>
        <w:tc>
          <w:tcPr>
            <w:tcW w:w="1550" w:type="dxa"/>
            <w:tcBorders>
              <w:top w:val="nil"/>
              <w:left w:val="nil"/>
              <w:bottom w:val="nil"/>
              <w:right w:val="nil"/>
            </w:tcBorders>
            <w:shd w:val="clear" w:color="auto" w:fill="auto"/>
            <w:noWrap/>
            <w:vAlign w:val="center"/>
            <w:hideMark/>
          </w:tcPr>
          <w:p w14:paraId="6174089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695 (18.2%)</w:t>
            </w:r>
          </w:p>
        </w:tc>
        <w:tc>
          <w:tcPr>
            <w:tcW w:w="1701" w:type="dxa"/>
            <w:tcBorders>
              <w:top w:val="nil"/>
              <w:left w:val="nil"/>
              <w:bottom w:val="nil"/>
              <w:right w:val="nil"/>
            </w:tcBorders>
            <w:shd w:val="clear" w:color="auto" w:fill="auto"/>
            <w:noWrap/>
            <w:vAlign w:val="center"/>
            <w:hideMark/>
          </w:tcPr>
          <w:p w14:paraId="3B795B6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103</w:t>
            </w:r>
          </w:p>
        </w:tc>
      </w:tr>
      <w:tr w:rsidR="00880D6D" w:rsidRPr="009A499C" w14:paraId="496DA690" w14:textId="77777777" w:rsidTr="004319B4">
        <w:trPr>
          <w:trHeight w:val="255"/>
        </w:trPr>
        <w:tc>
          <w:tcPr>
            <w:tcW w:w="4820" w:type="dxa"/>
            <w:tcBorders>
              <w:top w:val="nil"/>
              <w:left w:val="nil"/>
              <w:bottom w:val="nil"/>
              <w:right w:val="nil"/>
            </w:tcBorders>
            <w:shd w:val="clear" w:color="auto" w:fill="auto"/>
            <w:noWrap/>
            <w:vAlign w:val="center"/>
            <w:hideMark/>
          </w:tcPr>
          <w:p w14:paraId="4E0DF0D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Years since menopause</w:t>
            </w:r>
          </w:p>
        </w:tc>
        <w:tc>
          <w:tcPr>
            <w:tcW w:w="1550" w:type="dxa"/>
            <w:tcBorders>
              <w:top w:val="nil"/>
              <w:left w:val="nil"/>
              <w:bottom w:val="nil"/>
              <w:right w:val="nil"/>
            </w:tcBorders>
            <w:shd w:val="clear" w:color="auto" w:fill="auto"/>
            <w:noWrap/>
            <w:vAlign w:val="center"/>
            <w:hideMark/>
          </w:tcPr>
          <w:p w14:paraId="07DD508F"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5068395E"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118B7700" w14:textId="77777777" w:rsidTr="004319B4">
        <w:trPr>
          <w:trHeight w:val="255"/>
        </w:trPr>
        <w:tc>
          <w:tcPr>
            <w:tcW w:w="4820" w:type="dxa"/>
            <w:tcBorders>
              <w:top w:val="nil"/>
              <w:left w:val="nil"/>
              <w:bottom w:val="nil"/>
              <w:right w:val="nil"/>
            </w:tcBorders>
            <w:shd w:val="clear" w:color="auto" w:fill="auto"/>
            <w:noWrap/>
            <w:vAlign w:val="center"/>
            <w:hideMark/>
          </w:tcPr>
          <w:p w14:paraId="0E9BACDF"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Less than 10 years</w:t>
            </w:r>
          </w:p>
        </w:tc>
        <w:tc>
          <w:tcPr>
            <w:tcW w:w="1550" w:type="dxa"/>
            <w:tcBorders>
              <w:top w:val="nil"/>
              <w:left w:val="nil"/>
              <w:bottom w:val="nil"/>
              <w:right w:val="nil"/>
            </w:tcBorders>
            <w:shd w:val="clear" w:color="auto" w:fill="auto"/>
            <w:noWrap/>
            <w:vAlign w:val="center"/>
            <w:hideMark/>
          </w:tcPr>
          <w:p w14:paraId="0543903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677 (17.8%)</w:t>
            </w:r>
          </w:p>
        </w:tc>
        <w:tc>
          <w:tcPr>
            <w:tcW w:w="1701" w:type="dxa"/>
            <w:vMerge w:val="restart"/>
            <w:tcBorders>
              <w:top w:val="nil"/>
              <w:left w:val="nil"/>
              <w:bottom w:val="nil"/>
              <w:right w:val="nil"/>
            </w:tcBorders>
            <w:shd w:val="clear" w:color="auto" w:fill="auto"/>
            <w:noWrap/>
            <w:vAlign w:val="center"/>
            <w:hideMark/>
          </w:tcPr>
          <w:p w14:paraId="0C00B0C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98</w:t>
            </w:r>
          </w:p>
        </w:tc>
      </w:tr>
      <w:tr w:rsidR="00880D6D" w:rsidRPr="009A499C" w14:paraId="1DC8D94B" w14:textId="77777777" w:rsidTr="004319B4">
        <w:trPr>
          <w:trHeight w:val="255"/>
        </w:trPr>
        <w:tc>
          <w:tcPr>
            <w:tcW w:w="4820" w:type="dxa"/>
            <w:tcBorders>
              <w:top w:val="nil"/>
              <w:left w:val="nil"/>
              <w:bottom w:val="nil"/>
              <w:right w:val="nil"/>
            </w:tcBorders>
            <w:shd w:val="clear" w:color="auto" w:fill="auto"/>
            <w:noWrap/>
            <w:vAlign w:val="center"/>
            <w:hideMark/>
          </w:tcPr>
          <w:p w14:paraId="2E60FC44"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10-19 years</w:t>
            </w:r>
          </w:p>
        </w:tc>
        <w:tc>
          <w:tcPr>
            <w:tcW w:w="1550" w:type="dxa"/>
            <w:tcBorders>
              <w:top w:val="nil"/>
              <w:left w:val="nil"/>
              <w:bottom w:val="nil"/>
              <w:right w:val="nil"/>
            </w:tcBorders>
            <w:shd w:val="clear" w:color="auto" w:fill="auto"/>
            <w:noWrap/>
            <w:vAlign w:val="center"/>
            <w:hideMark/>
          </w:tcPr>
          <w:p w14:paraId="59BA783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1195 (31.3%)</w:t>
            </w:r>
          </w:p>
        </w:tc>
        <w:tc>
          <w:tcPr>
            <w:tcW w:w="1701" w:type="dxa"/>
            <w:vMerge/>
            <w:tcBorders>
              <w:top w:val="nil"/>
              <w:left w:val="nil"/>
              <w:bottom w:val="nil"/>
              <w:right w:val="nil"/>
            </w:tcBorders>
            <w:vAlign w:val="center"/>
            <w:hideMark/>
          </w:tcPr>
          <w:p w14:paraId="61A1F88B"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4BBFAD44" w14:textId="77777777" w:rsidTr="004319B4">
        <w:trPr>
          <w:trHeight w:val="255"/>
        </w:trPr>
        <w:tc>
          <w:tcPr>
            <w:tcW w:w="4820" w:type="dxa"/>
            <w:tcBorders>
              <w:top w:val="nil"/>
              <w:left w:val="nil"/>
              <w:bottom w:val="nil"/>
              <w:right w:val="nil"/>
            </w:tcBorders>
            <w:shd w:val="clear" w:color="auto" w:fill="auto"/>
            <w:noWrap/>
            <w:vAlign w:val="center"/>
            <w:hideMark/>
          </w:tcPr>
          <w:p w14:paraId="3D44E232"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20-29 years</w:t>
            </w:r>
          </w:p>
        </w:tc>
        <w:tc>
          <w:tcPr>
            <w:tcW w:w="1550" w:type="dxa"/>
            <w:tcBorders>
              <w:top w:val="nil"/>
              <w:left w:val="nil"/>
              <w:bottom w:val="nil"/>
              <w:right w:val="nil"/>
            </w:tcBorders>
            <w:shd w:val="clear" w:color="auto" w:fill="auto"/>
            <w:noWrap/>
            <w:vAlign w:val="center"/>
            <w:hideMark/>
          </w:tcPr>
          <w:p w14:paraId="16A66AB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1050 (27.5%)</w:t>
            </w:r>
          </w:p>
        </w:tc>
        <w:tc>
          <w:tcPr>
            <w:tcW w:w="1701" w:type="dxa"/>
            <w:vMerge/>
            <w:tcBorders>
              <w:top w:val="nil"/>
              <w:left w:val="nil"/>
              <w:bottom w:val="nil"/>
              <w:right w:val="nil"/>
            </w:tcBorders>
            <w:vAlign w:val="center"/>
            <w:hideMark/>
          </w:tcPr>
          <w:p w14:paraId="09598E95"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025D2B71" w14:textId="77777777" w:rsidTr="004319B4">
        <w:trPr>
          <w:trHeight w:val="255"/>
        </w:trPr>
        <w:tc>
          <w:tcPr>
            <w:tcW w:w="4820" w:type="dxa"/>
            <w:tcBorders>
              <w:top w:val="nil"/>
              <w:left w:val="nil"/>
              <w:bottom w:val="nil"/>
              <w:right w:val="nil"/>
            </w:tcBorders>
            <w:shd w:val="clear" w:color="auto" w:fill="auto"/>
            <w:noWrap/>
            <w:vAlign w:val="center"/>
            <w:hideMark/>
          </w:tcPr>
          <w:p w14:paraId="1366D9F4"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30 or more years</w:t>
            </w:r>
          </w:p>
        </w:tc>
        <w:tc>
          <w:tcPr>
            <w:tcW w:w="1550" w:type="dxa"/>
            <w:tcBorders>
              <w:top w:val="nil"/>
              <w:left w:val="nil"/>
              <w:bottom w:val="nil"/>
              <w:right w:val="nil"/>
            </w:tcBorders>
            <w:shd w:val="clear" w:color="auto" w:fill="auto"/>
            <w:noWrap/>
            <w:vAlign w:val="center"/>
            <w:hideMark/>
          </w:tcPr>
          <w:p w14:paraId="6BC42DB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892 (23.4%)</w:t>
            </w:r>
          </w:p>
        </w:tc>
        <w:tc>
          <w:tcPr>
            <w:tcW w:w="1701" w:type="dxa"/>
            <w:vMerge/>
            <w:tcBorders>
              <w:top w:val="nil"/>
              <w:left w:val="nil"/>
              <w:bottom w:val="nil"/>
              <w:right w:val="nil"/>
            </w:tcBorders>
            <w:vAlign w:val="center"/>
            <w:hideMark/>
          </w:tcPr>
          <w:p w14:paraId="601AE201"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3C559651" w14:textId="77777777" w:rsidTr="004319B4">
        <w:trPr>
          <w:trHeight w:val="255"/>
        </w:trPr>
        <w:tc>
          <w:tcPr>
            <w:tcW w:w="4820" w:type="dxa"/>
            <w:tcBorders>
              <w:top w:val="nil"/>
              <w:left w:val="nil"/>
              <w:bottom w:val="nil"/>
              <w:right w:val="nil"/>
            </w:tcBorders>
            <w:shd w:val="clear" w:color="auto" w:fill="auto"/>
            <w:noWrap/>
            <w:vAlign w:val="center"/>
            <w:hideMark/>
          </w:tcPr>
          <w:p w14:paraId="4B5830D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Falls in previous 12 months</w:t>
            </w:r>
          </w:p>
        </w:tc>
        <w:tc>
          <w:tcPr>
            <w:tcW w:w="1550" w:type="dxa"/>
            <w:tcBorders>
              <w:top w:val="nil"/>
              <w:left w:val="nil"/>
              <w:bottom w:val="nil"/>
              <w:right w:val="nil"/>
            </w:tcBorders>
            <w:shd w:val="clear" w:color="auto" w:fill="auto"/>
            <w:noWrap/>
            <w:vAlign w:val="center"/>
            <w:hideMark/>
          </w:tcPr>
          <w:p w14:paraId="1155A68F"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1DE38442"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16E0D0E8" w14:textId="77777777" w:rsidTr="004319B4">
        <w:trPr>
          <w:trHeight w:val="255"/>
        </w:trPr>
        <w:tc>
          <w:tcPr>
            <w:tcW w:w="4820" w:type="dxa"/>
            <w:tcBorders>
              <w:top w:val="nil"/>
              <w:left w:val="nil"/>
              <w:bottom w:val="nil"/>
              <w:right w:val="nil"/>
            </w:tcBorders>
            <w:shd w:val="clear" w:color="auto" w:fill="auto"/>
            <w:noWrap/>
            <w:vAlign w:val="center"/>
            <w:hideMark/>
          </w:tcPr>
          <w:p w14:paraId="3A748010"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None</w:t>
            </w:r>
          </w:p>
        </w:tc>
        <w:tc>
          <w:tcPr>
            <w:tcW w:w="1550" w:type="dxa"/>
            <w:tcBorders>
              <w:top w:val="nil"/>
              <w:left w:val="nil"/>
              <w:bottom w:val="nil"/>
              <w:right w:val="nil"/>
            </w:tcBorders>
            <w:shd w:val="clear" w:color="auto" w:fill="auto"/>
            <w:noWrap/>
            <w:vAlign w:val="center"/>
            <w:hideMark/>
          </w:tcPr>
          <w:p w14:paraId="2261A91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2394 (61.9%)</w:t>
            </w:r>
          </w:p>
        </w:tc>
        <w:tc>
          <w:tcPr>
            <w:tcW w:w="1701" w:type="dxa"/>
            <w:vMerge w:val="restart"/>
            <w:tcBorders>
              <w:top w:val="nil"/>
              <w:left w:val="nil"/>
              <w:bottom w:val="nil"/>
              <w:right w:val="nil"/>
            </w:tcBorders>
            <w:shd w:val="clear" w:color="auto" w:fill="auto"/>
            <w:noWrap/>
            <w:vAlign w:val="center"/>
            <w:hideMark/>
          </w:tcPr>
          <w:p w14:paraId="17A1024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44</w:t>
            </w:r>
          </w:p>
        </w:tc>
      </w:tr>
      <w:tr w:rsidR="00880D6D" w:rsidRPr="009A499C" w14:paraId="61738110" w14:textId="77777777" w:rsidTr="004319B4">
        <w:trPr>
          <w:trHeight w:val="255"/>
        </w:trPr>
        <w:tc>
          <w:tcPr>
            <w:tcW w:w="4820" w:type="dxa"/>
            <w:tcBorders>
              <w:top w:val="nil"/>
              <w:left w:val="nil"/>
              <w:bottom w:val="nil"/>
              <w:right w:val="nil"/>
            </w:tcBorders>
            <w:shd w:val="clear" w:color="auto" w:fill="auto"/>
            <w:noWrap/>
            <w:vAlign w:val="center"/>
            <w:hideMark/>
          </w:tcPr>
          <w:p w14:paraId="49BB24D4"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Once</w:t>
            </w:r>
          </w:p>
        </w:tc>
        <w:tc>
          <w:tcPr>
            <w:tcW w:w="1550" w:type="dxa"/>
            <w:tcBorders>
              <w:top w:val="nil"/>
              <w:left w:val="nil"/>
              <w:bottom w:val="nil"/>
              <w:right w:val="nil"/>
            </w:tcBorders>
            <w:shd w:val="clear" w:color="auto" w:fill="auto"/>
            <w:noWrap/>
            <w:vAlign w:val="center"/>
            <w:hideMark/>
          </w:tcPr>
          <w:p w14:paraId="2B80BCF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902 (23.3%)</w:t>
            </w:r>
          </w:p>
        </w:tc>
        <w:tc>
          <w:tcPr>
            <w:tcW w:w="1701" w:type="dxa"/>
            <w:vMerge/>
            <w:tcBorders>
              <w:top w:val="nil"/>
              <w:left w:val="nil"/>
              <w:bottom w:val="nil"/>
              <w:right w:val="nil"/>
            </w:tcBorders>
            <w:vAlign w:val="center"/>
            <w:hideMark/>
          </w:tcPr>
          <w:p w14:paraId="04DE5BC6"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546EC47C" w14:textId="77777777" w:rsidTr="004319B4">
        <w:trPr>
          <w:trHeight w:val="255"/>
        </w:trPr>
        <w:tc>
          <w:tcPr>
            <w:tcW w:w="4820" w:type="dxa"/>
            <w:tcBorders>
              <w:top w:val="nil"/>
              <w:left w:val="nil"/>
              <w:bottom w:val="nil"/>
              <w:right w:val="nil"/>
            </w:tcBorders>
            <w:shd w:val="clear" w:color="auto" w:fill="auto"/>
            <w:noWrap/>
            <w:vAlign w:val="center"/>
            <w:hideMark/>
          </w:tcPr>
          <w:p w14:paraId="272B1D41"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2 times or more</w:t>
            </w:r>
          </w:p>
        </w:tc>
        <w:tc>
          <w:tcPr>
            <w:tcW w:w="1550" w:type="dxa"/>
            <w:tcBorders>
              <w:top w:val="nil"/>
              <w:left w:val="nil"/>
              <w:bottom w:val="nil"/>
              <w:right w:val="nil"/>
            </w:tcBorders>
            <w:shd w:val="clear" w:color="auto" w:fill="auto"/>
            <w:noWrap/>
            <w:vAlign w:val="center"/>
            <w:hideMark/>
          </w:tcPr>
          <w:p w14:paraId="3C0E034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572 (14.8%)</w:t>
            </w:r>
          </w:p>
        </w:tc>
        <w:tc>
          <w:tcPr>
            <w:tcW w:w="1701" w:type="dxa"/>
            <w:vMerge/>
            <w:tcBorders>
              <w:top w:val="nil"/>
              <w:left w:val="nil"/>
              <w:bottom w:val="nil"/>
              <w:right w:val="nil"/>
            </w:tcBorders>
            <w:vAlign w:val="center"/>
            <w:hideMark/>
          </w:tcPr>
          <w:p w14:paraId="00A1A620"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3163C0EA" w14:textId="77777777" w:rsidTr="004319B4">
        <w:trPr>
          <w:trHeight w:val="255"/>
        </w:trPr>
        <w:tc>
          <w:tcPr>
            <w:tcW w:w="4820" w:type="dxa"/>
            <w:tcBorders>
              <w:top w:val="nil"/>
              <w:left w:val="nil"/>
              <w:bottom w:val="nil"/>
              <w:right w:val="nil"/>
            </w:tcBorders>
            <w:shd w:val="clear" w:color="auto" w:fill="auto"/>
            <w:noWrap/>
            <w:vAlign w:val="center"/>
            <w:hideMark/>
          </w:tcPr>
          <w:p w14:paraId="38749EF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Fracture since 45 years</w:t>
            </w:r>
          </w:p>
        </w:tc>
        <w:tc>
          <w:tcPr>
            <w:tcW w:w="1550" w:type="dxa"/>
            <w:tcBorders>
              <w:top w:val="nil"/>
              <w:left w:val="nil"/>
              <w:bottom w:val="nil"/>
              <w:right w:val="nil"/>
            </w:tcBorders>
            <w:shd w:val="clear" w:color="auto" w:fill="auto"/>
            <w:noWrap/>
            <w:vAlign w:val="center"/>
            <w:hideMark/>
          </w:tcPr>
          <w:p w14:paraId="6D04425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763 (20.5%)</w:t>
            </w:r>
          </w:p>
        </w:tc>
        <w:tc>
          <w:tcPr>
            <w:tcW w:w="1701" w:type="dxa"/>
            <w:tcBorders>
              <w:top w:val="nil"/>
              <w:left w:val="nil"/>
              <w:bottom w:val="nil"/>
              <w:right w:val="nil"/>
            </w:tcBorders>
            <w:shd w:val="clear" w:color="auto" w:fill="auto"/>
            <w:noWrap/>
            <w:vAlign w:val="center"/>
            <w:hideMark/>
          </w:tcPr>
          <w:p w14:paraId="5771520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182</w:t>
            </w:r>
          </w:p>
        </w:tc>
      </w:tr>
      <w:tr w:rsidR="00880D6D" w:rsidRPr="009A499C" w14:paraId="23BEFD66" w14:textId="77777777" w:rsidTr="004319B4">
        <w:trPr>
          <w:trHeight w:val="255"/>
        </w:trPr>
        <w:tc>
          <w:tcPr>
            <w:tcW w:w="4820" w:type="dxa"/>
            <w:tcBorders>
              <w:top w:val="nil"/>
              <w:left w:val="nil"/>
              <w:bottom w:val="nil"/>
              <w:right w:val="nil"/>
            </w:tcBorders>
            <w:shd w:val="clear" w:color="auto" w:fill="auto"/>
            <w:noWrap/>
            <w:vAlign w:val="center"/>
            <w:hideMark/>
          </w:tcPr>
          <w:p w14:paraId="5AEC8E9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Family history of hip fracture</w:t>
            </w:r>
          </w:p>
        </w:tc>
        <w:tc>
          <w:tcPr>
            <w:tcW w:w="1550" w:type="dxa"/>
            <w:tcBorders>
              <w:top w:val="nil"/>
              <w:left w:val="nil"/>
              <w:bottom w:val="nil"/>
              <w:right w:val="nil"/>
            </w:tcBorders>
            <w:shd w:val="clear" w:color="auto" w:fill="auto"/>
            <w:noWrap/>
            <w:vAlign w:val="center"/>
            <w:hideMark/>
          </w:tcPr>
          <w:p w14:paraId="4027694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490 (14.3%)</w:t>
            </w:r>
          </w:p>
        </w:tc>
        <w:tc>
          <w:tcPr>
            <w:tcW w:w="1701" w:type="dxa"/>
            <w:tcBorders>
              <w:top w:val="nil"/>
              <w:left w:val="nil"/>
              <w:bottom w:val="nil"/>
              <w:right w:val="nil"/>
            </w:tcBorders>
            <w:shd w:val="clear" w:color="auto" w:fill="auto"/>
            <w:noWrap/>
            <w:vAlign w:val="center"/>
            <w:hideMark/>
          </w:tcPr>
          <w:p w14:paraId="42FDF57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489</w:t>
            </w:r>
          </w:p>
        </w:tc>
      </w:tr>
      <w:tr w:rsidR="004319B4" w:rsidRPr="009A499C" w14:paraId="5579C715" w14:textId="77777777" w:rsidTr="004319B4">
        <w:trPr>
          <w:trHeight w:val="255"/>
        </w:trPr>
        <w:tc>
          <w:tcPr>
            <w:tcW w:w="4820" w:type="dxa"/>
            <w:tcBorders>
              <w:top w:val="nil"/>
              <w:left w:val="nil"/>
              <w:bottom w:val="nil"/>
              <w:right w:val="nil"/>
            </w:tcBorders>
            <w:shd w:val="clear" w:color="auto" w:fill="auto"/>
            <w:noWrap/>
            <w:vAlign w:val="center"/>
          </w:tcPr>
          <w:p w14:paraId="64AF1182" w14:textId="29D7FE2C" w:rsidR="004319B4" w:rsidRPr="009A499C" w:rsidRDefault="004319B4" w:rsidP="004319B4">
            <w:pPr>
              <w:spacing w:line="240" w:lineRule="auto"/>
              <w:jc w:val="both"/>
              <w:rPr>
                <w:rFonts w:ascii="Times New Roman" w:hAnsi="Times New Roman"/>
                <w:color w:val="000000"/>
                <w:sz w:val="20"/>
                <w:szCs w:val="20"/>
              </w:rPr>
            </w:pPr>
            <w:r w:rsidRPr="004319B4">
              <w:rPr>
                <w:rFonts w:ascii="Times New Roman" w:hAnsi="Times New Roman"/>
                <w:color w:val="000000"/>
                <w:sz w:val="20"/>
                <w:szCs w:val="20"/>
              </w:rPr>
              <w:t>FRAX 10-year probability (MOF)</w:t>
            </w:r>
            <w:r w:rsidRPr="004319B4">
              <w:rPr>
                <w:rFonts w:ascii="Times New Roman" w:hAnsi="Times New Roman"/>
                <w:color w:val="000000"/>
                <w:sz w:val="20"/>
                <w:szCs w:val="20"/>
                <w:vertAlign w:val="superscript"/>
              </w:rPr>
              <w:t>†</w:t>
            </w:r>
          </w:p>
        </w:tc>
        <w:tc>
          <w:tcPr>
            <w:tcW w:w="1550" w:type="dxa"/>
            <w:tcBorders>
              <w:top w:val="nil"/>
              <w:left w:val="nil"/>
              <w:bottom w:val="nil"/>
              <w:right w:val="nil"/>
            </w:tcBorders>
            <w:shd w:val="clear" w:color="auto" w:fill="auto"/>
            <w:noWrap/>
            <w:vAlign w:val="center"/>
          </w:tcPr>
          <w:p w14:paraId="2B3FA1B0" w14:textId="7204DE2C" w:rsidR="004319B4" w:rsidRPr="009A499C" w:rsidRDefault="004319B4" w:rsidP="004319B4">
            <w:pPr>
              <w:spacing w:line="240" w:lineRule="auto"/>
              <w:jc w:val="both"/>
              <w:rPr>
                <w:rFonts w:ascii="Times New Roman" w:hAnsi="Times New Roman"/>
                <w:color w:val="000000"/>
                <w:sz w:val="20"/>
                <w:szCs w:val="20"/>
              </w:rPr>
            </w:pPr>
            <w:r>
              <w:rPr>
                <w:rFonts w:ascii="Times New Roman" w:hAnsi="Times New Roman"/>
                <w:color w:val="000000"/>
                <w:sz w:val="20"/>
                <w:szCs w:val="20"/>
              </w:rPr>
              <w:t xml:space="preserve">10.9 (7.3, </w:t>
            </w:r>
            <w:r w:rsidRPr="004319B4">
              <w:rPr>
                <w:rFonts w:ascii="Times New Roman" w:hAnsi="Times New Roman"/>
                <w:color w:val="000000"/>
                <w:sz w:val="20"/>
                <w:szCs w:val="20"/>
              </w:rPr>
              <w:t>17.6)</w:t>
            </w:r>
          </w:p>
        </w:tc>
        <w:tc>
          <w:tcPr>
            <w:tcW w:w="1701" w:type="dxa"/>
            <w:tcBorders>
              <w:top w:val="nil"/>
              <w:left w:val="nil"/>
              <w:bottom w:val="nil"/>
              <w:right w:val="nil"/>
            </w:tcBorders>
            <w:shd w:val="clear" w:color="auto" w:fill="auto"/>
            <w:noWrap/>
            <w:vAlign w:val="center"/>
          </w:tcPr>
          <w:p w14:paraId="432AA146" w14:textId="116B6C5F" w:rsidR="004319B4" w:rsidRPr="009A499C" w:rsidRDefault="004319B4" w:rsidP="004319B4">
            <w:pPr>
              <w:spacing w:line="240" w:lineRule="auto"/>
              <w:jc w:val="both"/>
              <w:rPr>
                <w:rFonts w:ascii="Times New Roman" w:hAnsi="Times New Roman"/>
                <w:color w:val="000000"/>
                <w:sz w:val="20"/>
                <w:szCs w:val="20"/>
              </w:rPr>
            </w:pPr>
            <w:r>
              <w:rPr>
                <w:rFonts w:ascii="Times New Roman" w:hAnsi="Times New Roman"/>
                <w:color w:val="000000"/>
                <w:sz w:val="20"/>
                <w:szCs w:val="20"/>
              </w:rPr>
              <w:t>1</w:t>
            </w:r>
            <w:r w:rsidRPr="004319B4">
              <w:rPr>
                <w:rFonts w:ascii="Times New Roman" w:hAnsi="Times New Roman"/>
                <w:color w:val="000000"/>
                <w:sz w:val="20"/>
                <w:szCs w:val="20"/>
              </w:rPr>
              <w:t>359</w:t>
            </w:r>
          </w:p>
        </w:tc>
      </w:tr>
      <w:tr w:rsidR="004319B4" w:rsidRPr="009A499C" w14:paraId="0A29169B" w14:textId="77777777" w:rsidTr="004319B4">
        <w:trPr>
          <w:trHeight w:val="255"/>
        </w:trPr>
        <w:tc>
          <w:tcPr>
            <w:tcW w:w="4820" w:type="dxa"/>
            <w:tcBorders>
              <w:top w:val="nil"/>
              <w:left w:val="nil"/>
              <w:bottom w:val="nil"/>
              <w:right w:val="nil"/>
            </w:tcBorders>
            <w:shd w:val="clear" w:color="auto" w:fill="auto"/>
            <w:noWrap/>
            <w:vAlign w:val="center"/>
          </w:tcPr>
          <w:p w14:paraId="01BE4D17" w14:textId="593DC23E" w:rsidR="004319B4" w:rsidRPr="009A499C" w:rsidRDefault="004319B4" w:rsidP="004319B4">
            <w:pPr>
              <w:spacing w:line="240" w:lineRule="auto"/>
              <w:jc w:val="both"/>
              <w:rPr>
                <w:rFonts w:ascii="Times New Roman" w:hAnsi="Times New Roman"/>
                <w:color w:val="000000"/>
                <w:sz w:val="20"/>
                <w:szCs w:val="20"/>
              </w:rPr>
            </w:pPr>
            <w:r w:rsidRPr="004319B4">
              <w:rPr>
                <w:rFonts w:ascii="Times New Roman" w:hAnsi="Times New Roman"/>
                <w:color w:val="000000"/>
                <w:sz w:val="20"/>
                <w:szCs w:val="20"/>
              </w:rPr>
              <w:t>FRAX 10-year probability (hip fracture)</w:t>
            </w:r>
            <w:r w:rsidRPr="004319B4">
              <w:rPr>
                <w:rFonts w:ascii="Times New Roman" w:hAnsi="Times New Roman"/>
                <w:color w:val="000000"/>
                <w:sz w:val="20"/>
                <w:szCs w:val="20"/>
                <w:vertAlign w:val="superscript"/>
              </w:rPr>
              <w:t>†</w:t>
            </w:r>
          </w:p>
        </w:tc>
        <w:tc>
          <w:tcPr>
            <w:tcW w:w="1550" w:type="dxa"/>
            <w:tcBorders>
              <w:top w:val="nil"/>
              <w:left w:val="nil"/>
              <w:bottom w:val="nil"/>
              <w:right w:val="nil"/>
            </w:tcBorders>
            <w:shd w:val="clear" w:color="auto" w:fill="auto"/>
            <w:noWrap/>
            <w:vAlign w:val="center"/>
          </w:tcPr>
          <w:p w14:paraId="7CA02559" w14:textId="14E5BDF4" w:rsidR="004319B4" w:rsidRPr="009A499C" w:rsidRDefault="004319B4" w:rsidP="004319B4">
            <w:pPr>
              <w:spacing w:line="240" w:lineRule="auto"/>
              <w:jc w:val="both"/>
              <w:rPr>
                <w:rFonts w:ascii="Times New Roman" w:hAnsi="Times New Roman"/>
                <w:color w:val="000000"/>
                <w:sz w:val="20"/>
                <w:szCs w:val="20"/>
              </w:rPr>
            </w:pPr>
            <w:r>
              <w:rPr>
                <w:rFonts w:ascii="Times New Roman" w:hAnsi="Times New Roman"/>
                <w:color w:val="000000"/>
                <w:sz w:val="20"/>
                <w:szCs w:val="20"/>
              </w:rPr>
              <w:t xml:space="preserve">2.2 (1.1, </w:t>
            </w:r>
            <w:r w:rsidRPr="004319B4">
              <w:rPr>
                <w:rFonts w:ascii="Times New Roman" w:hAnsi="Times New Roman"/>
                <w:color w:val="000000"/>
                <w:sz w:val="20"/>
                <w:szCs w:val="20"/>
              </w:rPr>
              <w:t>5.9)</w:t>
            </w:r>
          </w:p>
        </w:tc>
        <w:tc>
          <w:tcPr>
            <w:tcW w:w="1701" w:type="dxa"/>
            <w:tcBorders>
              <w:top w:val="nil"/>
              <w:left w:val="nil"/>
              <w:bottom w:val="nil"/>
              <w:right w:val="nil"/>
            </w:tcBorders>
            <w:shd w:val="clear" w:color="auto" w:fill="auto"/>
            <w:noWrap/>
            <w:vAlign w:val="center"/>
          </w:tcPr>
          <w:p w14:paraId="26C5B7CE" w14:textId="61293008" w:rsidR="004319B4" w:rsidRPr="009A499C" w:rsidRDefault="004319B4" w:rsidP="004319B4">
            <w:pPr>
              <w:spacing w:line="240" w:lineRule="auto"/>
              <w:jc w:val="both"/>
              <w:rPr>
                <w:rFonts w:ascii="Times New Roman" w:hAnsi="Times New Roman"/>
                <w:color w:val="000000"/>
                <w:sz w:val="20"/>
                <w:szCs w:val="20"/>
              </w:rPr>
            </w:pPr>
            <w:r>
              <w:rPr>
                <w:rFonts w:ascii="Times New Roman" w:hAnsi="Times New Roman"/>
                <w:color w:val="000000"/>
                <w:sz w:val="20"/>
                <w:szCs w:val="20"/>
              </w:rPr>
              <w:t>1</w:t>
            </w:r>
            <w:r w:rsidRPr="004319B4">
              <w:rPr>
                <w:rFonts w:ascii="Times New Roman" w:hAnsi="Times New Roman"/>
                <w:color w:val="000000"/>
                <w:sz w:val="20"/>
                <w:szCs w:val="20"/>
              </w:rPr>
              <w:t>359</w:t>
            </w:r>
          </w:p>
        </w:tc>
      </w:tr>
      <w:tr w:rsidR="004B6CC4" w:rsidRPr="009A499C" w14:paraId="29645CD3" w14:textId="77777777" w:rsidTr="004319B4">
        <w:trPr>
          <w:trHeight w:val="255"/>
        </w:trPr>
        <w:tc>
          <w:tcPr>
            <w:tcW w:w="4820" w:type="dxa"/>
            <w:tcBorders>
              <w:top w:val="nil"/>
              <w:left w:val="nil"/>
              <w:bottom w:val="nil"/>
              <w:right w:val="nil"/>
            </w:tcBorders>
            <w:shd w:val="clear" w:color="auto" w:fill="auto"/>
            <w:noWrap/>
            <w:vAlign w:val="center"/>
          </w:tcPr>
          <w:p w14:paraId="7ECA405A" w14:textId="0A49E5B2" w:rsidR="004B6CC4" w:rsidRPr="009A499C" w:rsidRDefault="004B6CC4" w:rsidP="00276638">
            <w:pPr>
              <w:spacing w:line="240" w:lineRule="auto"/>
              <w:jc w:val="both"/>
              <w:rPr>
                <w:rFonts w:ascii="Times New Roman" w:hAnsi="Times New Roman"/>
                <w:color w:val="000000"/>
                <w:sz w:val="20"/>
                <w:szCs w:val="20"/>
              </w:rPr>
            </w:pPr>
            <w:r>
              <w:rPr>
                <w:rFonts w:ascii="Times New Roman" w:hAnsi="Times New Roman"/>
                <w:color w:val="000000"/>
                <w:sz w:val="20"/>
                <w:szCs w:val="20"/>
              </w:rPr>
              <w:t>Osteoporosis</w:t>
            </w:r>
          </w:p>
        </w:tc>
        <w:tc>
          <w:tcPr>
            <w:tcW w:w="1550" w:type="dxa"/>
            <w:tcBorders>
              <w:top w:val="nil"/>
              <w:left w:val="nil"/>
              <w:bottom w:val="nil"/>
              <w:right w:val="nil"/>
            </w:tcBorders>
            <w:shd w:val="clear" w:color="auto" w:fill="auto"/>
            <w:noWrap/>
            <w:vAlign w:val="center"/>
          </w:tcPr>
          <w:p w14:paraId="3013B0E9" w14:textId="62441707" w:rsidR="004B6CC4" w:rsidRPr="009A499C" w:rsidRDefault="004B6CC4" w:rsidP="00276638">
            <w:pPr>
              <w:spacing w:line="240" w:lineRule="auto"/>
              <w:jc w:val="both"/>
              <w:rPr>
                <w:rFonts w:ascii="Times New Roman" w:hAnsi="Times New Roman"/>
                <w:color w:val="000000"/>
                <w:sz w:val="20"/>
                <w:szCs w:val="20"/>
              </w:rPr>
            </w:pPr>
            <w:r w:rsidRPr="004B6CC4">
              <w:rPr>
                <w:rFonts w:ascii="Times New Roman" w:hAnsi="Times New Roman"/>
                <w:color w:val="000000"/>
                <w:sz w:val="20"/>
                <w:szCs w:val="20"/>
              </w:rPr>
              <w:t>413 (10.9%)</w:t>
            </w:r>
          </w:p>
        </w:tc>
        <w:tc>
          <w:tcPr>
            <w:tcW w:w="1701" w:type="dxa"/>
            <w:tcBorders>
              <w:top w:val="nil"/>
              <w:left w:val="nil"/>
              <w:bottom w:val="nil"/>
              <w:right w:val="nil"/>
            </w:tcBorders>
            <w:shd w:val="clear" w:color="auto" w:fill="auto"/>
            <w:noWrap/>
            <w:vAlign w:val="center"/>
          </w:tcPr>
          <w:p w14:paraId="7E76A9FD" w14:textId="20B715CD" w:rsidR="004B6CC4" w:rsidRPr="009A499C" w:rsidRDefault="0000532A" w:rsidP="00276638">
            <w:pPr>
              <w:spacing w:line="240" w:lineRule="auto"/>
              <w:jc w:val="both"/>
              <w:rPr>
                <w:rFonts w:ascii="Times New Roman" w:hAnsi="Times New Roman"/>
                <w:sz w:val="20"/>
                <w:szCs w:val="20"/>
              </w:rPr>
            </w:pPr>
            <w:r w:rsidRPr="0000532A">
              <w:rPr>
                <w:rFonts w:ascii="Times New Roman" w:hAnsi="Times New Roman"/>
                <w:sz w:val="20"/>
                <w:szCs w:val="20"/>
              </w:rPr>
              <w:t>138</w:t>
            </w:r>
          </w:p>
        </w:tc>
      </w:tr>
      <w:tr w:rsidR="00880D6D" w:rsidRPr="009A499C" w14:paraId="7B806024" w14:textId="77777777" w:rsidTr="004319B4">
        <w:trPr>
          <w:trHeight w:val="255"/>
        </w:trPr>
        <w:tc>
          <w:tcPr>
            <w:tcW w:w="4820" w:type="dxa"/>
            <w:tcBorders>
              <w:top w:val="nil"/>
              <w:left w:val="nil"/>
              <w:bottom w:val="nil"/>
              <w:right w:val="nil"/>
            </w:tcBorders>
            <w:shd w:val="clear" w:color="auto" w:fill="auto"/>
            <w:noWrap/>
            <w:vAlign w:val="center"/>
            <w:hideMark/>
          </w:tcPr>
          <w:p w14:paraId="710BEEB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Number of comorbidities</w:t>
            </w:r>
          </w:p>
        </w:tc>
        <w:tc>
          <w:tcPr>
            <w:tcW w:w="1550" w:type="dxa"/>
            <w:tcBorders>
              <w:top w:val="nil"/>
              <w:left w:val="nil"/>
              <w:bottom w:val="nil"/>
              <w:right w:val="nil"/>
            </w:tcBorders>
            <w:shd w:val="clear" w:color="auto" w:fill="auto"/>
            <w:noWrap/>
            <w:vAlign w:val="center"/>
            <w:hideMark/>
          </w:tcPr>
          <w:p w14:paraId="71D2F42B"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center"/>
            <w:hideMark/>
          </w:tcPr>
          <w:p w14:paraId="44EE0D48"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374E2961" w14:textId="77777777" w:rsidTr="004319B4">
        <w:trPr>
          <w:trHeight w:val="255"/>
        </w:trPr>
        <w:tc>
          <w:tcPr>
            <w:tcW w:w="4820" w:type="dxa"/>
            <w:tcBorders>
              <w:top w:val="nil"/>
              <w:left w:val="nil"/>
              <w:bottom w:val="nil"/>
              <w:right w:val="nil"/>
            </w:tcBorders>
            <w:shd w:val="clear" w:color="auto" w:fill="auto"/>
            <w:noWrap/>
            <w:vAlign w:val="center"/>
            <w:hideMark/>
          </w:tcPr>
          <w:p w14:paraId="06F52EE1"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0</w:t>
            </w:r>
          </w:p>
        </w:tc>
        <w:tc>
          <w:tcPr>
            <w:tcW w:w="1550" w:type="dxa"/>
            <w:tcBorders>
              <w:top w:val="nil"/>
              <w:left w:val="nil"/>
              <w:bottom w:val="nil"/>
              <w:right w:val="nil"/>
            </w:tcBorders>
            <w:shd w:val="clear" w:color="auto" w:fill="auto"/>
            <w:noWrap/>
            <w:vAlign w:val="center"/>
            <w:hideMark/>
          </w:tcPr>
          <w:p w14:paraId="0714338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840 (24.9%)</w:t>
            </w:r>
          </w:p>
        </w:tc>
        <w:tc>
          <w:tcPr>
            <w:tcW w:w="1701" w:type="dxa"/>
            <w:vMerge w:val="restart"/>
            <w:tcBorders>
              <w:top w:val="nil"/>
              <w:left w:val="nil"/>
              <w:bottom w:val="single" w:sz="4" w:space="0" w:color="000000"/>
              <w:right w:val="nil"/>
            </w:tcBorders>
            <w:shd w:val="clear" w:color="auto" w:fill="auto"/>
            <w:noWrap/>
            <w:vAlign w:val="center"/>
            <w:hideMark/>
          </w:tcPr>
          <w:p w14:paraId="2D086D1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543</w:t>
            </w:r>
          </w:p>
        </w:tc>
      </w:tr>
      <w:tr w:rsidR="00880D6D" w:rsidRPr="009A499C" w14:paraId="1D211C4E" w14:textId="77777777" w:rsidTr="004319B4">
        <w:trPr>
          <w:trHeight w:val="255"/>
        </w:trPr>
        <w:tc>
          <w:tcPr>
            <w:tcW w:w="4820" w:type="dxa"/>
            <w:tcBorders>
              <w:top w:val="nil"/>
              <w:left w:val="nil"/>
              <w:bottom w:val="nil"/>
              <w:right w:val="nil"/>
            </w:tcBorders>
            <w:shd w:val="clear" w:color="auto" w:fill="auto"/>
            <w:noWrap/>
            <w:vAlign w:val="center"/>
            <w:hideMark/>
          </w:tcPr>
          <w:p w14:paraId="4C964B26"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w:t>
            </w:r>
          </w:p>
        </w:tc>
        <w:tc>
          <w:tcPr>
            <w:tcW w:w="1550" w:type="dxa"/>
            <w:tcBorders>
              <w:top w:val="nil"/>
              <w:left w:val="nil"/>
              <w:bottom w:val="nil"/>
              <w:right w:val="nil"/>
            </w:tcBorders>
            <w:shd w:val="clear" w:color="auto" w:fill="auto"/>
            <w:noWrap/>
            <w:vAlign w:val="center"/>
            <w:hideMark/>
          </w:tcPr>
          <w:p w14:paraId="3CCDD3A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1002 (29.7%)</w:t>
            </w:r>
          </w:p>
        </w:tc>
        <w:tc>
          <w:tcPr>
            <w:tcW w:w="1701" w:type="dxa"/>
            <w:vMerge/>
            <w:tcBorders>
              <w:top w:val="nil"/>
              <w:left w:val="nil"/>
              <w:bottom w:val="single" w:sz="4" w:space="0" w:color="000000"/>
              <w:right w:val="nil"/>
            </w:tcBorders>
            <w:vAlign w:val="center"/>
            <w:hideMark/>
          </w:tcPr>
          <w:p w14:paraId="3F3CDE18"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4604F4E5" w14:textId="77777777" w:rsidTr="004319B4">
        <w:trPr>
          <w:trHeight w:val="255"/>
        </w:trPr>
        <w:tc>
          <w:tcPr>
            <w:tcW w:w="4820" w:type="dxa"/>
            <w:tcBorders>
              <w:top w:val="nil"/>
              <w:left w:val="nil"/>
              <w:bottom w:val="nil"/>
              <w:right w:val="nil"/>
            </w:tcBorders>
            <w:shd w:val="clear" w:color="auto" w:fill="auto"/>
            <w:noWrap/>
            <w:vAlign w:val="center"/>
            <w:hideMark/>
          </w:tcPr>
          <w:p w14:paraId="1A47B12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2</w:t>
            </w:r>
          </w:p>
        </w:tc>
        <w:tc>
          <w:tcPr>
            <w:tcW w:w="1550" w:type="dxa"/>
            <w:tcBorders>
              <w:top w:val="nil"/>
              <w:left w:val="nil"/>
              <w:bottom w:val="nil"/>
              <w:right w:val="nil"/>
            </w:tcBorders>
            <w:shd w:val="clear" w:color="auto" w:fill="auto"/>
            <w:noWrap/>
            <w:vAlign w:val="center"/>
            <w:hideMark/>
          </w:tcPr>
          <w:p w14:paraId="4B6416A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826 (24.5%)</w:t>
            </w:r>
          </w:p>
        </w:tc>
        <w:tc>
          <w:tcPr>
            <w:tcW w:w="1701" w:type="dxa"/>
            <w:vMerge/>
            <w:tcBorders>
              <w:top w:val="nil"/>
              <w:left w:val="nil"/>
              <w:bottom w:val="single" w:sz="4" w:space="0" w:color="000000"/>
              <w:right w:val="nil"/>
            </w:tcBorders>
            <w:vAlign w:val="center"/>
            <w:hideMark/>
          </w:tcPr>
          <w:p w14:paraId="59C71888"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496FC040" w14:textId="77777777" w:rsidTr="004319B4">
        <w:trPr>
          <w:trHeight w:val="255"/>
        </w:trPr>
        <w:tc>
          <w:tcPr>
            <w:tcW w:w="4820" w:type="dxa"/>
            <w:tcBorders>
              <w:top w:val="nil"/>
              <w:left w:val="nil"/>
              <w:bottom w:val="nil"/>
              <w:right w:val="nil"/>
            </w:tcBorders>
            <w:shd w:val="clear" w:color="auto" w:fill="auto"/>
            <w:noWrap/>
            <w:vAlign w:val="center"/>
            <w:hideMark/>
          </w:tcPr>
          <w:p w14:paraId="4733C6B7"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3</w:t>
            </w:r>
          </w:p>
        </w:tc>
        <w:tc>
          <w:tcPr>
            <w:tcW w:w="1550" w:type="dxa"/>
            <w:tcBorders>
              <w:top w:val="nil"/>
              <w:left w:val="nil"/>
              <w:bottom w:val="nil"/>
              <w:right w:val="nil"/>
            </w:tcBorders>
            <w:shd w:val="clear" w:color="auto" w:fill="auto"/>
            <w:noWrap/>
            <w:vAlign w:val="center"/>
            <w:hideMark/>
          </w:tcPr>
          <w:p w14:paraId="285B25E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445 (13.2%)</w:t>
            </w:r>
          </w:p>
        </w:tc>
        <w:tc>
          <w:tcPr>
            <w:tcW w:w="1701" w:type="dxa"/>
            <w:vMerge/>
            <w:tcBorders>
              <w:top w:val="nil"/>
              <w:left w:val="nil"/>
              <w:bottom w:val="single" w:sz="4" w:space="0" w:color="000000"/>
              <w:right w:val="nil"/>
            </w:tcBorders>
            <w:vAlign w:val="center"/>
            <w:hideMark/>
          </w:tcPr>
          <w:p w14:paraId="4BCB184B" w14:textId="77777777" w:rsidR="00880D6D" w:rsidRPr="009A499C" w:rsidRDefault="00880D6D" w:rsidP="00276638">
            <w:pPr>
              <w:spacing w:line="240" w:lineRule="auto"/>
              <w:jc w:val="both"/>
              <w:rPr>
                <w:rFonts w:ascii="Times New Roman" w:hAnsi="Times New Roman"/>
                <w:color w:val="000000"/>
                <w:sz w:val="20"/>
                <w:szCs w:val="20"/>
              </w:rPr>
            </w:pPr>
          </w:p>
        </w:tc>
      </w:tr>
      <w:tr w:rsidR="00880D6D" w:rsidRPr="009A499C" w14:paraId="6E47A698" w14:textId="77777777" w:rsidTr="004319B4">
        <w:trPr>
          <w:trHeight w:val="255"/>
        </w:trPr>
        <w:tc>
          <w:tcPr>
            <w:tcW w:w="4820" w:type="dxa"/>
            <w:tcBorders>
              <w:top w:val="nil"/>
              <w:left w:val="nil"/>
              <w:bottom w:val="single" w:sz="4" w:space="0" w:color="auto"/>
              <w:right w:val="nil"/>
            </w:tcBorders>
            <w:shd w:val="clear" w:color="auto" w:fill="auto"/>
            <w:noWrap/>
            <w:vAlign w:val="center"/>
            <w:hideMark/>
          </w:tcPr>
          <w:p w14:paraId="5F2F2A45"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4 or more</w:t>
            </w:r>
          </w:p>
        </w:tc>
        <w:tc>
          <w:tcPr>
            <w:tcW w:w="1550" w:type="dxa"/>
            <w:tcBorders>
              <w:top w:val="nil"/>
              <w:left w:val="nil"/>
              <w:bottom w:val="single" w:sz="4" w:space="0" w:color="auto"/>
              <w:right w:val="nil"/>
            </w:tcBorders>
            <w:shd w:val="clear" w:color="auto" w:fill="auto"/>
            <w:noWrap/>
            <w:vAlign w:val="center"/>
            <w:hideMark/>
          </w:tcPr>
          <w:p w14:paraId="2F757CC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256 (7.6%)</w:t>
            </w:r>
          </w:p>
        </w:tc>
        <w:tc>
          <w:tcPr>
            <w:tcW w:w="1701" w:type="dxa"/>
            <w:vMerge/>
            <w:tcBorders>
              <w:top w:val="nil"/>
              <w:left w:val="nil"/>
              <w:bottom w:val="single" w:sz="4" w:space="0" w:color="000000"/>
              <w:right w:val="nil"/>
            </w:tcBorders>
            <w:vAlign w:val="center"/>
            <w:hideMark/>
          </w:tcPr>
          <w:p w14:paraId="49416EE2" w14:textId="77777777" w:rsidR="00880D6D" w:rsidRPr="009A499C" w:rsidRDefault="00880D6D" w:rsidP="00276638">
            <w:pPr>
              <w:spacing w:line="240" w:lineRule="auto"/>
              <w:jc w:val="both"/>
              <w:rPr>
                <w:rFonts w:ascii="Times New Roman" w:hAnsi="Times New Roman"/>
                <w:color w:val="000000"/>
                <w:sz w:val="20"/>
                <w:szCs w:val="20"/>
              </w:rPr>
            </w:pPr>
          </w:p>
        </w:tc>
      </w:tr>
      <w:tr w:rsidR="004319B4" w:rsidRPr="009A499C" w14:paraId="44E2D54A" w14:textId="77777777" w:rsidTr="004B6CC4">
        <w:trPr>
          <w:trHeight w:val="255"/>
        </w:trPr>
        <w:tc>
          <w:tcPr>
            <w:tcW w:w="8071" w:type="dxa"/>
            <w:gridSpan w:val="3"/>
            <w:tcBorders>
              <w:top w:val="nil"/>
              <w:left w:val="nil"/>
              <w:bottom w:val="nil"/>
              <w:right w:val="nil"/>
            </w:tcBorders>
            <w:shd w:val="clear" w:color="auto" w:fill="auto"/>
            <w:noWrap/>
            <w:vAlign w:val="bottom"/>
            <w:hideMark/>
          </w:tcPr>
          <w:p w14:paraId="63E4356F" w14:textId="1DFB5827" w:rsidR="004319B4" w:rsidRPr="009A499C" w:rsidRDefault="004319B4" w:rsidP="004319B4">
            <w:pPr>
              <w:spacing w:line="240" w:lineRule="auto"/>
              <w:rPr>
                <w:rFonts w:ascii="Times New Roman" w:hAnsi="Times New Roman"/>
                <w:sz w:val="20"/>
                <w:szCs w:val="20"/>
              </w:rPr>
            </w:pPr>
            <w:r>
              <w:rPr>
                <w:rFonts w:ascii="Times New Roman" w:hAnsi="Times New Roman"/>
                <w:color w:val="000000"/>
                <w:sz w:val="20"/>
                <w:szCs w:val="20"/>
              </w:rPr>
              <w:t>*Mean (SD</w:t>
            </w:r>
            <w:r w:rsidRPr="009A499C">
              <w:rPr>
                <w:rFonts w:ascii="Times New Roman" w:hAnsi="Times New Roman"/>
                <w:color w:val="000000"/>
                <w:sz w:val="20"/>
                <w:szCs w:val="20"/>
              </w:rPr>
              <w:t>)</w:t>
            </w:r>
            <w:r>
              <w:rPr>
                <w:rFonts w:ascii="Times New Roman" w:hAnsi="Times New Roman"/>
                <w:color w:val="000000"/>
                <w:sz w:val="20"/>
                <w:szCs w:val="20"/>
              </w:rPr>
              <w:t xml:space="preserve">     </w:t>
            </w:r>
            <w:r w:rsidRPr="004319B4">
              <w:rPr>
                <w:rFonts w:ascii="Times New Roman" w:hAnsi="Times New Roman"/>
                <w:color w:val="000000"/>
                <w:sz w:val="20"/>
                <w:szCs w:val="20"/>
                <w:vertAlign w:val="superscript"/>
              </w:rPr>
              <w:t>†</w:t>
            </w:r>
            <w:r>
              <w:rPr>
                <w:rFonts w:ascii="Times New Roman" w:hAnsi="Times New Roman"/>
                <w:color w:val="000000"/>
                <w:sz w:val="20"/>
                <w:szCs w:val="20"/>
              </w:rPr>
              <w:t>Median (lower quartile, upper quartile)</w:t>
            </w:r>
          </w:p>
        </w:tc>
      </w:tr>
      <w:tr w:rsidR="004319B4" w:rsidRPr="009A499C" w14:paraId="2AB16966" w14:textId="77777777" w:rsidTr="004B6CC4">
        <w:trPr>
          <w:trHeight w:val="255"/>
        </w:trPr>
        <w:tc>
          <w:tcPr>
            <w:tcW w:w="8071" w:type="dxa"/>
            <w:gridSpan w:val="3"/>
            <w:tcBorders>
              <w:top w:val="nil"/>
              <w:left w:val="nil"/>
              <w:bottom w:val="nil"/>
              <w:right w:val="nil"/>
            </w:tcBorders>
            <w:shd w:val="clear" w:color="auto" w:fill="auto"/>
            <w:noWrap/>
            <w:vAlign w:val="bottom"/>
          </w:tcPr>
          <w:p w14:paraId="6D95E64F" w14:textId="4E719CD2" w:rsidR="004319B4" w:rsidRDefault="004319B4" w:rsidP="004319B4">
            <w:pPr>
              <w:spacing w:line="240" w:lineRule="auto"/>
              <w:rPr>
                <w:rFonts w:ascii="Times New Roman" w:hAnsi="Times New Roman"/>
                <w:color w:val="000000"/>
                <w:sz w:val="20"/>
                <w:szCs w:val="20"/>
              </w:rPr>
            </w:pPr>
            <w:r>
              <w:rPr>
                <w:rFonts w:ascii="Times New Roman" w:hAnsi="Times New Roman"/>
                <w:color w:val="000000"/>
                <w:sz w:val="20"/>
                <w:szCs w:val="20"/>
              </w:rPr>
              <w:t>MOF: Major osteoporotic fracture</w:t>
            </w:r>
          </w:p>
        </w:tc>
      </w:tr>
    </w:tbl>
    <w:p w14:paraId="4D1D5C49" w14:textId="77777777" w:rsidR="00880D6D" w:rsidRDefault="00880D6D" w:rsidP="00880D6D">
      <w:pPr>
        <w:jc w:val="both"/>
        <w:rPr>
          <w:rFonts w:ascii="Arial" w:hAnsi="Arial" w:cs="Arial"/>
          <w:i/>
          <w:szCs w:val="22"/>
        </w:rPr>
      </w:pPr>
    </w:p>
    <w:p w14:paraId="7A6A45A4" w14:textId="77777777" w:rsidR="00880D6D" w:rsidRDefault="00880D6D" w:rsidP="00880D6D">
      <w:pPr>
        <w:jc w:val="both"/>
        <w:rPr>
          <w:rFonts w:ascii="Arial" w:hAnsi="Arial" w:cs="Arial"/>
          <w:i/>
          <w:szCs w:val="22"/>
        </w:rPr>
      </w:pPr>
    </w:p>
    <w:p w14:paraId="59FE9EB6" w14:textId="77777777" w:rsidR="00880D6D" w:rsidRDefault="00880D6D" w:rsidP="00880D6D">
      <w:pPr>
        <w:jc w:val="both"/>
        <w:rPr>
          <w:rFonts w:ascii="Arial" w:hAnsi="Arial" w:cs="Arial"/>
          <w:i/>
          <w:szCs w:val="22"/>
        </w:rPr>
      </w:pPr>
    </w:p>
    <w:p w14:paraId="181B88F5" w14:textId="77777777" w:rsidR="00880D6D" w:rsidRDefault="00880D6D" w:rsidP="00880D6D">
      <w:pPr>
        <w:jc w:val="both"/>
        <w:rPr>
          <w:rFonts w:ascii="Arial" w:hAnsi="Arial" w:cs="Arial"/>
          <w:i/>
          <w:szCs w:val="22"/>
        </w:rPr>
      </w:pPr>
    </w:p>
    <w:p w14:paraId="7361D480" w14:textId="77777777" w:rsidR="00880D6D" w:rsidRDefault="00880D6D" w:rsidP="00880D6D">
      <w:pPr>
        <w:jc w:val="both"/>
        <w:rPr>
          <w:rFonts w:ascii="Arial" w:hAnsi="Arial" w:cs="Arial"/>
          <w:i/>
          <w:szCs w:val="22"/>
        </w:rPr>
      </w:pPr>
    </w:p>
    <w:p w14:paraId="0B2226DE" w14:textId="77777777" w:rsidR="00880D6D" w:rsidRDefault="00880D6D" w:rsidP="00880D6D">
      <w:pPr>
        <w:jc w:val="both"/>
        <w:rPr>
          <w:rFonts w:ascii="Arial" w:hAnsi="Arial" w:cs="Arial"/>
          <w:i/>
          <w:szCs w:val="22"/>
        </w:rPr>
      </w:pPr>
    </w:p>
    <w:p w14:paraId="3839C992" w14:textId="77777777" w:rsidR="00880D6D" w:rsidRDefault="00880D6D" w:rsidP="00880D6D">
      <w:pPr>
        <w:jc w:val="both"/>
        <w:rPr>
          <w:rFonts w:ascii="Arial" w:hAnsi="Arial" w:cs="Arial"/>
          <w:i/>
          <w:szCs w:val="22"/>
        </w:rPr>
      </w:pPr>
    </w:p>
    <w:p w14:paraId="1BF6C55A" w14:textId="77777777" w:rsidR="00880D6D" w:rsidRDefault="00880D6D" w:rsidP="00880D6D">
      <w:pPr>
        <w:jc w:val="both"/>
        <w:rPr>
          <w:rFonts w:ascii="Arial" w:hAnsi="Arial" w:cs="Arial"/>
          <w:i/>
          <w:szCs w:val="22"/>
        </w:rPr>
      </w:pPr>
    </w:p>
    <w:p w14:paraId="64FDC2F8" w14:textId="77777777" w:rsidR="00880D6D" w:rsidRDefault="00880D6D" w:rsidP="00880D6D">
      <w:pPr>
        <w:jc w:val="both"/>
        <w:rPr>
          <w:rFonts w:ascii="Arial" w:hAnsi="Arial" w:cs="Arial"/>
          <w:i/>
          <w:szCs w:val="22"/>
        </w:rPr>
      </w:pPr>
    </w:p>
    <w:p w14:paraId="762D838D" w14:textId="77777777" w:rsidR="00880D6D" w:rsidRDefault="00880D6D" w:rsidP="00880D6D">
      <w:pPr>
        <w:jc w:val="both"/>
        <w:rPr>
          <w:rFonts w:ascii="Arial" w:hAnsi="Arial" w:cs="Arial"/>
          <w:i/>
          <w:szCs w:val="22"/>
        </w:rPr>
      </w:pPr>
    </w:p>
    <w:p w14:paraId="4B1CA1CC" w14:textId="77777777" w:rsidR="00880D6D" w:rsidRDefault="00880D6D" w:rsidP="00880D6D">
      <w:pPr>
        <w:jc w:val="both"/>
        <w:rPr>
          <w:rFonts w:ascii="Arial" w:hAnsi="Arial" w:cs="Arial"/>
          <w:i/>
          <w:szCs w:val="22"/>
        </w:rPr>
      </w:pPr>
    </w:p>
    <w:p w14:paraId="2477E667" w14:textId="77777777" w:rsidR="00880D6D" w:rsidRDefault="00880D6D" w:rsidP="00880D6D">
      <w:pPr>
        <w:jc w:val="both"/>
        <w:rPr>
          <w:rFonts w:ascii="Arial" w:hAnsi="Arial" w:cs="Arial"/>
          <w:i/>
          <w:szCs w:val="22"/>
        </w:rPr>
      </w:pPr>
    </w:p>
    <w:p w14:paraId="26CEC859" w14:textId="77777777" w:rsidR="00880D6D" w:rsidRDefault="00880D6D" w:rsidP="00880D6D">
      <w:pPr>
        <w:jc w:val="both"/>
        <w:rPr>
          <w:rFonts w:ascii="Arial" w:hAnsi="Arial" w:cs="Arial"/>
          <w:i/>
          <w:szCs w:val="22"/>
        </w:rPr>
      </w:pPr>
    </w:p>
    <w:p w14:paraId="65E8CA62" w14:textId="77777777" w:rsidR="00880D6D" w:rsidRDefault="00880D6D" w:rsidP="00880D6D">
      <w:pPr>
        <w:jc w:val="both"/>
        <w:rPr>
          <w:rFonts w:ascii="Arial" w:hAnsi="Arial" w:cs="Arial"/>
          <w:i/>
          <w:szCs w:val="22"/>
        </w:rPr>
      </w:pPr>
    </w:p>
    <w:p w14:paraId="2EA8F974" w14:textId="77777777" w:rsidR="00880D6D" w:rsidRDefault="00880D6D" w:rsidP="00880D6D">
      <w:pPr>
        <w:jc w:val="both"/>
        <w:rPr>
          <w:rFonts w:ascii="Arial" w:hAnsi="Arial" w:cs="Arial"/>
          <w:i/>
          <w:szCs w:val="22"/>
        </w:rPr>
      </w:pPr>
    </w:p>
    <w:p w14:paraId="7A4BB2B9" w14:textId="77777777" w:rsidR="00880D6D" w:rsidRDefault="00880D6D" w:rsidP="00880D6D">
      <w:pPr>
        <w:jc w:val="both"/>
        <w:rPr>
          <w:rFonts w:ascii="Arial" w:hAnsi="Arial" w:cs="Arial"/>
          <w:i/>
          <w:szCs w:val="22"/>
        </w:rPr>
      </w:pPr>
    </w:p>
    <w:p w14:paraId="45144EF4" w14:textId="4CB6EB83" w:rsidR="00880D6D" w:rsidRPr="00880D6D" w:rsidRDefault="00880D6D" w:rsidP="00880D6D">
      <w:pPr>
        <w:jc w:val="both"/>
        <w:rPr>
          <w:rFonts w:ascii="Times New Roman" w:hAnsi="Times New Roman"/>
          <w:b/>
          <w:sz w:val="20"/>
          <w:szCs w:val="20"/>
        </w:rPr>
      </w:pPr>
      <w:r w:rsidRPr="003426A8">
        <w:rPr>
          <w:rFonts w:ascii="Times New Roman" w:hAnsi="Times New Roman"/>
          <w:b/>
          <w:szCs w:val="22"/>
        </w:rPr>
        <w:t>Table 2</w:t>
      </w:r>
      <w:r w:rsidRPr="003426A8">
        <w:rPr>
          <w:rFonts w:ascii="Times New Roman" w:hAnsi="Times New Roman"/>
          <w:szCs w:val="22"/>
        </w:rPr>
        <w:t xml:space="preserve"> </w:t>
      </w:r>
      <w:r w:rsidRPr="00880D6D">
        <w:rPr>
          <w:rFonts w:ascii="Times New Roman" w:hAnsi="Times New Roman"/>
          <w:b/>
          <w:sz w:val="20"/>
          <w:szCs w:val="20"/>
        </w:rPr>
        <w:t>Baseline characteristics of subgroup who participated in bone phenotyping study</w:t>
      </w:r>
      <w:r w:rsidR="00E352CA">
        <w:rPr>
          <w:rFonts w:ascii="Times New Roman" w:hAnsi="Times New Roman"/>
          <w:b/>
          <w:sz w:val="20"/>
          <w:szCs w:val="20"/>
        </w:rPr>
        <w:t xml:space="preserve"> (</w:t>
      </w:r>
      <w:r w:rsidR="00E352CA" w:rsidRPr="007539F3">
        <w:rPr>
          <w:rFonts w:ascii="Times New Roman" w:hAnsi="Times New Roman"/>
          <w:b/>
          <w:iCs/>
          <w:sz w:val="20"/>
          <w:szCs w:val="20"/>
        </w:rPr>
        <w:t>n=</w:t>
      </w:r>
      <w:r w:rsidR="00E352CA">
        <w:t xml:space="preserve"> </w:t>
      </w:r>
      <w:r w:rsidR="00E352CA" w:rsidRPr="000D39D7">
        <w:rPr>
          <w:rFonts w:ascii="Times New Roman" w:hAnsi="Times New Roman"/>
          <w:b/>
          <w:iCs/>
          <w:sz w:val="20"/>
          <w:szCs w:val="20"/>
        </w:rPr>
        <w:t>492</w:t>
      </w:r>
      <w:r w:rsidR="00E352CA">
        <w:rPr>
          <w:rFonts w:ascii="Times New Roman" w:hAnsi="Times New Roman"/>
          <w:b/>
          <w:iCs/>
          <w:sz w:val="20"/>
          <w:szCs w:val="20"/>
        </w:rPr>
        <w:t>))</w:t>
      </w:r>
    </w:p>
    <w:tbl>
      <w:tblPr>
        <w:tblpPr w:leftFromText="180" w:rightFromText="180" w:vertAnchor="text" w:tblpY="1"/>
        <w:tblOverlap w:val="never"/>
        <w:tblW w:w="7938" w:type="dxa"/>
        <w:tblLook w:val="04A0" w:firstRow="1" w:lastRow="0" w:firstColumn="1" w:lastColumn="0" w:noHBand="0" w:noVBand="1"/>
      </w:tblPr>
      <w:tblGrid>
        <w:gridCol w:w="4395"/>
        <w:gridCol w:w="1559"/>
        <w:gridCol w:w="1984"/>
      </w:tblGrid>
      <w:tr w:rsidR="00E352CA" w:rsidRPr="007539F3" w14:paraId="0707AADE" w14:textId="77777777" w:rsidTr="003930B9">
        <w:trPr>
          <w:trHeight w:val="240"/>
        </w:trPr>
        <w:tc>
          <w:tcPr>
            <w:tcW w:w="4395" w:type="dxa"/>
            <w:tcBorders>
              <w:top w:val="single" w:sz="4" w:space="0" w:color="auto"/>
              <w:bottom w:val="single" w:sz="4" w:space="0" w:color="auto"/>
            </w:tcBorders>
            <w:shd w:val="clear" w:color="auto" w:fill="auto"/>
            <w:noWrap/>
            <w:vAlign w:val="bottom"/>
          </w:tcPr>
          <w:p w14:paraId="0F537BF9" w14:textId="2BFDFBF4" w:rsidR="00E352CA" w:rsidRPr="0071484B" w:rsidRDefault="00E352CA" w:rsidP="00E352CA">
            <w:pPr>
              <w:spacing w:line="240" w:lineRule="auto"/>
              <w:jc w:val="both"/>
              <w:rPr>
                <w:rFonts w:ascii="Times New Roman" w:hAnsi="Times New Roman"/>
                <w:b/>
                <w:iCs/>
                <w:sz w:val="20"/>
                <w:szCs w:val="20"/>
              </w:rPr>
            </w:pPr>
            <w:r w:rsidRPr="0071484B">
              <w:rPr>
                <w:rFonts w:ascii="Times New Roman" w:hAnsi="Times New Roman"/>
                <w:b/>
                <w:iCs/>
                <w:sz w:val="20"/>
                <w:szCs w:val="20"/>
              </w:rPr>
              <w:t xml:space="preserve">Participant characteristic </w:t>
            </w:r>
          </w:p>
        </w:tc>
        <w:tc>
          <w:tcPr>
            <w:tcW w:w="1559" w:type="dxa"/>
            <w:tcBorders>
              <w:top w:val="single" w:sz="4" w:space="0" w:color="auto"/>
              <w:bottom w:val="single" w:sz="4" w:space="0" w:color="auto"/>
            </w:tcBorders>
            <w:shd w:val="clear" w:color="auto" w:fill="auto"/>
            <w:noWrap/>
            <w:vAlign w:val="bottom"/>
          </w:tcPr>
          <w:p w14:paraId="10C7C119" w14:textId="6F002732" w:rsidR="00E352CA" w:rsidRPr="0071484B" w:rsidRDefault="0071484B" w:rsidP="001F2034">
            <w:pPr>
              <w:spacing w:line="240" w:lineRule="auto"/>
              <w:jc w:val="both"/>
              <w:rPr>
                <w:rFonts w:ascii="Times New Roman" w:hAnsi="Times New Roman"/>
                <w:b/>
                <w:color w:val="000000"/>
                <w:sz w:val="20"/>
                <w:szCs w:val="20"/>
              </w:rPr>
            </w:pPr>
            <w:r w:rsidRPr="0071484B">
              <w:rPr>
                <w:rFonts w:ascii="Times New Roman" w:hAnsi="Times New Roman"/>
                <w:b/>
                <w:color w:val="000000"/>
                <w:sz w:val="20"/>
                <w:szCs w:val="20"/>
              </w:rPr>
              <w:t>N(%)</w:t>
            </w:r>
          </w:p>
        </w:tc>
        <w:tc>
          <w:tcPr>
            <w:tcW w:w="1984" w:type="dxa"/>
            <w:tcBorders>
              <w:top w:val="single" w:sz="4" w:space="0" w:color="auto"/>
              <w:bottom w:val="single" w:sz="4" w:space="0" w:color="auto"/>
            </w:tcBorders>
            <w:vAlign w:val="center"/>
          </w:tcPr>
          <w:p w14:paraId="5A47940D" w14:textId="24424644" w:rsidR="00E352CA" w:rsidRPr="0071484B" w:rsidRDefault="003930B9" w:rsidP="001F2034">
            <w:pPr>
              <w:spacing w:line="240" w:lineRule="auto"/>
              <w:jc w:val="center"/>
              <w:rPr>
                <w:rFonts w:ascii="Times New Roman" w:hAnsi="Times New Roman"/>
                <w:b/>
                <w:color w:val="000000"/>
                <w:sz w:val="20"/>
                <w:szCs w:val="20"/>
              </w:rPr>
            </w:pPr>
            <w:r>
              <w:rPr>
                <w:rFonts w:ascii="Times New Roman" w:hAnsi="Times New Roman"/>
                <w:b/>
                <w:bCs/>
                <w:iCs/>
                <w:sz w:val="20"/>
                <w:szCs w:val="20"/>
              </w:rPr>
              <w:t>Non-missing values</w:t>
            </w:r>
          </w:p>
        </w:tc>
      </w:tr>
      <w:tr w:rsidR="00880D6D" w:rsidRPr="007539F3" w14:paraId="69008903" w14:textId="77777777" w:rsidTr="003930B9">
        <w:trPr>
          <w:trHeight w:val="240"/>
        </w:trPr>
        <w:tc>
          <w:tcPr>
            <w:tcW w:w="4395" w:type="dxa"/>
            <w:tcBorders>
              <w:top w:val="single" w:sz="4" w:space="0" w:color="auto"/>
            </w:tcBorders>
            <w:shd w:val="clear" w:color="auto" w:fill="auto"/>
            <w:noWrap/>
            <w:vAlign w:val="bottom"/>
            <w:hideMark/>
          </w:tcPr>
          <w:p w14:paraId="2CB0F4C1"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Age of SPR ascertainment*</w:t>
            </w:r>
          </w:p>
        </w:tc>
        <w:tc>
          <w:tcPr>
            <w:tcW w:w="1559" w:type="dxa"/>
            <w:tcBorders>
              <w:top w:val="single" w:sz="4" w:space="0" w:color="auto"/>
            </w:tcBorders>
            <w:shd w:val="clear" w:color="auto" w:fill="auto"/>
            <w:noWrap/>
            <w:vAlign w:val="bottom"/>
          </w:tcPr>
          <w:p w14:paraId="1BAA6A41"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63.0 (5.4)</w:t>
            </w:r>
          </w:p>
        </w:tc>
        <w:tc>
          <w:tcPr>
            <w:tcW w:w="1984" w:type="dxa"/>
            <w:tcBorders>
              <w:top w:val="single" w:sz="4" w:space="0" w:color="auto"/>
            </w:tcBorders>
            <w:vAlign w:val="center"/>
          </w:tcPr>
          <w:p w14:paraId="73BB06CB"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492</w:t>
            </w:r>
          </w:p>
        </w:tc>
      </w:tr>
      <w:tr w:rsidR="00880D6D" w:rsidRPr="007539F3" w14:paraId="40F0F1F8" w14:textId="77777777" w:rsidTr="003930B9">
        <w:trPr>
          <w:trHeight w:val="240"/>
        </w:trPr>
        <w:tc>
          <w:tcPr>
            <w:tcW w:w="4395" w:type="dxa"/>
            <w:shd w:val="clear" w:color="auto" w:fill="auto"/>
            <w:noWrap/>
            <w:vAlign w:val="bottom"/>
            <w:hideMark/>
          </w:tcPr>
          <w:p w14:paraId="54952E40" w14:textId="6E9508CF" w:rsidR="00880D6D" w:rsidRPr="007539F3" w:rsidRDefault="00880D6D" w:rsidP="004E3794">
            <w:pPr>
              <w:spacing w:line="240" w:lineRule="auto"/>
              <w:jc w:val="both"/>
              <w:rPr>
                <w:rFonts w:ascii="Times New Roman" w:hAnsi="Times New Roman"/>
                <w:iCs/>
                <w:sz w:val="20"/>
                <w:szCs w:val="20"/>
              </w:rPr>
            </w:pPr>
            <w:r w:rsidRPr="007539F3">
              <w:rPr>
                <w:rFonts w:ascii="Times New Roman" w:hAnsi="Times New Roman"/>
                <w:iCs/>
                <w:sz w:val="20"/>
                <w:szCs w:val="20"/>
              </w:rPr>
              <w:t>Age at scan (years)*</w:t>
            </w:r>
          </w:p>
        </w:tc>
        <w:tc>
          <w:tcPr>
            <w:tcW w:w="1559" w:type="dxa"/>
            <w:shd w:val="clear" w:color="auto" w:fill="auto"/>
            <w:noWrap/>
            <w:vAlign w:val="bottom"/>
          </w:tcPr>
          <w:p w14:paraId="7A1C383F"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70.9 (5.4)</w:t>
            </w:r>
          </w:p>
        </w:tc>
        <w:tc>
          <w:tcPr>
            <w:tcW w:w="1984" w:type="dxa"/>
            <w:vAlign w:val="center"/>
          </w:tcPr>
          <w:p w14:paraId="27A6B16A"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489</w:t>
            </w:r>
          </w:p>
        </w:tc>
      </w:tr>
      <w:tr w:rsidR="00880D6D" w:rsidRPr="007539F3" w14:paraId="3B7C241A" w14:textId="77777777" w:rsidTr="003930B9">
        <w:trPr>
          <w:trHeight w:val="240"/>
        </w:trPr>
        <w:tc>
          <w:tcPr>
            <w:tcW w:w="4395" w:type="dxa"/>
            <w:shd w:val="clear" w:color="auto" w:fill="auto"/>
            <w:noWrap/>
            <w:vAlign w:val="bottom"/>
            <w:hideMark/>
          </w:tcPr>
          <w:p w14:paraId="767F955A"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Height (cm)*</w:t>
            </w:r>
          </w:p>
        </w:tc>
        <w:tc>
          <w:tcPr>
            <w:tcW w:w="1559" w:type="dxa"/>
            <w:shd w:val="clear" w:color="auto" w:fill="auto"/>
            <w:noWrap/>
            <w:vAlign w:val="bottom"/>
          </w:tcPr>
          <w:p w14:paraId="17918ADE"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160.3 (6.2)</w:t>
            </w:r>
          </w:p>
        </w:tc>
        <w:tc>
          <w:tcPr>
            <w:tcW w:w="1984" w:type="dxa"/>
            <w:vAlign w:val="center"/>
          </w:tcPr>
          <w:p w14:paraId="45893326"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482</w:t>
            </w:r>
          </w:p>
        </w:tc>
      </w:tr>
      <w:tr w:rsidR="00880D6D" w:rsidRPr="007539F3" w14:paraId="43A3EF62" w14:textId="77777777" w:rsidTr="003930B9">
        <w:trPr>
          <w:trHeight w:val="240"/>
        </w:trPr>
        <w:tc>
          <w:tcPr>
            <w:tcW w:w="4395" w:type="dxa"/>
            <w:shd w:val="clear" w:color="auto" w:fill="auto"/>
            <w:noWrap/>
            <w:vAlign w:val="bottom"/>
            <w:hideMark/>
          </w:tcPr>
          <w:p w14:paraId="2481D77B"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Weight (kg)*</w:t>
            </w:r>
          </w:p>
        </w:tc>
        <w:tc>
          <w:tcPr>
            <w:tcW w:w="1559" w:type="dxa"/>
            <w:shd w:val="clear" w:color="auto" w:fill="auto"/>
            <w:noWrap/>
            <w:vAlign w:val="bottom"/>
          </w:tcPr>
          <w:p w14:paraId="243461F3"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68.7 (12.7)</w:t>
            </w:r>
          </w:p>
        </w:tc>
        <w:tc>
          <w:tcPr>
            <w:tcW w:w="1984" w:type="dxa"/>
            <w:vAlign w:val="center"/>
          </w:tcPr>
          <w:p w14:paraId="089E8012"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482</w:t>
            </w:r>
          </w:p>
        </w:tc>
      </w:tr>
      <w:tr w:rsidR="00880D6D" w:rsidRPr="007539F3" w14:paraId="29B7F418" w14:textId="77777777" w:rsidTr="003930B9">
        <w:trPr>
          <w:trHeight w:val="240"/>
        </w:trPr>
        <w:tc>
          <w:tcPr>
            <w:tcW w:w="4395" w:type="dxa"/>
            <w:shd w:val="clear" w:color="auto" w:fill="auto"/>
            <w:noWrap/>
            <w:vAlign w:val="bottom"/>
            <w:hideMark/>
          </w:tcPr>
          <w:p w14:paraId="032348F7"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BMI (kg/m</w:t>
            </w:r>
            <w:r w:rsidRPr="007539F3">
              <w:rPr>
                <w:rFonts w:ascii="Times New Roman" w:hAnsi="Times New Roman"/>
                <w:iCs/>
                <w:sz w:val="20"/>
                <w:szCs w:val="20"/>
                <w:vertAlign w:val="superscript"/>
              </w:rPr>
              <w:t>2</w:t>
            </w:r>
            <w:r w:rsidRPr="007539F3">
              <w:rPr>
                <w:rFonts w:ascii="Times New Roman" w:hAnsi="Times New Roman"/>
                <w:iCs/>
                <w:sz w:val="20"/>
                <w:szCs w:val="20"/>
              </w:rPr>
              <w:t>)*</w:t>
            </w:r>
          </w:p>
        </w:tc>
        <w:tc>
          <w:tcPr>
            <w:tcW w:w="1559" w:type="dxa"/>
            <w:shd w:val="clear" w:color="auto" w:fill="auto"/>
            <w:noWrap/>
            <w:vAlign w:val="bottom"/>
          </w:tcPr>
          <w:p w14:paraId="7BB2CE58"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26.8 (5.0)</w:t>
            </w:r>
          </w:p>
        </w:tc>
        <w:tc>
          <w:tcPr>
            <w:tcW w:w="1984" w:type="dxa"/>
            <w:vAlign w:val="center"/>
          </w:tcPr>
          <w:p w14:paraId="15A30308"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482</w:t>
            </w:r>
          </w:p>
        </w:tc>
      </w:tr>
      <w:tr w:rsidR="00880D6D" w:rsidRPr="007539F3" w14:paraId="0DD447F4" w14:textId="77777777" w:rsidTr="003930B9">
        <w:trPr>
          <w:trHeight w:val="240"/>
        </w:trPr>
        <w:tc>
          <w:tcPr>
            <w:tcW w:w="4395" w:type="dxa"/>
            <w:shd w:val="clear" w:color="auto" w:fill="auto"/>
            <w:noWrap/>
            <w:vAlign w:val="bottom"/>
            <w:hideMark/>
          </w:tcPr>
          <w:p w14:paraId="111BFA50"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Whole body total aBMD (g/cm</w:t>
            </w:r>
            <w:r w:rsidRPr="007539F3">
              <w:rPr>
                <w:rFonts w:ascii="Times New Roman" w:hAnsi="Times New Roman"/>
                <w:iCs/>
                <w:sz w:val="20"/>
                <w:szCs w:val="20"/>
                <w:vertAlign w:val="superscript"/>
              </w:rPr>
              <w:t>2</w:t>
            </w:r>
            <w:r w:rsidRPr="007539F3">
              <w:rPr>
                <w:rFonts w:ascii="Times New Roman" w:hAnsi="Times New Roman"/>
                <w:iCs/>
                <w:sz w:val="20"/>
                <w:szCs w:val="20"/>
              </w:rPr>
              <w:t>)*</w:t>
            </w:r>
          </w:p>
        </w:tc>
        <w:tc>
          <w:tcPr>
            <w:tcW w:w="1559" w:type="dxa"/>
            <w:shd w:val="clear" w:color="auto" w:fill="auto"/>
            <w:noWrap/>
            <w:vAlign w:val="bottom"/>
          </w:tcPr>
          <w:p w14:paraId="795E8E60"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1.01 (0.10)</w:t>
            </w:r>
          </w:p>
        </w:tc>
        <w:tc>
          <w:tcPr>
            <w:tcW w:w="1984" w:type="dxa"/>
            <w:vAlign w:val="center"/>
          </w:tcPr>
          <w:p w14:paraId="3B88E55F"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410</w:t>
            </w:r>
          </w:p>
        </w:tc>
      </w:tr>
      <w:tr w:rsidR="00880D6D" w:rsidRPr="007539F3" w14:paraId="109E8021" w14:textId="77777777" w:rsidTr="003930B9">
        <w:trPr>
          <w:trHeight w:val="240"/>
        </w:trPr>
        <w:tc>
          <w:tcPr>
            <w:tcW w:w="4395" w:type="dxa"/>
            <w:shd w:val="clear" w:color="auto" w:fill="auto"/>
            <w:noWrap/>
            <w:vAlign w:val="bottom"/>
            <w:hideMark/>
          </w:tcPr>
          <w:p w14:paraId="23D91856"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Total hip aBMD (g/cm</w:t>
            </w:r>
            <w:r w:rsidRPr="007539F3">
              <w:rPr>
                <w:rFonts w:ascii="Times New Roman" w:hAnsi="Times New Roman"/>
                <w:iCs/>
                <w:sz w:val="20"/>
                <w:szCs w:val="20"/>
                <w:vertAlign w:val="superscript"/>
              </w:rPr>
              <w:t>2</w:t>
            </w:r>
            <w:r w:rsidRPr="007539F3">
              <w:rPr>
                <w:rFonts w:ascii="Times New Roman" w:hAnsi="Times New Roman"/>
                <w:iCs/>
                <w:sz w:val="20"/>
                <w:szCs w:val="20"/>
              </w:rPr>
              <w:t>)*</w:t>
            </w:r>
          </w:p>
        </w:tc>
        <w:tc>
          <w:tcPr>
            <w:tcW w:w="1559" w:type="dxa"/>
            <w:shd w:val="clear" w:color="auto" w:fill="auto"/>
            <w:noWrap/>
            <w:vAlign w:val="bottom"/>
          </w:tcPr>
          <w:p w14:paraId="5A8753A9"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0.84 (0.11)</w:t>
            </w:r>
          </w:p>
        </w:tc>
        <w:tc>
          <w:tcPr>
            <w:tcW w:w="1984" w:type="dxa"/>
            <w:vAlign w:val="center"/>
          </w:tcPr>
          <w:p w14:paraId="14A171FC"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464</w:t>
            </w:r>
          </w:p>
        </w:tc>
      </w:tr>
      <w:tr w:rsidR="00880D6D" w:rsidRPr="007539F3" w14:paraId="33F0C269" w14:textId="77777777" w:rsidTr="003930B9">
        <w:trPr>
          <w:trHeight w:val="240"/>
        </w:trPr>
        <w:tc>
          <w:tcPr>
            <w:tcW w:w="4395" w:type="dxa"/>
            <w:shd w:val="clear" w:color="auto" w:fill="auto"/>
            <w:noWrap/>
            <w:vAlign w:val="bottom"/>
            <w:hideMark/>
          </w:tcPr>
          <w:p w14:paraId="2BA63294"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Femoral neck aBMD (g/cm</w:t>
            </w:r>
            <w:r w:rsidRPr="007539F3">
              <w:rPr>
                <w:rFonts w:ascii="Times New Roman" w:hAnsi="Times New Roman"/>
                <w:iCs/>
                <w:sz w:val="20"/>
                <w:szCs w:val="20"/>
                <w:vertAlign w:val="superscript"/>
              </w:rPr>
              <w:t>2</w:t>
            </w:r>
            <w:r w:rsidRPr="007539F3">
              <w:rPr>
                <w:rFonts w:ascii="Times New Roman" w:hAnsi="Times New Roman"/>
                <w:iCs/>
                <w:sz w:val="20"/>
                <w:szCs w:val="20"/>
              </w:rPr>
              <w:t>)*</w:t>
            </w:r>
          </w:p>
        </w:tc>
        <w:tc>
          <w:tcPr>
            <w:tcW w:w="1559" w:type="dxa"/>
            <w:shd w:val="clear" w:color="auto" w:fill="auto"/>
            <w:noWrap/>
            <w:vAlign w:val="bottom"/>
          </w:tcPr>
          <w:p w14:paraId="21EF2146"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0.69 (0.10)</w:t>
            </w:r>
          </w:p>
        </w:tc>
        <w:tc>
          <w:tcPr>
            <w:tcW w:w="1984" w:type="dxa"/>
            <w:vAlign w:val="center"/>
          </w:tcPr>
          <w:p w14:paraId="6DDC352C"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457</w:t>
            </w:r>
          </w:p>
        </w:tc>
      </w:tr>
      <w:tr w:rsidR="00880D6D" w:rsidRPr="007539F3" w14:paraId="51A47EFD" w14:textId="77777777" w:rsidTr="003930B9">
        <w:trPr>
          <w:trHeight w:val="240"/>
        </w:trPr>
        <w:tc>
          <w:tcPr>
            <w:tcW w:w="4395" w:type="dxa"/>
            <w:shd w:val="clear" w:color="auto" w:fill="auto"/>
            <w:noWrap/>
            <w:vAlign w:val="bottom"/>
            <w:hideMark/>
          </w:tcPr>
          <w:p w14:paraId="365EFF80"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Total lumbar spine aBMD (g/cm</w:t>
            </w:r>
            <w:r w:rsidRPr="007539F3">
              <w:rPr>
                <w:rFonts w:ascii="Times New Roman" w:hAnsi="Times New Roman"/>
                <w:iCs/>
                <w:sz w:val="20"/>
                <w:szCs w:val="20"/>
                <w:vertAlign w:val="superscript"/>
              </w:rPr>
              <w:t>2</w:t>
            </w:r>
            <w:r w:rsidRPr="007539F3">
              <w:rPr>
                <w:rFonts w:ascii="Times New Roman" w:hAnsi="Times New Roman"/>
                <w:iCs/>
                <w:sz w:val="20"/>
                <w:szCs w:val="20"/>
              </w:rPr>
              <w:t>)*</w:t>
            </w:r>
          </w:p>
        </w:tc>
        <w:tc>
          <w:tcPr>
            <w:tcW w:w="1559" w:type="dxa"/>
            <w:shd w:val="clear" w:color="auto" w:fill="auto"/>
            <w:noWrap/>
            <w:vAlign w:val="bottom"/>
          </w:tcPr>
          <w:p w14:paraId="757CA4AB"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0.92 (0.15)</w:t>
            </w:r>
          </w:p>
        </w:tc>
        <w:tc>
          <w:tcPr>
            <w:tcW w:w="1984" w:type="dxa"/>
            <w:vAlign w:val="center"/>
          </w:tcPr>
          <w:p w14:paraId="49C625C9"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471</w:t>
            </w:r>
          </w:p>
        </w:tc>
      </w:tr>
      <w:tr w:rsidR="00880D6D" w:rsidRPr="007539F3" w14:paraId="04D37D5E" w14:textId="77777777" w:rsidTr="003930B9">
        <w:trPr>
          <w:trHeight w:val="240"/>
        </w:trPr>
        <w:tc>
          <w:tcPr>
            <w:tcW w:w="4395" w:type="dxa"/>
            <w:shd w:val="clear" w:color="auto" w:fill="auto"/>
            <w:noWrap/>
            <w:vAlign w:val="bottom"/>
            <w:hideMark/>
          </w:tcPr>
          <w:p w14:paraId="2EA88A20"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Any fracture since 45 years</w:t>
            </w:r>
          </w:p>
        </w:tc>
        <w:tc>
          <w:tcPr>
            <w:tcW w:w="1559" w:type="dxa"/>
            <w:shd w:val="clear" w:color="auto" w:fill="auto"/>
            <w:noWrap/>
            <w:vAlign w:val="bottom"/>
          </w:tcPr>
          <w:p w14:paraId="12C7BBC7"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69 (14.4%)</w:t>
            </w:r>
          </w:p>
        </w:tc>
        <w:tc>
          <w:tcPr>
            <w:tcW w:w="1984" w:type="dxa"/>
            <w:vAlign w:val="center"/>
          </w:tcPr>
          <w:p w14:paraId="137B8615"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478</w:t>
            </w:r>
          </w:p>
        </w:tc>
      </w:tr>
      <w:tr w:rsidR="00880D6D" w:rsidRPr="007539F3" w14:paraId="47941AC5" w14:textId="77777777" w:rsidTr="003930B9">
        <w:trPr>
          <w:trHeight w:val="240"/>
        </w:trPr>
        <w:tc>
          <w:tcPr>
            <w:tcW w:w="4395" w:type="dxa"/>
            <w:shd w:val="clear" w:color="auto" w:fill="auto"/>
            <w:noWrap/>
            <w:vAlign w:val="bottom"/>
            <w:hideMark/>
          </w:tcPr>
          <w:p w14:paraId="407D394B" w14:textId="77777777" w:rsidR="00880D6D" w:rsidRPr="007539F3" w:rsidRDefault="00880D6D" w:rsidP="001F2034">
            <w:pPr>
              <w:spacing w:line="240" w:lineRule="auto"/>
              <w:jc w:val="both"/>
              <w:rPr>
                <w:rFonts w:ascii="Times New Roman" w:hAnsi="Times New Roman"/>
                <w:iCs/>
                <w:sz w:val="20"/>
                <w:szCs w:val="20"/>
              </w:rPr>
            </w:pPr>
            <w:r>
              <w:rPr>
                <w:rFonts w:ascii="Times New Roman" w:hAnsi="Times New Roman"/>
                <w:iCs/>
                <w:sz w:val="20"/>
                <w:szCs w:val="20"/>
              </w:rPr>
              <w:t>Family history of hip fracture</w:t>
            </w:r>
          </w:p>
        </w:tc>
        <w:tc>
          <w:tcPr>
            <w:tcW w:w="1559" w:type="dxa"/>
            <w:shd w:val="clear" w:color="auto" w:fill="auto"/>
            <w:noWrap/>
            <w:vAlign w:val="bottom"/>
          </w:tcPr>
          <w:p w14:paraId="1F0BCA4A"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63 (14.3%)</w:t>
            </w:r>
          </w:p>
        </w:tc>
        <w:tc>
          <w:tcPr>
            <w:tcW w:w="1984" w:type="dxa"/>
            <w:vAlign w:val="center"/>
          </w:tcPr>
          <w:p w14:paraId="225C3CC5" w14:textId="77777777" w:rsidR="00880D6D" w:rsidRPr="001E2F62" w:rsidRDefault="00880D6D" w:rsidP="001F2034">
            <w:pPr>
              <w:spacing w:line="240" w:lineRule="auto"/>
              <w:jc w:val="center"/>
              <w:rPr>
                <w:rFonts w:ascii="Times New Roman" w:hAnsi="Times New Roman"/>
                <w:color w:val="000000"/>
                <w:sz w:val="20"/>
                <w:szCs w:val="20"/>
              </w:rPr>
            </w:pPr>
            <w:r w:rsidRPr="001E2F62">
              <w:rPr>
                <w:rFonts w:ascii="Times New Roman" w:hAnsi="Times New Roman"/>
                <w:color w:val="000000"/>
                <w:sz w:val="20"/>
                <w:szCs w:val="20"/>
              </w:rPr>
              <w:t>442</w:t>
            </w:r>
          </w:p>
        </w:tc>
      </w:tr>
      <w:tr w:rsidR="00880D6D" w:rsidRPr="007539F3" w14:paraId="4F47D2B0" w14:textId="77777777" w:rsidTr="003930B9">
        <w:trPr>
          <w:trHeight w:val="120"/>
        </w:trPr>
        <w:tc>
          <w:tcPr>
            <w:tcW w:w="4395" w:type="dxa"/>
            <w:shd w:val="clear" w:color="auto" w:fill="auto"/>
            <w:noWrap/>
            <w:vAlign w:val="bottom"/>
            <w:hideMark/>
          </w:tcPr>
          <w:p w14:paraId="17D3E32B"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36BE95CE"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4885C79E"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057289B7" w14:textId="77777777" w:rsidTr="003930B9">
        <w:trPr>
          <w:trHeight w:val="240"/>
        </w:trPr>
        <w:tc>
          <w:tcPr>
            <w:tcW w:w="4395" w:type="dxa"/>
            <w:shd w:val="clear" w:color="auto" w:fill="auto"/>
            <w:vAlign w:val="center"/>
            <w:hideMark/>
          </w:tcPr>
          <w:p w14:paraId="116A7F0F"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SPR compared to others</w:t>
            </w:r>
          </w:p>
        </w:tc>
        <w:tc>
          <w:tcPr>
            <w:tcW w:w="1559" w:type="dxa"/>
            <w:shd w:val="clear" w:color="auto" w:fill="auto"/>
            <w:noWrap/>
            <w:vAlign w:val="bottom"/>
          </w:tcPr>
          <w:p w14:paraId="3D99231D"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36E4E002"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6FFBD7B9" w14:textId="77777777" w:rsidTr="003930B9">
        <w:trPr>
          <w:trHeight w:val="240"/>
        </w:trPr>
        <w:tc>
          <w:tcPr>
            <w:tcW w:w="4395" w:type="dxa"/>
            <w:shd w:val="clear" w:color="auto" w:fill="auto"/>
            <w:noWrap/>
            <w:vAlign w:val="bottom"/>
            <w:hideMark/>
          </w:tcPr>
          <w:p w14:paraId="1619F4EB"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Much lower</w:t>
            </w:r>
          </w:p>
        </w:tc>
        <w:tc>
          <w:tcPr>
            <w:tcW w:w="1559" w:type="dxa"/>
            <w:shd w:val="clear" w:color="auto" w:fill="auto"/>
            <w:noWrap/>
            <w:vAlign w:val="bottom"/>
          </w:tcPr>
          <w:p w14:paraId="7CD5A120"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42 (8.5%)</w:t>
            </w:r>
          </w:p>
        </w:tc>
        <w:tc>
          <w:tcPr>
            <w:tcW w:w="1984" w:type="dxa"/>
            <w:vMerge w:val="restart"/>
            <w:vAlign w:val="center"/>
          </w:tcPr>
          <w:p w14:paraId="2A934CF3"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492</w:t>
            </w:r>
          </w:p>
        </w:tc>
      </w:tr>
      <w:tr w:rsidR="00880D6D" w:rsidRPr="007539F3" w14:paraId="3D10F3A5" w14:textId="77777777" w:rsidTr="003930B9">
        <w:trPr>
          <w:trHeight w:val="240"/>
        </w:trPr>
        <w:tc>
          <w:tcPr>
            <w:tcW w:w="4395" w:type="dxa"/>
            <w:shd w:val="clear" w:color="auto" w:fill="auto"/>
            <w:noWrap/>
            <w:vAlign w:val="bottom"/>
            <w:hideMark/>
          </w:tcPr>
          <w:p w14:paraId="2B8FBF0E"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A little lower</w:t>
            </w:r>
          </w:p>
        </w:tc>
        <w:tc>
          <w:tcPr>
            <w:tcW w:w="1559" w:type="dxa"/>
            <w:shd w:val="clear" w:color="auto" w:fill="auto"/>
            <w:noWrap/>
            <w:vAlign w:val="bottom"/>
          </w:tcPr>
          <w:p w14:paraId="44A156D3"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98 (19.9%)</w:t>
            </w:r>
          </w:p>
        </w:tc>
        <w:tc>
          <w:tcPr>
            <w:tcW w:w="1984" w:type="dxa"/>
            <w:vMerge/>
            <w:vAlign w:val="center"/>
          </w:tcPr>
          <w:p w14:paraId="7C8CB537"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DCB4E72" w14:textId="77777777" w:rsidTr="003930B9">
        <w:trPr>
          <w:trHeight w:val="240"/>
        </w:trPr>
        <w:tc>
          <w:tcPr>
            <w:tcW w:w="4395" w:type="dxa"/>
            <w:shd w:val="clear" w:color="auto" w:fill="auto"/>
            <w:noWrap/>
            <w:vAlign w:val="bottom"/>
            <w:hideMark/>
          </w:tcPr>
          <w:p w14:paraId="4E5FD3BD"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About the same</w:t>
            </w:r>
          </w:p>
        </w:tc>
        <w:tc>
          <w:tcPr>
            <w:tcW w:w="1559" w:type="dxa"/>
            <w:shd w:val="clear" w:color="auto" w:fill="auto"/>
            <w:noWrap/>
            <w:vAlign w:val="bottom"/>
          </w:tcPr>
          <w:p w14:paraId="4D4AC87C"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283 (57.5%)</w:t>
            </w:r>
          </w:p>
        </w:tc>
        <w:tc>
          <w:tcPr>
            <w:tcW w:w="1984" w:type="dxa"/>
            <w:vMerge/>
            <w:vAlign w:val="center"/>
          </w:tcPr>
          <w:p w14:paraId="48FA1A2F"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88F590B" w14:textId="77777777" w:rsidTr="003930B9">
        <w:trPr>
          <w:trHeight w:val="240"/>
        </w:trPr>
        <w:tc>
          <w:tcPr>
            <w:tcW w:w="4395" w:type="dxa"/>
            <w:shd w:val="clear" w:color="auto" w:fill="auto"/>
            <w:noWrap/>
            <w:vAlign w:val="bottom"/>
            <w:hideMark/>
          </w:tcPr>
          <w:p w14:paraId="3B8D4F4B"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A little higher</w:t>
            </w:r>
          </w:p>
        </w:tc>
        <w:tc>
          <w:tcPr>
            <w:tcW w:w="1559" w:type="dxa"/>
            <w:shd w:val="clear" w:color="auto" w:fill="auto"/>
            <w:noWrap/>
            <w:vAlign w:val="bottom"/>
          </w:tcPr>
          <w:p w14:paraId="3727CEF5"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58 (11.8%)</w:t>
            </w:r>
          </w:p>
        </w:tc>
        <w:tc>
          <w:tcPr>
            <w:tcW w:w="1984" w:type="dxa"/>
            <w:vMerge/>
            <w:vAlign w:val="center"/>
          </w:tcPr>
          <w:p w14:paraId="0D3B5743"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289A6E6F" w14:textId="77777777" w:rsidTr="003930B9">
        <w:trPr>
          <w:trHeight w:val="240"/>
        </w:trPr>
        <w:tc>
          <w:tcPr>
            <w:tcW w:w="4395" w:type="dxa"/>
            <w:shd w:val="clear" w:color="auto" w:fill="auto"/>
            <w:noWrap/>
            <w:vAlign w:val="bottom"/>
            <w:hideMark/>
          </w:tcPr>
          <w:p w14:paraId="6E57BB35"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Much higher</w:t>
            </w:r>
          </w:p>
        </w:tc>
        <w:tc>
          <w:tcPr>
            <w:tcW w:w="1559" w:type="dxa"/>
            <w:shd w:val="clear" w:color="auto" w:fill="auto"/>
            <w:noWrap/>
            <w:vAlign w:val="bottom"/>
          </w:tcPr>
          <w:p w14:paraId="36B5D3A5"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11 (2.2%)</w:t>
            </w:r>
          </w:p>
        </w:tc>
        <w:tc>
          <w:tcPr>
            <w:tcW w:w="1984" w:type="dxa"/>
            <w:vMerge/>
            <w:vAlign w:val="center"/>
          </w:tcPr>
          <w:p w14:paraId="7885304A"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727A49A9" w14:textId="77777777" w:rsidTr="003930B9">
        <w:trPr>
          <w:trHeight w:val="120"/>
        </w:trPr>
        <w:tc>
          <w:tcPr>
            <w:tcW w:w="4395" w:type="dxa"/>
            <w:shd w:val="clear" w:color="auto" w:fill="auto"/>
            <w:noWrap/>
            <w:vAlign w:val="bottom"/>
            <w:hideMark/>
          </w:tcPr>
          <w:p w14:paraId="478B735D"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4BD584DC"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5956D01A"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2EDCB983" w14:textId="77777777" w:rsidTr="003930B9">
        <w:trPr>
          <w:trHeight w:val="240"/>
        </w:trPr>
        <w:tc>
          <w:tcPr>
            <w:tcW w:w="4395" w:type="dxa"/>
            <w:shd w:val="clear" w:color="auto" w:fill="auto"/>
            <w:noWrap/>
            <w:vAlign w:val="bottom"/>
            <w:hideMark/>
          </w:tcPr>
          <w:p w14:paraId="5868DEE4"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How active compared to others  </w:t>
            </w:r>
          </w:p>
        </w:tc>
        <w:tc>
          <w:tcPr>
            <w:tcW w:w="1559" w:type="dxa"/>
            <w:shd w:val="clear" w:color="auto" w:fill="auto"/>
            <w:noWrap/>
            <w:vAlign w:val="bottom"/>
          </w:tcPr>
          <w:p w14:paraId="4A3BAC77"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6E5430B0"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6266F6DA" w14:textId="77777777" w:rsidTr="003930B9">
        <w:trPr>
          <w:trHeight w:val="240"/>
        </w:trPr>
        <w:tc>
          <w:tcPr>
            <w:tcW w:w="4395" w:type="dxa"/>
            <w:shd w:val="clear" w:color="auto" w:fill="auto"/>
            <w:noWrap/>
            <w:vAlign w:val="bottom"/>
            <w:hideMark/>
          </w:tcPr>
          <w:p w14:paraId="64C5ADE1"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Not at all</w:t>
            </w:r>
          </w:p>
        </w:tc>
        <w:tc>
          <w:tcPr>
            <w:tcW w:w="1559" w:type="dxa"/>
            <w:shd w:val="clear" w:color="auto" w:fill="auto"/>
            <w:noWrap/>
            <w:vAlign w:val="bottom"/>
          </w:tcPr>
          <w:p w14:paraId="0EAC8208"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7 (1.4%)</w:t>
            </w:r>
          </w:p>
        </w:tc>
        <w:tc>
          <w:tcPr>
            <w:tcW w:w="1984" w:type="dxa"/>
            <w:vMerge w:val="restart"/>
            <w:vAlign w:val="center"/>
          </w:tcPr>
          <w:p w14:paraId="0B0538F6"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487</w:t>
            </w:r>
          </w:p>
        </w:tc>
      </w:tr>
      <w:tr w:rsidR="00880D6D" w:rsidRPr="007539F3" w14:paraId="7C84A10A" w14:textId="77777777" w:rsidTr="003930B9">
        <w:trPr>
          <w:trHeight w:val="240"/>
        </w:trPr>
        <w:tc>
          <w:tcPr>
            <w:tcW w:w="4395" w:type="dxa"/>
            <w:shd w:val="clear" w:color="auto" w:fill="auto"/>
            <w:noWrap/>
            <w:vAlign w:val="bottom"/>
            <w:hideMark/>
          </w:tcPr>
          <w:p w14:paraId="2318FFF5"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A little</w:t>
            </w:r>
          </w:p>
        </w:tc>
        <w:tc>
          <w:tcPr>
            <w:tcW w:w="1559" w:type="dxa"/>
            <w:shd w:val="clear" w:color="auto" w:fill="auto"/>
            <w:noWrap/>
            <w:vAlign w:val="bottom"/>
          </w:tcPr>
          <w:p w14:paraId="11203006"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69 (14.2%)</w:t>
            </w:r>
          </w:p>
        </w:tc>
        <w:tc>
          <w:tcPr>
            <w:tcW w:w="1984" w:type="dxa"/>
            <w:vMerge/>
            <w:vAlign w:val="center"/>
          </w:tcPr>
          <w:p w14:paraId="1ADF1DBD"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7A73BA59" w14:textId="77777777" w:rsidTr="003930B9">
        <w:trPr>
          <w:trHeight w:val="240"/>
        </w:trPr>
        <w:tc>
          <w:tcPr>
            <w:tcW w:w="4395" w:type="dxa"/>
            <w:shd w:val="clear" w:color="auto" w:fill="auto"/>
            <w:noWrap/>
            <w:vAlign w:val="bottom"/>
            <w:hideMark/>
          </w:tcPr>
          <w:p w14:paraId="0723047B"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Somewhat</w:t>
            </w:r>
          </w:p>
        </w:tc>
        <w:tc>
          <w:tcPr>
            <w:tcW w:w="1559" w:type="dxa"/>
            <w:shd w:val="clear" w:color="auto" w:fill="auto"/>
            <w:noWrap/>
            <w:vAlign w:val="bottom"/>
          </w:tcPr>
          <w:p w14:paraId="656FA24C"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241 (49.5%)</w:t>
            </w:r>
          </w:p>
        </w:tc>
        <w:tc>
          <w:tcPr>
            <w:tcW w:w="1984" w:type="dxa"/>
            <w:vMerge/>
            <w:vAlign w:val="center"/>
          </w:tcPr>
          <w:p w14:paraId="06B21F9F"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2CB56F0E" w14:textId="77777777" w:rsidTr="003930B9">
        <w:trPr>
          <w:trHeight w:val="240"/>
        </w:trPr>
        <w:tc>
          <w:tcPr>
            <w:tcW w:w="4395" w:type="dxa"/>
            <w:shd w:val="clear" w:color="auto" w:fill="auto"/>
            <w:noWrap/>
            <w:vAlign w:val="bottom"/>
            <w:hideMark/>
          </w:tcPr>
          <w:p w14:paraId="44C0F340"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Very</w:t>
            </w:r>
          </w:p>
        </w:tc>
        <w:tc>
          <w:tcPr>
            <w:tcW w:w="1559" w:type="dxa"/>
            <w:shd w:val="clear" w:color="auto" w:fill="auto"/>
            <w:noWrap/>
            <w:vAlign w:val="bottom"/>
          </w:tcPr>
          <w:p w14:paraId="3940AF19"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170 (34.9%)</w:t>
            </w:r>
          </w:p>
        </w:tc>
        <w:tc>
          <w:tcPr>
            <w:tcW w:w="1984" w:type="dxa"/>
            <w:vMerge/>
            <w:vAlign w:val="center"/>
          </w:tcPr>
          <w:p w14:paraId="018A2B8D"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E2A8E1D" w14:textId="77777777" w:rsidTr="003930B9">
        <w:trPr>
          <w:trHeight w:val="120"/>
        </w:trPr>
        <w:tc>
          <w:tcPr>
            <w:tcW w:w="4395" w:type="dxa"/>
            <w:shd w:val="clear" w:color="auto" w:fill="auto"/>
            <w:noWrap/>
            <w:vAlign w:val="bottom"/>
            <w:hideMark/>
          </w:tcPr>
          <w:p w14:paraId="477233B8"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0336F1B4"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6DE325B5"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0B2B7B73" w14:textId="77777777" w:rsidTr="003930B9">
        <w:trPr>
          <w:trHeight w:val="240"/>
        </w:trPr>
        <w:tc>
          <w:tcPr>
            <w:tcW w:w="4395" w:type="dxa"/>
            <w:shd w:val="clear" w:color="auto" w:fill="auto"/>
            <w:noWrap/>
            <w:vAlign w:val="bottom"/>
            <w:hideMark/>
          </w:tcPr>
          <w:p w14:paraId="019AB499"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Current smoker</w:t>
            </w:r>
          </w:p>
        </w:tc>
        <w:tc>
          <w:tcPr>
            <w:tcW w:w="1559" w:type="dxa"/>
            <w:shd w:val="clear" w:color="auto" w:fill="auto"/>
            <w:noWrap/>
            <w:vAlign w:val="bottom"/>
          </w:tcPr>
          <w:p w14:paraId="270EFEB1"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28 (5.7%)</w:t>
            </w:r>
          </w:p>
        </w:tc>
        <w:tc>
          <w:tcPr>
            <w:tcW w:w="1984" w:type="dxa"/>
            <w:vAlign w:val="center"/>
          </w:tcPr>
          <w:p w14:paraId="054D8D1E"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487</w:t>
            </w:r>
          </w:p>
        </w:tc>
      </w:tr>
      <w:tr w:rsidR="00880D6D" w:rsidRPr="007539F3" w14:paraId="60BF0CB9" w14:textId="77777777" w:rsidTr="003930B9">
        <w:trPr>
          <w:trHeight w:val="120"/>
        </w:trPr>
        <w:tc>
          <w:tcPr>
            <w:tcW w:w="4395" w:type="dxa"/>
            <w:shd w:val="clear" w:color="auto" w:fill="auto"/>
            <w:noWrap/>
            <w:vAlign w:val="bottom"/>
            <w:hideMark/>
          </w:tcPr>
          <w:p w14:paraId="1E2BA7CF"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0BD174CD"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7D7A87F7"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6CEFF9C" w14:textId="77777777" w:rsidTr="003930B9">
        <w:trPr>
          <w:trHeight w:val="240"/>
        </w:trPr>
        <w:tc>
          <w:tcPr>
            <w:tcW w:w="4395" w:type="dxa"/>
            <w:shd w:val="clear" w:color="auto" w:fill="auto"/>
            <w:noWrap/>
            <w:vAlign w:val="bottom"/>
            <w:hideMark/>
          </w:tcPr>
          <w:p w14:paraId="1C57EC5A"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Alcoholic drinks per week: </w:t>
            </w:r>
          </w:p>
        </w:tc>
        <w:tc>
          <w:tcPr>
            <w:tcW w:w="1559" w:type="dxa"/>
            <w:shd w:val="clear" w:color="auto" w:fill="auto"/>
            <w:noWrap/>
            <w:vAlign w:val="bottom"/>
          </w:tcPr>
          <w:p w14:paraId="7412F5AF"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1668353C"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A5803AE" w14:textId="77777777" w:rsidTr="003930B9">
        <w:trPr>
          <w:trHeight w:val="240"/>
        </w:trPr>
        <w:tc>
          <w:tcPr>
            <w:tcW w:w="4395" w:type="dxa"/>
            <w:shd w:val="clear" w:color="auto" w:fill="auto"/>
            <w:noWrap/>
            <w:vAlign w:val="bottom"/>
            <w:hideMark/>
          </w:tcPr>
          <w:p w14:paraId="3E30E215"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None</w:t>
            </w:r>
          </w:p>
        </w:tc>
        <w:tc>
          <w:tcPr>
            <w:tcW w:w="1559" w:type="dxa"/>
            <w:shd w:val="clear" w:color="auto" w:fill="auto"/>
            <w:noWrap/>
            <w:vAlign w:val="bottom"/>
          </w:tcPr>
          <w:p w14:paraId="745E145F"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101 (20.6%)</w:t>
            </w:r>
          </w:p>
        </w:tc>
        <w:tc>
          <w:tcPr>
            <w:tcW w:w="1984" w:type="dxa"/>
            <w:vMerge w:val="restart"/>
            <w:vAlign w:val="center"/>
          </w:tcPr>
          <w:p w14:paraId="58406B0F"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490</w:t>
            </w:r>
          </w:p>
        </w:tc>
      </w:tr>
      <w:tr w:rsidR="00880D6D" w:rsidRPr="007539F3" w14:paraId="34CBA933" w14:textId="77777777" w:rsidTr="003930B9">
        <w:trPr>
          <w:trHeight w:val="240"/>
        </w:trPr>
        <w:tc>
          <w:tcPr>
            <w:tcW w:w="4395" w:type="dxa"/>
            <w:shd w:val="clear" w:color="auto" w:fill="auto"/>
            <w:noWrap/>
            <w:vAlign w:val="bottom"/>
            <w:hideMark/>
          </w:tcPr>
          <w:p w14:paraId="5D91ECE5"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1-6</w:t>
            </w:r>
          </w:p>
        </w:tc>
        <w:tc>
          <w:tcPr>
            <w:tcW w:w="1559" w:type="dxa"/>
            <w:shd w:val="clear" w:color="auto" w:fill="auto"/>
            <w:noWrap/>
            <w:vAlign w:val="bottom"/>
          </w:tcPr>
          <w:p w14:paraId="423A005B"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208 (42.4%)</w:t>
            </w:r>
          </w:p>
        </w:tc>
        <w:tc>
          <w:tcPr>
            <w:tcW w:w="1984" w:type="dxa"/>
            <w:vMerge/>
            <w:vAlign w:val="center"/>
          </w:tcPr>
          <w:p w14:paraId="462C83DE"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17BECC3C" w14:textId="77777777" w:rsidTr="003930B9">
        <w:trPr>
          <w:trHeight w:val="240"/>
        </w:trPr>
        <w:tc>
          <w:tcPr>
            <w:tcW w:w="4395" w:type="dxa"/>
            <w:shd w:val="clear" w:color="auto" w:fill="auto"/>
            <w:noWrap/>
            <w:vAlign w:val="bottom"/>
            <w:hideMark/>
          </w:tcPr>
          <w:p w14:paraId="0426E34C"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7-13</w:t>
            </w:r>
          </w:p>
        </w:tc>
        <w:tc>
          <w:tcPr>
            <w:tcW w:w="1559" w:type="dxa"/>
            <w:shd w:val="clear" w:color="auto" w:fill="auto"/>
            <w:noWrap/>
            <w:vAlign w:val="bottom"/>
          </w:tcPr>
          <w:p w14:paraId="62EA7EF3"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131 (26.7%)</w:t>
            </w:r>
          </w:p>
        </w:tc>
        <w:tc>
          <w:tcPr>
            <w:tcW w:w="1984" w:type="dxa"/>
            <w:vMerge/>
            <w:vAlign w:val="center"/>
          </w:tcPr>
          <w:p w14:paraId="59150DC9"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233B2932" w14:textId="77777777" w:rsidTr="003930B9">
        <w:trPr>
          <w:trHeight w:val="240"/>
        </w:trPr>
        <w:tc>
          <w:tcPr>
            <w:tcW w:w="4395" w:type="dxa"/>
            <w:shd w:val="clear" w:color="auto" w:fill="auto"/>
            <w:noWrap/>
            <w:vAlign w:val="bottom"/>
            <w:hideMark/>
          </w:tcPr>
          <w:p w14:paraId="0DADE913"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14-20</w:t>
            </w:r>
          </w:p>
        </w:tc>
        <w:tc>
          <w:tcPr>
            <w:tcW w:w="1559" w:type="dxa"/>
            <w:shd w:val="clear" w:color="auto" w:fill="auto"/>
            <w:noWrap/>
            <w:vAlign w:val="bottom"/>
          </w:tcPr>
          <w:p w14:paraId="63D3381F"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39 (8.0%)</w:t>
            </w:r>
          </w:p>
        </w:tc>
        <w:tc>
          <w:tcPr>
            <w:tcW w:w="1984" w:type="dxa"/>
            <w:vMerge/>
            <w:vAlign w:val="center"/>
          </w:tcPr>
          <w:p w14:paraId="391CDC46"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C42389F" w14:textId="77777777" w:rsidTr="003930B9">
        <w:trPr>
          <w:trHeight w:val="240"/>
        </w:trPr>
        <w:tc>
          <w:tcPr>
            <w:tcW w:w="4395" w:type="dxa"/>
            <w:shd w:val="clear" w:color="auto" w:fill="auto"/>
            <w:noWrap/>
            <w:vAlign w:val="bottom"/>
            <w:hideMark/>
          </w:tcPr>
          <w:p w14:paraId="2FA82CBF"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&gt;20</w:t>
            </w:r>
          </w:p>
        </w:tc>
        <w:tc>
          <w:tcPr>
            <w:tcW w:w="1559" w:type="dxa"/>
            <w:shd w:val="clear" w:color="auto" w:fill="auto"/>
            <w:noWrap/>
            <w:vAlign w:val="bottom"/>
          </w:tcPr>
          <w:p w14:paraId="61C95D19"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11 (2.2%)</w:t>
            </w:r>
          </w:p>
        </w:tc>
        <w:tc>
          <w:tcPr>
            <w:tcW w:w="1984" w:type="dxa"/>
            <w:vMerge/>
            <w:vAlign w:val="center"/>
          </w:tcPr>
          <w:p w14:paraId="05056D64"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6C6E92D" w14:textId="77777777" w:rsidTr="003930B9">
        <w:trPr>
          <w:trHeight w:val="120"/>
        </w:trPr>
        <w:tc>
          <w:tcPr>
            <w:tcW w:w="4395" w:type="dxa"/>
            <w:shd w:val="clear" w:color="auto" w:fill="auto"/>
            <w:noWrap/>
            <w:vAlign w:val="bottom"/>
            <w:hideMark/>
          </w:tcPr>
          <w:p w14:paraId="5382F471"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61E8743B"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2DBFEBD4"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746479A5" w14:textId="77777777" w:rsidTr="003930B9">
        <w:trPr>
          <w:trHeight w:val="240"/>
        </w:trPr>
        <w:tc>
          <w:tcPr>
            <w:tcW w:w="4395" w:type="dxa"/>
            <w:shd w:val="clear" w:color="auto" w:fill="auto"/>
            <w:noWrap/>
            <w:vAlign w:val="bottom"/>
            <w:hideMark/>
          </w:tcPr>
          <w:p w14:paraId="07EC2FEE"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Education:</w:t>
            </w:r>
          </w:p>
        </w:tc>
        <w:tc>
          <w:tcPr>
            <w:tcW w:w="1559" w:type="dxa"/>
            <w:shd w:val="clear" w:color="auto" w:fill="auto"/>
            <w:noWrap/>
            <w:vAlign w:val="bottom"/>
          </w:tcPr>
          <w:p w14:paraId="0AF76301"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4F9DD0EA"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25E946BD" w14:textId="77777777" w:rsidTr="003930B9">
        <w:trPr>
          <w:trHeight w:val="240"/>
        </w:trPr>
        <w:tc>
          <w:tcPr>
            <w:tcW w:w="4395" w:type="dxa"/>
            <w:shd w:val="clear" w:color="auto" w:fill="auto"/>
            <w:noWrap/>
            <w:vAlign w:val="bottom"/>
            <w:hideMark/>
          </w:tcPr>
          <w:p w14:paraId="4D9BAA93"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Below GCSE</w:t>
            </w:r>
          </w:p>
        </w:tc>
        <w:tc>
          <w:tcPr>
            <w:tcW w:w="1559" w:type="dxa"/>
            <w:shd w:val="clear" w:color="auto" w:fill="auto"/>
            <w:noWrap/>
            <w:vAlign w:val="bottom"/>
          </w:tcPr>
          <w:p w14:paraId="67EB9826"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120 (24.4%)</w:t>
            </w:r>
          </w:p>
        </w:tc>
        <w:tc>
          <w:tcPr>
            <w:tcW w:w="1984" w:type="dxa"/>
            <w:vMerge w:val="restart"/>
            <w:vAlign w:val="center"/>
          </w:tcPr>
          <w:p w14:paraId="5438E656"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492</w:t>
            </w:r>
          </w:p>
        </w:tc>
      </w:tr>
      <w:tr w:rsidR="00880D6D" w:rsidRPr="007539F3" w14:paraId="55AF4DE7" w14:textId="77777777" w:rsidTr="003930B9">
        <w:trPr>
          <w:trHeight w:val="240"/>
        </w:trPr>
        <w:tc>
          <w:tcPr>
            <w:tcW w:w="4395" w:type="dxa"/>
            <w:shd w:val="clear" w:color="auto" w:fill="auto"/>
            <w:noWrap/>
            <w:vAlign w:val="bottom"/>
            <w:hideMark/>
          </w:tcPr>
          <w:p w14:paraId="014B7DCE"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CSE O level / GCSE</w:t>
            </w:r>
          </w:p>
        </w:tc>
        <w:tc>
          <w:tcPr>
            <w:tcW w:w="1559" w:type="dxa"/>
            <w:shd w:val="clear" w:color="auto" w:fill="auto"/>
            <w:noWrap/>
            <w:vAlign w:val="bottom"/>
          </w:tcPr>
          <w:p w14:paraId="482603B4"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170 (34.6%)</w:t>
            </w:r>
          </w:p>
        </w:tc>
        <w:tc>
          <w:tcPr>
            <w:tcW w:w="1984" w:type="dxa"/>
            <w:vMerge/>
            <w:vAlign w:val="center"/>
          </w:tcPr>
          <w:p w14:paraId="7568EF40"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A16FC38" w14:textId="77777777" w:rsidTr="003930B9">
        <w:trPr>
          <w:trHeight w:val="240"/>
        </w:trPr>
        <w:tc>
          <w:tcPr>
            <w:tcW w:w="4395" w:type="dxa"/>
            <w:shd w:val="clear" w:color="auto" w:fill="auto"/>
            <w:noWrap/>
            <w:vAlign w:val="bottom"/>
            <w:hideMark/>
          </w:tcPr>
          <w:p w14:paraId="414C873C"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A Level</w:t>
            </w:r>
          </w:p>
        </w:tc>
        <w:tc>
          <w:tcPr>
            <w:tcW w:w="1559" w:type="dxa"/>
            <w:shd w:val="clear" w:color="auto" w:fill="auto"/>
            <w:noWrap/>
            <w:vAlign w:val="bottom"/>
          </w:tcPr>
          <w:p w14:paraId="2FECED5A"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61 (12.4%)</w:t>
            </w:r>
          </w:p>
        </w:tc>
        <w:tc>
          <w:tcPr>
            <w:tcW w:w="1984" w:type="dxa"/>
            <w:vMerge/>
            <w:vAlign w:val="center"/>
          </w:tcPr>
          <w:p w14:paraId="2F5A6665"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55FF040" w14:textId="77777777" w:rsidTr="003930B9">
        <w:trPr>
          <w:trHeight w:val="240"/>
        </w:trPr>
        <w:tc>
          <w:tcPr>
            <w:tcW w:w="4395" w:type="dxa"/>
            <w:shd w:val="clear" w:color="auto" w:fill="auto"/>
            <w:noWrap/>
            <w:vAlign w:val="bottom"/>
            <w:hideMark/>
          </w:tcPr>
          <w:p w14:paraId="1ED6CDC8"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Degree</w:t>
            </w:r>
          </w:p>
        </w:tc>
        <w:tc>
          <w:tcPr>
            <w:tcW w:w="1559" w:type="dxa"/>
            <w:shd w:val="clear" w:color="auto" w:fill="auto"/>
            <w:noWrap/>
            <w:vAlign w:val="bottom"/>
          </w:tcPr>
          <w:p w14:paraId="31A1388A"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141 (28.7%)</w:t>
            </w:r>
          </w:p>
        </w:tc>
        <w:tc>
          <w:tcPr>
            <w:tcW w:w="1984" w:type="dxa"/>
            <w:vMerge/>
            <w:vAlign w:val="center"/>
          </w:tcPr>
          <w:p w14:paraId="1102D988"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5B63B092" w14:textId="77777777" w:rsidTr="003930B9">
        <w:trPr>
          <w:trHeight w:val="120"/>
        </w:trPr>
        <w:tc>
          <w:tcPr>
            <w:tcW w:w="4395" w:type="dxa"/>
            <w:shd w:val="clear" w:color="auto" w:fill="auto"/>
            <w:noWrap/>
            <w:vAlign w:val="bottom"/>
            <w:hideMark/>
          </w:tcPr>
          <w:p w14:paraId="3C90A9C8"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14CE3207"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4561FE40"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311DD860" w14:textId="77777777" w:rsidTr="003930B9">
        <w:trPr>
          <w:trHeight w:val="240"/>
        </w:trPr>
        <w:tc>
          <w:tcPr>
            <w:tcW w:w="4395" w:type="dxa"/>
            <w:shd w:val="clear" w:color="auto" w:fill="auto"/>
            <w:noWrap/>
            <w:vAlign w:val="bottom"/>
            <w:hideMark/>
          </w:tcPr>
          <w:p w14:paraId="1A79AA48" w14:textId="65901092" w:rsidR="00880D6D" w:rsidRPr="007539F3" w:rsidRDefault="003930B9" w:rsidP="001F2034">
            <w:pPr>
              <w:spacing w:line="240" w:lineRule="auto"/>
              <w:jc w:val="both"/>
              <w:rPr>
                <w:rFonts w:ascii="Times New Roman" w:hAnsi="Times New Roman"/>
                <w:iCs/>
                <w:sz w:val="20"/>
                <w:szCs w:val="20"/>
              </w:rPr>
            </w:pPr>
            <w:r>
              <w:rPr>
                <w:rFonts w:ascii="Times New Roman" w:hAnsi="Times New Roman"/>
                <w:iCs/>
                <w:sz w:val="20"/>
                <w:szCs w:val="20"/>
              </w:rPr>
              <w:t>U</w:t>
            </w:r>
            <w:r w:rsidRPr="003930B9">
              <w:rPr>
                <w:rFonts w:ascii="Times New Roman" w:hAnsi="Times New Roman"/>
                <w:iCs/>
                <w:sz w:val="20"/>
                <w:szCs w:val="20"/>
              </w:rPr>
              <w:t>se of anti-osteoporotic medication</w:t>
            </w:r>
          </w:p>
        </w:tc>
        <w:tc>
          <w:tcPr>
            <w:tcW w:w="1559" w:type="dxa"/>
            <w:shd w:val="clear" w:color="auto" w:fill="auto"/>
            <w:noWrap/>
            <w:vAlign w:val="bottom"/>
          </w:tcPr>
          <w:p w14:paraId="48864C72"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31 (6.5%)</w:t>
            </w:r>
          </w:p>
        </w:tc>
        <w:tc>
          <w:tcPr>
            <w:tcW w:w="1984" w:type="dxa"/>
            <w:vAlign w:val="center"/>
          </w:tcPr>
          <w:p w14:paraId="632F8568"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478</w:t>
            </w:r>
          </w:p>
        </w:tc>
      </w:tr>
      <w:tr w:rsidR="00E352CA" w:rsidRPr="007539F3" w14:paraId="724DBBDE" w14:textId="77777777" w:rsidTr="003930B9">
        <w:trPr>
          <w:trHeight w:val="240"/>
        </w:trPr>
        <w:tc>
          <w:tcPr>
            <w:tcW w:w="4395" w:type="dxa"/>
            <w:tcBorders>
              <w:top w:val="nil"/>
              <w:left w:val="nil"/>
              <w:bottom w:val="nil"/>
              <w:right w:val="nil"/>
            </w:tcBorders>
            <w:shd w:val="clear" w:color="auto" w:fill="auto"/>
            <w:noWrap/>
            <w:vAlign w:val="center"/>
          </w:tcPr>
          <w:p w14:paraId="3ADDFC18" w14:textId="72590FD1" w:rsidR="00E352CA" w:rsidRPr="007539F3" w:rsidRDefault="00E352CA" w:rsidP="00E352CA">
            <w:pPr>
              <w:spacing w:line="240" w:lineRule="auto"/>
              <w:jc w:val="both"/>
              <w:rPr>
                <w:rFonts w:ascii="Times New Roman" w:hAnsi="Times New Roman"/>
                <w:iCs/>
                <w:sz w:val="20"/>
                <w:szCs w:val="20"/>
              </w:rPr>
            </w:pPr>
            <w:r w:rsidRPr="009A499C">
              <w:rPr>
                <w:rFonts w:ascii="Times New Roman" w:hAnsi="Times New Roman"/>
                <w:color w:val="000000"/>
                <w:sz w:val="20"/>
                <w:szCs w:val="20"/>
              </w:rPr>
              <w:t xml:space="preserve">Currently taking calcium  </w:t>
            </w:r>
          </w:p>
        </w:tc>
        <w:tc>
          <w:tcPr>
            <w:tcW w:w="1559" w:type="dxa"/>
            <w:tcBorders>
              <w:top w:val="nil"/>
              <w:left w:val="nil"/>
              <w:bottom w:val="nil"/>
              <w:right w:val="nil"/>
            </w:tcBorders>
            <w:shd w:val="clear" w:color="auto" w:fill="auto"/>
            <w:noWrap/>
            <w:vAlign w:val="center"/>
          </w:tcPr>
          <w:p w14:paraId="711D0706" w14:textId="54DEC1F4" w:rsidR="00E352CA" w:rsidRPr="00257F20" w:rsidRDefault="0071484B" w:rsidP="00E352CA">
            <w:pPr>
              <w:spacing w:line="240" w:lineRule="auto"/>
              <w:jc w:val="both"/>
              <w:rPr>
                <w:rFonts w:ascii="Times New Roman" w:hAnsi="Times New Roman"/>
                <w:color w:val="000000"/>
                <w:sz w:val="20"/>
                <w:szCs w:val="20"/>
              </w:rPr>
            </w:pPr>
            <w:r w:rsidRPr="0071484B">
              <w:rPr>
                <w:rFonts w:ascii="Times New Roman" w:hAnsi="Times New Roman"/>
                <w:color w:val="000000"/>
                <w:sz w:val="20"/>
                <w:szCs w:val="20"/>
              </w:rPr>
              <w:t>101 (20.9%)</w:t>
            </w:r>
          </w:p>
        </w:tc>
        <w:tc>
          <w:tcPr>
            <w:tcW w:w="1984" w:type="dxa"/>
            <w:tcBorders>
              <w:top w:val="nil"/>
              <w:left w:val="nil"/>
              <w:bottom w:val="nil"/>
              <w:right w:val="nil"/>
            </w:tcBorders>
            <w:shd w:val="clear" w:color="auto" w:fill="auto"/>
            <w:vAlign w:val="center"/>
          </w:tcPr>
          <w:p w14:paraId="01A35703" w14:textId="283EBCB3" w:rsidR="00E352CA" w:rsidRPr="001E2F62" w:rsidRDefault="0071484B" w:rsidP="00E352CA">
            <w:pPr>
              <w:spacing w:line="240" w:lineRule="auto"/>
              <w:jc w:val="center"/>
              <w:rPr>
                <w:rFonts w:ascii="Times New Roman" w:hAnsi="Times New Roman"/>
                <w:iCs/>
                <w:sz w:val="20"/>
                <w:szCs w:val="20"/>
              </w:rPr>
            </w:pPr>
            <w:r w:rsidRPr="0071484B">
              <w:rPr>
                <w:rFonts w:ascii="Times New Roman" w:hAnsi="Times New Roman"/>
                <w:iCs/>
                <w:sz w:val="20"/>
                <w:szCs w:val="20"/>
              </w:rPr>
              <w:t>484</w:t>
            </w:r>
          </w:p>
        </w:tc>
      </w:tr>
      <w:tr w:rsidR="00E352CA" w:rsidRPr="007539F3" w14:paraId="5EFD1396" w14:textId="77777777" w:rsidTr="003930B9">
        <w:trPr>
          <w:trHeight w:val="240"/>
        </w:trPr>
        <w:tc>
          <w:tcPr>
            <w:tcW w:w="4395" w:type="dxa"/>
            <w:tcBorders>
              <w:top w:val="nil"/>
              <w:left w:val="nil"/>
              <w:bottom w:val="nil"/>
              <w:right w:val="nil"/>
            </w:tcBorders>
            <w:shd w:val="clear" w:color="auto" w:fill="auto"/>
            <w:noWrap/>
            <w:vAlign w:val="center"/>
          </w:tcPr>
          <w:p w14:paraId="344FA872" w14:textId="4974CE9C" w:rsidR="00E352CA" w:rsidRPr="007539F3" w:rsidRDefault="00E352CA" w:rsidP="00E352CA">
            <w:pPr>
              <w:spacing w:line="240" w:lineRule="auto"/>
              <w:jc w:val="both"/>
              <w:rPr>
                <w:rFonts w:ascii="Times New Roman" w:hAnsi="Times New Roman"/>
                <w:iCs/>
                <w:sz w:val="20"/>
                <w:szCs w:val="20"/>
              </w:rPr>
            </w:pPr>
            <w:r w:rsidRPr="009A499C">
              <w:rPr>
                <w:rFonts w:ascii="Times New Roman" w:hAnsi="Times New Roman"/>
                <w:color w:val="000000"/>
                <w:sz w:val="20"/>
                <w:szCs w:val="20"/>
              </w:rPr>
              <w:t>Currently taking Vit D</w:t>
            </w:r>
            <w:r w:rsidR="003930B9">
              <w:rPr>
                <w:rFonts w:ascii="Times New Roman" w:hAnsi="Times New Roman"/>
                <w:color w:val="000000"/>
                <w:sz w:val="20"/>
                <w:szCs w:val="20"/>
              </w:rPr>
              <w:t xml:space="preserve"> </w:t>
            </w:r>
            <w:r w:rsidRPr="009A499C">
              <w:rPr>
                <w:rFonts w:ascii="Times New Roman" w:hAnsi="Times New Roman"/>
                <w:color w:val="000000"/>
                <w:sz w:val="20"/>
                <w:szCs w:val="20"/>
              </w:rPr>
              <w:t>/</w:t>
            </w:r>
            <w:r w:rsidR="003930B9">
              <w:rPr>
                <w:rFonts w:ascii="Times New Roman" w:hAnsi="Times New Roman"/>
                <w:color w:val="000000"/>
                <w:sz w:val="20"/>
                <w:szCs w:val="20"/>
              </w:rPr>
              <w:t xml:space="preserve"> </w:t>
            </w:r>
            <w:r w:rsidRPr="009A499C">
              <w:rPr>
                <w:rFonts w:ascii="Times New Roman" w:hAnsi="Times New Roman"/>
                <w:color w:val="000000"/>
                <w:sz w:val="20"/>
                <w:szCs w:val="20"/>
              </w:rPr>
              <w:t>multivitamin with Vit D</w:t>
            </w:r>
          </w:p>
        </w:tc>
        <w:tc>
          <w:tcPr>
            <w:tcW w:w="1559" w:type="dxa"/>
            <w:tcBorders>
              <w:top w:val="nil"/>
              <w:left w:val="nil"/>
              <w:bottom w:val="nil"/>
              <w:right w:val="nil"/>
            </w:tcBorders>
            <w:shd w:val="clear" w:color="auto" w:fill="auto"/>
            <w:noWrap/>
            <w:vAlign w:val="center"/>
          </w:tcPr>
          <w:p w14:paraId="6EFDEB30" w14:textId="57CC98CA" w:rsidR="00E352CA" w:rsidRPr="00257F20" w:rsidRDefault="0071484B" w:rsidP="00E352CA">
            <w:pPr>
              <w:spacing w:line="240" w:lineRule="auto"/>
              <w:jc w:val="both"/>
              <w:rPr>
                <w:rFonts w:ascii="Times New Roman" w:hAnsi="Times New Roman"/>
                <w:color w:val="000000"/>
                <w:sz w:val="20"/>
                <w:szCs w:val="20"/>
              </w:rPr>
            </w:pPr>
            <w:r w:rsidRPr="0071484B">
              <w:rPr>
                <w:rFonts w:ascii="Times New Roman" w:hAnsi="Times New Roman"/>
                <w:color w:val="000000"/>
                <w:sz w:val="20"/>
                <w:szCs w:val="20"/>
              </w:rPr>
              <w:t>112 (23.2%)</w:t>
            </w:r>
          </w:p>
        </w:tc>
        <w:tc>
          <w:tcPr>
            <w:tcW w:w="1984" w:type="dxa"/>
            <w:tcBorders>
              <w:top w:val="nil"/>
              <w:left w:val="nil"/>
              <w:bottom w:val="nil"/>
              <w:right w:val="nil"/>
            </w:tcBorders>
            <w:shd w:val="clear" w:color="auto" w:fill="auto"/>
            <w:vAlign w:val="center"/>
          </w:tcPr>
          <w:p w14:paraId="1E347F1C" w14:textId="0613FD87" w:rsidR="00E352CA" w:rsidRPr="001E2F62" w:rsidRDefault="0071484B" w:rsidP="00E352CA">
            <w:pPr>
              <w:spacing w:line="240" w:lineRule="auto"/>
              <w:jc w:val="center"/>
              <w:rPr>
                <w:rFonts w:ascii="Times New Roman" w:hAnsi="Times New Roman"/>
                <w:iCs/>
                <w:sz w:val="20"/>
                <w:szCs w:val="20"/>
              </w:rPr>
            </w:pPr>
            <w:r>
              <w:rPr>
                <w:rFonts w:ascii="Times New Roman" w:hAnsi="Times New Roman"/>
                <w:iCs/>
                <w:sz w:val="20"/>
                <w:szCs w:val="20"/>
              </w:rPr>
              <w:t>482</w:t>
            </w:r>
          </w:p>
        </w:tc>
      </w:tr>
      <w:tr w:rsidR="00880D6D" w:rsidRPr="007539F3" w14:paraId="32A9397B" w14:textId="77777777" w:rsidTr="003930B9">
        <w:trPr>
          <w:trHeight w:val="240"/>
        </w:trPr>
        <w:tc>
          <w:tcPr>
            <w:tcW w:w="4395" w:type="dxa"/>
            <w:shd w:val="clear" w:color="auto" w:fill="auto"/>
            <w:noWrap/>
            <w:vAlign w:val="bottom"/>
            <w:hideMark/>
          </w:tcPr>
          <w:p w14:paraId="61029C70" w14:textId="70F0D76F" w:rsidR="00880D6D" w:rsidRPr="007539F3" w:rsidRDefault="003930B9" w:rsidP="003930B9">
            <w:pPr>
              <w:spacing w:line="240" w:lineRule="auto"/>
              <w:jc w:val="both"/>
              <w:rPr>
                <w:rFonts w:ascii="Times New Roman" w:hAnsi="Times New Roman"/>
                <w:iCs/>
                <w:sz w:val="20"/>
                <w:szCs w:val="20"/>
              </w:rPr>
            </w:pPr>
            <w:r>
              <w:rPr>
                <w:rFonts w:ascii="Times New Roman" w:hAnsi="Times New Roman"/>
                <w:iCs/>
                <w:sz w:val="20"/>
                <w:szCs w:val="20"/>
              </w:rPr>
              <w:t>Ever used oestrogen / hormone replacement therapy</w:t>
            </w:r>
          </w:p>
        </w:tc>
        <w:tc>
          <w:tcPr>
            <w:tcW w:w="1559" w:type="dxa"/>
            <w:shd w:val="clear" w:color="auto" w:fill="auto"/>
            <w:noWrap/>
            <w:vAlign w:val="bottom"/>
          </w:tcPr>
          <w:p w14:paraId="3C384C0E"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238 (48.6%)</w:t>
            </w:r>
          </w:p>
        </w:tc>
        <w:tc>
          <w:tcPr>
            <w:tcW w:w="1984" w:type="dxa"/>
            <w:vAlign w:val="center"/>
          </w:tcPr>
          <w:p w14:paraId="56CA86FB"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490</w:t>
            </w:r>
          </w:p>
        </w:tc>
      </w:tr>
      <w:tr w:rsidR="00880D6D" w:rsidRPr="007539F3" w14:paraId="4F969E55" w14:textId="77777777" w:rsidTr="003930B9">
        <w:trPr>
          <w:trHeight w:val="120"/>
        </w:trPr>
        <w:tc>
          <w:tcPr>
            <w:tcW w:w="4395" w:type="dxa"/>
            <w:shd w:val="clear" w:color="auto" w:fill="auto"/>
            <w:noWrap/>
            <w:vAlign w:val="bottom"/>
            <w:hideMark/>
          </w:tcPr>
          <w:p w14:paraId="210EE58C"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w:t>
            </w:r>
          </w:p>
        </w:tc>
        <w:tc>
          <w:tcPr>
            <w:tcW w:w="1559" w:type="dxa"/>
            <w:shd w:val="clear" w:color="auto" w:fill="auto"/>
            <w:noWrap/>
            <w:vAlign w:val="bottom"/>
          </w:tcPr>
          <w:p w14:paraId="5388F8BC"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48BB2C13"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15CF2C02" w14:textId="77777777" w:rsidTr="003930B9">
        <w:trPr>
          <w:trHeight w:val="240"/>
        </w:trPr>
        <w:tc>
          <w:tcPr>
            <w:tcW w:w="4395" w:type="dxa"/>
            <w:shd w:val="clear" w:color="auto" w:fill="auto"/>
            <w:noWrap/>
            <w:vAlign w:val="bottom"/>
            <w:hideMark/>
          </w:tcPr>
          <w:p w14:paraId="6044FD04"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Years since last menstrual cycle:</w:t>
            </w:r>
          </w:p>
        </w:tc>
        <w:tc>
          <w:tcPr>
            <w:tcW w:w="1559" w:type="dxa"/>
            <w:shd w:val="clear" w:color="auto" w:fill="auto"/>
            <w:noWrap/>
            <w:vAlign w:val="bottom"/>
          </w:tcPr>
          <w:p w14:paraId="51AB6FFF" w14:textId="77777777" w:rsidR="00880D6D" w:rsidRPr="007539F3" w:rsidRDefault="00880D6D" w:rsidP="001F2034">
            <w:pPr>
              <w:spacing w:line="240" w:lineRule="auto"/>
              <w:jc w:val="both"/>
              <w:rPr>
                <w:rFonts w:ascii="Times New Roman" w:hAnsi="Times New Roman"/>
                <w:iCs/>
                <w:sz w:val="20"/>
                <w:szCs w:val="20"/>
              </w:rPr>
            </w:pPr>
          </w:p>
        </w:tc>
        <w:tc>
          <w:tcPr>
            <w:tcW w:w="1984" w:type="dxa"/>
            <w:vAlign w:val="center"/>
          </w:tcPr>
          <w:p w14:paraId="38F478E8"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09D46432" w14:textId="77777777" w:rsidTr="003930B9">
        <w:trPr>
          <w:trHeight w:val="240"/>
        </w:trPr>
        <w:tc>
          <w:tcPr>
            <w:tcW w:w="4395" w:type="dxa"/>
            <w:shd w:val="clear" w:color="auto" w:fill="auto"/>
            <w:noWrap/>
            <w:vAlign w:val="bottom"/>
            <w:hideMark/>
          </w:tcPr>
          <w:p w14:paraId="47D80664"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&lt;10</w:t>
            </w:r>
          </w:p>
        </w:tc>
        <w:tc>
          <w:tcPr>
            <w:tcW w:w="1559" w:type="dxa"/>
            <w:shd w:val="clear" w:color="auto" w:fill="auto"/>
            <w:noWrap/>
            <w:vAlign w:val="bottom"/>
          </w:tcPr>
          <w:p w14:paraId="457A16F9"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153 (31.9%)</w:t>
            </w:r>
          </w:p>
        </w:tc>
        <w:tc>
          <w:tcPr>
            <w:tcW w:w="1984" w:type="dxa"/>
            <w:vMerge w:val="restart"/>
            <w:vAlign w:val="center"/>
          </w:tcPr>
          <w:p w14:paraId="77D036D4" w14:textId="77777777" w:rsidR="00880D6D" w:rsidRPr="001E2F62" w:rsidRDefault="00880D6D" w:rsidP="001F2034">
            <w:pPr>
              <w:spacing w:line="240" w:lineRule="auto"/>
              <w:jc w:val="center"/>
              <w:rPr>
                <w:rFonts w:ascii="Times New Roman" w:hAnsi="Times New Roman"/>
                <w:iCs/>
                <w:sz w:val="20"/>
                <w:szCs w:val="20"/>
              </w:rPr>
            </w:pPr>
            <w:r w:rsidRPr="001E2F62">
              <w:rPr>
                <w:rFonts w:ascii="Times New Roman" w:hAnsi="Times New Roman"/>
                <w:iCs/>
                <w:sz w:val="20"/>
                <w:szCs w:val="20"/>
              </w:rPr>
              <w:t>479</w:t>
            </w:r>
          </w:p>
        </w:tc>
      </w:tr>
      <w:tr w:rsidR="00880D6D" w:rsidRPr="007539F3" w14:paraId="33CFC737" w14:textId="77777777" w:rsidTr="003930B9">
        <w:trPr>
          <w:trHeight w:val="240"/>
        </w:trPr>
        <w:tc>
          <w:tcPr>
            <w:tcW w:w="4395" w:type="dxa"/>
            <w:shd w:val="clear" w:color="auto" w:fill="auto"/>
            <w:noWrap/>
            <w:vAlign w:val="bottom"/>
            <w:hideMark/>
          </w:tcPr>
          <w:p w14:paraId="34148B56"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10-19</w:t>
            </w:r>
          </w:p>
        </w:tc>
        <w:tc>
          <w:tcPr>
            <w:tcW w:w="1559" w:type="dxa"/>
            <w:shd w:val="clear" w:color="auto" w:fill="auto"/>
            <w:noWrap/>
            <w:vAlign w:val="bottom"/>
          </w:tcPr>
          <w:p w14:paraId="13322C6D"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212 (44.3%)</w:t>
            </w:r>
          </w:p>
        </w:tc>
        <w:tc>
          <w:tcPr>
            <w:tcW w:w="1984" w:type="dxa"/>
            <w:vMerge/>
            <w:vAlign w:val="center"/>
          </w:tcPr>
          <w:p w14:paraId="06DEFE55"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53841604" w14:textId="77777777" w:rsidTr="003930B9">
        <w:trPr>
          <w:trHeight w:val="240"/>
        </w:trPr>
        <w:tc>
          <w:tcPr>
            <w:tcW w:w="4395" w:type="dxa"/>
            <w:shd w:val="clear" w:color="auto" w:fill="auto"/>
            <w:noWrap/>
            <w:vAlign w:val="bottom"/>
            <w:hideMark/>
          </w:tcPr>
          <w:p w14:paraId="451A55A2"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20-29</w:t>
            </w:r>
          </w:p>
        </w:tc>
        <w:tc>
          <w:tcPr>
            <w:tcW w:w="1559" w:type="dxa"/>
            <w:shd w:val="clear" w:color="auto" w:fill="auto"/>
            <w:noWrap/>
            <w:vAlign w:val="bottom"/>
          </w:tcPr>
          <w:p w14:paraId="1E53FABA"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89 (18.6%)</w:t>
            </w:r>
          </w:p>
        </w:tc>
        <w:tc>
          <w:tcPr>
            <w:tcW w:w="1984" w:type="dxa"/>
            <w:vMerge/>
            <w:vAlign w:val="center"/>
          </w:tcPr>
          <w:p w14:paraId="16C66101" w14:textId="77777777" w:rsidR="00880D6D" w:rsidRPr="001E2F62" w:rsidRDefault="00880D6D" w:rsidP="001F2034">
            <w:pPr>
              <w:spacing w:line="240" w:lineRule="auto"/>
              <w:jc w:val="center"/>
              <w:rPr>
                <w:rFonts w:ascii="Times New Roman" w:hAnsi="Times New Roman"/>
                <w:iCs/>
                <w:sz w:val="20"/>
                <w:szCs w:val="20"/>
              </w:rPr>
            </w:pPr>
          </w:p>
        </w:tc>
      </w:tr>
      <w:tr w:rsidR="00880D6D" w:rsidRPr="007539F3" w14:paraId="19D2343E" w14:textId="77777777" w:rsidTr="003930B9">
        <w:trPr>
          <w:trHeight w:val="240"/>
        </w:trPr>
        <w:tc>
          <w:tcPr>
            <w:tcW w:w="4395" w:type="dxa"/>
            <w:tcBorders>
              <w:bottom w:val="single" w:sz="4" w:space="0" w:color="auto"/>
            </w:tcBorders>
            <w:shd w:val="clear" w:color="auto" w:fill="auto"/>
            <w:noWrap/>
            <w:vAlign w:val="bottom"/>
            <w:hideMark/>
          </w:tcPr>
          <w:p w14:paraId="0D4D6934" w14:textId="77777777" w:rsidR="00880D6D" w:rsidRPr="007539F3" w:rsidRDefault="00880D6D" w:rsidP="001F2034">
            <w:pPr>
              <w:spacing w:line="240" w:lineRule="auto"/>
              <w:jc w:val="both"/>
              <w:rPr>
                <w:rFonts w:ascii="Times New Roman" w:hAnsi="Times New Roman"/>
                <w:iCs/>
                <w:sz w:val="20"/>
                <w:szCs w:val="20"/>
              </w:rPr>
            </w:pPr>
            <w:r w:rsidRPr="007539F3">
              <w:rPr>
                <w:rFonts w:ascii="Times New Roman" w:hAnsi="Times New Roman"/>
                <w:iCs/>
                <w:sz w:val="20"/>
                <w:szCs w:val="20"/>
              </w:rPr>
              <w:t xml:space="preserve">     &gt;29</w:t>
            </w:r>
          </w:p>
        </w:tc>
        <w:tc>
          <w:tcPr>
            <w:tcW w:w="1559" w:type="dxa"/>
            <w:tcBorders>
              <w:bottom w:val="single" w:sz="4" w:space="0" w:color="auto"/>
            </w:tcBorders>
            <w:shd w:val="clear" w:color="auto" w:fill="auto"/>
            <w:noWrap/>
            <w:vAlign w:val="bottom"/>
          </w:tcPr>
          <w:p w14:paraId="6DC9A9E2" w14:textId="77777777" w:rsidR="00880D6D" w:rsidRPr="00257F20" w:rsidRDefault="00880D6D" w:rsidP="001F2034">
            <w:pPr>
              <w:spacing w:line="240" w:lineRule="auto"/>
              <w:jc w:val="both"/>
              <w:rPr>
                <w:rFonts w:ascii="Times New Roman" w:hAnsi="Times New Roman"/>
                <w:iCs/>
                <w:sz w:val="20"/>
                <w:szCs w:val="20"/>
              </w:rPr>
            </w:pPr>
            <w:r w:rsidRPr="00257F20">
              <w:rPr>
                <w:rFonts w:ascii="Times New Roman" w:hAnsi="Times New Roman"/>
                <w:color w:val="000000"/>
                <w:sz w:val="20"/>
                <w:szCs w:val="20"/>
              </w:rPr>
              <w:t>25 (5.2%)</w:t>
            </w:r>
          </w:p>
        </w:tc>
        <w:tc>
          <w:tcPr>
            <w:tcW w:w="1984" w:type="dxa"/>
            <w:vMerge/>
            <w:tcBorders>
              <w:bottom w:val="single" w:sz="4" w:space="0" w:color="auto"/>
            </w:tcBorders>
            <w:vAlign w:val="center"/>
          </w:tcPr>
          <w:p w14:paraId="6C873391" w14:textId="77777777" w:rsidR="00880D6D" w:rsidRPr="001E2F62" w:rsidRDefault="00880D6D" w:rsidP="001F2034">
            <w:pPr>
              <w:spacing w:line="240" w:lineRule="auto"/>
              <w:jc w:val="center"/>
              <w:rPr>
                <w:rFonts w:ascii="Times New Roman" w:hAnsi="Times New Roman"/>
                <w:iCs/>
                <w:sz w:val="20"/>
                <w:szCs w:val="20"/>
              </w:rPr>
            </w:pPr>
          </w:p>
        </w:tc>
      </w:tr>
      <w:tr w:rsidR="003930B9" w:rsidRPr="007539F3" w14:paraId="104DF960" w14:textId="77777777" w:rsidTr="003930B9">
        <w:trPr>
          <w:trHeight w:val="240"/>
        </w:trPr>
        <w:tc>
          <w:tcPr>
            <w:tcW w:w="7938" w:type="dxa"/>
            <w:gridSpan w:val="3"/>
            <w:tcBorders>
              <w:top w:val="single" w:sz="4" w:space="0" w:color="auto"/>
            </w:tcBorders>
            <w:shd w:val="clear" w:color="auto" w:fill="auto"/>
            <w:noWrap/>
            <w:vAlign w:val="bottom"/>
          </w:tcPr>
          <w:p w14:paraId="4FF8A139" w14:textId="6B83B0E6" w:rsidR="003930B9" w:rsidRPr="001E2F62" w:rsidRDefault="003930B9" w:rsidP="003930B9">
            <w:pPr>
              <w:spacing w:line="240" w:lineRule="auto"/>
              <w:rPr>
                <w:rFonts w:ascii="Times New Roman" w:hAnsi="Times New Roman"/>
                <w:iCs/>
                <w:sz w:val="20"/>
                <w:szCs w:val="20"/>
              </w:rPr>
            </w:pPr>
            <w:r w:rsidRPr="003930B9">
              <w:rPr>
                <w:rFonts w:ascii="Times New Roman" w:hAnsi="Times New Roman"/>
                <w:iCs/>
                <w:sz w:val="20"/>
                <w:szCs w:val="20"/>
              </w:rPr>
              <w:t>*Mean (SD)</w:t>
            </w:r>
          </w:p>
        </w:tc>
      </w:tr>
      <w:tr w:rsidR="005525E0" w:rsidRPr="007539F3" w14:paraId="720FB5E6" w14:textId="77777777" w:rsidTr="005525E0">
        <w:trPr>
          <w:trHeight w:val="710"/>
        </w:trPr>
        <w:tc>
          <w:tcPr>
            <w:tcW w:w="7938" w:type="dxa"/>
            <w:gridSpan w:val="3"/>
            <w:tcBorders>
              <w:top w:val="single" w:sz="4" w:space="0" w:color="auto"/>
            </w:tcBorders>
            <w:shd w:val="clear" w:color="auto" w:fill="auto"/>
            <w:noWrap/>
          </w:tcPr>
          <w:p w14:paraId="2995C768" w14:textId="4A5E337A" w:rsidR="005525E0" w:rsidRPr="003930B9" w:rsidRDefault="005525E0" w:rsidP="005525E0">
            <w:pPr>
              <w:spacing w:line="240" w:lineRule="auto"/>
              <w:rPr>
                <w:rFonts w:ascii="Times New Roman" w:hAnsi="Times New Roman"/>
                <w:iCs/>
                <w:sz w:val="20"/>
                <w:szCs w:val="20"/>
              </w:rPr>
            </w:pPr>
            <w:r w:rsidRPr="005525E0">
              <w:rPr>
                <w:rFonts w:ascii="Times New Roman" w:hAnsi="Times New Roman"/>
                <w:iCs/>
                <w:sz w:val="20"/>
                <w:szCs w:val="20"/>
              </w:rPr>
              <w:t>SPR: Self-perceived fracture risk; DXA: Dual-energy X-ray absorptiometry</w:t>
            </w:r>
            <w:r>
              <w:rPr>
                <w:rFonts w:ascii="Times New Roman" w:hAnsi="Times New Roman"/>
                <w:iCs/>
                <w:sz w:val="20"/>
                <w:szCs w:val="20"/>
              </w:rPr>
              <w:t xml:space="preserve">; aBMD: Areal bone mineral density; </w:t>
            </w:r>
          </w:p>
        </w:tc>
      </w:tr>
      <w:tr w:rsidR="003930B9" w:rsidRPr="007539F3" w14:paraId="2FC63CB3" w14:textId="77777777" w:rsidTr="003930B9">
        <w:trPr>
          <w:trHeight w:val="240"/>
        </w:trPr>
        <w:tc>
          <w:tcPr>
            <w:tcW w:w="4395" w:type="dxa"/>
            <w:shd w:val="clear" w:color="auto" w:fill="auto"/>
            <w:noWrap/>
            <w:vAlign w:val="bottom"/>
          </w:tcPr>
          <w:p w14:paraId="74F936AA" w14:textId="77777777" w:rsidR="003930B9" w:rsidRPr="007539F3" w:rsidRDefault="003930B9" w:rsidP="001F2034">
            <w:pPr>
              <w:spacing w:line="240" w:lineRule="auto"/>
              <w:jc w:val="both"/>
              <w:rPr>
                <w:rFonts w:ascii="Times New Roman" w:hAnsi="Times New Roman"/>
                <w:iCs/>
                <w:sz w:val="20"/>
                <w:szCs w:val="20"/>
              </w:rPr>
            </w:pPr>
          </w:p>
        </w:tc>
        <w:tc>
          <w:tcPr>
            <w:tcW w:w="1559" w:type="dxa"/>
            <w:shd w:val="clear" w:color="auto" w:fill="auto"/>
            <w:noWrap/>
            <w:vAlign w:val="bottom"/>
          </w:tcPr>
          <w:p w14:paraId="17B30648" w14:textId="77777777" w:rsidR="003930B9" w:rsidRPr="00257F20" w:rsidRDefault="003930B9" w:rsidP="001F2034">
            <w:pPr>
              <w:spacing w:line="240" w:lineRule="auto"/>
              <w:jc w:val="both"/>
              <w:rPr>
                <w:rFonts w:ascii="Times New Roman" w:hAnsi="Times New Roman"/>
                <w:color w:val="000000"/>
                <w:sz w:val="20"/>
                <w:szCs w:val="20"/>
              </w:rPr>
            </w:pPr>
          </w:p>
        </w:tc>
        <w:tc>
          <w:tcPr>
            <w:tcW w:w="1984" w:type="dxa"/>
            <w:vAlign w:val="center"/>
          </w:tcPr>
          <w:p w14:paraId="4A04A8A2" w14:textId="77777777" w:rsidR="003930B9" w:rsidRPr="001E2F62" w:rsidRDefault="003930B9" w:rsidP="001F2034">
            <w:pPr>
              <w:spacing w:line="240" w:lineRule="auto"/>
              <w:jc w:val="center"/>
              <w:rPr>
                <w:rFonts w:ascii="Times New Roman" w:hAnsi="Times New Roman"/>
                <w:iCs/>
                <w:sz w:val="20"/>
                <w:szCs w:val="20"/>
              </w:rPr>
            </w:pPr>
          </w:p>
        </w:tc>
      </w:tr>
    </w:tbl>
    <w:p w14:paraId="302AFE06" w14:textId="77777777" w:rsidR="00880D6D" w:rsidRPr="007539F3" w:rsidRDefault="00880D6D" w:rsidP="00880D6D">
      <w:pPr>
        <w:jc w:val="both"/>
        <w:rPr>
          <w:rFonts w:ascii="Times New Roman" w:hAnsi="Times New Roman"/>
          <w:iCs/>
          <w:sz w:val="20"/>
          <w:szCs w:val="20"/>
        </w:rPr>
      </w:pPr>
      <w:r>
        <w:rPr>
          <w:rFonts w:ascii="Times New Roman" w:hAnsi="Times New Roman"/>
          <w:iCs/>
          <w:sz w:val="20"/>
          <w:szCs w:val="20"/>
        </w:rPr>
        <w:br w:type="textWrapping" w:clear="all"/>
      </w:r>
    </w:p>
    <w:p w14:paraId="7C5FFB4D" w14:textId="77777777" w:rsidR="00880D6D" w:rsidRDefault="00880D6D" w:rsidP="00880D6D">
      <w:pPr>
        <w:tabs>
          <w:tab w:val="left" w:pos="3311"/>
        </w:tabs>
        <w:jc w:val="both"/>
        <w:rPr>
          <w:rFonts w:ascii="Times New Roman" w:hAnsi="Times New Roman"/>
          <w:szCs w:val="22"/>
        </w:rPr>
      </w:pPr>
      <w:r w:rsidRPr="00005118">
        <w:rPr>
          <w:rFonts w:ascii="Times New Roman" w:hAnsi="Times New Roman"/>
          <w:szCs w:val="22"/>
        </w:rPr>
        <w:tab/>
      </w:r>
    </w:p>
    <w:p w14:paraId="0938B1FC" w14:textId="77777777" w:rsidR="00880D6D" w:rsidRDefault="00880D6D" w:rsidP="00880D6D">
      <w:pPr>
        <w:tabs>
          <w:tab w:val="left" w:pos="3311"/>
        </w:tabs>
        <w:jc w:val="both"/>
        <w:rPr>
          <w:rFonts w:ascii="Times New Roman" w:hAnsi="Times New Roman"/>
          <w:szCs w:val="22"/>
        </w:rPr>
      </w:pPr>
    </w:p>
    <w:p w14:paraId="5F10D182" w14:textId="77777777" w:rsidR="00880D6D" w:rsidRDefault="00880D6D" w:rsidP="00880D6D">
      <w:pPr>
        <w:tabs>
          <w:tab w:val="left" w:pos="3311"/>
        </w:tabs>
        <w:jc w:val="both"/>
        <w:rPr>
          <w:rFonts w:ascii="Times New Roman" w:hAnsi="Times New Roman"/>
          <w:szCs w:val="22"/>
        </w:rPr>
        <w:sectPr w:rsidR="00880D6D" w:rsidSect="006C359B">
          <w:footerReference w:type="default" r:id="rId9"/>
          <w:pgSz w:w="11906" w:h="16838"/>
          <w:pgMar w:top="1440" w:right="1440" w:bottom="1440" w:left="1440" w:header="708" w:footer="708" w:gutter="0"/>
          <w:cols w:space="708"/>
          <w:docGrid w:linePitch="360"/>
        </w:sectPr>
      </w:pPr>
    </w:p>
    <w:tbl>
      <w:tblPr>
        <w:tblW w:w="11767" w:type="dxa"/>
        <w:tblLook w:val="04A0" w:firstRow="1" w:lastRow="0" w:firstColumn="1" w:lastColumn="0" w:noHBand="0" w:noVBand="1"/>
      </w:tblPr>
      <w:tblGrid>
        <w:gridCol w:w="5103"/>
        <w:gridCol w:w="2172"/>
        <w:gridCol w:w="1039"/>
        <w:gridCol w:w="2252"/>
        <w:gridCol w:w="1201"/>
      </w:tblGrid>
      <w:tr w:rsidR="00F01ABF" w:rsidRPr="009A499C" w14:paraId="150428B7" w14:textId="77777777" w:rsidTr="004B6CC4">
        <w:trPr>
          <w:trHeight w:val="340"/>
        </w:trPr>
        <w:tc>
          <w:tcPr>
            <w:tcW w:w="11767" w:type="dxa"/>
            <w:gridSpan w:val="5"/>
            <w:tcBorders>
              <w:top w:val="nil"/>
              <w:left w:val="nil"/>
              <w:bottom w:val="single" w:sz="4" w:space="0" w:color="000000"/>
              <w:right w:val="nil"/>
            </w:tcBorders>
            <w:shd w:val="clear" w:color="auto" w:fill="auto"/>
            <w:noWrap/>
            <w:vAlign w:val="center"/>
          </w:tcPr>
          <w:p w14:paraId="4C488431" w14:textId="2CCE4FC0" w:rsidR="00F01ABF" w:rsidRPr="009A499C" w:rsidRDefault="00F01ABF" w:rsidP="00276638">
            <w:pPr>
              <w:spacing w:line="240" w:lineRule="auto"/>
              <w:jc w:val="both"/>
              <w:rPr>
                <w:rFonts w:ascii="Times New Roman" w:hAnsi="Times New Roman"/>
                <w:b/>
                <w:bCs/>
                <w:color w:val="000000"/>
                <w:sz w:val="20"/>
                <w:szCs w:val="20"/>
              </w:rPr>
            </w:pPr>
            <w:r w:rsidRPr="00F01ABF">
              <w:rPr>
                <w:rFonts w:ascii="Times New Roman" w:hAnsi="Times New Roman"/>
                <w:b/>
                <w:bCs/>
                <w:color w:val="000000"/>
                <w:sz w:val="20"/>
                <w:szCs w:val="20"/>
              </w:rPr>
              <w:t>Table 3: Odds ratios for having a higher category of self-perceived fracture risk for the presence versus absence of each characteristic</w:t>
            </w:r>
          </w:p>
        </w:tc>
      </w:tr>
      <w:tr w:rsidR="00880D6D" w:rsidRPr="009A499C" w14:paraId="011A1BF4" w14:textId="77777777" w:rsidTr="00276638">
        <w:trPr>
          <w:trHeight w:val="340"/>
        </w:trPr>
        <w:tc>
          <w:tcPr>
            <w:tcW w:w="5103" w:type="dxa"/>
            <w:vMerge w:val="restart"/>
            <w:tcBorders>
              <w:top w:val="nil"/>
              <w:left w:val="nil"/>
              <w:bottom w:val="single" w:sz="4" w:space="0" w:color="000000"/>
              <w:right w:val="nil"/>
            </w:tcBorders>
            <w:shd w:val="clear" w:color="auto" w:fill="auto"/>
            <w:noWrap/>
            <w:vAlign w:val="center"/>
            <w:hideMark/>
          </w:tcPr>
          <w:p w14:paraId="38BA3004"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Characteristic</w:t>
            </w:r>
          </w:p>
        </w:tc>
        <w:tc>
          <w:tcPr>
            <w:tcW w:w="3211" w:type="dxa"/>
            <w:gridSpan w:val="2"/>
            <w:tcBorders>
              <w:top w:val="single" w:sz="4" w:space="0" w:color="auto"/>
              <w:left w:val="nil"/>
              <w:bottom w:val="nil"/>
              <w:right w:val="nil"/>
            </w:tcBorders>
            <w:shd w:val="clear" w:color="auto" w:fill="auto"/>
            <w:noWrap/>
            <w:vAlign w:val="bottom"/>
            <w:hideMark/>
          </w:tcPr>
          <w:p w14:paraId="59D0E1CB"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Univariate</w:t>
            </w:r>
          </w:p>
        </w:tc>
        <w:tc>
          <w:tcPr>
            <w:tcW w:w="3453" w:type="dxa"/>
            <w:gridSpan w:val="2"/>
            <w:tcBorders>
              <w:top w:val="single" w:sz="4" w:space="0" w:color="auto"/>
              <w:left w:val="nil"/>
              <w:bottom w:val="nil"/>
              <w:right w:val="nil"/>
            </w:tcBorders>
            <w:shd w:val="clear" w:color="auto" w:fill="auto"/>
            <w:vAlign w:val="bottom"/>
            <w:hideMark/>
          </w:tcPr>
          <w:p w14:paraId="3D730881"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Mutually-adjusted</w:t>
            </w:r>
          </w:p>
        </w:tc>
      </w:tr>
      <w:tr w:rsidR="00880D6D" w:rsidRPr="009A499C" w14:paraId="559DF9A8" w14:textId="77777777" w:rsidTr="00276638">
        <w:trPr>
          <w:trHeight w:val="340"/>
        </w:trPr>
        <w:tc>
          <w:tcPr>
            <w:tcW w:w="5103" w:type="dxa"/>
            <w:vMerge/>
            <w:tcBorders>
              <w:top w:val="nil"/>
              <w:left w:val="nil"/>
              <w:bottom w:val="single" w:sz="4" w:space="0" w:color="000000"/>
              <w:right w:val="nil"/>
            </w:tcBorders>
            <w:vAlign w:val="center"/>
            <w:hideMark/>
          </w:tcPr>
          <w:p w14:paraId="61AF0002" w14:textId="77777777" w:rsidR="00880D6D" w:rsidRPr="009A499C" w:rsidRDefault="00880D6D" w:rsidP="00276638">
            <w:pPr>
              <w:spacing w:line="240" w:lineRule="auto"/>
              <w:jc w:val="both"/>
              <w:rPr>
                <w:rFonts w:ascii="Times New Roman" w:hAnsi="Times New Roman"/>
                <w:b/>
                <w:bCs/>
                <w:color w:val="000000"/>
                <w:sz w:val="20"/>
                <w:szCs w:val="20"/>
              </w:rPr>
            </w:pPr>
          </w:p>
        </w:tc>
        <w:tc>
          <w:tcPr>
            <w:tcW w:w="2172" w:type="dxa"/>
            <w:tcBorders>
              <w:top w:val="nil"/>
              <w:left w:val="nil"/>
              <w:bottom w:val="single" w:sz="4" w:space="0" w:color="auto"/>
              <w:right w:val="nil"/>
            </w:tcBorders>
            <w:shd w:val="clear" w:color="auto" w:fill="auto"/>
            <w:noWrap/>
            <w:vAlign w:val="bottom"/>
            <w:hideMark/>
          </w:tcPr>
          <w:p w14:paraId="11A0388D"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Odds ratio (95% CI)</w:t>
            </w:r>
          </w:p>
        </w:tc>
        <w:tc>
          <w:tcPr>
            <w:tcW w:w="1039" w:type="dxa"/>
            <w:tcBorders>
              <w:top w:val="nil"/>
              <w:left w:val="nil"/>
              <w:bottom w:val="single" w:sz="4" w:space="0" w:color="auto"/>
              <w:right w:val="nil"/>
            </w:tcBorders>
            <w:shd w:val="clear" w:color="auto" w:fill="auto"/>
            <w:noWrap/>
            <w:vAlign w:val="bottom"/>
            <w:hideMark/>
          </w:tcPr>
          <w:p w14:paraId="4AA646C6"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P-value</w:t>
            </w:r>
          </w:p>
        </w:tc>
        <w:tc>
          <w:tcPr>
            <w:tcW w:w="2252" w:type="dxa"/>
            <w:tcBorders>
              <w:top w:val="nil"/>
              <w:left w:val="nil"/>
              <w:bottom w:val="single" w:sz="4" w:space="0" w:color="auto"/>
              <w:right w:val="nil"/>
            </w:tcBorders>
            <w:shd w:val="clear" w:color="auto" w:fill="auto"/>
            <w:noWrap/>
            <w:vAlign w:val="bottom"/>
            <w:hideMark/>
          </w:tcPr>
          <w:p w14:paraId="67F5F3B1"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Odds ratio (95% CI)</w:t>
            </w:r>
          </w:p>
        </w:tc>
        <w:tc>
          <w:tcPr>
            <w:tcW w:w="1201" w:type="dxa"/>
            <w:tcBorders>
              <w:top w:val="nil"/>
              <w:left w:val="nil"/>
              <w:bottom w:val="single" w:sz="4" w:space="0" w:color="auto"/>
              <w:right w:val="nil"/>
            </w:tcBorders>
            <w:shd w:val="clear" w:color="auto" w:fill="auto"/>
            <w:noWrap/>
            <w:vAlign w:val="bottom"/>
            <w:hideMark/>
          </w:tcPr>
          <w:p w14:paraId="6192BE5E" w14:textId="77777777" w:rsidR="00880D6D" w:rsidRPr="009A499C" w:rsidRDefault="00880D6D" w:rsidP="00276638">
            <w:pPr>
              <w:spacing w:line="240" w:lineRule="auto"/>
              <w:jc w:val="both"/>
              <w:rPr>
                <w:rFonts w:ascii="Times New Roman" w:hAnsi="Times New Roman"/>
                <w:b/>
                <w:bCs/>
                <w:color w:val="000000"/>
                <w:sz w:val="20"/>
                <w:szCs w:val="20"/>
              </w:rPr>
            </w:pPr>
            <w:r w:rsidRPr="009A499C">
              <w:rPr>
                <w:rFonts w:ascii="Times New Roman" w:hAnsi="Times New Roman"/>
                <w:b/>
                <w:bCs/>
                <w:color w:val="000000"/>
                <w:sz w:val="20"/>
                <w:szCs w:val="20"/>
              </w:rPr>
              <w:t>P-value</w:t>
            </w:r>
          </w:p>
        </w:tc>
      </w:tr>
      <w:tr w:rsidR="00880D6D" w:rsidRPr="009A499C" w14:paraId="57876585" w14:textId="77777777" w:rsidTr="00276638">
        <w:trPr>
          <w:trHeight w:val="340"/>
        </w:trPr>
        <w:tc>
          <w:tcPr>
            <w:tcW w:w="5103" w:type="dxa"/>
            <w:tcBorders>
              <w:top w:val="nil"/>
              <w:left w:val="nil"/>
              <w:bottom w:val="nil"/>
              <w:right w:val="nil"/>
            </w:tcBorders>
            <w:shd w:val="clear" w:color="auto" w:fill="auto"/>
            <w:noWrap/>
            <w:vAlign w:val="bottom"/>
            <w:hideMark/>
          </w:tcPr>
          <w:p w14:paraId="287F963F"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Age*</w:t>
            </w:r>
          </w:p>
        </w:tc>
        <w:tc>
          <w:tcPr>
            <w:tcW w:w="2172" w:type="dxa"/>
            <w:tcBorders>
              <w:top w:val="nil"/>
              <w:left w:val="nil"/>
              <w:bottom w:val="nil"/>
              <w:right w:val="nil"/>
            </w:tcBorders>
            <w:shd w:val="clear" w:color="auto" w:fill="auto"/>
            <w:noWrap/>
            <w:vAlign w:val="bottom"/>
            <w:hideMark/>
          </w:tcPr>
          <w:p w14:paraId="41B3BE29"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1.02 (0.96,1.08)</w:t>
            </w:r>
          </w:p>
        </w:tc>
        <w:tc>
          <w:tcPr>
            <w:tcW w:w="1039" w:type="dxa"/>
            <w:tcBorders>
              <w:top w:val="nil"/>
              <w:left w:val="nil"/>
              <w:bottom w:val="nil"/>
              <w:right w:val="nil"/>
            </w:tcBorders>
            <w:shd w:val="clear" w:color="auto" w:fill="auto"/>
            <w:noWrap/>
            <w:vAlign w:val="bottom"/>
            <w:hideMark/>
          </w:tcPr>
          <w:p w14:paraId="27930B7B"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0.584</w:t>
            </w:r>
          </w:p>
        </w:tc>
        <w:tc>
          <w:tcPr>
            <w:tcW w:w="2252" w:type="dxa"/>
            <w:tcBorders>
              <w:top w:val="nil"/>
              <w:left w:val="nil"/>
              <w:bottom w:val="nil"/>
              <w:right w:val="nil"/>
            </w:tcBorders>
            <w:shd w:val="clear" w:color="auto" w:fill="auto"/>
            <w:noWrap/>
            <w:vAlign w:val="bottom"/>
            <w:hideMark/>
          </w:tcPr>
          <w:p w14:paraId="4F2C2654" w14:textId="77777777" w:rsidR="00880D6D" w:rsidRPr="009A499C" w:rsidRDefault="00880D6D" w:rsidP="00276638">
            <w:pPr>
              <w:spacing w:line="240" w:lineRule="auto"/>
              <w:jc w:val="both"/>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6BC74AA4"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49AD1814" w14:textId="77777777" w:rsidTr="00276638">
        <w:trPr>
          <w:trHeight w:val="340"/>
        </w:trPr>
        <w:tc>
          <w:tcPr>
            <w:tcW w:w="5103" w:type="dxa"/>
            <w:tcBorders>
              <w:top w:val="nil"/>
              <w:left w:val="nil"/>
              <w:bottom w:val="nil"/>
              <w:right w:val="nil"/>
            </w:tcBorders>
            <w:shd w:val="clear" w:color="auto" w:fill="auto"/>
            <w:noWrap/>
            <w:vAlign w:val="bottom"/>
            <w:hideMark/>
          </w:tcPr>
          <w:p w14:paraId="004E878C"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Self-reported height*</w:t>
            </w:r>
          </w:p>
        </w:tc>
        <w:tc>
          <w:tcPr>
            <w:tcW w:w="2172" w:type="dxa"/>
            <w:tcBorders>
              <w:top w:val="nil"/>
              <w:left w:val="nil"/>
              <w:bottom w:val="nil"/>
              <w:right w:val="nil"/>
            </w:tcBorders>
            <w:shd w:val="clear" w:color="auto" w:fill="auto"/>
            <w:noWrap/>
            <w:vAlign w:val="bottom"/>
            <w:hideMark/>
          </w:tcPr>
          <w:p w14:paraId="5FB2AC5F"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0.92 (0.86,0.97)</w:t>
            </w:r>
          </w:p>
        </w:tc>
        <w:tc>
          <w:tcPr>
            <w:tcW w:w="1039" w:type="dxa"/>
            <w:tcBorders>
              <w:top w:val="nil"/>
              <w:left w:val="nil"/>
              <w:bottom w:val="nil"/>
              <w:right w:val="nil"/>
            </w:tcBorders>
            <w:shd w:val="clear" w:color="auto" w:fill="auto"/>
            <w:noWrap/>
            <w:vAlign w:val="bottom"/>
            <w:hideMark/>
          </w:tcPr>
          <w:p w14:paraId="648BA049"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0.006</w:t>
            </w:r>
          </w:p>
        </w:tc>
        <w:tc>
          <w:tcPr>
            <w:tcW w:w="2252" w:type="dxa"/>
            <w:tcBorders>
              <w:top w:val="nil"/>
              <w:left w:val="nil"/>
              <w:bottom w:val="nil"/>
              <w:right w:val="nil"/>
            </w:tcBorders>
            <w:shd w:val="clear" w:color="auto" w:fill="auto"/>
            <w:noWrap/>
            <w:vAlign w:val="bottom"/>
            <w:hideMark/>
          </w:tcPr>
          <w:p w14:paraId="5B910EB3"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0.95 (0.87,1.02)</w:t>
            </w:r>
          </w:p>
        </w:tc>
        <w:tc>
          <w:tcPr>
            <w:tcW w:w="1201" w:type="dxa"/>
            <w:tcBorders>
              <w:top w:val="nil"/>
              <w:left w:val="nil"/>
              <w:bottom w:val="nil"/>
              <w:right w:val="nil"/>
            </w:tcBorders>
            <w:shd w:val="clear" w:color="auto" w:fill="auto"/>
            <w:noWrap/>
            <w:vAlign w:val="bottom"/>
            <w:hideMark/>
          </w:tcPr>
          <w:p w14:paraId="66EDBE5E"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0.152</w:t>
            </w:r>
          </w:p>
        </w:tc>
      </w:tr>
      <w:tr w:rsidR="00880D6D" w:rsidRPr="009A499C" w14:paraId="0FE7243C" w14:textId="77777777" w:rsidTr="00276638">
        <w:trPr>
          <w:trHeight w:val="340"/>
        </w:trPr>
        <w:tc>
          <w:tcPr>
            <w:tcW w:w="5103" w:type="dxa"/>
            <w:tcBorders>
              <w:top w:val="nil"/>
              <w:left w:val="nil"/>
              <w:bottom w:val="nil"/>
              <w:right w:val="nil"/>
            </w:tcBorders>
            <w:shd w:val="clear" w:color="auto" w:fill="auto"/>
            <w:noWrap/>
            <w:vAlign w:val="bottom"/>
            <w:hideMark/>
          </w:tcPr>
          <w:p w14:paraId="1081A1BE"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Weight-for-height residual*</w:t>
            </w:r>
          </w:p>
        </w:tc>
        <w:tc>
          <w:tcPr>
            <w:tcW w:w="2172" w:type="dxa"/>
            <w:tcBorders>
              <w:top w:val="nil"/>
              <w:left w:val="nil"/>
              <w:bottom w:val="nil"/>
              <w:right w:val="nil"/>
            </w:tcBorders>
            <w:shd w:val="clear" w:color="auto" w:fill="auto"/>
            <w:noWrap/>
            <w:vAlign w:val="bottom"/>
            <w:hideMark/>
          </w:tcPr>
          <w:p w14:paraId="5826ADC5"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1.02 (0.96,1.09)</w:t>
            </w:r>
          </w:p>
        </w:tc>
        <w:tc>
          <w:tcPr>
            <w:tcW w:w="1039" w:type="dxa"/>
            <w:tcBorders>
              <w:top w:val="nil"/>
              <w:left w:val="nil"/>
              <w:bottom w:val="nil"/>
              <w:right w:val="nil"/>
            </w:tcBorders>
            <w:shd w:val="clear" w:color="auto" w:fill="auto"/>
            <w:noWrap/>
            <w:vAlign w:val="bottom"/>
            <w:hideMark/>
          </w:tcPr>
          <w:p w14:paraId="5EE53DCC"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0.527</w:t>
            </w:r>
          </w:p>
        </w:tc>
        <w:tc>
          <w:tcPr>
            <w:tcW w:w="2252" w:type="dxa"/>
            <w:tcBorders>
              <w:top w:val="nil"/>
              <w:left w:val="nil"/>
              <w:bottom w:val="nil"/>
              <w:right w:val="nil"/>
            </w:tcBorders>
            <w:shd w:val="clear" w:color="auto" w:fill="auto"/>
            <w:noWrap/>
            <w:vAlign w:val="bottom"/>
            <w:hideMark/>
          </w:tcPr>
          <w:p w14:paraId="1B80B625" w14:textId="77777777" w:rsidR="00880D6D" w:rsidRPr="009A499C" w:rsidRDefault="00880D6D" w:rsidP="00276638">
            <w:pPr>
              <w:spacing w:line="240" w:lineRule="auto"/>
              <w:jc w:val="both"/>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33D866A9"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15D221B1" w14:textId="77777777" w:rsidTr="00276638">
        <w:trPr>
          <w:trHeight w:val="340"/>
        </w:trPr>
        <w:tc>
          <w:tcPr>
            <w:tcW w:w="5103" w:type="dxa"/>
            <w:tcBorders>
              <w:top w:val="nil"/>
              <w:left w:val="nil"/>
              <w:bottom w:val="nil"/>
              <w:right w:val="nil"/>
            </w:tcBorders>
            <w:shd w:val="clear" w:color="auto" w:fill="auto"/>
            <w:noWrap/>
            <w:vAlign w:val="bottom"/>
            <w:hideMark/>
          </w:tcPr>
          <w:p w14:paraId="3165C62C"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Current smoker</w:t>
            </w:r>
          </w:p>
        </w:tc>
        <w:tc>
          <w:tcPr>
            <w:tcW w:w="2172" w:type="dxa"/>
            <w:tcBorders>
              <w:top w:val="nil"/>
              <w:left w:val="nil"/>
              <w:bottom w:val="nil"/>
              <w:right w:val="nil"/>
            </w:tcBorders>
            <w:shd w:val="clear" w:color="auto" w:fill="auto"/>
            <w:noWrap/>
            <w:vAlign w:val="bottom"/>
            <w:hideMark/>
          </w:tcPr>
          <w:p w14:paraId="28705E8D"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1.11 (0.88,1.41)</w:t>
            </w:r>
          </w:p>
        </w:tc>
        <w:tc>
          <w:tcPr>
            <w:tcW w:w="1039" w:type="dxa"/>
            <w:tcBorders>
              <w:top w:val="nil"/>
              <w:left w:val="nil"/>
              <w:bottom w:val="nil"/>
              <w:right w:val="nil"/>
            </w:tcBorders>
            <w:shd w:val="clear" w:color="auto" w:fill="auto"/>
            <w:noWrap/>
            <w:vAlign w:val="bottom"/>
            <w:hideMark/>
          </w:tcPr>
          <w:p w14:paraId="79E81585"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0.388</w:t>
            </w:r>
          </w:p>
        </w:tc>
        <w:tc>
          <w:tcPr>
            <w:tcW w:w="2252" w:type="dxa"/>
            <w:tcBorders>
              <w:top w:val="nil"/>
              <w:left w:val="nil"/>
              <w:bottom w:val="nil"/>
              <w:right w:val="nil"/>
            </w:tcBorders>
            <w:shd w:val="clear" w:color="auto" w:fill="auto"/>
            <w:noWrap/>
            <w:vAlign w:val="bottom"/>
            <w:hideMark/>
          </w:tcPr>
          <w:p w14:paraId="578E8866" w14:textId="77777777" w:rsidR="00880D6D" w:rsidRPr="009A499C" w:rsidRDefault="00880D6D" w:rsidP="00276638">
            <w:pPr>
              <w:spacing w:line="240" w:lineRule="auto"/>
              <w:jc w:val="both"/>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12139F47"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3D8EF85A" w14:textId="77777777" w:rsidTr="00276638">
        <w:trPr>
          <w:trHeight w:val="340"/>
        </w:trPr>
        <w:tc>
          <w:tcPr>
            <w:tcW w:w="5103" w:type="dxa"/>
            <w:tcBorders>
              <w:top w:val="nil"/>
              <w:left w:val="nil"/>
              <w:bottom w:val="nil"/>
              <w:right w:val="nil"/>
            </w:tcBorders>
            <w:shd w:val="clear" w:color="auto" w:fill="auto"/>
            <w:noWrap/>
            <w:vAlign w:val="bottom"/>
            <w:hideMark/>
          </w:tcPr>
          <w:p w14:paraId="39632DF0"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Alcohol consumption**</w:t>
            </w:r>
          </w:p>
        </w:tc>
        <w:tc>
          <w:tcPr>
            <w:tcW w:w="2172" w:type="dxa"/>
            <w:tcBorders>
              <w:top w:val="nil"/>
              <w:left w:val="nil"/>
              <w:bottom w:val="nil"/>
              <w:right w:val="nil"/>
            </w:tcBorders>
            <w:shd w:val="clear" w:color="auto" w:fill="auto"/>
            <w:noWrap/>
            <w:vAlign w:val="bottom"/>
            <w:hideMark/>
          </w:tcPr>
          <w:p w14:paraId="2CE6113A"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0.94 (0.88,1.00)</w:t>
            </w:r>
          </w:p>
        </w:tc>
        <w:tc>
          <w:tcPr>
            <w:tcW w:w="1039" w:type="dxa"/>
            <w:tcBorders>
              <w:top w:val="nil"/>
              <w:left w:val="nil"/>
              <w:bottom w:val="nil"/>
              <w:right w:val="nil"/>
            </w:tcBorders>
            <w:shd w:val="clear" w:color="auto" w:fill="auto"/>
            <w:noWrap/>
            <w:vAlign w:val="bottom"/>
            <w:hideMark/>
          </w:tcPr>
          <w:p w14:paraId="112FAB06"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0.049</w:t>
            </w:r>
          </w:p>
        </w:tc>
        <w:tc>
          <w:tcPr>
            <w:tcW w:w="2252" w:type="dxa"/>
            <w:tcBorders>
              <w:top w:val="nil"/>
              <w:left w:val="nil"/>
              <w:bottom w:val="nil"/>
              <w:right w:val="nil"/>
            </w:tcBorders>
            <w:shd w:val="clear" w:color="auto" w:fill="auto"/>
            <w:noWrap/>
            <w:vAlign w:val="bottom"/>
            <w:hideMark/>
          </w:tcPr>
          <w:p w14:paraId="6CC0CD8F"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1.04 (0.95,1.13)</w:t>
            </w:r>
          </w:p>
        </w:tc>
        <w:tc>
          <w:tcPr>
            <w:tcW w:w="1201" w:type="dxa"/>
            <w:tcBorders>
              <w:top w:val="nil"/>
              <w:left w:val="nil"/>
              <w:bottom w:val="nil"/>
              <w:right w:val="nil"/>
            </w:tcBorders>
            <w:shd w:val="clear" w:color="auto" w:fill="auto"/>
            <w:noWrap/>
            <w:vAlign w:val="bottom"/>
            <w:hideMark/>
          </w:tcPr>
          <w:p w14:paraId="3B9AD29F"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0.399</w:t>
            </w:r>
          </w:p>
        </w:tc>
      </w:tr>
      <w:tr w:rsidR="00880D6D" w:rsidRPr="009A499C" w14:paraId="01C7D7D5" w14:textId="77777777" w:rsidTr="00276638">
        <w:trPr>
          <w:trHeight w:val="340"/>
        </w:trPr>
        <w:tc>
          <w:tcPr>
            <w:tcW w:w="5103" w:type="dxa"/>
            <w:tcBorders>
              <w:top w:val="nil"/>
              <w:left w:val="nil"/>
              <w:bottom w:val="nil"/>
              <w:right w:val="nil"/>
            </w:tcBorders>
            <w:shd w:val="clear" w:color="auto" w:fill="auto"/>
            <w:noWrap/>
            <w:vAlign w:val="bottom"/>
            <w:hideMark/>
          </w:tcPr>
          <w:p w14:paraId="30DA5F53"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Physically active compared to others of similar age**</w:t>
            </w:r>
          </w:p>
        </w:tc>
        <w:tc>
          <w:tcPr>
            <w:tcW w:w="2172" w:type="dxa"/>
            <w:tcBorders>
              <w:top w:val="nil"/>
              <w:left w:val="nil"/>
              <w:bottom w:val="nil"/>
              <w:right w:val="nil"/>
            </w:tcBorders>
            <w:shd w:val="clear" w:color="auto" w:fill="auto"/>
            <w:noWrap/>
            <w:vAlign w:val="bottom"/>
            <w:hideMark/>
          </w:tcPr>
          <w:p w14:paraId="4487C9B2"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0.52 (0.48,0.57)</w:t>
            </w:r>
          </w:p>
        </w:tc>
        <w:tc>
          <w:tcPr>
            <w:tcW w:w="1039" w:type="dxa"/>
            <w:tcBorders>
              <w:top w:val="nil"/>
              <w:left w:val="nil"/>
              <w:bottom w:val="nil"/>
              <w:right w:val="nil"/>
            </w:tcBorders>
            <w:shd w:val="clear" w:color="auto" w:fill="auto"/>
            <w:noWrap/>
            <w:vAlign w:val="bottom"/>
            <w:hideMark/>
          </w:tcPr>
          <w:p w14:paraId="285183A3"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nil"/>
              <w:right w:val="nil"/>
            </w:tcBorders>
            <w:shd w:val="clear" w:color="auto" w:fill="auto"/>
            <w:noWrap/>
            <w:vAlign w:val="bottom"/>
            <w:hideMark/>
          </w:tcPr>
          <w:p w14:paraId="5A33D31D"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0.52 (0.47,0.58)</w:t>
            </w:r>
          </w:p>
        </w:tc>
        <w:tc>
          <w:tcPr>
            <w:tcW w:w="1201" w:type="dxa"/>
            <w:tcBorders>
              <w:top w:val="nil"/>
              <w:left w:val="nil"/>
              <w:bottom w:val="nil"/>
              <w:right w:val="nil"/>
            </w:tcBorders>
            <w:shd w:val="clear" w:color="auto" w:fill="auto"/>
            <w:noWrap/>
            <w:vAlign w:val="bottom"/>
            <w:hideMark/>
          </w:tcPr>
          <w:p w14:paraId="1136E3A4"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4EB2C509" w14:textId="77777777" w:rsidTr="00276638">
        <w:trPr>
          <w:trHeight w:val="340"/>
        </w:trPr>
        <w:tc>
          <w:tcPr>
            <w:tcW w:w="5103" w:type="dxa"/>
            <w:tcBorders>
              <w:top w:val="nil"/>
              <w:left w:val="nil"/>
              <w:bottom w:val="nil"/>
              <w:right w:val="nil"/>
            </w:tcBorders>
            <w:shd w:val="clear" w:color="auto" w:fill="auto"/>
            <w:noWrap/>
            <w:vAlign w:val="bottom"/>
            <w:hideMark/>
          </w:tcPr>
          <w:p w14:paraId="6AAFC444"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Educational attainment**</w:t>
            </w:r>
          </w:p>
        </w:tc>
        <w:tc>
          <w:tcPr>
            <w:tcW w:w="2172" w:type="dxa"/>
            <w:tcBorders>
              <w:top w:val="nil"/>
              <w:left w:val="nil"/>
              <w:bottom w:val="nil"/>
              <w:right w:val="nil"/>
            </w:tcBorders>
            <w:shd w:val="clear" w:color="auto" w:fill="auto"/>
            <w:noWrap/>
            <w:vAlign w:val="bottom"/>
            <w:hideMark/>
          </w:tcPr>
          <w:p w14:paraId="74096641"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0.90 (0.85,0.95)</w:t>
            </w:r>
          </w:p>
        </w:tc>
        <w:tc>
          <w:tcPr>
            <w:tcW w:w="1039" w:type="dxa"/>
            <w:tcBorders>
              <w:top w:val="nil"/>
              <w:left w:val="nil"/>
              <w:bottom w:val="nil"/>
              <w:right w:val="nil"/>
            </w:tcBorders>
            <w:shd w:val="clear" w:color="auto" w:fill="auto"/>
            <w:noWrap/>
            <w:vAlign w:val="bottom"/>
            <w:hideMark/>
          </w:tcPr>
          <w:p w14:paraId="27A4BEA1"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nil"/>
              <w:right w:val="nil"/>
            </w:tcBorders>
            <w:shd w:val="clear" w:color="auto" w:fill="auto"/>
            <w:noWrap/>
            <w:vAlign w:val="bottom"/>
            <w:hideMark/>
          </w:tcPr>
          <w:p w14:paraId="7631F96E"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0.87 (0.81,0.93)</w:t>
            </w:r>
          </w:p>
        </w:tc>
        <w:tc>
          <w:tcPr>
            <w:tcW w:w="1201" w:type="dxa"/>
            <w:tcBorders>
              <w:top w:val="nil"/>
              <w:left w:val="nil"/>
              <w:bottom w:val="nil"/>
              <w:right w:val="nil"/>
            </w:tcBorders>
            <w:shd w:val="clear" w:color="auto" w:fill="auto"/>
            <w:noWrap/>
            <w:vAlign w:val="bottom"/>
            <w:hideMark/>
          </w:tcPr>
          <w:p w14:paraId="763AF415"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3A250711" w14:textId="77777777" w:rsidTr="00276638">
        <w:trPr>
          <w:trHeight w:val="340"/>
        </w:trPr>
        <w:tc>
          <w:tcPr>
            <w:tcW w:w="5103" w:type="dxa"/>
            <w:tcBorders>
              <w:top w:val="nil"/>
              <w:left w:val="nil"/>
              <w:bottom w:val="nil"/>
              <w:right w:val="nil"/>
            </w:tcBorders>
            <w:shd w:val="clear" w:color="auto" w:fill="auto"/>
            <w:noWrap/>
            <w:vAlign w:val="bottom"/>
            <w:hideMark/>
          </w:tcPr>
          <w:p w14:paraId="3B3DCA67"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Current use of anti-osteoporotic medication</w:t>
            </w:r>
          </w:p>
        </w:tc>
        <w:tc>
          <w:tcPr>
            <w:tcW w:w="2172" w:type="dxa"/>
            <w:tcBorders>
              <w:top w:val="nil"/>
              <w:left w:val="nil"/>
              <w:bottom w:val="nil"/>
              <w:right w:val="nil"/>
            </w:tcBorders>
            <w:shd w:val="clear" w:color="auto" w:fill="auto"/>
            <w:noWrap/>
            <w:vAlign w:val="bottom"/>
            <w:hideMark/>
          </w:tcPr>
          <w:p w14:paraId="4C8AACFB"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8.99 (7.15,11.29)</w:t>
            </w:r>
          </w:p>
        </w:tc>
        <w:tc>
          <w:tcPr>
            <w:tcW w:w="1039" w:type="dxa"/>
            <w:tcBorders>
              <w:top w:val="nil"/>
              <w:left w:val="nil"/>
              <w:bottom w:val="nil"/>
              <w:right w:val="nil"/>
            </w:tcBorders>
            <w:shd w:val="clear" w:color="auto" w:fill="auto"/>
            <w:noWrap/>
            <w:vAlign w:val="bottom"/>
            <w:hideMark/>
          </w:tcPr>
          <w:p w14:paraId="7F1AF1AC"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nil"/>
              <w:right w:val="nil"/>
            </w:tcBorders>
            <w:shd w:val="clear" w:color="auto" w:fill="auto"/>
            <w:noWrap/>
            <w:vAlign w:val="bottom"/>
            <w:hideMark/>
          </w:tcPr>
          <w:p w14:paraId="47B6412E"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6.10 (4.48,8.32)</w:t>
            </w:r>
          </w:p>
        </w:tc>
        <w:tc>
          <w:tcPr>
            <w:tcW w:w="1201" w:type="dxa"/>
            <w:tcBorders>
              <w:top w:val="nil"/>
              <w:left w:val="nil"/>
              <w:bottom w:val="nil"/>
              <w:right w:val="nil"/>
            </w:tcBorders>
            <w:shd w:val="clear" w:color="auto" w:fill="auto"/>
            <w:noWrap/>
            <w:vAlign w:val="bottom"/>
            <w:hideMark/>
          </w:tcPr>
          <w:p w14:paraId="35EF588E"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332697F1" w14:textId="77777777" w:rsidTr="00276638">
        <w:trPr>
          <w:trHeight w:val="340"/>
        </w:trPr>
        <w:tc>
          <w:tcPr>
            <w:tcW w:w="5103" w:type="dxa"/>
            <w:tcBorders>
              <w:top w:val="nil"/>
              <w:left w:val="nil"/>
              <w:bottom w:val="nil"/>
              <w:right w:val="nil"/>
            </w:tcBorders>
            <w:shd w:val="clear" w:color="auto" w:fill="auto"/>
            <w:noWrap/>
            <w:vAlign w:val="bottom"/>
            <w:hideMark/>
          </w:tcPr>
          <w:p w14:paraId="398CFBF4"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Ever used estrogen/hormone replacement therapy</w:t>
            </w:r>
          </w:p>
        </w:tc>
        <w:tc>
          <w:tcPr>
            <w:tcW w:w="2172" w:type="dxa"/>
            <w:tcBorders>
              <w:top w:val="nil"/>
              <w:left w:val="nil"/>
              <w:bottom w:val="nil"/>
              <w:right w:val="nil"/>
            </w:tcBorders>
            <w:shd w:val="clear" w:color="auto" w:fill="auto"/>
            <w:noWrap/>
            <w:vAlign w:val="bottom"/>
            <w:hideMark/>
          </w:tcPr>
          <w:p w14:paraId="70AAA53E"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1.06 (0.94,1.21)</w:t>
            </w:r>
          </w:p>
        </w:tc>
        <w:tc>
          <w:tcPr>
            <w:tcW w:w="1039" w:type="dxa"/>
            <w:tcBorders>
              <w:top w:val="nil"/>
              <w:left w:val="nil"/>
              <w:bottom w:val="nil"/>
              <w:right w:val="nil"/>
            </w:tcBorders>
            <w:shd w:val="clear" w:color="auto" w:fill="auto"/>
            <w:noWrap/>
            <w:vAlign w:val="bottom"/>
            <w:hideMark/>
          </w:tcPr>
          <w:p w14:paraId="5D92210D"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0.345</w:t>
            </w:r>
          </w:p>
        </w:tc>
        <w:tc>
          <w:tcPr>
            <w:tcW w:w="2252" w:type="dxa"/>
            <w:tcBorders>
              <w:top w:val="nil"/>
              <w:left w:val="nil"/>
              <w:bottom w:val="nil"/>
              <w:right w:val="nil"/>
            </w:tcBorders>
            <w:shd w:val="clear" w:color="auto" w:fill="auto"/>
            <w:noWrap/>
            <w:vAlign w:val="bottom"/>
            <w:hideMark/>
          </w:tcPr>
          <w:p w14:paraId="4A0ACE5B" w14:textId="77777777" w:rsidR="00880D6D" w:rsidRPr="009A499C" w:rsidRDefault="00880D6D" w:rsidP="00276638">
            <w:pPr>
              <w:spacing w:line="240" w:lineRule="auto"/>
              <w:jc w:val="both"/>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1B9B62B6"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33315AEB" w14:textId="77777777" w:rsidTr="00276638">
        <w:trPr>
          <w:trHeight w:val="340"/>
        </w:trPr>
        <w:tc>
          <w:tcPr>
            <w:tcW w:w="5103" w:type="dxa"/>
            <w:tcBorders>
              <w:top w:val="nil"/>
              <w:left w:val="nil"/>
              <w:bottom w:val="nil"/>
              <w:right w:val="nil"/>
            </w:tcBorders>
            <w:shd w:val="clear" w:color="auto" w:fill="auto"/>
            <w:noWrap/>
            <w:vAlign w:val="bottom"/>
            <w:hideMark/>
          </w:tcPr>
          <w:p w14:paraId="6A9FB863"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Currently taking calcium supplements</w:t>
            </w:r>
          </w:p>
        </w:tc>
        <w:tc>
          <w:tcPr>
            <w:tcW w:w="2172" w:type="dxa"/>
            <w:tcBorders>
              <w:top w:val="nil"/>
              <w:left w:val="nil"/>
              <w:bottom w:val="nil"/>
              <w:right w:val="nil"/>
            </w:tcBorders>
            <w:shd w:val="clear" w:color="auto" w:fill="auto"/>
            <w:noWrap/>
            <w:vAlign w:val="bottom"/>
            <w:hideMark/>
          </w:tcPr>
          <w:p w14:paraId="0C71A4E1"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3.04 (2.58,3.59)</w:t>
            </w:r>
          </w:p>
        </w:tc>
        <w:tc>
          <w:tcPr>
            <w:tcW w:w="1039" w:type="dxa"/>
            <w:tcBorders>
              <w:top w:val="nil"/>
              <w:left w:val="nil"/>
              <w:bottom w:val="nil"/>
              <w:right w:val="nil"/>
            </w:tcBorders>
            <w:shd w:val="clear" w:color="auto" w:fill="auto"/>
            <w:noWrap/>
            <w:vAlign w:val="bottom"/>
            <w:hideMark/>
          </w:tcPr>
          <w:p w14:paraId="7ECF0953"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nil"/>
              <w:right w:val="nil"/>
            </w:tcBorders>
            <w:shd w:val="clear" w:color="auto" w:fill="auto"/>
            <w:noWrap/>
            <w:vAlign w:val="bottom"/>
            <w:hideMark/>
          </w:tcPr>
          <w:p w14:paraId="67A5C131"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1.64 (1.32,2.03)</w:t>
            </w:r>
          </w:p>
        </w:tc>
        <w:tc>
          <w:tcPr>
            <w:tcW w:w="1201" w:type="dxa"/>
            <w:tcBorders>
              <w:top w:val="nil"/>
              <w:left w:val="nil"/>
              <w:bottom w:val="nil"/>
              <w:right w:val="nil"/>
            </w:tcBorders>
            <w:shd w:val="clear" w:color="auto" w:fill="auto"/>
            <w:noWrap/>
            <w:vAlign w:val="bottom"/>
            <w:hideMark/>
          </w:tcPr>
          <w:p w14:paraId="5CF1615F"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544F1BA2" w14:textId="77777777" w:rsidTr="00276638">
        <w:trPr>
          <w:trHeight w:val="340"/>
        </w:trPr>
        <w:tc>
          <w:tcPr>
            <w:tcW w:w="5103" w:type="dxa"/>
            <w:tcBorders>
              <w:top w:val="nil"/>
              <w:left w:val="nil"/>
              <w:bottom w:val="nil"/>
              <w:right w:val="nil"/>
            </w:tcBorders>
            <w:shd w:val="clear" w:color="auto" w:fill="auto"/>
            <w:noWrap/>
            <w:vAlign w:val="bottom"/>
            <w:hideMark/>
          </w:tcPr>
          <w:p w14:paraId="0779C84F"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Currently taking Vit D/multivitamin with Vit D</w:t>
            </w:r>
          </w:p>
        </w:tc>
        <w:tc>
          <w:tcPr>
            <w:tcW w:w="2172" w:type="dxa"/>
            <w:tcBorders>
              <w:top w:val="nil"/>
              <w:left w:val="nil"/>
              <w:bottom w:val="nil"/>
              <w:right w:val="nil"/>
            </w:tcBorders>
            <w:shd w:val="clear" w:color="auto" w:fill="auto"/>
            <w:noWrap/>
            <w:vAlign w:val="bottom"/>
            <w:hideMark/>
          </w:tcPr>
          <w:p w14:paraId="6606377E"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1.09 (0.93,1.28)</w:t>
            </w:r>
          </w:p>
        </w:tc>
        <w:tc>
          <w:tcPr>
            <w:tcW w:w="1039" w:type="dxa"/>
            <w:tcBorders>
              <w:top w:val="nil"/>
              <w:left w:val="nil"/>
              <w:bottom w:val="nil"/>
              <w:right w:val="nil"/>
            </w:tcBorders>
            <w:shd w:val="clear" w:color="auto" w:fill="auto"/>
            <w:noWrap/>
            <w:vAlign w:val="bottom"/>
            <w:hideMark/>
          </w:tcPr>
          <w:p w14:paraId="178BD0D7"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0.300</w:t>
            </w:r>
          </w:p>
        </w:tc>
        <w:tc>
          <w:tcPr>
            <w:tcW w:w="2252" w:type="dxa"/>
            <w:tcBorders>
              <w:top w:val="nil"/>
              <w:left w:val="nil"/>
              <w:bottom w:val="nil"/>
              <w:right w:val="nil"/>
            </w:tcBorders>
            <w:shd w:val="clear" w:color="auto" w:fill="auto"/>
            <w:noWrap/>
            <w:vAlign w:val="bottom"/>
            <w:hideMark/>
          </w:tcPr>
          <w:p w14:paraId="69D78971" w14:textId="77777777" w:rsidR="00880D6D" w:rsidRPr="009A499C" w:rsidRDefault="00880D6D" w:rsidP="00276638">
            <w:pPr>
              <w:spacing w:line="240" w:lineRule="auto"/>
              <w:jc w:val="both"/>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0CC09CE1" w14:textId="77777777" w:rsidR="00880D6D" w:rsidRPr="009A499C" w:rsidRDefault="00880D6D" w:rsidP="00276638">
            <w:pPr>
              <w:spacing w:line="240" w:lineRule="auto"/>
              <w:jc w:val="both"/>
              <w:rPr>
                <w:rFonts w:ascii="Times New Roman" w:hAnsi="Times New Roman"/>
                <w:sz w:val="20"/>
                <w:szCs w:val="20"/>
              </w:rPr>
            </w:pPr>
          </w:p>
        </w:tc>
      </w:tr>
      <w:tr w:rsidR="00880D6D" w:rsidRPr="009A499C" w14:paraId="6BC445CD" w14:textId="77777777" w:rsidTr="00276638">
        <w:trPr>
          <w:trHeight w:val="340"/>
        </w:trPr>
        <w:tc>
          <w:tcPr>
            <w:tcW w:w="5103" w:type="dxa"/>
            <w:tcBorders>
              <w:top w:val="nil"/>
              <w:left w:val="nil"/>
              <w:bottom w:val="nil"/>
              <w:right w:val="nil"/>
            </w:tcBorders>
            <w:shd w:val="clear" w:color="auto" w:fill="auto"/>
            <w:noWrap/>
            <w:vAlign w:val="bottom"/>
            <w:hideMark/>
          </w:tcPr>
          <w:p w14:paraId="79E40305"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Years since menopause**</w:t>
            </w:r>
          </w:p>
        </w:tc>
        <w:tc>
          <w:tcPr>
            <w:tcW w:w="2172" w:type="dxa"/>
            <w:tcBorders>
              <w:top w:val="nil"/>
              <w:left w:val="nil"/>
              <w:bottom w:val="nil"/>
              <w:right w:val="nil"/>
            </w:tcBorders>
            <w:shd w:val="clear" w:color="auto" w:fill="auto"/>
            <w:noWrap/>
            <w:vAlign w:val="bottom"/>
            <w:hideMark/>
          </w:tcPr>
          <w:p w14:paraId="3B54C99B"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1.06 (1.00,1.13)</w:t>
            </w:r>
          </w:p>
        </w:tc>
        <w:tc>
          <w:tcPr>
            <w:tcW w:w="1039" w:type="dxa"/>
            <w:tcBorders>
              <w:top w:val="nil"/>
              <w:left w:val="nil"/>
              <w:bottom w:val="nil"/>
              <w:right w:val="nil"/>
            </w:tcBorders>
            <w:shd w:val="clear" w:color="auto" w:fill="auto"/>
            <w:noWrap/>
            <w:vAlign w:val="bottom"/>
            <w:hideMark/>
          </w:tcPr>
          <w:p w14:paraId="3EC723A3"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0.040</w:t>
            </w:r>
          </w:p>
        </w:tc>
        <w:tc>
          <w:tcPr>
            <w:tcW w:w="2252" w:type="dxa"/>
            <w:tcBorders>
              <w:top w:val="nil"/>
              <w:left w:val="nil"/>
              <w:bottom w:val="nil"/>
              <w:right w:val="nil"/>
            </w:tcBorders>
            <w:shd w:val="clear" w:color="auto" w:fill="auto"/>
            <w:noWrap/>
            <w:vAlign w:val="bottom"/>
            <w:hideMark/>
          </w:tcPr>
          <w:p w14:paraId="78AF065E"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0.82 (0.76,0.89)</w:t>
            </w:r>
          </w:p>
        </w:tc>
        <w:tc>
          <w:tcPr>
            <w:tcW w:w="1201" w:type="dxa"/>
            <w:tcBorders>
              <w:top w:val="nil"/>
              <w:left w:val="nil"/>
              <w:bottom w:val="nil"/>
              <w:right w:val="nil"/>
            </w:tcBorders>
            <w:shd w:val="clear" w:color="auto" w:fill="auto"/>
            <w:noWrap/>
            <w:vAlign w:val="bottom"/>
            <w:hideMark/>
          </w:tcPr>
          <w:p w14:paraId="6D944266"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59B5D937" w14:textId="77777777" w:rsidTr="00276638">
        <w:trPr>
          <w:trHeight w:val="340"/>
        </w:trPr>
        <w:tc>
          <w:tcPr>
            <w:tcW w:w="5103" w:type="dxa"/>
            <w:tcBorders>
              <w:top w:val="nil"/>
              <w:left w:val="nil"/>
              <w:bottom w:val="nil"/>
              <w:right w:val="nil"/>
            </w:tcBorders>
            <w:shd w:val="clear" w:color="auto" w:fill="auto"/>
            <w:noWrap/>
            <w:vAlign w:val="bottom"/>
            <w:hideMark/>
          </w:tcPr>
          <w:p w14:paraId="63B6C853"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Falls in previous 12 months**</w:t>
            </w:r>
          </w:p>
        </w:tc>
        <w:tc>
          <w:tcPr>
            <w:tcW w:w="2172" w:type="dxa"/>
            <w:tcBorders>
              <w:top w:val="nil"/>
              <w:left w:val="nil"/>
              <w:bottom w:val="nil"/>
              <w:right w:val="nil"/>
            </w:tcBorders>
            <w:shd w:val="clear" w:color="auto" w:fill="auto"/>
            <w:noWrap/>
            <w:vAlign w:val="bottom"/>
            <w:hideMark/>
          </w:tcPr>
          <w:p w14:paraId="763005EB"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1.44 (1.32,1.57)</w:t>
            </w:r>
          </w:p>
        </w:tc>
        <w:tc>
          <w:tcPr>
            <w:tcW w:w="1039" w:type="dxa"/>
            <w:tcBorders>
              <w:top w:val="nil"/>
              <w:left w:val="nil"/>
              <w:bottom w:val="nil"/>
              <w:right w:val="nil"/>
            </w:tcBorders>
            <w:shd w:val="clear" w:color="auto" w:fill="auto"/>
            <w:noWrap/>
            <w:vAlign w:val="bottom"/>
            <w:hideMark/>
          </w:tcPr>
          <w:p w14:paraId="2B600C8C"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nil"/>
              <w:right w:val="nil"/>
            </w:tcBorders>
            <w:shd w:val="clear" w:color="auto" w:fill="auto"/>
            <w:noWrap/>
            <w:vAlign w:val="bottom"/>
            <w:hideMark/>
          </w:tcPr>
          <w:p w14:paraId="1ECE1A39"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1.23 (1.10,1.37)</w:t>
            </w:r>
          </w:p>
        </w:tc>
        <w:tc>
          <w:tcPr>
            <w:tcW w:w="1201" w:type="dxa"/>
            <w:tcBorders>
              <w:top w:val="nil"/>
              <w:left w:val="nil"/>
              <w:bottom w:val="nil"/>
              <w:right w:val="nil"/>
            </w:tcBorders>
            <w:shd w:val="clear" w:color="auto" w:fill="auto"/>
            <w:noWrap/>
            <w:vAlign w:val="bottom"/>
            <w:hideMark/>
          </w:tcPr>
          <w:p w14:paraId="63D0BB7F"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552C38A7" w14:textId="77777777" w:rsidTr="00276638">
        <w:trPr>
          <w:trHeight w:val="340"/>
        </w:trPr>
        <w:tc>
          <w:tcPr>
            <w:tcW w:w="5103" w:type="dxa"/>
            <w:tcBorders>
              <w:top w:val="nil"/>
              <w:left w:val="nil"/>
              <w:bottom w:val="nil"/>
              <w:right w:val="nil"/>
            </w:tcBorders>
            <w:shd w:val="clear" w:color="auto" w:fill="auto"/>
            <w:noWrap/>
            <w:vAlign w:val="bottom"/>
            <w:hideMark/>
          </w:tcPr>
          <w:p w14:paraId="305B0A45"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Fracture since 45 years</w:t>
            </w:r>
          </w:p>
        </w:tc>
        <w:tc>
          <w:tcPr>
            <w:tcW w:w="2172" w:type="dxa"/>
            <w:tcBorders>
              <w:top w:val="nil"/>
              <w:left w:val="nil"/>
              <w:bottom w:val="nil"/>
              <w:right w:val="nil"/>
            </w:tcBorders>
            <w:shd w:val="clear" w:color="auto" w:fill="auto"/>
            <w:noWrap/>
            <w:vAlign w:val="bottom"/>
            <w:hideMark/>
          </w:tcPr>
          <w:p w14:paraId="2FA5B323"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3.49 (2.96,4.12)</w:t>
            </w:r>
          </w:p>
        </w:tc>
        <w:tc>
          <w:tcPr>
            <w:tcW w:w="1039" w:type="dxa"/>
            <w:tcBorders>
              <w:top w:val="nil"/>
              <w:left w:val="nil"/>
              <w:bottom w:val="nil"/>
              <w:right w:val="nil"/>
            </w:tcBorders>
            <w:shd w:val="clear" w:color="auto" w:fill="auto"/>
            <w:noWrap/>
            <w:vAlign w:val="bottom"/>
            <w:hideMark/>
          </w:tcPr>
          <w:p w14:paraId="02D616CB"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nil"/>
              <w:right w:val="nil"/>
            </w:tcBorders>
            <w:shd w:val="clear" w:color="auto" w:fill="auto"/>
            <w:noWrap/>
            <w:vAlign w:val="bottom"/>
            <w:hideMark/>
          </w:tcPr>
          <w:p w14:paraId="6A350B63"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2.63 (2.13,3.24)</w:t>
            </w:r>
          </w:p>
        </w:tc>
        <w:tc>
          <w:tcPr>
            <w:tcW w:w="1201" w:type="dxa"/>
            <w:tcBorders>
              <w:top w:val="nil"/>
              <w:left w:val="nil"/>
              <w:bottom w:val="nil"/>
              <w:right w:val="nil"/>
            </w:tcBorders>
            <w:shd w:val="clear" w:color="auto" w:fill="auto"/>
            <w:noWrap/>
            <w:vAlign w:val="bottom"/>
            <w:hideMark/>
          </w:tcPr>
          <w:p w14:paraId="1002C42A"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r>
      <w:tr w:rsidR="00880D6D" w:rsidRPr="009A499C" w14:paraId="0D7008CF" w14:textId="77777777" w:rsidTr="00F01ABF">
        <w:trPr>
          <w:trHeight w:val="340"/>
        </w:trPr>
        <w:tc>
          <w:tcPr>
            <w:tcW w:w="5103" w:type="dxa"/>
            <w:tcBorders>
              <w:top w:val="nil"/>
              <w:left w:val="nil"/>
              <w:right w:val="nil"/>
            </w:tcBorders>
            <w:shd w:val="clear" w:color="auto" w:fill="auto"/>
            <w:noWrap/>
            <w:vAlign w:val="bottom"/>
            <w:hideMark/>
          </w:tcPr>
          <w:p w14:paraId="1C863DC1"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Family history of hip fracture</w:t>
            </w:r>
          </w:p>
        </w:tc>
        <w:tc>
          <w:tcPr>
            <w:tcW w:w="2172" w:type="dxa"/>
            <w:tcBorders>
              <w:top w:val="nil"/>
              <w:left w:val="nil"/>
              <w:right w:val="nil"/>
            </w:tcBorders>
            <w:shd w:val="clear" w:color="auto" w:fill="auto"/>
            <w:noWrap/>
            <w:vAlign w:val="bottom"/>
            <w:hideMark/>
          </w:tcPr>
          <w:p w14:paraId="64FBDBD8"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1.34 (1.12,1.62)</w:t>
            </w:r>
          </w:p>
        </w:tc>
        <w:tc>
          <w:tcPr>
            <w:tcW w:w="1039" w:type="dxa"/>
            <w:tcBorders>
              <w:top w:val="nil"/>
              <w:left w:val="nil"/>
              <w:right w:val="nil"/>
            </w:tcBorders>
            <w:shd w:val="clear" w:color="auto" w:fill="auto"/>
            <w:noWrap/>
            <w:vAlign w:val="bottom"/>
            <w:hideMark/>
          </w:tcPr>
          <w:p w14:paraId="2D2DD94B"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0.002</w:t>
            </w:r>
          </w:p>
        </w:tc>
        <w:tc>
          <w:tcPr>
            <w:tcW w:w="2252" w:type="dxa"/>
            <w:tcBorders>
              <w:top w:val="nil"/>
              <w:left w:val="nil"/>
              <w:right w:val="nil"/>
            </w:tcBorders>
            <w:shd w:val="clear" w:color="auto" w:fill="auto"/>
            <w:noWrap/>
            <w:vAlign w:val="bottom"/>
            <w:hideMark/>
          </w:tcPr>
          <w:p w14:paraId="52F5D455"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1.40 (1.13,1.74)</w:t>
            </w:r>
          </w:p>
        </w:tc>
        <w:tc>
          <w:tcPr>
            <w:tcW w:w="1201" w:type="dxa"/>
            <w:tcBorders>
              <w:top w:val="nil"/>
              <w:left w:val="nil"/>
              <w:right w:val="nil"/>
            </w:tcBorders>
            <w:shd w:val="clear" w:color="auto" w:fill="auto"/>
            <w:noWrap/>
            <w:vAlign w:val="bottom"/>
            <w:hideMark/>
          </w:tcPr>
          <w:p w14:paraId="3BDFA2A9"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0.002</w:t>
            </w:r>
          </w:p>
        </w:tc>
      </w:tr>
      <w:tr w:rsidR="00F01ABF" w:rsidRPr="009A499C" w14:paraId="08E29656" w14:textId="77777777" w:rsidTr="00F01ABF">
        <w:trPr>
          <w:trHeight w:val="340"/>
        </w:trPr>
        <w:tc>
          <w:tcPr>
            <w:tcW w:w="5103" w:type="dxa"/>
            <w:tcBorders>
              <w:top w:val="nil"/>
              <w:left w:val="nil"/>
              <w:right w:val="nil"/>
            </w:tcBorders>
            <w:shd w:val="clear" w:color="auto" w:fill="auto"/>
            <w:noWrap/>
            <w:vAlign w:val="bottom"/>
          </w:tcPr>
          <w:p w14:paraId="35988B6B" w14:textId="3A062710" w:rsidR="00F01ABF" w:rsidRPr="00F01ABF" w:rsidRDefault="00F01ABF" w:rsidP="00F01ABF">
            <w:pPr>
              <w:spacing w:line="240" w:lineRule="auto"/>
              <w:jc w:val="both"/>
              <w:rPr>
                <w:rFonts w:ascii="Times New Roman" w:hAnsi="Times New Roman"/>
                <w:sz w:val="20"/>
                <w:szCs w:val="20"/>
              </w:rPr>
            </w:pPr>
            <w:r w:rsidRPr="00F01ABF">
              <w:rPr>
                <w:rFonts w:ascii="Times New Roman" w:hAnsi="Times New Roman"/>
                <w:color w:val="000000"/>
                <w:sz w:val="20"/>
                <w:szCs w:val="20"/>
              </w:rPr>
              <w:t>FRAX 10-year probability (MOF)</w:t>
            </w:r>
            <w:r w:rsidRPr="009A499C">
              <w:rPr>
                <w:rFonts w:ascii="Times New Roman" w:hAnsi="Times New Roman"/>
                <w:sz w:val="20"/>
                <w:szCs w:val="20"/>
              </w:rPr>
              <w:t>*</w:t>
            </w:r>
          </w:p>
        </w:tc>
        <w:tc>
          <w:tcPr>
            <w:tcW w:w="2172" w:type="dxa"/>
            <w:tcBorders>
              <w:top w:val="nil"/>
              <w:left w:val="nil"/>
              <w:right w:val="nil"/>
            </w:tcBorders>
            <w:shd w:val="clear" w:color="auto" w:fill="auto"/>
            <w:noWrap/>
            <w:vAlign w:val="bottom"/>
          </w:tcPr>
          <w:p w14:paraId="38294CCE" w14:textId="5AEFD542" w:rsidR="00F01ABF" w:rsidRPr="005525E0" w:rsidRDefault="00F01ABF" w:rsidP="00F01ABF">
            <w:pPr>
              <w:spacing w:line="240" w:lineRule="auto"/>
              <w:jc w:val="both"/>
              <w:rPr>
                <w:rFonts w:ascii="Times New Roman" w:hAnsi="Times New Roman"/>
                <w:b/>
                <w:bCs/>
                <w:sz w:val="20"/>
                <w:szCs w:val="20"/>
              </w:rPr>
            </w:pPr>
            <w:r w:rsidRPr="005525E0">
              <w:rPr>
                <w:rFonts w:ascii="Times New Roman" w:hAnsi="Times New Roman"/>
                <w:b/>
                <w:color w:val="000000"/>
                <w:sz w:val="20"/>
                <w:szCs w:val="20"/>
              </w:rPr>
              <w:t>1.26 (1.16,1.36)</w:t>
            </w:r>
          </w:p>
        </w:tc>
        <w:tc>
          <w:tcPr>
            <w:tcW w:w="1039" w:type="dxa"/>
            <w:tcBorders>
              <w:top w:val="nil"/>
              <w:left w:val="nil"/>
              <w:right w:val="nil"/>
            </w:tcBorders>
            <w:shd w:val="clear" w:color="auto" w:fill="auto"/>
            <w:noWrap/>
            <w:vAlign w:val="bottom"/>
          </w:tcPr>
          <w:p w14:paraId="237458DF" w14:textId="3DD53751" w:rsidR="00F01ABF" w:rsidRPr="005525E0" w:rsidRDefault="00F01ABF" w:rsidP="00F01ABF">
            <w:pPr>
              <w:spacing w:line="240" w:lineRule="auto"/>
              <w:jc w:val="both"/>
              <w:rPr>
                <w:rFonts w:ascii="Times New Roman" w:hAnsi="Times New Roman"/>
                <w:b/>
                <w:bCs/>
                <w:sz w:val="20"/>
                <w:szCs w:val="20"/>
              </w:rPr>
            </w:pPr>
            <w:r w:rsidRPr="005525E0">
              <w:rPr>
                <w:rFonts w:ascii="Times New Roman" w:hAnsi="Times New Roman"/>
                <w:b/>
                <w:color w:val="000000"/>
                <w:sz w:val="20"/>
                <w:szCs w:val="20"/>
              </w:rPr>
              <w:t>&lt;0.001</w:t>
            </w:r>
          </w:p>
        </w:tc>
        <w:tc>
          <w:tcPr>
            <w:tcW w:w="2252" w:type="dxa"/>
            <w:tcBorders>
              <w:top w:val="nil"/>
              <w:left w:val="nil"/>
              <w:right w:val="nil"/>
            </w:tcBorders>
            <w:shd w:val="clear" w:color="auto" w:fill="auto"/>
            <w:noWrap/>
            <w:vAlign w:val="bottom"/>
          </w:tcPr>
          <w:p w14:paraId="41823B47" w14:textId="77777777" w:rsidR="00F01ABF" w:rsidRPr="009A499C" w:rsidRDefault="00F01ABF" w:rsidP="00F01ABF">
            <w:pPr>
              <w:spacing w:line="240" w:lineRule="auto"/>
              <w:jc w:val="both"/>
              <w:rPr>
                <w:rFonts w:ascii="Times New Roman" w:hAnsi="Times New Roman"/>
                <w:b/>
                <w:bCs/>
                <w:sz w:val="20"/>
                <w:szCs w:val="20"/>
              </w:rPr>
            </w:pPr>
          </w:p>
        </w:tc>
        <w:tc>
          <w:tcPr>
            <w:tcW w:w="1201" w:type="dxa"/>
            <w:tcBorders>
              <w:top w:val="nil"/>
              <w:left w:val="nil"/>
              <w:right w:val="nil"/>
            </w:tcBorders>
            <w:shd w:val="clear" w:color="auto" w:fill="auto"/>
            <w:noWrap/>
            <w:vAlign w:val="bottom"/>
          </w:tcPr>
          <w:p w14:paraId="3C28EB95" w14:textId="77777777" w:rsidR="00F01ABF" w:rsidRPr="009A499C" w:rsidRDefault="00F01ABF" w:rsidP="00F01ABF">
            <w:pPr>
              <w:spacing w:line="240" w:lineRule="auto"/>
              <w:jc w:val="both"/>
              <w:rPr>
                <w:rFonts w:ascii="Times New Roman" w:hAnsi="Times New Roman"/>
                <w:b/>
                <w:bCs/>
                <w:sz w:val="20"/>
                <w:szCs w:val="20"/>
              </w:rPr>
            </w:pPr>
          </w:p>
        </w:tc>
      </w:tr>
      <w:tr w:rsidR="00F01ABF" w:rsidRPr="009A499C" w14:paraId="12CD391C" w14:textId="77777777" w:rsidTr="00F01ABF">
        <w:trPr>
          <w:trHeight w:val="340"/>
        </w:trPr>
        <w:tc>
          <w:tcPr>
            <w:tcW w:w="5103" w:type="dxa"/>
            <w:tcBorders>
              <w:top w:val="nil"/>
              <w:left w:val="nil"/>
              <w:right w:val="nil"/>
            </w:tcBorders>
            <w:shd w:val="clear" w:color="auto" w:fill="auto"/>
            <w:noWrap/>
            <w:vAlign w:val="bottom"/>
          </w:tcPr>
          <w:p w14:paraId="5C616FB5" w14:textId="407CF210" w:rsidR="00F01ABF" w:rsidRPr="00F01ABF" w:rsidRDefault="00F01ABF" w:rsidP="00F01ABF">
            <w:pPr>
              <w:spacing w:line="240" w:lineRule="auto"/>
              <w:jc w:val="both"/>
              <w:rPr>
                <w:rFonts w:ascii="Times New Roman" w:hAnsi="Times New Roman"/>
                <w:sz w:val="20"/>
                <w:szCs w:val="20"/>
              </w:rPr>
            </w:pPr>
            <w:r w:rsidRPr="00F01ABF">
              <w:rPr>
                <w:rFonts w:ascii="Times New Roman" w:hAnsi="Times New Roman"/>
                <w:color w:val="000000"/>
                <w:sz w:val="20"/>
                <w:szCs w:val="20"/>
              </w:rPr>
              <w:t>FRAX 10-year probability (hip fracture)</w:t>
            </w:r>
            <w:r w:rsidRPr="009A499C">
              <w:rPr>
                <w:rFonts w:ascii="Times New Roman" w:hAnsi="Times New Roman"/>
                <w:sz w:val="20"/>
                <w:szCs w:val="20"/>
              </w:rPr>
              <w:t>*</w:t>
            </w:r>
          </w:p>
        </w:tc>
        <w:tc>
          <w:tcPr>
            <w:tcW w:w="2172" w:type="dxa"/>
            <w:tcBorders>
              <w:top w:val="nil"/>
              <w:left w:val="nil"/>
              <w:right w:val="nil"/>
            </w:tcBorders>
            <w:shd w:val="clear" w:color="auto" w:fill="auto"/>
            <w:noWrap/>
            <w:vAlign w:val="bottom"/>
          </w:tcPr>
          <w:p w14:paraId="210767DE" w14:textId="28CA4E38" w:rsidR="00F01ABF" w:rsidRPr="005525E0" w:rsidRDefault="00F01ABF" w:rsidP="00F01ABF">
            <w:pPr>
              <w:spacing w:line="240" w:lineRule="auto"/>
              <w:jc w:val="both"/>
              <w:rPr>
                <w:rFonts w:ascii="Times New Roman" w:hAnsi="Times New Roman"/>
                <w:b/>
                <w:bCs/>
                <w:sz w:val="20"/>
                <w:szCs w:val="20"/>
              </w:rPr>
            </w:pPr>
            <w:r w:rsidRPr="005525E0">
              <w:rPr>
                <w:rFonts w:ascii="Times New Roman" w:hAnsi="Times New Roman"/>
                <w:b/>
                <w:color w:val="000000"/>
                <w:sz w:val="20"/>
                <w:szCs w:val="20"/>
              </w:rPr>
              <w:t>1.18 (1.09,1.27)</w:t>
            </w:r>
          </w:p>
        </w:tc>
        <w:tc>
          <w:tcPr>
            <w:tcW w:w="1039" w:type="dxa"/>
            <w:tcBorders>
              <w:top w:val="nil"/>
              <w:left w:val="nil"/>
              <w:right w:val="nil"/>
            </w:tcBorders>
            <w:shd w:val="clear" w:color="auto" w:fill="auto"/>
            <w:noWrap/>
            <w:vAlign w:val="bottom"/>
          </w:tcPr>
          <w:p w14:paraId="342885D1" w14:textId="74278FFC" w:rsidR="00F01ABF" w:rsidRPr="005525E0" w:rsidRDefault="00F01ABF" w:rsidP="00F01ABF">
            <w:pPr>
              <w:spacing w:line="240" w:lineRule="auto"/>
              <w:jc w:val="both"/>
              <w:rPr>
                <w:rFonts w:ascii="Times New Roman" w:hAnsi="Times New Roman"/>
                <w:b/>
                <w:bCs/>
                <w:sz w:val="20"/>
                <w:szCs w:val="20"/>
              </w:rPr>
            </w:pPr>
            <w:r w:rsidRPr="005525E0">
              <w:rPr>
                <w:rFonts w:ascii="Times New Roman" w:hAnsi="Times New Roman"/>
                <w:b/>
                <w:color w:val="000000"/>
                <w:sz w:val="20"/>
                <w:szCs w:val="20"/>
              </w:rPr>
              <w:t>&lt;0.001</w:t>
            </w:r>
          </w:p>
        </w:tc>
        <w:tc>
          <w:tcPr>
            <w:tcW w:w="2252" w:type="dxa"/>
            <w:tcBorders>
              <w:top w:val="nil"/>
              <w:left w:val="nil"/>
              <w:right w:val="nil"/>
            </w:tcBorders>
            <w:shd w:val="clear" w:color="auto" w:fill="auto"/>
            <w:noWrap/>
            <w:vAlign w:val="bottom"/>
          </w:tcPr>
          <w:p w14:paraId="11A2786C" w14:textId="77777777" w:rsidR="00F01ABF" w:rsidRPr="009A499C" w:rsidRDefault="00F01ABF" w:rsidP="00F01ABF">
            <w:pPr>
              <w:spacing w:line="240" w:lineRule="auto"/>
              <w:jc w:val="both"/>
              <w:rPr>
                <w:rFonts w:ascii="Times New Roman" w:hAnsi="Times New Roman"/>
                <w:b/>
                <w:bCs/>
                <w:sz w:val="20"/>
                <w:szCs w:val="20"/>
              </w:rPr>
            </w:pPr>
          </w:p>
        </w:tc>
        <w:tc>
          <w:tcPr>
            <w:tcW w:w="1201" w:type="dxa"/>
            <w:tcBorders>
              <w:top w:val="nil"/>
              <w:left w:val="nil"/>
              <w:right w:val="nil"/>
            </w:tcBorders>
            <w:shd w:val="clear" w:color="auto" w:fill="auto"/>
            <w:noWrap/>
            <w:vAlign w:val="bottom"/>
          </w:tcPr>
          <w:p w14:paraId="20F28461" w14:textId="77777777" w:rsidR="00F01ABF" w:rsidRPr="009A499C" w:rsidRDefault="00F01ABF" w:rsidP="00F01ABF">
            <w:pPr>
              <w:spacing w:line="240" w:lineRule="auto"/>
              <w:jc w:val="both"/>
              <w:rPr>
                <w:rFonts w:ascii="Times New Roman" w:hAnsi="Times New Roman"/>
                <w:b/>
                <w:bCs/>
                <w:sz w:val="20"/>
                <w:szCs w:val="20"/>
              </w:rPr>
            </w:pPr>
          </w:p>
        </w:tc>
      </w:tr>
      <w:tr w:rsidR="00880D6D" w:rsidRPr="009A499C" w14:paraId="2C84405A" w14:textId="77777777" w:rsidTr="00F01ABF">
        <w:trPr>
          <w:trHeight w:val="340"/>
        </w:trPr>
        <w:tc>
          <w:tcPr>
            <w:tcW w:w="5103" w:type="dxa"/>
            <w:tcBorders>
              <w:top w:val="nil"/>
              <w:left w:val="nil"/>
              <w:bottom w:val="single" w:sz="4" w:space="0" w:color="auto"/>
              <w:right w:val="nil"/>
            </w:tcBorders>
            <w:shd w:val="clear" w:color="auto" w:fill="auto"/>
            <w:noWrap/>
            <w:vAlign w:val="bottom"/>
            <w:hideMark/>
          </w:tcPr>
          <w:p w14:paraId="1E0EB7C1"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Number of comorbidities**</w:t>
            </w:r>
          </w:p>
        </w:tc>
        <w:tc>
          <w:tcPr>
            <w:tcW w:w="2172" w:type="dxa"/>
            <w:tcBorders>
              <w:top w:val="nil"/>
              <w:left w:val="nil"/>
              <w:bottom w:val="single" w:sz="4" w:space="0" w:color="auto"/>
              <w:right w:val="nil"/>
            </w:tcBorders>
            <w:shd w:val="clear" w:color="auto" w:fill="auto"/>
            <w:noWrap/>
            <w:vAlign w:val="bottom"/>
            <w:hideMark/>
          </w:tcPr>
          <w:p w14:paraId="35AC36B0"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1.20 (1.13,1.27)</w:t>
            </w:r>
          </w:p>
        </w:tc>
        <w:tc>
          <w:tcPr>
            <w:tcW w:w="1039" w:type="dxa"/>
            <w:tcBorders>
              <w:top w:val="nil"/>
              <w:left w:val="nil"/>
              <w:bottom w:val="single" w:sz="4" w:space="0" w:color="auto"/>
              <w:right w:val="nil"/>
            </w:tcBorders>
            <w:shd w:val="clear" w:color="auto" w:fill="auto"/>
            <w:noWrap/>
            <w:vAlign w:val="bottom"/>
            <w:hideMark/>
          </w:tcPr>
          <w:p w14:paraId="2ABAD408"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&lt;0.001</w:t>
            </w:r>
          </w:p>
        </w:tc>
        <w:tc>
          <w:tcPr>
            <w:tcW w:w="2252" w:type="dxa"/>
            <w:tcBorders>
              <w:top w:val="nil"/>
              <w:left w:val="nil"/>
              <w:bottom w:val="single" w:sz="4" w:space="0" w:color="auto"/>
              <w:right w:val="nil"/>
            </w:tcBorders>
            <w:shd w:val="clear" w:color="auto" w:fill="auto"/>
            <w:noWrap/>
            <w:vAlign w:val="bottom"/>
            <w:hideMark/>
          </w:tcPr>
          <w:p w14:paraId="5C65056E"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1.08 (1.01,1.15)</w:t>
            </w:r>
          </w:p>
        </w:tc>
        <w:tc>
          <w:tcPr>
            <w:tcW w:w="1201" w:type="dxa"/>
            <w:tcBorders>
              <w:top w:val="nil"/>
              <w:left w:val="nil"/>
              <w:bottom w:val="single" w:sz="4" w:space="0" w:color="auto"/>
              <w:right w:val="nil"/>
            </w:tcBorders>
            <w:shd w:val="clear" w:color="auto" w:fill="auto"/>
            <w:noWrap/>
            <w:vAlign w:val="bottom"/>
            <w:hideMark/>
          </w:tcPr>
          <w:p w14:paraId="2A8E3497" w14:textId="77777777" w:rsidR="00880D6D" w:rsidRPr="009A499C" w:rsidRDefault="00880D6D" w:rsidP="00276638">
            <w:pPr>
              <w:spacing w:line="240" w:lineRule="auto"/>
              <w:jc w:val="both"/>
              <w:rPr>
                <w:rFonts w:ascii="Times New Roman" w:hAnsi="Times New Roman"/>
                <w:b/>
                <w:bCs/>
                <w:sz w:val="20"/>
                <w:szCs w:val="20"/>
              </w:rPr>
            </w:pPr>
            <w:r w:rsidRPr="009A499C">
              <w:rPr>
                <w:rFonts w:ascii="Times New Roman" w:hAnsi="Times New Roman"/>
                <w:b/>
                <w:bCs/>
                <w:sz w:val="20"/>
                <w:szCs w:val="20"/>
              </w:rPr>
              <w:t>0.033</w:t>
            </w:r>
          </w:p>
        </w:tc>
      </w:tr>
      <w:tr w:rsidR="00880D6D" w:rsidRPr="009A499C" w14:paraId="4BB942F5" w14:textId="77777777" w:rsidTr="00F01ABF">
        <w:trPr>
          <w:trHeight w:val="340"/>
        </w:trPr>
        <w:tc>
          <w:tcPr>
            <w:tcW w:w="10566" w:type="dxa"/>
            <w:gridSpan w:val="4"/>
            <w:tcBorders>
              <w:top w:val="single" w:sz="4" w:space="0" w:color="auto"/>
              <w:left w:val="nil"/>
              <w:bottom w:val="nil"/>
              <w:right w:val="nil"/>
            </w:tcBorders>
            <w:shd w:val="clear" w:color="auto" w:fill="auto"/>
            <w:noWrap/>
            <w:vAlign w:val="bottom"/>
            <w:hideMark/>
          </w:tcPr>
          <w:p w14:paraId="68A578B6" w14:textId="77777777" w:rsidR="00880D6D" w:rsidRPr="009A499C" w:rsidRDefault="00880D6D" w:rsidP="00276638">
            <w:pPr>
              <w:spacing w:line="240" w:lineRule="auto"/>
              <w:jc w:val="both"/>
              <w:rPr>
                <w:rFonts w:ascii="Times New Roman" w:hAnsi="Times New Roman"/>
                <w:sz w:val="20"/>
                <w:szCs w:val="20"/>
              </w:rPr>
            </w:pPr>
            <w:r w:rsidRPr="009A499C">
              <w:rPr>
                <w:rFonts w:ascii="Times New Roman" w:hAnsi="Times New Roman"/>
                <w:sz w:val="20"/>
                <w:szCs w:val="20"/>
              </w:rPr>
              <w:t>Ordinal logistic regression models were used with the 5-level variable for self-perceived fracture risk as the outcome</w:t>
            </w:r>
          </w:p>
        </w:tc>
        <w:tc>
          <w:tcPr>
            <w:tcW w:w="1201" w:type="dxa"/>
            <w:tcBorders>
              <w:top w:val="single" w:sz="4" w:space="0" w:color="auto"/>
              <w:left w:val="nil"/>
              <w:bottom w:val="nil"/>
              <w:right w:val="nil"/>
            </w:tcBorders>
            <w:shd w:val="clear" w:color="auto" w:fill="auto"/>
            <w:noWrap/>
            <w:vAlign w:val="bottom"/>
            <w:hideMark/>
          </w:tcPr>
          <w:p w14:paraId="2F14CAEA" w14:textId="77777777" w:rsidR="00880D6D" w:rsidRPr="009A499C" w:rsidRDefault="00880D6D" w:rsidP="00276638">
            <w:pPr>
              <w:spacing w:line="240" w:lineRule="auto"/>
              <w:jc w:val="both"/>
              <w:rPr>
                <w:rFonts w:ascii="Times New Roman" w:hAnsi="Times New Roman"/>
                <w:sz w:val="20"/>
                <w:szCs w:val="20"/>
              </w:rPr>
            </w:pPr>
          </w:p>
        </w:tc>
      </w:tr>
      <w:tr w:rsidR="00F01ABF" w:rsidRPr="009A499C" w14:paraId="0165C534" w14:textId="77777777" w:rsidTr="004B6CC4">
        <w:trPr>
          <w:trHeight w:val="340"/>
        </w:trPr>
        <w:tc>
          <w:tcPr>
            <w:tcW w:w="11767" w:type="dxa"/>
            <w:gridSpan w:val="5"/>
            <w:tcBorders>
              <w:top w:val="nil"/>
              <w:left w:val="nil"/>
              <w:bottom w:val="nil"/>
              <w:right w:val="nil"/>
            </w:tcBorders>
            <w:shd w:val="clear" w:color="auto" w:fill="auto"/>
            <w:noWrap/>
            <w:vAlign w:val="bottom"/>
            <w:hideMark/>
          </w:tcPr>
          <w:p w14:paraId="0C1AF641" w14:textId="242E17AA" w:rsidR="00F01ABF" w:rsidRPr="009A499C" w:rsidRDefault="00F01ABF" w:rsidP="00276638">
            <w:pPr>
              <w:spacing w:line="240" w:lineRule="auto"/>
              <w:jc w:val="both"/>
              <w:rPr>
                <w:rFonts w:ascii="Times New Roman" w:hAnsi="Times New Roman"/>
                <w:sz w:val="20"/>
                <w:szCs w:val="20"/>
              </w:rPr>
            </w:pPr>
            <w:r w:rsidRPr="009A499C">
              <w:rPr>
                <w:rFonts w:ascii="Times New Roman" w:hAnsi="Times New Roman"/>
                <w:color w:val="000000"/>
                <w:sz w:val="20"/>
                <w:szCs w:val="20"/>
              </w:rPr>
              <w:t>*Odds ratio per standard deviation increase</w:t>
            </w:r>
            <w:r>
              <w:rPr>
                <w:rFonts w:ascii="Times New Roman" w:hAnsi="Times New Roman"/>
                <w:color w:val="000000"/>
                <w:sz w:val="20"/>
                <w:szCs w:val="20"/>
              </w:rPr>
              <w:t xml:space="preserve">      </w:t>
            </w:r>
            <w:r w:rsidRPr="009A499C">
              <w:rPr>
                <w:rFonts w:ascii="Times New Roman" w:hAnsi="Times New Roman"/>
                <w:color w:val="000000"/>
                <w:sz w:val="20"/>
                <w:szCs w:val="20"/>
              </w:rPr>
              <w:t>**Odds ratio per higher category of characteristic</w:t>
            </w:r>
          </w:p>
        </w:tc>
      </w:tr>
      <w:tr w:rsidR="00880D6D" w:rsidRPr="009A499C" w14:paraId="381B63A8" w14:textId="77777777" w:rsidTr="00276638">
        <w:trPr>
          <w:trHeight w:val="340"/>
        </w:trPr>
        <w:tc>
          <w:tcPr>
            <w:tcW w:w="11767" w:type="dxa"/>
            <w:gridSpan w:val="5"/>
            <w:tcBorders>
              <w:top w:val="nil"/>
              <w:left w:val="nil"/>
              <w:bottom w:val="nil"/>
              <w:right w:val="nil"/>
            </w:tcBorders>
            <w:shd w:val="clear" w:color="auto" w:fill="auto"/>
            <w:noWrap/>
            <w:vAlign w:val="bottom"/>
          </w:tcPr>
          <w:p w14:paraId="3303E956" w14:textId="369595A2" w:rsidR="00880D6D" w:rsidRPr="003B7DBA"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Significant associations (p&lt;0.05) are highlighted in bold</w:t>
            </w:r>
            <w:r w:rsidR="00F01ABF">
              <w:rPr>
                <w:rFonts w:ascii="Times New Roman" w:hAnsi="Times New Roman"/>
                <w:color w:val="000000"/>
                <w:sz w:val="20"/>
                <w:szCs w:val="20"/>
              </w:rPr>
              <w:t xml:space="preserve">        All characteristics were ascertained at baseline</w:t>
            </w:r>
          </w:p>
        </w:tc>
      </w:tr>
    </w:tbl>
    <w:p w14:paraId="0DCAEE97" w14:textId="77777777" w:rsidR="00880D6D" w:rsidRDefault="00880D6D" w:rsidP="00880D6D">
      <w:pPr>
        <w:tabs>
          <w:tab w:val="left" w:pos="3311"/>
        </w:tabs>
        <w:jc w:val="both"/>
        <w:rPr>
          <w:rFonts w:ascii="Times New Roman" w:hAnsi="Times New Roman"/>
          <w:szCs w:val="22"/>
        </w:rPr>
        <w:sectPr w:rsidR="00880D6D" w:rsidSect="00506D45">
          <w:pgSz w:w="16838" w:h="11906" w:orient="landscape"/>
          <w:pgMar w:top="1440" w:right="1440" w:bottom="1440" w:left="1440" w:header="708" w:footer="708" w:gutter="0"/>
          <w:cols w:space="708"/>
          <w:docGrid w:linePitch="360"/>
        </w:sectPr>
      </w:pPr>
    </w:p>
    <w:tbl>
      <w:tblPr>
        <w:tblW w:w="9993" w:type="dxa"/>
        <w:tblLook w:val="04A0" w:firstRow="1" w:lastRow="0" w:firstColumn="1" w:lastColumn="0" w:noHBand="0" w:noVBand="1"/>
      </w:tblPr>
      <w:tblGrid>
        <w:gridCol w:w="3544"/>
        <w:gridCol w:w="1559"/>
        <w:gridCol w:w="1701"/>
        <w:gridCol w:w="1560"/>
        <w:gridCol w:w="1629"/>
      </w:tblGrid>
      <w:tr w:rsidR="00880D6D" w:rsidRPr="008D6122" w14:paraId="6BE82244" w14:textId="77777777" w:rsidTr="00276638">
        <w:trPr>
          <w:trHeight w:val="240"/>
        </w:trPr>
        <w:tc>
          <w:tcPr>
            <w:tcW w:w="9993" w:type="dxa"/>
            <w:gridSpan w:val="5"/>
            <w:tcBorders>
              <w:top w:val="nil"/>
              <w:left w:val="nil"/>
              <w:bottom w:val="nil"/>
              <w:right w:val="nil"/>
            </w:tcBorders>
            <w:shd w:val="clear" w:color="auto" w:fill="auto"/>
            <w:vAlign w:val="center"/>
            <w:hideMark/>
          </w:tcPr>
          <w:p w14:paraId="3D2FC011" w14:textId="77777777" w:rsidR="00880D6D" w:rsidRPr="008D6122" w:rsidRDefault="00880D6D" w:rsidP="00276638">
            <w:pPr>
              <w:spacing w:line="240" w:lineRule="auto"/>
              <w:jc w:val="both"/>
              <w:rPr>
                <w:rFonts w:ascii="Times New Roman" w:hAnsi="Times New Roman"/>
                <w:b/>
                <w:bCs/>
                <w:color w:val="000000"/>
                <w:sz w:val="20"/>
                <w:szCs w:val="20"/>
              </w:rPr>
            </w:pPr>
            <w:r w:rsidRPr="008D6122">
              <w:rPr>
                <w:rFonts w:ascii="Times New Roman" w:hAnsi="Times New Roman"/>
                <w:b/>
                <w:bCs/>
                <w:color w:val="000000"/>
                <w:sz w:val="20"/>
                <w:szCs w:val="20"/>
              </w:rPr>
              <w:t xml:space="preserve">Table </w:t>
            </w:r>
            <w:r>
              <w:rPr>
                <w:rFonts w:ascii="Times New Roman" w:hAnsi="Times New Roman"/>
                <w:b/>
                <w:bCs/>
                <w:color w:val="000000"/>
                <w:sz w:val="20"/>
                <w:szCs w:val="20"/>
              </w:rPr>
              <w:t>4</w:t>
            </w:r>
            <w:r w:rsidRPr="008D6122">
              <w:rPr>
                <w:rFonts w:ascii="Times New Roman" w:hAnsi="Times New Roman"/>
                <w:b/>
                <w:bCs/>
                <w:color w:val="000000"/>
                <w:sz w:val="20"/>
                <w:szCs w:val="20"/>
              </w:rPr>
              <w:t>: Participant characteristics according to each cluster</w:t>
            </w:r>
          </w:p>
        </w:tc>
      </w:tr>
      <w:tr w:rsidR="00880D6D" w:rsidRPr="008D6122" w14:paraId="3A6876EA" w14:textId="77777777" w:rsidTr="00276638">
        <w:trPr>
          <w:trHeight w:val="240"/>
        </w:trPr>
        <w:tc>
          <w:tcPr>
            <w:tcW w:w="3544" w:type="dxa"/>
            <w:tcBorders>
              <w:top w:val="nil"/>
              <w:left w:val="nil"/>
              <w:bottom w:val="nil"/>
              <w:right w:val="nil"/>
            </w:tcBorders>
            <w:shd w:val="clear" w:color="auto" w:fill="auto"/>
            <w:noWrap/>
            <w:vAlign w:val="bottom"/>
            <w:hideMark/>
          </w:tcPr>
          <w:p w14:paraId="43777F97" w14:textId="77777777" w:rsidR="00880D6D" w:rsidRPr="008D6122" w:rsidRDefault="00880D6D" w:rsidP="00276638">
            <w:pPr>
              <w:spacing w:line="240" w:lineRule="auto"/>
              <w:jc w:val="both"/>
              <w:rPr>
                <w:rFonts w:ascii="Times New Roman" w:hAnsi="Times New Roman"/>
                <w:b/>
                <w:bCs/>
                <w:color w:val="000000"/>
                <w:sz w:val="20"/>
                <w:szCs w:val="20"/>
              </w:rPr>
            </w:pPr>
          </w:p>
        </w:tc>
        <w:tc>
          <w:tcPr>
            <w:tcW w:w="1559" w:type="dxa"/>
            <w:tcBorders>
              <w:top w:val="nil"/>
              <w:left w:val="nil"/>
              <w:bottom w:val="nil"/>
              <w:right w:val="nil"/>
            </w:tcBorders>
            <w:shd w:val="clear" w:color="auto" w:fill="auto"/>
            <w:noWrap/>
            <w:vAlign w:val="bottom"/>
            <w:hideMark/>
          </w:tcPr>
          <w:p w14:paraId="5A66AB7B" w14:textId="77777777" w:rsidR="00880D6D" w:rsidRPr="008D6122" w:rsidRDefault="00880D6D" w:rsidP="00276638">
            <w:pPr>
              <w:spacing w:line="240" w:lineRule="auto"/>
              <w:jc w:val="both"/>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14:paraId="2FCD6F8B" w14:textId="77777777" w:rsidR="00880D6D" w:rsidRPr="008D6122"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773CE383" w14:textId="77777777" w:rsidR="00880D6D" w:rsidRPr="008D6122"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75F10562" w14:textId="77777777" w:rsidR="00880D6D" w:rsidRPr="008D6122" w:rsidRDefault="00880D6D" w:rsidP="00276638">
            <w:pPr>
              <w:spacing w:line="240" w:lineRule="auto"/>
              <w:jc w:val="both"/>
              <w:rPr>
                <w:rFonts w:ascii="Times New Roman" w:hAnsi="Times New Roman"/>
                <w:sz w:val="20"/>
                <w:szCs w:val="20"/>
              </w:rPr>
            </w:pPr>
          </w:p>
        </w:tc>
      </w:tr>
      <w:tr w:rsidR="00880D6D" w:rsidRPr="008D6122" w14:paraId="2D682AE2" w14:textId="77777777" w:rsidTr="00276638">
        <w:trPr>
          <w:trHeight w:val="240"/>
        </w:trPr>
        <w:tc>
          <w:tcPr>
            <w:tcW w:w="3544" w:type="dxa"/>
            <w:tcBorders>
              <w:top w:val="single" w:sz="4" w:space="0" w:color="auto"/>
              <w:left w:val="nil"/>
              <w:bottom w:val="single" w:sz="4" w:space="0" w:color="auto"/>
              <w:right w:val="nil"/>
            </w:tcBorders>
            <w:shd w:val="clear" w:color="auto" w:fill="auto"/>
            <w:vAlign w:val="center"/>
            <w:hideMark/>
          </w:tcPr>
          <w:p w14:paraId="54A6C1A7" w14:textId="77777777" w:rsidR="00880D6D" w:rsidRPr="008D6122" w:rsidRDefault="00880D6D" w:rsidP="00276638">
            <w:pPr>
              <w:spacing w:line="240" w:lineRule="auto"/>
              <w:jc w:val="both"/>
              <w:rPr>
                <w:rFonts w:ascii="Times New Roman" w:hAnsi="Times New Roman"/>
                <w:b/>
                <w:bCs/>
                <w:color w:val="000000"/>
                <w:sz w:val="20"/>
                <w:szCs w:val="20"/>
              </w:rPr>
            </w:pPr>
            <w:r w:rsidRPr="008D6122">
              <w:rPr>
                <w:rFonts w:ascii="Times New Roman" w:hAnsi="Times New Roman"/>
                <w:b/>
                <w:bCs/>
                <w:color w:val="000000"/>
                <w:sz w:val="20"/>
                <w:szCs w:val="20"/>
              </w:rPr>
              <w:t>Participant characteristic</w:t>
            </w:r>
          </w:p>
        </w:tc>
        <w:tc>
          <w:tcPr>
            <w:tcW w:w="1559" w:type="dxa"/>
            <w:tcBorders>
              <w:top w:val="single" w:sz="4" w:space="0" w:color="auto"/>
              <w:left w:val="nil"/>
              <w:bottom w:val="single" w:sz="4" w:space="0" w:color="auto"/>
              <w:right w:val="nil"/>
            </w:tcBorders>
            <w:shd w:val="clear" w:color="auto" w:fill="auto"/>
            <w:vAlign w:val="bottom"/>
            <w:hideMark/>
          </w:tcPr>
          <w:p w14:paraId="1C600AEC" w14:textId="77777777" w:rsidR="00880D6D" w:rsidRPr="008D6122" w:rsidRDefault="00880D6D" w:rsidP="00276638">
            <w:pPr>
              <w:spacing w:line="240" w:lineRule="auto"/>
              <w:jc w:val="both"/>
              <w:rPr>
                <w:rFonts w:ascii="Times New Roman" w:hAnsi="Times New Roman"/>
                <w:b/>
                <w:bCs/>
                <w:color w:val="000000"/>
                <w:sz w:val="20"/>
                <w:szCs w:val="20"/>
              </w:rPr>
            </w:pPr>
            <w:r w:rsidRPr="008D6122">
              <w:rPr>
                <w:rFonts w:ascii="Times New Roman" w:hAnsi="Times New Roman"/>
                <w:b/>
                <w:bCs/>
                <w:color w:val="000000"/>
                <w:sz w:val="20"/>
                <w:szCs w:val="20"/>
              </w:rPr>
              <w:t>Cluster1 (n=489)</w:t>
            </w:r>
          </w:p>
        </w:tc>
        <w:tc>
          <w:tcPr>
            <w:tcW w:w="1701" w:type="dxa"/>
            <w:tcBorders>
              <w:top w:val="single" w:sz="4" w:space="0" w:color="auto"/>
              <w:left w:val="nil"/>
              <w:bottom w:val="single" w:sz="4" w:space="0" w:color="auto"/>
              <w:right w:val="nil"/>
            </w:tcBorders>
            <w:shd w:val="clear" w:color="auto" w:fill="auto"/>
            <w:vAlign w:val="bottom"/>
            <w:hideMark/>
          </w:tcPr>
          <w:p w14:paraId="2B8FBEC0" w14:textId="77777777" w:rsidR="00880D6D" w:rsidRPr="008D6122" w:rsidRDefault="00880D6D" w:rsidP="00276638">
            <w:pPr>
              <w:spacing w:line="240" w:lineRule="auto"/>
              <w:jc w:val="both"/>
              <w:rPr>
                <w:rFonts w:ascii="Times New Roman" w:hAnsi="Times New Roman"/>
                <w:b/>
                <w:bCs/>
                <w:color w:val="000000"/>
                <w:sz w:val="20"/>
                <w:szCs w:val="20"/>
              </w:rPr>
            </w:pPr>
            <w:r w:rsidRPr="008D6122">
              <w:rPr>
                <w:rFonts w:ascii="Times New Roman" w:hAnsi="Times New Roman"/>
                <w:b/>
                <w:bCs/>
                <w:color w:val="000000"/>
                <w:sz w:val="20"/>
                <w:szCs w:val="20"/>
              </w:rPr>
              <w:t>Cluster</w:t>
            </w:r>
            <w:r>
              <w:rPr>
                <w:rFonts w:ascii="Times New Roman" w:hAnsi="Times New Roman"/>
                <w:b/>
                <w:bCs/>
                <w:color w:val="000000"/>
                <w:sz w:val="20"/>
                <w:szCs w:val="20"/>
              </w:rPr>
              <w:t xml:space="preserve">2   </w:t>
            </w:r>
            <w:r w:rsidRPr="008D6122">
              <w:rPr>
                <w:rFonts w:ascii="Times New Roman" w:hAnsi="Times New Roman"/>
                <w:b/>
                <w:bCs/>
                <w:color w:val="000000"/>
                <w:sz w:val="20"/>
                <w:szCs w:val="20"/>
              </w:rPr>
              <w:t>(n=904)</w:t>
            </w:r>
          </w:p>
        </w:tc>
        <w:tc>
          <w:tcPr>
            <w:tcW w:w="1560" w:type="dxa"/>
            <w:tcBorders>
              <w:top w:val="single" w:sz="4" w:space="0" w:color="auto"/>
              <w:left w:val="nil"/>
              <w:bottom w:val="single" w:sz="4" w:space="0" w:color="auto"/>
              <w:right w:val="nil"/>
            </w:tcBorders>
            <w:shd w:val="clear" w:color="auto" w:fill="auto"/>
            <w:vAlign w:val="bottom"/>
            <w:hideMark/>
          </w:tcPr>
          <w:p w14:paraId="44959C5F" w14:textId="77777777" w:rsidR="00880D6D" w:rsidRPr="008D6122" w:rsidRDefault="00880D6D" w:rsidP="00276638">
            <w:pPr>
              <w:spacing w:line="240" w:lineRule="auto"/>
              <w:jc w:val="both"/>
              <w:rPr>
                <w:rFonts w:ascii="Times New Roman" w:hAnsi="Times New Roman"/>
                <w:b/>
                <w:bCs/>
                <w:color w:val="000000"/>
                <w:sz w:val="20"/>
                <w:szCs w:val="20"/>
              </w:rPr>
            </w:pPr>
            <w:r w:rsidRPr="008D6122">
              <w:rPr>
                <w:rFonts w:ascii="Times New Roman" w:hAnsi="Times New Roman"/>
                <w:b/>
                <w:bCs/>
                <w:color w:val="000000"/>
                <w:sz w:val="20"/>
                <w:szCs w:val="20"/>
              </w:rPr>
              <w:t>Cluster3 (n=730)</w:t>
            </w:r>
          </w:p>
        </w:tc>
        <w:tc>
          <w:tcPr>
            <w:tcW w:w="1629" w:type="dxa"/>
            <w:tcBorders>
              <w:top w:val="single" w:sz="4" w:space="0" w:color="auto"/>
              <w:left w:val="nil"/>
              <w:bottom w:val="single" w:sz="4" w:space="0" w:color="auto"/>
              <w:right w:val="nil"/>
            </w:tcBorders>
            <w:shd w:val="clear" w:color="auto" w:fill="auto"/>
            <w:vAlign w:val="bottom"/>
            <w:hideMark/>
          </w:tcPr>
          <w:p w14:paraId="3A9CD36F" w14:textId="77777777" w:rsidR="00880D6D" w:rsidRPr="008D6122" w:rsidRDefault="00880D6D" w:rsidP="00276638">
            <w:pPr>
              <w:spacing w:line="240" w:lineRule="auto"/>
              <w:jc w:val="both"/>
              <w:rPr>
                <w:rFonts w:ascii="Times New Roman" w:hAnsi="Times New Roman"/>
                <w:b/>
                <w:bCs/>
                <w:color w:val="000000"/>
                <w:sz w:val="20"/>
                <w:szCs w:val="20"/>
              </w:rPr>
            </w:pPr>
            <w:r w:rsidRPr="008D6122">
              <w:rPr>
                <w:rFonts w:ascii="Times New Roman" w:hAnsi="Times New Roman"/>
                <w:b/>
                <w:bCs/>
                <w:color w:val="000000"/>
                <w:sz w:val="20"/>
                <w:szCs w:val="20"/>
              </w:rPr>
              <w:t>Cluster4 (n=459)</w:t>
            </w:r>
          </w:p>
        </w:tc>
      </w:tr>
      <w:tr w:rsidR="00880D6D" w:rsidRPr="008D6122" w14:paraId="79BBE741" w14:textId="77777777" w:rsidTr="00276638">
        <w:trPr>
          <w:trHeight w:val="240"/>
        </w:trPr>
        <w:tc>
          <w:tcPr>
            <w:tcW w:w="3544" w:type="dxa"/>
            <w:tcBorders>
              <w:top w:val="nil"/>
              <w:left w:val="nil"/>
              <w:bottom w:val="nil"/>
              <w:right w:val="nil"/>
            </w:tcBorders>
            <w:shd w:val="clear" w:color="auto" w:fill="auto"/>
            <w:noWrap/>
            <w:vAlign w:val="center"/>
            <w:hideMark/>
          </w:tcPr>
          <w:p w14:paraId="1041E69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Age (years)*</w:t>
            </w:r>
          </w:p>
        </w:tc>
        <w:tc>
          <w:tcPr>
            <w:tcW w:w="1559" w:type="dxa"/>
            <w:tcBorders>
              <w:top w:val="nil"/>
              <w:left w:val="nil"/>
              <w:bottom w:val="nil"/>
              <w:right w:val="nil"/>
            </w:tcBorders>
            <w:shd w:val="clear" w:color="auto" w:fill="auto"/>
            <w:noWrap/>
            <w:vAlign w:val="bottom"/>
            <w:hideMark/>
          </w:tcPr>
          <w:p w14:paraId="4B38C59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69.3 (8.6)</w:t>
            </w:r>
          </w:p>
        </w:tc>
        <w:tc>
          <w:tcPr>
            <w:tcW w:w="1701" w:type="dxa"/>
            <w:tcBorders>
              <w:top w:val="nil"/>
              <w:left w:val="nil"/>
              <w:bottom w:val="nil"/>
              <w:right w:val="nil"/>
            </w:tcBorders>
            <w:shd w:val="clear" w:color="auto" w:fill="auto"/>
            <w:noWrap/>
            <w:vAlign w:val="bottom"/>
            <w:hideMark/>
          </w:tcPr>
          <w:p w14:paraId="5C01004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65.1 (4.9)</w:t>
            </w:r>
          </w:p>
        </w:tc>
        <w:tc>
          <w:tcPr>
            <w:tcW w:w="1560" w:type="dxa"/>
            <w:tcBorders>
              <w:top w:val="nil"/>
              <w:left w:val="nil"/>
              <w:bottom w:val="nil"/>
              <w:right w:val="nil"/>
            </w:tcBorders>
            <w:shd w:val="clear" w:color="auto" w:fill="auto"/>
            <w:noWrap/>
            <w:vAlign w:val="bottom"/>
            <w:hideMark/>
          </w:tcPr>
          <w:p w14:paraId="2D7590F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76.0 (7.0)</w:t>
            </w:r>
          </w:p>
        </w:tc>
        <w:tc>
          <w:tcPr>
            <w:tcW w:w="1629" w:type="dxa"/>
            <w:tcBorders>
              <w:top w:val="nil"/>
              <w:left w:val="nil"/>
              <w:bottom w:val="nil"/>
              <w:right w:val="nil"/>
            </w:tcBorders>
            <w:shd w:val="clear" w:color="auto" w:fill="auto"/>
            <w:noWrap/>
            <w:vAlign w:val="bottom"/>
            <w:hideMark/>
          </w:tcPr>
          <w:p w14:paraId="1248464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59.1 (2.9)</w:t>
            </w:r>
          </w:p>
        </w:tc>
      </w:tr>
      <w:tr w:rsidR="00880D6D" w:rsidRPr="008D6122" w14:paraId="3A64FDA1" w14:textId="77777777" w:rsidTr="00276638">
        <w:trPr>
          <w:trHeight w:val="240"/>
        </w:trPr>
        <w:tc>
          <w:tcPr>
            <w:tcW w:w="3544" w:type="dxa"/>
            <w:tcBorders>
              <w:top w:val="nil"/>
              <w:left w:val="nil"/>
              <w:bottom w:val="nil"/>
              <w:right w:val="nil"/>
            </w:tcBorders>
            <w:shd w:val="clear" w:color="auto" w:fill="auto"/>
            <w:noWrap/>
            <w:vAlign w:val="center"/>
            <w:hideMark/>
          </w:tcPr>
          <w:p w14:paraId="38A398E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Self-reported height (cm)*</w:t>
            </w:r>
          </w:p>
        </w:tc>
        <w:tc>
          <w:tcPr>
            <w:tcW w:w="1559" w:type="dxa"/>
            <w:tcBorders>
              <w:top w:val="nil"/>
              <w:left w:val="nil"/>
              <w:bottom w:val="nil"/>
              <w:right w:val="nil"/>
            </w:tcBorders>
            <w:shd w:val="clear" w:color="auto" w:fill="auto"/>
            <w:noWrap/>
            <w:vAlign w:val="bottom"/>
            <w:hideMark/>
          </w:tcPr>
          <w:p w14:paraId="772EC71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161.7 (6.8)</w:t>
            </w:r>
          </w:p>
        </w:tc>
        <w:tc>
          <w:tcPr>
            <w:tcW w:w="1701" w:type="dxa"/>
            <w:tcBorders>
              <w:top w:val="nil"/>
              <w:left w:val="nil"/>
              <w:bottom w:val="nil"/>
              <w:right w:val="nil"/>
            </w:tcBorders>
            <w:shd w:val="clear" w:color="auto" w:fill="auto"/>
            <w:noWrap/>
            <w:vAlign w:val="bottom"/>
            <w:hideMark/>
          </w:tcPr>
          <w:p w14:paraId="5898950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163.0 (6.3)</w:t>
            </w:r>
          </w:p>
        </w:tc>
        <w:tc>
          <w:tcPr>
            <w:tcW w:w="1560" w:type="dxa"/>
            <w:tcBorders>
              <w:top w:val="nil"/>
              <w:left w:val="nil"/>
              <w:bottom w:val="nil"/>
              <w:right w:val="nil"/>
            </w:tcBorders>
            <w:shd w:val="clear" w:color="auto" w:fill="auto"/>
            <w:noWrap/>
            <w:vAlign w:val="bottom"/>
            <w:hideMark/>
          </w:tcPr>
          <w:p w14:paraId="7099CEB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160.3 (6.5)</w:t>
            </w:r>
          </w:p>
        </w:tc>
        <w:tc>
          <w:tcPr>
            <w:tcW w:w="1629" w:type="dxa"/>
            <w:tcBorders>
              <w:top w:val="nil"/>
              <w:left w:val="nil"/>
              <w:bottom w:val="nil"/>
              <w:right w:val="nil"/>
            </w:tcBorders>
            <w:shd w:val="clear" w:color="auto" w:fill="auto"/>
            <w:noWrap/>
            <w:vAlign w:val="bottom"/>
            <w:hideMark/>
          </w:tcPr>
          <w:p w14:paraId="579CEE0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163.7 (6.0)</w:t>
            </w:r>
          </w:p>
        </w:tc>
      </w:tr>
      <w:tr w:rsidR="00880D6D" w:rsidRPr="008D6122" w14:paraId="2808FA36" w14:textId="77777777" w:rsidTr="00276638">
        <w:trPr>
          <w:trHeight w:val="240"/>
        </w:trPr>
        <w:tc>
          <w:tcPr>
            <w:tcW w:w="3544" w:type="dxa"/>
            <w:tcBorders>
              <w:top w:val="nil"/>
              <w:left w:val="nil"/>
              <w:bottom w:val="nil"/>
              <w:right w:val="nil"/>
            </w:tcBorders>
            <w:shd w:val="clear" w:color="auto" w:fill="auto"/>
            <w:noWrap/>
            <w:vAlign w:val="center"/>
            <w:hideMark/>
          </w:tcPr>
          <w:p w14:paraId="4F62D6F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Self-reported weight (kg)*</w:t>
            </w:r>
          </w:p>
        </w:tc>
        <w:tc>
          <w:tcPr>
            <w:tcW w:w="1559" w:type="dxa"/>
            <w:tcBorders>
              <w:top w:val="nil"/>
              <w:left w:val="nil"/>
              <w:bottom w:val="nil"/>
              <w:right w:val="nil"/>
            </w:tcBorders>
            <w:shd w:val="clear" w:color="auto" w:fill="auto"/>
            <w:noWrap/>
            <w:vAlign w:val="bottom"/>
            <w:hideMark/>
          </w:tcPr>
          <w:p w14:paraId="1DDD948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64.8 (10.9)</w:t>
            </w:r>
          </w:p>
        </w:tc>
        <w:tc>
          <w:tcPr>
            <w:tcW w:w="1701" w:type="dxa"/>
            <w:tcBorders>
              <w:top w:val="nil"/>
              <w:left w:val="nil"/>
              <w:bottom w:val="nil"/>
              <w:right w:val="nil"/>
            </w:tcBorders>
            <w:shd w:val="clear" w:color="auto" w:fill="auto"/>
            <w:noWrap/>
            <w:vAlign w:val="bottom"/>
            <w:hideMark/>
          </w:tcPr>
          <w:p w14:paraId="5897CDD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70.0 (12.7)</w:t>
            </w:r>
          </w:p>
        </w:tc>
        <w:tc>
          <w:tcPr>
            <w:tcW w:w="1560" w:type="dxa"/>
            <w:tcBorders>
              <w:top w:val="nil"/>
              <w:left w:val="nil"/>
              <w:bottom w:val="nil"/>
              <w:right w:val="nil"/>
            </w:tcBorders>
            <w:shd w:val="clear" w:color="auto" w:fill="auto"/>
            <w:noWrap/>
            <w:vAlign w:val="bottom"/>
            <w:hideMark/>
          </w:tcPr>
          <w:p w14:paraId="52C19AC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68.4 (13.2)</w:t>
            </w:r>
          </w:p>
        </w:tc>
        <w:tc>
          <w:tcPr>
            <w:tcW w:w="1629" w:type="dxa"/>
            <w:tcBorders>
              <w:top w:val="nil"/>
              <w:left w:val="nil"/>
              <w:bottom w:val="nil"/>
              <w:right w:val="nil"/>
            </w:tcBorders>
            <w:shd w:val="clear" w:color="auto" w:fill="auto"/>
            <w:noWrap/>
            <w:vAlign w:val="bottom"/>
            <w:hideMark/>
          </w:tcPr>
          <w:p w14:paraId="685BE26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69.0 (13.0)</w:t>
            </w:r>
          </w:p>
        </w:tc>
      </w:tr>
      <w:tr w:rsidR="00880D6D" w:rsidRPr="008D6122" w14:paraId="52555159" w14:textId="77777777" w:rsidTr="00276638">
        <w:trPr>
          <w:trHeight w:val="240"/>
        </w:trPr>
        <w:tc>
          <w:tcPr>
            <w:tcW w:w="3544" w:type="dxa"/>
            <w:tcBorders>
              <w:top w:val="nil"/>
              <w:left w:val="nil"/>
              <w:bottom w:val="nil"/>
              <w:right w:val="nil"/>
            </w:tcBorders>
            <w:shd w:val="clear" w:color="auto" w:fill="auto"/>
            <w:noWrap/>
            <w:vAlign w:val="center"/>
            <w:hideMark/>
          </w:tcPr>
          <w:p w14:paraId="7B73A1F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BMI(kg/m</w:t>
            </w:r>
            <w:r w:rsidRPr="009A499C">
              <w:rPr>
                <w:rFonts w:ascii="Times New Roman" w:hAnsi="Times New Roman"/>
                <w:color w:val="000000"/>
                <w:sz w:val="20"/>
                <w:szCs w:val="20"/>
                <w:vertAlign w:val="superscript"/>
              </w:rPr>
              <w:t>2</w:t>
            </w:r>
            <w:r w:rsidRPr="009A499C">
              <w:rPr>
                <w:rFonts w:ascii="Times New Roman" w:hAnsi="Times New Roman"/>
                <w:color w:val="000000"/>
                <w:sz w:val="20"/>
                <w:szCs w:val="20"/>
              </w:rPr>
              <w:t>)*</w:t>
            </w:r>
          </w:p>
        </w:tc>
        <w:tc>
          <w:tcPr>
            <w:tcW w:w="1559" w:type="dxa"/>
            <w:tcBorders>
              <w:top w:val="nil"/>
              <w:left w:val="nil"/>
              <w:bottom w:val="nil"/>
              <w:right w:val="nil"/>
            </w:tcBorders>
            <w:shd w:val="clear" w:color="auto" w:fill="auto"/>
            <w:noWrap/>
            <w:vAlign w:val="bottom"/>
            <w:hideMark/>
          </w:tcPr>
          <w:p w14:paraId="1E194AF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24.8 (4.0)</w:t>
            </w:r>
          </w:p>
        </w:tc>
        <w:tc>
          <w:tcPr>
            <w:tcW w:w="1701" w:type="dxa"/>
            <w:tcBorders>
              <w:top w:val="nil"/>
              <w:left w:val="nil"/>
              <w:bottom w:val="nil"/>
              <w:right w:val="nil"/>
            </w:tcBorders>
            <w:shd w:val="clear" w:color="auto" w:fill="auto"/>
            <w:noWrap/>
            <w:vAlign w:val="bottom"/>
            <w:hideMark/>
          </w:tcPr>
          <w:p w14:paraId="4B5E7FA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26.4 (4.6)</w:t>
            </w:r>
          </w:p>
        </w:tc>
        <w:tc>
          <w:tcPr>
            <w:tcW w:w="1560" w:type="dxa"/>
            <w:tcBorders>
              <w:top w:val="nil"/>
              <w:left w:val="nil"/>
              <w:bottom w:val="nil"/>
              <w:right w:val="nil"/>
            </w:tcBorders>
            <w:shd w:val="clear" w:color="auto" w:fill="auto"/>
            <w:noWrap/>
            <w:vAlign w:val="bottom"/>
            <w:hideMark/>
          </w:tcPr>
          <w:p w14:paraId="03554A2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26.6 (5.0)</w:t>
            </w:r>
          </w:p>
        </w:tc>
        <w:tc>
          <w:tcPr>
            <w:tcW w:w="1629" w:type="dxa"/>
            <w:tcBorders>
              <w:top w:val="nil"/>
              <w:left w:val="nil"/>
              <w:bottom w:val="nil"/>
              <w:right w:val="nil"/>
            </w:tcBorders>
            <w:shd w:val="clear" w:color="auto" w:fill="auto"/>
            <w:noWrap/>
            <w:vAlign w:val="bottom"/>
            <w:hideMark/>
          </w:tcPr>
          <w:p w14:paraId="7A09502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25.7 (4.7)</w:t>
            </w:r>
          </w:p>
        </w:tc>
      </w:tr>
      <w:tr w:rsidR="00880D6D" w:rsidRPr="008D6122" w14:paraId="4FDE011A" w14:textId="77777777" w:rsidTr="00276638">
        <w:trPr>
          <w:trHeight w:val="240"/>
        </w:trPr>
        <w:tc>
          <w:tcPr>
            <w:tcW w:w="3544" w:type="dxa"/>
            <w:tcBorders>
              <w:top w:val="nil"/>
              <w:left w:val="nil"/>
              <w:bottom w:val="nil"/>
              <w:right w:val="nil"/>
            </w:tcBorders>
            <w:shd w:val="clear" w:color="auto" w:fill="auto"/>
            <w:noWrap/>
            <w:vAlign w:val="bottom"/>
            <w:hideMark/>
          </w:tcPr>
          <w:p w14:paraId="2E1E981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Self-perceived fracture risk</w:t>
            </w:r>
          </w:p>
        </w:tc>
        <w:tc>
          <w:tcPr>
            <w:tcW w:w="1559" w:type="dxa"/>
            <w:tcBorders>
              <w:top w:val="nil"/>
              <w:left w:val="nil"/>
              <w:bottom w:val="nil"/>
              <w:right w:val="nil"/>
            </w:tcBorders>
            <w:shd w:val="clear" w:color="auto" w:fill="auto"/>
            <w:vAlign w:val="bottom"/>
            <w:hideMark/>
          </w:tcPr>
          <w:p w14:paraId="66BCFB73"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vAlign w:val="bottom"/>
            <w:hideMark/>
          </w:tcPr>
          <w:p w14:paraId="7B074FDA"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vAlign w:val="bottom"/>
            <w:hideMark/>
          </w:tcPr>
          <w:p w14:paraId="628F5FAB"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31561E87"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2B7C7523" w14:textId="77777777" w:rsidTr="00276638">
        <w:trPr>
          <w:trHeight w:val="240"/>
        </w:trPr>
        <w:tc>
          <w:tcPr>
            <w:tcW w:w="3544" w:type="dxa"/>
            <w:tcBorders>
              <w:top w:val="nil"/>
              <w:left w:val="nil"/>
              <w:bottom w:val="nil"/>
              <w:right w:val="nil"/>
            </w:tcBorders>
            <w:shd w:val="clear" w:color="auto" w:fill="auto"/>
            <w:noWrap/>
            <w:vAlign w:val="bottom"/>
            <w:hideMark/>
          </w:tcPr>
          <w:p w14:paraId="12DD170B"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Lower</w:t>
            </w:r>
          </w:p>
        </w:tc>
        <w:tc>
          <w:tcPr>
            <w:tcW w:w="1559" w:type="dxa"/>
            <w:tcBorders>
              <w:top w:val="nil"/>
              <w:left w:val="nil"/>
              <w:bottom w:val="nil"/>
              <w:right w:val="nil"/>
            </w:tcBorders>
            <w:shd w:val="clear" w:color="auto" w:fill="auto"/>
            <w:noWrap/>
            <w:vAlign w:val="bottom"/>
            <w:hideMark/>
          </w:tcPr>
          <w:p w14:paraId="46C9B73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96 (19.6%)</w:t>
            </w:r>
          </w:p>
        </w:tc>
        <w:tc>
          <w:tcPr>
            <w:tcW w:w="1701" w:type="dxa"/>
            <w:tcBorders>
              <w:top w:val="nil"/>
              <w:left w:val="nil"/>
              <w:bottom w:val="nil"/>
              <w:right w:val="nil"/>
            </w:tcBorders>
            <w:shd w:val="clear" w:color="auto" w:fill="auto"/>
            <w:noWrap/>
            <w:vAlign w:val="bottom"/>
            <w:hideMark/>
          </w:tcPr>
          <w:p w14:paraId="4387B2D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284 (31.4%)</w:t>
            </w:r>
          </w:p>
        </w:tc>
        <w:tc>
          <w:tcPr>
            <w:tcW w:w="1560" w:type="dxa"/>
            <w:tcBorders>
              <w:top w:val="nil"/>
              <w:left w:val="nil"/>
              <w:bottom w:val="nil"/>
              <w:right w:val="nil"/>
            </w:tcBorders>
            <w:shd w:val="clear" w:color="auto" w:fill="auto"/>
            <w:noWrap/>
            <w:vAlign w:val="bottom"/>
            <w:hideMark/>
          </w:tcPr>
          <w:p w14:paraId="47E4E2D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217 (29.7%)</w:t>
            </w:r>
          </w:p>
        </w:tc>
        <w:tc>
          <w:tcPr>
            <w:tcW w:w="1629" w:type="dxa"/>
            <w:tcBorders>
              <w:top w:val="nil"/>
              <w:left w:val="nil"/>
              <w:bottom w:val="nil"/>
              <w:right w:val="nil"/>
            </w:tcBorders>
            <w:shd w:val="clear" w:color="auto" w:fill="auto"/>
            <w:noWrap/>
            <w:vAlign w:val="bottom"/>
            <w:hideMark/>
          </w:tcPr>
          <w:p w14:paraId="32DEE17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149 (32.5%)</w:t>
            </w:r>
          </w:p>
        </w:tc>
      </w:tr>
      <w:tr w:rsidR="00880D6D" w:rsidRPr="008D6122" w14:paraId="1B377296" w14:textId="77777777" w:rsidTr="00276638">
        <w:trPr>
          <w:trHeight w:val="240"/>
        </w:trPr>
        <w:tc>
          <w:tcPr>
            <w:tcW w:w="3544" w:type="dxa"/>
            <w:tcBorders>
              <w:top w:val="nil"/>
              <w:left w:val="nil"/>
              <w:bottom w:val="nil"/>
              <w:right w:val="nil"/>
            </w:tcBorders>
            <w:shd w:val="clear" w:color="auto" w:fill="auto"/>
            <w:noWrap/>
            <w:vAlign w:val="bottom"/>
            <w:hideMark/>
          </w:tcPr>
          <w:p w14:paraId="60A69090"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Similar</w:t>
            </w:r>
          </w:p>
        </w:tc>
        <w:tc>
          <w:tcPr>
            <w:tcW w:w="1559" w:type="dxa"/>
            <w:tcBorders>
              <w:top w:val="nil"/>
              <w:left w:val="nil"/>
              <w:bottom w:val="nil"/>
              <w:right w:val="nil"/>
            </w:tcBorders>
            <w:shd w:val="clear" w:color="auto" w:fill="auto"/>
            <w:noWrap/>
            <w:vAlign w:val="bottom"/>
            <w:hideMark/>
          </w:tcPr>
          <w:p w14:paraId="7104BDC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232 (47.4%)</w:t>
            </w:r>
          </w:p>
        </w:tc>
        <w:tc>
          <w:tcPr>
            <w:tcW w:w="1701" w:type="dxa"/>
            <w:tcBorders>
              <w:top w:val="nil"/>
              <w:left w:val="nil"/>
              <w:bottom w:val="nil"/>
              <w:right w:val="nil"/>
            </w:tcBorders>
            <w:shd w:val="clear" w:color="auto" w:fill="auto"/>
            <w:noWrap/>
            <w:vAlign w:val="bottom"/>
            <w:hideMark/>
          </w:tcPr>
          <w:p w14:paraId="5DF1507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538 (59.5%)</w:t>
            </w:r>
          </w:p>
        </w:tc>
        <w:tc>
          <w:tcPr>
            <w:tcW w:w="1560" w:type="dxa"/>
            <w:tcBorders>
              <w:top w:val="nil"/>
              <w:left w:val="nil"/>
              <w:bottom w:val="nil"/>
              <w:right w:val="nil"/>
            </w:tcBorders>
            <w:shd w:val="clear" w:color="auto" w:fill="auto"/>
            <w:noWrap/>
            <w:vAlign w:val="bottom"/>
            <w:hideMark/>
          </w:tcPr>
          <w:p w14:paraId="0DA9931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431 (59.0%)</w:t>
            </w:r>
          </w:p>
        </w:tc>
        <w:tc>
          <w:tcPr>
            <w:tcW w:w="1629" w:type="dxa"/>
            <w:tcBorders>
              <w:top w:val="nil"/>
              <w:left w:val="nil"/>
              <w:bottom w:val="nil"/>
              <w:right w:val="nil"/>
            </w:tcBorders>
            <w:shd w:val="clear" w:color="auto" w:fill="auto"/>
            <w:noWrap/>
            <w:vAlign w:val="bottom"/>
            <w:hideMark/>
          </w:tcPr>
          <w:p w14:paraId="3D7DB93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276 (60.1%)</w:t>
            </w:r>
          </w:p>
        </w:tc>
      </w:tr>
      <w:tr w:rsidR="00880D6D" w:rsidRPr="008D6122" w14:paraId="54987699" w14:textId="77777777" w:rsidTr="00276638">
        <w:trPr>
          <w:trHeight w:val="240"/>
        </w:trPr>
        <w:tc>
          <w:tcPr>
            <w:tcW w:w="3544" w:type="dxa"/>
            <w:tcBorders>
              <w:top w:val="nil"/>
              <w:left w:val="nil"/>
              <w:bottom w:val="nil"/>
              <w:right w:val="nil"/>
            </w:tcBorders>
            <w:shd w:val="clear" w:color="auto" w:fill="auto"/>
            <w:noWrap/>
            <w:vAlign w:val="bottom"/>
            <w:hideMark/>
          </w:tcPr>
          <w:p w14:paraId="3933A4C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Higher</w:t>
            </w:r>
          </w:p>
        </w:tc>
        <w:tc>
          <w:tcPr>
            <w:tcW w:w="1559" w:type="dxa"/>
            <w:tcBorders>
              <w:top w:val="nil"/>
              <w:left w:val="nil"/>
              <w:bottom w:val="nil"/>
              <w:right w:val="nil"/>
            </w:tcBorders>
            <w:shd w:val="clear" w:color="auto" w:fill="auto"/>
            <w:noWrap/>
            <w:vAlign w:val="bottom"/>
            <w:hideMark/>
          </w:tcPr>
          <w:p w14:paraId="0D4560A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161 (32.9%)</w:t>
            </w:r>
          </w:p>
        </w:tc>
        <w:tc>
          <w:tcPr>
            <w:tcW w:w="1701" w:type="dxa"/>
            <w:tcBorders>
              <w:top w:val="nil"/>
              <w:left w:val="nil"/>
              <w:bottom w:val="nil"/>
              <w:right w:val="nil"/>
            </w:tcBorders>
            <w:shd w:val="clear" w:color="auto" w:fill="auto"/>
            <w:noWrap/>
            <w:vAlign w:val="bottom"/>
            <w:hideMark/>
          </w:tcPr>
          <w:p w14:paraId="3999B1E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82 (9.1%)</w:t>
            </w:r>
          </w:p>
        </w:tc>
        <w:tc>
          <w:tcPr>
            <w:tcW w:w="1560" w:type="dxa"/>
            <w:tcBorders>
              <w:top w:val="nil"/>
              <w:left w:val="nil"/>
              <w:bottom w:val="nil"/>
              <w:right w:val="nil"/>
            </w:tcBorders>
            <w:shd w:val="clear" w:color="auto" w:fill="auto"/>
            <w:noWrap/>
            <w:vAlign w:val="bottom"/>
            <w:hideMark/>
          </w:tcPr>
          <w:p w14:paraId="584A861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82 (11.2%)</w:t>
            </w:r>
          </w:p>
        </w:tc>
        <w:tc>
          <w:tcPr>
            <w:tcW w:w="1629" w:type="dxa"/>
            <w:tcBorders>
              <w:top w:val="nil"/>
              <w:left w:val="nil"/>
              <w:bottom w:val="nil"/>
              <w:right w:val="nil"/>
            </w:tcBorders>
            <w:shd w:val="clear" w:color="auto" w:fill="auto"/>
            <w:noWrap/>
            <w:vAlign w:val="bottom"/>
            <w:hideMark/>
          </w:tcPr>
          <w:p w14:paraId="3E08044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34 (7.4%)</w:t>
            </w:r>
          </w:p>
        </w:tc>
      </w:tr>
      <w:tr w:rsidR="00880D6D" w:rsidRPr="008D6122" w14:paraId="647413B9" w14:textId="77777777" w:rsidTr="00276638">
        <w:trPr>
          <w:trHeight w:val="240"/>
        </w:trPr>
        <w:tc>
          <w:tcPr>
            <w:tcW w:w="3544" w:type="dxa"/>
            <w:tcBorders>
              <w:top w:val="nil"/>
              <w:left w:val="nil"/>
              <w:bottom w:val="nil"/>
              <w:right w:val="nil"/>
            </w:tcBorders>
            <w:shd w:val="clear" w:color="auto" w:fill="auto"/>
            <w:noWrap/>
            <w:vAlign w:val="bottom"/>
            <w:hideMark/>
          </w:tcPr>
          <w:p w14:paraId="780AB9E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Current smoker</w:t>
            </w:r>
          </w:p>
        </w:tc>
        <w:tc>
          <w:tcPr>
            <w:tcW w:w="1559" w:type="dxa"/>
            <w:tcBorders>
              <w:top w:val="nil"/>
              <w:left w:val="nil"/>
              <w:bottom w:val="nil"/>
              <w:right w:val="nil"/>
            </w:tcBorders>
            <w:shd w:val="clear" w:color="auto" w:fill="auto"/>
            <w:noWrap/>
            <w:vAlign w:val="bottom"/>
            <w:hideMark/>
          </w:tcPr>
          <w:p w14:paraId="4E89AE9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22 (4.5%)</w:t>
            </w:r>
          </w:p>
        </w:tc>
        <w:tc>
          <w:tcPr>
            <w:tcW w:w="1701" w:type="dxa"/>
            <w:tcBorders>
              <w:top w:val="nil"/>
              <w:left w:val="nil"/>
              <w:bottom w:val="nil"/>
              <w:right w:val="nil"/>
            </w:tcBorders>
            <w:shd w:val="clear" w:color="auto" w:fill="auto"/>
            <w:noWrap/>
            <w:vAlign w:val="bottom"/>
            <w:hideMark/>
          </w:tcPr>
          <w:p w14:paraId="12FC16E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59 (6.5%)</w:t>
            </w:r>
          </w:p>
        </w:tc>
        <w:tc>
          <w:tcPr>
            <w:tcW w:w="1560" w:type="dxa"/>
            <w:tcBorders>
              <w:top w:val="nil"/>
              <w:left w:val="nil"/>
              <w:bottom w:val="nil"/>
              <w:right w:val="nil"/>
            </w:tcBorders>
            <w:shd w:val="clear" w:color="auto" w:fill="auto"/>
            <w:noWrap/>
            <w:vAlign w:val="bottom"/>
            <w:hideMark/>
          </w:tcPr>
          <w:p w14:paraId="6C073DE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41 (5.6%)</w:t>
            </w:r>
          </w:p>
        </w:tc>
        <w:tc>
          <w:tcPr>
            <w:tcW w:w="1629" w:type="dxa"/>
            <w:tcBorders>
              <w:top w:val="nil"/>
              <w:left w:val="nil"/>
              <w:bottom w:val="nil"/>
              <w:right w:val="nil"/>
            </w:tcBorders>
            <w:shd w:val="clear" w:color="auto" w:fill="auto"/>
            <w:noWrap/>
            <w:vAlign w:val="bottom"/>
            <w:hideMark/>
          </w:tcPr>
          <w:p w14:paraId="6CDFE57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27 (5.9%)</w:t>
            </w:r>
          </w:p>
        </w:tc>
      </w:tr>
      <w:tr w:rsidR="00880D6D" w:rsidRPr="008D6122" w14:paraId="75ABC71C" w14:textId="77777777" w:rsidTr="00276638">
        <w:trPr>
          <w:trHeight w:val="240"/>
        </w:trPr>
        <w:tc>
          <w:tcPr>
            <w:tcW w:w="3544" w:type="dxa"/>
            <w:tcBorders>
              <w:top w:val="nil"/>
              <w:left w:val="nil"/>
              <w:bottom w:val="nil"/>
              <w:right w:val="nil"/>
            </w:tcBorders>
            <w:shd w:val="clear" w:color="auto" w:fill="auto"/>
            <w:noWrap/>
            <w:vAlign w:val="bottom"/>
            <w:hideMark/>
          </w:tcPr>
          <w:p w14:paraId="5425914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Alcohol consumption</w:t>
            </w:r>
          </w:p>
        </w:tc>
        <w:tc>
          <w:tcPr>
            <w:tcW w:w="1559" w:type="dxa"/>
            <w:tcBorders>
              <w:top w:val="nil"/>
              <w:left w:val="nil"/>
              <w:bottom w:val="nil"/>
              <w:right w:val="nil"/>
            </w:tcBorders>
            <w:shd w:val="clear" w:color="auto" w:fill="auto"/>
            <w:noWrap/>
            <w:vAlign w:val="bottom"/>
            <w:hideMark/>
          </w:tcPr>
          <w:p w14:paraId="404307F1"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66947666"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688F1CB1"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554C92E2"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389A6ACF" w14:textId="77777777" w:rsidTr="00276638">
        <w:trPr>
          <w:trHeight w:val="240"/>
        </w:trPr>
        <w:tc>
          <w:tcPr>
            <w:tcW w:w="3544" w:type="dxa"/>
            <w:tcBorders>
              <w:top w:val="nil"/>
              <w:left w:val="nil"/>
              <w:bottom w:val="nil"/>
              <w:right w:val="nil"/>
            </w:tcBorders>
            <w:shd w:val="clear" w:color="auto" w:fill="auto"/>
            <w:noWrap/>
            <w:vAlign w:val="bottom"/>
            <w:hideMark/>
          </w:tcPr>
          <w:p w14:paraId="5A02634C"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None</w:t>
            </w:r>
          </w:p>
        </w:tc>
        <w:tc>
          <w:tcPr>
            <w:tcW w:w="1559" w:type="dxa"/>
            <w:tcBorders>
              <w:top w:val="nil"/>
              <w:left w:val="nil"/>
              <w:bottom w:val="nil"/>
              <w:right w:val="nil"/>
            </w:tcBorders>
            <w:shd w:val="clear" w:color="auto" w:fill="auto"/>
            <w:noWrap/>
            <w:vAlign w:val="bottom"/>
            <w:hideMark/>
          </w:tcPr>
          <w:p w14:paraId="28A84AA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131 (26.8%)</w:t>
            </w:r>
          </w:p>
        </w:tc>
        <w:tc>
          <w:tcPr>
            <w:tcW w:w="1701" w:type="dxa"/>
            <w:tcBorders>
              <w:top w:val="nil"/>
              <w:left w:val="nil"/>
              <w:bottom w:val="nil"/>
              <w:right w:val="nil"/>
            </w:tcBorders>
            <w:shd w:val="clear" w:color="auto" w:fill="auto"/>
            <w:noWrap/>
            <w:vAlign w:val="bottom"/>
            <w:hideMark/>
          </w:tcPr>
          <w:p w14:paraId="5B43CB2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212 (23.5%)</w:t>
            </w:r>
          </w:p>
        </w:tc>
        <w:tc>
          <w:tcPr>
            <w:tcW w:w="1560" w:type="dxa"/>
            <w:tcBorders>
              <w:top w:val="nil"/>
              <w:left w:val="nil"/>
              <w:bottom w:val="nil"/>
              <w:right w:val="nil"/>
            </w:tcBorders>
            <w:shd w:val="clear" w:color="auto" w:fill="auto"/>
            <w:noWrap/>
            <w:vAlign w:val="bottom"/>
            <w:hideMark/>
          </w:tcPr>
          <w:p w14:paraId="52D611C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322 (44.1%)</w:t>
            </w:r>
          </w:p>
        </w:tc>
        <w:tc>
          <w:tcPr>
            <w:tcW w:w="1629" w:type="dxa"/>
            <w:tcBorders>
              <w:top w:val="nil"/>
              <w:left w:val="nil"/>
              <w:bottom w:val="nil"/>
              <w:right w:val="nil"/>
            </w:tcBorders>
            <w:shd w:val="clear" w:color="auto" w:fill="auto"/>
            <w:noWrap/>
            <w:vAlign w:val="bottom"/>
            <w:hideMark/>
          </w:tcPr>
          <w:p w14:paraId="7975D5D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84 (18.3%)</w:t>
            </w:r>
          </w:p>
        </w:tc>
      </w:tr>
      <w:tr w:rsidR="00880D6D" w:rsidRPr="008D6122" w14:paraId="2BEC7BE6" w14:textId="77777777" w:rsidTr="00276638">
        <w:trPr>
          <w:trHeight w:val="240"/>
        </w:trPr>
        <w:tc>
          <w:tcPr>
            <w:tcW w:w="3544" w:type="dxa"/>
            <w:tcBorders>
              <w:top w:val="nil"/>
              <w:left w:val="nil"/>
              <w:bottom w:val="nil"/>
              <w:right w:val="nil"/>
            </w:tcBorders>
            <w:shd w:val="clear" w:color="auto" w:fill="auto"/>
            <w:noWrap/>
            <w:vAlign w:val="bottom"/>
            <w:hideMark/>
          </w:tcPr>
          <w:p w14:paraId="170053DB"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1-6</w:t>
            </w:r>
          </w:p>
        </w:tc>
        <w:tc>
          <w:tcPr>
            <w:tcW w:w="1559" w:type="dxa"/>
            <w:tcBorders>
              <w:top w:val="nil"/>
              <w:left w:val="nil"/>
              <w:bottom w:val="nil"/>
              <w:right w:val="nil"/>
            </w:tcBorders>
            <w:shd w:val="clear" w:color="auto" w:fill="auto"/>
            <w:noWrap/>
            <w:vAlign w:val="bottom"/>
            <w:hideMark/>
          </w:tcPr>
          <w:p w14:paraId="029DA51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197 (40.3%)</w:t>
            </w:r>
          </w:p>
        </w:tc>
        <w:tc>
          <w:tcPr>
            <w:tcW w:w="1701" w:type="dxa"/>
            <w:tcBorders>
              <w:top w:val="nil"/>
              <w:left w:val="nil"/>
              <w:bottom w:val="nil"/>
              <w:right w:val="nil"/>
            </w:tcBorders>
            <w:shd w:val="clear" w:color="auto" w:fill="auto"/>
            <w:noWrap/>
            <w:vAlign w:val="bottom"/>
            <w:hideMark/>
          </w:tcPr>
          <w:p w14:paraId="74D252F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410 (45.4%)</w:t>
            </w:r>
          </w:p>
        </w:tc>
        <w:tc>
          <w:tcPr>
            <w:tcW w:w="1560" w:type="dxa"/>
            <w:tcBorders>
              <w:top w:val="nil"/>
              <w:left w:val="nil"/>
              <w:bottom w:val="nil"/>
              <w:right w:val="nil"/>
            </w:tcBorders>
            <w:shd w:val="clear" w:color="auto" w:fill="auto"/>
            <w:noWrap/>
            <w:vAlign w:val="bottom"/>
            <w:hideMark/>
          </w:tcPr>
          <w:p w14:paraId="43C5CD1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285 (39.0%)</w:t>
            </w:r>
          </w:p>
        </w:tc>
        <w:tc>
          <w:tcPr>
            <w:tcW w:w="1629" w:type="dxa"/>
            <w:tcBorders>
              <w:top w:val="nil"/>
              <w:left w:val="nil"/>
              <w:bottom w:val="nil"/>
              <w:right w:val="nil"/>
            </w:tcBorders>
            <w:shd w:val="clear" w:color="auto" w:fill="auto"/>
            <w:noWrap/>
            <w:vAlign w:val="bottom"/>
            <w:hideMark/>
          </w:tcPr>
          <w:p w14:paraId="165A940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195 (42.5%)</w:t>
            </w:r>
          </w:p>
        </w:tc>
      </w:tr>
      <w:tr w:rsidR="00880D6D" w:rsidRPr="008D6122" w14:paraId="3F281C46" w14:textId="77777777" w:rsidTr="00276638">
        <w:trPr>
          <w:trHeight w:val="240"/>
        </w:trPr>
        <w:tc>
          <w:tcPr>
            <w:tcW w:w="3544" w:type="dxa"/>
            <w:tcBorders>
              <w:top w:val="nil"/>
              <w:left w:val="nil"/>
              <w:bottom w:val="nil"/>
              <w:right w:val="nil"/>
            </w:tcBorders>
            <w:shd w:val="clear" w:color="auto" w:fill="auto"/>
            <w:noWrap/>
            <w:vAlign w:val="bottom"/>
            <w:hideMark/>
          </w:tcPr>
          <w:p w14:paraId="2A59ED5D"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7-13</w:t>
            </w:r>
          </w:p>
        </w:tc>
        <w:tc>
          <w:tcPr>
            <w:tcW w:w="1559" w:type="dxa"/>
            <w:tcBorders>
              <w:top w:val="nil"/>
              <w:left w:val="nil"/>
              <w:bottom w:val="nil"/>
              <w:right w:val="nil"/>
            </w:tcBorders>
            <w:shd w:val="clear" w:color="auto" w:fill="auto"/>
            <w:noWrap/>
            <w:vAlign w:val="bottom"/>
            <w:hideMark/>
          </w:tcPr>
          <w:p w14:paraId="56F3D53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129 (26.4%)</w:t>
            </w:r>
          </w:p>
        </w:tc>
        <w:tc>
          <w:tcPr>
            <w:tcW w:w="1701" w:type="dxa"/>
            <w:tcBorders>
              <w:top w:val="nil"/>
              <w:left w:val="nil"/>
              <w:bottom w:val="nil"/>
              <w:right w:val="nil"/>
            </w:tcBorders>
            <w:shd w:val="clear" w:color="auto" w:fill="auto"/>
            <w:noWrap/>
            <w:vAlign w:val="bottom"/>
            <w:hideMark/>
          </w:tcPr>
          <w:p w14:paraId="63475CF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205 (22.7%)</w:t>
            </w:r>
          </w:p>
        </w:tc>
        <w:tc>
          <w:tcPr>
            <w:tcW w:w="1560" w:type="dxa"/>
            <w:tcBorders>
              <w:top w:val="nil"/>
              <w:left w:val="nil"/>
              <w:bottom w:val="nil"/>
              <w:right w:val="nil"/>
            </w:tcBorders>
            <w:shd w:val="clear" w:color="auto" w:fill="auto"/>
            <w:noWrap/>
            <w:vAlign w:val="bottom"/>
            <w:hideMark/>
          </w:tcPr>
          <w:p w14:paraId="43C5921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96 (13.2%)</w:t>
            </w:r>
          </w:p>
        </w:tc>
        <w:tc>
          <w:tcPr>
            <w:tcW w:w="1629" w:type="dxa"/>
            <w:tcBorders>
              <w:top w:val="nil"/>
              <w:left w:val="nil"/>
              <w:bottom w:val="nil"/>
              <w:right w:val="nil"/>
            </w:tcBorders>
            <w:shd w:val="clear" w:color="auto" w:fill="auto"/>
            <w:noWrap/>
            <w:vAlign w:val="bottom"/>
            <w:hideMark/>
          </w:tcPr>
          <w:p w14:paraId="0D81946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131 (28.5%)</w:t>
            </w:r>
          </w:p>
        </w:tc>
      </w:tr>
      <w:tr w:rsidR="00880D6D" w:rsidRPr="008D6122" w14:paraId="5183FF6A" w14:textId="77777777" w:rsidTr="00276638">
        <w:trPr>
          <w:trHeight w:val="240"/>
        </w:trPr>
        <w:tc>
          <w:tcPr>
            <w:tcW w:w="3544" w:type="dxa"/>
            <w:tcBorders>
              <w:top w:val="nil"/>
              <w:left w:val="nil"/>
              <w:bottom w:val="nil"/>
              <w:right w:val="nil"/>
            </w:tcBorders>
            <w:shd w:val="clear" w:color="auto" w:fill="auto"/>
            <w:noWrap/>
            <w:vAlign w:val="bottom"/>
            <w:hideMark/>
          </w:tcPr>
          <w:p w14:paraId="00D17AE2"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14-20</w:t>
            </w:r>
          </w:p>
        </w:tc>
        <w:tc>
          <w:tcPr>
            <w:tcW w:w="1559" w:type="dxa"/>
            <w:tcBorders>
              <w:top w:val="nil"/>
              <w:left w:val="nil"/>
              <w:bottom w:val="nil"/>
              <w:right w:val="nil"/>
            </w:tcBorders>
            <w:shd w:val="clear" w:color="auto" w:fill="auto"/>
            <w:noWrap/>
            <w:vAlign w:val="bottom"/>
            <w:hideMark/>
          </w:tcPr>
          <w:p w14:paraId="7F63CE3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30 (6.1%)</w:t>
            </w:r>
          </w:p>
        </w:tc>
        <w:tc>
          <w:tcPr>
            <w:tcW w:w="1701" w:type="dxa"/>
            <w:tcBorders>
              <w:top w:val="nil"/>
              <w:left w:val="nil"/>
              <w:bottom w:val="nil"/>
              <w:right w:val="nil"/>
            </w:tcBorders>
            <w:shd w:val="clear" w:color="auto" w:fill="auto"/>
            <w:noWrap/>
            <w:vAlign w:val="bottom"/>
            <w:hideMark/>
          </w:tcPr>
          <w:p w14:paraId="32EB3B4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66 (7.3%)</w:t>
            </w:r>
          </w:p>
        </w:tc>
        <w:tc>
          <w:tcPr>
            <w:tcW w:w="1560" w:type="dxa"/>
            <w:tcBorders>
              <w:top w:val="nil"/>
              <w:left w:val="nil"/>
              <w:bottom w:val="nil"/>
              <w:right w:val="nil"/>
            </w:tcBorders>
            <w:shd w:val="clear" w:color="auto" w:fill="auto"/>
            <w:noWrap/>
            <w:vAlign w:val="bottom"/>
            <w:hideMark/>
          </w:tcPr>
          <w:p w14:paraId="054EA8D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23 (3.2%)</w:t>
            </w:r>
          </w:p>
        </w:tc>
        <w:tc>
          <w:tcPr>
            <w:tcW w:w="1629" w:type="dxa"/>
            <w:tcBorders>
              <w:top w:val="nil"/>
              <w:left w:val="nil"/>
              <w:bottom w:val="nil"/>
              <w:right w:val="nil"/>
            </w:tcBorders>
            <w:shd w:val="clear" w:color="auto" w:fill="auto"/>
            <w:noWrap/>
            <w:vAlign w:val="bottom"/>
            <w:hideMark/>
          </w:tcPr>
          <w:p w14:paraId="35B08FA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41 (8.9%)</w:t>
            </w:r>
          </w:p>
        </w:tc>
      </w:tr>
      <w:tr w:rsidR="00880D6D" w:rsidRPr="008D6122" w14:paraId="5222FE3C" w14:textId="77777777" w:rsidTr="00276638">
        <w:trPr>
          <w:trHeight w:val="240"/>
        </w:trPr>
        <w:tc>
          <w:tcPr>
            <w:tcW w:w="3544" w:type="dxa"/>
            <w:tcBorders>
              <w:top w:val="nil"/>
              <w:left w:val="nil"/>
              <w:bottom w:val="nil"/>
              <w:right w:val="nil"/>
            </w:tcBorders>
            <w:shd w:val="clear" w:color="auto" w:fill="auto"/>
            <w:noWrap/>
            <w:vAlign w:val="bottom"/>
            <w:hideMark/>
          </w:tcPr>
          <w:p w14:paraId="4FEA681D"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&gt;20</w:t>
            </w:r>
          </w:p>
        </w:tc>
        <w:tc>
          <w:tcPr>
            <w:tcW w:w="1559" w:type="dxa"/>
            <w:tcBorders>
              <w:top w:val="nil"/>
              <w:left w:val="nil"/>
              <w:bottom w:val="nil"/>
              <w:right w:val="nil"/>
            </w:tcBorders>
            <w:shd w:val="clear" w:color="auto" w:fill="auto"/>
            <w:noWrap/>
            <w:vAlign w:val="bottom"/>
            <w:hideMark/>
          </w:tcPr>
          <w:p w14:paraId="6EA8FBD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 (0.4%)</w:t>
            </w:r>
          </w:p>
        </w:tc>
        <w:tc>
          <w:tcPr>
            <w:tcW w:w="1701" w:type="dxa"/>
            <w:tcBorders>
              <w:top w:val="nil"/>
              <w:left w:val="nil"/>
              <w:bottom w:val="nil"/>
              <w:right w:val="nil"/>
            </w:tcBorders>
            <w:shd w:val="clear" w:color="auto" w:fill="auto"/>
            <w:noWrap/>
            <w:vAlign w:val="bottom"/>
            <w:hideMark/>
          </w:tcPr>
          <w:p w14:paraId="63D383F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 (1.2%)</w:t>
            </w:r>
          </w:p>
        </w:tc>
        <w:tc>
          <w:tcPr>
            <w:tcW w:w="1560" w:type="dxa"/>
            <w:tcBorders>
              <w:top w:val="nil"/>
              <w:left w:val="nil"/>
              <w:bottom w:val="nil"/>
              <w:right w:val="nil"/>
            </w:tcBorders>
            <w:shd w:val="clear" w:color="auto" w:fill="auto"/>
            <w:noWrap/>
            <w:vAlign w:val="bottom"/>
            <w:hideMark/>
          </w:tcPr>
          <w:p w14:paraId="447A483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 (0.5%)</w:t>
            </w:r>
          </w:p>
        </w:tc>
        <w:tc>
          <w:tcPr>
            <w:tcW w:w="1629" w:type="dxa"/>
            <w:tcBorders>
              <w:top w:val="nil"/>
              <w:left w:val="nil"/>
              <w:bottom w:val="nil"/>
              <w:right w:val="nil"/>
            </w:tcBorders>
            <w:shd w:val="clear" w:color="auto" w:fill="auto"/>
            <w:noWrap/>
            <w:vAlign w:val="bottom"/>
            <w:hideMark/>
          </w:tcPr>
          <w:p w14:paraId="2231234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 (1.7%)</w:t>
            </w:r>
          </w:p>
        </w:tc>
      </w:tr>
      <w:tr w:rsidR="00880D6D" w:rsidRPr="008D6122" w14:paraId="2F57DBEE" w14:textId="77777777" w:rsidTr="00276638">
        <w:trPr>
          <w:trHeight w:val="240"/>
        </w:trPr>
        <w:tc>
          <w:tcPr>
            <w:tcW w:w="3544" w:type="dxa"/>
            <w:tcBorders>
              <w:top w:val="nil"/>
              <w:left w:val="nil"/>
              <w:bottom w:val="nil"/>
              <w:right w:val="nil"/>
            </w:tcBorders>
            <w:shd w:val="clear" w:color="auto" w:fill="auto"/>
            <w:noWrap/>
            <w:vAlign w:val="bottom"/>
            <w:hideMark/>
          </w:tcPr>
          <w:p w14:paraId="23801A6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Physically active compared to others</w:t>
            </w:r>
          </w:p>
        </w:tc>
        <w:tc>
          <w:tcPr>
            <w:tcW w:w="1559" w:type="dxa"/>
            <w:tcBorders>
              <w:top w:val="nil"/>
              <w:left w:val="nil"/>
              <w:bottom w:val="nil"/>
              <w:right w:val="nil"/>
            </w:tcBorders>
            <w:shd w:val="clear" w:color="auto" w:fill="auto"/>
            <w:noWrap/>
            <w:vAlign w:val="bottom"/>
            <w:hideMark/>
          </w:tcPr>
          <w:p w14:paraId="04822D74"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11165F8F"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225CAF11"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58B4E8E7"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15769C45" w14:textId="77777777" w:rsidTr="00276638">
        <w:trPr>
          <w:trHeight w:val="240"/>
        </w:trPr>
        <w:tc>
          <w:tcPr>
            <w:tcW w:w="3544" w:type="dxa"/>
            <w:tcBorders>
              <w:top w:val="nil"/>
              <w:left w:val="nil"/>
              <w:bottom w:val="nil"/>
              <w:right w:val="nil"/>
            </w:tcBorders>
            <w:shd w:val="clear" w:color="auto" w:fill="auto"/>
            <w:noWrap/>
            <w:vAlign w:val="bottom"/>
            <w:hideMark/>
          </w:tcPr>
          <w:p w14:paraId="589D1685"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Not at all</w:t>
            </w:r>
          </w:p>
        </w:tc>
        <w:tc>
          <w:tcPr>
            <w:tcW w:w="1559" w:type="dxa"/>
            <w:tcBorders>
              <w:top w:val="nil"/>
              <w:left w:val="nil"/>
              <w:bottom w:val="nil"/>
              <w:right w:val="nil"/>
            </w:tcBorders>
            <w:shd w:val="clear" w:color="auto" w:fill="auto"/>
            <w:noWrap/>
            <w:vAlign w:val="bottom"/>
            <w:hideMark/>
          </w:tcPr>
          <w:p w14:paraId="1D75DD1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19 (3.9%)</w:t>
            </w:r>
          </w:p>
        </w:tc>
        <w:tc>
          <w:tcPr>
            <w:tcW w:w="1701" w:type="dxa"/>
            <w:tcBorders>
              <w:top w:val="nil"/>
              <w:left w:val="nil"/>
              <w:bottom w:val="nil"/>
              <w:right w:val="nil"/>
            </w:tcBorders>
            <w:shd w:val="clear" w:color="auto" w:fill="auto"/>
            <w:noWrap/>
            <w:vAlign w:val="bottom"/>
            <w:hideMark/>
          </w:tcPr>
          <w:p w14:paraId="4DAF56A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 (1.3%)</w:t>
            </w:r>
          </w:p>
        </w:tc>
        <w:tc>
          <w:tcPr>
            <w:tcW w:w="1560" w:type="dxa"/>
            <w:tcBorders>
              <w:top w:val="nil"/>
              <w:left w:val="nil"/>
              <w:bottom w:val="nil"/>
              <w:right w:val="nil"/>
            </w:tcBorders>
            <w:shd w:val="clear" w:color="auto" w:fill="auto"/>
            <w:noWrap/>
            <w:vAlign w:val="bottom"/>
            <w:hideMark/>
          </w:tcPr>
          <w:p w14:paraId="5A9B3CD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31 (4.2%)</w:t>
            </w:r>
          </w:p>
        </w:tc>
        <w:tc>
          <w:tcPr>
            <w:tcW w:w="1629" w:type="dxa"/>
            <w:tcBorders>
              <w:top w:val="nil"/>
              <w:left w:val="nil"/>
              <w:bottom w:val="nil"/>
              <w:right w:val="nil"/>
            </w:tcBorders>
            <w:shd w:val="clear" w:color="auto" w:fill="auto"/>
            <w:noWrap/>
            <w:vAlign w:val="bottom"/>
            <w:hideMark/>
          </w:tcPr>
          <w:p w14:paraId="1079386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 (2.0%)</w:t>
            </w:r>
          </w:p>
        </w:tc>
      </w:tr>
      <w:tr w:rsidR="00880D6D" w:rsidRPr="008D6122" w14:paraId="169AE98F" w14:textId="77777777" w:rsidTr="00276638">
        <w:trPr>
          <w:trHeight w:val="240"/>
        </w:trPr>
        <w:tc>
          <w:tcPr>
            <w:tcW w:w="3544" w:type="dxa"/>
            <w:tcBorders>
              <w:top w:val="nil"/>
              <w:left w:val="nil"/>
              <w:bottom w:val="nil"/>
              <w:right w:val="nil"/>
            </w:tcBorders>
            <w:shd w:val="clear" w:color="auto" w:fill="auto"/>
            <w:noWrap/>
            <w:vAlign w:val="bottom"/>
            <w:hideMark/>
          </w:tcPr>
          <w:p w14:paraId="0255C169"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 little</w:t>
            </w:r>
          </w:p>
        </w:tc>
        <w:tc>
          <w:tcPr>
            <w:tcW w:w="1559" w:type="dxa"/>
            <w:tcBorders>
              <w:top w:val="nil"/>
              <w:left w:val="nil"/>
              <w:bottom w:val="nil"/>
              <w:right w:val="nil"/>
            </w:tcBorders>
            <w:shd w:val="clear" w:color="auto" w:fill="auto"/>
            <w:noWrap/>
            <w:vAlign w:val="bottom"/>
            <w:hideMark/>
          </w:tcPr>
          <w:p w14:paraId="2EE9916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75 (15.3%)</w:t>
            </w:r>
          </w:p>
        </w:tc>
        <w:tc>
          <w:tcPr>
            <w:tcW w:w="1701" w:type="dxa"/>
            <w:tcBorders>
              <w:top w:val="nil"/>
              <w:left w:val="nil"/>
              <w:bottom w:val="nil"/>
              <w:right w:val="nil"/>
            </w:tcBorders>
            <w:shd w:val="clear" w:color="auto" w:fill="auto"/>
            <w:noWrap/>
            <w:vAlign w:val="bottom"/>
            <w:hideMark/>
          </w:tcPr>
          <w:p w14:paraId="517C792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113 (12.5%)</w:t>
            </w:r>
          </w:p>
        </w:tc>
        <w:tc>
          <w:tcPr>
            <w:tcW w:w="1560" w:type="dxa"/>
            <w:tcBorders>
              <w:top w:val="nil"/>
              <w:left w:val="nil"/>
              <w:bottom w:val="nil"/>
              <w:right w:val="nil"/>
            </w:tcBorders>
            <w:shd w:val="clear" w:color="auto" w:fill="auto"/>
            <w:noWrap/>
            <w:vAlign w:val="bottom"/>
            <w:hideMark/>
          </w:tcPr>
          <w:p w14:paraId="2F40E8B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173 (23.7%)</w:t>
            </w:r>
          </w:p>
        </w:tc>
        <w:tc>
          <w:tcPr>
            <w:tcW w:w="1629" w:type="dxa"/>
            <w:tcBorders>
              <w:top w:val="nil"/>
              <w:left w:val="nil"/>
              <w:bottom w:val="nil"/>
              <w:right w:val="nil"/>
            </w:tcBorders>
            <w:shd w:val="clear" w:color="auto" w:fill="auto"/>
            <w:noWrap/>
            <w:vAlign w:val="bottom"/>
            <w:hideMark/>
          </w:tcPr>
          <w:p w14:paraId="682CB7F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68 (14.8%)</w:t>
            </w:r>
          </w:p>
        </w:tc>
      </w:tr>
      <w:tr w:rsidR="00880D6D" w:rsidRPr="008D6122" w14:paraId="64D52344" w14:textId="77777777" w:rsidTr="00276638">
        <w:trPr>
          <w:trHeight w:val="240"/>
        </w:trPr>
        <w:tc>
          <w:tcPr>
            <w:tcW w:w="3544" w:type="dxa"/>
            <w:tcBorders>
              <w:top w:val="nil"/>
              <w:left w:val="nil"/>
              <w:bottom w:val="nil"/>
              <w:right w:val="nil"/>
            </w:tcBorders>
            <w:shd w:val="clear" w:color="auto" w:fill="auto"/>
            <w:noWrap/>
            <w:vAlign w:val="bottom"/>
            <w:hideMark/>
          </w:tcPr>
          <w:p w14:paraId="4FFED077"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Somewhat</w:t>
            </w:r>
          </w:p>
        </w:tc>
        <w:tc>
          <w:tcPr>
            <w:tcW w:w="1559" w:type="dxa"/>
            <w:tcBorders>
              <w:top w:val="nil"/>
              <w:left w:val="nil"/>
              <w:bottom w:val="nil"/>
              <w:right w:val="nil"/>
            </w:tcBorders>
            <w:shd w:val="clear" w:color="auto" w:fill="auto"/>
            <w:noWrap/>
            <w:vAlign w:val="bottom"/>
            <w:hideMark/>
          </w:tcPr>
          <w:p w14:paraId="7D9043F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257 (52.6%)</w:t>
            </w:r>
          </w:p>
        </w:tc>
        <w:tc>
          <w:tcPr>
            <w:tcW w:w="1701" w:type="dxa"/>
            <w:tcBorders>
              <w:top w:val="nil"/>
              <w:left w:val="nil"/>
              <w:bottom w:val="nil"/>
              <w:right w:val="nil"/>
            </w:tcBorders>
            <w:shd w:val="clear" w:color="auto" w:fill="auto"/>
            <w:noWrap/>
            <w:vAlign w:val="bottom"/>
            <w:hideMark/>
          </w:tcPr>
          <w:p w14:paraId="228B3EC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495 (54.8%)</w:t>
            </w:r>
          </w:p>
        </w:tc>
        <w:tc>
          <w:tcPr>
            <w:tcW w:w="1560" w:type="dxa"/>
            <w:tcBorders>
              <w:top w:val="nil"/>
              <w:left w:val="nil"/>
              <w:bottom w:val="nil"/>
              <w:right w:val="nil"/>
            </w:tcBorders>
            <w:shd w:val="clear" w:color="auto" w:fill="auto"/>
            <w:noWrap/>
            <w:vAlign w:val="bottom"/>
            <w:hideMark/>
          </w:tcPr>
          <w:p w14:paraId="52F53EF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322 (44.1%)</w:t>
            </w:r>
          </w:p>
        </w:tc>
        <w:tc>
          <w:tcPr>
            <w:tcW w:w="1629" w:type="dxa"/>
            <w:tcBorders>
              <w:top w:val="nil"/>
              <w:left w:val="nil"/>
              <w:bottom w:val="nil"/>
              <w:right w:val="nil"/>
            </w:tcBorders>
            <w:shd w:val="clear" w:color="auto" w:fill="auto"/>
            <w:noWrap/>
            <w:vAlign w:val="bottom"/>
            <w:hideMark/>
          </w:tcPr>
          <w:p w14:paraId="257DC40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233 (50.8%)</w:t>
            </w:r>
          </w:p>
        </w:tc>
      </w:tr>
      <w:tr w:rsidR="00880D6D" w:rsidRPr="008D6122" w14:paraId="25C49E4A" w14:textId="77777777" w:rsidTr="00276638">
        <w:trPr>
          <w:trHeight w:val="240"/>
        </w:trPr>
        <w:tc>
          <w:tcPr>
            <w:tcW w:w="3544" w:type="dxa"/>
            <w:tcBorders>
              <w:top w:val="nil"/>
              <w:left w:val="nil"/>
              <w:bottom w:val="nil"/>
              <w:right w:val="nil"/>
            </w:tcBorders>
            <w:shd w:val="clear" w:color="auto" w:fill="auto"/>
            <w:noWrap/>
            <w:vAlign w:val="bottom"/>
            <w:hideMark/>
          </w:tcPr>
          <w:p w14:paraId="5FB6DDCA"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Very</w:t>
            </w:r>
          </w:p>
        </w:tc>
        <w:tc>
          <w:tcPr>
            <w:tcW w:w="1559" w:type="dxa"/>
            <w:tcBorders>
              <w:top w:val="nil"/>
              <w:left w:val="nil"/>
              <w:bottom w:val="nil"/>
              <w:right w:val="nil"/>
            </w:tcBorders>
            <w:shd w:val="clear" w:color="auto" w:fill="auto"/>
            <w:noWrap/>
            <w:vAlign w:val="bottom"/>
            <w:hideMark/>
          </w:tcPr>
          <w:p w14:paraId="0567726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138 (28.2%)</w:t>
            </w:r>
          </w:p>
        </w:tc>
        <w:tc>
          <w:tcPr>
            <w:tcW w:w="1701" w:type="dxa"/>
            <w:tcBorders>
              <w:top w:val="nil"/>
              <w:left w:val="nil"/>
              <w:bottom w:val="nil"/>
              <w:right w:val="nil"/>
            </w:tcBorders>
            <w:shd w:val="clear" w:color="auto" w:fill="auto"/>
            <w:noWrap/>
            <w:vAlign w:val="bottom"/>
            <w:hideMark/>
          </w:tcPr>
          <w:p w14:paraId="6C9D12C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284 (31.4%)</w:t>
            </w:r>
          </w:p>
        </w:tc>
        <w:tc>
          <w:tcPr>
            <w:tcW w:w="1560" w:type="dxa"/>
            <w:tcBorders>
              <w:top w:val="nil"/>
              <w:left w:val="nil"/>
              <w:bottom w:val="nil"/>
              <w:right w:val="nil"/>
            </w:tcBorders>
            <w:shd w:val="clear" w:color="auto" w:fill="auto"/>
            <w:noWrap/>
            <w:vAlign w:val="bottom"/>
            <w:hideMark/>
          </w:tcPr>
          <w:p w14:paraId="60E6B7C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204 (27.9%)</w:t>
            </w:r>
          </w:p>
        </w:tc>
        <w:tc>
          <w:tcPr>
            <w:tcW w:w="1629" w:type="dxa"/>
            <w:tcBorders>
              <w:top w:val="nil"/>
              <w:left w:val="nil"/>
              <w:bottom w:val="nil"/>
              <w:right w:val="nil"/>
            </w:tcBorders>
            <w:shd w:val="clear" w:color="auto" w:fill="auto"/>
            <w:noWrap/>
            <w:vAlign w:val="bottom"/>
            <w:hideMark/>
          </w:tcPr>
          <w:p w14:paraId="0E24685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149 (32.5%)</w:t>
            </w:r>
          </w:p>
        </w:tc>
      </w:tr>
      <w:tr w:rsidR="00880D6D" w:rsidRPr="008D6122" w14:paraId="399B178F" w14:textId="77777777" w:rsidTr="00276638">
        <w:trPr>
          <w:trHeight w:val="240"/>
        </w:trPr>
        <w:tc>
          <w:tcPr>
            <w:tcW w:w="3544" w:type="dxa"/>
            <w:tcBorders>
              <w:top w:val="nil"/>
              <w:left w:val="nil"/>
              <w:bottom w:val="nil"/>
              <w:right w:val="nil"/>
            </w:tcBorders>
            <w:shd w:val="clear" w:color="auto" w:fill="auto"/>
            <w:noWrap/>
            <w:vAlign w:val="bottom"/>
            <w:hideMark/>
          </w:tcPr>
          <w:p w14:paraId="02F942F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Educational attainment</w:t>
            </w:r>
          </w:p>
        </w:tc>
        <w:tc>
          <w:tcPr>
            <w:tcW w:w="1559" w:type="dxa"/>
            <w:tcBorders>
              <w:top w:val="nil"/>
              <w:left w:val="nil"/>
              <w:bottom w:val="nil"/>
              <w:right w:val="nil"/>
            </w:tcBorders>
            <w:shd w:val="clear" w:color="auto" w:fill="auto"/>
            <w:noWrap/>
            <w:vAlign w:val="bottom"/>
            <w:hideMark/>
          </w:tcPr>
          <w:p w14:paraId="2F89EB06"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590A05FE"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7094D6AF"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18FCE99E"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45409F71" w14:textId="77777777" w:rsidTr="00276638">
        <w:trPr>
          <w:trHeight w:val="240"/>
        </w:trPr>
        <w:tc>
          <w:tcPr>
            <w:tcW w:w="3544" w:type="dxa"/>
            <w:tcBorders>
              <w:top w:val="nil"/>
              <w:left w:val="nil"/>
              <w:bottom w:val="nil"/>
              <w:right w:val="nil"/>
            </w:tcBorders>
            <w:shd w:val="clear" w:color="auto" w:fill="auto"/>
            <w:noWrap/>
            <w:vAlign w:val="bottom"/>
            <w:hideMark/>
          </w:tcPr>
          <w:p w14:paraId="0DE3958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Below GCSE</w:t>
            </w:r>
          </w:p>
        </w:tc>
        <w:tc>
          <w:tcPr>
            <w:tcW w:w="1559" w:type="dxa"/>
            <w:tcBorders>
              <w:top w:val="nil"/>
              <w:left w:val="nil"/>
              <w:bottom w:val="nil"/>
              <w:right w:val="nil"/>
            </w:tcBorders>
            <w:shd w:val="clear" w:color="auto" w:fill="auto"/>
            <w:noWrap/>
            <w:vAlign w:val="bottom"/>
            <w:hideMark/>
          </w:tcPr>
          <w:p w14:paraId="6EEC27F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156 (31.9%)</w:t>
            </w:r>
          </w:p>
        </w:tc>
        <w:tc>
          <w:tcPr>
            <w:tcW w:w="1701" w:type="dxa"/>
            <w:tcBorders>
              <w:top w:val="nil"/>
              <w:left w:val="nil"/>
              <w:bottom w:val="nil"/>
              <w:right w:val="nil"/>
            </w:tcBorders>
            <w:shd w:val="clear" w:color="auto" w:fill="auto"/>
            <w:noWrap/>
            <w:vAlign w:val="bottom"/>
            <w:hideMark/>
          </w:tcPr>
          <w:p w14:paraId="74C548D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222 (24.6%)</w:t>
            </w:r>
          </w:p>
        </w:tc>
        <w:tc>
          <w:tcPr>
            <w:tcW w:w="1560" w:type="dxa"/>
            <w:tcBorders>
              <w:top w:val="nil"/>
              <w:left w:val="nil"/>
              <w:bottom w:val="nil"/>
              <w:right w:val="nil"/>
            </w:tcBorders>
            <w:shd w:val="clear" w:color="auto" w:fill="auto"/>
            <w:noWrap/>
            <w:vAlign w:val="bottom"/>
            <w:hideMark/>
          </w:tcPr>
          <w:p w14:paraId="4F87C5A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427 (58.5%)</w:t>
            </w:r>
          </w:p>
        </w:tc>
        <w:tc>
          <w:tcPr>
            <w:tcW w:w="1629" w:type="dxa"/>
            <w:tcBorders>
              <w:top w:val="nil"/>
              <w:left w:val="nil"/>
              <w:bottom w:val="nil"/>
              <w:right w:val="nil"/>
            </w:tcBorders>
            <w:shd w:val="clear" w:color="auto" w:fill="auto"/>
            <w:noWrap/>
            <w:vAlign w:val="bottom"/>
            <w:hideMark/>
          </w:tcPr>
          <w:p w14:paraId="26B6936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84 (18.3%)</w:t>
            </w:r>
          </w:p>
        </w:tc>
      </w:tr>
      <w:tr w:rsidR="00880D6D" w:rsidRPr="008D6122" w14:paraId="6EA1AC0D" w14:textId="77777777" w:rsidTr="00276638">
        <w:trPr>
          <w:trHeight w:val="240"/>
        </w:trPr>
        <w:tc>
          <w:tcPr>
            <w:tcW w:w="3544" w:type="dxa"/>
            <w:tcBorders>
              <w:top w:val="nil"/>
              <w:left w:val="nil"/>
              <w:bottom w:val="nil"/>
              <w:right w:val="nil"/>
            </w:tcBorders>
            <w:shd w:val="clear" w:color="auto" w:fill="auto"/>
            <w:noWrap/>
            <w:vAlign w:val="bottom"/>
            <w:hideMark/>
          </w:tcPr>
          <w:p w14:paraId="5B319C86"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GCSE</w:t>
            </w:r>
          </w:p>
        </w:tc>
        <w:tc>
          <w:tcPr>
            <w:tcW w:w="1559" w:type="dxa"/>
            <w:tcBorders>
              <w:top w:val="nil"/>
              <w:left w:val="nil"/>
              <w:bottom w:val="nil"/>
              <w:right w:val="nil"/>
            </w:tcBorders>
            <w:shd w:val="clear" w:color="auto" w:fill="auto"/>
            <w:noWrap/>
            <w:vAlign w:val="bottom"/>
            <w:hideMark/>
          </w:tcPr>
          <w:p w14:paraId="194E9EC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158 (32.3%)</w:t>
            </w:r>
          </w:p>
        </w:tc>
        <w:tc>
          <w:tcPr>
            <w:tcW w:w="1701" w:type="dxa"/>
            <w:tcBorders>
              <w:top w:val="nil"/>
              <w:left w:val="nil"/>
              <w:bottom w:val="nil"/>
              <w:right w:val="nil"/>
            </w:tcBorders>
            <w:shd w:val="clear" w:color="auto" w:fill="auto"/>
            <w:noWrap/>
            <w:vAlign w:val="bottom"/>
            <w:hideMark/>
          </w:tcPr>
          <w:p w14:paraId="782E8A9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356 (39.4%)</w:t>
            </w:r>
          </w:p>
        </w:tc>
        <w:tc>
          <w:tcPr>
            <w:tcW w:w="1560" w:type="dxa"/>
            <w:tcBorders>
              <w:top w:val="nil"/>
              <w:left w:val="nil"/>
              <w:bottom w:val="nil"/>
              <w:right w:val="nil"/>
            </w:tcBorders>
            <w:shd w:val="clear" w:color="auto" w:fill="auto"/>
            <w:noWrap/>
            <w:vAlign w:val="bottom"/>
            <w:hideMark/>
          </w:tcPr>
          <w:p w14:paraId="2C88A41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164 (22.5%)</w:t>
            </w:r>
          </w:p>
        </w:tc>
        <w:tc>
          <w:tcPr>
            <w:tcW w:w="1629" w:type="dxa"/>
            <w:tcBorders>
              <w:top w:val="nil"/>
              <w:left w:val="nil"/>
              <w:bottom w:val="nil"/>
              <w:right w:val="nil"/>
            </w:tcBorders>
            <w:shd w:val="clear" w:color="auto" w:fill="auto"/>
            <w:noWrap/>
            <w:vAlign w:val="bottom"/>
            <w:hideMark/>
          </w:tcPr>
          <w:p w14:paraId="110B03E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169 (36.8%)</w:t>
            </w:r>
          </w:p>
        </w:tc>
      </w:tr>
      <w:tr w:rsidR="00880D6D" w:rsidRPr="008D6122" w14:paraId="03B403F6" w14:textId="77777777" w:rsidTr="00276638">
        <w:trPr>
          <w:trHeight w:val="240"/>
        </w:trPr>
        <w:tc>
          <w:tcPr>
            <w:tcW w:w="3544" w:type="dxa"/>
            <w:tcBorders>
              <w:top w:val="nil"/>
              <w:left w:val="nil"/>
              <w:bottom w:val="nil"/>
              <w:right w:val="nil"/>
            </w:tcBorders>
            <w:shd w:val="clear" w:color="auto" w:fill="auto"/>
            <w:noWrap/>
            <w:vAlign w:val="bottom"/>
            <w:hideMark/>
          </w:tcPr>
          <w:p w14:paraId="4B526795"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A-level</w:t>
            </w:r>
          </w:p>
        </w:tc>
        <w:tc>
          <w:tcPr>
            <w:tcW w:w="1559" w:type="dxa"/>
            <w:tcBorders>
              <w:top w:val="nil"/>
              <w:left w:val="nil"/>
              <w:bottom w:val="nil"/>
              <w:right w:val="nil"/>
            </w:tcBorders>
            <w:shd w:val="clear" w:color="auto" w:fill="auto"/>
            <w:noWrap/>
            <w:vAlign w:val="bottom"/>
            <w:hideMark/>
          </w:tcPr>
          <w:p w14:paraId="335C988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80 (16.4%)</w:t>
            </w:r>
          </w:p>
        </w:tc>
        <w:tc>
          <w:tcPr>
            <w:tcW w:w="1701" w:type="dxa"/>
            <w:tcBorders>
              <w:top w:val="nil"/>
              <w:left w:val="nil"/>
              <w:bottom w:val="nil"/>
              <w:right w:val="nil"/>
            </w:tcBorders>
            <w:shd w:val="clear" w:color="auto" w:fill="auto"/>
            <w:noWrap/>
            <w:vAlign w:val="bottom"/>
            <w:hideMark/>
          </w:tcPr>
          <w:p w14:paraId="0253F48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142 (15.7%)</w:t>
            </w:r>
          </w:p>
        </w:tc>
        <w:tc>
          <w:tcPr>
            <w:tcW w:w="1560" w:type="dxa"/>
            <w:tcBorders>
              <w:top w:val="nil"/>
              <w:left w:val="nil"/>
              <w:bottom w:val="nil"/>
              <w:right w:val="nil"/>
            </w:tcBorders>
            <w:shd w:val="clear" w:color="auto" w:fill="auto"/>
            <w:noWrap/>
            <w:vAlign w:val="bottom"/>
            <w:hideMark/>
          </w:tcPr>
          <w:p w14:paraId="69D9443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81 (11.1%)</w:t>
            </w:r>
          </w:p>
        </w:tc>
        <w:tc>
          <w:tcPr>
            <w:tcW w:w="1629" w:type="dxa"/>
            <w:tcBorders>
              <w:top w:val="nil"/>
              <w:left w:val="nil"/>
              <w:bottom w:val="nil"/>
              <w:right w:val="nil"/>
            </w:tcBorders>
            <w:shd w:val="clear" w:color="auto" w:fill="auto"/>
            <w:noWrap/>
            <w:vAlign w:val="bottom"/>
            <w:hideMark/>
          </w:tcPr>
          <w:p w14:paraId="4F1C173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72 (15.7%)</w:t>
            </w:r>
          </w:p>
        </w:tc>
      </w:tr>
      <w:tr w:rsidR="00880D6D" w:rsidRPr="008D6122" w14:paraId="1CBFCA04" w14:textId="77777777" w:rsidTr="00276638">
        <w:trPr>
          <w:trHeight w:val="240"/>
        </w:trPr>
        <w:tc>
          <w:tcPr>
            <w:tcW w:w="3544" w:type="dxa"/>
            <w:tcBorders>
              <w:top w:val="nil"/>
              <w:left w:val="nil"/>
              <w:bottom w:val="nil"/>
              <w:right w:val="nil"/>
            </w:tcBorders>
            <w:shd w:val="clear" w:color="auto" w:fill="auto"/>
            <w:noWrap/>
            <w:vAlign w:val="bottom"/>
            <w:hideMark/>
          </w:tcPr>
          <w:p w14:paraId="2C089975"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Degree</w:t>
            </w:r>
          </w:p>
        </w:tc>
        <w:tc>
          <w:tcPr>
            <w:tcW w:w="1559" w:type="dxa"/>
            <w:tcBorders>
              <w:top w:val="nil"/>
              <w:left w:val="nil"/>
              <w:bottom w:val="nil"/>
              <w:right w:val="nil"/>
            </w:tcBorders>
            <w:shd w:val="clear" w:color="auto" w:fill="auto"/>
            <w:noWrap/>
            <w:vAlign w:val="bottom"/>
            <w:hideMark/>
          </w:tcPr>
          <w:p w14:paraId="60F3F3F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95 (19.4%)</w:t>
            </w:r>
          </w:p>
        </w:tc>
        <w:tc>
          <w:tcPr>
            <w:tcW w:w="1701" w:type="dxa"/>
            <w:tcBorders>
              <w:top w:val="nil"/>
              <w:left w:val="nil"/>
              <w:bottom w:val="nil"/>
              <w:right w:val="nil"/>
            </w:tcBorders>
            <w:shd w:val="clear" w:color="auto" w:fill="auto"/>
            <w:noWrap/>
            <w:vAlign w:val="bottom"/>
            <w:hideMark/>
          </w:tcPr>
          <w:p w14:paraId="09E3627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184 (20.4%)</w:t>
            </w:r>
          </w:p>
        </w:tc>
        <w:tc>
          <w:tcPr>
            <w:tcW w:w="1560" w:type="dxa"/>
            <w:tcBorders>
              <w:top w:val="nil"/>
              <w:left w:val="nil"/>
              <w:bottom w:val="nil"/>
              <w:right w:val="nil"/>
            </w:tcBorders>
            <w:shd w:val="clear" w:color="auto" w:fill="auto"/>
            <w:noWrap/>
            <w:vAlign w:val="bottom"/>
            <w:hideMark/>
          </w:tcPr>
          <w:p w14:paraId="73451BE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58 (7.9%)</w:t>
            </w:r>
          </w:p>
        </w:tc>
        <w:tc>
          <w:tcPr>
            <w:tcW w:w="1629" w:type="dxa"/>
            <w:tcBorders>
              <w:top w:val="nil"/>
              <w:left w:val="nil"/>
              <w:bottom w:val="nil"/>
              <w:right w:val="nil"/>
            </w:tcBorders>
            <w:shd w:val="clear" w:color="auto" w:fill="auto"/>
            <w:noWrap/>
            <w:vAlign w:val="bottom"/>
            <w:hideMark/>
          </w:tcPr>
          <w:p w14:paraId="3D4BB73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134 (29.2%)</w:t>
            </w:r>
          </w:p>
        </w:tc>
      </w:tr>
      <w:tr w:rsidR="00880D6D" w:rsidRPr="008D6122" w14:paraId="0FCA60D0" w14:textId="77777777" w:rsidTr="00276638">
        <w:trPr>
          <w:trHeight w:val="240"/>
        </w:trPr>
        <w:tc>
          <w:tcPr>
            <w:tcW w:w="3544" w:type="dxa"/>
            <w:tcBorders>
              <w:top w:val="nil"/>
              <w:left w:val="nil"/>
              <w:bottom w:val="nil"/>
              <w:right w:val="nil"/>
            </w:tcBorders>
            <w:shd w:val="clear" w:color="auto" w:fill="auto"/>
            <w:noWrap/>
            <w:vAlign w:val="bottom"/>
            <w:hideMark/>
          </w:tcPr>
          <w:p w14:paraId="04B5AE8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Current use of AOM</w:t>
            </w:r>
          </w:p>
        </w:tc>
        <w:tc>
          <w:tcPr>
            <w:tcW w:w="1559" w:type="dxa"/>
            <w:tcBorders>
              <w:top w:val="nil"/>
              <w:left w:val="nil"/>
              <w:bottom w:val="nil"/>
              <w:right w:val="nil"/>
            </w:tcBorders>
            <w:shd w:val="clear" w:color="auto" w:fill="auto"/>
            <w:noWrap/>
            <w:vAlign w:val="bottom"/>
            <w:hideMark/>
          </w:tcPr>
          <w:p w14:paraId="48F652C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173 (35.4%)</w:t>
            </w:r>
          </w:p>
        </w:tc>
        <w:tc>
          <w:tcPr>
            <w:tcW w:w="1701" w:type="dxa"/>
            <w:tcBorders>
              <w:top w:val="nil"/>
              <w:left w:val="nil"/>
              <w:bottom w:val="nil"/>
              <w:right w:val="nil"/>
            </w:tcBorders>
            <w:shd w:val="clear" w:color="auto" w:fill="auto"/>
            <w:noWrap/>
            <w:vAlign w:val="bottom"/>
            <w:hideMark/>
          </w:tcPr>
          <w:p w14:paraId="2CD28A4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 (1.8%)</w:t>
            </w:r>
          </w:p>
        </w:tc>
        <w:tc>
          <w:tcPr>
            <w:tcW w:w="1560" w:type="dxa"/>
            <w:tcBorders>
              <w:top w:val="nil"/>
              <w:left w:val="nil"/>
              <w:bottom w:val="nil"/>
              <w:right w:val="nil"/>
            </w:tcBorders>
            <w:shd w:val="clear" w:color="auto" w:fill="auto"/>
            <w:noWrap/>
            <w:vAlign w:val="bottom"/>
            <w:hideMark/>
          </w:tcPr>
          <w:p w14:paraId="2410053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33 (4.5%)</w:t>
            </w:r>
          </w:p>
        </w:tc>
        <w:tc>
          <w:tcPr>
            <w:tcW w:w="1629" w:type="dxa"/>
            <w:tcBorders>
              <w:top w:val="nil"/>
              <w:left w:val="nil"/>
              <w:bottom w:val="nil"/>
              <w:right w:val="nil"/>
            </w:tcBorders>
            <w:shd w:val="clear" w:color="auto" w:fill="auto"/>
            <w:noWrap/>
            <w:vAlign w:val="bottom"/>
            <w:hideMark/>
          </w:tcPr>
          <w:p w14:paraId="15A5AC2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 (0.9%)</w:t>
            </w:r>
          </w:p>
        </w:tc>
      </w:tr>
      <w:tr w:rsidR="00880D6D" w:rsidRPr="008D6122" w14:paraId="507EE2F2" w14:textId="77777777" w:rsidTr="00276638">
        <w:trPr>
          <w:trHeight w:val="240"/>
        </w:trPr>
        <w:tc>
          <w:tcPr>
            <w:tcW w:w="3544" w:type="dxa"/>
            <w:tcBorders>
              <w:top w:val="nil"/>
              <w:left w:val="nil"/>
              <w:bottom w:val="nil"/>
              <w:right w:val="nil"/>
            </w:tcBorders>
            <w:shd w:val="clear" w:color="auto" w:fill="auto"/>
            <w:noWrap/>
            <w:vAlign w:val="bottom"/>
            <w:hideMark/>
          </w:tcPr>
          <w:p w14:paraId="61F0BCB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Ever used estrogen/HRT</w:t>
            </w:r>
          </w:p>
        </w:tc>
        <w:tc>
          <w:tcPr>
            <w:tcW w:w="1559" w:type="dxa"/>
            <w:tcBorders>
              <w:top w:val="nil"/>
              <w:left w:val="nil"/>
              <w:bottom w:val="nil"/>
              <w:right w:val="nil"/>
            </w:tcBorders>
            <w:shd w:val="clear" w:color="auto" w:fill="auto"/>
            <w:noWrap/>
            <w:vAlign w:val="bottom"/>
            <w:hideMark/>
          </w:tcPr>
          <w:p w14:paraId="6B84985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185 (37.8%)</w:t>
            </w:r>
          </w:p>
        </w:tc>
        <w:tc>
          <w:tcPr>
            <w:tcW w:w="1701" w:type="dxa"/>
            <w:tcBorders>
              <w:top w:val="nil"/>
              <w:left w:val="nil"/>
              <w:bottom w:val="nil"/>
              <w:right w:val="nil"/>
            </w:tcBorders>
            <w:shd w:val="clear" w:color="auto" w:fill="auto"/>
            <w:noWrap/>
            <w:vAlign w:val="bottom"/>
            <w:hideMark/>
          </w:tcPr>
          <w:p w14:paraId="58D41B1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472 (52.2%)</w:t>
            </w:r>
          </w:p>
        </w:tc>
        <w:tc>
          <w:tcPr>
            <w:tcW w:w="1560" w:type="dxa"/>
            <w:tcBorders>
              <w:top w:val="nil"/>
              <w:left w:val="nil"/>
              <w:bottom w:val="nil"/>
              <w:right w:val="nil"/>
            </w:tcBorders>
            <w:shd w:val="clear" w:color="auto" w:fill="auto"/>
            <w:noWrap/>
            <w:vAlign w:val="bottom"/>
            <w:hideMark/>
          </w:tcPr>
          <w:p w14:paraId="5C2110A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111 (15.2%)</w:t>
            </w:r>
          </w:p>
        </w:tc>
        <w:tc>
          <w:tcPr>
            <w:tcW w:w="1629" w:type="dxa"/>
            <w:tcBorders>
              <w:top w:val="nil"/>
              <w:left w:val="nil"/>
              <w:bottom w:val="nil"/>
              <w:right w:val="nil"/>
            </w:tcBorders>
            <w:shd w:val="clear" w:color="auto" w:fill="auto"/>
            <w:noWrap/>
            <w:vAlign w:val="bottom"/>
            <w:hideMark/>
          </w:tcPr>
          <w:p w14:paraId="7B88F72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176 (38.3%)</w:t>
            </w:r>
          </w:p>
        </w:tc>
      </w:tr>
      <w:tr w:rsidR="00880D6D" w:rsidRPr="008D6122" w14:paraId="04C30377" w14:textId="77777777" w:rsidTr="00276638">
        <w:trPr>
          <w:trHeight w:val="240"/>
        </w:trPr>
        <w:tc>
          <w:tcPr>
            <w:tcW w:w="3544" w:type="dxa"/>
            <w:tcBorders>
              <w:top w:val="nil"/>
              <w:left w:val="nil"/>
              <w:bottom w:val="nil"/>
              <w:right w:val="nil"/>
            </w:tcBorders>
            <w:shd w:val="clear" w:color="auto" w:fill="auto"/>
            <w:noWrap/>
            <w:vAlign w:val="bottom"/>
            <w:hideMark/>
          </w:tcPr>
          <w:p w14:paraId="2ED52BE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 xml:space="preserve">Currently taking calcium  </w:t>
            </w:r>
          </w:p>
        </w:tc>
        <w:tc>
          <w:tcPr>
            <w:tcW w:w="1559" w:type="dxa"/>
            <w:tcBorders>
              <w:top w:val="nil"/>
              <w:left w:val="nil"/>
              <w:bottom w:val="nil"/>
              <w:right w:val="nil"/>
            </w:tcBorders>
            <w:shd w:val="clear" w:color="auto" w:fill="auto"/>
            <w:noWrap/>
            <w:vAlign w:val="bottom"/>
            <w:hideMark/>
          </w:tcPr>
          <w:p w14:paraId="43028D3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476 (97.3%)</w:t>
            </w:r>
          </w:p>
        </w:tc>
        <w:tc>
          <w:tcPr>
            <w:tcW w:w="1701" w:type="dxa"/>
            <w:tcBorders>
              <w:top w:val="nil"/>
              <w:left w:val="nil"/>
              <w:bottom w:val="nil"/>
              <w:right w:val="nil"/>
            </w:tcBorders>
            <w:shd w:val="clear" w:color="auto" w:fill="auto"/>
            <w:noWrap/>
            <w:vAlign w:val="bottom"/>
            <w:hideMark/>
          </w:tcPr>
          <w:p w14:paraId="53F075A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c>
          <w:tcPr>
            <w:tcW w:w="1560" w:type="dxa"/>
            <w:tcBorders>
              <w:top w:val="nil"/>
              <w:left w:val="nil"/>
              <w:bottom w:val="nil"/>
              <w:right w:val="nil"/>
            </w:tcBorders>
            <w:shd w:val="clear" w:color="auto" w:fill="auto"/>
            <w:noWrap/>
            <w:vAlign w:val="bottom"/>
            <w:hideMark/>
          </w:tcPr>
          <w:p w14:paraId="4ADF9A5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 (1.1%)</w:t>
            </w:r>
          </w:p>
        </w:tc>
        <w:tc>
          <w:tcPr>
            <w:tcW w:w="1629" w:type="dxa"/>
            <w:tcBorders>
              <w:top w:val="nil"/>
              <w:left w:val="nil"/>
              <w:bottom w:val="nil"/>
              <w:right w:val="nil"/>
            </w:tcBorders>
            <w:shd w:val="clear" w:color="auto" w:fill="auto"/>
            <w:noWrap/>
            <w:vAlign w:val="bottom"/>
            <w:hideMark/>
          </w:tcPr>
          <w:p w14:paraId="7F308DF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r>
      <w:tr w:rsidR="00880D6D" w:rsidRPr="008D6122" w14:paraId="0BABEA83" w14:textId="77777777" w:rsidTr="00276638">
        <w:trPr>
          <w:trHeight w:val="240"/>
        </w:trPr>
        <w:tc>
          <w:tcPr>
            <w:tcW w:w="3544" w:type="dxa"/>
            <w:tcBorders>
              <w:top w:val="nil"/>
              <w:left w:val="nil"/>
              <w:bottom w:val="nil"/>
              <w:right w:val="nil"/>
            </w:tcBorders>
            <w:shd w:val="clear" w:color="auto" w:fill="auto"/>
            <w:noWrap/>
            <w:vAlign w:val="bottom"/>
            <w:hideMark/>
          </w:tcPr>
          <w:p w14:paraId="4868B1B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Currently taking Vit D</w:t>
            </w:r>
          </w:p>
        </w:tc>
        <w:tc>
          <w:tcPr>
            <w:tcW w:w="1559" w:type="dxa"/>
            <w:tcBorders>
              <w:top w:val="nil"/>
              <w:left w:val="nil"/>
              <w:bottom w:val="nil"/>
              <w:right w:val="nil"/>
            </w:tcBorders>
            <w:shd w:val="clear" w:color="auto" w:fill="auto"/>
            <w:noWrap/>
            <w:vAlign w:val="bottom"/>
            <w:hideMark/>
          </w:tcPr>
          <w:p w14:paraId="7375956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252 (51.5%)</w:t>
            </w:r>
          </w:p>
        </w:tc>
        <w:tc>
          <w:tcPr>
            <w:tcW w:w="1701" w:type="dxa"/>
            <w:tcBorders>
              <w:top w:val="nil"/>
              <w:left w:val="nil"/>
              <w:bottom w:val="nil"/>
              <w:right w:val="nil"/>
            </w:tcBorders>
            <w:shd w:val="clear" w:color="auto" w:fill="auto"/>
            <w:noWrap/>
            <w:vAlign w:val="bottom"/>
            <w:hideMark/>
          </w:tcPr>
          <w:p w14:paraId="00F0D8C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118 (13.1%)</w:t>
            </w:r>
          </w:p>
        </w:tc>
        <w:tc>
          <w:tcPr>
            <w:tcW w:w="1560" w:type="dxa"/>
            <w:tcBorders>
              <w:top w:val="nil"/>
              <w:left w:val="nil"/>
              <w:bottom w:val="nil"/>
              <w:right w:val="nil"/>
            </w:tcBorders>
            <w:shd w:val="clear" w:color="auto" w:fill="auto"/>
            <w:noWrap/>
            <w:vAlign w:val="bottom"/>
            <w:hideMark/>
          </w:tcPr>
          <w:p w14:paraId="32B7F2E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71 (9.7%)</w:t>
            </w:r>
          </w:p>
        </w:tc>
        <w:tc>
          <w:tcPr>
            <w:tcW w:w="1629" w:type="dxa"/>
            <w:tcBorders>
              <w:top w:val="nil"/>
              <w:left w:val="nil"/>
              <w:bottom w:val="nil"/>
              <w:right w:val="nil"/>
            </w:tcBorders>
            <w:shd w:val="clear" w:color="auto" w:fill="auto"/>
            <w:noWrap/>
            <w:vAlign w:val="bottom"/>
            <w:hideMark/>
          </w:tcPr>
          <w:p w14:paraId="55ED4CE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57 (12.4%)</w:t>
            </w:r>
          </w:p>
        </w:tc>
      </w:tr>
      <w:tr w:rsidR="00880D6D" w:rsidRPr="008D6122" w14:paraId="738C82C3" w14:textId="77777777" w:rsidTr="00276638">
        <w:trPr>
          <w:trHeight w:val="240"/>
        </w:trPr>
        <w:tc>
          <w:tcPr>
            <w:tcW w:w="3544" w:type="dxa"/>
            <w:tcBorders>
              <w:top w:val="nil"/>
              <w:left w:val="nil"/>
              <w:bottom w:val="nil"/>
              <w:right w:val="nil"/>
            </w:tcBorders>
            <w:shd w:val="clear" w:color="auto" w:fill="auto"/>
            <w:noWrap/>
            <w:vAlign w:val="bottom"/>
            <w:hideMark/>
          </w:tcPr>
          <w:p w14:paraId="5D50626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Years since menopause</w:t>
            </w:r>
          </w:p>
        </w:tc>
        <w:tc>
          <w:tcPr>
            <w:tcW w:w="1559" w:type="dxa"/>
            <w:tcBorders>
              <w:top w:val="nil"/>
              <w:left w:val="nil"/>
              <w:bottom w:val="nil"/>
              <w:right w:val="nil"/>
            </w:tcBorders>
            <w:shd w:val="clear" w:color="auto" w:fill="auto"/>
            <w:noWrap/>
            <w:vAlign w:val="bottom"/>
            <w:hideMark/>
          </w:tcPr>
          <w:p w14:paraId="6FDB0551"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4067EBB6"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6DCA858C"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0D72434C"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0A56D1F8" w14:textId="77777777" w:rsidTr="00276638">
        <w:trPr>
          <w:trHeight w:val="240"/>
        </w:trPr>
        <w:tc>
          <w:tcPr>
            <w:tcW w:w="3544" w:type="dxa"/>
            <w:tcBorders>
              <w:top w:val="nil"/>
              <w:left w:val="nil"/>
              <w:bottom w:val="nil"/>
              <w:right w:val="nil"/>
            </w:tcBorders>
            <w:shd w:val="clear" w:color="auto" w:fill="auto"/>
            <w:noWrap/>
            <w:vAlign w:val="bottom"/>
            <w:hideMark/>
          </w:tcPr>
          <w:p w14:paraId="70816FF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Less than 10 years</w:t>
            </w:r>
          </w:p>
        </w:tc>
        <w:tc>
          <w:tcPr>
            <w:tcW w:w="1559" w:type="dxa"/>
            <w:tcBorders>
              <w:top w:val="nil"/>
              <w:left w:val="nil"/>
              <w:bottom w:val="nil"/>
              <w:right w:val="nil"/>
            </w:tcBorders>
            <w:shd w:val="clear" w:color="auto" w:fill="auto"/>
            <w:noWrap/>
            <w:vAlign w:val="bottom"/>
            <w:hideMark/>
          </w:tcPr>
          <w:p w14:paraId="30B1641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71 (14.5%)</w:t>
            </w:r>
          </w:p>
        </w:tc>
        <w:tc>
          <w:tcPr>
            <w:tcW w:w="1701" w:type="dxa"/>
            <w:tcBorders>
              <w:top w:val="nil"/>
              <w:left w:val="nil"/>
              <w:bottom w:val="nil"/>
              <w:right w:val="nil"/>
            </w:tcBorders>
            <w:shd w:val="clear" w:color="auto" w:fill="auto"/>
            <w:noWrap/>
            <w:vAlign w:val="bottom"/>
            <w:hideMark/>
          </w:tcPr>
          <w:p w14:paraId="205AC9D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c>
          <w:tcPr>
            <w:tcW w:w="1560" w:type="dxa"/>
            <w:tcBorders>
              <w:top w:val="nil"/>
              <w:left w:val="nil"/>
              <w:bottom w:val="nil"/>
              <w:right w:val="nil"/>
            </w:tcBorders>
            <w:shd w:val="clear" w:color="auto" w:fill="auto"/>
            <w:noWrap/>
            <w:vAlign w:val="bottom"/>
            <w:hideMark/>
          </w:tcPr>
          <w:p w14:paraId="55FCEE2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c>
          <w:tcPr>
            <w:tcW w:w="1629" w:type="dxa"/>
            <w:tcBorders>
              <w:top w:val="nil"/>
              <w:left w:val="nil"/>
              <w:bottom w:val="nil"/>
              <w:right w:val="nil"/>
            </w:tcBorders>
            <w:shd w:val="clear" w:color="auto" w:fill="auto"/>
            <w:noWrap/>
            <w:vAlign w:val="bottom"/>
            <w:hideMark/>
          </w:tcPr>
          <w:p w14:paraId="634933D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459 (100.0%)</w:t>
            </w:r>
          </w:p>
        </w:tc>
      </w:tr>
      <w:tr w:rsidR="00880D6D" w:rsidRPr="008D6122" w14:paraId="38F5CD6C" w14:textId="77777777" w:rsidTr="00276638">
        <w:trPr>
          <w:trHeight w:val="240"/>
        </w:trPr>
        <w:tc>
          <w:tcPr>
            <w:tcW w:w="3544" w:type="dxa"/>
            <w:tcBorders>
              <w:top w:val="nil"/>
              <w:left w:val="nil"/>
              <w:bottom w:val="nil"/>
              <w:right w:val="nil"/>
            </w:tcBorders>
            <w:shd w:val="clear" w:color="auto" w:fill="auto"/>
            <w:noWrap/>
            <w:vAlign w:val="bottom"/>
            <w:hideMark/>
          </w:tcPr>
          <w:p w14:paraId="3FC1CB2B"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10-19 years</w:t>
            </w:r>
          </w:p>
        </w:tc>
        <w:tc>
          <w:tcPr>
            <w:tcW w:w="1559" w:type="dxa"/>
            <w:tcBorders>
              <w:top w:val="nil"/>
              <w:left w:val="nil"/>
              <w:bottom w:val="nil"/>
              <w:right w:val="nil"/>
            </w:tcBorders>
            <w:shd w:val="clear" w:color="auto" w:fill="auto"/>
            <w:noWrap/>
            <w:vAlign w:val="bottom"/>
            <w:hideMark/>
          </w:tcPr>
          <w:p w14:paraId="089C13A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162 (33.1%)</w:t>
            </w:r>
          </w:p>
        </w:tc>
        <w:tc>
          <w:tcPr>
            <w:tcW w:w="1701" w:type="dxa"/>
            <w:tcBorders>
              <w:top w:val="nil"/>
              <w:left w:val="nil"/>
              <w:bottom w:val="nil"/>
              <w:right w:val="nil"/>
            </w:tcBorders>
            <w:shd w:val="clear" w:color="auto" w:fill="auto"/>
            <w:noWrap/>
            <w:vAlign w:val="bottom"/>
            <w:hideMark/>
          </w:tcPr>
          <w:p w14:paraId="66ABB2A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685 (75.8%)</w:t>
            </w:r>
          </w:p>
        </w:tc>
        <w:tc>
          <w:tcPr>
            <w:tcW w:w="1560" w:type="dxa"/>
            <w:tcBorders>
              <w:top w:val="nil"/>
              <w:left w:val="nil"/>
              <w:bottom w:val="nil"/>
              <w:right w:val="nil"/>
            </w:tcBorders>
            <w:shd w:val="clear" w:color="auto" w:fill="auto"/>
            <w:noWrap/>
            <w:vAlign w:val="bottom"/>
            <w:hideMark/>
          </w:tcPr>
          <w:p w14:paraId="63F0C21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 (1.6%)</w:t>
            </w:r>
          </w:p>
        </w:tc>
        <w:tc>
          <w:tcPr>
            <w:tcW w:w="1629" w:type="dxa"/>
            <w:tcBorders>
              <w:top w:val="nil"/>
              <w:left w:val="nil"/>
              <w:bottom w:val="nil"/>
              <w:right w:val="nil"/>
            </w:tcBorders>
            <w:shd w:val="clear" w:color="auto" w:fill="auto"/>
            <w:noWrap/>
            <w:vAlign w:val="bottom"/>
            <w:hideMark/>
          </w:tcPr>
          <w:p w14:paraId="265228D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r>
      <w:tr w:rsidR="00880D6D" w:rsidRPr="008D6122" w14:paraId="684D5AFD" w14:textId="77777777" w:rsidTr="00276638">
        <w:trPr>
          <w:trHeight w:val="240"/>
        </w:trPr>
        <w:tc>
          <w:tcPr>
            <w:tcW w:w="3544" w:type="dxa"/>
            <w:tcBorders>
              <w:top w:val="nil"/>
              <w:left w:val="nil"/>
              <w:bottom w:val="nil"/>
              <w:right w:val="nil"/>
            </w:tcBorders>
            <w:shd w:val="clear" w:color="auto" w:fill="auto"/>
            <w:noWrap/>
            <w:vAlign w:val="bottom"/>
            <w:hideMark/>
          </w:tcPr>
          <w:p w14:paraId="48D671BD"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20-29 years</w:t>
            </w:r>
          </w:p>
        </w:tc>
        <w:tc>
          <w:tcPr>
            <w:tcW w:w="1559" w:type="dxa"/>
            <w:tcBorders>
              <w:top w:val="nil"/>
              <w:left w:val="nil"/>
              <w:bottom w:val="nil"/>
              <w:right w:val="nil"/>
            </w:tcBorders>
            <w:shd w:val="clear" w:color="auto" w:fill="auto"/>
            <w:noWrap/>
            <w:vAlign w:val="bottom"/>
            <w:hideMark/>
          </w:tcPr>
          <w:p w14:paraId="65D640C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141 (28.8%)</w:t>
            </w:r>
          </w:p>
        </w:tc>
        <w:tc>
          <w:tcPr>
            <w:tcW w:w="1701" w:type="dxa"/>
            <w:tcBorders>
              <w:top w:val="nil"/>
              <w:left w:val="nil"/>
              <w:bottom w:val="nil"/>
              <w:right w:val="nil"/>
            </w:tcBorders>
            <w:shd w:val="clear" w:color="auto" w:fill="auto"/>
            <w:noWrap/>
            <w:vAlign w:val="bottom"/>
            <w:hideMark/>
          </w:tcPr>
          <w:p w14:paraId="677F88A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217 (24.0%)</w:t>
            </w:r>
          </w:p>
        </w:tc>
        <w:tc>
          <w:tcPr>
            <w:tcW w:w="1560" w:type="dxa"/>
            <w:tcBorders>
              <w:top w:val="nil"/>
              <w:left w:val="nil"/>
              <w:bottom w:val="nil"/>
              <w:right w:val="nil"/>
            </w:tcBorders>
            <w:shd w:val="clear" w:color="auto" w:fill="auto"/>
            <w:noWrap/>
            <w:vAlign w:val="bottom"/>
            <w:hideMark/>
          </w:tcPr>
          <w:p w14:paraId="22A951C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326 (44.7%)</w:t>
            </w:r>
          </w:p>
        </w:tc>
        <w:tc>
          <w:tcPr>
            <w:tcW w:w="1629" w:type="dxa"/>
            <w:tcBorders>
              <w:top w:val="nil"/>
              <w:left w:val="nil"/>
              <w:bottom w:val="nil"/>
              <w:right w:val="nil"/>
            </w:tcBorders>
            <w:shd w:val="clear" w:color="auto" w:fill="auto"/>
            <w:noWrap/>
            <w:vAlign w:val="bottom"/>
            <w:hideMark/>
          </w:tcPr>
          <w:p w14:paraId="54B2BEC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r>
      <w:tr w:rsidR="00880D6D" w:rsidRPr="008D6122" w14:paraId="7F22C5F3" w14:textId="77777777" w:rsidTr="00276638">
        <w:trPr>
          <w:trHeight w:val="240"/>
        </w:trPr>
        <w:tc>
          <w:tcPr>
            <w:tcW w:w="3544" w:type="dxa"/>
            <w:tcBorders>
              <w:top w:val="nil"/>
              <w:left w:val="nil"/>
              <w:bottom w:val="nil"/>
              <w:right w:val="nil"/>
            </w:tcBorders>
            <w:shd w:val="clear" w:color="auto" w:fill="auto"/>
            <w:noWrap/>
            <w:vAlign w:val="bottom"/>
            <w:hideMark/>
          </w:tcPr>
          <w:p w14:paraId="7AA88A6D"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30 or more years</w:t>
            </w:r>
          </w:p>
        </w:tc>
        <w:tc>
          <w:tcPr>
            <w:tcW w:w="1559" w:type="dxa"/>
            <w:tcBorders>
              <w:top w:val="nil"/>
              <w:left w:val="nil"/>
              <w:bottom w:val="nil"/>
              <w:right w:val="nil"/>
            </w:tcBorders>
            <w:shd w:val="clear" w:color="auto" w:fill="auto"/>
            <w:noWrap/>
            <w:vAlign w:val="bottom"/>
            <w:hideMark/>
          </w:tcPr>
          <w:p w14:paraId="2ED374B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115 (23.5%)</w:t>
            </w:r>
          </w:p>
        </w:tc>
        <w:tc>
          <w:tcPr>
            <w:tcW w:w="1701" w:type="dxa"/>
            <w:tcBorders>
              <w:top w:val="nil"/>
              <w:left w:val="nil"/>
              <w:bottom w:val="nil"/>
              <w:right w:val="nil"/>
            </w:tcBorders>
            <w:shd w:val="clear" w:color="auto" w:fill="auto"/>
            <w:noWrap/>
            <w:vAlign w:val="bottom"/>
            <w:hideMark/>
          </w:tcPr>
          <w:p w14:paraId="0131EA9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 (0.2%)</w:t>
            </w:r>
          </w:p>
        </w:tc>
        <w:tc>
          <w:tcPr>
            <w:tcW w:w="1560" w:type="dxa"/>
            <w:tcBorders>
              <w:top w:val="nil"/>
              <w:left w:val="nil"/>
              <w:bottom w:val="nil"/>
              <w:right w:val="nil"/>
            </w:tcBorders>
            <w:shd w:val="clear" w:color="auto" w:fill="auto"/>
            <w:noWrap/>
            <w:vAlign w:val="bottom"/>
            <w:hideMark/>
          </w:tcPr>
          <w:p w14:paraId="7301C00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392 (53.7%)</w:t>
            </w:r>
          </w:p>
        </w:tc>
        <w:tc>
          <w:tcPr>
            <w:tcW w:w="1629" w:type="dxa"/>
            <w:tcBorders>
              <w:top w:val="nil"/>
              <w:left w:val="nil"/>
              <w:bottom w:val="nil"/>
              <w:right w:val="nil"/>
            </w:tcBorders>
            <w:shd w:val="clear" w:color="auto" w:fill="auto"/>
            <w:noWrap/>
            <w:vAlign w:val="bottom"/>
            <w:hideMark/>
          </w:tcPr>
          <w:p w14:paraId="2531B61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0 (0.0%)</w:t>
            </w:r>
          </w:p>
        </w:tc>
      </w:tr>
      <w:tr w:rsidR="00880D6D" w:rsidRPr="008D6122" w14:paraId="0F6BB381" w14:textId="77777777" w:rsidTr="00276638">
        <w:trPr>
          <w:trHeight w:val="240"/>
        </w:trPr>
        <w:tc>
          <w:tcPr>
            <w:tcW w:w="3544" w:type="dxa"/>
            <w:tcBorders>
              <w:top w:val="nil"/>
              <w:left w:val="nil"/>
              <w:bottom w:val="nil"/>
              <w:right w:val="nil"/>
            </w:tcBorders>
            <w:shd w:val="clear" w:color="auto" w:fill="auto"/>
            <w:noWrap/>
            <w:vAlign w:val="bottom"/>
            <w:hideMark/>
          </w:tcPr>
          <w:p w14:paraId="7410ED5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Falls in previous 12 months</w:t>
            </w:r>
          </w:p>
        </w:tc>
        <w:tc>
          <w:tcPr>
            <w:tcW w:w="1559" w:type="dxa"/>
            <w:tcBorders>
              <w:top w:val="nil"/>
              <w:left w:val="nil"/>
              <w:bottom w:val="nil"/>
              <w:right w:val="nil"/>
            </w:tcBorders>
            <w:shd w:val="clear" w:color="auto" w:fill="auto"/>
            <w:noWrap/>
            <w:vAlign w:val="bottom"/>
            <w:hideMark/>
          </w:tcPr>
          <w:p w14:paraId="486D27F3"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1EA261EE"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5693BA55"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7C6024AB"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3915D2A7" w14:textId="77777777" w:rsidTr="00276638">
        <w:trPr>
          <w:trHeight w:val="240"/>
        </w:trPr>
        <w:tc>
          <w:tcPr>
            <w:tcW w:w="3544" w:type="dxa"/>
            <w:tcBorders>
              <w:top w:val="nil"/>
              <w:left w:val="nil"/>
              <w:bottom w:val="nil"/>
              <w:right w:val="nil"/>
            </w:tcBorders>
            <w:shd w:val="clear" w:color="auto" w:fill="auto"/>
            <w:noWrap/>
            <w:vAlign w:val="bottom"/>
            <w:hideMark/>
          </w:tcPr>
          <w:p w14:paraId="31D2073F"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None</w:t>
            </w:r>
          </w:p>
        </w:tc>
        <w:tc>
          <w:tcPr>
            <w:tcW w:w="1559" w:type="dxa"/>
            <w:tcBorders>
              <w:top w:val="nil"/>
              <w:left w:val="nil"/>
              <w:bottom w:val="nil"/>
              <w:right w:val="nil"/>
            </w:tcBorders>
            <w:shd w:val="clear" w:color="auto" w:fill="auto"/>
            <w:noWrap/>
            <w:vAlign w:val="bottom"/>
            <w:hideMark/>
          </w:tcPr>
          <w:p w14:paraId="616CDC3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288 (58.9%)</w:t>
            </w:r>
          </w:p>
        </w:tc>
        <w:tc>
          <w:tcPr>
            <w:tcW w:w="1701" w:type="dxa"/>
            <w:tcBorders>
              <w:top w:val="nil"/>
              <w:left w:val="nil"/>
              <w:bottom w:val="nil"/>
              <w:right w:val="nil"/>
            </w:tcBorders>
            <w:shd w:val="clear" w:color="auto" w:fill="auto"/>
            <w:noWrap/>
            <w:vAlign w:val="bottom"/>
            <w:hideMark/>
          </w:tcPr>
          <w:p w14:paraId="284A26F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608 (67.3%)</w:t>
            </w:r>
          </w:p>
        </w:tc>
        <w:tc>
          <w:tcPr>
            <w:tcW w:w="1560" w:type="dxa"/>
            <w:tcBorders>
              <w:top w:val="nil"/>
              <w:left w:val="nil"/>
              <w:bottom w:val="nil"/>
              <w:right w:val="nil"/>
            </w:tcBorders>
            <w:shd w:val="clear" w:color="auto" w:fill="auto"/>
            <w:noWrap/>
            <w:vAlign w:val="bottom"/>
            <w:hideMark/>
          </w:tcPr>
          <w:p w14:paraId="3FC6AA6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435 (59.6%)</w:t>
            </w:r>
          </w:p>
        </w:tc>
        <w:tc>
          <w:tcPr>
            <w:tcW w:w="1629" w:type="dxa"/>
            <w:tcBorders>
              <w:top w:val="nil"/>
              <w:left w:val="nil"/>
              <w:bottom w:val="nil"/>
              <w:right w:val="nil"/>
            </w:tcBorders>
            <w:shd w:val="clear" w:color="auto" w:fill="auto"/>
            <w:noWrap/>
            <w:vAlign w:val="bottom"/>
            <w:hideMark/>
          </w:tcPr>
          <w:p w14:paraId="4383F9E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321 (69.9%)</w:t>
            </w:r>
          </w:p>
        </w:tc>
      </w:tr>
      <w:tr w:rsidR="00880D6D" w:rsidRPr="008D6122" w14:paraId="5009C1A9" w14:textId="77777777" w:rsidTr="00276638">
        <w:trPr>
          <w:trHeight w:val="240"/>
        </w:trPr>
        <w:tc>
          <w:tcPr>
            <w:tcW w:w="3544" w:type="dxa"/>
            <w:tcBorders>
              <w:top w:val="nil"/>
              <w:left w:val="nil"/>
              <w:bottom w:val="nil"/>
              <w:right w:val="nil"/>
            </w:tcBorders>
            <w:shd w:val="clear" w:color="auto" w:fill="auto"/>
            <w:noWrap/>
            <w:vAlign w:val="bottom"/>
            <w:hideMark/>
          </w:tcPr>
          <w:p w14:paraId="153F2710"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Once</w:t>
            </w:r>
          </w:p>
        </w:tc>
        <w:tc>
          <w:tcPr>
            <w:tcW w:w="1559" w:type="dxa"/>
            <w:tcBorders>
              <w:top w:val="nil"/>
              <w:left w:val="nil"/>
              <w:bottom w:val="nil"/>
              <w:right w:val="nil"/>
            </w:tcBorders>
            <w:shd w:val="clear" w:color="auto" w:fill="auto"/>
            <w:noWrap/>
            <w:vAlign w:val="bottom"/>
            <w:hideMark/>
          </w:tcPr>
          <w:p w14:paraId="32CA54D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125 (25.6%)</w:t>
            </w:r>
          </w:p>
        </w:tc>
        <w:tc>
          <w:tcPr>
            <w:tcW w:w="1701" w:type="dxa"/>
            <w:tcBorders>
              <w:top w:val="nil"/>
              <w:left w:val="nil"/>
              <w:bottom w:val="nil"/>
              <w:right w:val="nil"/>
            </w:tcBorders>
            <w:shd w:val="clear" w:color="auto" w:fill="auto"/>
            <w:noWrap/>
            <w:vAlign w:val="bottom"/>
            <w:hideMark/>
          </w:tcPr>
          <w:p w14:paraId="1725DFF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206 (22.8%)</w:t>
            </w:r>
          </w:p>
        </w:tc>
        <w:tc>
          <w:tcPr>
            <w:tcW w:w="1560" w:type="dxa"/>
            <w:tcBorders>
              <w:top w:val="nil"/>
              <w:left w:val="nil"/>
              <w:bottom w:val="nil"/>
              <w:right w:val="nil"/>
            </w:tcBorders>
            <w:shd w:val="clear" w:color="auto" w:fill="auto"/>
            <w:noWrap/>
            <w:vAlign w:val="bottom"/>
            <w:hideMark/>
          </w:tcPr>
          <w:p w14:paraId="230E36D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185 (25.3%)</w:t>
            </w:r>
          </w:p>
        </w:tc>
        <w:tc>
          <w:tcPr>
            <w:tcW w:w="1629" w:type="dxa"/>
            <w:tcBorders>
              <w:top w:val="nil"/>
              <w:left w:val="nil"/>
              <w:bottom w:val="nil"/>
              <w:right w:val="nil"/>
            </w:tcBorders>
            <w:shd w:val="clear" w:color="auto" w:fill="auto"/>
            <w:noWrap/>
            <w:vAlign w:val="bottom"/>
            <w:hideMark/>
          </w:tcPr>
          <w:p w14:paraId="73599DDB"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78 (17.0%)</w:t>
            </w:r>
          </w:p>
        </w:tc>
      </w:tr>
      <w:tr w:rsidR="00880D6D" w:rsidRPr="008D6122" w14:paraId="79AF618B" w14:textId="77777777" w:rsidTr="00276638">
        <w:trPr>
          <w:trHeight w:val="240"/>
        </w:trPr>
        <w:tc>
          <w:tcPr>
            <w:tcW w:w="3544" w:type="dxa"/>
            <w:tcBorders>
              <w:top w:val="nil"/>
              <w:left w:val="nil"/>
              <w:bottom w:val="nil"/>
              <w:right w:val="nil"/>
            </w:tcBorders>
            <w:shd w:val="clear" w:color="auto" w:fill="auto"/>
            <w:noWrap/>
            <w:vAlign w:val="bottom"/>
            <w:hideMark/>
          </w:tcPr>
          <w:p w14:paraId="215747D7"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2 times or more</w:t>
            </w:r>
          </w:p>
        </w:tc>
        <w:tc>
          <w:tcPr>
            <w:tcW w:w="1559" w:type="dxa"/>
            <w:tcBorders>
              <w:top w:val="nil"/>
              <w:left w:val="nil"/>
              <w:bottom w:val="nil"/>
              <w:right w:val="nil"/>
            </w:tcBorders>
            <w:shd w:val="clear" w:color="auto" w:fill="auto"/>
            <w:noWrap/>
            <w:vAlign w:val="bottom"/>
            <w:hideMark/>
          </w:tcPr>
          <w:p w14:paraId="2C6BB59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76 (15.5%)</w:t>
            </w:r>
          </w:p>
        </w:tc>
        <w:tc>
          <w:tcPr>
            <w:tcW w:w="1701" w:type="dxa"/>
            <w:tcBorders>
              <w:top w:val="nil"/>
              <w:left w:val="nil"/>
              <w:bottom w:val="nil"/>
              <w:right w:val="nil"/>
            </w:tcBorders>
            <w:shd w:val="clear" w:color="auto" w:fill="auto"/>
            <w:noWrap/>
            <w:vAlign w:val="bottom"/>
            <w:hideMark/>
          </w:tcPr>
          <w:p w14:paraId="3B22E57C"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90 (10.0%)</w:t>
            </w:r>
          </w:p>
        </w:tc>
        <w:tc>
          <w:tcPr>
            <w:tcW w:w="1560" w:type="dxa"/>
            <w:tcBorders>
              <w:top w:val="nil"/>
              <w:left w:val="nil"/>
              <w:bottom w:val="nil"/>
              <w:right w:val="nil"/>
            </w:tcBorders>
            <w:shd w:val="clear" w:color="auto" w:fill="auto"/>
            <w:noWrap/>
            <w:vAlign w:val="bottom"/>
            <w:hideMark/>
          </w:tcPr>
          <w:p w14:paraId="44CA884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110 (15.1%)</w:t>
            </w:r>
          </w:p>
        </w:tc>
        <w:tc>
          <w:tcPr>
            <w:tcW w:w="1629" w:type="dxa"/>
            <w:tcBorders>
              <w:top w:val="nil"/>
              <w:left w:val="nil"/>
              <w:bottom w:val="nil"/>
              <w:right w:val="nil"/>
            </w:tcBorders>
            <w:shd w:val="clear" w:color="auto" w:fill="auto"/>
            <w:noWrap/>
            <w:vAlign w:val="bottom"/>
            <w:hideMark/>
          </w:tcPr>
          <w:p w14:paraId="28DB21E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60 (13.1%)</w:t>
            </w:r>
          </w:p>
        </w:tc>
      </w:tr>
      <w:tr w:rsidR="00880D6D" w:rsidRPr="008D6122" w14:paraId="479DEF64" w14:textId="77777777" w:rsidTr="00276638">
        <w:trPr>
          <w:trHeight w:val="240"/>
        </w:trPr>
        <w:tc>
          <w:tcPr>
            <w:tcW w:w="3544" w:type="dxa"/>
            <w:tcBorders>
              <w:top w:val="nil"/>
              <w:left w:val="nil"/>
              <w:bottom w:val="nil"/>
              <w:right w:val="nil"/>
            </w:tcBorders>
            <w:shd w:val="clear" w:color="auto" w:fill="auto"/>
            <w:noWrap/>
            <w:vAlign w:val="bottom"/>
            <w:hideMark/>
          </w:tcPr>
          <w:p w14:paraId="583E032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Fracture since 45 years</w:t>
            </w:r>
          </w:p>
        </w:tc>
        <w:tc>
          <w:tcPr>
            <w:tcW w:w="1559" w:type="dxa"/>
            <w:tcBorders>
              <w:top w:val="nil"/>
              <w:left w:val="nil"/>
              <w:bottom w:val="nil"/>
              <w:right w:val="nil"/>
            </w:tcBorders>
            <w:shd w:val="clear" w:color="auto" w:fill="auto"/>
            <w:noWrap/>
            <w:vAlign w:val="bottom"/>
            <w:hideMark/>
          </w:tcPr>
          <w:p w14:paraId="5E0C2AD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165 (33.7%)</w:t>
            </w:r>
          </w:p>
        </w:tc>
        <w:tc>
          <w:tcPr>
            <w:tcW w:w="1701" w:type="dxa"/>
            <w:tcBorders>
              <w:top w:val="nil"/>
              <w:left w:val="nil"/>
              <w:bottom w:val="nil"/>
              <w:right w:val="nil"/>
            </w:tcBorders>
            <w:shd w:val="clear" w:color="auto" w:fill="auto"/>
            <w:noWrap/>
            <w:vAlign w:val="bottom"/>
            <w:hideMark/>
          </w:tcPr>
          <w:p w14:paraId="13D53A8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90 (10.0%)</w:t>
            </w:r>
          </w:p>
        </w:tc>
        <w:tc>
          <w:tcPr>
            <w:tcW w:w="1560" w:type="dxa"/>
            <w:tcBorders>
              <w:top w:val="nil"/>
              <w:left w:val="nil"/>
              <w:bottom w:val="nil"/>
              <w:right w:val="nil"/>
            </w:tcBorders>
            <w:shd w:val="clear" w:color="auto" w:fill="auto"/>
            <w:noWrap/>
            <w:vAlign w:val="bottom"/>
            <w:hideMark/>
          </w:tcPr>
          <w:p w14:paraId="76320EA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201 (27.5%)</w:t>
            </w:r>
          </w:p>
        </w:tc>
        <w:tc>
          <w:tcPr>
            <w:tcW w:w="1629" w:type="dxa"/>
            <w:tcBorders>
              <w:top w:val="nil"/>
              <w:left w:val="nil"/>
              <w:bottom w:val="nil"/>
              <w:right w:val="nil"/>
            </w:tcBorders>
            <w:shd w:val="clear" w:color="auto" w:fill="auto"/>
            <w:noWrap/>
            <w:vAlign w:val="bottom"/>
            <w:hideMark/>
          </w:tcPr>
          <w:p w14:paraId="7968E173"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31 (6.8%)</w:t>
            </w:r>
          </w:p>
        </w:tc>
      </w:tr>
      <w:tr w:rsidR="00880D6D" w:rsidRPr="008D6122" w14:paraId="20F977F8" w14:textId="77777777" w:rsidTr="00276638">
        <w:trPr>
          <w:trHeight w:val="240"/>
        </w:trPr>
        <w:tc>
          <w:tcPr>
            <w:tcW w:w="3544" w:type="dxa"/>
            <w:tcBorders>
              <w:top w:val="nil"/>
              <w:left w:val="nil"/>
              <w:bottom w:val="nil"/>
              <w:right w:val="nil"/>
            </w:tcBorders>
            <w:shd w:val="clear" w:color="auto" w:fill="auto"/>
            <w:noWrap/>
            <w:vAlign w:val="bottom"/>
            <w:hideMark/>
          </w:tcPr>
          <w:p w14:paraId="10F5977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Family history of hip fracture</w:t>
            </w:r>
          </w:p>
        </w:tc>
        <w:tc>
          <w:tcPr>
            <w:tcW w:w="1559" w:type="dxa"/>
            <w:tcBorders>
              <w:top w:val="nil"/>
              <w:left w:val="nil"/>
              <w:bottom w:val="nil"/>
              <w:right w:val="nil"/>
            </w:tcBorders>
            <w:shd w:val="clear" w:color="auto" w:fill="auto"/>
            <w:noWrap/>
            <w:vAlign w:val="bottom"/>
            <w:hideMark/>
          </w:tcPr>
          <w:p w14:paraId="38C146D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84 (17.2%)</w:t>
            </w:r>
          </w:p>
        </w:tc>
        <w:tc>
          <w:tcPr>
            <w:tcW w:w="1701" w:type="dxa"/>
            <w:tcBorders>
              <w:top w:val="nil"/>
              <w:left w:val="nil"/>
              <w:bottom w:val="nil"/>
              <w:right w:val="nil"/>
            </w:tcBorders>
            <w:shd w:val="clear" w:color="auto" w:fill="auto"/>
            <w:noWrap/>
            <w:vAlign w:val="bottom"/>
            <w:hideMark/>
          </w:tcPr>
          <w:p w14:paraId="69C6807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130 (14.4%)</w:t>
            </w:r>
          </w:p>
        </w:tc>
        <w:tc>
          <w:tcPr>
            <w:tcW w:w="1560" w:type="dxa"/>
            <w:tcBorders>
              <w:top w:val="nil"/>
              <w:left w:val="nil"/>
              <w:bottom w:val="nil"/>
              <w:right w:val="nil"/>
            </w:tcBorders>
            <w:shd w:val="clear" w:color="auto" w:fill="auto"/>
            <w:noWrap/>
            <w:vAlign w:val="bottom"/>
            <w:hideMark/>
          </w:tcPr>
          <w:p w14:paraId="7F3A3195"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83 (11.4%)</w:t>
            </w:r>
          </w:p>
        </w:tc>
        <w:tc>
          <w:tcPr>
            <w:tcW w:w="1629" w:type="dxa"/>
            <w:tcBorders>
              <w:top w:val="nil"/>
              <w:left w:val="nil"/>
              <w:bottom w:val="nil"/>
              <w:right w:val="nil"/>
            </w:tcBorders>
            <w:shd w:val="clear" w:color="auto" w:fill="auto"/>
            <w:noWrap/>
            <w:vAlign w:val="bottom"/>
            <w:hideMark/>
          </w:tcPr>
          <w:p w14:paraId="768D2CB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74 (16.1%)</w:t>
            </w:r>
          </w:p>
        </w:tc>
      </w:tr>
      <w:tr w:rsidR="00880D6D" w:rsidRPr="008D6122" w14:paraId="3D16D3C0" w14:textId="77777777" w:rsidTr="00276638">
        <w:trPr>
          <w:trHeight w:val="240"/>
        </w:trPr>
        <w:tc>
          <w:tcPr>
            <w:tcW w:w="3544" w:type="dxa"/>
            <w:tcBorders>
              <w:top w:val="nil"/>
              <w:left w:val="nil"/>
              <w:bottom w:val="nil"/>
              <w:right w:val="nil"/>
            </w:tcBorders>
            <w:shd w:val="clear" w:color="auto" w:fill="auto"/>
            <w:noWrap/>
            <w:vAlign w:val="bottom"/>
            <w:hideMark/>
          </w:tcPr>
          <w:p w14:paraId="1D7C38F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Number of comorbidities</w:t>
            </w:r>
          </w:p>
        </w:tc>
        <w:tc>
          <w:tcPr>
            <w:tcW w:w="1559" w:type="dxa"/>
            <w:tcBorders>
              <w:top w:val="nil"/>
              <w:left w:val="nil"/>
              <w:bottom w:val="nil"/>
              <w:right w:val="nil"/>
            </w:tcBorders>
            <w:shd w:val="clear" w:color="auto" w:fill="auto"/>
            <w:noWrap/>
            <w:vAlign w:val="bottom"/>
            <w:hideMark/>
          </w:tcPr>
          <w:p w14:paraId="41A132D8" w14:textId="77777777" w:rsidR="00880D6D" w:rsidRPr="009A499C"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60285245" w14:textId="77777777" w:rsidR="00880D6D" w:rsidRPr="009A499C"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05E91E0D" w14:textId="77777777" w:rsidR="00880D6D" w:rsidRPr="009A499C"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5B328B4C" w14:textId="77777777" w:rsidR="00880D6D" w:rsidRPr="009A499C" w:rsidRDefault="00880D6D" w:rsidP="00276638">
            <w:pPr>
              <w:spacing w:line="240" w:lineRule="auto"/>
              <w:jc w:val="both"/>
              <w:rPr>
                <w:rFonts w:ascii="Times New Roman" w:hAnsi="Times New Roman"/>
                <w:sz w:val="20"/>
                <w:szCs w:val="20"/>
              </w:rPr>
            </w:pPr>
          </w:p>
        </w:tc>
      </w:tr>
      <w:tr w:rsidR="00880D6D" w:rsidRPr="008D6122" w14:paraId="2E1D4F83" w14:textId="77777777" w:rsidTr="00276638">
        <w:trPr>
          <w:trHeight w:val="240"/>
        </w:trPr>
        <w:tc>
          <w:tcPr>
            <w:tcW w:w="3544" w:type="dxa"/>
            <w:tcBorders>
              <w:top w:val="nil"/>
              <w:left w:val="nil"/>
              <w:bottom w:val="nil"/>
              <w:right w:val="nil"/>
            </w:tcBorders>
            <w:shd w:val="clear" w:color="auto" w:fill="auto"/>
            <w:noWrap/>
            <w:vAlign w:val="bottom"/>
            <w:hideMark/>
          </w:tcPr>
          <w:p w14:paraId="2FC6513B"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0</w:t>
            </w:r>
          </w:p>
        </w:tc>
        <w:tc>
          <w:tcPr>
            <w:tcW w:w="1559" w:type="dxa"/>
            <w:tcBorders>
              <w:top w:val="nil"/>
              <w:left w:val="nil"/>
              <w:bottom w:val="nil"/>
              <w:right w:val="nil"/>
            </w:tcBorders>
            <w:shd w:val="clear" w:color="auto" w:fill="auto"/>
            <w:noWrap/>
            <w:vAlign w:val="bottom"/>
            <w:hideMark/>
          </w:tcPr>
          <w:p w14:paraId="66270E2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124 (25.4%)</w:t>
            </w:r>
          </w:p>
        </w:tc>
        <w:tc>
          <w:tcPr>
            <w:tcW w:w="1701" w:type="dxa"/>
            <w:tcBorders>
              <w:top w:val="nil"/>
              <w:left w:val="nil"/>
              <w:bottom w:val="nil"/>
              <w:right w:val="nil"/>
            </w:tcBorders>
            <w:shd w:val="clear" w:color="auto" w:fill="auto"/>
            <w:noWrap/>
            <w:vAlign w:val="bottom"/>
            <w:hideMark/>
          </w:tcPr>
          <w:p w14:paraId="035730E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271 (30.0%)</w:t>
            </w:r>
          </w:p>
        </w:tc>
        <w:tc>
          <w:tcPr>
            <w:tcW w:w="1560" w:type="dxa"/>
            <w:tcBorders>
              <w:top w:val="nil"/>
              <w:left w:val="nil"/>
              <w:bottom w:val="nil"/>
              <w:right w:val="nil"/>
            </w:tcBorders>
            <w:shd w:val="clear" w:color="auto" w:fill="auto"/>
            <w:noWrap/>
            <w:vAlign w:val="bottom"/>
            <w:hideMark/>
          </w:tcPr>
          <w:p w14:paraId="42FC115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100 (13.7%)</w:t>
            </w:r>
          </w:p>
        </w:tc>
        <w:tc>
          <w:tcPr>
            <w:tcW w:w="1629" w:type="dxa"/>
            <w:tcBorders>
              <w:top w:val="nil"/>
              <w:left w:val="nil"/>
              <w:bottom w:val="nil"/>
              <w:right w:val="nil"/>
            </w:tcBorders>
            <w:shd w:val="clear" w:color="auto" w:fill="auto"/>
            <w:noWrap/>
            <w:vAlign w:val="bottom"/>
            <w:hideMark/>
          </w:tcPr>
          <w:p w14:paraId="5B32275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167 (36.4%)</w:t>
            </w:r>
          </w:p>
        </w:tc>
      </w:tr>
      <w:tr w:rsidR="00880D6D" w:rsidRPr="008D6122" w14:paraId="7BDB6739" w14:textId="77777777" w:rsidTr="00276638">
        <w:trPr>
          <w:trHeight w:val="240"/>
        </w:trPr>
        <w:tc>
          <w:tcPr>
            <w:tcW w:w="3544" w:type="dxa"/>
            <w:tcBorders>
              <w:top w:val="nil"/>
              <w:left w:val="nil"/>
              <w:bottom w:val="nil"/>
              <w:right w:val="nil"/>
            </w:tcBorders>
            <w:shd w:val="clear" w:color="auto" w:fill="auto"/>
            <w:noWrap/>
            <w:vAlign w:val="bottom"/>
            <w:hideMark/>
          </w:tcPr>
          <w:p w14:paraId="358032ED"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1</w:t>
            </w:r>
          </w:p>
        </w:tc>
        <w:tc>
          <w:tcPr>
            <w:tcW w:w="1559" w:type="dxa"/>
            <w:tcBorders>
              <w:top w:val="nil"/>
              <w:left w:val="nil"/>
              <w:bottom w:val="nil"/>
              <w:right w:val="nil"/>
            </w:tcBorders>
            <w:shd w:val="clear" w:color="auto" w:fill="auto"/>
            <w:noWrap/>
            <w:vAlign w:val="bottom"/>
            <w:hideMark/>
          </w:tcPr>
          <w:p w14:paraId="122E7BE0"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144 (29.4%)</w:t>
            </w:r>
          </w:p>
        </w:tc>
        <w:tc>
          <w:tcPr>
            <w:tcW w:w="1701" w:type="dxa"/>
            <w:tcBorders>
              <w:top w:val="nil"/>
              <w:left w:val="nil"/>
              <w:bottom w:val="nil"/>
              <w:right w:val="nil"/>
            </w:tcBorders>
            <w:shd w:val="clear" w:color="auto" w:fill="auto"/>
            <w:noWrap/>
            <w:vAlign w:val="bottom"/>
            <w:hideMark/>
          </w:tcPr>
          <w:p w14:paraId="1C5308AF"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319 (35.3%)</w:t>
            </w:r>
          </w:p>
        </w:tc>
        <w:tc>
          <w:tcPr>
            <w:tcW w:w="1560" w:type="dxa"/>
            <w:tcBorders>
              <w:top w:val="nil"/>
              <w:left w:val="nil"/>
              <w:bottom w:val="nil"/>
              <w:right w:val="nil"/>
            </w:tcBorders>
            <w:shd w:val="clear" w:color="auto" w:fill="auto"/>
            <w:noWrap/>
            <w:vAlign w:val="bottom"/>
            <w:hideMark/>
          </w:tcPr>
          <w:p w14:paraId="3880DFEA"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171 (23.4%)</w:t>
            </w:r>
          </w:p>
        </w:tc>
        <w:tc>
          <w:tcPr>
            <w:tcW w:w="1629" w:type="dxa"/>
            <w:tcBorders>
              <w:top w:val="nil"/>
              <w:left w:val="nil"/>
              <w:bottom w:val="nil"/>
              <w:right w:val="nil"/>
            </w:tcBorders>
            <w:shd w:val="clear" w:color="auto" w:fill="auto"/>
            <w:noWrap/>
            <w:vAlign w:val="bottom"/>
            <w:hideMark/>
          </w:tcPr>
          <w:p w14:paraId="431AF2A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152 (33.1%)</w:t>
            </w:r>
          </w:p>
        </w:tc>
      </w:tr>
      <w:tr w:rsidR="00880D6D" w:rsidRPr="008D6122" w14:paraId="2297B9A8" w14:textId="77777777" w:rsidTr="00276638">
        <w:trPr>
          <w:trHeight w:val="240"/>
        </w:trPr>
        <w:tc>
          <w:tcPr>
            <w:tcW w:w="3544" w:type="dxa"/>
            <w:tcBorders>
              <w:top w:val="nil"/>
              <w:left w:val="nil"/>
              <w:bottom w:val="nil"/>
              <w:right w:val="nil"/>
            </w:tcBorders>
            <w:shd w:val="clear" w:color="auto" w:fill="auto"/>
            <w:noWrap/>
            <w:vAlign w:val="bottom"/>
            <w:hideMark/>
          </w:tcPr>
          <w:p w14:paraId="2B13FA42"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2</w:t>
            </w:r>
          </w:p>
        </w:tc>
        <w:tc>
          <w:tcPr>
            <w:tcW w:w="1559" w:type="dxa"/>
            <w:tcBorders>
              <w:top w:val="nil"/>
              <w:left w:val="nil"/>
              <w:bottom w:val="nil"/>
              <w:right w:val="nil"/>
            </w:tcBorders>
            <w:shd w:val="clear" w:color="auto" w:fill="auto"/>
            <w:noWrap/>
            <w:vAlign w:val="bottom"/>
            <w:hideMark/>
          </w:tcPr>
          <w:p w14:paraId="387475E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110 (22.5%)</w:t>
            </w:r>
          </w:p>
        </w:tc>
        <w:tc>
          <w:tcPr>
            <w:tcW w:w="1701" w:type="dxa"/>
            <w:tcBorders>
              <w:top w:val="nil"/>
              <w:left w:val="nil"/>
              <w:bottom w:val="nil"/>
              <w:right w:val="nil"/>
            </w:tcBorders>
            <w:shd w:val="clear" w:color="auto" w:fill="auto"/>
            <w:noWrap/>
            <w:vAlign w:val="bottom"/>
            <w:hideMark/>
          </w:tcPr>
          <w:p w14:paraId="66DB835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207 (22.9%)</w:t>
            </w:r>
          </w:p>
        </w:tc>
        <w:tc>
          <w:tcPr>
            <w:tcW w:w="1560" w:type="dxa"/>
            <w:tcBorders>
              <w:top w:val="nil"/>
              <w:left w:val="nil"/>
              <w:bottom w:val="nil"/>
              <w:right w:val="nil"/>
            </w:tcBorders>
            <w:shd w:val="clear" w:color="auto" w:fill="auto"/>
            <w:noWrap/>
            <w:vAlign w:val="bottom"/>
            <w:hideMark/>
          </w:tcPr>
          <w:p w14:paraId="0E4AA6CE"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229 (31.4%)</w:t>
            </w:r>
          </w:p>
        </w:tc>
        <w:tc>
          <w:tcPr>
            <w:tcW w:w="1629" w:type="dxa"/>
            <w:tcBorders>
              <w:top w:val="nil"/>
              <w:left w:val="nil"/>
              <w:bottom w:val="nil"/>
              <w:right w:val="nil"/>
            </w:tcBorders>
            <w:shd w:val="clear" w:color="auto" w:fill="auto"/>
            <w:noWrap/>
            <w:vAlign w:val="bottom"/>
            <w:hideMark/>
          </w:tcPr>
          <w:p w14:paraId="60EDEC86"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93 (20.3%)</w:t>
            </w:r>
          </w:p>
        </w:tc>
      </w:tr>
      <w:tr w:rsidR="00880D6D" w:rsidRPr="008D6122" w14:paraId="78A75E6E" w14:textId="77777777" w:rsidTr="00276638">
        <w:trPr>
          <w:trHeight w:val="240"/>
        </w:trPr>
        <w:tc>
          <w:tcPr>
            <w:tcW w:w="3544" w:type="dxa"/>
            <w:tcBorders>
              <w:top w:val="nil"/>
              <w:left w:val="nil"/>
              <w:bottom w:val="nil"/>
              <w:right w:val="nil"/>
            </w:tcBorders>
            <w:shd w:val="clear" w:color="auto" w:fill="auto"/>
            <w:noWrap/>
            <w:vAlign w:val="bottom"/>
            <w:hideMark/>
          </w:tcPr>
          <w:p w14:paraId="31BA27DE"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3</w:t>
            </w:r>
          </w:p>
        </w:tc>
        <w:tc>
          <w:tcPr>
            <w:tcW w:w="1559" w:type="dxa"/>
            <w:tcBorders>
              <w:top w:val="nil"/>
              <w:left w:val="nil"/>
              <w:bottom w:val="nil"/>
              <w:right w:val="nil"/>
            </w:tcBorders>
            <w:shd w:val="clear" w:color="auto" w:fill="auto"/>
            <w:noWrap/>
            <w:vAlign w:val="bottom"/>
            <w:hideMark/>
          </w:tcPr>
          <w:p w14:paraId="4D982E37"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72 (14.7%)</w:t>
            </w:r>
          </w:p>
        </w:tc>
        <w:tc>
          <w:tcPr>
            <w:tcW w:w="1701" w:type="dxa"/>
            <w:tcBorders>
              <w:top w:val="nil"/>
              <w:left w:val="nil"/>
              <w:bottom w:val="nil"/>
              <w:right w:val="nil"/>
            </w:tcBorders>
            <w:shd w:val="clear" w:color="auto" w:fill="auto"/>
            <w:noWrap/>
            <w:vAlign w:val="bottom"/>
            <w:hideMark/>
          </w:tcPr>
          <w:p w14:paraId="6231C128"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88 (9.7%)</w:t>
            </w:r>
          </w:p>
        </w:tc>
        <w:tc>
          <w:tcPr>
            <w:tcW w:w="1560" w:type="dxa"/>
            <w:tcBorders>
              <w:top w:val="nil"/>
              <w:left w:val="nil"/>
              <w:bottom w:val="nil"/>
              <w:right w:val="nil"/>
            </w:tcBorders>
            <w:shd w:val="clear" w:color="auto" w:fill="auto"/>
            <w:noWrap/>
            <w:vAlign w:val="bottom"/>
            <w:hideMark/>
          </w:tcPr>
          <w:p w14:paraId="29CBF8D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127 (17.4%)</w:t>
            </w:r>
          </w:p>
        </w:tc>
        <w:tc>
          <w:tcPr>
            <w:tcW w:w="1629" w:type="dxa"/>
            <w:tcBorders>
              <w:top w:val="nil"/>
              <w:left w:val="nil"/>
              <w:bottom w:val="nil"/>
              <w:right w:val="nil"/>
            </w:tcBorders>
            <w:shd w:val="clear" w:color="auto" w:fill="auto"/>
            <w:noWrap/>
            <w:vAlign w:val="bottom"/>
            <w:hideMark/>
          </w:tcPr>
          <w:p w14:paraId="1115493D"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32 (7.0%)</w:t>
            </w:r>
          </w:p>
        </w:tc>
      </w:tr>
      <w:tr w:rsidR="00880D6D" w:rsidRPr="008D6122" w14:paraId="0B52369D" w14:textId="77777777" w:rsidTr="00276638">
        <w:trPr>
          <w:trHeight w:val="240"/>
        </w:trPr>
        <w:tc>
          <w:tcPr>
            <w:tcW w:w="3544" w:type="dxa"/>
            <w:tcBorders>
              <w:top w:val="nil"/>
              <w:left w:val="nil"/>
              <w:bottom w:val="single" w:sz="4" w:space="0" w:color="auto"/>
              <w:right w:val="nil"/>
            </w:tcBorders>
            <w:shd w:val="clear" w:color="auto" w:fill="auto"/>
            <w:noWrap/>
            <w:vAlign w:val="bottom"/>
            <w:hideMark/>
          </w:tcPr>
          <w:p w14:paraId="47DEA7C8" w14:textId="77777777" w:rsidR="00880D6D" w:rsidRPr="009A499C" w:rsidRDefault="00880D6D" w:rsidP="00276638">
            <w:pPr>
              <w:spacing w:line="240" w:lineRule="auto"/>
              <w:ind w:firstLineChars="200" w:firstLine="400"/>
              <w:jc w:val="both"/>
              <w:rPr>
                <w:rFonts w:ascii="Times New Roman" w:hAnsi="Times New Roman"/>
                <w:color w:val="000000"/>
                <w:sz w:val="20"/>
                <w:szCs w:val="20"/>
              </w:rPr>
            </w:pPr>
            <w:r w:rsidRPr="009A499C">
              <w:rPr>
                <w:rFonts w:ascii="Times New Roman" w:hAnsi="Times New Roman"/>
                <w:color w:val="000000"/>
                <w:sz w:val="20"/>
                <w:szCs w:val="20"/>
              </w:rPr>
              <w:t>4+</w:t>
            </w:r>
          </w:p>
        </w:tc>
        <w:tc>
          <w:tcPr>
            <w:tcW w:w="1559" w:type="dxa"/>
            <w:tcBorders>
              <w:top w:val="nil"/>
              <w:left w:val="nil"/>
              <w:bottom w:val="single" w:sz="4" w:space="0" w:color="auto"/>
              <w:right w:val="nil"/>
            </w:tcBorders>
            <w:shd w:val="clear" w:color="auto" w:fill="auto"/>
            <w:noWrap/>
            <w:vAlign w:val="bottom"/>
            <w:hideMark/>
          </w:tcPr>
          <w:p w14:paraId="43D78D61"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39 (8.0%)</w:t>
            </w:r>
          </w:p>
        </w:tc>
        <w:tc>
          <w:tcPr>
            <w:tcW w:w="1701" w:type="dxa"/>
            <w:tcBorders>
              <w:top w:val="nil"/>
              <w:left w:val="nil"/>
              <w:bottom w:val="single" w:sz="4" w:space="0" w:color="auto"/>
              <w:right w:val="nil"/>
            </w:tcBorders>
            <w:shd w:val="clear" w:color="auto" w:fill="auto"/>
            <w:noWrap/>
            <w:vAlign w:val="bottom"/>
            <w:hideMark/>
          </w:tcPr>
          <w:p w14:paraId="3F57A764"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19 (2.1%)</w:t>
            </w:r>
          </w:p>
        </w:tc>
        <w:tc>
          <w:tcPr>
            <w:tcW w:w="1560" w:type="dxa"/>
            <w:tcBorders>
              <w:top w:val="nil"/>
              <w:left w:val="nil"/>
              <w:bottom w:val="single" w:sz="4" w:space="0" w:color="auto"/>
              <w:right w:val="nil"/>
            </w:tcBorders>
            <w:shd w:val="clear" w:color="auto" w:fill="auto"/>
            <w:noWrap/>
            <w:vAlign w:val="bottom"/>
            <w:hideMark/>
          </w:tcPr>
          <w:p w14:paraId="20BD8969"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103 (14.1%)</w:t>
            </w:r>
          </w:p>
        </w:tc>
        <w:tc>
          <w:tcPr>
            <w:tcW w:w="1629" w:type="dxa"/>
            <w:tcBorders>
              <w:top w:val="nil"/>
              <w:left w:val="nil"/>
              <w:bottom w:val="single" w:sz="4" w:space="0" w:color="auto"/>
              <w:right w:val="nil"/>
            </w:tcBorders>
            <w:shd w:val="clear" w:color="auto" w:fill="auto"/>
            <w:noWrap/>
            <w:vAlign w:val="bottom"/>
            <w:hideMark/>
          </w:tcPr>
          <w:p w14:paraId="224D5212" w14:textId="77777777" w:rsidR="00880D6D" w:rsidRPr="009A499C" w:rsidRDefault="00880D6D" w:rsidP="00276638">
            <w:pPr>
              <w:spacing w:line="240" w:lineRule="auto"/>
              <w:jc w:val="both"/>
              <w:rPr>
                <w:rFonts w:ascii="Times New Roman" w:hAnsi="Times New Roman"/>
                <w:color w:val="000000"/>
                <w:sz w:val="20"/>
                <w:szCs w:val="20"/>
              </w:rPr>
            </w:pPr>
            <w:r w:rsidRPr="009A499C">
              <w:rPr>
                <w:rFonts w:ascii="Times New Roman" w:hAnsi="Times New Roman"/>
                <w:color w:val="000000"/>
                <w:sz w:val="20"/>
                <w:szCs w:val="20"/>
              </w:rPr>
              <w:t>15 (3.3%)</w:t>
            </w:r>
          </w:p>
        </w:tc>
      </w:tr>
      <w:tr w:rsidR="00880D6D" w:rsidRPr="008D6122" w14:paraId="025F566F" w14:textId="77777777" w:rsidTr="00276638">
        <w:trPr>
          <w:trHeight w:val="240"/>
        </w:trPr>
        <w:tc>
          <w:tcPr>
            <w:tcW w:w="3544" w:type="dxa"/>
            <w:tcBorders>
              <w:top w:val="nil"/>
              <w:left w:val="nil"/>
              <w:bottom w:val="nil"/>
              <w:right w:val="nil"/>
            </w:tcBorders>
            <w:shd w:val="clear" w:color="auto" w:fill="auto"/>
            <w:noWrap/>
            <w:vAlign w:val="bottom"/>
            <w:hideMark/>
          </w:tcPr>
          <w:p w14:paraId="6C05CFBE" w14:textId="77777777" w:rsidR="00880D6D" w:rsidRPr="008D6122" w:rsidRDefault="00880D6D" w:rsidP="00276638">
            <w:pPr>
              <w:spacing w:line="240" w:lineRule="auto"/>
              <w:jc w:val="both"/>
              <w:rPr>
                <w:rFonts w:ascii="Times New Roman" w:hAnsi="Times New Roman"/>
                <w:color w:val="000000"/>
                <w:sz w:val="20"/>
                <w:szCs w:val="20"/>
              </w:rPr>
            </w:pPr>
            <w:r w:rsidRPr="008D6122">
              <w:rPr>
                <w:rFonts w:ascii="Times New Roman" w:hAnsi="Times New Roman"/>
                <w:color w:val="000000"/>
                <w:sz w:val="20"/>
                <w:szCs w:val="20"/>
              </w:rPr>
              <w:t>*Mean (SD)</w:t>
            </w:r>
          </w:p>
        </w:tc>
        <w:tc>
          <w:tcPr>
            <w:tcW w:w="1559" w:type="dxa"/>
            <w:tcBorders>
              <w:top w:val="nil"/>
              <w:left w:val="nil"/>
              <w:bottom w:val="nil"/>
              <w:right w:val="nil"/>
            </w:tcBorders>
            <w:shd w:val="clear" w:color="auto" w:fill="auto"/>
            <w:noWrap/>
            <w:vAlign w:val="bottom"/>
            <w:hideMark/>
          </w:tcPr>
          <w:p w14:paraId="35FF9A65" w14:textId="77777777" w:rsidR="00880D6D" w:rsidRPr="008D6122" w:rsidRDefault="00880D6D" w:rsidP="00276638">
            <w:pPr>
              <w:spacing w:line="240" w:lineRule="auto"/>
              <w:jc w:val="both"/>
              <w:rPr>
                <w:rFonts w:ascii="Times New Roman" w:hAnsi="Times New Roman"/>
                <w:color w:val="000000"/>
                <w:sz w:val="20"/>
                <w:szCs w:val="20"/>
              </w:rPr>
            </w:pPr>
          </w:p>
        </w:tc>
        <w:tc>
          <w:tcPr>
            <w:tcW w:w="1701" w:type="dxa"/>
            <w:tcBorders>
              <w:top w:val="nil"/>
              <w:left w:val="nil"/>
              <w:bottom w:val="nil"/>
              <w:right w:val="nil"/>
            </w:tcBorders>
            <w:shd w:val="clear" w:color="auto" w:fill="auto"/>
            <w:noWrap/>
            <w:vAlign w:val="bottom"/>
            <w:hideMark/>
          </w:tcPr>
          <w:p w14:paraId="29D2DD99" w14:textId="77777777" w:rsidR="00880D6D" w:rsidRPr="008D6122" w:rsidRDefault="00880D6D" w:rsidP="00276638">
            <w:pPr>
              <w:spacing w:line="240" w:lineRule="auto"/>
              <w:jc w:val="both"/>
              <w:rPr>
                <w:rFonts w:ascii="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198C064F" w14:textId="77777777" w:rsidR="00880D6D" w:rsidRPr="008D6122" w:rsidRDefault="00880D6D" w:rsidP="00276638">
            <w:pPr>
              <w:spacing w:line="240" w:lineRule="auto"/>
              <w:jc w:val="both"/>
              <w:rPr>
                <w:rFonts w:ascii="Times New Roman" w:hAnsi="Times New Roman"/>
                <w:sz w:val="20"/>
                <w:szCs w:val="20"/>
              </w:rPr>
            </w:pPr>
          </w:p>
        </w:tc>
        <w:tc>
          <w:tcPr>
            <w:tcW w:w="1629" w:type="dxa"/>
            <w:tcBorders>
              <w:top w:val="nil"/>
              <w:left w:val="nil"/>
              <w:bottom w:val="nil"/>
              <w:right w:val="nil"/>
            </w:tcBorders>
            <w:shd w:val="clear" w:color="auto" w:fill="auto"/>
            <w:noWrap/>
            <w:vAlign w:val="bottom"/>
            <w:hideMark/>
          </w:tcPr>
          <w:p w14:paraId="2BDAC25E" w14:textId="77777777" w:rsidR="00880D6D" w:rsidRPr="008D6122" w:rsidRDefault="00880D6D" w:rsidP="00276638">
            <w:pPr>
              <w:spacing w:line="240" w:lineRule="auto"/>
              <w:jc w:val="both"/>
              <w:rPr>
                <w:rFonts w:ascii="Times New Roman" w:hAnsi="Times New Roman"/>
                <w:sz w:val="20"/>
                <w:szCs w:val="20"/>
              </w:rPr>
            </w:pPr>
          </w:p>
        </w:tc>
      </w:tr>
      <w:tr w:rsidR="00880D6D" w:rsidRPr="008D6122" w14:paraId="4791479F" w14:textId="77777777" w:rsidTr="00276638">
        <w:trPr>
          <w:trHeight w:val="480"/>
        </w:trPr>
        <w:tc>
          <w:tcPr>
            <w:tcW w:w="9993" w:type="dxa"/>
            <w:gridSpan w:val="5"/>
            <w:tcBorders>
              <w:top w:val="nil"/>
              <w:left w:val="nil"/>
              <w:right w:val="nil"/>
            </w:tcBorders>
            <w:shd w:val="clear" w:color="auto" w:fill="auto"/>
            <w:noWrap/>
            <w:vAlign w:val="bottom"/>
          </w:tcPr>
          <w:p w14:paraId="1E83A257" w14:textId="77777777" w:rsidR="00880D6D" w:rsidRDefault="00880D6D" w:rsidP="00276638">
            <w:pPr>
              <w:spacing w:line="240" w:lineRule="auto"/>
              <w:jc w:val="both"/>
              <w:rPr>
                <w:rFonts w:ascii="Times New Roman" w:hAnsi="Times New Roman"/>
                <w:sz w:val="20"/>
                <w:szCs w:val="20"/>
              </w:rPr>
            </w:pPr>
            <w:r w:rsidRPr="008D6122">
              <w:rPr>
                <w:rFonts w:ascii="Times New Roman" w:hAnsi="Times New Roman"/>
                <w:sz w:val="20"/>
                <w:szCs w:val="20"/>
              </w:rPr>
              <w:t>The cluster analysis was restricted to participants with complete data for all variables that were used in the cluster analysis algorithm (n=2582)</w:t>
            </w:r>
          </w:p>
          <w:p w14:paraId="3AF7980F" w14:textId="77777777" w:rsidR="00880D6D" w:rsidRPr="008D6122" w:rsidRDefault="00880D6D" w:rsidP="00276638">
            <w:pPr>
              <w:spacing w:line="240" w:lineRule="auto"/>
              <w:jc w:val="both"/>
              <w:rPr>
                <w:rFonts w:ascii="Times New Roman" w:hAnsi="Times New Roman"/>
                <w:sz w:val="20"/>
                <w:szCs w:val="20"/>
              </w:rPr>
            </w:pPr>
            <w:r>
              <w:rPr>
                <w:rFonts w:ascii="Times New Roman" w:hAnsi="Times New Roman"/>
                <w:sz w:val="20"/>
                <w:szCs w:val="20"/>
              </w:rPr>
              <w:t>BMI was derived from self-reported height and weight</w:t>
            </w:r>
          </w:p>
        </w:tc>
      </w:tr>
    </w:tbl>
    <w:p w14:paraId="2B75863D" w14:textId="77777777" w:rsidR="00880D6D" w:rsidRDefault="00880D6D" w:rsidP="00880D6D">
      <w:pPr>
        <w:tabs>
          <w:tab w:val="left" w:pos="3311"/>
        </w:tabs>
        <w:jc w:val="both"/>
        <w:rPr>
          <w:rFonts w:ascii="Times New Roman" w:hAnsi="Times New Roman"/>
          <w:szCs w:val="22"/>
        </w:rPr>
      </w:pPr>
    </w:p>
    <w:p w14:paraId="56ABA614" w14:textId="77777777" w:rsidR="00880D6D" w:rsidRDefault="00880D6D" w:rsidP="00880D6D">
      <w:pPr>
        <w:tabs>
          <w:tab w:val="left" w:pos="3311"/>
        </w:tabs>
        <w:jc w:val="both"/>
        <w:rPr>
          <w:rFonts w:ascii="Times New Roman" w:hAnsi="Times New Roman"/>
          <w:szCs w:val="22"/>
        </w:rPr>
      </w:pPr>
    </w:p>
    <w:p w14:paraId="120F37E4" w14:textId="77777777" w:rsidR="00880D6D" w:rsidRDefault="00880D6D" w:rsidP="00880D6D">
      <w:pPr>
        <w:tabs>
          <w:tab w:val="left" w:pos="3311"/>
        </w:tabs>
        <w:jc w:val="both"/>
        <w:rPr>
          <w:rFonts w:ascii="Times New Roman" w:hAnsi="Times New Roman"/>
          <w:szCs w:val="22"/>
        </w:rPr>
      </w:pPr>
    </w:p>
    <w:p w14:paraId="6CDFEB82" w14:textId="77777777" w:rsidR="00880D6D" w:rsidRDefault="00880D6D" w:rsidP="00880D6D">
      <w:pPr>
        <w:tabs>
          <w:tab w:val="left" w:pos="3311"/>
        </w:tabs>
        <w:jc w:val="both"/>
        <w:rPr>
          <w:rFonts w:ascii="Times New Roman" w:hAnsi="Times New Roman"/>
          <w:szCs w:val="22"/>
        </w:rPr>
      </w:pPr>
    </w:p>
    <w:p w14:paraId="655AD794" w14:textId="77777777" w:rsidR="00880D6D" w:rsidRDefault="00880D6D" w:rsidP="00880D6D">
      <w:pPr>
        <w:tabs>
          <w:tab w:val="left" w:pos="3311"/>
        </w:tabs>
        <w:jc w:val="both"/>
        <w:rPr>
          <w:rFonts w:ascii="Times New Roman" w:hAnsi="Times New Roman"/>
          <w:szCs w:val="22"/>
        </w:rPr>
      </w:pPr>
    </w:p>
    <w:p w14:paraId="690D449F" w14:textId="77777777" w:rsidR="00880D6D" w:rsidRDefault="00880D6D" w:rsidP="00880D6D">
      <w:pPr>
        <w:tabs>
          <w:tab w:val="left" w:pos="3311"/>
        </w:tabs>
        <w:jc w:val="both"/>
        <w:rPr>
          <w:rFonts w:ascii="Times New Roman" w:hAnsi="Times New Roman"/>
          <w:szCs w:val="22"/>
        </w:rPr>
      </w:pPr>
    </w:p>
    <w:p w14:paraId="3D0E6B44" w14:textId="77777777" w:rsidR="00880D6D" w:rsidRDefault="00880D6D" w:rsidP="00880D6D">
      <w:pPr>
        <w:tabs>
          <w:tab w:val="left" w:pos="3311"/>
        </w:tabs>
        <w:jc w:val="both"/>
        <w:rPr>
          <w:rFonts w:ascii="Times New Roman" w:hAnsi="Times New Roman"/>
          <w:szCs w:val="22"/>
        </w:rPr>
      </w:pPr>
    </w:p>
    <w:p w14:paraId="6D35F1EF" w14:textId="77777777" w:rsidR="00880D6D" w:rsidRDefault="00880D6D" w:rsidP="00880D6D">
      <w:pPr>
        <w:tabs>
          <w:tab w:val="left" w:pos="3311"/>
        </w:tabs>
        <w:jc w:val="both"/>
        <w:rPr>
          <w:rFonts w:ascii="Times New Roman" w:hAnsi="Times New Roman"/>
          <w:szCs w:val="22"/>
        </w:rPr>
      </w:pPr>
    </w:p>
    <w:p w14:paraId="498F3CAF" w14:textId="77777777" w:rsidR="00880D6D" w:rsidRDefault="00880D6D" w:rsidP="00880D6D">
      <w:pPr>
        <w:tabs>
          <w:tab w:val="left" w:pos="3311"/>
        </w:tabs>
        <w:jc w:val="both"/>
        <w:rPr>
          <w:rFonts w:ascii="Times New Roman" w:hAnsi="Times New Roman"/>
          <w:szCs w:val="22"/>
        </w:rPr>
      </w:pPr>
    </w:p>
    <w:p w14:paraId="1717DDEB" w14:textId="77777777" w:rsidR="00880D6D" w:rsidRDefault="00880D6D" w:rsidP="00880D6D">
      <w:pPr>
        <w:tabs>
          <w:tab w:val="left" w:pos="3311"/>
        </w:tabs>
        <w:jc w:val="both"/>
        <w:rPr>
          <w:rFonts w:ascii="Times New Roman" w:hAnsi="Times New Roman"/>
          <w:szCs w:val="22"/>
        </w:rPr>
      </w:pPr>
    </w:p>
    <w:p w14:paraId="09A939C5" w14:textId="77777777" w:rsidR="00880D6D" w:rsidRDefault="00880D6D" w:rsidP="00880D6D">
      <w:pPr>
        <w:tabs>
          <w:tab w:val="left" w:pos="3311"/>
        </w:tabs>
        <w:jc w:val="both"/>
        <w:rPr>
          <w:rFonts w:ascii="Times New Roman" w:hAnsi="Times New Roman"/>
          <w:szCs w:val="22"/>
        </w:rPr>
      </w:pPr>
    </w:p>
    <w:p w14:paraId="3C19F34A" w14:textId="77777777" w:rsidR="00880D6D" w:rsidRDefault="00880D6D" w:rsidP="00880D6D">
      <w:pPr>
        <w:tabs>
          <w:tab w:val="left" w:pos="3311"/>
        </w:tabs>
        <w:jc w:val="both"/>
        <w:rPr>
          <w:rFonts w:ascii="Times New Roman" w:hAnsi="Times New Roman"/>
          <w:szCs w:val="22"/>
        </w:rPr>
      </w:pPr>
    </w:p>
    <w:p w14:paraId="4A97249D" w14:textId="77777777" w:rsidR="00880D6D" w:rsidRDefault="00880D6D" w:rsidP="00880D6D">
      <w:pPr>
        <w:tabs>
          <w:tab w:val="left" w:pos="3311"/>
        </w:tabs>
        <w:jc w:val="both"/>
        <w:rPr>
          <w:rFonts w:ascii="Times New Roman" w:hAnsi="Times New Roman"/>
          <w:szCs w:val="22"/>
        </w:rPr>
      </w:pPr>
    </w:p>
    <w:p w14:paraId="236486DC" w14:textId="77777777" w:rsidR="00880D6D" w:rsidRDefault="00880D6D" w:rsidP="00880D6D">
      <w:pPr>
        <w:tabs>
          <w:tab w:val="left" w:pos="3311"/>
        </w:tabs>
        <w:jc w:val="both"/>
        <w:rPr>
          <w:rFonts w:ascii="Times New Roman" w:hAnsi="Times New Roman"/>
          <w:szCs w:val="22"/>
        </w:rPr>
      </w:pPr>
    </w:p>
    <w:p w14:paraId="62966802" w14:textId="77777777" w:rsidR="00880D6D" w:rsidRDefault="00880D6D" w:rsidP="00880D6D">
      <w:pPr>
        <w:tabs>
          <w:tab w:val="left" w:pos="3311"/>
        </w:tabs>
        <w:jc w:val="both"/>
        <w:rPr>
          <w:rFonts w:ascii="Times New Roman" w:hAnsi="Times New Roman"/>
          <w:szCs w:val="22"/>
        </w:rPr>
      </w:pPr>
    </w:p>
    <w:p w14:paraId="3F20F682" w14:textId="77777777" w:rsidR="00880D6D" w:rsidRDefault="00880D6D" w:rsidP="00880D6D">
      <w:pPr>
        <w:tabs>
          <w:tab w:val="left" w:pos="3311"/>
        </w:tabs>
        <w:jc w:val="both"/>
        <w:rPr>
          <w:rFonts w:ascii="Times New Roman" w:hAnsi="Times New Roman"/>
          <w:szCs w:val="22"/>
        </w:rPr>
      </w:pPr>
    </w:p>
    <w:p w14:paraId="6E9DB4A3" w14:textId="77777777" w:rsidR="00880D6D" w:rsidRDefault="00880D6D" w:rsidP="00880D6D">
      <w:pPr>
        <w:tabs>
          <w:tab w:val="left" w:pos="3311"/>
        </w:tabs>
        <w:jc w:val="both"/>
        <w:rPr>
          <w:rFonts w:ascii="Times New Roman" w:hAnsi="Times New Roman"/>
          <w:szCs w:val="22"/>
        </w:rPr>
      </w:pPr>
    </w:p>
    <w:p w14:paraId="3327C222" w14:textId="77777777" w:rsidR="00880D6D" w:rsidRDefault="00880D6D" w:rsidP="00880D6D">
      <w:pPr>
        <w:tabs>
          <w:tab w:val="left" w:pos="3311"/>
        </w:tabs>
        <w:jc w:val="both"/>
        <w:rPr>
          <w:rFonts w:ascii="Times New Roman" w:hAnsi="Times New Roman"/>
          <w:szCs w:val="22"/>
        </w:rPr>
      </w:pPr>
    </w:p>
    <w:tbl>
      <w:tblPr>
        <w:tblpPr w:leftFromText="180" w:rightFromText="180" w:vertAnchor="text" w:horzAnchor="margin" w:tblpY="-191"/>
        <w:tblW w:w="8160" w:type="dxa"/>
        <w:tblLook w:val="04A0" w:firstRow="1" w:lastRow="0" w:firstColumn="1" w:lastColumn="0" w:noHBand="0" w:noVBand="1"/>
      </w:tblPr>
      <w:tblGrid>
        <w:gridCol w:w="2158"/>
        <w:gridCol w:w="2185"/>
        <w:gridCol w:w="681"/>
        <w:gridCol w:w="2034"/>
        <w:gridCol w:w="1102"/>
      </w:tblGrid>
      <w:tr w:rsidR="00880D6D" w:rsidRPr="00646A91" w14:paraId="5E376B37" w14:textId="77777777" w:rsidTr="006D50D1">
        <w:trPr>
          <w:trHeight w:val="465"/>
        </w:trPr>
        <w:tc>
          <w:tcPr>
            <w:tcW w:w="8160" w:type="dxa"/>
            <w:gridSpan w:val="5"/>
            <w:vMerge w:val="restart"/>
            <w:tcBorders>
              <w:top w:val="nil"/>
              <w:left w:val="nil"/>
              <w:bottom w:val="nil"/>
              <w:right w:val="nil"/>
            </w:tcBorders>
            <w:shd w:val="clear" w:color="auto" w:fill="auto"/>
            <w:vAlign w:val="center"/>
            <w:hideMark/>
          </w:tcPr>
          <w:p w14:paraId="5B6F770F"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 xml:space="preserve">Table 5: Standard deviation difference in mean DXA aBMD parameters (95%CI) per higher band of self-perceived fracture risk at </w:t>
            </w:r>
            <w:r>
              <w:rPr>
                <w:rFonts w:ascii="Times New Roman" w:hAnsi="Times New Roman"/>
                <w:b/>
                <w:bCs/>
                <w:sz w:val="20"/>
                <w:szCs w:val="20"/>
              </w:rPr>
              <w:t>baseline</w:t>
            </w:r>
          </w:p>
        </w:tc>
      </w:tr>
      <w:tr w:rsidR="00880D6D" w:rsidRPr="00646A91" w14:paraId="4DE0EF85" w14:textId="77777777" w:rsidTr="006D50D1">
        <w:trPr>
          <w:trHeight w:val="465"/>
        </w:trPr>
        <w:tc>
          <w:tcPr>
            <w:tcW w:w="8160" w:type="dxa"/>
            <w:gridSpan w:val="5"/>
            <w:vMerge/>
            <w:tcBorders>
              <w:top w:val="nil"/>
              <w:left w:val="nil"/>
              <w:bottom w:val="single" w:sz="4" w:space="0" w:color="auto"/>
              <w:right w:val="nil"/>
            </w:tcBorders>
            <w:vAlign w:val="center"/>
            <w:hideMark/>
          </w:tcPr>
          <w:p w14:paraId="0F1904FC" w14:textId="77777777" w:rsidR="00880D6D" w:rsidRPr="00646A91" w:rsidRDefault="00880D6D" w:rsidP="00C6502B">
            <w:pPr>
              <w:tabs>
                <w:tab w:val="left" w:pos="3311"/>
              </w:tabs>
              <w:spacing w:line="240" w:lineRule="auto"/>
              <w:jc w:val="both"/>
              <w:rPr>
                <w:rFonts w:ascii="Times New Roman" w:hAnsi="Times New Roman"/>
                <w:b/>
                <w:bCs/>
                <w:sz w:val="20"/>
                <w:szCs w:val="20"/>
              </w:rPr>
            </w:pPr>
          </w:p>
        </w:tc>
      </w:tr>
      <w:tr w:rsidR="00880D6D" w:rsidRPr="00646A91" w14:paraId="34F612BD" w14:textId="77777777" w:rsidTr="006D50D1">
        <w:trPr>
          <w:trHeight w:val="289"/>
        </w:trPr>
        <w:tc>
          <w:tcPr>
            <w:tcW w:w="2158" w:type="dxa"/>
            <w:vMerge w:val="restart"/>
            <w:tcBorders>
              <w:top w:val="single" w:sz="4" w:space="0" w:color="auto"/>
              <w:left w:val="nil"/>
              <w:bottom w:val="single" w:sz="8" w:space="0" w:color="000000"/>
              <w:right w:val="nil"/>
            </w:tcBorders>
            <w:shd w:val="clear" w:color="auto" w:fill="auto"/>
            <w:noWrap/>
            <w:vAlign w:val="center"/>
            <w:hideMark/>
          </w:tcPr>
          <w:p w14:paraId="49518F17"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Parameter</w:t>
            </w:r>
          </w:p>
        </w:tc>
        <w:tc>
          <w:tcPr>
            <w:tcW w:w="2866" w:type="dxa"/>
            <w:gridSpan w:val="2"/>
            <w:tcBorders>
              <w:top w:val="single" w:sz="4" w:space="0" w:color="auto"/>
              <w:left w:val="nil"/>
              <w:bottom w:val="nil"/>
              <w:right w:val="nil"/>
            </w:tcBorders>
            <w:shd w:val="clear" w:color="auto" w:fill="auto"/>
            <w:noWrap/>
            <w:vAlign w:val="center"/>
            <w:hideMark/>
          </w:tcPr>
          <w:p w14:paraId="58EB5406"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Unadjusted</w:t>
            </w:r>
          </w:p>
        </w:tc>
        <w:tc>
          <w:tcPr>
            <w:tcW w:w="3136" w:type="dxa"/>
            <w:gridSpan w:val="2"/>
            <w:tcBorders>
              <w:top w:val="single" w:sz="4" w:space="0" w:color="auto"/>
              <w:left w:val="nil"/>
              <w:bottom w:val="nil"/>
              <w:right w:val="nil"/>
            </w:tcBorders>
            <w:shd w:val="clear" w:color="auto" w:fill="auto"/>
            <w:noWrap/>
            <w:vAlign w:val="center"/>
            <w:hideMark/>
          </w:tcPr>
          <w:p w14:paraId="57034EE2"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Adjusted*</w:t>
            </w:r>
          </w:p>
        </w:tc>
      </w:tr>
      <w:tr w:rsidR="00880D6D" w:rsidRPr="00646A91" w14:paraId="52933EAA" w14:textId="77777777" w:rsidTr="006D50D1">
        <w:trPr>
          <w:trHeight w:val="301"/>
        </w:trPr>
        <w:tc>
          <w:tcPr>
            <w:tcW w:w="2158" w:type="dxa"/>
            <w:vMerge/>
            <w:tcBorders>
              <w:top w:val="single" w:sz="8" w:space="0" w:color="000000"/>
              <w:left w:val="nil"/>
              <w:bottom w:val="single" w:sz="4" w:space="0" w:color="auto"/>
              <w:right w:val="nil"/>
            </w:tcBorders>
            <w:vAlign w:val="center"/>
            <w:hideMark/>
          </w:tcPr>
          <w:p w14:paraId="5F399FF2" w14:textId="77777777" w:rsidR="00880D6D" w:rsidRPr="00646A91" w:rsidRDefault="00880D6D" w:rsidP="00C6502B">
            <w:pPr>
              <w:tabs>
                <w:tab w:val="left" w:pos="3311"/>
              </w:tabs>
              <w:spacing w:line="240" w:lineRule="auto"/>
              <w:jc w:val="both"/>
              <w:rPr>
                <w:rFonts w:ascii="Times New Roman" w:hAnsi="Times New Roman"/>
                <w:b/>
                <w:bCs/>
                <w:sz w:val="20"/>
                <w:szCs w:val="20"/>
              </w:rPr>
            </w:pPr>
          </w:p>
        </w:tc>
        <w:tc>
          <w:tcPr>
            <w:tcW w:w="2185" w:type="dxa"/>
            <w:tcBorders>
              <w:top w:val="nil"/>
              <w:left w:val="nil"/>
              <w:bottom w:val="single" w:sz="4" w:space="0" w:color="auto"/>
              <w:right w:val="nil"/>
            </w:tcBorders>
            <w:shd w:val="clear" w:color="auto" w:fill="auto"/>
            <w:noWrap/>
            <w:vAlign w:val="center"/>
            <w:hideMark/>
          </w:tcPr>
          <w:p w14:paraId="40B9E519"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Estimate (95% CI)</w:t>
            </w:r>
          </w:p>
        </w:tc>
        <w:tc>
          <w:tcPr>
            <w:tcW w:w="681" w:type="dxa"/>
            <w:tcBorders>
              <w:top w:val="nil"/>
              <w:left w:val="nil"/>
              <w:bottom w:val="single" w:sz="4" w:space="0" w:color="auto"/>
              <w:right w:val="nil"/>
            </w:tcBorders>
            <w:shd w:val="clear" w:color="auto" w:fill="auto"/>
            <w:noWrap/>
            <w:vAlign w:val="center"/>
            <w:hideMark/>
          </w:tcPr>
          <w:p w14:paraId="3696D649"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P</w:t>
            </w:r>
          </w:p>
        </w:tc>
        <w:tc>
          <w:tcPr>
            <w:tcW w:w="2034" w:type="dxa"/>
            <w:tcBorders>
              <w:top w:val="nil"/>
              <w:left w:val="nil"/>
              <w:bottom w:val="single" w:sz="4" w:space="0" w:color="auto"/>
              <w:right w:val="nil"/>
            </w:tcBorders>
            <w:shd w:val="clear" w:color="auto" w:fill="auto"/>
            <w:noWrap/>
            <w:vAlign w:val="center"/>
            <w:hideMark/>
          </w:tcPr>
          <w:p w14:paraId="53A77F11"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Estimate (95%CI)</w:t>
            </w:r>
          </w:p>
        </w:tc>
        <w:tc>
          <w:tcPr>
            <w:tcW w:w="1102" w:type="dxa"/>
            <w:tcBorders>
              <w:top w:val="nil"/>
              <w:left w:val="nil"/>
              <w:bottom w:val="single" w:sz="4" w:space="0" w:color="auto"/>
              <w:right w:val="nil"/>
            </w:tcBorders>
            <w:shd w:val="clear" w:color="auto" w:fill="auto"/>
            <w:noWrap/>
            <w:vAlign w:val="center"/>
            <w:hideMark/>
          </w:tcPr>
          <w:p w14:paraId="5BC29321" w14:textId="77777777" w:rsidR="00880D6D" w:rsidRPr="00646A91" w:rsidRDefault="00880D6D" w:rsidP="00C6502B">
            <w:pPr>
              <w:tabs>
                <w:tab w:val="left" w:pos="3311"/>
              </w:tabs>
              <w:spacing w:line="240" w:lineRule="auto"/>
              <w:jc w:val="both"/>
              <w:rPr>
                <w:rFonts w:ascii="Times New Roman" w:hAnsi="Times New Roman"/>
                <w:b/>
                <w:bCs/>
                <w:sz w:val="20"/>
                <w:szCs w:val="20"/>
              </w:rPr>
            </w:pPr>
            <w:r w:rsidRPr="00646A91">
              <w:rPr>
                <w:rFonts w:ascii="Times New Roman" w:hAnsi="Times New Roman"/>
                <w:b/>
                <w:bCs/>
                <w:sz w:val="20"/>
                <w:szCs w:val="20"/>
              </w:rPr>
              <w:t>P</w:t>
            </w:r>
          </w:p>
        </w:tc>
      </w:tr>
      <w:tr w:rsidR="00604B7A" w:rsidRPr="00646A91" w14:paraId="16049199" w14:textId="77777777" w:rsidTr="006D50D1">
        <w:trPr>
          <w:trHeight w:val="291"/>
        </w:trPr>
        <w:tc>
          <w:tcPr>
            <w:tcW w:w="2158" w:type="dxa"/>
            <w:tcBorders>
              <w:top w:val="single" w:sz="4" w:space="0" w:color="auto"/>
              <w:left w:val="nil"/>
              <w:bottom w:val="nil"/>
              <w:right w:val="nil"/>
            </w:tcBorders>
            <w:shd w:val="clear" w:color="auto" w:fill="auto"/>
            <w:noWrap/>
            <w:vAlign w:val="center"/>
            <w:hideMark/>
          </w:tcPr>
          <w:p w14:paraId="75D7EC40" w14:textId="77777777" w:rsidR="00604B7A" w:rsidRPr="00646A91" w:rsidRDefault="00604B7A"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Whole body total</w:t>
            </w:r>
          </w:p>
        </w:tc>
        <w:tc>
          <w:tcPr>
            <w:tcW w:w="2185" w:type="dxa"/>
            <w:tcBorders>
              <w:top w:val="nil"/>
              <w:left w:val="nil"/>
              <w:bottom w:val="nil"/>
              <w:right w:val="nil"/>
            </w:tcBorders>
            <w:shd w:val="clear" w:color="auto" w:fill="auto"/>
            <w:noWrap/>
            <w:vAlign w:val="center"/>
            <w:hideMark/>
          </w:tcPr>
          <w:p w14:paraId="778F540C"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sz w:val="20"/>
                <w:szCs w:val="20"/>
              </w:rPr>
              <w:t>-0.09 (-0.21,0.03)</w:t>
            </w:r>
          </w:p>
        </w:tc>
        <w:tc>
          <w:tcPr>
            <w:tcW w:w="681" w:type="dxa"/>
            <w:tcBorders>
              <w:top w:val="nil"/>
              <w:left w:val="nil"/>
              <w:bottom w:val="nil"/>
              <w:right w:val="nil"/>
            </w:tcBorders>
            <w:shd w:val="clear" w:color="auto" w:fill="auto"/>
            <w:noWrap/>
            <w:vAlign w:val="center"/>
            <w:hideMark/>
          </w:tcPr>
          <w:p w14:paraId="509859DA"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sz w:val="20"/>
                <w:szCs w:val="20"/>
              </w:rPr>
              <w:t>0.143</w:t>
            </w:r>
          </w:p>
        </w:tc>
        <w:tc>
          <w:tcPr>
            <w:tcW w:w="2034" w:type="dxa"/>
            <w:tcBorders>
              <w:top w:val="nil"/>
              <w:left w:val="nil"/>
              <w:bottom w:val="nil"/>
              <w:right w:val="nil"/>
            </w:tcBorders>
            <w:shd w:val="clear" w:color="auto" w:fill="auto"/>
            <w:noWrap/>
            <w:vAlign w:val="bottom"/>
            <w:hideMark/>
          </w:tcPr>
          <w:p w14:paraId="7FBBE605" w14:textId="34210856" w:rsidR="00604B7A" w:rsidRPr="00604B7A" w:rsidRDefault="00604B7A" w:rsidP="00C6502B">
            <w:pPr>
              <w:tabs>
                <w:tab w:val="left" w:pos="3311"/>
              </w:tabs>
              <w:spacing w:line="240" w:lineRule="auto"/>
              <w:jc w:val="both"/>
              <w:rPr>
                <w:rFonts w:ascii="Times New Roman" w:hAnsi="Times New Roman"/>
                <w:b/>
                <w:bCs/>
                <w:sz w:val="20"/>
                <w:szCs w:val="20"/>
              </w:rPr>
            </w:pPr>
            <w:r w:rsidRPr="00604B7A">
              <w:rPr>
                <w:rFonts w:ascii="Times New Roman" w:hAnsi="Times New Roman"/>
                <w:color w:val="000000"/>
                <w:sz w:val="20"/>
                <w:szCs w:val="20"/>
              </w:rPr>
              <w:t>-0.09 (-0.22,0.04)</w:t>
            </w:r>
          </w:p>
        </w:tc>
        <w:tc>
          <w:tcPr>
            <w:tcW w:w="1102" w:type="dxa"/>
            <w:tcBorders>
              <w:top w:val="nil"/>
              <w:left w:val="nil"/>
              <w:bottom w:val="nil"/>
              <w:right w:val="nil"/>
            </w:tcBorders>
            <w:shd w:val="clear" w:color="auto" w:fill="auto"/>
            <w:noWrap/>
            <w:vAlign w:val="bottom"/>
            <w:hideMark/>
          </w:tcPr>
          <w:p w14:paraId="6674483F" w14:textId="724999FD" w:rsidR="00604B7A" w:rsidRPr="00604B7A" w:rsidRDefault="00604B7A" w:rsidP="00C6502B">
            <w:pPr>
              <w:tabs>
                <w:tab w:val="left" w:pos="3311"/>
              </w:tabs>
              <w:spacing w:line="240" w:lineRule="auto"/>
              <w:jc w:val="both"/>
              <w:rPr>
                <w:rFonts w:ascii="Times New Roman" w:hAnsi="Times New Roman"/>
                <w:b/>
                <w:bCs/>
                <w:sz w:val="20"/>
                <w:szCs w:val="20"/>
              </w:rPr>
            </w:pPr>
            <w:r w:rsidRPr="00604B7A">
              <w:rPr>
                <w:rFonts w:ascii="Times New Roman" w:hAnsi="Times New Roman"/>
                <w:color w:val="000000"/>
                <w:sz w:val="20"/>
                <w:szCs w:val="20"/>
              </w:rPr>
              <w:t>0.172</w:t>
            </w:r>
          </w:p>
        </w:tc>
      </w:tr>
      <w:tr w:rsidR="00604B7A" w:rsidRPr="00646A91" w14:paraId="57809C0B" w14:textId="77777777" w:rsidTr="006D50D1">
        <w:trPr>
          <w:trHeight w:val="291"/>
        </w:trPr>
        <w:tc>
          <w:tcPr>
            <w:tcW w:w="2158" w:type="dxa"/>
            <w:tcBorders>
              <w:top w:val="nil"/>
              <w:left w:val="nil"/>
              <w:bottom w:val="nil"/>
              <w:right w:val="nil"/>
            </w:tcBorders>
            <w:shd w:val="clear" w:color="auto" w:fill="auto"/>
            <w:noWrap/>
            <w:vAlign w:val="center"/>
            <w:hideMark/>
          </w:tcPr>
          <w:p w14:paraId="485265F6" w14:textId="77777777" w:rsidR="00604B7A" w:rsidRPr="00646A91" w:rsidRDefault="00604B7A"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Total hip</w:t>
            </w:r>
          </w:p>
        </w:tc>
        <w:tc>
          <w:tcPr>
            <w:tcW w:w="2185" w:type="dxa"/>
            <w:tcBorders>
              <w:top w:val="nil"/>
              <w:left w:val="nil"/>
              <w:bottom w:val="nil"/>
              <w:right w:val="nil"/>
            </w:tcBorders>
            <w:shd w:val="clear" w:color="auto" w:fill="auto"/>
            <w:noWrap/>
            <w:vAlign w:val="center"/>
            <w:hideMark/>
          </w:tcPr>
          <w:p w14:paraId="1C1E5DDE"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b/>
                <w:sz w:val="20"/>
                <w:szCs w:val="20"/>
              </w:rPr>
              <w:t>-0.16 (-0.26,-0.05)</w:t>
            </w:r>
          </w:p>
        </w:tc>
        <w:tc>
          <w:tcPr>
            <w:tcW w:w="681" w:type="dxa"/>
            <w:tcBorders>
              <w:top w:val="nil"/>
              <w:left w:val="nil"/>
              <w:bottom w:val="nil"/>
              <w:right w:val="nil"/>
            </w:tcBorders>
            <w:shd w:val="clear" w:color="auto" w:fill="auto"/>
            <w:noWrap/>
            <w:vAlign w:val="center"/>
            <w:hideMark/>
          </w:tcPr>
          <w:p w14:paraId="5403DCC6"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b/>
                <w:sz w:val="20"/>
                <w:szCs w:val="20"/>
              </w:rPr>
              <w:t>0.005</w:t>
            </w:r>
          </w:p>
        </w:tc>
        <w:tc>
          <w:tcPr>
            <w:tcW w:w="2034" w:type="dxa"/>
            <w:tcBorders>
              <w:top w:val="nil"/>
              <w:left w:val="nil"/>
              <w:bottom w:val="nil"/>
              <w:right w:val="nil"/>
            </w:tcBorders>
            <w:shd w:val="clear" w:color="auto" w:fill="auto"/>
            <w:noWrap/>
            <w:vAlign w:val="bottom"/>
            <w:hideMark/>
          </w:tcPr>
          <w:p w14:paraId="33396A94" w14:textId="3C8FD903" w:rsidR="00604B7A" w:rsidRPr="00604B7A" w:rsidRDefault="00604B7A" w:rsidP="00C6502B">
            <w:pPr>
              <w:tabs>
                <w:tab w:val="left" w:pos="3311"/>
              </w:tabs>
              <w:spacing w:line="240" w:lineRule="auto"/>
              <w:jc w:val="both"/>
              <w:rPr>
                <w:rFonts w:ascii="Times New Roman" w:hAnsi="Times New Roman"/>
                <w:b/>
                <w:bCs/>
                <w:sz w:val="20"/>
                <w:szCs w:val="20"/>
              </w:rPr>
            </w:pPr>
            <w:r w:rsidRPr="00604B7A">
              <w:rPr>
                <w:rFonts w:ascii="Times New Roman" w:hAnsi="Times New Roman"/>
                <w:color w:val="000000"/>
                <w:sz w:val="20"/>
                <w:szCs w:val="20"/>
              </w:rPr>
              <w:t>-0.11 (-0.22,0.00)</w:t>
            </w:r>
          </w:p>
        </w:tc>
        <w:tc>
          <w:tcPr>
            <w:tcW w:w="1102" w:type="dxa"/>
            <w:tcBorders>
              <w:top w:val="nil"/>
              <w:left w:val="nil"/>
              <w:bottom w:val="nil"/>
              <w:right w:val="nil"/>
            </w:tcBorders>
            <w:shd w:val="clear" w:color="auto" w:fill="auto"/>
            <w:noWrap/>
            <w:vAlign w:val="bottom"/>
            <w:hideMark/>
          </w:tcPr>
          <w:p w14:paraId="3CBA70A7" w14:textId="0CA57B72" w:rsidR="00604B7A" w:rsidRPr="00604B7A" w:rsidRDefault="00604B7A" w:rsidP="00C6502B">
            <w:pPr>
              <w:tabs>
                <w:tab w:val="left" w:pos="3311"/>
              </w:tabs>
              <w:spacing w:line="240" w:lineRule="auto"/>
              <w:jc w:val="both"/>
              <w:rPr>
                <w:rFonts w:ascii="Times New Roman" w:hAnsi="Times New Roman"/>
                <w:b/>
                <w:bCs/>
                <w:sz w:val="20"/>
                <w:szCs w:val="20"/>
              </w:rPr>
            </w:pPr>
            <w:r w:rsidRPr="00604B7A">
              <w:rPr>
                <w:rFonts w:ascii="Times New Roman" w:hAnsi="Times New Roman"/>
                <w:color w:val="000000"/>
                <w:sz w:val="20"/>
                <w:szCs w:val="20"/>
              </w:rPr>
              <w:t>0.058</w:t>
            </w:r>
          </w:p>
        </w:tc>
      </w:tr>
      <w:tr w:rsidR="00604B7A" w:rsidRPr="00646A91" w14:paraId="661CACEE" w14:textId="77777777" w:rsidTr="006D50D1">
        <w:trPr>
          <w:trHeight w:val="291"/>
        </w:trPr>
        <w:tc>
          <w:tcPr>
            <w:tcW w:w="2158" w:type="dxa"/>
            <w:tcBorders>
              <w:top w:val="nil"/>
              <w:left w:val="nil"/>
              <w:right w:val="nil"/>
            </w:tcBorders>
            <w:shd w:val="clear" w:color="auto" w:fill="auto"/>
            <w:noWrap/>
            <w:vAlign w:val="center"/>
            <w:hideMark/>
          </w:tcPr>
          <w:p w14:paraId="7BEF48FB" w14:textId="77777777" w:rsidR="00604B7A" w:rsidRPr="00646A91" w:rsidRDefault="00604B7A"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Femoral neck</w:t>
            </w:r>
          </w:p>
        </w:tc>
        <w:tc>
          <w:tcPr>
            <w:tcW w:w="2185" w:type="dxa"/>
            <w:tcBorders>
              <w:top w:val="nil"/>
              <w:left w:val="nil"/>
              <w:right w:val="nil"/>
            </w:tcBorders>
            <w:shd w:val="clear" w:color="auto" w:fill="auto"/>
            <w:noWrap/>
            <w:vAlign w:val="center"/>
            <w:hideMark/>
          </w:tcPr>
          <w:p w14:paraId="25CFB01C"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b/>
                <w:sz w:val="20"/>
                <w:szCs w:val="20"/>
              </w:rPr>
              <w:t>-0.18 (-0.29,-0.08)</w:t>
            </w:r>
          </w:p>
        </w:tc>
        <w:tc>
          <w:tcPr>
            <w:tcW w:w="681" w:type="dxa"/>
            <w:tcBorders>
              <w:top w:val="nil"/>
              <w:left w:val="nil"/>
              <w:right w:val="nil"/>
            </w:tcBorders>
            <w:shd w:val="clear" w:color="auto" w:fill="auto"/>
            <w:noWrap/>
            <w:vAlign w:val="center"/>
            <w:hideMark/>
          </w:tcPr>
          <w:p w14:paraId="2BA3DD71"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b/>
                <w:sz w:val="20"/>
                <w:szCs w:val="20"/>
              </w:rPr>
              <w:t>0.001</w:t>
            </w:r>
          </w:p>
        </w:tc>
        <w:tc>
          <w:tcPr>
            <w:tcW w:w="2034" w:type="dxa"/>
            <w:tcBorders>
              <w:top w:val="nil"/>
              <w:left w:val="nil"/>
              <w:right w:val="nil"/>
            </w:tcBorders>
            <w:shd w:val="clear" w:color="auto" w:fill="auto"/>
            <w:noWrap/>
            <w:vAlign w:val="bottom"/>
            <w:hideMark/>
          </w:tcPr>
          <w:p w14:paraId="48730587" w14:textId="758527B2" w:rsidR="00604B7A" w:rsidRPr="0013274C" w:rsidRDefault="00604B7A" w:rsidP="00C6502B">
            <w:pPr>
              <w:tabs>
                <w:tab w:val="left" w:pos="3311"/>
              </w:tabs>
              <w:spacing w:line="240" w:lineRule="auto"/>
              <w:jc w:val="both"/>
              <w:rPr>
                <w:rFonts w:ascii="Times New Roman" w:hAnsi="Times New Roman"/>
                <w:b/>
                <w:bCs/>
                <w:sz w:val="20"/>
                <w:szCs w:val="20"/>
              </w:rPr>
            </w:pPr>
            <w:r w:rsidRPr="0013274C">
              <w:rPr>
                <w:rFonts w:ascii="Times New Roman" w:hAnsi="Times New Roman"/>
                <w:b/>
                <w:color w:val="000000"/>
                <w:sz w:val="20"/>
                <w:szCs w:val="20"/>
              </w:rPr>
              <w:t>-0.18 (-0.29,-0.06)</w:t>
            </w:r>
          </w:p>
        </w:tc>
        <w:tc>
          <w:tcPr>
            <w:tcW w:w="1102" w:type="dxa"/>
            <w:tcBorders>
              <w:top w:val="nil"/>
              <w:left w:val="nil"/>
              <w:right w:val="nil"/>
            </w:tcBorders>
            <w:shd w:val="clear" w:color="auto" w:fill="auto"/>
            <w:noWrap/>
            <w:vAlign w:val="bottom"/>
            <w:hideMark/>
          </w:tcPr>
          <w:p w14:paraId="7FA7DED6" w14:textId="437D73B2" w:rsidR="00604B7A" w:rsidRPr="0013274C" w:rsidRDefault="00604B7A" w:rsidP="00C6502B">
            <w:pPr>
              <w:tabs>
                <w:tab w:val="left" w:pos="3311"/>
              </w:tabs>
              <w:spacing w:line="240" w:lineRule="auto"/>
              <w:jc w:val="both"/>
              <w:rPr>
                <w:rFonts w:ascii="Times New Roman" w:hAnsi="Times New Roman"/>
                <w:b/>
                <w:bCs/>
                <w:sz w:val="20"/>
                <w:szCs w:val="20"/>
              </w:rPr>
            </w:pPr>
            <w:r w:rsidRPr="0013274C">
              <w:rPr>
                <w:rFonts w:ascii="Times New Roman" w:hAnsi="Times New Roman"/>
                <w:b/>
                <w:color w:val="000000"/>
                <w:sz w:val="20"/>
                <w:szCs w:val="20"/>
              </w:rPr>
              <w:t>0.003</w:t>
            </w:r>
          </w:p>
        </w:tc>
      </w:tr>
      <w:tr w:rsidR="00604B7A" w:rsidRPr="00646A91" w14:paraId="3C7DE894" w14:textId="77777777" w:rsidTr="006D50D1">
        <w:trPr>
          <w:trHeight w:val="301"/>
        </w:trPr>
        <w:tc>
          <w:tcPr>
            <w:tcW w:w="2158" w:type="dxa"/>
            <w:tcBorders>
              <w:top w:val="nil"/>
              <w:left w:val="nil"/>
              <w:bottom w:val="single" w:sz="4" w:space="0" w:color="auto"/>
              <w:right w:val="nil"/>
            </w:tcBorders>
            <w:shd w:val="clear" w:color="auto" w:fill="auto"/>
            <w:noWrap/>
            <w:vAlign w:val="center"/>
            <w:hideMark/>
          </w:tcPr>
          <w:p w14:paraId="75230398" w14:textId="77777777" w:rsidR="00604B7A" w:rsidRPr="00646A91" w:rsidRDefault="00604B7A"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Total lumbar spine</w:t>
            </w:r>
          </w:p>
        </w:tc>
        <w:tc>
          <w:tcPr>
            <w:tcW w:w="2185" w:type="dxa"/>
            <w:tcBorders>
              <w:top w:val="nil"/>
              <w:left w:val="nil"/>
              <w:bottom w:val="single" w:sz="4" w:space="0" w:color="auto"/>
              <w:right w:val="nil"/>
            </w:tcBorders>
            <w:shd w:val="clear" w:color="auto" w:fill="auto"/>
            <w:noWrap/>
            <w:vAlign w:val="center"/>
            <w:hideMark/>
          </w:tcPr>
          <w:p w14:paraId="5B4DD5F4"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b/>
                <w:sz w:val="20"/>
                <w:szCs w:val="20"/>
              </w:rPr>
              <w:t>-0.13 (-0.24,-0.02)</w:t>
            </w:r>
          </w:p>
        </w:tc>
        <w:tc>
          <w:tcPr>
            <w:tcW w:w="681" w:type="dxa"/>
            <w:tcBorders>
              <w:top w:val="nil"/>
              <w:left w:val="nil"/>
              <w:bottom w:val="single" w:sz="4" w:space="0" w:color="auto"/>
              <w:right w:val="nil"/>
            </w:tcBorders>
            <w:shd w:val="clear" w:color="auto" w:fill="auto"/>
            <w:noWrap/>
            <w:vAlign w:val="center"/>
            <w:hideMark/>
          </w:tcPr>
          <w:p w14:paraId="5415D5AB" w14:textId="77777777" w:rsidR="00604B7A" w:rsidRPr="0088245F" w:rsidRDefault="00604B7A" w:rsidP="00C6502B">
            <w:pPr>
              <w:tabs>
                <w:tab w:val="left" w:pos="3311"/>
              </w:tabs>
              <w:spacing w:line="240" w:lineRule="auto"/>
              <w:jc w:val="both"/>
              <w:rPr>
                <w:rFonts w:ascii="Times New Roman" w:hAnsi="Times New Roman"/>
                <w:b/>
                <w:bCs/>
                <w:sz w:val="20"/>
                <w:szCs w:val="20"/>
              </w:rPr>
            </w:pPr>
            <w:r w:rsidRPr="0088245F">
              <w:rPr>
                <w:rFonts w:ascii="Times New Roman" w:hAnsi="Times New Roman"/>
                <w:b/>
                <w:sz w:val="20"/>
                <w:szCs w:val="20"/>
              </w:rPr>
              <w:t>0.018</w:t>
            </w:r>
          </w:p>
        </w:tc>
        <w:tc>
          <w:tcPr>
            <w:tcW w:w="2034" w:type="dxa"/>
            <w:tcBorders>
              <w:top w:val="nil"/>
              <w:left w:val="nil"/>
              <w:bottom w:val="single" w:sz="4" w:space="0" w:color="auto"/>
              <w:right w:val="nil"/>
            </w:tcBorders>
            <w:shd w:val="clear" w:color="auto" w:fill="auto"/>
            <w:noWrap/>
            <w:vAlign w:val="bottom"/>
            <w:hideMark/>
          </w:tcPr>
          <w:p w14:paraId="64B2EDC4" w14:textId="1050CF2E" w:rsidR="00604B7A" w:rsidRPr="00604B7A" w:rsidRDefault="00604B7A" w:rsidP="00C6502B">
            <w:pPr>
              <w:tabs>
                <w:tab w:val="left" w:pos="3311"/>
              </w:tabs>
              <w:spacing w:line="240" w:lineRule="auto"/>
              <w:jc w:val="both"/>
              <w:rPr>
                <w:rFonts w:ascii="Times New Roman" w:hAnsi="Times New Roman"/>
                <w:b/>
                <w:bCs/>
                <w:sz w:val="20"/>
                <w:szCs w:val="20"/>
              </w:rPr>
            </w:pPr>
            <w:r w:rsidRPr="00604B7A">
              <w:rPr>
                <w:rFonts w:ascii="Times New Roman" w:hAnsi="Times New Roman"/>
                <w:color w:val="000000"/>
                <w:sz w:val="20"/>
                <w:szCs w:val="20"/>
              </w:rPr>
              <w:t>-0.12 (-0.24,0.00)</w:t>
            </w:r>
          </w:p>
        </w:tc>
        <w:tc>
          <w:tcPr>
            <w:tcW w:w="1102" w:type="dxa"/>
            <w:tcBorders>
              <w:top w:val="nil"/>
              <w:left w:val="nil"/>
              <w:bottom w:val="single" w:sz="4" w:space="0" w:color="auto"/>
              <w:right w:val="nil"/>
            </w:tcBorders>
            <w:shd w:val="clear" w:color="auto" w:fill="auto"/>
            <w:noWrap/>
            <w:vAlign w:val="bottom"/>
            <w:hideMark/>
          </w:tcPr>
          <w:p w14:paraId="3F586094" w14:textId="3ECC3EBE" w:rsidR="00604B7A" w:rsidRPr="00604B7A" w:rsidRDefault="00604B7A" w:rsidP="00C6502B">
            <w:pPr>
              <w:tabs>
                <w:tab w:val="left" w:pos="3311"/>
              </w:tabs>
              <w:spacing w:line="240" w:lineRule="auto"/>
              <w:jc w:val="both"/>
              <w:rPr>
                <w:rFonts w:ascii="Times New Roman" w:hAnsi="Times New Roman"/>
                <w:b/>
                <w:bCs/>
                <w:sz w:val="20"/>
                <w:szCs w:val="20"/>
              </w:rPr>
            </w:pPr>
            <w:r w:rsidRPr="00604B7A">
              <w:rPr>
                <w:rFonts w:ascii="Times New Roman" w:hAnsi="Times New Roman"/>
                <w:color w:val="000000"/>
                <w:sz w:val="20"/>
                <w:szCs w:val="20"/>
              </w:rPr>
              <w:t>0.053</w:t>
            </w:r>
          </w:p>
        </w:tc>
      </w:tr>
      <w:tr w:rsidR="00880D6D" w:rsidRPr="00646A91" w14:paraId="35E53527" w14:textId="77777777" w:rsidTr="006D50D1">
        <w:trPr>
          <w:trHeight w:val="291"/>
        </w:trPr>
        <w:tc>
          <w:tcPr>
            <w:tcW w:w="8160" w:type="dxa"/>
            <w:gridSpan w:val="5"/>
            <w:tcBorders>
              <w:top w:val="single" w:sz="4" w:space="0" w:color="auto"/>
              <w:left w:val="nil"/>
              <w:right w:val="nil"/>
            </w:tcBorders>
            <w:shd w:val="clear" w:color="auto" w:fill="auto"/>
            <w:noWrap/>
            <w:vAlign w:val="center"/>
            <w:hideMark/>
          </w:tcPr>
          <w:p w14:paraId="4550554D" w14:textId="77777777" w:rsidR="00880D6D" w:rsidRPr="00646A91" w:rsidRDefault="00880D6D"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 </w:t>
            </w:r>
          </w:p>
        </w:tc>
      </w:tr>
      <w:tr w:rsidR="00880D6D" w:rsidRPr="00646A91" w14:paraId="3DB6CF28" w14:textId="77777777" w:rsidTr="006D50D1">
        <w:trPr>
          <w:trHeight w:val="291"/>
        </w:trPr>
        <w:tc>
          <w:tcPr>
            <w:tcW w:w="8160" w:type="dxa"/>
            <w:gridSpan w:val="5"/>
            <w:shd w:val="clear" w:color="auto" w:fill="auto"/>
            <w:noWrap/>
            <w:vAlign w:val="center"/>
          </w:tcPr>
          <w:p w14:paraId="3534EC44" w14:textId="77777777" w:rsidR="00880D6D" w:rsidRPr="00646A91" w:rsidRDefault="00880D6D"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DXA: Dual-energy X-ray absorptiometry; P:P-value; aBMD: Areal bone mineral density</w:t>
            </w:r>
          </w:p>
          <w:p w14:paraId="478C9949" w14:textId="77777777" w:rsidR="00880D6D" w:rsidRPr="00646A91" w:rsidRDefault="00880D6D"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Self-perceived fracture risk was used as an ordinal variable with the following bands: ‘much lower’; ‘a little lower’; ‘about the same’; ‘a little higher’; and ‘much higher’</w:t>
            </w:r>
          </w:p>
          <w:p w14:paraId="1B08CA20" w14:textId="76A558A0" w:rsidR="00880D6D" w:rsidRDefault="00880D6D" w:rsidP="00C6502B">
            <w:pPr>
              <w:tabs>
                <w:tab w:val="left" w:pos="3311"/>
              </w:tabs>
              <w:spacing w:line="240" w:lineRule="auto"/>
              <w:jc w:val="both"/>
              <w:rPr>
                <w:rFonts w:ascii="Times New Roman" w:hAnsi="Times New Roman"/>
                <w:sz w:val="20"/>
                <w:szCs w:val="20"/>
              </w:rPr>
            </w:pPr>
            <w:r w:rsidRPr="00646A91">
              <w:rPr>
                <w:rFonts w:ascii="Times New Roman" w:hAnsi="Times New Roman"/>
                <w:sz w:val="20"/>
                <w:szCs w:val="20"/>
              </w:rPr>
              <w:t xml:space="preserve">*Adjusted for age at time of DXA scan, follow-up time, height, </w:t>
            </w:r>
            <w:r>
              <w:rPr>
                <w:rFonts w:ascii="Times New Roman" w:hAnsi="Times New Roman"/>
                <w:sz w:val="20"/>
                <w:szCs w:val="20"/>
              </w:rPr>
              <w:t>weight-for-height residual</w:t>
            </w:r>
            <w:r w:rsidRPr="00646A91">
              <w:rPr>
                <w:rFonts w:ascii="Times New Roman" w:hAnsi="Times New Roman"/>
                <w:sz w:val="20"/>
                <w:szCs w:val="20"/>
              </w:rPr>
              <w:t>, physical activity, smoking status, alcohol consumption, education, time since last menstrual cycle, use of anti-osteoporosis medication</w:t>
            </w:r>
            <w:r w:rsidR="00276638">
              <w:rPr>
                <w:rFonts w:ascii="Times New Roman" w:hAnsi="Times New Roman"/>
                <w:sz w:val="20"/>
                <w:szCs w:val="20"/>
              </w:rPr>
              <w:t xml:space="preserve">, calcium and vitamin D supplements, </w:t>
            </w:r>
            <w:r w:rsidRPr="00646A91">
              <w:rPr>
                <w:rFonts w:ascii="Times New Roman" w:hAnsi="Times New Roman"/>
                <w:sz w:val="20"/>
                <w:szCs w:val="20"/>
              </w:rPr>
              <w:t>and oestrogen/hormone replacement therapy (pill/skin patch)</w:t>
            </w:r>
          </w:p>
          <w:p w14:paraId="7631B568" w14:textId="77777777" w:rsidR="00880D6D" w:rsidRDefault="00880D6D" w:rsidP="00C6502B">
            <w:pPr>
              <w:tabs>
                <w:tab w:val="left" w:pos="3311"/>
              </w:tabs>
              <w:spacing w:line="240" w:lineRule="auto"/>
              <w:jc w:val="both"/>
              <w:rPr>
                <w:rFonts w:ascii="Times New Roman" w:hAnsi="Times New Roman"/>
                <w:sz w:val="20"/>
                <w:szCs w:val="20"/>
              </w:rPr>
            </w:pPr>
            <w:r>
              <w:rPr>
                <w:rFonts w:ascii="Times New Roman" w:hAnsi="Times New Roman"/>
                <w:sz w:val="20"/>
                <w:szCs w:val="20"/>
              </w:rPr>
              <w:t>Significant associations (p&lt;0.05) are highlighted in bold</w:t>
            </w:r>
          </w:p>
          <w:p w14:paraId="6C095961" w14:textId="77777777" w:rsidR="00880D6D" w:rsidRPr="00646A91" w:rsidRDefault="00880D6D" w:rsidP="00C6502B">
            <w:pPr>
              <w:tabs>
                <w:tab w:val="left" w:pos="3311"/>
              </w:tabs>
              <w:spacing w:line="240" w:lineRule="auto"/>
              <w:jc w:val="both"/>
              <w:rPr>
                <w:rFonts w:ascii="Times New Roman" w:hAnsi="Times New Roman"/>
                <w:sz w:val="20"/>
                <w:szCs w:val="20"/>
              </w:rPr>
            </w:pPr>
          </w:p>
        </w:tc>
      </w:tr>
    </w:tbl>
    <w:p w14:paraId="2936012F" w14:textId="77777777" w:rsidR="00880D6D" w:rsidRDefault="00880D6D" w:rsidP="00880D6D">
      <w:pPr>
        <w:tabs>
          <w:tab w:val="left" w:pos="3311"/>
        </w:tabs>
        <w:jc w:val="both"/>
        <w:rPr>
          <w:rFonts w:ascii="Times New Roman" w:hAnsi="Times New Roman"/>
          <w:szCs w:val="22"/>
        </w:rPr>
      </w:pPr>
    </w:p>
    <w:tbl>
      <w:tblPr>
        <w:tblpPr w:leftFromText="180" w:rightFromText="180" w:vertAnchor="text" w:horzAnchor="margin" w:tblpY="-309"/>
        <w:tblW w:w="9022" w:type="dxa"/>
        <w:tblCellMar>
          <w:left w:w="28" w:type="dxa"/>
          <w:right w:w="28" w:type="dxa"/>
        </w:tblCellMar>
        <w:tblLook w:val="04A0" w:firstRow="1" w:lastRow="0" w:firstColumn="1" w:lastColumn="0" w:noHBand="0" w:noVBand="1"/>
      </w:tblPr>
      <w:tblGrid>
        <w:gridCol w:w="3070"/>
        <w:gridCol w:w="2033"/>
        <w:gridCol w:w="924"/>
        <w:gridCol w:w="2053"/>
        <w:gridCol w:w="942"/>
      </w:tblGrid>
      <w:tr w:rsidR="00880D6D" w:rsidRPr="00646A91" w14:paraId="59215C55" w14:textId="77777777" w:rsidTr="00A2375F">
        <w:trPr>
          <w:trHeight w:val="250"/>
        </w:trPr>
        <w:tc>
          <w:tcPr>
            <w:tcW w:w="9022" w:type="dxa"/>
            <w:gridSpan w:val="5"/>
            <w:tcBorders>
              <w:top w:val="nil"/>
              <w:left w:val="nil"/>
              <w:bottom w:val="single" w:sz="8" w:space="0" w:color="000000"/>
              <w:right w:val="nil"/>
            </w:tcBorders>
            <w:shd w:val="clear" w:color="auto" w:fill="auto"/>
            <w:noWrap/>
            <w:vAlign w:val="center"/>
          </w:tcPr>
          <w:p w14:paraId="17D81EC6" w14:textId="77777777" w:rsidR="00880D6D" w:rsidRPr="00646A91" w:rsidRDefault="00880D6D" w:rsidP="00C6502B">
            <w:pPr>
              <w:tabs>
                <w:tab w:val="left" w:pos="3311"/>
              </w:tabs>
              <w:spacing w:line="240" w:lineRule="auto"/>
              <w:jc w:val="both"/>
              <w:rPr>
                <w:rFonts w:ascii="Times New Roman" w:hAnsi="Times New Roman"/>
                <w:b/>
                <w:bCs/>
                <w:szCs w:val="22"/>
              </w:rPr>
            </w:pPr>
            <w:r w:rsidRPr="00FE7EFE">
              <w:rPr>
                <w:rFonts w:ascii="Times New Roman" w:hAnsi="Times New Roman"/>
                <w:b/>
                <w:bCs/>
                <w:sz w:val="20"/>
                <w:szCs w:val="22"/>
              </w:rPr>
              <w:t>Table 6: Standard deviation difference in mean HRpQCT parameters (95%CI) per higher band of self-perceived fracture risk at baseline</w:t>
            </w:r>
          </w:p>
        </w:tc>
      </w:tr>
      <w:tr w:rsidR="00880D6D" w:rsidRPr="00646A91" w14:paraId="54AF1F64" w14:textId="77777777" w:rsidTr="00A2375F">
        <w:trPr>
          <w:trHeight w:val="250"/>
        </w:trPr>
        <w:tc>
          <w:tcPr>
            <w:tcW w:w="3070" w:type="dxa"/>
            <w:tcBorders>
              <w:top w:val="nil"/>
              <w:left w:val="nil"/>
              <w:bottom w:val="single" w:sz="8" w:space="0" w:color="000000"/>
              <w:right w:val="nil"/>
            </w:tcBorders>
            <w:shd w:val="clear" w:color="auto" w:fill="auto"/>
            <w:noWrap/>
            <w:vAlign w:val="center"/>
            <w:hideMark/>
          </w:tcPr>
          <w:p w14:paraId="6FE010E0"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 </w:t>
            </w:r>
          </w:p>
        </w:tc>
        <w:tc>
          <w:tcPr>
            <w:tcW w:w="2957" w:type="dxa"/>
            <w:gridSpan w:val="2"/>
            <w:tcBorders>
              <w:top w:val="nil"/>
              <w:left w:val="nil"/>
              <w:bottom w:val="single" w:sz="8" w:space="0" w:color="auto"/>
              <w:right w:val="nil"/>
            </w:tcBorders>
            <w:shd w:val="clear" w:color="auto" w:fill="auto"/>
            <w:noWrap/>
            <w:vAlign w:val="center"/>
            <w:hideMark/>
          </w:tcPr>
          <w:p w14:paraId="01F46614"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 </w:t>
            </w:r>
          </w:p>
        </w:tc>
        <w:tc>
          <w:tcPr>
            <w:tcW w:w="2995" w:type="dxa"/>
            <w:gridSpan w:val="2"/>
            <w:tcBorders>
              <w:top w:val="nil"/>
              <w:left w:val="nil"/>
              <w:bottom w:val="single" w:sz="8" w:space="0" w:color="auto"/>
              <w:right w:val="nil"/>
            </w:tcBorders>
            <w:shd w:val="clear" w:color="auto" w:fill="auto"/>
            <w:noWrap/>
            <w:vAlign w:val="center"/>
            <w:hideMark/>
          </w:tcPr>
          <w:p w14:paraId="17FCB4C1"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 </w:t>
            </w:r>
          </w:p>
        </w:tc>
      </w:tr>
      <w:tr w:rsidR="00880D6D" w:rsidRPr="00646A91" w14:paraId="23A44A46" w14:textId="77777777" w:rsidTr="00A2375F">
        <w:trPr>
          <w:trHeight w:val="240"/>
        </w:trPr>
        <w:tc>
          <w:tcPr>
            <w:tcW w:w="3070" w:type="dxa"/>
            <w:vMerge w:val="restart"/>
            <w:tcBorders>
              <w:top w:val="nil"/>
              <w:left w:val="nil"/>
              <w:bottom w:val="single" w:sz="8" w:space="0" w:color="000000"/>
              <w:right w:val="nil"/>
            </w:tcBorders>
            <w:shd w:val="clear" w:color="auto" w:fill="auto"/>
            <w:noWrap/>
            <w:vAlign w:val="center"/>
            <w:hideMark/>
          </w:tcPr>
          <w:p w14:paraId="5D54108D"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HRpQCT parameter</w:t>
            </w:r>
          </w:p>
        </w:tc>
        <w:tc>
          <w:tcPr>
            <w:tcW w:w="2957" w:type="dxa"/>
            <w:gridSpan w:val="2"/>
            <w:tcBorders>
              <w:top w:val="single" w:sz="8" w:space="0" w:color="auto"/>
              <w:left w:val="nil"/>
              <w:bottom w:val="nil"/>
              <w:right w:val="nil"/>
            </w:tcBorders>
            <w:shd w:val="clear" w:color="auto" w:fill="auto"/>
            <w:noWrap/>
            <w:vAlign w:val="center"/>
            <w:hideMark/>
          </w:tcPr>
          <w:p w14:paraId="7D0BC729"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Unadjusted</w:t>
            </w:r>
          </w:p>
        </w:tc>
        <w:tc>
          <w:tcPr>
            <w:tcW w:w="2995" w:type="dxa"/>
            <w:gridSpan w:val="2"/>
            <w:tcBorders>
              <w:top w:val="single" w:sz="8" w:space="0" w:color="auto"/>
              <w:left w:val="nil"/>
              <w:bottom w:val="nil"/>
              <w:right w:val="nil"/>
            </w:tcBorders>
            <w:shd w:val="clear" w:color="auto" w:fill="auto"/>
            <w:noWrap/>
            <w:vAlign w:val="center"/>
            <w:hideMark/>
          </w:tcPr>
          <w:p w14:paraId="47E47D36"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Adjusted*</w:t>
            </w:r>
          </w:p>
        </w:tc>
      </w:tr>
      <w:tr w:rsidR="00880D6D" w:rsidRPr="00646A91" w14:paraId="14F21C84" w14:textId="77777777" w:rsidTr="00A2375F">
        <w:trPr>
          <w:trHeight w:val="471"/>
        </w:trPr>
        <w:tc>
          <w:tcPr>
            <w:tcW w:w="3070" w:type="dxa"/>
            <w:vMerge/>
            <w:tcBorders>
              <w:top w:val="nil"/>
              <w:left w:val="nil"/>
              <w:bottom w:val="single" w:sz="8" w:space="0" w:color="000000"/>
              <w:right w:val="nil"/>
            </w:tcBorders>
            <w:vAlign w:val="center"/>
            <w:hideMark/>
          </w:tcPr>
          <w:p w14:paraId="70C2281C" w14:textId="77777777" w:rsidR="00880D6D" w:rsidRPr="00FE7EFE" w:rsidRDefault="00880D6D" w:rsidP="00C6502B">
            <w:pPr>
              <w:tabs>
                <w:tab w:val="left" w:pos="3311"/>
              </w:tabs>
              <w:spacing w:line="240" w:lineRule="auto"/>
              <w:jc w:val="both"/>
              <w:rPr>
                <w:rFonts w:ascii="Times New Roman" w:hAnsi="Times New Roman"/>
                <w:b/>
                <w:bCs/>
                <w:sz w:val="20"/>
                <w:szCs w:val="20"/>
              </w:rPr>
            </w:pPr>
          </w:p>
        </w:tc>
        <w:tc>
          <w:tcPr>
            <w:tcW w:w="2033" w:type="dxa"/>
            <w:tcBorders>
              <w:top w:val="nil"/>
              <w:left w:val="nil"/>
              <w:bottom w:val="single" w:sz="8" w:space="0" w:color="auto"/>
              <w:right w:val="nil"/>
            </w:tcBorders>
            <w:shd w:val="clear" w:color="auto" w:fill="auto"/>
            <w:noWrap/>
            <w:vAlign w:val="center"/>
            <w:hideMark/>
          </w:tcPr>
          <w:p w14:paraId="63899B5A"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Estimate (95%CI)</w:t>
            </w:r>
          </w:p>
        </w:tc>
        <w:tc>
          <w:tcPr>
            <w:tcW w:w="924" w:type="dxa"/>
            <w:tcBorders>
              <w:top w:val="nil"/>
              <w:left w:val="nil"/>
              <w:bottom w:val="single" w:sz="8" w:space="0" w:color="auto"/>
              <w:right w:val="nil"/>
            </w:tcBorders>
            <w:shd w:val="clear" w:color="auto" w:fill="auto"/>
            <w:noWrap/>
            <w:vAlign w:val="center"/>
            <w:hideMark/>
          </w:tcPr>
          <w:p w14:paraId="3119BC2A"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P</w:t>
            </w:r>
          </w:p>
        </w:tc>
        <w:tc>
          <w:tcPr>
            <w:tcW w:w="2053" w:type="dxa"/>
            <w:tcBorders>
              <w:top w:val="nil"/>
              <w:left w:val="nil"/>
              <w:bottom w:val="single" w:sz="8" w:space="0" w:color="auto"/>
              <w:right w:val="nil"/>
            </w:tcBorders>
            <w:shd w:val="clear" w:color="auto" w:fill="auto"/>
            <w:noWrap/>
            <w:vAlign w:val="center"/>
            <w:hideMark/>
          </w:tcPr>
          <w:p w14:paraId="43546363"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Estimate (95%CI)</w:t>
            </w:r>
          </w:p>
        </w:tc>
        <w:tc>
          <w:tcPr>
            <w:tcW w:w="942" w:type="dxa"/>
            <w:tcBorders>
              <w:top w:val="nil"/>
              <w:left w:val="nil"/>
              <w:bottom w:val="single" w:sz="8" w:space="0" w:color="auto"/>
              <w:right w:val="nil"/>
            </w:tcBorders>
            <w:shd w:val="clear" w:color="auto" w:fill="auto"/>
            <w:noWrap/>
            <w:vAlign w:val="center"/>
            <w:hideMark/>
          </w:tcPr>
          <w:p w14:paraId="1775956C"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P</w:t>
            </w:r>
          </w:p>
        </w:tc>
      </w:tr>
      <w:tr w:rsidR="00880D6D" w:rsidRPr="00646A91" w14:paraId="73DBB824" w14:textId="77777777" w:rsidTr="00A2375F">
        <w:trPr>
          <w:trHeight w:val="240"/>
        </w:trPr>
        <w:tc>
          <w:tcPr>
            <w:tcW w:w="3070" w:type="dxa"/>
            <w:tcBorders>
              <w:top w:val="nil"/>
              <w:left w:val="nil"/>
              <w:bottom w:val="nil"/>
              <w:right w:val="nil"/>
            </w:tcBorders>
            <w:shd w:val="clear" w:color="auto" w:fill="auto"/>
            <w:noWrap/>
            <w:vAlign w:val="center"/>
            <w:hideMark/>
          </w:tcPr>
          <w:p w14:paraId="273CA3FC" w14:textId="77777777" w:rsidR="00880D6D" w:rsidRPr="00FE7EFE" w:rsidRDefault="00880D6D" w:rsidP="00C6502B">
            <w:pPr>
              <w:tabs>
                <w:tab w:val="left" w:pos="3311"/>
              </w:tabs>
              <w:spacing w:line="240" w:lineRule="auto"/>
              <w:jc w:val="both"/>
              <w:rPr>
                <w:rFonts w:ascii="Times New Roman" w:hAnsi="Times New Roman"/>
                <w:b/>
                <w:bCs/>
                <w:sz w:val="20"/>
                <w:szCs w:val="20"/>
              </w:rPr>
            </w:pPr>
          </w:p>
        </w:tc>
        <w:tc>
          <w:tcPr>
            <w:tcW w:w="2033" w:type="dxa"/>
            <w:tcBorders>
              <w:top w:val="nil"/>
              <w:left w:val="nil"/>
              <w:bottom w:val="nil"/>
              <w:right w:val="nil"/>
            </w:tcBorders>
            <w:shd w:val="clear" w:color="auto" w:fill="auto"/>
            <w:noWrap/>
            <w:vAlign w:val="center"/>
            <w:hideMark/>
          </w:tcPr>
          <w:p w14:paraId="5C6BBE95"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924" w:type="dxa"/>
            <w:tcBorders>
              <w:top w:val="nil"/>
              <w:left w:val="nil"/>
              <w:bottom w:val="nil"/>
              <w:right w:val="nil"/>
            </w:tcBorders>
            <w:shd w:val="clear" w:color="auto" w:fill="auto"/>
            <w:noWrap/>
            <w:vAlign w:val="center"/>
            <w:hideMark/>
          </w:tcPr>
          <w:p w14:paraId="2C7B3146"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2053" w:type="dxa"/>
            <w:tcBorders>
              <w:top w:val="nil"/>
              <w:left w:val="nil"/>
              <w:bottom w:val="nil"/>
              <w:right w:val="nil"/>
            </w:tcBorders>
            <w:shd w:val="clear" w:color="auto" w:fill="auto"/>
            <w:noWrap/>
            <w:vAlign w:val="center"/>
            <w:hideMark/>
          </w:tcPr>
          <w:p w14:paraId="0D1E076D"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942" w:type="dxa"/>
            <w:tcBorders>
              <w:top w:val="nil"/>
              <w:left w:val="nil"/>
              <w:bottom w:val="nil"/>
              <w:right w:val="nil"/>
            </w:tcBorders>
            <w:shd w:val="clear" w:color="auto" w:fill="auto"/>
            <w:noWrap/>
            <w:vAlign w:val="center"/>
            <w:hideMark/>
          </w:tcPr>
          <w:p w14:paraId="540F8E87" w14:textId="77777777" w:rsidR="00880D6D" w:rsidRPr="00FE7EFE" w:rsidRDefault="00880D6D" w:rsidP="00C6502B">
            <w:pPr>
              <w:tabs>
                <w:tab w:val="left" w:pos="3311"/>
              </w:tabs>
              <w:spacing w:line="240" w:lineRule="auto"/>
              <w:jc w:val="both"/>
              <w:rPr>
                <w:rFonts w:ascii="Times New Roman" w:hAnsi="Times New Roman"/>
                <w:sz w:val="20"/>
                <w:szCs w:val="20"/>
              </w:rPr>
            </w:pPr>
          </w:p>
        </w:tc>
      </w:tr>
      <w:tr w:rsidR="00880D6D" w:rsidRPr="00646A91" w14:paraId="7684EAE4" w14:textId="77777777" w:rsidTr="00A2375F">
        <w:trPr>
          <w:trHeight w:val="240"/>
        </w:trPr>
        <w:tc>
          <w:tcPr>
            <w:tcW w:w="3070" w:type="dxa"/>
            <w:tcBorders>
              <w:top w:val="nil"/>
              <w:left w:val="nil"/>
              <w:bottom w:val="nil"/>
              <w:right w:val="nil"/>
            </w:tcBorders>
            <w:shd w:val="clear" w:color="auto" w:fill="auto"/>
            <w:noWrap/>
            <w:vAlign w:val="center"/>
            <w:hideMark/>
          </w:tcPr>
          <w:p w14:paraId="4F343AE2"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 xml:space="preserve">Radius </w:t>
            </w:r>
          </w:p>
        </w:tc>
        <w:tc>
          <w:tcPr>
            <w:tcW w:w="2033" w:type="dxa"/>
            <w:tcBorders>
              <w:top w:val="nil"/>
              <w:left w:val="nil"/>
              <w:bottom w:val="nil"/>
              <w:right w:val="nil"/>
            </w:tcBorders>
            <w:shd w:val="clear" w:color="auto" w:fill="auto"/>
            <w:noWrap/>
            <w:vAlign w:val="center"/>
            <w:hideMark/>
          </w:tcPr>
          <w:p w14:paraId="21C3C90B" w14:textId="77777777" w:rsidR="00880D6D" w:rsidRPr="00FE7EFE" w:rsidRDefault="00880D6D" w:rsidP="00C6502B">
            <w:pPr>
              <w:tabs>
                <w:tab w:val="left" w:pos="3311"/>
              </w:tabs>
              <w:spacing w:line="240" w:lineRule="auto"/>
              <w:jc w:val="both"/>
              <w:rPr>
                <w:rFonts w:ascii="Times New Roman" w:hAnsi="Times New Roman"/>
                <w:b/>
                <w:bCs/>
                <w:sz w:val="20"/>
                <w:szCs w:val="20"/>
              </w:rPr>
            </w:pPr>
          </w:p>
        </w:tc>
        <w:tc>
          <w:tcPr>
            <w:tcW w:w="924" w:type="dxa"/>
            <w:tcBorders>
              <w:top w:val="nil"/>
              <w:left w:val="nil"/>
              <w:bottom w:val="nil"/>
              <w:right w:val="nil"/>
            </w:tcBorders>
            <w:shd w:val="clear" w:color="auto" w:fill="auto"/>
            <w:noWrap/>
            <w:vAlign w:val="center"/>
            <w:hideMark/>
          </w:tcPr>
          <w:p w14:paraId="6F0475C6"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2053" w:type="dxa"/>
            <w:tcBorders>
              <w:top w:val="nil"/>
              <w:left w:val="nil"/>
              <w:bottom w:val="nil"/>
              <w:right w:val="nil"/>
            </w:tcBorders>
            <w:shd w:val="clear" w:color="auto" w:fill="auto"/>
            <w:noWrap/>
            <w:vAlign w:val="center"/>
            <w:hideMark/>
          </w:tcPr>
          <w:p w14:paraId="19271169"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942" w:type="dxa"/>
            <w:tcBorders>
              <w:top w:val="nil"/>
              <w:left w:val="nil"/>
              <w:bottom w:val="nil"/>
              <w:right w:val="nil"/>
            </w:tcBorders>
            <w:shd w:val="clear" w:color="auto" w:fill="auto"/>
            <w:noWrap/>
            <w:vAlign w:val="center"/>
            <w:hideMark/>
          </w:tcPr>
          <w:p w14:paraId="0AD3B2F4" w14:textId="77777777" w:rsidR="00880D6D" w:rsidRPr="00FE7EFE" w:rsidRDefault="00880D6D" w:rsidP="00C6502B">
            <w:pPr>
              <w:tabs>
                <w:tab w:val="left" w:pos="3311"/>
              </w:tabs>
              <w:spacing w:line="240" w:lineRule="auto"/>
              <w:jc w:val="both"/>
              <w:rPr>
                <w:rFonts w:ascii="Times New Roman" w:hAnsi="Times New Roman"/>
                <w:sz w:val="20"/>
                <w:szCs w:val="20"/>
              </w:rPr>
            </w:pPr>
          </w:p>
        </w:tc>
      </w:tr>
      <w:tr w:rsidR="00A04A1E" w:rsidRPr="00646A91" w14:paraId="380139E7" w14:textId="77777777" w:rsidTr="00A2375F">
        <w:trPr>
          <w:trHeight w:val="240"/>
        </w:trPr>
        <w:tc>
          <w:tcPr>
            <w:tcW w:w="3070" w:type="dxa"/>
            <w:tcBorders>
              <w:top w:val="nil"/>
              <w:left w:val="nil"/>
              <w:bottom w:val="nil"/>
              <w:right w:val="nil"/>
            </w:tcBorders>
            <w:shd w:val="clear" w:color="auto" w:fill="auto"/>
            <w:noWrap/>
            <w:vAlign w:val="center"/>
            <w:hideMark/>
          </w:tcPr>
          <w:p w14:paraId="64342C21"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Total area</w:t>
            </w:r>
          </w:p>
        </w:tc>
        <w:tc>
          <w:tcPr>
            <w:tcW w:w="2033" w:type="dxa"/>
            <w:tcBorders>
              <w:top w:val="nil"/>
              <w:left w:val="nil"/>
              <w:bottom w:val="nil"/>
              <w:right w:val="nil"/>
            </w:tcBorders>
            <w:shd w:val="clear" w:color="auto" w:fill="auto"/>
            <w:noWrap/>
            <w:vAlign w:val="center"/>
            <w:hideMark/>
          </w:tcPr>
          <w:p w14:paraId="408DDF35"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sz w:val="20"/>
                <w:szCs w:val="20"/>
              </w:rPr>
              <w:t>-0.03 (-0.16,0.09)</w:t>
            </w:r>
          </w:p>
        </w:tc>
        <w:tc>
          <w:tcPr>
            <w:tcW w:w="924" w:type="dxa"/>
            <w:tcBorders>
              <w:top w:val="nil"/>
              <w:left w:val="nil"/>
              <w:bottom w:val="nil"/>
              <w:right w:val="nil"/>
            </w:tcBorders>
            <w:shd w:val="clear" w:color="auto" w:fill="auto"/>
            <w:noWrap/>
            <w:vAlign w:val="center"/>
            <w:hideMark/>
          </w:tcPr>
          <w:p w14:paraId="1DB8B957"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sz w:val="20"/>
                <w:szCs w:val="20"/>
              </w:rPr>
              <w:t>0.609</w:t>
            </w:r>
          </w:p>
        </w:tc>
        <w:tc>
          <w:tcPr>
            <w:tcW w:w="2053" w:type="dxa"/>
            <w:tcBorders>
              <w:top w:val="nil"/>
              <w:left w:val="nil"/>
              <w:bottom w:val="nil"/>
              <w:right w:val="nil"/>
            </w:tcBorders>
            <w:shd w:val="clear" w:color="auto" w:fill="auto"/>
            <w:noWrap/>
            <w:vAlign w:val="bottom"/>
          </w:tcPr>
          <w:p w14:paraId="52AB0437" w14:textId="3151B85E"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0.02 (-0.11,0.15)</w:t>
            </w:r>
          </w:p>
        </w:tc>
        <w:tc>
          <w:tcPr>
            <w:tcW w:w="942" w:type="dxa"/>
            <w:tcBorders>
              <w:top w:val="nil"/>
              <w:left w:val="nil"/>
              <w:bottom w:val="nil"/>
              <w:right w:val="nil"/>
            </w:tcBorders>
            <w:shd w:val="clear" w:color="auto" w:fill="auto"/>
            <w:noWrap/>
            <w:vAlign w:val="bottom"/>
          </w:tcPr>
          <w:p w14:paraId="05CD8202" w14:textId="271AAE10"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0.783</w:t>
            </w:r>
          </w:p>
        </w:tc>
      </w:tr>
      <w:tr w:rsidR="00A04A1E" w:rsidRPr="00646A91" w14:paraId="63ECF6DB" w14:textId="77777777" w:rsidTr="00A2375F">
        <w:trPr>
          <w:trHeight w:val="240"/>
        </w:trPr>
        <w:tc>
          <w:tcPr>
            <w:tcW w:w="3070" w:type="dxa"/>
            <w:tcBorders>
              <w:top w:val="nil"/>
              <w:left w:val="nil"/>
              <w:bottom w:val="nil"/>
              <w:right w:val="nil"/>
            </w:tcBorders>
            <w:shd w:val="clear" w:color="auto" w:fill="auto"/>
            <w:noWrap/>
            <w:vAlign w:val="center"/>
            <w:hideMark/>
          </w:tcPr>
          <w:p w14:paraId="22172F15"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area</w:t>
            </w:r>
          </w:p>
        </w:tc>
        <w:tc>
          <w:tcPr>
            <w:tcW w:w="2033" w:type="dxa"/>
            <w:tcBorders>
              <w:top w:val="nil"/>
              <w:left w:val="nil"/>
              <w:bottom w:val="nil"/>
              <w:right w:val="nil"/>
            </w:tcBorders>
            <w:shd w:val="clear" w:color="auto" w:fill="auto"/>
            <w:noWrap/>
            <w:vAlign w:val="center"/>
            <w:hideMark/>
          </w:tcPr>
          <w:p w14:paraId="6E75FC23"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-0.01 (-0.13,0.12)</w:t>
            </w:r>
          </w:p>
        </w:tc>
        <w:tc>
          <w:tcPr>
            <w:tcW w:w="924" w:type="dxa"/>
            <w:tcBorders>
              <w:top w:val="nil"/>
              <w:left w:val="nil"/>
              <w:bottom w:val="nil"/>
              <w:right w:val="nil"/>
            </w:tcBorders>
            <w:shd w:val="clear" w:color="auto" w:fill="auto"/>
            <w:noWrap/>
            <w:vAlign w:val="center"/>
            <w:hideMark/>
          </w:tcPr>
          <w:p w14:paraId="3F56BDCE"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0.933</w:t>
            </w:r>
          </w:p>
        </w:tc>
        <w:tc>
          <w:tcPr>
            <w:tcW w:w="2053" w:type="dxa"/>
            <w:tcBorders>
              <w:top w:val="nil"/>
              <w:left w:val="nil"/>
              <w:bottom w:val="nil"/>
              <w:right w:val="nil"/>
            </w:tcBorders>
            <w:shd w:val="clear" w:color="auto" w:fill="auto"/>
            <w:noWrap/>
            <w:vAlign w:val="bottom"/>
          </w:tcPr>
          <w:p w14:paraId="7DBC61AC" w14:textId="45947354"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0.04 (-0.09,0.17)</w:t>
            </w:r>
          </w:p>
        </w:tc>
        <w:tc>
          <w:tcPr>
            <w:tcW w:w="942" w:type="dxa"/>
            <w:tcBorders>
              <w:top w:val="nil"/>
              <w:left w:val="nil"/>
              <w:bottom w:val="nil"/>
              <w:right w:val="nil"/>
            </w:tcBorders>
            <w:shd w:val="clear" w:color="auto" w:fill="auto"/>
            <w:noWrap/>
            <w:vAlign w:val="bottom"/>
          </w:tcPr>
          <w:p w14:paraId="3EFBFB85" w14:textId="6B193D59"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0.526</w:t>
            </w:r>
          </w:p>
        </w:tc>
      </w:tr>
      <w:tr w:rsidR="00A04A1E" w:rsidRPr="00646A91" w14:paraId="523F8A67" w14:textId="77777777" w:rsidTr="00A2375F">
        <w:trPr>
          <w:trHeight w:val="240"/>
        </w:trPr>
        <w:tc>
          <w:tcPr>
            <w:tcW w:w="3070" w:type="dxa"/>
            <w:tcBorders>
              <w:top w:val="nil"/>
              <w:left w:val="nil"/>
              <w:bottom w:val="nil"/>
              <w:right w:val="nil"/>
            </w:tcBorders>
            <w:shd w:val="clear" w:color="auto" w:fill="auto"/>
            <w:noWrap/>
            <w:vAlign w:val="center"/>
            <w:hideMark/>
          </w:tcPr>
          <w:p w14:paraId="14C70BB9"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area</w:t>
            </w:r>
          </w:p>
        </w:tc>
        <w:tc>
          <w:tcPr>
            <w:tcW w:w="2033" w:type="dxa"/>
            <w:tcBorders>
              <w:top w:val="nil"/>
              <w:left w:val="nil"/>
              <w:bottom w:val="nil"/>
              <w:right w:val="nil"/>
            </w:tcBorders>
            <w:shd w:val="clear" w:color="auto" w:fill="auto"/>
            <w:noWrap/>
            <w:vAlign w:val="center"/>
            <w:hideMark/>
          </w:tcPr>
          <w:p w14:paraId="33197BB8"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-0.12 (-0.24,0.01)</w:t>
            </w:r>
          </w:p>
        </w:tc>
        <w:tc>
          <w:tcPr>
            <w:tcW w:w="924" w:type="dxa"/>
            <w:tcBorders>
              <w:top w:val="nil"/>
              <w:left w:val="nil"/>
              <w:bottom w:val="nil"/>
              <w:right w:val="nil"/>
            </w:tcBorders>
            <w:shd w:val="clear" w:color="auto" w:fill="auto"/>
            <w:noWrap/>
            <w:vAlign w:val="center"/>
            <w:hideMark/>
          </w:tcPr>
          <w:p w14:paraId="73AC0E91"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0.068</w:t>
            </w:r>
          </w:p>
        </w:tc>
        <w:tc>
          <w:tcPr>
            <w:tcW w:w="2053" w:type="dxa"/>
            <w:tcBorders>
              <w:top w:val="nil"/>
              <w:left w:val="nil"/>
              <w:bottom w:val="nil"/>
              <w:right w:val="nil"/>
            </w:tcBorders>
            <w:shd w:val="clear" w:color="auto" w:fill="auto"/>
            <w:noWrap/>
            <w:vAlign w:val="bottom"/>
          </w:tcPr>
          <w:p w14:paraId="2AB7D0E1" w14:textId="42536562" w:rsidR="00A04A1E" w:rsidRPr="00A04A1E" w:rsidRDefault="00A04A1E" w:rsidP="00C6502B">
            <w:pPr>
              <w:tabs>
                <w:tab w:val="left" w:pos="3311"/>
              </w:tabs>
              <w:spacing w:line="240" w:lineRule="auto"/>
              <w:jc w:val="both"/>
              <w:rPr>
                <w:rFonts w:ascii="Times New Roman" w:hAnsi="Times New Roman"/>
                <w:b/>
                <w:sz w:val="20"/>
                <w:szCs w:val="20"/>
              </w:rPr>
            </w:pPr>
            <w:r w:rsidRPr="00A04A1E">
              <w:rPr>
                <w:rFonts w:ascii="Times New Roman" w:hAnsi="Times New Roman"/>
                <w:b/>
                <w:color w:val="000000"/>
                <w:sz w:val="20"/>
                <w:szCs w:val="20"/>
              </w:rPr>
              <w:t>-0.14 (-0.27,-0.00)</w:t>
            </w:r>
          </w:p>
        </w:tc>
        <w:tc>
          <w:tcPr>
            <w:tcW w:w="942" w:type="dxa"/>
            <w:tcBorders>
              <w:top w:val="nil"/>
              <w:left w:val="nil"/>
              <w:bottom w:val="nil"/>
              <w:right w:val="nil"/>
            </w:tcBorders>
            <w:shd w:val="clear" w:color="auto" w:fill="auto"/>
            <w:noWrap/>
            <w:vAlign w:val="bottom"/>
          </w:tcPr>
          <w:p w14:paraId="68D5197C" w14:textId="146549BB" w:rsidR="00A04A1E" w:rsidRPr="00A04A1E" w:rsidRDefault="00A04A1E" w:rsidP="00C6502B">
            <w:pPr>
              <w:tabs>
                <w:tab w:val="left" w:pos="3311"/>
              </w:tabs>
              <w:spacing w:line="240" w:lineRule="auto"/>
              <w:jc w:val="both"/>
              <w:rPr>
                <w:rFonts w:ascii="Times New Roman" w:hAnsi="Times New Roman"/>
                <w:b/>
                <w:sz w:val="20"/>
                <w:szCs w:val="20"/>
              </w:rPr>
            </w:pPr>
            <w:r w:rsidRPr="00A04A1E">
              <w:rPr>
                <w:rFonts w:ascii="Times New Roman" w:hAnsi="Times New Roman"/>
                <w:b/>
                <w:color w:val="000000"/>
                <w:sz w:val="20"/>
                <w:szCs w:val="20"/>
              </w:rPr>
              <w:t>0.047</w:t>
            </w:r>
          </w:p>
        </w:tc>
      </w:tr>
      <w:tr w:rsidR="00A04A1E" w:rsidRPr="00646A91" w14:paraId="0C2BA6DB" w14:textId="77777777" w:rsidTr="00A2375F">
        <w:trPr>
          <w:trHeight w:val="240"/>
        </w:trPr>
        <w:tc>
          <w:tcPr>
            <w:tcW w:w="3070" w:type="dxa"/>
            <w:tcBorders>
              <w:top w:val="nil"/>
              <w:left w:val="nil"/>
              <w:bottom w:val="nil"/>
              <w:right w:val="nil"/>
            </w:tcBorders>
            <w:shd w:val="clear" w:color="auto" w:fill="auto"/>
            <w:noWrap/>
            <w:vAlign w:val="center"/>
            <w:hideMark/>
          </w:tcPr>
          <w:p w14:paraId="6AAD81E2"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thickness</w:t>
            </w:r>
          </w:p>
        </w:tc>
        <w:tc>
          <w:tcPr>
            <w:tcW w:w="2033" w:type="dxa"/>
            <w:tcBorders>
              <w:top w:val="nil"/>
              <w:left w:val="nil"/>
              <w:bottom w:val="nil"/>
              <w:right w:val="nil"/>
            </w:tcBorders>
            <w:shd w:val="clear" w:color="auto" w:fill="auto"/>
            <w:noWrap/>
            <w:vAlign w:val="center"/>
            <w:hideMark/>
          </w:tcPr>
          <w:p w14:paraId="1D5CAD98"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-0.09 (-0.21,0.04)</w:t>
            </w:r>
          </w:p>
        </w:tc>
        <w:tc>
          <w:tcPr>
            <w:tcW w:w="924" w:type="dxa"/>
            <w:tcBorders>
              <w:top w:val="nil"/>
              <w:left w:val="nil"/>
              <w:bottom w:val="nil"/>
              <w:right w:val="nil"/>
            </w:tcBorders>
            <w:shd w:val="clear" w:color="auto" w:fill="auto"/>
            <w:noWrap/>
            <w:vAlign w:val="center"/>
            <w:hideMark/>
          </w:tcPr>
          <w:p w14:paraId="077C68AE"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0.159</w:t>
            </w:r>
          </w:p>
        </w:tc>
        <w:tc>
          <w:tcPr>
            <w:tcW w:w="2053" w:type="dxa"/>
            <w:tcBorders>
              <w:top w:val="nil"/>
              <w:left w:val="nil"/>
              <w:bottom w:val="nil"/>
              <w:right w:val="nil"/>
            </w:tcBorders>
            <w:shd w:val="clear" w:color="auto" w:fill="auto"/>
            <w:noWrap/>
            <w:vAlign w:val="bottom"/>
          </w:tcPr>
          <w:p w14:paraId="4AC88120" w14:textId="0CCA3858"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-0.12 (-0.26,0.02)</w:t>
            </w:r>
          </w:p>
        </w:tc>
        <w:tc>
          <w:tcPr>
            <w:tcW w:w="942" w:type="dxa"/>
            <w:tcBorders>
              <w:top w:val="nil"/>
              <w:left w:val="nil"/>
              <w:bottom w:val="nil"/>
              <w:right w:val="nil"/>
            </w:tcBorders>
            <w:shd w:val="clear" w:color="auto" w:fill="auto"/>
            <w:noWrap/>
            <w:vAlign w:val="bottom"/>
          </w:tcPr>
          <w:p w14:paraId="090E7F05" w14:textId="2CEB302E"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0.09</w:t>
            </w:r>
            <w:r>
              <w:rPr>
                <w:rFonts w:ascii="Times New Roman" w:hAnsi="Times New Roman"/>
                <w:color w:val="000000"/>
                <w:sz w:val="20"/>
                <w:szCs w:val="20"/>
              </w:rPr>
              <w:t>0</w:t>
            </w:r>
          </w:p>
        </w:tc>
      </w:tr>
      <w:tr w:rsidR="00A04A1E" w:rsidRPr="00646A91" w14:paraId="1E838424" w14:textId="77777777" w:rsidTr="00A2375F">
        <w:trPr>
          <w:trHeight w:val="240"/>
        </w:trPr>
        <w:tc>
          <w:tcPr>
            <w:tcW w:w="3070" w:type="dxa"/>
            <w:tcBorders>
              <w:top w:val="nil"/>
              <w:left w:val="nil"/>
              <w:bottom w:val="nil"/>
              <w:right w:val="nil"/>
            </w:tcBorders>
            <w:shd w:val="clear" w:color="auto" w:fill="auto"/>
            <w:noWrap/>
            <w:vAlign w:val="center"/>
            <w:hideMark/>
          </w:tcPr>
          <w:p w14:paraId="01ACD057"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volumetric density</w:t>
            </w:r>
          </w:p>
        </w:tc>
        <w:tc>
          <w:tcPr>
            <w:tcW w:w="2033" w:type="dxa"/>
            <w:tcBorders>
              <w:top w:val="nil"/>
              <w:left w:val="nil"/>
              <w:bottom w:val="nil"/>
              <w:right w:val="nil"/>
            </w:tcBorders>
            <w:shd w:val="clear" w:color="auto" w:fill="auto"/>
            <w:noWrap/>
            <w:vAlign w:val="center"/>
            <w:hideMark/>
          </w:tcPr>
          <w:p w14:paraId="5DC15698"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-0.02 (-0.14,0.11)</w:t>
            </w:r>
          </w:p>
        </w:tc>
        <w:tc>
          <w:tcPr>
            <w:tcW w:w="924" w:type="dxa"/>
            <w:tcBorders>
              <w:top w:val="nil"/>
              <w:left w:val="nil"/>
              <w:bottom w:val="nil"/>
              <w:right w:val="nil"/>
            </w:tcBorders>
            <w:shd w:val="clear" w:color="auto" w:fill="auto"/>
            <w:noWrap/>
            <w:vAlign w:val="center"/>
            <w:hideMark/>
          </w:tcPr>
          <w:p w14:paraId="5D23FFE1"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0.767</w:t>
            </w:r>
          </w:p>
        </w:tc>
        <w:tc>
          <w:tcPr>
            <w:tcW w:w="2053" w:type="dxa"/>
            <w:tcBorders>
              <w:top w:val="nil"/>
              <w:left w:val="nil"/>
              <w:bottom w:val="nil"/>
              <w:right w:val="nil"/>
            </w:tcBorders>
            <w:shd w:val="clear" w:color="auto" w:fill="auto"/>
            <w:noWrap/>
            <w:vAlign w:val="bottom"/>
          </w:tcPr>
          <w:p w14:paraId="491C327B" w14:textId="69C2912B"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-0.09 (-0.23,0.04)</w:t>
            </w:r>
          </w:p>
        </w:tc>
        <w:tc>
          <w:tcPr>
            <w:tcW w:w="942" w:type="dxa"/>
            <w:tcBorders>
              <w:top w:val="nil"/>
              <w:left w:val="nil"/>
              <w:bottom w:val="nil"/>
              <w:right w:val="nil"/>
            </w:tcBorders>
            <w:shd w:val="clear" w:color="auto" w:fill="auto"/>
            <w:noWrap/>
            <w:vAlign w:val="bottom"/>
          </w:tcPr>
          <w:p w14:paraId="59C9670F" w14:textId="68481B3A"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0.172</w:t>
            </w:r>
          </w:p>
        </w:tc>
      </w:tr>
      <w:tr w:rsidR="00A04A1E" w:rsidRPr="00646A91" w14:paraId="3E6F932A" w14:textId="77777777" w:rsidTr="00A2375F">
        <w:trPr>
          <w:trHeight w:val="240"/>
        </w:trPr>
        <w:tc>
          <w:tcPr>
            <w:tcW w:w="3070" w:type="dxa"/>
            <w:tcBorders>
              <w:top w:val="nil"/>
              <w:left w:val="nil"/>
              <w:bottom w:val="nil"/>
              <w:right w:val="nil"/>
            </w:tcBorders>
            <w:shd w:val="clear" w:color="auto" w:fill="auto"/>
            <w:noWrap/>
            <w:vAlign w:val="center"/>
            <w:hideMark/>
          </w:tcPr>
          <w:p w14:paraId="36711CD0"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porosity</w:t>
            </w:r>
          </w:p>
        </w:tc>
        <w:tc>
          <w:tcPr>
            <w:tcW w:w="2033" w:type="dxa"/>
            <w:tcBorders>
              <w:top w:val="nil"/>
              <w:left w:val="nil"/>
              <w:bottom w:val="nil"/>
              <w:right w:val="nil"/>
            </w:tcBorders>
            <w:shd w:val="clear" w:color="auto" w:fill="auto"/>
            <w:noWrap/>
            <w:vAlign w:val="center"/>
            <w:hideMark/>
          </w:tcPr>
          <w:p w14:paraId="2C6B3932"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sz w:val="20"/>
                <w:szCs w:val="20"/>
              </w:rPr>
              <w:t>-0.09 (-0.21,0.04)</w:t>
            </w:r>
          </w:p>
        </w:tc>
        <w:tc>
          <w:tcPr>
            <w:tcW w:w="924" w:type="dxa"/>
            <w:tcBorders>
              <w:top w:val="nil"/>
              <w:left w:val="nil"/>
              <w:bottom w:val="nil"/>
              <w:right w:val="nil"/>
            </w:tcBorders>
            <w:shd w:val="clear" w:color="auto" w:fill="auto"/>
            <w:noWrap/>
            <w:vAlign w:val="center"/>
            <w:hideMark/>
          </w:tcPr>
          <w:p w14:paraId="287E00A4"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sz w:val="20"/>
                <w:szCs w:val="20"/>
              </w:rPr>
              <w:t>0.176</w:t>
            </w:r>
          </w:p>
        </w:tc>
        <w:tc>
          <w:tcPr>
            <w:tcW w:w="2053" w:type="dxa"/>
            <w:tcBorders>
              <w:top w:val="nil"/>
              <w:left w:val="nil"/>
              <w:bottom w:val="nil"/>
              <w:right w:val="nil"/>
            </w:tcBorders>
            <w:shd w:val="clear" w:color="auto" w:fill="auto"/>
            <w:noWrap/>
            <w:vAlign w:val="bottom"/>
          </w:tcPr>
          <w:p w14:paraId="04EB6661" w14:textId="31495C88"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0.00 (-0.14,0.14)</w:t>
            </w:r>
          </w:p>
        </w:tc>
        <w:tc>
          <w:tcPr>
            <w:tcW w:w="942" w:type="dxa"/>
            <w:tcBorders>
              <w:top w:val="nil"/>
              <w:left w:val="nil"/>
              <w:bottom w:val="nil"/>
              <w:right w:val="nil"/>
            </w:tcBorders>
            <w:shd w:val="clear" w:color="auto" w:fill="auto"/>
            <w:noWrap/>
            <w:vAlign w:val="bottom"/>
          </w:tcPr>
          <w:p w14:paraId="55C33FB3" w14:textId="666FACCA"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0.997</w:t>
            </w:r>
          </w:p>
        </w:tc>
      </w:tr>
      <w:tr w:rsidR="00A04A1E" w:rsidRPr="00646A91" w14:paraId="37837BB9" w14:textId="77777777" w:rsidTr="00A2375F">
        <w:trPr>
          <w:trHeight w:val="240"/>
        </w:trPr>
        <w:tc>
          <w:tcPr>
            <w:tcW w:w="3070" w:type="dxa"/>
            <w:tcBorders>
              <w:top w:val="nil"/>
              <w:left w:val="nil"/>
              <w:bottom w:val="nil"/>
              <w:right w:val="nil"/>
            </w:tcBorders>
            <w:shd w:val="clear" w:color="auto" w:fill="auto"/>
            <w:noWrap/>
            <w:vAlign w:val="center"/>
            <w:hideMark/>
          </w:tcPr>
          <w:p w14:paraId="596D83A1"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pores diameter</w:t>
            </w:r>
          </w:p>
        </w:tc>
        <w:tc>
          <w:tcPr>
            <w:tcW w:w="2033" w:type="dxa"/>
            <w:tcBorders>
              <w:top w:val="nil"/>
              <w:left w:val="nil"/>
              <w:bottom w:val="nil"/>
              <w:right w:val="nil"/>
            </w:tcBorders>
            <w:shd w:val="clear" w:color="auto" w:fill="auto"/>
            <w:noWrap/>
            <w:vAlign w:val="center"/>
            <w:hideMark/>
          </w:tcPr>
          <w:p w14:paraId="595F9B5E"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-0.03 (-0.15,0.10)</w:t>
            </w:r>
          </w:p>
        </w:tc>
        <w:tc>
          <w:tcPr>
            <w:tcW w:w="924" w:type="dxa"/>
            <w:tcBorders>
              <w:top w:val="nil"/>
              <w:left w:val="nil"/>
              <w:bottom w:val="nil"/>
              <w:right w:val="nil"/>
            </w:tcBorders>
            <w:shd w:val="clear" w:color="auto" w:fill="auto"/>
            <w:noWrap/>
            <w:vAlign w:val="center"/>
            <w:hideMark/>
          </w:tcPr>
          <w:p w14:paraId="43D843DC"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0.682</w:t>
            </w:r>
          </w:p>
        </w:tc>
        <w:tc>
          <w:tcPr>
            <w:tcW w:w="2053" w:type="dxa"/>
            <w:tcBorders>
              <w:top w:val="nil"/>
              <w:left w:val="nil"/>
              <w:bottom w:val="nil"/>
              <w:right w:val="nil"/>
            </w:tcBorders>
            <w:shd w:val="clear" w:color="auto" w:fill="auto"/>
            <w:noWrap/>
            <w:vAlign w:val="bottom"/>
          </w:tcPr>
          <w:p w14:paraId="5AB0192D" w14:textId="6544A3FD"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-0.01 (-0.16,0.14)</w:t>
            </w:r>
          </w:p>
        </w:tc>
        <w:tc>
          <w:tcPr>
            <w:tcW w:w="942" w:type="dxa"/>
            <w:tcBorders>
              <w:top w:val="nil"/>
              <w:left w:val="nil"/>
              <w:bottom w:val="nil"/>
              <w:right w:val="nil"/>
            </w:tcBorders>
            <w:shd w:val="clear" w:color="auto" w:fill="auto"/>
            <w:noWrap/>
            <w:vAlign w:val="bottom"/>
          </w:tcPr>
          <w:p w14:paraId="30C2AD6A" w14:textId="1553FC40"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0.906</w:t>
            </w:r>
          </w:p>
        </w:tc>
      </w:tr>
      <w:tr w:rsidR="00A04A1E" w:rsidRPr="00646A91" w14:paraId="1689391E" w14:textId="77777777" w:rsidTr="00A2375F">
        <w:trPr>
          <w:trHeight w:val="240"/>
        </w:trPr>
        <w:tc>
          <w:tcPr>
            <w:tcW w:w="3070" w:type="dxa"/>
            <w:tcBorders>
              <w:top w:val="nil"/>
              <w:left w:val="nil"/>
              <w:bottom w:val="nil"/>
              <w:right w:val="nil"/>
            </w:tcBorders>
            <w:shd w:val="clear" w:color="auto" w:fill="auto"/>
            <w:noWrap/>
            <w:vAlign w:val="center"/>
            <w:hideMark/>
          </w:tcPr>
          <w:p w14:paraId="4A2E353C"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volumetric density</w:t>
            </w:r>
          </w:p>
        </w:tc>
        <w:tc>
          <w:tcPr>
            <w:tcW w:w="2033" w:type="dxa"/>
            <w:tcBorders>
              <w:top w:val="nil"/>
              <w:left w:val="nil"/>
              <w:bottom w:val="nil"/>
              <w:right w:val="nil"/>
            </w:tcBorders>
            <w:shd w:val="clear" w:color="auto" w:fill="auto"/>
            <w:noWrap/>
            <w:vAlign w:val="center"/>
            <w:hideMark/>
          </w:tcPr>
          <w:p w14:paraId="69BD0E25"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-0.16 (-0.28,-0.04)</w:t>
            </w:r>
          </w:p>
        </w:tc>
        <w:tc>
          <w:tcPr>
            <w:tcW w:w="924" w:type="dxa"/>
            <w:tcBorders>
              <w:top w:val="nil"/>
              <w:left w:val="nil"/>
              <w:bottom w:val="nil"/>
              <w:right w:val="nil"/>
            </w:tcBorders>
            <w:shd w:val="clear" w:color="auto" w:fill="auto"/>
            <w:noWrap/>
            <w:vAlign w:val="center"/>
            <w:hideMark/>
          </w:tcPr>
          <w:p w14:paraId="14D488FF"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0.010</w:t>
            </w:r>
          </w:p>
        </w:tc>
        <w:tc>
          <w:tcPr>
            <w:tcW w:w="2053" w:type="dxa"/>
            <w:tcBorders>
              <w:top w:val="nil"/>
              <w:left w:val="nil"/>
              <w:bottom w:val="nil"/>
              <w:right w:val="nil"/>
            </w:tcBorders>
            <w:shd w:val="clear" w:color="auto" w:fill="auto"/>
            <w:noWrap/>
            <w:vAlign w:val="bottom"/>
          </w:tcPr>
          <w:p w14:paraId="3898532A" w14:textId="5200E6D6" w:rsidR="00A04A1E" w:rsidRPr="00A04A1E" w:rsidRDefault="00A04A1E" w:rsidP="00C6502B">
            <w:pPr>
              <w:tabs>
                <w:tab w:val="left" w:pos="3311"/>
              </w:tabs>
              <w:spacing w:line="240" w:lineRule="auto"/>
              <w:jc w:val="both"/>
              <w:rPr>
                <w:rFonts w:ascii="Times New Roman" w:hAnsi="Times New Roman"/>
                <w:b/>
                <w:bCs/>
                <w:sz w:val="20"/>
                <w:szCs w:val="20"/>
              </w:rPr>
            </w:pPr>
            <w:r w:rsidRPr="00A04A1E">
              <w:rPr>
                <w:rFonts w:ascii="Times New Roman" w:hAnsi="Times New Roman"/>
                <w:b/>
                <w:color w:val="000000"/>
                <w:sz w:val="20"/>
                <w:szCs w:val="20"/>
              </w:rPr>
              <w:t>-0.16 (-0.31,-0.02)</w:t>
            </w:r>
          </w:p>
        </w:tc>
        <w:tc>
          <w:tcPr>
            <w:tcW w:w="942" w:type="dxa"/>
            <w:tcBorders>
              <w:top w:val="nil"/>
              <w:left w:val="nil"/>
              <w:bottom w:val="nil"/>
              <w:right w:val="nil"/>
            </w:tcBorders>
            <w:shd w:val="clear" w:color="auto" w:fill="auto"/>
            <w:noWrap/>
            <w:vAlign w:val="bottom"/>
          </w:tcPr>
          <w:p w14:paraId="46BB3265" w14:textId="07A47371" w:rsidR="00A04A1E" w:rsidRPr="00A04A1E" w:rsidRDefault="00A04A1E" w:rsidP="00C6502B">
            <w:pPr>
              <w:tabs>
                <w:tab w:val="left" w:pos="3311"/>
              </w:tabs>
              <w:spacing w:line="240" w:lineRule="auto"/>
              <w:jc w:val="both"/>
              <w:rPr>
                <w:rFonts w:ascii="Times New Roman" w:hAnsi="Times New Roman"/>
                <w:b/>
                <w:bCs/>
                <w:sz w:val="20"/>
                <w:szCs w:val="20"/>
              </w:rPr>
            </w:pPr>
            <w:r w:rsidRPr="00A04A1E">
              <w:rPr>
                <w:rFonts w:ascii="Times New Roman" w:hAnsi="Times New Roman"/>
                <w:b/>
                <w:color w:val="000000"/>
                <w:sz w:val="20"/>
                <w:szCs w:val="20"/>
              </w:rPr>
              <w:t>0.027</w:t>
            </w:r>
          </w:p>
        </w:tc>
      </w:tr>
      <w:tr w:rsidR="00A04A1E" w:rsidRPr="00646A91" w14:paraId="6F4871FB" w14:textId="77777777" w:rsidTr="00A2375F">
        <w:trPr>
          <w:trHeight w:val="240"/>
        </w:trPr>
        <w:tc>
          <w:tcPr>
            <w:tcW w:w="3070" w:type="dxa"/>
            <w:tcBorders>
              <w:top w:val="nil"/>
              <w:left w:val="nil"/>
              <w:bottom w:val="nil"/>
              <w:right w:val="nil"/>
            </w:tcBorders>
            <w:shd w:val="clear" w:color="auto" w:fill="auto"/>
            <w:noWrap/>
            <w:vAlign w:val="center"/>
            <w:hideMark/>
          </w:tcPr>
          <w:p w14:paraId="2960E102"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number</w:t>
            </w:r>
          </w:p>
        </w:tc>
        <w:tc>
          <w:tcPr>
            <w:tcW w:w="2033" w:type="dxa"/>
            <w:tcBorders>
              <w:top w:val="nil"/>
              <w:left w:val="nil"/>
              <w:bottom w:val="nil"/>
              <w:right w:val="nil"/>
            </w:tcBorders>
            <w:shd w:val="clear" w:color="auto" w:fill="auto"/>
            <w:noWrap/>
            <w:vAlign w:val="center"/>
            <w:hideMark/>
          </w:tcPr>
          <w:p w14:paraId="04A4CA8B"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-0.18 (-0.31,-0.06)</w:t>
            </w:r>
          </w:p>
        </w:tc>
        <w:tc>
          <w:tcPr>
            <w:tcW w:w="924" w:type="dxa"/>
            <w:tcBorders>
              <w:top w:val="nil"/>
              <w:left w:val="nil"/>
              <w:bottom w:val="nil"/>
              <w:right w:val="nil"/>
            </w:tcBorders>
            <w:shd w:val="clear" w:color="auto" w:fill="auto"/>
            <w:noWrap/>
            <w:vAlign w:val="center"/>
            <w:hideMark/>
          </w:tcPr>
          <w:p w14:paraId="40FAEE8B"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0.004</w:t>
            </w:r>
          </w:p>
        </w:tc>
        <w:tc>
          <w:tcPr>
            <w:tcW w:w="2053" w:type="dxa"/>
            <w:tcBorders>
              <w:top w:val="nil"/>
              <w:left w:val="nil"/>
              <w:bottom w:val="nil"/>
              <w:right w:val="nil"/>
            </w:tcBorders>
            <w:shd w:val="clear" w:color="auto" w:fill="auto"/>
            <w:noWrap/>
            <w:vAlign w:val="bottom"/>
          </w:tcPr>
          <w:p w14:paraId="759E1F3D" w14:textId="4AED6568" w:rsidR="00A04A1E" w:rsidRPr="00A04A1E" w:rsidRDefault="00A04A1E" w:rsidP="00C6502B">
            <w:pPr>
              <w:tabs>
                <w:tab w:val="left" w:pos="3311"/>
              </w:tabs>
              <w:spacing w:line="240" w:lineRule="auto"/>
              <w:jc w:val="both"/>
              <w:rPr>
                <w:rFonts w:ascii="Times New Roman" w:hAnsi="Times New Roman"/>
                <w:b/>
                <w:bCs/>
                <w:sz w:val="20"/>
                <w:szCs w:val="20"/>
              </w:rPr>
            </w:pPr>
            <w:r w:rsidRPr="00A04A1E">
              <w:rPr>
                <w:rFonts w:ascii="Times New Roman" w:hAnsi="Times New Roman"/>
                <w:b/>
                <w:color w:val="000000"/>
                <w:sz w:val="20"/>
                <w:szCs w:val="20"/>
              </w:rPr>
              <w:t>-0.19 (-0.33,-0.04)</w:t>
            </w:r>
          </w:p>
        </w:tc>
        <w:tc>
          <w:tcPr>
            <w:tcW w:w="942" w:type="dxa"/>
            <w:tcBorders>
              <w:top w:val="nil"/>
              <w:left w:val="nil"/>
              <w:bottom w:val="nil"/>
              <w:right w:val="nil"/>
            </w:tcBorders>
            <w:shd w:val="clear" w:color="auto" w:fill="auto"/>
            <w:noWrap/>
            <w:vAlign w:val="bottom"/>
          </w:tcPr>
          <w:p w14:paraId="4E2151B5" w14:textId="55A42F86" w:rsidR="00A04A1E" w:rsidRPr="00A04A1E" w:rsidRDefault="00A04A1E" w:rsidP="00C6502B">
            <w:pPr>
              <w:tabs>
                <w:tab w:val="left" w:pos="3311"/>
              </w:tabs>
              <w:spacing w:line="240" w:lineRule="auto"/>
              <w:jc w:val="both"/>
              <w:rPr>
                <w:rFonts w:ascii="Times New Roman" w:hAnsi="Times New Roman"/>
                <w:b/>
                <w:bCs/>
                <w:sz w:val="20"/>
                <w:szCs w:val="20"/>
              </w:rPr>
            </w:pPr>
            <w:r w:rsidRPr="00A04A1E">
              <w:rPr>
                <w:rFonts w:ascii="Times New Roman" w:hAnsi="Times New Roman"/>
                <w:b/>
                <w:color w:val="000000"/>
                <w:sz w:val="20"/>
                <w:szCs w:val="20"/>
              </w:rPr>
              <w:t>0.010</w:t>
            </w:r>
          </w:p>
        </w:tc>
      </w:tr>
      <w:tr w:rsidR="00A04A1E" w:rsidRPr="00646A91" w14:paraId="6BCC534D" w14:textId="77777777" w:rsidTr="00A2375F">
        <w:trPr>
          <w:trHeight w:val="240"/>
        </w:trPr>
        <w:tc>
          <w:tcPr>
            <w:tcW w:w="3070" w:type="dxa"/>
            <w:tcBorders>
              <w:top w:val="nil"/>
              <w:left w:val="nil"/>
              <w:bottom w:val="nil"/>
              <w:right w:val="nil"/>
            </w:tcBorders>
            <w:shd w:val="clear" w:color="auto" w:fill="auto"/>
            <w:noWrap/>
            <w:vAlign w:val="center"/>
            <w:hideMark/>
          </w:tcPr>
          <w:p w14:paraId="4949933C"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thickness</w:t>
            </w:r>
          </w:p>
        </w:tc>
        <w:tc>
          <w:tcPr>
            <w:tcW w:w="2033" w:type="dxa"/>
            <w:tcBorders>
              <w:top w:val="nil"/>
              <w:left w:val="nil"/>
              <w:bottom w:val="nil"/>
              <w:right w:val="nil"/>
            </w:tcBorders>
            <w:shd w:val="clear" w:color="auto" w:fill="auto"/>
            <w:noWrap/>
            <w:vAlign w:val="center"/>
            <w:hideMark/>
          </w:tcPr>
          <w:p w14:paraId="26A231C0"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-0.04 (-0.17,0.08)</w:t>
            </w:r>
          </w:p>
        </w:tc>
        <w:tc>
          <w:tcPr>
            <w:tcW w:w="924" w:type="dxa"/>
            <w:tcBorders>
              <w:top w:val="nil"/>
              <w:left w:val="nil"/>
              <w:bottom w:val="nil"/>
              <w:right w:val="nil"/>
            </w:tcBorders>
            <w:shd w:val="clear" w:color="auto" w:fill="auto"/>
            <w:noWrap/>
            <w:vAlign w:val="center"/>
            <w:hideMark/>
          </w:tcPr>
          <w:p w14:paraId="375B5B22"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0.499</w:t>
            </w:r>
          </w:p>
        </w:tc>
        <w:tc>
          <w:tcPr>
            <w:tcW w:w="2053" w:type="dxa"/>
            <w:tcBorders>
              <w:top w:val="nil"/>
              <w:left w:val="nil"/>
              <w:bottom w:val="nil"/>
              <w:right w:val="nil"/>
            </w:tcBorders>
            <w:shd w:val="clear" w:color="auto" w:fill="auto"/>
            <w:noWrap/>
            <w:vAlign w:val="bottom"/>
          </w:tcPr>
          <w:p w14:paraId="46C3ECA9" w14:textId="1EBD52E3"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-0.05 (-0.20,0.10)</w:t>
            </w:r>
          </w:p>
        </w:tc>
        <w:tc>
          <w:tcPr>
            <w:tcW w:w="942" w:type="dxa"/>
            <w:tcBorders>
              <w:top w:val="nil"/>
              <w:left w:val="nil"/>
              <w:bottom w:val="nil"/>
              <w:right w:val="nil"/>
            </w:tcBorders>
            <w:shd w:val="clear" w:color="auto" w:fill="auto"/>
            <w:noWrap/>
            <w:vAlign w:val="bottom"/>
          </w:tcPr>
          <w:p w14:paraId="655AE9E8" w14:textId="60218815" w:rsidR="00A04A1E" w:rsidRPr="00A04A1E" w:rsidRDefault="00A04A1E" w:rsidP="00C6502B">
            <w:pPr>
              <w:tabs>
                <w:tab w:val="left" w:pos="3311"/>
              </w:tabs>
              <w:spacing w:line="240" w:lineRule="auto"/>
              <w:jc w:val="both"/>
              <w:rPr>
                <w:rFonts w:ascii="Times New Roman" w:hAnsi="Times New Roman"/>
                <w:sz w:val="20"/>
                <w:szCs w:val="20"/>
              </w:rPr>
            </w:pPr>
            <w:r w:rsidRPr="00A04A1E">
              <w:rPr>
                <w:rFonts w:ascii="Times New Roman" w:hAnsi="Times New Roman"/>
                <w:color w:val="000000"/>
                <w:sz w:val="20"/>
                <w:szCs w:val="20"/>
              </w:rPr>
              <w:t>0.522</w:t>
            </w:r>
          </w:p>
        </w:tc>
      </w:tr>
      <w:tr w:rsidR="00A04A1E" w:rsidRPr="00646A91" w14:paraId="24E6D286" w14:textId="77777777" w:rsidTr="00A2375F">
        <w:trPr>
          <w:trHeight w:val="240"/>
        </w:trPr>
        <w:tc>
          <w:tcPr>
            <w:tcW w:w="3070" w:type="dxa"/>
            <w:tcBorders>
              <w:top w:val="nil"/>
              <w:left w:val="nil"/>
              <w:bottom w:val="nil"/>
              <w:right w:val="nil"/>
            </w:tcBorders>
            <w:shd w:val="clear" w:color="auto" w:fill="auto"/>
            <w:noWrap/>
            <w:vAlign w:val="center"/>
            <w:hideMark/>
          </w:tcPr>
          <w:p w14:paraId="18A4B200" w14:textId="77777777" w:rsidR="00A04A1E" w:rsidRPr="00FE7EFE" w:rsidRDefault="00A04A1E"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separation</w:t>
            </w:r>
          </w:p>
        </w:tc>
        <w:tc>
          <w:tcPr>
            <w:tcW w:w="2033" w:type="dxa"/>
            <w:tcBorders>
              <w:top w:val="nil"/>
              <w:left w:val="nil"/>
              <w:bottom w:val="nil"/>
              <w:right w:val="nil"/>
            </w:tcBorders>
            <w:shd w:val="clear" w:color="auto" w:fill="auto"/>
            <w:noWrap/>
            <w:vAlign w:val="center"/>
            <w:hideMark/>
          </w:tcPr>
          <w:p w14:paraId="014D7BC0"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0.18 (0.06,0.30)</w:t>
            </w:r>
          </w:p>
        </w:tc>
        <w:tc>
          <w:tcPr>
            <w:tcW w:w="924" w:type="dxa"/>
            <w:tcBorders>
              <w:top w:val="nil"/>
              <w:left w:val="nil"/>
              <w:bottom w:val="nil"/>
              <w:right w:val="nil"/>
            </w:tcBorders>
            <w:shd w:val="clear" w:color="auto" w:fill="auto"/>
            <w:noWrap/>
            <w:vAlign w:val="center"/>
            <w:hideMark/>
          </w:tcPr>
          <w:p w14:paraId="14912EBF" w14:textId="77777777" w:rsidR="00A04A1E" w:rsidRPr="00FE7EFE" w:rsidRDefault="00A04A1E"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0.004</w:t>
            </w:r>
          </w:p>
        </w:tc>
        <w:tc>
          <w:tcPr>
            <w:tcW w:w="2053" w:type="dxa"/>
            <w:tcBorders>
              <w:top w:val="nil"/>
              <w:left w:val="nil"/>
              <w:bottom w:val="nil"/>
              <w:right w:val="nil"/>
            </w:tcBorders>
            <w:shd w:val="clear" w:color="auto" w:fill="auto"/>
            <w:noWrap/>
            <w:vAlign w:val="bottom"/>
          </w:tcPr>
          <w:p w14:paraId="20BB1F7F" w14:textId="016E819F" w:rsidR="00A04A1E" w:rsidRPr="00A04A1E" w:rsidRDefault="00A04A1E" w:rsidP="00C6502B">
            <w:pPr>
              <w:tabs>
                <w:tab w:val="left" w:pos="3311"/>
              </w:tabs>
              <w:spacing w:line="240" w:lineRule="auto"/>
              <w:jc w:val="both"/>
              <w:rPr>
                <w:rFonts w:ascii="Times New Roman" w:hAnsi="Times New Roman"/>
                <w:b/>
                <w:bCs/>
                <w:sz w:val="20"/>
                <w:szCs w:val="20"/>
              </w:rPr>
            </w:pPr>
            <w:r w:rsidRPr="00A04A1E">
              <w:rPr>
                <w:rFonts w:ascii="Times New Roman" w:hAnsi="Times New Roman"/>
                <w:b/>
                <w:color w:val="000000"/>
                <w:sz w:val="20"/>
                <w:szCs w:val="20"/>
              </w:rPr>
              <w:t>0.18 (0.04,0.33)</w:t>
            </w:r>
          </w:p>
        </w:tc>
        <w:tc>
          <w:tcPr>
            <w:tcW w:w="942" w:type="dxa"/>
            <w:tcBorders>
              <w:top w:val="nil"/>
              <w:left w:val="nil"/>
              <w:bottom w:val="nil"/>
              <w:right w:val="nil"/>
            </w:tcBorders>
            <w:shd w:val="clear" w:color="auto" w:fill="auto"/>
            <w:noWrap/>
            <w:vAlign w:val="bottom"/>
          </w:tcPr>
          <w:p w14:paraId="45B3FC67" w14:textId="076F6B22" w:rsidR="00A04A1E" w:rsidRPr="00A04A1E" w:rsidRDefault="00A04A1E" w:rsidP="00C6502B">
            <w:pPr>
              <w:tabs>
                <w:tab w:val="left" w:pos="3311"/>
              </w:tabs>
              <w:spacing w:line="240" w:lineRule="auto"/>
              <w:jc w:val="both"/>
              <w:rPr>
                <w:rFonts w:ascii="Times New Roman" w:hAnsi="Times New Roman"/>
                <w:b/>
                <w:bCs/>
                <w:sz w:val="20"/>
                <w:szCs w:val="20"/>
              </w:rPr>
            </w:pPr>
            <w:r w:rsidRPr="00A04A1E">
              <w:rPr>
                <w:rFonts w:ascii="Times New Roman" w:hAnsi="Times New Roman"/>
                <w:b/>
                <w:color w:val="000000"/>
                <w:sz w:val="20"/>
                <w:szCs w:val="20"/>
              </w:rPr>
              <w:t>0.011</w:t>
            </w:r>
          </w:p>
        </w:tc>
      </w:tr>
      <w:tr w:rsidR="00880D6D" w:rsidRPr="00646A91" w14:paraId="4EAB3781" w14:textId="77777777" w:rsidTr="00A2375F">
        <w:trPr>
          <w:trHeight w:val="240"/>
        </w:trPr>
        <w:tc>
          <w:tcPr>
            <w:tcW w:w="3070" w:type="dxa"/>
            <w:tcBorders>
              <w:top w:val="nil"/>
              <w:left w:val="nil"/>
              <w:bottom w:val="nil"/>
              <w:right w:val="nil"/>
            </w:tcBorders>
            <w:shd w:val="clear" w:color="auto" w:fill="auto"/>
            <w:noWrap/>
            <w:vAlign w:val="center"/>
            <w:hideMark/>
          </w:tcPr>
          <w:p w14:paraId="46272B68" w14:textId="77777777" w:rsidR="00880D6D" w:rsidRPr="00FE7EFE" w:rsidRDefault="00880D6D" w:rsidP="00C6502B">
            <w:pPr>
              <w:tabs>
                <w:tab w:val="left" w:pos="3311"/>
              </w:tabs>
              <w:spacing w:line="240" w:lineRule="auto"/>
              <w:jc w:val="both"/>
              <w:rPr>
                <w:rFonts w:ascii="Times New Roman" w:hAnsi="Times New Roman"/>
                <w:b/>
                <w:bCs/>
                <w:sz w:val="20"/>
                <w:szCs w:val="20"/>
              </w:rPr>
            </w:pPr>
          </w:p>
        </w:tc>
        <w:tc>
          <w:tcPr>
            <w:tcW w:w="2033" w:type="dxa"/>
            <w:tcBorders>
              <w:top w:val="nil"/>
              <w:left w:val="nil"/>
              <w:bottom w:val="nil"/>
              <w:right w:val="nil"/>
            </w:tcBorders>
            <w:shd w:val="clear" w:color="auto" w:fill="auto"/>
            <w:noWrap/>
            <w:vAlign w:val="center"/>
            <w:hideMark/>
          </w:tcPr>
          <w:p w14:paraId="67B90E9E"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924" w:type="dxa"/>
            <w:tcBorders>
              <w:top w:val="nil"/>
              <w:left w:val="nil"/>
              <w:bottom w:val="nil"/>
              <w:right w:val="nil"/>
            </w:tcBorders>
            <w:shd w:val="clear" w:color="auto" w:fill="auto"/>
            <w:noWrap/>
            <w:vAlign w:val="center"/>
            <w:hideMark/>
          </w:tcPr>
          <w:p w14:paraId="4172BB6F"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2053" w:type="dxa"/>
            <w:tcBorders>
              <w:top w:val="nil"/>
              <w:left w:val="nil"/>
              <w:bottom w:val="nil"/>
              <w:right w:val="nil"/>
            </w:tcBorders>
            <w:shd w:val="clear" w:color="auto" w:fill="auto"/>
            <w:noWrap/>
            <w:vAlign w:val="center"/>
            <w:hideMark/>
          </w:tcPr>
          <w:p w14:paraId="698D6AB6"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942" w:type="dxa"/>
            <w:tcBorders>
              <w:top w:val="nil"/>
              <w:left w:val="nil"/>
              <w:bottom w:val="nil"/>
              <w:right w:val="nil"/>
            </w:tcBorders>
            <w:shd w:val="clear" w:color="auto" w:fill="auto"/>
            <w:noWrap/>
            <w:vAlign w:val="center"/>
            <w:hideMark/>
          </w:tcPr>
          <w:p w14:paraId="7143BCB4" w14:textId="77777777" w:rsidR="00880D6D" w:rsidRPr="00FE7EFE" w:rsidRDefault="00880D6D" w:rsidP="00C6502B">
            <w:pPr>
              <w:tabs>
                <w:tab w:val="left" w:pos="3311"/>
              </w:tabs>
              <w:spacing w:line="240" w:lineRule="auto"/>
              <w:jc w:val="both"/>
              <w:rPr>
                <w:rFonts w:ascii="Times New Roman" w:hAnsi="Times New Roman"/>
                <w:sz w:val="20"/>
                <w:szCs w:val="20"/>
              </w:rPr>
            </w:pPr>
          </w:p>
        </w:tc>
      </w:tr>
      <w:tr w:rsidR="00880D6D" w:rsidRPr="00646A91" w14:paraId="1E7FE3DA" w14:textId="77777777" w:rsidTr="00A2375F">
        <w:trPr>
          <w:trHeight w:val="240"/>
        </w:trPr>
        <w:tc>
          <w:tcPr>
            <w:tcW w:w="3070" w:type="dxa"/>
            <w:tcBorders>
              <w:top w:val="nil"/>
              <w:left w:val="nil"/>
              <w:bottom w:val="nil"/>
              <w:right w:val="nil"/>
            </w:tcBorders>
            <w:shd w:val="clear" w:color="auto" w:fill="auto"/>
            <w:noWrap/>
            <w:vAlign w:val="center"/>
            <w:hideMark/>
          </w:tcPr>
          <w:p w14:paraId="197D4248" w14:textId="77777777" w:rsidR="00880D6D" w:rsidRPr="00FE7EFE" w:rsidRDefault="00880D6D"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Tibia</w:t>
            </w:r>
          </w:p>
        </w:tc>
        <w:tc>
          <w:tcPr>
            <w:tcW w:w="2033" w:type="dxa"/>
            <w:tcBorders>
              <w:top w:val="nil"/>
              <w:left w:val="nil"/>
              <w:bottom w:val="nil"/>
              <w:right w:val="nil"/>
            </w:tcBorders>
            <w:shd w:val="clear" w:color="auto" w:fill="auto"/>
            <w:noWrap/>
            <w:vAlign w:val="center"/>
            <w:hideMark/>
          </w:tcPr>
          <w:p w14:paraId="756485A4" w14:textId="77777777" w:rsidR="00880D6D" w:rsidRPr="00FE7EFE" w:rsidRDefault="00880D6D" w:rsidP="00C6502B">
            <w:pPr>
              <w:tabs>
                <w:tab w:val="left" w:pos="3311"/>
              </w:tabs>
              <w:spacing w:line="240" w:lineRule="auto"/>
              <w:jc w:val="both"/>
              <w:rPr>
                <w:rFonts w:ascii="Times New Roman" w:hAnsi="Times New Roman"/>
                <w:b/>
                <w:bCs/>
                <w:sz w:val="20"/>
                <w:szCs w:val="20"/>
              </w:rPr>
            </w:pPr>
          </w:p>
        </w:tc>
        <w:tc>
          <w:tcPr>
            <w:tcW w:w="924" w:type="dxa"/>
            <w:tcBorders>
              <w:top w:val="nil"/>
              <w:left w:val="nil"/>
              <w:bottom w:val="nil"/>
              <w:right w:val="nil"/>
            </w:tcBorders>
            <w:shd w:val="clear" w:color="auto" w:fill="auto"/>
            <w:noWrap/>
            <w:vAlign w:val="center"/>
            <w:hideMark/>
          </w:tcPr>
          <w:p w14:paraId="2C67DB57"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2053" w:type="dxa"/>
            <w:tcBorders>
              <w:top w:val="nil"/>
              <w:left w:val="nil"/>
              <w:bottom w:val="nil"/>
              <w:right w:val="nil"/>
            </w:tcBorders>
            <w:shd w:val="clear" w:color="auto" w:fill="auto"/>
            <w:noWrap/>
            <w:vAlign w:val="center"/>
            <w:hideMark/>
          </w:tcPr>
          <w:p w14:paraId="27566EB3" w14:textId="77777777" w:rsidR="00880D6D" w:rsidRPr="00FE7EFE" w:rsidRDefault="00880D6D" w:rsidP="00C6502B">
            <w:pPr>
              <w:tabs>
                <w:tab w:val="left" w:pos="3311"/>
              </w:tabs>
              <w:spacing w:line="240" w:lineRule="auto"/>
              <w:jc w:val="both"/>
              <w:rPr>
                <w:rFonts w:ascii="Times New Roman" w:hAnsi="Times New Roman"/>
                <w:sz w:val="20"/>
                <w:szCs w:val="20"/>
              </w:rPr>
            </w:pPr>
          </w:p>
        </w:tc>
        <w:tc>
          <w:tcPr>
            <w:tcW w:w="942" w:type="dxa"/>
            <w:tcBorders>
              <w:top w:val="nil"/>
              <w:left w:val="nil"/>
              <w:bottom w:val="nil"/>
              <w:right w:val="nil"/>
            </w:tcBorders>
            <w:shd w:val="clear" w:color="auto" w:fill="auto"/>
            <w:noWrap/>
            <w:vAlign w:val="center"/>
            <w:hideMark/>
          </w:tcPr>
          <w:p w14:paraId="39E1978E" w14:textId="77777777" w:rsidR="00880D6D" w:rsidRPr="00FE7EFE" w:rsidRDefault="00880D6D" w:rsidP="00C6502B">
            <w:pPr>
              <w:tabs>
                <w:tab w:val="left" w:pos="3311"/>
              </w:tabs>
              <w:spacing w:line="240" w:lineRule="auto"/>
              <w:jc w:val="both"/>
              <w:rPr>
                <w:rFonts w:ascii="Times New Roman" w:hAnsi="Times New Roman"/>
                <w:sz w:val="20"/>
                <w:szCs w:val="20"/>
              </w:rPr>
            </w:pPr>
          </w:p>
        </w:tc>
      </w:tr>
      <w:tr w:rsidR="00A2375F" w:rsidRPr="00646A91" w14:paraId="71760C3A" w14:textId="77777777" w:rsidTr="00A2375F">
        <w:trPr>
          <w:trHeight w:val="240"/>
        </w:trPr>
        <w:tc>
          <w:tcPr>
            <w:tcW w:w="3070" w:type="dxa"/>
            <w:tcBorders>
              <w:top w:val="nil"/>
              <w:left w:val="nil"/>
              <w:bottom w:val="nil"/>
              <w:right w:val="nil"/>
            </w:tcBorders>
            <w:shd w:val="clear" w:color="auto" w:fill="auto"/>
            <w:noWrap/>
            <w:vAlign w:val="center"/>
            <w:hideMark/>
          </w:tcPr>
          <w:p w14:paraId="2B54DDB1"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Total area</w:t>
            </w:r>
          </w:p>
        </w:tc>
        <w:tc>
          <w:tcPr>
            <w:tcW w:w="2033" w:type="dxa"/>
            <w:tcBorders>
              <w:top w:val="nil"/>
              <w:left w:val="nil"/>
              <w:bottom w:val="nil"/>
              <w:right w:val="nil"/>
            </w:tcBorders>
            <w:shd w:val="clear" w:color="auto" w:fill="auto"/>
            <w:noWrap/>
            <w:vAlign w:val="center"/>
            <w:hideMark/>
          </w:tcPr>
          <w:p w14:paraId="71C98B51"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-0.01 (-0.12,0.10)</w:t>
            </w:r>
          </w:p>
        </w:tc>
        <w:tc>
          <w:tcPr>
            <w:tcW w:w="924" w:type="dxa"/>
            <w:tcBorders>
              <w:top w:val="nil"/>
              <w:left w:val="nil"/>
              <w:bottom w:val="nil"/>
              <w:right w:val="nil"/>
            </w:tcBorders>
            <w:shd w:val="clear" w:color="auto" w:fill="auto"/>
            <w:noWrap/>
            <w:vAlign w:val="center"/>
            <w:hideMark/>
          </w:tcPr>
          <w:p w14:paraId="5BF28F38"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0.852</w:t>
            </w:r>
          </w:p>
        </w:tc>
        <w:tc>
          <w:tcPr>
            <w:tcW w:w="2053" w:type="dxa"/>
            <w:tcBorders>
              <w:top w:val="nil"/>
              <w:left w:val="nil"/>
              <w:bottom w:val="nil"/>
              <w:right w:val="nil"/>
            </w:tcBorders>
            <w:shd w:val="clear" w:color="auto" w:fill="auto"/>
            <w:noWrap/>
            <w:vAlign w:val="bottom"/>
          </w:tcPr>
          <w:p w14:paraId="036D4DA9" w14:textId="16B26D86"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0.00 (-0.10,0.11)</w:t>
            </w:r>
          </w:p>
        </w:tc>
        <w:tc>
          <w:tcPr>
            <w:tcW w:w="942" w:type="dxa"/>
            <w:tcBorders>
              <w:top w:val="nil"/>
              <w:left w:val="nil"/>
              <w:bottom w:val="nil"/>
              <w:right w:val="nil"/>
            </w:tcBorders>
            <w:shd w:val="clear" w:color="auto" w:fill="auto"/>
            <w:noWrap/>
            <w:vAlign w:val="bottom"/>
          </w:tcPr>
          <w:p w14:paraId="1348F89B" w14:textId="56206E91"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0.953</w:t>
            </w:r>
          </w:p>
        </w:tc>
      </w:tr>
      <w:tr w:rsidR="00A2375F" w:rsidRPr="00646A91" w14:paraId="2B727629" w14:textId="77777777" w:rsidTr="00A2375F">
        <w:trPr>
          <w:trHeight w:val="240"/>
        </w:trPr>
        <w:tc>
          <w:tcPr>
            <w:tcW w:w="3070" w:type="dxa"/>
            <w:tcBorders>
              <w:top w:val="nil"/>
              <w:left w:val="nil"/>
              <w:bottom w:val="nil"/>
              <w:right w:val="nil"/>
            </w:tcBorders>
            <w:shd w:val="clear" w:color="auto" w:fill="auto"/>
            <w:noWrap/>
            <w:vAlign w:val="center"/>
            <w:hideMark/>
          </w:tcPr>
          <w:p w14:paraId="58BFF691"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area</w:t>
            </w:r>
          </w:p>
        </w:tc>
        <w:tc>
          <w:tcPr>
            <w:tcW w:w="2033" w:type="dxa"/>
            <w:tcBorders>
              <w:top w:val="nil"/>
              <w:left w:val="nil"/>
              <w:bottom w:val="nil"/>
              <w:right w:val="nil"/>
            </w:tcBorders>
            <w:shd w:val="clear" w:color="auto" w:fill="auto"/>
            <w:noWrap/>
            <w:vAlign w:val="center"/>
            <w:hideMark/>
          </w:tcPr>
          <w:p w14:paraId="57630F49"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0.02 (-0.09,0.13)</w:t>
            </w:r>
          </w:p>
        </w:tc>
        <w:tc>
          <w:tcPr>
            <w:tcW w:w="924" w:type="dxa"/>
            <w:tcBorders>
              <w:top w:val="nil"/>
              <w:left w:val="nil"/>
              <w:bottom w:val="nil"/>
              <w:right w:val="nil"/>
            </w:tcBorders>
            <w:shd w:val="clear" w:color="auto" w:fill="auto"/>
            <w:noWrap/>
            <w:vAlign w:val="center"/>
            <w:hideMark/>
          </w:tcPr>
          <w:p w14:paraId="0E4E51F8"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0.745</w:t>
            </w:r>
          </w:p>
        </w:tc>
        <w:tc>
          <w:tcPr>
            <w:tcW w:w="2053" w:type="dxa"/>
            <w:tcBorders>
              <w:top w:val="nil"/>
              <w:left w:val="nil"/>
              <w:bottom w:val="nil"/>
              <w:right w:val="nil"/>
            </w:tcBorders>
            <w:shd w:val="clear" w:color="auto" w:fill="auto"/>
            <w:noWrap/>
            <w:vAlign w:val="bottom"/>
          </w:tcPr>
          <w:p w14:paraId="6DAB4087" w14:textId="353E960E"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0.03 (-0.08,0.13)</w:t>
            </w:r>
          </w:p>
        </w:tc>
        <w:tc>
          <w:tcPr>
            <w:tcW w:w="942" w:type="dxa"/>
            <w:tcBorders>
              <w:top w:val="nil"/>
              <w:left w:val="nil"/>
              <w:bottom w:val="nil"/>
              <w:right w:val="nil"/>
            </w:tcBorders>
            <w:shd w:val="clear" w:color="auto" w:fill="auto"/>
            <w:noWrap/>
            <w:vAlign w:val="bottom"/>
          </w:tcPr>
          <w:p w14:paraId="5DD7660A" w14:textId="3D0F67B6"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0.636</w:t>
            </w:r>
          </w:p>
        </w:tc>
      </w:tr>
      <w:tr w:rsidR="00A2375F" w:rsidRPr="00646A91" w14:paraId="47D19156" w14:textId="77777777" w:rsidTr="00A2375F">
        <w:trPr>
          <w:trHeight w:val="240"/>
        </w:trPr>
        <w:tc>
          <w:tcPr>
            <w:tcW w:w="3070" w:type="dxa"/>
            <w:tcBorders>
              <w:top w:val="nil"/>
              <w:left w:val="nil"/>
              <w:bottom w:val="nil"/>
              <w:right w:val="nil"/>
            </w:tcBorders>
            <w:shd w:val="clear" w:color="auto" w:fill="auto"/>
            <w:noWrap/>
            <w:vAlign w:val="center"/>
            <w:hideMark/>
          </w:tcPr>
          <w:p w14:paraId="612BC548"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area</w:t>
            </w:r>
          </w:p>
        </w:tc>
        <w:tc>
          <w:tcPr>
            <w:tcW w:w="2033" w:type="dxa"/>
            <w:tcBorders>
              <w:top w:val="nil"/>
              <w:left w:val="nil"/>
              <w:bottom w:val="nil"/>
              <w:right w:val="nil"/>
            </w:tcBorders>
            <w:shd w:val="clear" w:color="auto" w:fill="auto"/>
            <w:noWrap/>
            <w:vAlign w:val="center"/>
            <w:hideMark/>
          </w:tcPr>
          <w:p w14:paraId="673C3272"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b/>
                <w:bCs/>
                <w:sz w:val="20"/>
                <w:szCs w:val="20"/>
              </w:rPr>
              <w:t>-0.15 (-0.25,-0.04)</w:t>
            </w:r>
          </w:p>
        </w:tc>
        <w:tc>
          <w:tcPr>
            <w:tcW w:w="924" w:type="dxa"/>
            <w:tcBorders>
              <w:top w:val="nil"/>
              <w:left w:val="nil"/>
              <w:bottom w:val="nil"/>
              <w:right w:val="nil"/>
            </w:tcBorders>
            <w:shd w:val="clear" w:color="auto" w:fill="auto"/>
            <w:noWrap/>
            <w:vAlign w:val="center"/>
            <w:hideMark/>
          </w:tcPr>
          <w:p w14:paraId="0B6830B6"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b/>
                <w:bCs/>
                <w:sz w:val="20"/>
                <w:szCs w:val="20"/>
              </w:rPr>
              <w:t>0.008</w:t>
            </w:r>
          </w:p>
        </w:tc>
        <w:tc>
          <w:tcPr>
            <w:tcW w:w="2053" w:type="dxa"/>
            <w:tcBorders>
              <w:top w:val="nil"/>
              <w:left w:val="nil"/>
              <w:bottom w:val="nil"/>
              <w:right w:val="nil"/>
            </w:tcBorders>
            <w:shd w:val="clear" w:color="auto" w:fill="auto"/>
            <w:noWrap/>
            <w:vAlign w:val="bottom"/>
          </w:tcPr>
          <w:p w14:paraId="37215BCF" w14:textId="130A75AE" w:rsidR="00A2375F" w:rsidRPr="00A2375F" w:rsidRDefault="00A2375F" w:rsidP="00C6502B">
            <w:pPr>
              <w:tabs>
                <w:tab w:val="left" w:pos="3311"/>
              </w:tabs>
              <w:spacing w:line="240" w:lineRule="auto"/>
              <w:jc w:val="both"/>
              <w:rPr>
                <w:rFonts w:ascii="Times New Roman" w:hAnsi="Times New Roman"/>
                <w:b/>
                <w:sz w:val="20"/>
                <w:szCs w:val="20"/>
              </w:rPr>
            </w:pPr>
            <w:r w:rsidRPr="00A2375F">
              <w:rPr>
                <w:rFonts w:ascii="Times New Roman" w:hAnsi="Times New Roman"/>
                <w:b/>
                <w:color w:val="000000"/>
                <w:sz w:val="20"/>
                <w:szCs w:val="20"/>
              </w:rPr>
              <w:t>-0.12 (-0.23,-0.01)</w:t>
            </w:r>
          </w:p>
        </w:tc>
        <w:tc>
          <w:tcPr>
            <w:tcW w:w="942" w:type="dxa"/>
            <w:tcBorders>
              <w:top w:val="nil"/>
              <w:left w:val="nil"/>
              <w:bottom w:val="nil"/>
              <w:right w:val="nil"/>
            </w:tcBorders>
            <w:shd w:val="clear" w:color="auto" w:fill="auto"/>
            <w:noWrap/>
            <w:vAlign w:val="bottom"/>
          </w:tcPr>
          <w:p w14:paraId="15CBD5B0" w14:textId="13514F68" w:rsidR="00A2375F" w:rsidRPr="00A2375F" w:rsidRDefault="00A2375F" w:rsidP="00C6502B">
            <w:pPr>
              <w:tabs>
                <w:tab w:val="left" w:pos="3311"/>
              </w:tabs>
              <w:spacing w:line="240" w:lineRule="auto"/>
              <w:jc w:val="both"/>
              <w:rPr>
                <w:rFonts w:ascii="Times New Roman" w:hAnsi="Times New Roman"/>
                <w:b/>
                <w:sz w:val="20"/>
                <w:szCs w:val="20"/>
              </w:rPr>
            </w:pPr>
            <w:r w:rsidRPr="00A2375F">
              <w:rPr>
                <w:rFonts w:ascii="Times New Roman" w:hAnsi="Times New Roman"/>
                <w:b/>
                <w:color w:val="000000"/>
                <w:sz w:val="20"/>
                <w:szCs w:val="20"/>
              </w:rPr>
              <w:t>0.038</w:t>
            </w:r>
          </w:p>
        </w:tc>
      </w:tr>
      <w:tr w:rsidR="00A2375F" w:rsidRPr="00646A91" w14:paraId="66394237" w14:textId="77777777" w:rsidTr="00A2375F">
        <w:trPr>
          <w:trHeight w:val="240"/>
        </w:trPr>
        <w:tc>
          <w:tcPr>
            <w:tcW w:w="3070" w:type="dxa"/>
            <w:tcBorders>
              <w:top w:val="nil"/>
              <w:left w:val="nil"/>
              <w:bottom w:val="nil"/>
              <w:right w:val="nil"/>
            </w:tcBorders>
            <w:shd w:val="clear" w:color="auto" w:fill="auto"/>
            <w:noWrap/>
            <w:vAlign w:val="center"/>
            <w:hideMark/>
          </w:tcPr>
          <w:p w14:paraId="4DC16642"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thickness</w:t>
            </w:r>
          </w:p>
        </w:tc>
        <w:tc>
          <w:tcPr>
            <w:tcW w:w="2033" w:type="dxa"/>
            <w:tcBorders>
              <w:top w:val="nil"/>
              <w:left w:val="nil"/>
              <w:bottom w:val="nil"/>
              <w:right w:val="nil"/>
            </w:tcBorders>
            <w:shd w:val="clear" w:color="auto" w:fill="auto"/>
            <w:noWrap/>
            <w:vAlign w:val="center"/>
            <w:hideMark/>
          </w:tcPr>
          <w:p w14:paraId="0F7CDFE6"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b/>
                <w:bCs/>
                <w:sz w:val="20"/>
                <w:szCs w:val="20"/>
              </w:rPr>
              <w:t>-0.13 (-0.24,-0.03)</w:t>
            </w:r>
          </w:p>
        </w:tc>
        <w:tc>
          <w:tcPr>
            <w:tcW w:w="924" w:type="dxa"/>
            <w:tcBorders>
              <w:top w:val="nil"/>
              <w:left w:val="nil"/>
              <w:bottom w:val="nil"/>
              <w:right w:val="nil"/>
            </w:tcBorders>
            <w:shd w:val="clear" w:color="auto" w:fill="auto"/>
            <w:noWrap/>
            <w:vAlign w:val="center"/>
            <w:hideMark/>
          </w:tcPr>
          <w:p w14:paraId="44A63FF0"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b/>
                <w:bCs/>
                <w:sz w:val="20"/>
                <w:szCs w:val="20"/>
              </w:rPr>
              <w:t>0.015</w:t>
            </w:r>
          </w:p>
        </w:tc>
        <w:tc>
          <w:tcPr>
            <w:tcW w:w="2053" w:type="dxa"/>
            <w:tcBorders>
              <w:top w:val="nil"/>
              <w:left w:val="nil"/>
              <w:bottom w:val="nil"/>
              <w:right w:val="nil"/>
            </w:tcBorders>
            <w:shd w:val="clear" w:color="auto" w:fill="auto"/>
            <w:noWrap/>
            <w:vAlign w:val="bottom"/>
          </w:tcPr>
          <w:p w14:paraId="38EFBBAC" w14:textId="31600F4A"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-0.10 (-0.21,0.02)</w:t>
            </w:r>
          </w:p>
        </w:tc>
        <w:tc>
          <w:tcPr>
            <w:tcW w:w="942" w:type="dxa"/>
            <w:tcBorders>
              <w:top w:val="nil"/>
              <w:left w:val="nil"/>
              <w:bottom w:val="nil"/>
              <w:right w:val="nil"/>
            </w:tcBorders>
            <w:shd w:val="clear" w:color="auto" w:fill="auto"/>
            <w:noWrap/>
            <w:vAlign w:val="bottom"/>
          </w:tcPr>
          <w:p w14:paraId="5FFF7506" w14:textId="4D3760CD"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0.093</w:t>
            </w:r>
          </w:p>
        </w:tc>
      </w:tr>
      <w:tr w:rsidR="00A2375F" w:rsidRPr="00646A91" w14:paraId="21237435" w14:textId="77777777" w:rsidTr="00A2375F">
        <w:trPr>
          <w:trHeight w:val="240"/>
        </w:trPr>
        <w:tc>
          <w:tcPr>
            <w:tcW w:w="3070" w:type="dxa"/>
            <w:tcBorders>
              <w:top w:val="nil"/>
              <w:left w:val="nil"/>
              <w:bottom w:val="nil"/>
              <w:right w:val="nil"/>
            </w:tcBorders>
            <w:shd w:val="clear" w:color="auto" w:fill="auto"/>
            <w:noWrap/>
            <w:vAlign w:val="center"/>
            <w:hideMark/>
          </w:tcPr>
          <w:p w14:paraId="3DAE2C6B"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volumetric density</w:t>
            </w:r>
          </w:p>
        </w:tc>
        <w:tc>
          <w:tcPr>
            <w:tcW w:w="2033" w:type="dxa"/>
            <w:tcBorders>
              <w:top w:val="nil"/>
              <w:left w:val="nil"/>
              <w:bottom w:val="nil"/>
              <w:right w:val="nil"/>
            </w:tcBorders>
            <w:shd w:val="clear" w:color="auto" w:fill="auto"/>
            <w:noWrap/>
            <w:vAlign w:val="center"/>
            <w:hideMark/>
          </w:tcPr>
          <w:p w14:paraId="5DEAE90C"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-0.06 (-0.17,0.05)</w:t>
            </w:r>
          </w:p>
        </w:tc>
        <w:tc>
          <w:tcPr>
            <w:tcW w:w="924" w:type="dxa"/>
            <w:tcBorders>
              <w:top w:val="nil"/>
              <w:left w:val="nil"/>
              <w:bottom w:val="nil"/>
              <w:right w:val="nil"/>
            </w:tcBorders>
            <w:shd w:val="clear" w:color="auto" w:fill="auto"/>
            <w:noWrap/>
            <w:vAlign w:val="center"/>
            <w:hideMark/>
          </w:tcPr>
          <w:p w14:paraId="17FB6BF2"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0.287</w:t>
            </w:r>
          </w:p>
        </w:tc>
        <w:tc>
          <w:tcPr>
            <w:tcW w:w="2053" w:type="dxa"/>
            <w:tcBorders>
              <w:top w:val="nil"/>
              <w:left w:val="nil"/>
              <w:bottom w:val="nil"/>
              <w:right w:val="nil"/>
            </w:tcBorders>
            <w:shd w:val="clear" w:color="auto" w:fill="auto"/>
            <w:noWrap/>
            <w:vAlign w:val="bottom"/>
          </w:tcPr>
          <w:p w14:paraId="2368DCB0" w14:textId="608966EC"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-0.07 (-0.18,0.05)</w:t>
            </w:r>
          </w:p>
        </w:tc>
        <w:tc>
          <w:tcPr>
            <w:tcW w:w="942" w:type="dxa"/>
            <w:tcBorders>
              <w:top w:val="nil"/>
              <w:left w:val="nil"/>
              <w:bottom w:val="nil"/>
              <w:right w:val="nil"/>
            </w:tcBorders>
            <w:shd w:val="clear" w:color="auto" w:fill="auto"/>
            <w:noWrap/>
            <w:vAlign w:val="bottom"/>
          </w:tcPr>
          <w:p w14:paraId="08E70124" w14:textId="376C184F"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0.24</w:t>
            </w:r>
            <w:r w:rsidR="000C663B">
              <w:rPr>
                <w:rFonts w:ascii="Times New Roman" w:hAnsi="Times New Roman"/>
                <w:color w:val="000000"/>
                <w:sz w:val="20"/>
                <w:szCs w:val="20"/>
              </w:rPr>
              <w:t>0</w:t>
            </w:r>
          </w:p>
        </w:tc>
      </w:tr>
      <w:tr w:rsidR="00A2375F" w:rsidRPr="00646A91" w14:paraId="4B1D6EB8" w14:textId="77777777" w:rsidTr="00A2375F">
        <w:trPr>
          <w:trHeight w:val="240"/>
        </w:trPr>
        <w:tc>
          <w:tcPr>
            <w:tcW w:w="3070" w:type="dxa"/>
            <w:tcBorders>
              <w:top w:val="nil"/>
              <w:left w:val="nil"/>
              <w:bottom w:val="nil"/>
              <w:right w:val="nil"/>
            </w:tcBorders>
            <w:shd w:val="clear" w:color="auto" w:fill="auto"/>
            <w:noWrap/>
            <w:vAlign w:val="center"/>
            <w:hideMark/>
          </w:tcPr>
          <w:p w14:paraId="682DDC95"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porosity</w:t>
            </w:r>
          </w:p>
        </w:tc>
        <w:tc>
          <w:tcPr>
            <w:tcW w:w="2033" w:type="dxa"/>
            <w:tcBorders>
              <w:top w:val="nil"/>
              <w:left w:val="nil"/>
              <w:bottom w:val="nil"/>
              <w:right w:val="nil"/>
            </w:tcBorders>
            <w:shd w:val="clear" w:color="auto" w:fill="auto"/>
            <w:noWrap/>
            <w:vAlign w:val="center"/>
            <w:hideMark/>
          </w:tcPr>
          <w:p w14:paraId="42743D56"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0.00 (-0.11,0.11)</w:t>
            </w:r>
          </w:p>
        </w:tc>
        <w:tc>
          <w:tcPr>
            <w:tcW w:w="924" w:type="dxa"/>
            <w:tcBorders>
              <w:top w:val="nil"/>
              <w:left w:val="nil"/>
              <w:bottom w:val="nil"/>
              <w:right w:val="nil"/>
            </w:tcBorders>
            <w:shd w:val="clear" w:color="auto" w:fill="auto"/>
            <w:noWrap/>
            <w:vAlign w:val="center"/>
            <w:hideMark/>
          </w:tcPr>
          <w:p w14:paraId="0061D3BA"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0.952</w:t>
            </w:r>
          </w:p>
        </w:tc>
        <w:tc>
          <w:tcPr>
            <w:tcW w:w="2053" w:type="dxa"/>
            <w:tcBorders>
              <w:top w:val="nil"/>
              <w:left w:val="nil"/>
              <w:bottom w:val="nil"/>
              <w:right w:val="nil"/>
            </w:tcBorders>
            <w:shd w:val="clear" w:color="auto" w:fill="auto"/>
            <w:noWrap/>
            <w:vAlign w:val="bottom"/>
          </w:tcPr>
          <w:p w14:paraId="440444FC" w14:textId="7B057E4D"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0.03 (-0.10,0.15)</w:t>
            </w:r>
          </w:p>
        </w:tc>
        <w:tc>
          <w:tcPr>
            <w:tcW w:w="942" w:type="dxa"/>
            <w:tcBorders>
              <w:top w:val="nil"/>
              <w:left w:val="nil"/>
              <w:bottom w:val="nil"/>
              <w:right w:val="nil"/>
            </w:tcBorders>
            <w:shd w:val="clear" w:color="auto" w:fill="auto"/>
            <w:noWrap/>
            <w:vAlign w:val="bottom"/>
          </w:tcPr>
          <w:p w14:paraId="72D75D26" w14:textId="1CCB5858"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0.682</w:t>
            </w:r>
          </w:p>
        </w:tc>
      </w:tr>
      <w:tr w:rsidR="00A2375F" w:rsidRPr="00646A91" w14:paraId="64CAD504" w14:textId="77777777" w:rsidTr="00A2375F">
        <w:trPr>
          <w:trHeight w:val="240"/>
        </w:trPr>
        <w:tc>
          <w:tcPr>
            <w:tcW w:w="3070" w:type="dxa"/>
            <w:tcBorders>
              <w:top w:val="nil"/>
              <w:left w:val="nil"/>
              <w:bottom w:val="nil"/>
              <w:right w:val="nil"/>
            </w:tcBorders>
            <w:shd w:val="clear" w:color="auto" w:fill="auto"/>
            <w:noWrap/>
            <w:vAlign w:val="center"/>
            <w:hideMark/>
          </w:tcPr>
          <w:p w14:paraId="432D62AF"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Cortical pores diameter</w:t>
            </w:r>
          </w:p>
        </w:tc>
        <w:tc>
          <w:tcPr>
            <w:tcW w:w="2033" w:type="dxa"/>
            <w:tcBorders>
              <w:top w:val="nil"/>
              <w:left w:val="nil"/>
              <w:bottom w:val="nil"/>
              <w:right w:val="nil"/>
            </w:tcBorders>
            <w:shd w:val="clear" w:color="auto" w:fill="auto"/>
            <w:noWrap/>
            <w:vAlign w:val="center"/>
            <w:hideMark/>
          </w:tcPr>
          <w:p w14:paraId="3F2FA53F"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-0.01 (-0.12,0.10)</w:t>
            </w:r>
          </w:p>
        </w:tc>
        <w:tc>
          <w:tcPr>
            <w:tcW w:w="924" w:type="dxa"/>
            <w:tcBorders>
              <w:top w:val="nil"/>
              <w:left w:val="nil"/>
              <w:bottom w:val="nil"/>
              <w:right w:val="nil"/>
            </w:tcBorders>
            <w:shd w:val="clear" w:color="auto" w:fill="auto"/>
            <w:noWrap/>
            <w:vAlign w:val="center"/>
            <w:hideMark/>
          </w:tcPr>
          <w:p w14:paraId="21E33B47"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0.832</w:t>
            </w:r>
          </w:p>
        </w:tc>
        <w:tc>
          <w:tcPr>
            <w:tcW w:w="2053" w:type="dxa"/>
            <w:tcBorders>
              <w:top w:val="nil"/>
              <w:left w:val="nil"/>
              <w:bottom w:val="nil"/>
              <w:right w:val="nil"/>
            </w:tcBorders>
            <w:shd w:val="clear" w:color="auto" w:fill="auto"/>
            <w:noWrap/>
            <w:vAlign w:val="bottom"/>
          </w:tcPr>
          <w:p w14:paraId="2565E105" w14:textId="4008F1EC"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0.02 (-0.11,0.14)</w:t>
            </w:r>
          </w:p>
        </w:tc>
        <w:tc>
          <w:tcPr>
            <w:tcW w:w="942" w:type="dxa"/>
            <w:tcBorders>
              <w:top w:val="nil"/>
              <w:left w:val="nil"/>
              <w:bottom w:val="nil"/>
              <w:right w:val="nil"/>
            </w:tcBorders>
            <w:shd w:val="clear" w:color="auto" w:fill="auto"/>
            <w:noWrap/>
            <w:vAlign w:val="bottom"/>
          </w:tcPr>
          <w:p w14:paraId="50764891" w14:textId="3235CF4A"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0.791</w:t>
            </w:r>
          </w:p>
        </w:tc>
      </w:tr>
      <w:tr w:rsidR="00A2375F" w:rsidRPr="00646A91" w14:paraId="14E5E363" w14:textId="77777777" w:rsidTr="00A2375F">
        <w:trPr>
          <w:trHeight w:val="240"/>
        </w:trPr>
        <w:tc>
          <w:tcPr>
            <w:tcW w:w="3070" w:type="dxa"/>
            <w:tcBorders>
              <w:top w:val="nil"/>
              <w:left w:val="nil"/>
              <w:bottom w:val="nil"/>
              <w:right w:val="nil"/>
            </w:tcBorders>
            <w:shd w:val="clear" w:color="auto" w:fill="auto"/>
            <w:noWrap/>
            <w:vAlign w:val="center"/>
            <w:hideMark/>
          </w:tcPr>
          <w:p w14:paraId="545ADB56" w14:textId="77777777" w:rsidR="00A2375F" w:rsidRPr="00FE7EFE" w:rsidRDefault="00A2375F" w:rsidP="00C6502B">
            <w:pPr>
              <w:tabs>
                <w:tab w:val="left" w:pos="3311"/>
              </w:tabs>
              <w:spacing w:line="240" w:lineRule="auto"/>
              <w:jc w:val="both"/>
              <w:rPr>
                <w:rFonts w:ascii="Times New Roman" w:hAnsi="Times New Roman"/>
                <w:sz w:val="20"/>
                <w:szCs w:val="20"/>
              </w:rPr>
            </w:pPr>
            <w:r w:rsidRPr="00FE7EFE">
              <w:rPr>
                <w:rFonts w:ascii="Times New Roman" w:hAnsi="Times New Roman"/>
                <w:sz w:val="20"/>
                <w:szCs w:val="20"/>
              </w:rPr>
              <w:t>Trabecular volumetric density</w:t>
            </w:r>
          </w:p>
        </w:tc>
        <w:tc>
          <w:tcPr>
            <w:tcW w:w="2033" w:type="dxa"/>
            <w:tcBorders>
              <w:top w:val="nil"/>
              <w:left w:val="nil"/>
              <w:bottom w:val="nil"/>
              <w:right w:val="nil"/>
            </w:tcBorders>
            <w:shd w:val="clear" w:color="auto" w:fill="auto"/>
            <w:noWrap/>
            <w:vAlign w:val="center"/>
            <w:hideMark/>
          </w:tcPr>
          <w:p w14:paraId="3C9D46C3" w14:textId="77777777" w:rsidR="00A2375F" w:rsidRPr="00FE7EFE" w:rsidRDefault="00A2375F"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-0.16 (-0.27,-0.06)</w:t>
            </w:r>
          </w:p>
        </w:tc>
        <w:tc>
          <w:tcPr>
            <w:tcW w:w="924" w:type="dxa"/>
            <w:tcBorders>
              <w:top w:val="nil"/>
              <w:left w:val="nil"/>
              <w:bottom w:val="nil"/>
              <w:right w:val="nil"/>
            </w:tcBorders>
            <w:shd w:val="clear" w:color="auto" w:fill="auto"/>
            <w:noWrap/>
            <w:vAlign w:val="center"/>
            <w:hideMark/>
          </w:tcPr>
          <w:p w14:paraId="78B07C7B" w14:textId="77777777" w:rsidR="00A2375F" w:rsidRPr="00FE7EFE" w:rsidRDefault="00A2375F" w:rsidP="00C6502B">
            <w:pPr>
              <w:tabs>
                <w:tab w:val="left" w:pos="3311"/>
              </w:tabs>
              <w:spacing w:line="240" w:lineRule="auto"/>
              <w:jc w:val="both"/>
              <w:rPr>
                <w:rFonts w:ascii="Times New Roman" w:hAnsi="Times New Roman"/>
                <w:b/>
                <w:bCs/>
                <w:sz w:val="20"/>
                <w:szCs w:val="20"/>
              </w:rPr>
            </w:pPr>
            <w:r w:rsidRPr="00FE7EFE">
              <w:rPr>
                <w:rFonts w:ascii="Times New Roman" w:hAnsi="Times New Roman"/>
                <w:b/>
                <w:bCs/>
                <w:sz w:val="20"/>
                <w:szCs w:val="20"/>
              </w:rPr>
              <w:t>0.003</w:t>
            </w:r>
          </w:p>
        </w:tc>
        <w:tc>
          <w:tcPr>
            <w:tcW w:w="2053" w:type="dxa"/>
            <w:tcBorders>
              <w:top w:val="nil"/>
              <w:left w:val="nil"/>
              <w:bottom w:val="nil"/>
              <w:right w:val="nil"/>
            </w:tcBorders>
            <w:shd w:val="clear" w:color="auto" w:fill="auto"/>
            <w:noWrap/>
            <w:vAlign w:val="bottom"/>
          </w:tcPr>
          <w:p w14:paraId="25A46C21" w14:textId="555E1A94" w:rsidR="00A2375F" w:rsidRPr="00A2375F" w:rsidRDefault="00A2375F" w:rsidP="00C6502B">
            <w:pPr>
              <w:tabs>
                <w:tab w:val="left" w:pos="3311"/>
              </w:tabs>
              <w:spacing w:line="240" w:lineRule="auto"/>
              <w:jc w:val="both"/>
              <w:rPr>
                <w:rFonts w:ascii="Times New Roman" w:hAnsi="Times New Roman"/>
                <w:b/>
                <w:bCs/>
                <w:sz w:val="20"/>
                <w:szCs w:val="20"/>
              </w:rPr>
            </w:pPr>
            <w:r w:rsidRPr="00A2375F">
              <w:rPr>
                <w:rFonts w:ascii="Times New Roman" w:hAnsi="Times New Roman"/>
                <w:b/>
                <w:color w:val="000000"/>
                <w:sz w:val="20"/>
                <w:szCs w:val="20"/>
              </w:rPr>
              <w:t>-0.14 (-0.26,-0.01)</w:t>
            </w:r>
          </w:p>
        </w:tc>
        <w:tc>
          <w:tcPr>
            <w:tcW w:w="942" w:type="dxa"/>
            <w:tcBorders>
              <w:top w:val="nil"/>
              <w:left w:val="nil"/>
              <w:bottom w:val="nil"/>
              <w:right w:val="nil"/>
            </w:tcBorders>
            <w:shd w:val="clear" w:color="auto" w:fill="auto"/>
            <w:noWrap/>
            <w:vAlign w:val="bottom"/>
          </w:tcPr>
          <w:p w14:paraId="2FD4E1C4" w14:textId="162E91A9" w:rsidR="00A2375F" w:rsidRPr="00A2375F" w:rsidRDefault="00A2375F" w:rsidP="00C6502B">
            <w:pPr>
              <w:tabs>
                <w:tab w:val="left" w:pos="3311"/>
              </w:tabs>
              <w:spacing w:line="240" w:lineRule="auto"/>
              <w:jc w:val="both"/>
              <w:rPr>
                <w:rFonts w:ascii="Times New Roman" w:hAnsi="Times New Roman"/>
                <w:b/>
                <w:bCs/>
                <w:sz w:val="20"/>
                <w:szCs w:val="20"/>
              </w:rPr>
            </w:pPr>
            <w:r w:rsidRPr="00A2375F">
              <w:rPr>
                <w:rFonts w:ascii="Times New Roman" w:hAnsi="Times New Roman"/>
                <w:b/>
                <w:color w:val="000000"/>
                <w:sz w:val="20"/>
                <w:szCs w:val="20"/>
              </w:rPr>
              <w:t>0.036</w:t>
            </w:r>
          </w:p>
        </w:tc>
      </w:tr>
      <w:tr w:rsidR="00A2375F" w:rsidRPr="00646A91" w14:paraId="6EB9245C" w14:textId="77777777" w:rsidTr="00A2375F">
        <w:trPr>
          <w:trHeight w:val="240"/>
        </w:trPr>
        <w:tc>
          <w:tcPr>
            <w:tcW w:w="3070" w:type="dxa"/>
            <w:tcBorders>
              <w:top w:val="nil"/>
              <w:left w:val="nil"/>
              <w:bottom w:val="nil"/>
              <w:right w:val="nil"/>
            </w:tcBorders>
            <w:shd w:val="clear" w:color="auto" w:fill="auto"/>
            <w:noWrap/>
            <w:vAlign w:val="center"/>
            <w:hideMark/>
          </w:tcPr>
          <w:p w14:paraId="525115DF"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Trabecular number</w:t>
            </w:r>
          </w:p>
        </w:tc>
        <w:tc>
          <w:tcPr>
            <w:tcW w:w="2033" w:type="dxa"/>
            <w:tcBorders>
              <w:top w:val="nil"/>
              <w:left w:val="nil"/>
              <w:bottom w:val="nil"/>
              <w:right w:val="nil"/>
            </w:tcBorders>
            <w:shd w:val="clear" w:color="auto" w:fill="auto"/>
            <w:noWrap/>
            <w:vAlign w:val="center"/>
            <w:hideMark/>
          </w:tcPr>
          <w:p w14:paraId="0BC0DBBD"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-0.09 (-0.20,0.02)</w:t>
            </w:r>
          </w:p>
        </w:tc>
        <w:tc>
          <w:tcPr>
            <w:tcW w:w="924" w:type="dxa"/>
            <w:tcBorders>
              <w:top w:val="nil"/>
              <w:left w:val="nil"/>
              <w:bottom w:val="nil"/>
              <w:right w:val="nil"/>
            </w:tcBorders>
            <w:shd w:val="clear" w:color="auto" w:fill="auto"/>
            <w:noWrap/>
            <w:vAlign w:val="center"/>
            <w:hideMark/>
          </w:tcPr>
          <w:p w14:paraId="00BA9F55"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0.109</w:t>
            </w:r>
          </w:p>
        </w:tc>
        <w:tc>
          <w:tcPr>
            <w:tcW w:w="2053" w:type="dxa"/>
            <w:tcBorders>
              <w:top w:val="nil"/>
              <w:left w:val="nil"/>
              <w:bottom w:val="nil"/>
              <w:right w:val="nil"/>
            </w:tcBorders>
            <w:shd w:val="clear" w:color="auto" w:fill="auto"/>
            <w:noWrap/>
            <w:vAlign w:val="bottom"/>
          </w:tcPr>
          <w:p w14:paraId="127F1FCD" w14:textId="1396B778" w:rsidR="00A2375F" w:rsidRPr="00A2375F" w:rsidRDefault="00A2375F" w:rsidP="00C6502B">
            <w:pPr>
              <w:tabs>
                <w:tab w:val="left" w:pos="3311"/>
              </w:tabs>
              <w:spacing w:line="240" w:lineRule="auto"/>
              <w:jc w:val="both"/>
              <w:rPr>
                <w:rFonts w:ascii="Times New Roman" w:hAnsi="Times New Roman"/>
                <w:b/>
                <w:sz w:val="20"/>
                <w:szCs w:val="20"/>
              </w:rPr>
            </w:pPr>
            <w:r w:rsidRPr="00A2375F">
              <w:rPr>
                <w:rFonts w:ascii="Times New Roman" w:hAnsi="Times New Roman"/>
                <w:b/>
                <w:color w:val="000000"/>
                <w:sz w:val="20"/>
                <w:szCs w:val="20"/>
              </w:rPr>
              <w:t>-0.13 (-0.26,-0.01)</w:t>
            </w:r>
          </w:p>
        </w:tc>
        <w:tc>
          <w:tcPr>
            <w:tcW w:w="942" w:type="dxa"/>
            <w:tcBorders>
              <w:top w:val="nil"/>
              <w:left w:val="nil"/>
              <w:bottom w:val="nil"/>
              <w:right w:val="nil"/>
            </w:tcBorders>
            <w:shd w:val="clear" w:color="auto" w:fill="auto"/>
            <w:noWrap/>
            <w:vAlign w:val="bottom"/>
          </w:tcPr>
          <w:p w14:paraId="31F3BD7D" w14:textId="18093D7B" w:rsidR="00A2375F" w:rsidRPr="00A2375F" w:rsidRDefault="00A2375F" w:rsidP="00C6502B">
            <w:pPr>
              <w:tabs>
                <w:tab w:val="left" w:pos="3311"/>
              </w:tabs>
              <w:spacing w:line="240" w:lineRule="auto"/>
              <w:jc w:val="both"/>
              <w:rPr>
                <w:rFonts w:ascii="Times New Roman" w:hAnsi="Times New Roman"/>
                <w:b/>
                <w:sz w:val="20"/>
                <w:szCs w:val="20"/>
              </w:rPr>
            </w:pPr>
            <w:r w:rsidRPr="00A2375F">
              <w:rPr>
                <w:rFonts w:ascii="Times New Roman" w:hAnsi="Times New Roman"/>
                <w:b/>
                <w:color w:val="000000"/>
                <w:sz w:val="20"/>
                <w:szCs w:val="20"/>
              </w:rPr>
              <w:t>0.035</w:t>
            </w:r>
          </w:p>
        </w:tc>
      </w:tr>
      <w:tr w:rsidR="00A2375F" w:rsidRPr="00646A91" w14:paraId="432E0A2F" w14:textId="77777777" w:rsidTr="00A2375F">
        <w:trPr>
          <w:trHeight w:val="240"/>
        </w:trPr>
        <w:tc>
          <w:tcPr>
            <w:tcW w:w="3070" w:type="dxa"/>
            <w:tcBorders>
              <w:top w:val="nil"/>
              <w:left w:val="nil"/>
              <w:right w:val="nil"/>
            </w:tcBorders>
            <w:shd w:val="clear" w:color="auto" w:fill="auto"/>
            <w:noWrap/>
            <w:vAlign w:val="center"/>
            <w:hideMark/>
          </w:tcPr>
          <w:p w14:paraId="4FB4CB9A"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Trabecular thickness</w:t>
            </w:r>
          </w:p>
        </w:tc>
        <w:tc>
          <w:tcPr>
            <w:tcW w:w="2033" w:type="dxa"/>
            <w:tcBorders>
              <w:top w:val="nil"/>
              <w:left w:val="nil"/>
              <w:bottom w:val="nil"/>
              <w:right w:val="nil"/>
            </w:tcBorders>
            <w:shd w:val="clear" w:color="auto" w:fill="auto"/>
            <w:noWrap/>
            <w:vAlign w:val="center"/>
            <w:hideMark/>
          </w:tcPr>
          <w:p w14:paraId="65F3C403" w14:textId="77777777" w:rsidR="00A2375F" w:rsidRPr="00FE7EFE" w:rsidRDefault="00A2375F" w:rsidP="00C6502B">
            <w:pPr>
              <w:tabs>
                <w:tab w:val="left" w:pos="3311"/>
              </w:tabs>
              <w:spacing w:line="240" w:lineRule="auto"/>
              <w:jc w:val="both"/>
              <w:rPr>
                <w:rFonts w:ascii="Times New Roman" w:hAnsi="Times New Roman"/>
                <w:b/>
                <w:bCs/>
                <w:sz w:val="20"/>
                <w:szCs w:val="22"/>
              </w:rPr>
            </w:pPr>
            <w:r w:rsidRPr="00FE7EFE">
              <w:rPr>
                <w:rFonts w:ascii="Times New Roman" w:hAnsi="Times New Roman"/>
                <w:b/>
                <w:bCs/>
                <w:sz w:val="20"/>
                <w:szCs w:val="22"/>
              </w:rPr>
              <w:t>-0.11 (-0.22,-0.01)</w:t>
            </w:r>
          </w:p>
        </w:tc>
        <w:tc>
          <w:tcPr>
            <w:tcW w:w="924" w:type="dxa"/>
            <w:tcBorders>
              <w:top w:val="nil"/>
              <w:left w:val="nil"/>
              <w:bottom w:val="nil"/>
              <w:right w:val="nil"/>
            </w:tcBorders>
            <w:shd w:val="clear" w:color="auto" w:fill="auto"/>
            <w:noWrap/>
            <w:vAlign w:val="center"/>
            <w:hideMark/>
          </w:tcPr>
          <w:p w14:paraId="53B38499" w14:textId="77777777" w:rsidR="00A2375F" w:rsidRPr="00FE7EFE" w:rsidRDefault="00A2375F" w:rsidP="00C6502B">
            <w:pPr>
              <w:tabs>
                <w:tab w:val="left" w:pos="3311"/>
              </w:tabs>
              <w:spacing w:line="240" w:lineRule="auto"/>
              <w:jc w:val="both"/>
              <w:rPr>
                <w:rFonts w:ascii="Times New Roman" w:hAnsi="Times New Roman"/>
                <w:b/>
                <w:bCs/>
                <w:sz w:val="20"/>
                <w:szCs w:val="22"/>
              </w:rPr>
            </w:pPr>
            <w:r w:rsidRPr="00FE7EFE">
              <w:rPr>
                <w:rFonts w:ascii="Times New Roman" w:hAnsi="Times New Roman"/>
                <w:b/>
                <w:bCs/>
                <w:sz w:val="20"/>
                <w:szCs w:val="22"/>
              </w:rPr>
              <w:t>0.040</w:t>
            </w:r>
          </w:p>
        </w:tc>
        <w:tc>
          <w:tcPr>
            <w:tcW w:w="2053" w:type="dxa"/>
            <w:tcBorders>
              <w:top w:val="nil"/>
              <w:left w:val="nil"/>
              <w:bottom w:val="nil"/>
              <w:right w:val="nil"/>
            </w:tcBorders>
            <w:shd w:val="clear" w:color="auto" w:fill="auto"/>
            <w:noWrap/>
            <w:vAlign w:val="bottom"/>
          </w:tcPr>
          <w:p w14:paraId="28F2D5CC" w14:textId="358844B7"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-0.03 (-0.15,0.10)</w:t>
            </w:r>
          </w:p>
        </w:tc>
        <w:tc>
          <w:tcPr>
            <w:tcW w:w="942" w:type="dxa"/>
            <w:tcBorders>
              <w:top w:val="nil"/>
              <w:left w:val="nil"/>
              <w:bottom w:val="nil"/>
              <w:right w:val="nil"/>
            </w:tcBorders>
            <w:shd w:val="clear" w:color="auto" w:fill="auto"/>
            <w:noWrap/>
            <w:vAlign w:val="bottom"/>
          </w:tcPr>
          <w:p w14:paraId="0700C263" w14:textId="47C100B0" w:rsidR="00A2375F" w:rsidRPr="00A2375F" w:rsidRDefault="00A2375F" w:rsidP="00C6502B">
            <w:pPr>
              <w:tabs>
                <w:tab w:val="left" w:pos="3311"/>
              </w:tabs>
              <w:spacing w:line="240" w:lineRule="auto"/>
              <w:jc w:val="both"/>
              <w:rPr>
                <w:rFonts w:ascii="Times New Roman" w:hAnsi="Times New Roman"/>
                <w:sz w:val="20"/>
                <w:szCs w:val="20"/>
              </w:rPr>
            </w:pPr>
            <w:r w:rsidRPr="00A2375F">
              <w:rPr>
                <w:rFonts w:ascii="Times New Roman" w:hAnsi="Times New Roman"/>
                <w:color w:val="000000"/>
                <w:sz w:val="20"/>
                <w:szCs w:val="20"/>
              </w:rPr>
              <w:t>0.688</w:t>
            </w:r>
          </w:p>
        </w:tc>
      </w:tr>
      <w:tr w:rsidR="00A2375F" w:rsidRPr="00646A91" w14:paraId="391DBC2F" w14:textId="77777777" w:rsidTr="00A2375F">
        <w:trPr>
          <w:trHeight w:val="250"/>
        </w:trPr>
        <w:tc>
          <w:tcPr>
            <w:tcW w:w="3070" w:type="dxa"/>
            <w:tcBorders>
              <w:top w:val="nil"/>
              <w:left w:val="nil"/>
              <w:bottom w:val="single" w:sz="4" w:space="0" w:color="auto"/>
              <w:right w:val="nil"/>
            </w:tcBorders>
            <w:shd w:val="clear" w:color="auto" w:fill="auto"/>
            <w:noWrap/>
            <w:vAlign w:val="center"/>
            <w:hideMark/>
          </w:tcPr>
          <w:p w14:paraId="58498C15"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Trabecular separation</w:t>
            </w:r>
          </w:p>
        </w:tc>
        <w:tc>
          <w:tcPr>
            <w:tcW w:w="2033" w:type="dxa"/>
            <w:tcBorders>
              <w:top w:val="nil"/>
              <w:left w:val="nil"/>
              <w:bottom w:val="nil"/>
              <w:right w:val="nil"/>
            </w:tcBorders>
            <w:shd w:val="clear" w:color="auto" w:fill="auto"/>
            <w:noWrap/>
            <w:vAlign w:val="center"/>
            <w:hideMark/>
          </w:tcPr>
          <w:p w14:paraId="188FE7C2"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0.11 (-0.00,0.22)</w:t>
            </w:r>
          </w:p>
        </w:tc>
        <w:tc>
          <w:tcPr>
            <w:tcW w:w="924" w:type="dxa"/>
            <w:tcBorders>
              <w:top w:val="nil"/>
              <w:left w:val="nil"/>
              <w:bottom w:val="nil"/>
              <w:right w:val="nil"/>
            </w:tcBorders>
            <w:shd w:val="clear" w:color="auto" w:fill="auto"/>
            <w:noWrap/>
            <w:vAlign w:val="center"/>
            <w:hideMark/>
          </w:tcPr>
          <w:p w14:paraId="63BAC70E" w14:textId="77777777" w:rsidR="00A2375F" w:rsidRPr="00FE7EFE" w:rsidRDefault="00A2375F" w:rsidP="00C6502B">
            <w:pPr>
              <w:tabs>
                <w:tab w:val="left" w:pos="3311"/>
              </w:tabs>
              <w:spacing w:line="240" w:lineRule="auto"/>
              <w:jc w:val="both"/>
              <w:rPr>
                <w:rFonts w:ascii="Times New Roman" w:hAnsi="Times New Roman"/>
                <w:sz w:val="20"/>
                <w:szCs w:val="22"/>
              </w:rPr>
            </w:pPr>
            <w:r w:rsidRPr="00FE7EFE">
              <w:rPr>
                <w:rFonts w:ascii="Times New Roman" w:hAnsi="Times New Roman"/>
                <w:sz w:val="20"/>
                <w:szCs w:val="22"/>
              </w:rPr>
              <w:t>0.055</w:t>
            </w:r>
          </w:p>
        </w:tc>
        <w:tc>
          <w:tcPr>
            <w:tcW w:w="2053" w:type="dxa"/>
            <w:tcBorders>
              <w:top w:val="nil"/>
              <w:left w:val="nil"/>
              <w:bottom w:val="nil"/>
              <w:right w:val="nil"/>
            </w:tcBorders>
            <w:shd w:val="clear" w:color="auto" w:fill="auto"/>
            <w:noWrap/>
            <w:vAlign w:val="bottom"/>
          </w:tcPr>
          <w:p w14:paraId="0F734C2A" w14:textId="52444278" w:rsidR="00A2375F" w:rsidRPr="00A2375F" w:rsidRDefault="00A2375F" w:rsidP="00C6502B">
            <w:pPr>
              <w:tabs>
                <w:tab w:val="left" w:pos="3311"/>
              </w:tabs>
              <w:spacing w:line="240" w:lineRule="auto"/>
              <w:jc w:val="both"/>
              <w:rPr>
                <w:rFonts w:ascii="Times New Roman" w:hAnsi="Times New Roman"/>
                <w:b/>
                <w:sz w:val="20"/>
                <w:szCs w:val="20"/>
              </w:rPr>
            </w:pPr>
            <w:r w:rsidRPr="00A2375F">
              <w:rPr>
                <w:rFonts w:ascii="Times New Roman" w:hAnsi="Times New Roman"/>
                <w:b/>
                <w:color w:val="000000"/>
                <w:sz w:val="20"/>
                <w:szCs w:val="20"/>
              </w:rPr>
              <w:t>0.14 (0.02,0.26)</w:t>
            </w:r>
          </w:p>
        </w:tc>
        <w:tc>
          <w:tcPr>
            <w:tcW w:w="942" w:type="dxa"/>
            <w:tcBorders>
              <w:top w:val="nil"/>
              <w:left w:val="nil"/>
              <w:bottom w:val="nil"/>
              <w:right w:val="nil"/>
            </w:tcBorders>
            <w:shd w:val="clear" w:color="auto" w:fill="auto"/>
            <w:noWrap/>
            <w:vAlign w:val="bottom"/>
          </w:tcPr>
          <w:p w14:paraId="553DA632" w14:textId="1FB6C9F7" w:rsidR="00A2375F" w:rsidRPr="00A2375F" w:rsidRDefault="00A2375F" w:rsidP="00C6502B">
            <w:pPr>
              <w:tabs>
                <w:tab w:val="left" w:pos="3311"/>
              </w:tabs>
              <w:spacing w:line="240" w:lineRule="auto"/>
              <w:jc w:val="both"/>
              <w:rPr>
                <w:rFonts w:ascii="Times New Roman" w:hAnsi="Times New Roman"/>
                <w:b/>
                <w:sz w:val="20"/>
                <w:szCs w:val="20"/>
              </w:rPr>
            </w:pPr>
            <w:r w:rsidRPr="00A2375F">
              <w:rPr>
                <w:rFonts w:ascii="Times New Roman" w:hAnsi="Times New Roman"/>
                <w:b/>
                <w:color w:val="000000"/>
                <w:sz w:val="20"/>
                <w:szCs w:val="20"/>
              </w:rPr>
              <w:t>0.027</w:t>
            </w:r>
          </w:p>
        </w:tc>
      </w:tr>
      <w:tr w:rsidR="00880D6D" w:rsidRPr="00646A91" w14:paraId="311C3C10" w14:textId="77777777" w:rsidTr="00A2375F">
        <w:trPr>
          <w:trHeight w:val="250"/>
        </w:trPr>
        <w:tc>
          <w:tcPr>
            <w:tcW w:w="3070" w:type="dxa"/>
            <w:tcBorders>
              <w:top w:val="single" w:sz="4" w:space="0" w:color="auto"/>
              <w:left w:val="nil"/>
              <w:right w:val="nil"/>
            </w:tcBorders>
            <w:shd w:val="clear" w:color="auto" w:fill="auto"/>
            <w:noWrap/>
            <w:vAlign w:val="center"/>
          </w:tcPr>
          <w:p w14:paraId="44C91FC1" w14:textId="77777777" w:rsidR="00880D6D" w:rsidRPr="00FE7EFE" w:rsidRDefault="00880D6D" w:rsidP="00C6502B">
            <w:pPr>
              <w:tabs>
                <w:tab w:val="left" w:pos="3311"/>
              </w:tabs>
              <w:spacing w:line="240" w:lineRule="auto"/>
              <w:jc w:val="both"/>
              <w:rPr>
                <w:rFonts w:ascii="Times New Roman" w:hAnsi="Times New Roman"/>
                <w:sz w:val="20"/>
                <w:szCs w:val="22"/>
              </w:rPr>
            </w:pPr>
          </w:p>
        </w:tc>
        <w:tc>
          <w:tcPr>
            <w:tcW w:w="2033" w:type="dxa"/>
            <w:tcBorders>
              <w:top w:val="single" w:sz="4" w:space="0" w:color="auto"/>
              <w:left w:val="nil"/>
              <w:right w:val="nil"/>
            </w:tcBorders>
            <w:shd w:val="clear" w:color="auto" w:fill="auto"/>
            <w:noWrap/>
            <w:vAlign w:val="center"/>
          </w:tcPr>
          <w:p w14:paraId="72D4104B" w14:textId="77777777" w:rsidR="00880D6D" w:rsidRPr="00FE7EFE" w:rsidRDefault="00880D6D" w:rsidP="00C6502B">
            <w:pPr>
              <w:tabs>
                <w:tab w:val="left" w:pos="3311"/>
              </w:tabs>
              <w:spacing w:line="240" w:lineRule="auto"/>
              <w:jc w:val="both"/>
              <w:rPr>
                <w:rFonts w:ascii="Times New Roman" w:hAnsi="Times New Roman"/>
                <w:sz w:val="20"/>
                <w:szCs w:val="22"/>
              </w:rPr>
            </w:pPr>
          </w:p>
        </w:tc>
        <w:tc>
          <w:tcPr>
            <w:tcW w:w="924" w:type="dxa"/>
            <w:tcBorders>
              <w:top w:val="single" w:sz="4" w:space="0" w:color="auto"/>
              <w:left w:val="nil"/>
              <w:right w:val="nil"/>
            </w:tcBorders>
            <w:shd w:val="clear" w:color="auto" w:fill="auto"/>
            <w:noWrap/>
            <w:vAlign w:val="center"/>
          </w:tcPr>
          <w:p w14:paraId="4C81FDA3" w14:textId="77777777" w:rsidR="00880D6D" w:rsidRPr="00FE7EFE" w:rsidRDefault="00880D6D" w:rsidP="00C6502B">
            <w:pPr>
              <w:tabs>
                <w:tab w:val="left" w:pos="3311"/>
              </w:tabs>
              <w:spacing w:line="240" w:lineRule="auto"/>
              <w:jc w:val="both"/>
              <w:rPr>
                <w:rFonts w:ascii="Times New Roman" w:hAnsi="Times New Roman"/>
                <w:sz w:val="20"/>
                <w:szCs w:val="22"/>
              </w:rPr>
            </w:pPr>
          </w:p>
        </w:tc>
        <w:tc>
          <w:tcPr>
            <w:tcW w:w="2053" w:type="dxa"/>
            <w:tcBorders>
              <w:top w:val="single" w:sz="4" w:space="0" w:color="auto"/>
              <w:left w:val="nil"/>
              <w:right w:val="nil"/>
            </w:tcBorders>
            <w:shd w:val="clear" w:color="auto" w:fill="auto"/>
            <w:noWrap/>
            <w:vAlign w:val="center"/>
          </w:tcPr>
          <w:p w14:paraId="31EC41BD" w14:textId="77777777" w:rsidR="00880D6D" w:rsidRPr="00FE7EFE" w:rsidRDefault="00880D6D" w:rsidP="00C6502B">
            <w:pPr>
              <w:tabs>
                <w:tab w:val="left" w:pos="3311"/>
              </w:tabs>
              <w:spacing w:line="240" w:lineRule="auto"/>
              <w:jc w:val="both"/>
              <w:rPr>
                <w:rFonts w:ascii="Times New Roman" w:hAnsi="Times New Roman"/>
                <w:sz w:val="20"/>
                <w:szCs w:val="22"/>
              </w:rPr>
            </w:pPr>
          </w:p>
        </w:tc>
        <w:tc>
          <w:tcPr>
            <w:tcW w:w="942" w:type="dxa"/>
            <w:tcBorders>
              <w:top w:val="single" w:sz="4" w:space="0" w:color="auto"/>
              <w:left w:val="nil"/>
              <w:right w:val="nil"/>
            </w:tcBorders>
            <w:shd w:val="clear" w:color="auto" w:fill="auto"/>
            <w:noWrap/>
            <w:vAlign w:val="center"/>
          </w:tcPr>
          <w:p w14:paraId="4FA2BC3C" w14:textId="77777777" w:rsidR="00880D6D" w:rsidRPr="00FE7EFE" w:rsidRDefault="00880D6D" w:rsidP="00C6502B">
            <w:pPr>
              <w:tabs>
                <w:tab w:val="left" w:pos="3311"/>
              </w:tabs>
              <w:spacing w:line="240" w:lineRule="auto"/>
              <w:jc w:val="both"/>
              <w:rPr>
                <w:rFonts w:ascii="Times New Roman" w:hAnsi="Times New Roman"/>
                <w:sz w:val="20"/>
                <w:szCs w:val="22"/>
              </w:rPr>
            </w:pPr>
          </w:p>
        </w:tc>
      </w:tr>
      <w:tr w:rsidR="00880D6D" w:rsidRPr="00646A91" w14:paraId="3912A84E" w14:textId="77777777" w:rsidTr="00A2375F">
        <w:trPr>
          <w:trHeight w:val="250"/>
        </w:trPr>
        <w:tc>
          <w:tcPr>
            <w:tcW w:w="9022" w:type="dxa"/>
            <w:gridSpan w:val="5"/>
            <w:tcBorders>
              <w:top w:val="nil"/>
              <w:left w:val="nil"/>
              <w:right w:val="nil"/>
            </w:tcBorders>
            <w:shd w:val="clear" w:color="auto" w:fill="auto"/>
            <w:noWrap/>
            <w:vAlign w:val="center"/>
          </w:tcPr>
          <w:p w14:paraId="23390BBB" w14:textId="2A02ECC9" w:rsidR="00880D6D" w:rsidRPr="00040080" w:rsidRDefault="00880D6D" w:rsidP="00C6502B">
            <w:pPr>
              <w:tabs>
                <w:tab w:val="left" w:pos="3311"/>
              </w:tabs>
              <w:spacing w:line="240" w:lineRule="auto"/>
              <w:jc w:val="both"/>
              <w:rPr>
                <w:rFonts w:ascii="Times New Roman" w:hAnsi="Times New Roman"/>
                <w:szCs w:val="22"/>
              </w:rPr>
            </w:pPr>
            <w:r w:rsidRPr="00040080">
              <w:rPr>
                <w:rFonts w:ascii="Times New Roman" w:hAnsi="Times New Roman"/>
                <w:szCs w:val="22"/>
              </w:rPr>
              <w:t xml:space="preserve">P: P-value; </w:t>
            </w:r>
            <w:r w:rsidR="003930B9" w:rsidRPr="003930B9">
              <w:t xml:space="preserve"> </w:t>
            </w:r>
            <w:r w:rsidR="003930B9" w:rsidRPr="003930B9">
              <w:rPr>
                <w:rFonts w:ascii="Times New Roman" w:hAnsi="Times New Roman"/>
                <w:szCs w:val="22"/>
              </w:rPr>
              <w:t>HRpQCT: High resolution peripheral quantitative computed tomography</w:t>
            </w:r>
          </w:p>
          <w:p w14:paraId="7E1867E2" w14:textId="77777777" w:rsidR="00880D6D" w:rsidRDefault="00880D6D" w:rsidP="00C6502B">
            <w:pPr>
              <w:tabs>
                <w:tab w:val="left" w:pos="3311"/>
              </w:tabs>
              <w:spacing w:line="240" w:lineRule="auto"/>
              <w:jc w:val="both"/>
              <w:rPr>
                <w:rFonts w:ascii="Times New Roman" w:hAnsi="Times New Roman"/>
                <w:szCs w:val="22"/>
              </w:rPr>
            </w:pPr>
            <w:r w:rsidRPr="00040080">
              <w:rPr>
                <w:rFonts w:ascii="Times New Roman" w:hAnsi="Times New Roman"/>
                <w:szCs w:val="22"/>
              </w:rPr>
              <w:t>Self-perceived fracture risk was used as an ordinal variable with the following bands: ‘much lower’; ‘a little lower’; ‘about the same’; ‘a little higher’; and ‘much higher’</w:t>
            </w:r>
          </w:p>
          <w:p w14:paraId="4C97DA7B" w14:textId="7826D0EA" w:rsidR="00880D6D" w:rsidRDefault="00880D6D" w:rsidP="00C6502B">
            <w:pPr>
              <w:tabs>
                <w:tab w:val="left" w:pos="3311"/>
              </w:tabs>
              <w:spacing w:line="240" w:lineRule="auto"/>
              <w:jc w:val="both"/>
              <w:rPr>
                <w:rFonts w:ascii="Times New Roman" w:hAnsi="Times New Roman"/>
                <w:szCs w:val="22"/>
              </w:rPr>
            </w:pPr>
            <w:r w:rsidRPr="00646A91">
              <w:rPr>
                <w:rFonts w:ascii="Times New Roman" w:hAnsi="Times New Roman"/>
                <w:szCs w:val="22"/>
              </w:rPr>
              <w:t xml:space="preserve">*Adjusted for age at time of HRpQCT scan, follow-up time, height, </w:t>
            </w:r>
            <w:r>
              <w:rPr>
                <w:rFonts w:ascii="Times New Roman" w:hAnsi="Times New Roman"/>
                <w:szCs w:val="22"/>
              </w:rPr>
              <w:t>weight-for-height residual</w:t>
            </w:r>
            <w:r w:rsidRPr="00646A91">
              <w:rPr>
                <w:rFonts w:ascii="Times New Roman" w:hAnsi="Times New Roman"/>
                <w:szCs w:val="22"/>
              </w:rPr>
              <w:t>, physical activity, smoking status, alcohol consumption, education, time since last menstrual cycle, use of anti-osteoporosis medication</w:t>
            </w:r>
            <w:r w:rsidR="0013274C">
              <w:rPr>
                <w:rFonts w:ascii="Times New Roman" w:hAnsi="Times New Roman"/>
                <w:szCs w:val="22"/>
              </w:rPr>
              <w:t xml:space="preserve">, calcium and vitamin D supplements, </w:t>
            </w:r>
            <w:r w:rsidRPr="00646A91">
              <w:rPr>
                <w:rFonts w:ascii="Times New Roman" w:hAnsi="Times New Roman"/>
                <w:szCs w:val="22"/>
              </w:rPr>
              <w:t>and oestrogen/hormone replacement therapy (pill/skin patch)</w:t>
            </w:r>
          </w:p>
          <w:p w14:paraId="78A58562" w14:textId="77777777" w:rsidR="00880D6D" w:rsidRDefault="00880D6D" w:rsidP="00C6502B">
            <w:pPr>
              <w:tabs>
                <w:tab w:val="left" w:pos="3311"/>
              </w:tabs>
              <w:spacing w:line="240" w:lineRule="auto"/>
              <w:jc w:val="both"/>
              <w:rPr>
                <w:rFonts w:ascii="Times New Roman" w:hAnsi="Times New Roman"/>
                <w:szCs w:val="22"/>
              </w:rPr>
            </w:pPr>
          </w:p>
          <w:p w14:paraId="00FB059A" w14:textId="77777777" w:rsidR="00880D6D" w:rsidRPr="00646A91" w:rsidRDefault="00880D6D" w:rsidP="00C6502B">
            <w:pPr>
              <w:tabs>
                <w:tab w:val="left" w:pos="3311"/>
              </w:tabs>
              <w:spacing w:line="240" w:lineRule="auto"/>
              <w:jc w:val="both"/>
              <w:rPr>
                <w:rFonts w:ascii="Times New Roman" w:hAnsi="Times New Roman"/>
                <w:szCs w:val="22"/>
              </w:rPr>
            </w:pPr>
            <w:r w:rsidRPr="00AA7B24">
              <w:rPr>
                <w:rFonts w:ascii="Times New Roman" w:hAnsi="Times New Roman"/>
                <w:szCs w:val="22"/>
              </w:rPr>
              <w:t>Significant associations (p&lt;0.05) are highlighted in bold</w:t>
            </w:r>
          </w:p>
        </w:tc>
      </w:tr>
    </w:tbl>
    <w:p w14:paraId="769B4D5F" w14:textId="77777777" w:rsidR="006D50D1" w:rsidRDefault="006D50D1" w:rsidP="00880D6D">
      <w:pPr>
        <w:tabs>
          <w:tab w:val="left" w:pos="6996"/>
        </w:tabs>
        <w:rPr>
          <w:rFonts w:ascii="Times New Roman" w:hAnsi="Times New Roman"/>
          <w:szCs w:val="22"/>
        </w:rPr>
        <w:sectPr w:rsidR="006D50D1" w:rsidSect="00F74EDE">
          <w:pgSz w:w="11906" w:h="16838"/>
          <w:pgMar w:top="1440" w:right="1440" w:bottom="1440" w:left="1440" w:header="708" w:footer="708" w:gutter="0"/>
          <w:cols w:space="708"/>
          <w:docGrid w:linePitch="360"/>
        </w:sectPr>
      </w:pPr>
    </w:p>
    <w:tbl>
      <w:tblPr>
        <w:tblW w:w="13542" w:type="dxa"/>
        <w:tblLayout w:type="fixed"/>
        <w:tblLook w:val="04A0" w:firstRow="1" w:lastRow="0" w:firstColumn="1" w:lastColumn="0" w:noHBand="0" w:noVBand="1"/>
      </w:tblPr>
      <w:tblGrid>
        <w:gridCol w:w="4710"/>
        <w:gridCol w:w="1765"/>
        <w:gridCol w:w="1326"/>
        <w:gridCol w:w="1661"/>
        <w:gridCol w:w="1135"/>
        <w:gridCol w:w="1766"/>
        <w:gridCol w:w="1179"/>
      </w:tblGrid>
      <w:tr w:rsidR="006D50D1" w:rsidRPr="006D50D1" w14:paraId="60BA9818" w14:textId="77777777" w:rsidTr="00BB4DAF">
        <w:trPr>
          <w:trHeight w:val="20"/>
        </w:trPr>
        <w:tc>
          <w:tcPr>
            <w:tcW w:w="13542" w:type="dxa"/>
            <w:gridSpan w:val="7"/>
            <w:tcBorders>
              <w:top w:val="nil"/>
              <w:left w:val="nil"/>
              <w:bottom w:val="single" w:sz="4" w:space="0" w:color="auto"/>
              <w:right w:val="nil"/>
            </w:tcBorders>
          </w:tcPr>
          <w:p w14:paraId="2BE3E450"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Supplementary Table 1: Odds ratios (OR) for having a higher category of self-perceived fracture risk for the presence versus absence of each characteristic among participants with an osteoporosis diagnoses and currently using anti-osteoporotic medications (AOM)</w:t>
            </w:r>
          </w:p>
        </w:tc>
      </w:tr>
      <w:tr w:rsidR="006D50D1" w:rsidRPr="006D50D1" w14:paraId="2FFBEAFF" w14:textId="77777777" w:rsidTr="00BB4DAF">
        <w:trPr>
          <w:trHeight w:val="20"/>
        </w:trPr>
        <w:tc>
          <w:tcPr>
            <w:tcW w:w="4710" w:type="dxa"/>
            <w:vMerge w:val="restart"/>
            <w:tcBorders>
              <w:top w:val="single" w:sz="4" w:space="0" w:color="auto"/>
            </w:tcBorders>
            <w:vAlign w:val="center"/>
          </w:tcPr>
          <w:p w14:paraId="7169B20C"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Characteristic</w:t>
            </w:r>
          </w:p>
        </w:tc>
        <w:tc>
          <w:tcPr>
            <w:tcW w:w="3091" w:type="dxa"/>
            <w:gridSpan w:val="2"/>
            <w:tcBorders>
              <w:top w:val="single" w:sz="4" w:space="0" w:color="auto"/>
            </w:tcBorders>
            <w:shd w:val="clear" w:color="auto" w:fill="auto"/>
            <w:noWrap/>
            <w:vAlign w:val="bottom"/>
          </w:tcPr>
          <w:p w14:paraId="7EE074AF"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Osteoporosis diagnosis</w:t>
            </w:r>
          </w:p>
        </w:tc>
        <w:tc>
          <w:tcPr>
            <w:tcW w:w="2796" w:type="dxa"/>
            <w:gridSpan w:val="2"/>
            <w:tcBorders>
              <w:top w:val="single" w:sz="4" w:space="0" w:color="auto"/>
            </w:tcBorders>
            <w:shd w:val="clear" w:color="auto" w:fill="auto"/>
            <w:vAlign w:val="center"/>
          </w:tcPr>
          <w:p w14:paraId="03E9675F" w14:textId="77777777" w:rsidR="006D50D1" w:rsidRPr="006D50D1" w:rsidRDefault="006D50D1" w:rsidP="006D50D1">
            <w:pPr>
              <w:spacing w:line="240" w:lineRule="auto"/>
              <w:jc w:val="center"/>
              <w:rPr>
                <w:rFonts w:ascii="Times New Roman" w:hAnsi="Times New Roman"/>
                <w:b/>
                <w:bCs/>
                <w:color w:val="000000"/>
                <w:sz w:val="19"/>
                <w:szCs w:val="19"/>
              </w:rPr>
            </w:pPr>
            <w:r w:rsidRPr="006D50D1">
              <w:rPr>
                <w:rFonts w:ascii="Times New Roman" w:hAnsi="Times New Roman"/>
                <w:b/>
                <w:bCs/>
                <w:color w:val="000000"/>
                <w:sz w:val="19"/>
                <w:szCs w:val="19"/>
              </w:rPr>
              <w:t>Using AOM</w:t>
            </w:r>
          </w:p>
        </w:tc>
        <w:tc>
          <w:tcPr>
            <w:tcW w:w="2944" w:type="dxa"/>
            <w:gridSpan w:val="2"/>
            <w:tcBorders>
              <w:top w:val="single" w:sz="4" w:space="0" w:color="auto"/>
              <w:right w:val="nil"/>
            </w:tcBorders>
            <w:shd w:val="clear" w:color="auto" w:fill="auto"/>
            <w:noWrap/>
            <w:vAlign w:val="bottom"/>
          </w:tcPr>
          <w:p w14:paraId="2C2F5C7D"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Osteoporosis or using AOM</w:t>
            </w:r>
          </w:p>
        </w:tc>
      </w:tr>
      <w:tr w:rsidR="006D50D1" w:rsidRPr="006D50D1" w14:paraId="280EF3CC" w14:textId="77777777" w:rsidTr="00BB4DAF">
        <w:trPr>
          <w:trHeight w:val="20"/>
        </w:trPr>
        <w:tc>
          <w:tcPr>
            <w:tcW w:w="4710" w:type="dxa"/>
            <w:vMerge/>
            <w:tcBorders>
              <w:bottom w:val="single" w:sz="4" w:space="0" w:color="auto"/>
            </w:tcBorders>
            <w:vAlign w:val="center"/>
            <w:hideMark/>
          </w:tcPr>
          <w:p w14:paraId="6E730C54" w14:textId="77777777" w:rsidR="006D50D1" w:rsidRPr="006D50D1" w:rsidRDefault="006D50D1" w:rsidP="006D50D1">
            <w:pPr>
              <w:spacing w:line="240" w:lineRule="auto"/>
              <w:jc w:val="both"/>
              <w:rPr>
                <w:rFonts w:ascii="Times New Roman" w:hAnsi="Times New Roman"/>
                <w:b/>
                <w:bCs/>
                <w:color w:val="000000"/>
                <w:sz w:val="19"/>
                <w:szCs w:val="19"/>
              </w:rPr>
            </w:pPr>
          </w:p>
        </w:tc>
        <w:tc>
          <w:tcPr>
            <w:tcW w:w="1765" w:type="dxa"/>
            <w:tcBorders>
              <w:bottom w:val="single" w:sz="4" w:space="0" w:color="auto"/>
            </w:tcBorders>
            <w:shd w:val="clear" w:color="auto" w:fill="auto"/>
            <w:noWrap/>
            <w:vAlign w:val="bottom"/>
            <w:hideMark/>
          </w:tcPr>
          <w:p w14:paraId="4EACEE99"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OR (95% CI)</w:t>
            </w:r>
          </w:p>
        </w:tc>
        <w:tc>
          <w:tcPr>
            <w:tcW w:w="1326" w:type="dxa"/>
            <w:tcBorders>
              <w:bottom w:val="single" w:sz="4" w:space="0" w:color="auto"/>
            </w:tcBorders>
            <w:shd w:val="clear" w:color="auto" w:fill="auto"/>
            <w:noWrap/>
            <w:vAlign w:val="bottom"/>
            <w:hideMark/>
          </w:tcPr>
          <w:p w14:paraId="5B4A35A1"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P-value</w:t>
            </w:r>
          </w:p>
        </w:tc>
        <w:tc>
          <w:tcPr>
            <w:tcW w:w="1661" w:type="dxa"/>
            <w:tcBorders>
              <w:bottom w:val="single" w:sz="4" w:space="0" w:color="auto"/>
            </w:tcBorders>
            <w:shd w:val="clear" w:color="auto" w:fill="auto"/>
            <w:vAlign w:val="bottom"/>
          </w:tcPr>
          <w:p w14:paraId="48F8375B"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OR (95% CI)</w:t>
            </w:r>
          </w:p>
        </w:tc>
        <w:tc>
          <w:tcPr>
            <w:tcW w:w="1135" w:type="dxa"/>
            <w:tcBorders>
              <w:bottom w:val="single" w:sz="4" w:space="0" w:color="auto"/>
            </w:tcBorders>
            <w:shd w:val="clear" w:color="auto" w:fill="auto"/>
            <w:vAlign w:val="bottom"/>
          </w:tcPr>
          <w:p w14:paraId="75707E0A"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P-value</w:t>
            </w:r>
          </w:p>
        </w:tc>
        <w:tc>
          <w:tcPr>
            <w:tcW w:w="1766" w:type="dxa"/>
            <w:tcBorders>
              <w:bottom w:val="single" w:sz="4" w:space="0" w:color="auto"/>
            </w:tcBorders>
            <w:shd w:val="clear" w:color="auto" w:fill="auto"/>
            <w:noWrap/>
            <w:vAlign w:val="bottom"/>
            <w:hideMark/>
          </w:tcPr>
          <w:p w14:paraId="77A0399E"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OR (95% CI)</w:t>
            </w:r>
          </w:p>
        </w:tc>
        <w:tc>
          <w:tcPr>
            <w:tcW w:w="1177" w:type="dxa"/>
            <w:tcBorders>
              <w:bottom w:val="single" w:sz="4" w:space="0" w:color="auto"/>
              <w:right w:val="nil"/>
            </w:tcBorders>
            <w:shd w:val="clear" w:color="auto" w:fill="auto"/>
            <w:noWrap/>
            <w:vAlign w:val="bottom"/>
            <w:hideMark/>
          </w:tcPr>
          <w:p w14:paraId="58CF697E" w14:textId="77777777" w:rsidR="006D50D1" w:rsidRPr="006D50D1" w:rsidRDefault="006D50D1" w:rsidP="006D50D1">
            <w:pPr>
              <w:spacing w:line="240" w:lineRule="auto"/>
              <w:jc w:val="both"/>
              <w:rPr>
                <w:rFonts w:ascii="Times New Roman" w:hAnsi="Times New Roman"/>
                <w:b/>
                <w:bCs/>
                <w:color w:val="000000"/>
                <w:sz w:val="19"/>
                <w:szCs w:val="19"/>
              </w:rPr>
            </w:pPr>
            <w:r w:rsidRPr="006D50D1">
              <w:rPr>
                <w:rFonts w:ascii="Times New Roman" w:hAnsi="Times New Roman"/>
                <w:b/>
                <w:bCs/>
                <w:color w:val="000000"/>
                <w:sz w:val="19"/>
                <w:szCs w:val="19"/>
              </w:rPr>
              <w:t>P-value</w:t>
            </w:r>
          </w:p>
        </w:tc>
      </w:tr>
      <w:tr w:rsidR="006D50D1" w:rsidRPr="006D50D1" w14:paraId="23654B69" w14:textId="77777777" w:rsidTr="00BB4DAF">
        <w:trPr>
          <w:trHeight w:val="20"/>
        </w:trPr>
        <w:tc>
          <w:tcPr>
            <w:tcW w:w="4710" w:type="dxa"/>
            <w:tcBorders>
              <w:top w:val="single" w:sz="4" w:space="0" w:color="auto"/>
              <w:left w:val="nil"/>
              <w:bottom w:val="nil"/>
            </w:tcBorders>
            <w:shd w:val="clear" w:color="auto" w:fill="auto"/>
            <w:noWrap/>
            <w:vAlign w:val="center"/>
            <w:hideMark/>
          </w:tcPr>
          <w:p w14:paraId="60AB9799"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Age*</w:t>
            </w:r>
          </w:p>
        </w:tc>
        <w:tc>
          <w:tcPr>
            <w:tcW w:w="1765" w:type="dxa"/>
            <w:tcBorders>
              <w:top w:val="single" w:sz="4" w:space="0" w:color="auto"/>
              <w:left w:val="nil"/>
              <w:bottom w:val="nil"/>
              <w:right w:val="nil"/>
            </w:tcBorders>
            <w:shd w:val="clear" w:color="auto" w:fill="auto"/>
            <w:noWrap/>
            <w:vAlign w:val="center"/>
          </w:tcPr>
          <w:p w14:paraId="31E3B528"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0.91 (0.75,1.11)</w:t>
            </w:r>
          </w:p>
        </w:tc>
        <w:tc>
          <w:tcPr>
            <w:tcW w:w="1326" w:type="dxa"/>
            <w:tcBorders>
              <w:top w:val="nil"/>
              <w:left w:val="nil"/>
              <w:bottom w:val="nil"/>
              <w:right w:val="nil"/>
            </w:tcBorders>
            <w:shd w:val="clear" w:color="auto" w:fill="auto"/>
            <w:noWrap/>
            <w:vAlign w:val="center"/>
          </w:tcPr>
          <w:p w14:paraId="07A97A9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0.350</w:t>
            </w:r>
          </w:p>
        </w:tc>
        <w:tc>
          <w:tcPr>
            <w:tcW w:w="1661" w:type="dxa"/>
            <w:tcBorders>
              <w:top w:val="nil"/>
              <w:left w:val="nil"/>
              <w:bottom w:val="nil"/>
              <w:right w:val="nil"/>
            </w:tcBorders>
            <w:shd w:val="clear" w:color="auto" w:fill="auto"/>
            <w:vAlign w:val="center"/>
          </w:tcPr>
          <w:p w14:paraId="0BD0385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0.78 (0.63,0.97)</w:t>
            </w:r>
          </w:p>
        </w:tc>
        <w:tc>
          <w:tcPr>
            <w:tcW w:w="1135" w:type="dxa"/>
            <w:tcBorders>
              <w:top w:val="nil"/>
              <w:left w:val="nil"/>
              <w:bottom w:val="nil"/>
              <w:right w:val="nil"/>
            </w:tcBorders>
            <w:shd w:val="clear" w:color="auto" w:fill="auto"/>
            <w:vAlign w:val="center"/>
          </w:tcPr>
          <w:p w14:paraId="4E0E1A6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0.022</w:t>
            </w:r>
          </w:p>
        </w:tc>
        <w:tc>
          <w:tcPr>
            <w:tcW w:w="1766" w:type="dxa"/>
            <w:tcBorders>
              <w:top w:val="nil"/>
              <w:left w:val="nil"/>
              <w:bottom w:val="nil"/>
              <w:right w:val="nil"/>
            </w:tcBorders>
            <w:shd w:val="clear" w:color="auto" w:fill="auto"/>
            <w:noWrap/>
            <w:vAlign w:val="center"/>
          </w:tcPr>
          <w:p w14:paraId="0E17AF1F"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0.88 (0.74,1.04)</w:t>
            </w:r>
          </w:p>
        </w:tc>
        <w:tc>
          <w:tcPr>
            <w:tcW w:w="1177" w:type="dxa"/>
            <w:tcBorders>
              <w:top w:val="nil"/>
              <w:left w:val="nil"/>
              <w:bottom w:val="nil"/>
              <w:right w:val="nil"/>
            </w:tcBorders>
            <w:shd w:val="clear" w:color="auto" w:fill="auto"/>
            <w:noWrap/>
            <w:vAlign w:val="center"/>
          </w:tcPr>
          <w:p w14:paraId="3DA5F99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0.136</w:t>
            </w:r>
          </w:p>
        </w:tc>
      </w:tr>
      <w:tr w:rsidR="006D50D1" w:rsidRPr="006D50D1" w14:paraId="70298911" w14:textId="77777777" w:rsidTr="00BB4DAF">
        <w:trPr>
          <w:trHeight w:val="20"/>
        </w:trPr>
        <w:tc>
          <w:tcPr>
            <w:tcW w:w="4710" w:type="dxa"/>
            <w:tcBorders>
              <w:top w:val="nil"/>
              <w:left w:val="nil"/>
              <w:bottom w:val="nil"/>
            </w:tcBorders>
            <w:shd w:val="clear" w:color="auto" w:fill="auto"/>
            <w:noWrap/>
            <w:vAlign w:val="center"/>
            <w:hideMark/>
          </w:tcPr>
          <w:p w14:paraId="000AB30C"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Self-reported height*</w:t>
            </w:r>
          </w:p>
        </w:tc>
        <w:tc>
          <w:tcPr>
            <w:tcW w:w="1765" w:type="dxa"/>
            <w:tcBorders>
              <w:top w:val="nil"/>
              <w:left w:val="nil"/>
              <w:bottom w:val="nil"/>
              <w:right w:val="nil"/>
            </w:tcBorders>
            <w:shd w:val="clear" w:color="auto" w:fill="auto"/>
            <w:noWrap/>
            <w:vAlign w:val="center"/>
          </w:tcPr>
          <w:p w14:paraId="358373C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0.98 (0.81,1.19)</w:t>
            </w:r>
          </w:p>
        </w:tc>
        <w:tc>
          <w:tcPr>
            <w:tcW w:w="1326" w:type="dxa"/>
            <w:tcBorders>
              <w:top w:val="nil"/>
              <w:left w:val="nil"/>
              <w:bottom w:val="nil"/>
              <w:right w:val="nil"/>
            </w:tcBorders>
            <w:shd w:val="clear" w:color="auto" w:fill="auto"/>
            <w:noWrap/>
            <w:vAlign w:val="center"/>
          </w:tcPr>
          <w:p w14:paraId="0EFE724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0.875</w:t>
            </w:r>
          </w:p>
        </w:tc>
        <w:tc>
          <w:tcPr>
            <w:tcW w:w="1661" w:type="dxa"/>
            <w:tcBorders>
              <w:top w:val="nil"/>
              <w:left w:val="nil"/>
              <w:bottom w:val="nil"/>
              <w:right w:val="nil"/>
            </w:tcBorders>
            <w:shd w:val="clear" w:color="auto" w:fill="auto"/>
            <w:vAlign w:val="center"/>
          </w:tcPr>
          <w:p w14:paraId="5272664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1.01 (0.82,1.23)</w:t>
            </w:r>
          </w:p>
        </w:tc>
        <w:tc>
          <w:tcPr>
            <w:tcW w:w="1135" w:type="dxa"/>
            <w:tcBorders>
              <w:top w:val="nil"/>
              <w:left w:val="nil"/>
              <w:bottom w:val="nil"/>
              <w:right w:val="nil"/>
            </w:tcBorders>
            <w:shd w:val="clear" w:color="auto" w:fill="auto"/>
            <w:vAlign w:val="center"/>
          </w:tcPr>
          <w:p w14:paraId="09CBA2B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0.952</w:t>
            </w:r>
          </w:p>
        </w:tc>
        <w:tc>
          <w:tcPr>
            <w:tcW w:w="1766" w:type="dxa"/>
            <w:tcBorders>
              <w:top w:val="nil"/>
              <w:left w:val="nil"/>
              <w:bottom w:val="nil"/>
              <w:right w:val="nil"/>
            </w:tcBorders>
            <w:shd w:val="clear" w:color="auto" w:fill="auto"/>
            <w:noWrap/>
            <w:vAlign w:val="center"/>
          </w:tcPr>
          <w:p w14:paraId="642F15C8"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0.96 (0.81,1.13)</w:t>
            </w:r>
          </w:p>
        </w:tc>
        <w:tc>
          <w:tcPr>
            <w:tcW w:w="1177" w:type="dxa"/>
            <w:tcBorders>
              <w:top w:val="nil"/>
              <w:left w:val="nil"/>
              <w:bottom w:val="nil"/>
              <w:right w:val="nil"/>
            </w:tcBorders>
            <w:shd w:val="clear" w:color="auto" w:fill="auto"/>
            <w:noWrap/>
            <w:vAlign w:val="center"/>
          </w:tcPr>
          <w:p w14:paraId="7D6393C9"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0.588</w:t>
            </w:r>
          </w:p>
        </w:tc>
      </w:tr>
      <w:tr w:rsidR="006D50D1" w:rsidRPr="006D50D1" w14:paraId="7627CFAA" w14:textId="77777777" w:rsidTr="00BB4DAF">
        <w:trPr>
          <w:trHeight w:val="20"/>
        </w:trPr>
        <w:tc>
          <w:tcPr>
            <w:tcW w:w="4710" w:type="dxa"/>
            <w:tcBorders>
              <w:top w:val="nil"/>
              <w:left w:val="nil"/>
              <w:bottom w:val="nil"/>
            </w:tcBorders>
            <w:shd w:val="clear" w:color="auto" w:fill="auto"/>
            <w:noWrap/>
            <w:vAlign w:val="center"/>
            <w:hideMark/>
          </w:tcPr>
          <w:p w14:paraId="047C458B"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Weight-for-height residual*</w:t>
            </w:r>
          </w:p>
        </w:tc>
        <w:tc>
          <w:tcPr>
            <w:tcW w:w="1765" w:type="dxa"/>
            <w:tcBorders>
              <w:top w:val="nil"/>
              <w:left w:val="nil"/>
              <w:bottom w:val="nil"/>
              <w:right w:val="nil"/>
            </w:tcBorders>
            <w:shd w:val="clear" w:color="auto" w:fill="auto"/>
            <w:noWrap/>
            <w:vAlign w:val="center"/>
          </w:tcPr>
          <w:p w14:paraId="2E849C6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0.89 (0.74,1.06)</w:t>
            </w:r>
          </w:p>
        </w:tc>
        <w:tc>
          <w:tcPr>
            <w:tcW w:w="1326" w:type="dxa"/>
            <w:tcBorders>
              <w:top w:val="nil"/>
              <w:left w:val="nil"/>
              <w:bottom w:val="nil"/>
              <w:right w:val="nil"/>
            </w:tcBorders>
            <w:shd w:val="clear" w:color="auto" w:fill="auto"/>
            <w:noWrap/>
            <w:vAlign w:val="center"/>
          </w:tcPr>
          <w:p w14:paraId="3071942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0.189</w:t>
            </w:r>
          </w:p>
        </w:tc>
        <w:tc>
          <w:tcPr>
            <w:tcW w:w="1661" w:type="dxa"/>
            <w:tcBorders>
              <w:top w:val="nil"/>
              <w:left w:val="nil"/>
              <w:bottom w:val="nil"/>
              <w:right w:val="nil"/>
            </w:tcBorders>
            <w:shd w:val="clear" w:color="auto" w:fill="auto"/>
            <w:vAlign w:val="center"/>
          </w:tcPr>
          <w:p w14:paraId="104E845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0.86 (0.70,1.05)</w:t>
            </w:r>
          </w:p>
        </w:tc>
        <w:tc>
          <w:tcPr>
            <w:tcW w:w="1135" w:type="dxa"/>
            <w:tcBorders>
              <w:top w:val="nil"/>
              <w:left w:val="nil"/>
              <w:bottom w:val="nil"/>
              <w:right w:val="nil"/>
            </w:tcBorders>
            <w:shd w:val="clear" w:color="auto" w:fill="auto"/>
            <w:vAlign w:val="center"/>
          </w:tcPr>
          <w:p w14:paraId="2F3829CB"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0.140</w:t>
            </w:r>
          </w:p>
        </w:tc>
        <w:tc>
          <w:tcPr>
            <w:tcW w:w="1766" w:type="dxa"/>
            <w:tcBorders>
              <w:top w:val="nil"/>
              <w:left w:val="nil"/>
              <w:bottom w:val="nil"/>
              <w:right w:val="nil"/>
            </w:tcBorders>
            <w:shd w:val="clear" w:color="auto" w:fill="auto"/>
            <w:noWrap/>
            <w:vAlign w:val="center"/>
          </w:tcPr>
          <w:p w14:paraId="18A813F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0.90 (0.77,1.06)</w:t>
            </w:r>
          </w:p>
        </w:tc>
        <w:tc>
          <w:tcPr>
            <w:tcW w:w="1177" w:type="dxa"/>
            <w:tcBorders>
              <w:top w:val="nil"/>
              <w:left w:val="nil"/>
              <w:bottom w:val="nil"/>
              <w:right w:val="nil"/>
            </w:tcBorders>
            <w:shd w:val="clear" w:color="auto" w:fill="auto"/>
            <w:noWrap/>
            <w:vAlign w:val="center"/>
          </w:tcPr>
          <w:p w14:paraId="03127539"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0.220</w:t>
            </w:r>
          </w:p>
        </w:tc>
      </w:tr>
      <w:tr w:rsidR="006D50D1" w:rsidRPr="006D50D1" w14:paraId="3BE956BA" w14:textId="77777777" w:rsidTr="00BB4DAF">
        <w:trPr>
          <w:trHeight w:val="20"/>
        </w:trPr>
        <w:tc>
          <w:tcPr>
            <w:tcW w:w="4710" w:type="dxa"/>
            <w:tcBorders>
              <w:top w:val="nil"/>
              <w:left w:val="nil"/>
              <w:bottom w:val="nil"/>
            </w:tcBorders>
            <w:shd w:val="clear" w:color="auto" w:fill="auto"/>
            <w:noWrap/>
            <w:vAlign w:val="center"/>
            <w:hideMark/>
          </w:tcPr>
          <w:p w14:paraId="7056A34B"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Current smoker</w:t>
            </w:r>
          </w:p>
        </w:tc>
        <w:tc>
          <w:tcPr>
            <w:tcW w:w="1765" w:type="dxa"/>
            <w:tcBorders>
              <w:top w:val="nil"/>
              <w:left w:val="nil"/>
              <w:bottom w:val="nil"/>
              <w:right w:val="nil"/>
            </w:tcBorders>
            <w:shd w:val="clear" w:color="auto" w:fill="auto"/>
            <w:noWrap/>
            <w:vAlign w:val="center"/>
          </w:tcPr>
          <w:p w14:paraId="46C372CD"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0.95 (0.48,1.90)</w:t>
            </w:r>
          </w:p>
        </w:tc>
        <w:tc>
          <w:tcPr>
            <w:tcW w:w="1326" w:type="dxa"/>
            <w:tcBorders>
              <w:top w:val="nil"/>
              <w:left w:val="nil"/>
              <w:bottom w:val="nil"/>
              <w:right w:val="nil"/>
            </w:tcBorders>
            <w:shd w:val="clear" w:color="auto" w:fill="auto"/>
            <w:noWrap/>
            <w:vAlign w:val="center"/>
          </w:tcPr>
          <w:p w14:paraId="5317F45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0.887</w:t>
            </w:r>
          </w:p>
        </w:tc>
        <w:tc>
          <w:tcPr>
            <w:tcW w:w="1661" w:type="dxa"/>
            <w:tcBorders>
              <w:top w:val="nil"/>
              <w:left w:val="nil"/>
              <w:bottom w:val="nil"/>
              <w:right w:val="nil"/>
            </w:tcBorders>
            <w:shd w:val="clear" w:color="auto" w:fill="auto"/>
            <w:vAlign w:val="center"/>
          </w:tcPr>
          <w:p w14:paraId="5906A87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1.89 (0.77,4.64)</w:t>
            </w:r>
          </w:p>
        </w:tc>
        <w:tc>
          <w:tcPr>
            <w:tcW w:w="1135" w:type="dxa"/>
            <w:tcBorders>
              <w:top w:val="nil"/>
              <w:left w:val="nil"/>
              <w:bottom w:val="nil"/>
              <w:right w:val="nil"/>
            </w:tcBorders>
            <w:shd w:val="clear" w:color="auto" w:fill="auto"/>
            <w:vAlign w:val="center"/>
          </w:tcPr>
          <w:p w14:paraId="6F78DF4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0.165</w:t>
            </w:r>
          </w:p>
        </w:tc>
        <w:tc>
          <w:tcPr>
            <w:tcW w:w="1766" w:type="dxa"/>
            <w:tcBorders>
              <w:top w:val="nil"/>
              <w:left w:val="nil"/>
              <w:bottom w:val="nil"/>
              <w:right w:val="nil"/>
            </w:tcBorders>
            <w:shd w:val="clear" w:color="auto" w:fill="auto"/>
            <w:noWrap/>
            <w:vAlign w:val="center"/>
          </w:tcPr>
          <w:p w14:paraId="0B1A73A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1.01 (0.53,1.90)</w:t>
            </w:r>
          </w:p>
        </w:tc>
        <w:tc>
          <w:tcPr>
            <w:tcW w:w="1177" w:type="dxa"/>
            <w:tcBorders>
              <w:top w:val="nil"/>
              <w:left w:val="nil"/>
              <w:bottom w:val="nil"/>
              <w:right w:val="nil"/>
            </w:tcBorders>
            <w:shd w:val="clear" w:color="auto" w:fill="auto"/>
            <w:noWrap/>
            <w:vAlign w:val="center"/>
          </w:tcPr>
          <w:p w14:paraId="10D44F0D"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0.981</w:t>
            </w:r>
          </w:p>
        </w:tc>
      </w:tr>
      <w:tr w:rsidR="006D50D1" w:rsidRPr="006D50D1" w14:paraId="7DB56C65" w14:textId="77777777" w:rsidTr="00BB4DAF">
        <w:trPr>
          <w:trHeight w:val="20"/>
        </w:trPr>
        <w:tc>
          <w:tcPr>
            <w:tcW w:w="4710" w:type="dxa"/>
            <w:tcBorders>
              <w:top w:val="nil"/>
              <w:left w:val="nil"/>
              <w:bottom w:val="nil"/>
            </w:tcBorders>
            <w:shd w:val="clear" w:color="auto" w:fill="auto"/>
            <w:noWrap/>
            <w:vAlign w:val="center"/>
            <w:hideMark/>
          </w:tcPr>
          <w:p w14:paraId="01B0EF79"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Alcohol consumption**</w:t>
            </w:r>
          </w:p>
        </w:tc>
        <w:tc>
          <w:tcPr>
            <w:tcW w:w="1765" w:type="dxa"/>
            <w:tcBorders>
              <w:top w:val="nil"/>
              <w:left w:val="nil"/>
              <w:bottom w:val="nil"/>
              <w:right w:val="nil"/>
            </w:tcBorders>
            <w:shd w:val="clear" w:color="auto" w:fill="auto"/>
            <w:noWrap/>
            <w:vAlign w:val="center"/>
          </w:tcPr>
          <w:p w14:paraId="7BDF968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1.07 (0.87,1.31)</w:t>
            </w:r>
          </w:p>
        </w:tc>
        <w:tc>
          <w:tcPr>
            <w:tcW w:w="1326" w:type="dxa"/>
            <w:tcBorders>
              <w:top w:val="nil"/>
              <w:left w:val="nil"/>
              <w:bottom w:val="nil"/>
              <w:right w:val="nil"/>
            </w:tcBorders>
            <w:shd w:val="clear" w:color="auto" w:fill="auto"/>
            <w:noWrap/>
            <w:vAlign w:val="center"/>
          </w:tcPr>
          <w:p w14:paraId="4B9E7AE8"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0.545</w:t>
            </w:r>
          </w:p>
        </w:tc>
        <w:tc>
          <w:tcPr>
            <w:tcW w:w="1661" w:type="dxa"/>
            <w:tcBorders>
              <w:top w:val="nil"/>
              <w:left w:val="nil"/>
              <w:bottom w:val="nil"/>
              <w:right w:val="nil"/>
            </w:tcBorders>
            <w:shd w:val="clear" w:color="auto" w:fill="auto"/>
            <w:vAlign w:val="center"/>
          </w:tcPr>
          <w:p w14:paraId="19DDFA2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0.93 (0.75,1.14)</w:t>
            </w:r>
          </w:p>
        </w:tc>
        <w:tc>
          <w:tcPr>
            <w:tcW w:w="1135" w:type="dxa"/>
            <w:tcBorders>
              <w:top w:val="nil"/>
              <w:left w:val="nil"/>
              <w:bottom w:val="nil"/>
              <w:right w:val="nil"/>
            </w:tcBorders>
            <w:shd w:val="clear" w:color="auto" w:fill="auto"/>
            <w:vAlign w:val="center"/>
          </w:tcPr>
          <w:p w14:paraId="73D2D59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0.474</w:t>
            </w:r>
          </w:p>
        </w:tc>
        <w:tc>
          <w:tcPr>
            <w:tcW w:w="1766" w:type="dxa"/>
            <w:tcBorders>
              <w:top w:val="nil"/>
              <w:left w:val="nil"/>
              <w:bottom w:val="nil"/>
              <w:right w:val="nil"/>
            </w:tcBorders>
            <w:shd w:val="clear" w:color="auto" w:fill="auto"/>
            <w:noWrap/>
            <w:vAlign w:val="center"/>
          </w:tcPr>
          <w:p w14:paraId="7A59658F"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0.95 (0.80,1.13)</w:t>
            </w:r>
          </w:p>
        </w:tc>
        <w:tc>
          <w:tcPr>
            <w:tcW w:w="1177" w:type="dxa"/>
            <w:tcBorders>
              <w:top w:val="nil"/>
              <w:left w:val="nil"/>
              <w:bottom w:val="nil"/>
              <w:right w:val="nil"/>
            </w:tcBorders>
            <w:shd w:val="clear" w:color="auto" w:fill="auto"/>
            <w:noWrap/>
            <w:vAlign w:val="center"/>
          </w:tcPr>
          <w:p w14:paraId="529A1F7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0.579</w:t>
            </w:r>
          </w:p>
        </w:tc>
      </w:tr>
      <w:tr w:rsidR="006D50D1" w:rsidRPr="006D50D1" w14:paraId="06C42A9A" w14:textId="77777777" w:rsidTr="00BB4DAF">
        <w:trPr>
          <w:trHeight w:val="20"/>
        </w:trPr>
        <w:tc>
          <w:tcPr>
            <w:tcW w:w="4710" w:type="dxa"/>
            <w:tcBorders>
              <w:top w:val="nil"/>
              <w:left w:val="nil"/>
              <w:bottom w:val="nil"/>
            </w:tcBorders>
            <w:shd w:val="clear" w:color="auto" w:fill="auto"/>
            <w:noWrap/>
            <w:vAlign w:val="center"/>
            <w:hideMark/>
          </w:tcPr>
          <w:p w14:paraId="340C54EE"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Physically active compared to others of similar age**</w:t>
            </w:r>
          </w:p>
        </w:tc>
        <w:tc>
          <w:tcPr>
            <w:tcW w:w="1765" w:type="dxa"/>
            <w:tcBorders>
              <w:top w:val="nil"/>
              <w:left w:val="nil"/>
              <w:bottom w:val="nil"/>
              <w:right w:val="nil"/>
            </w:tcBorders>
            <w:shd w:val="clear" w:color="auto" w:fill="auto"/>
            <w:noWrap/>
            <w:vAlign w:val="center"/>
          </w:tcPr>
          <w:p w14:paraId="5822FA3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0.70 (0.56,0.86)</w:t>
            </w:r>
          </w:p>
        </w:tc>
        <w:tc>
          <w:tcPr>
            <w:tcW w:w="1326" w:type="dxa"/>
            <w:tcBorders>
              <w:top w:val="nil"/>
              <w:left w:val="nil"/>
              <w:bottom w:val="nil"/>
              <w:right w:val="nil"/>
            </w:tcBorders>
            <w:shd w:val="clear" w:color="auto" w:fill="auto"/>
            <w:noWrap/>
            <w:vAlign w:val="center"/>
          </w:tcPr>
          <w:p w14:paraId="50E5DBF5"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0.001</w:t>
            </w:r>
          </w:p>
        </w:tc>
        <w:tc>
          <w:tcPr>
            <w:tcW w:w="1661" w:type="dxa"/>
            <w:tcBorders>
              <w:top w:val="nil"/>
              <w:left w:val="nil"/>
              <w:bottom w:val="nil"/>
              <w:right w:val="nil"/>
            </w:tcBorders>
            <w:shd w:val="clear" w:color="auto" w:fill="auto"/>
            <w:vAlign w:val="center"/>
          </w:tcPr>
          <w:p w14:paraId="1D3426E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0.67 (0.53,0.84)</w:t>
            </w:r>
          </w:p>
        </w:tc>
        <w:tc>
          <w:tcPr>
            <w:tcW w:w="1135" w:type="dxa"/>
            <w:tcBorders>
              <w:top w:val="nil"/>
              <w:left w:val="nil"/>
              <w:bottom w:val="nil"/>
              <w:right w:val="nil"/>
            </w:tcBorders>
            <w:shd w:val="clear" w:color="auto" w:fill="auto"/>
            <w:vAlign w:val="center"/>
          </w:tcPr>
          <w:p w14:paraId="74C4A6FB"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0.001</w:t>
            </w:r>
          </w:p>
        </w:tc>
        <w:tc>
          <w:tcPr>
            <w:tcW w:w="1766" w:type="dxa"/>
            <w:tcBorders>
              <w:top w:val="nil"/>
              <w:left w:val="nil"/>
              <w:bottom w:val="nil"/>
              <w:right w:val="nil"/>
            </w:tcBorders>
            <w:shd w:val="clear" w:color="auto" w:fill="auto"/>
            <w:noWrap/>
            <w:vAlign w:val="center"/>
          </w:tcPr>
          <w:p w14:paraId="3746E73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0.67 (0.56,0.81)</w:t>
            </w:r>
          </w:p>
        </w:tc>
        <w:tc>
          <w:tcPr>
            <w:tcW w:w="1177" w:type="dxa"/>
            <w:tcBorders>
              <w:top w:val="nil"/>
              <w:left w:val="nil"/>
              <w:bottom w:val="nil"/>
              <w:right w:val="nil"/>
            </w:tcBorders>
            <w:shd w:val="clear" w:color="auto" w:fill="auto"/>
            <w:noWrap/>
            <w:vAlign w:val="center"/>
          </w:tcPr>
          <w:p w14:paraId="36200DF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&lt;0.001</w:t>
            </w:r>
          </w:p>
        </w:tc>
      </w:tr>
      <w:tr w:rsidR="006D50D1" w:rsidRPr="006D50D1" w14:paraId="7929C3FA" w14:textId="77777777" w:rsidTr="00BB4DAF">
        <w:trPr>
          <w:trHeight w:val="20"/>
        </w:trPr>
        <w:tc>
          <w:tcPr>
            <w:tcW w:w="4710" w:type="dxa"/>
            <w:tcBorders>
              <w:top w:val="nil"/>
              <w:left w:val="nil"/>
              <w:bottom w:val="nil"/>
            </w:tcBorders>
            <w:shd w:val="clear" w:color="auto" w:fill="auto"/>
            <w:noWrap/>
            <w:vAlign w:val="center"/>
            <w:hideMark/>
          </w:tcPr>
          <w:p w14:paraId="2EA30B12"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Educational attainment**</w:t>
            </w:r>
          </w:p>
        </w:tc>
        <w:tc>
          <w:tcPr>
            <w:tcW w:w="1765" w:type="dxa"/>
            <w:tcBorders>
              <w:top w:val="nil"/>
              <w:left w:val="nil"/>
              <w:bottom w:val="nil"/>
              <w:right w:val="nil"/>
            </w:tcBorders>
            <w:shd w:val="clear" w:color="auto" w:fill="auto"/>
            <w:noWrap/>
            <w:vAlign w:val="center"/>
          </w:tcPr>
          <w:p w14:paraId="3FEC8310"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1.06 (0.90,1.25)</w:t>
            </w:r>
          </w:p>
        </w:tc>
        <w:tc>
          <w:tcPr>
            <w:tcW w:w="1326" w:type="dxa"/>
            <w:tcBorders>
              <w:top w:val="nil"/>
              <w:left w:val="nil"/>
              <w:bottom w:val="nil"/>
              <w:right w:val="nil"/>
            </w:tcBorders>
            <w:shd w:val="clear" w:color="auto" w:fill="auto"/>
            <w:noWrap/>
            <w:vAlign w:val="center"/>
          </w:tcPr>
          <w:p w14:paraId="6F6CC84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0.465</w:t>
            </w:r>
          </w:p>
        </w:tc>
        <w:tc>
          <w:tcPr>
            <w:tcW w:w="1661" w:type="dxa"/>
            <w:tcBorders>
              <w:top w:val="nil"/>
              <w:left w:val="nil"/>
              <w:bottom w:val="nil"/>
              <w:right w:val="nil"/>
            </w:tcBorders>
            <w:shd w:val="clear" w:color="auto" w:fill="auto"/>
            <w:vAlign w:val="center"/>
          </w:tcPr>
          <w:p w14:paraId="3B4BAF2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1.09 (0.92,1.30)</w:t>
            </w:r>
          </w:p>
        </w:tc>
        <w:tc>
          <w:tcPr>
            <w:tcW w:w="1135" w:type="dxa"/>
            <w:tcBorders>
              <w:top w:val="nil"/>
              <w:left w:val="nil"/>
              <w:bottom w:val="nil"/>
              <w:right w:val="nil"/>
            </w:tcBorders>
            <w:shd w:val="clear" w:color="auto" w:fill="auto"/>
            <w:vAlign w:val="center"/>
          </w:tcPr>
          <w:p w14:paraId="618BF62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0.323</w:t>
            </w:r>
          </w:p>
        </w:tc>
        <w:tc>
          <w:tcPr>
            <w:tcW w:w="1766" w:type="dxa"/>
            <w:tcBorders>
              <w:top w:val="nil"/>
              <w:left w:val="nil"/>
              <w:bottom w:val="nil"/>
              <w:right w:val="nil"/>
            </w:tcBorders>
            <w:shd w:val="clear" w:color="auto" w:fill="auto"/>
            <w:noWrap/>
            <w:vAlign w:val="center"/>
          </w:tcPr>
          <w:p w14:paraId="516E7DA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1.09 (0.94,1.26)</w:t>
            </w:r>
          </w:p>
        </w:tc>
        <w:tc>
          <w:tcPr>
            <w:tcW w:w="1177" w:type="dxa"/>
            <w:tcBorders>
              <w:top w:val="nil"/>
              <w:left w:val="nil"/>
              <w:bottom w:val="nil"/>
              <w:right w:val="nil"/>
            </w:tcBorders>
            <w:shd w:val="clear" w:color="auto" w:fill="auto"/>
            <w:noWrap/>
            <w:vAlign w:val="center"/>
          </w:tcPr>
          <w:p w14:paraId="16D80AF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0.249</w:t>
            </w:r>
          </w:p>
        </w:tc>
      </w:tr>
      <w:tr w:rsidR="006D50D1" w:rsidRPr="006D50D1" w14:paraId="182F428F" w14:textId="77777777" w:rsidTr="00BB4DAF">
        <w:trPr>
          <w:trHeight w:val="20"/>
        </w:trPr>
        <w:tc>
          <w:tcPr>
            <w:tcW w:w="4710" w:type="dxa"/>
            <w:tcBorders>
              <w:top w:val="nil"/>
              <w:left w:val="nil"/>
              <w:bottom w:val="nil"/>
            </w:tcBorders>
            <w:shd w:val="clear" w:color="auto" w:fill="auto"/>
            <w:noWrap/>
            <w:vAlign w:val="center"/>
            <w:hideMark/>
          </w:tcPr>
          <w:p w14:paraId="52503FA3"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Current use of anti-osteoporotic medication</w:t>
            </w:r>
          </w:p>
        </w:tc>
        <w:tc>
          <w:tcPr>
            <w:tcW w:w="1765" w:type="dxa"/>
            <w:tcBorders>
              <w:top w:val="nil"/>
              <w:left w:val="nil"/>
              <w:bottom w:val="nil"/>
              <w:right w:val="nil"/>
            </w:tcBorders>
            <w:shd w:val="clear" w:color="auto" w:fill="auto"/>
            <w:noWrap/>
            <w:vAlign w:val="center"/>
          </w:tcPr>
          <w:p w14:paraId="6BA626C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2.60 (1.79,3.79)</w:t>
            </w:r>
          </w:p>
        </w:tc>
        <w:tc>
          <w:tcPr>
            <w:tcW w:w="1326" w:type="dxa"/>
            <w:tcBorders>
              <w:top w:val="nil"/>
              <w:left w:val="nil"/>
              <w:bottom w:val="nil"/>
              <w:right w:val="nil"/>
            </w:tcBorders>
            <w:shd w:val="clear" w:color="auto" w:fill="auto"/>
            <w:noWrap/>
            <w:vAlign w:val="center"/>
          </w:tcPr>
          <w:p w14:paraId="6029B272"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&lt;0.001</w:t>
            </w:r>
          </w:p>
        </w:tc>
        <w:tc>
          <w:tcPr>
            <w:tcW w:w="1661" w:type="dxa"/>
            <w:tcBorders>
              <w:top w:val="nil"/>
              <w:left w:val="nil"/>
              <w:bottom w:val="nil"/>
              <w:right w:val="nil"/>
            </w:tcBorders>
            <w:shd w:val="clear" w:color="auto" w:fill="auto"/>
            <w:vAlign w:val="center"/>
          </w:tcPr>
          <w:p w14:paraId="3AAFB4D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N/A</w:t>
            </w:r>
          </w:p>
        </w:tc>
        <w:tc>
          <w:tcPr>
            <w:tcW w:w="1135" w:type="dxa"/>
            <w:tcBorders>
              <w:top w:val="nil"/>
              <w:left w:val="nil"/>
              <w:bottom w:val="nil"/>
              <w:right w:val="nil"/>
            </w:tcBorders>
            <w:shd w:val="clear" w:color="auto" w:fill="auto"/>
            <w:vAlign w:val="center"/>
          </w:tcPr>
          <w:p w14:paraId="01B8F4B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N/A</w:t>
            </w:r>
          </w:p>
        </w:tc>
        <w:tc>
          <w:tcPr>
            <w:tcW w:w="1766" w:type="dxa"/>
            <w:tcBorders>
              <w:top w:val="nil"/>
              <w:left w:val="nil"/>
              <w:bottom w:val="nil"/>
              <w:right w:val="nil"/>
            </w:tcBorders>
            <w:shd w:val="clear" w:color="auto" w:fill="auto"/>
            <w:noWrap/>
            <w:vAlign w:val="center"/>
          </w:tcPr>
          <w:p w14:paraId="2F9015AD"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N/A</w:t>
            </w:r>
          </w:p>
        </w:tc>
        <w:tc>
          <w:tcPr>
            <w:tcW w:w="1177" w:type="dxa"/>
            <w:tcBorders>
              <w:top w:val="nil"/>
              <w:left w:val="nil"/>
              <w:bottom w:val="nil"/>
              <w:right w:val="nil"/>
            </w:tcBorders>
            <w:shd w:val="clear" w:color="auto" w:fill="auto"/>
            <w:noWrap/>
            <w:vAlign w:val="center"/>
          </w:tcPr>
          <w:p w14:paraId="459C4C7D"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N/A</w:t>
            </w:r>
          </w:p>
        </w:tc>
      </w:tr>
      <w:tr w:rsidR="006D50D1" w:rsidRPr="006D50D1" w14:paraId="505A18F9" w14:textId="77777777" w:rsidTr="00BB4DAF">
        <w:trPr>
          <w:trHeight w:val="20"/>
        </w:trPr>
        <w:tc>
          <w:tcPr>
            <w:tcW w:w="4710" w:type="dxa"/>
            <w:tcBorders>
              <w:top w:val="nil"/>
              <w:left w:val="nil"/>
              <w:bottom w:val="nil"/>
            </w:tcBorders>
            <w:shd w:val="clear" w:color="auto" w:fill="auto"/>
            <w:noWrap/>
            <w:vAlign w:val="center"/>
            <w:hideMark/>
          </w:tcPr>
          <w:p w14:paraId="6819380C"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Ever used estrogen/hormone replacement therapy</w:t>
            </w:r>
          </w:p>
        </w:tc>
        <w:tc>
          <w:tcPr>
            <w:tcW w:w="1765" w:type="dxa"/>
            <w:tcBorders>
              <w:top w:val="nil"/>
              <w:left w:val="nil"/>
              <w:bottom w:val="nil"/>
              <w:right w:val="nil"/>
            </w:tcBorders>
            <w:shd w:val="clear" w:color="auto" w:fill="auto"/>
            <w:noWrap/>
            <w:vAlign w:val="center"/>
          </w:tcPr>
          <w:p w14:paraId="2A8804D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1.41 (0.96,2.09)</w:t>
            </w:r>
          </w:p>
        </w:tc>
        <w:tc>
          <w:tcPr>
            <w:tcW w:w="1326" w:type="dxa"/>
            <w:tcBorders>
              <w:top w:val="nil"/>
              <w:left w:val="nil"/>
              <w:bottom w:val="nil"/>
              <w:right w:val="nil"/>
            </w:tcBorders>
            <w:shd w:val="clear" w:color="auto" w:fill="auto"/>
            <w:noWrap/>
            <w:vAlign w:val="center"/>
          </w:tcPr>
          <w:p w14:paraId="3F2F90B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0.083</w:t>
            </w:r>
          </w:p>
        </w:tc>
        <w:tc>
          <w:tcPr>
            <w:tcW w:w="1661" w:type="dxa"/>
            <w:tcBorders>
              <w:top w:val="nil"/>
              <w:left w:val="nil"/>
              <w:bottom w:val="nil"/>
              <w:right w:val="nil"/>
            </w:tcBorders>
            <w:shd w:val="clear" w:color="auto" w:fill="auto"/>
            <w:vAlign w:val="center"/>
          </w:tcPr>
          <w:p w14:paraId="1ECE9A30"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1.49 (0.98,2.27)</w:t>
            </w:r>
          </w:p>
        </w:tc>
        <w:tc>
          <w:tcPr>
            <w:tcW w:w="1135" w:type="dxa"/>
            <w:tcBorders>
              <w:top w:val="nil"/>
              <w:left w:val="nil"/>
              <w:bottom w:val="nil"/>
              <w:right w:val="nil"/>
            </w:tcBorders>
            <w:shd w:val="clear" w:color="auto" w:fill="auto"/>
            <w:vAlign w:val="center"/>
          </w:tcPr>
          <w:p w14:paraId="76FDECA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0.065</w:t>
            </w:r>
          </w:p>
        </w:tc>
        <w:tc>
          <w:tcPr>
            <w:tcW w:w="1766" w:type="dxa"/>
            <w:tcBorders>
              <w:top w:val="nil"/>
              <w:left w:val="nil"/>
              <w:bottom w:val="nil"/>
              <w:right w:val="nil"/>
            </w:tcBorders>
            <w:shd w:val="clear" w:color="auto" w:fill="auto"/>
            <w:noWrap/>
            <w:vAlign w:val="center"/>
          </w:tcPr>
          <w:p w14:paraId="066C3B2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1.35 (0.96,1.89)</w:t>
            </w:r>
          </w:p>
        </w:tc>
        <w:tc>
          <w:tcPr>
            <w:tcW w:w="1177" w:type="dxa"/>
            <w:tcBorders>
              <w:top w:val="nil"/>
              <w:left w:val="nil"/>
              <w:bottom w:val="nil"/>
              <w:right w:val="nil"/>
            </w:tcBorders>
            <w:shd w:val="clear" w:color="auto" w:fill="auto"/>
            <w:noWrap/>
            <w:vAlign w:val="center"/>
          </w:tcPr>
          <w:p w14:paraId="012700E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0.086</w:t>
            </w:r>
          </w:p>
        </w:tc>
      </w:tr>
      <w:tr w:rsidR="006D50D1" w:rsidRPr="006D50D1" w14:paraId="18C916D0" w14:textId="77777777" w:rsidTr="00BB4DAF">
        <w:trPr>
          <w:trHeight w:val="20"/>
        </w:trPr>
        <w:tc>
          <w:tcPr>
            <w:tcW w:w="4710" w:type="dxa"/>
            <w:tcBorders>
              <w:top w:val="nil"/>
              <w:left w:val="nil"/>
              <w:bottom w:val="nil"/>
            </w:tcBorders>
            <w:shd w:val="clear" w:color="auto" w:fill="auto"/>
            <w:noWrap/>
            <w:vAlign w:val="center"/>
            <w:hideMark/>
          </w:tcPr>
          <w:p w14:paraId="2B7CE2C0"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Currently taking calcium supplements</w:t>
            </w:r>
          </w:p>
        </w:tc>
        <w:tc>
          <w:tcPr>
            <w:tcW w:w="1765" w:type="dxa"/>
            <w:tcBorders>
              <w:top w:val="nil"/>
              <w:left w:val="nil"/>
              <w:bottom w:val="nil"/>
              <w:right w:val="nil"/>
            </w:tcBorders>
            <w:shd w:val="clear" w:color="auto" w:fill="auto"/>
            <w:noWrap/>
            <w:vAlign w:val="center"/>
          </w:tcPr>
          <w:p w14:paraId="711399F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1.48 (1.02,2.13)</w:t>
            </w:r>
          </w:p>
        </w:tc>
        <w:tc>
          <w:tcPr>
            <w:tcW w:w="1326" w:type="dxa"/>
            <w:tcBorders>
              <w:top w:val="nil"/>
              <w:left w:val="nil"/>
              <w:bottom w:val="nil"/>
              <w:right w:val="nil"/>
            </w:tcBorders>
            <w:shd w:val="clear" w:color="auto" w:fill="auto"/>
            <w:noWrap/>
            <w:vAlign w:val="center"/>
          </w:tcPr>
          <w:p w14:paraId="18069E1B"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0.038</w:t>
            </w:r>
          </w:p>
        </w:tc>
        <w:tc>
          <w:tcPr>
            <w:tcW w:w="1661" w:type="dxa"/>
            <w:tcBorders>
              <w:top w:val="nil"/>
              <w:left w:val="nil"/>
              <w:bottom w:val="nil"/>
              <w:right w:val="nil"/>
            </w:tcBorders>
            <w:shd w:val="clear" w:color="auto" w:fill="auto"/>
            <w:vAlign w:val="center"/>
          </w:tcPr>
          <w:p w14:paraId="50EC3192"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1.49 (0.98,2.27)</w:t>
            </w:r>
          </w:p>
        </w:tc>
        <w:tc>
          <w:tcPr>
            <w:tcW w:w="1135" w:type="dxa"/>
            <w:tcBorders>
              <w:top w:val="nil"/>
              <w:left w:val="nil"/>
              <w:bottom w:val="nil"/>
              <w:right w:val="nil"/>
            </w:tcBorders>
            <w:shd w:val="clear" w:color="auto" w:fill="auto"/>
            <w:vAlign w:val="center"/>
          </w:tcPr>
          <w:p w14:paraId="10369DF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0.062</w:t>
            </w:r>
          </w:p>
        </w:tc>
        <w:tc>
          <w:tcPr>
            <w:tcW w:w="1766" w:type="dxa"/>
            <w:tcBorders>
              <w:top w:val="nil"/>
              <w:left w:val="nil"/>
              <w:bottom w:val="nil"/>
              <w:right w:val="nil"/>
            </w:tcBorders>
            <w:shd w:val="clear" w:color="auto" w:fill="auto"/>
            <w:noWrap/>
            <w:vAlign w:val="center"/>
          </w:tcPr>
          <w:p w14:paraId="1A578E4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1.42 (1.03,1.95)</w:t>
            </w:r>
          </w:p>
        </w:tc>
        <w:tc>
          <w:tcPr>
            <w:tcW w:w="1177" w:type="dxa"/>
            <w:tcBorders>
              <w:top w:val="nil"/>
              <w:left w:val="nil"/>
              <w:bottom w:val="nil"/>
              <w:right w:val="nil"/>
            </w:tcBorders>
            <w:shd w:val="clear" w:color="auto" w:fill="auto"/>
            <w:noWrap/>
            <w:vAlign w:val="center"/>
          </w:tcPr>
          <w:p w14:paraId="2BF95F48"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0.033</w:t>
            </w:r>
          </w:p>
        </w:tc>
      </w:tr>
      <w:tr w:rsidR="006D50D1" w:rsidRPr="006D50D1" w14:paraId="55653B43" w14:textId="77777777" w:rsidTr="00BB4DAF">
        <w:trPr>
          <w:trHeight w:val="20"/>
        </w:trPr>
        <w:tc>
          <w:tcPr>
            <w:tcW w:w="4710" w:type="dxa"/>
            <w:tcBorders>
              <w:top w:val="nil"/>
              <w:left w:val="nil"/>
              <w:bottom w:val="nil"/>
            </w:tcBorders>
            <w:shd w:val="clear" w:color="auto" w:fill="auto"/>
            <w:noWrap/>
            <w:vAlign w:val="center"/>
            <w:hideMark/>
          </w:tcPr>
          <w:p w14:paraId="757CF23D"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Currently taking Vit D/multivitamin with Vit D</w:t>
            </w:r>
          </w:p>
        </w:tc>
        <w:tc>
          <w:tcPr>
            <w:tcW w:w="1765" w:type="dxa"/>
            <w:tcBorders>
              <w:top w:val="nil"/>
              <w:left w:val="nil"/>
              <w:bottom w:val="nil"/>
              <w:right w:val="nil"/>
            </w:tcBorders>
            <w:shd w:val="clear" w:color="auto" w:fill="auto"/>
            <w:noWrap/>
            <w:vAlign w:val="center"/>
          </w:tcPr>
          <w:p w14:paraId="556615B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1.57 (1.04,2.36)</w:t>
            </w:r>
          </w:p>
        </w:tc>
        <w:tc>
          <w:tcPr>
            <w:tcW w:w="1326" w:type="dxa"/>
            <w:tcBorders>
              <w:top w:val="nil"/>
              <w:left w:val="nil"/>
              <w:bottom w:val="nil"/>
              <w:right w:val="nil"/>
            </w:tcBorders>
            <w:shd w:val="clear" w:color="auto" w:fill="auto"/>
            <w:noWrap/>
            <w:vAlign w:val="center"/>
          </w:tcPr>
          <w:p w14:paraId="485B8AD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0.032</w:t>
            </w:r>
          </w:p>
        </w:tc>
        <w:tc>
          <w:tcPr>
            <w:tcW w:w="1661" w:type="dxa"/>
            <w:tcBorders>
              <w:top w:val="nil"/>
              <w:left w:val="nil"/>
              <w:bottom w:val="nil"/>
              <w:right w:val="nil"/>
            </w:tcBorders>
            <w:shd w:val="clear" w:color="auto" w:fill="auto"/>
            <w:vAlign w:val="center"/>
          </w:tcPr>
          <w:p w14:paraId="7AEAE60C"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1.49 (0.95,2.32)</w:t>
            </w:r>
          </w:p>
        </w:tc>
        <w:tc>
          <w:tcPr>
            <w:tcW w:w="1135" w:type="dxa"/>
            <w:tcBorders>
              <w:top w:val="nil"/>
              <w:left w:val="nil"/>
              <w:bottom w:val="nil"/>
              <w:right w:val="nil"/>
            </w:tcBorders>
            <w:shd w:val="clear" w:color="auto" w:fill="auto"/>
            <w:vAlign w:val="center"/>
          </w:tcPr>
          <w:p w14:paraId="2088492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0.080</w:t>
            </w:r>
          </w:p>
        </w:tc>
        <w:tc>
          <w:tcPr>
            <w:tcW w:w="1766" w:type="dxa"/>
            <w:tcBorders>
              <w:top w:val="nil"/>
              <w:left w:val="nil"/>
              <w:bottom w:val="nil"/>
              <w:right w:val="nil"/>
            </w:tcBorders>
            <w:shd w:val="clear" w:color="auto" w:fill="auto"/>
            <w:noWrap/>
            <w:vAlign w:val="center"/>
          </w:tcPr>
          <w:p w14:paraId="276C361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1.48 (1.03,2.13)</w:t>
            </w:r>
          </w:p>
        </w:tc>
        <w:tc>
          <w:tcPr>
            <w:tcW w:w="1177" w:type="dxa"/>
            <w:tcBorders>
              <w:top w:val="nil"/>
              <w:left w:val="nil"/>
              <w:bottom w:val="nil"/>
              <w:right w:val="nil"/>
            </w:tcBorders>
            <w:shd w:val="clear" w:color="auto" w:fill="auto"/>
            <w:noWrap/>
            <w:vAlign w:val="center"/>
          </w:tcPr>
          <w:p w14:paraId="7D62E12B"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0.033</w:t>
            </w:r>
          </w:p>
        </w:tc>
      </w:tr>
      <w:tr w:rsidR="006D50D1" w:rsidRPr="006D50D1" w14:paraId="6DD6EE7C" w14:textId="77777777" w:rsidTr="00BB4DAF">
        <w:trPr>
          <w:trHeight w:val="20"/>
        </w:trPr>
        <w:tc>
          <w:tcPr>
            <w:tcW w:w="4710" w:type="dxa"/>
            <w:tcBorders>
              <w:top w:val="nil"/>
              <w:left w:val="nil"/>
              <w:bottom w:val="nil"/>
            </w:tcBorders>
            <w:shd w:val="clear" w:color="auto" w:fill="auto"/>
            <w:noWrap/>
            <w:vAlign w:val="center"/>
            <w:hideMark/>
          </w:tcPr>
          <w:p w14:paraId="279F50EF"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Years since menopause**</w:t>
            </w:r>
          </w:p>
        </w:tc>
        <w:tc>
          <w:tcPr>
            <w:tcW w:w="1765" w:type="dxa"/>
            <w:tcBorders>
              <w:top w:val="nil"/>
              <w:left w:val="nil"/>
              <w:bottom w:val="nil"/>
              <w:right w:val="nil"/>
            </w:tcBorders>
            <w:shd w:val="clear" w:color="auto" w:fill="auto"/>
            <w:noWrap/>
            <w:vAlign w:val="center"/>
          </w:tcPr>
          <w:p w14:paraId="25F0A144"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0.96 (0.79,1.17)</w:t>
            </w:r>
          </w:p>
        </w:tc>
        <w:tc>
          <w:tcPr>
            <w:tcW w:w="1326" w:type="dxa"/>
            <w:tcBorders>
              <w:top w:val="nil"/>
              <w:left w:val="nil"/>
              <w:bottom w:val="nil"/>
              <w:right w:val="nil"/>
            </w:tcBorders>
            <w:shd w:val="clear" w:color="auto" w:fill="auto"/>
            <w:noWrap/>
            <w:vAlign w:val="center"/>
          </w:tcPr>
          <w:p w14:paraId="1B67694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0.682</w:t>
            </w:r>
          </w:p>
        </w:tc>
        <w:tc>
          <w:tcPr>
            <w:tcW w:w="1661" w:type="dxa"/>
            <w:tcBorders>
              <w:top w:val="nil"/>
              <w:left w:val="nil"/>
              <w:bottom w:val="nil"/>
              <w:right w:val="nil"/>
            </w:tcBorders>
            <w:shd w:val="clear" w:color="auto" w:fill="auto"/>
            <w:vAlign w:val="center"/>
          </w:tcPr>
          <w:p w14:paraId="693E656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0.99 (0.80,1.22)</w:t>
            </w:r>
          </w:p>
        </w:tc>
        <w:tc>
          <w:tcPr>
            <w:tcW w:w="1135" w:type="dxa"/>
            <w:tcBorders>
              <w:top w:val="nil"/>
              <w:left w:val="nil"/>
              <w:bottom w:val="nil"/>
              <w:right w:val="nil"/>
            </w:tcBorders>
            <w:shd w:val="clear" w:color="auto" w:fill="auto"/>
            <w:vAlign w:val="center"/>
          </w:tcPr>
          <w:p w14:paraId="19C57C2F"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0.908</w:t>
            </w:r>
          </w:p>
        </w:tc>
        <w:tc>
          <w:tcPr>
            <w:tcW w:w="1766" w:type="dxa"/>
            <w:tcBorders>
              <w:top w:val="nil"/>
              <w:left w:val="nil"/>
              <w:bottom w:val="nil"/>
              <w:right w:val="nil"/>
            </w:tcBorders>
            <w:shd w:val="clear" w:color="auto" w:fill="auto"/>
            <w:noWrap/>
            <w:vAlign w:val="center"/>
          </w:tcPr>
          <w:p w14:paraId="4839E76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0.99 (0.83,1.17)</w:t>
            </w:r>
          </w:p>
        </w:tc>
        <w:tc>
          <w:tcPr>
            <w:tcW w:w="1177" w:type="dxa"/>
            <w:tcBorders>
              <w:top w:val="nil"/>
              <w:left w:val="nil"/>
              <w:bottom w:val="nil"/>
              <w:right w:val="nil"/>
            </w:tcBorders>
            <w:shd w:val="clear" w:color="auto" w:fill="auto"/>
            <w:noWrap/>
            <w:vAlign w:val="center"/>
          </w:tcPr>
          <w:p w14:paraId="706F031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0.895</w:t>
            </w:r>
          </w:p>
        </w:tc>
      </w:tr>
      <w:tr w:rsidR="006D50D1" w:rsidRPr="006D50D1" w14:paraId="6BC30AE7" w14:textId="77777777" w:rsidTr="00BB4DAF">
        <w:trPr>
          <w:trHeight w:val="20"/>
        </w:trPr>
        <w:tc>
          <w:tcPr>
            <w:tcW w:w="4710" w:type="dxa"/>
            <w:tcBorders>
              <w:top w:val="nil"/>
              <w:left w:val="nil"/>
              <w:bottom w:val="nil"/>
            </w:tcBorders>
            <w:shd w:val="clear" w:color="auto" w:fill="auto"/>
            <w:noWrap/>
            <w:vAlign w:val="center"/>
            <w:hideMark/>
          </w:tcPr>
          <w:p w14:paraId="6987F691"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Falls in previous 12 months**</w:t>
            </w:r>
          </w:p>
        </w:tc>
        <w:tc>
          <w:tcPr>
            <w:tcW w:w="1765" w:type="dxa"/>
            <w:tcBorders>
              <w:top w:val="nil"/>
              <w:left w:val="nil"/>
              <w:bottom w:val="nil"/>
              <w:right w:val="nil"/>
            </w:tcBorders>
            <w:shd w:val="clear" w:color="auto" w:fill="auto"/>
            <w:noWrap/>
            <w:vAlign w:val="center"/>
          </w:tcPr>
          <w:p w14:paraId="200B0BB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1.10 (0.89,1.36)</w:t>
            </w:r>
          </w:p>
        </w:tc>
        <w:tc>
          <w:tcPr>
            <w:tcW w:w="1326" w:type="dxa"/>
            <w:tcBorders>
              <w:top w:val="nil"/>
              <w:left w:val="nil"/>
              <w:bottom w:val="nil"/>
              <w:right w:val="nil"/>
            </w:tcBorders>
            <w:shd w:val="clear" w:color="auto" w:fill="auto"/>
            <w:noWrap/>
            <w:vAlign w:val="center"/>
          </w:tcPr>
          <w:p w14:paraId="62CC582B"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0.370</w:t>
            </w:r>
          </w:p>
        </w:tc>
        <w:tc>
          <w:tcPr>
            <w:tcW w:w="1661" w:type="dxa"/>
            <w:tcBorders>
              <w:top w:val="nil"/>
              <w:left w:val="nil"/>
              <w:bottom w:val="nil"/>
              <w:right w:val="nil"/>
            </w:tcBorders>
            <w:shd w:val="clear" w:color="auto" w:fill="auto"/>
            <w:vAlign w:val="center"/>
          </w:tcPr>
          <w:p w14:paraId="545F65C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1.10 (0.86,1.39)</w:t>
            </w:r>
          </w:p>
        </w:tc>
        <w:tc>
          <w:tcPr>
            <w:tcW w:w="1135" w:type="dxa"/>
            <w:tcBorders>
              <w:top w:val="nil"/>
              <w:left w:val="nil"/>
              <w:bottom w:val="nil"/>
              <w:right w:val="nil"/>
            </w:tcBorders>
            <w:shd w:val="clear" w:color="auto" w:fill="auto"/>
            <w:vAlign w:val="center"/>
          </w:tcPr>
          <w:p w14:paraId="6AD05C4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0.455</w:t>
            </w:r>
          </w:p>
        </w:tc>
        <w:tc>
          <w:tcPr>
            <w:tcW w:w="1766" w:type="dxa"/>
            <w:tcBorders>
              <w:top w:val="nil"/>
              <w:left w:val="nil"/>
              <w:bottom w:val="nil"/>
              <w:right w:val="nil"/>
            </w:tcBorders>
            <w:shd w:val="clear" w:color="auto" w:fill="auto"/>
            <w:noWrap/>
            <w:vAlign w:val="center"/>
          </w:tcPr>
          <w:p w14:paraId="56721472"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1.19 (0.99,1.44)</w:t>
            </w:r>
          </w:p>
        </w:tc>
        <w:tc>
          <w:tcPr>
            <w:tcW w:w="1177" w:type="dxa"/>
            <w:tcBorders>
              <w:top w:val="nil"/>
              <w:left w:val="nil"/>
              <w:bottom w:val="nil"/>
              <w:right w:val="nil"/>
            </w:tcBorders>
            <w:shd w:val="clear" w:color="auto" w:fill="auto"/>
            <w:noWrap/>
            <w:vAlign w:val="center"/>
          </w:tcPr>
          <w:p w14:paraId="718739D8"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0.066</w:t>
            </w:r>
          </w:p>
        </w:tc>
      </w:tr>
      <w:tr w:rsidR="006D50D1" w:rsidRPr="006D50D1" w14:paraId="57711158" w14:textId="77777777" w:rsidTr="00BB4DAF">
        <w:trPr>
          <w:trHeight w:val="20"/>
        </w:trPr>
        <w:tc>
          <w:tcPr>
            <w:tcW w:w="4710" w:type="dxa"/>
            <w:tcBorders>
              <w:top w:val="nil"/>
              <w:left w:val="nil"/>
              <w:bottom w:val="nil"/>
            </w:tcBorders>
            <w:shd w:val="clear" w:color="auto" w:fill="auto"/>
            <w:noWrap/>
            <w:vAlign w:val="center"/>
            <w:hideMark/>
          </w:tcPr>
          <w:p w14:paraId="34862E70"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Fracture since 45 years</w:t>
            </w:r>
          </w:p>
        </w:tc>
        <w:tc>
          <w:tcPr>
            <w:tcW w:w="1765" w:type="dxa"/>
            <w:tcBorders>
              <w:top w:val="nil"/>
              <w:left w:val="nil"/>
              <w:bottom w:val="nil"/>
              <w:right w:val="nil"/>
            </w:tcBorders>
            <w:shd w:val="clear" w:color="auto" w:fill="auto"/>
            <w:noWrap/>
            <w:vAlign w:val="center"/>
          </w:tcPr>
          <w:p w14:paraId="1AB05588"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1.85 (1.28,2.66)</w:t>
            </w:r>
          </w:p>
        </w:tc>
        <w:tc>
          <w:tcPr>
            <w:tcW w:w="1326" w:type="dxa"/>
            <w:tcBorders>
              <w:top w:val="nil"/>
              <w:left w:val="nil"/>
              <w:bottom w:val="nil"/>
              <w:right w:val="nil"/>
            </w:tcBorders>
            <w:shd w:val="clear" w:color="auto" w:fill="auto"/>
            <w:noWrap/>
            <w:vAlign w:val="center"/>
          </w:tcPr>
          <w:p w14:paraId="79CE09E2"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0.001</w:t>
            </w:r>
          </w:p>
        </w:tc>
        <w:tc>
          <w:tcPr>
            <w:tcW w:w="1661" w:type="dxa"/>
            <w:tcBorders>
              <w:top w:val="nil"/>
              <w:left w:val="nil"/>
              <w:bottom w:val="nil"/>
              <w:right w:val="nil"/>
            </w:tcBorders>
            <w:shd w:val="clear" w:color="auto" w:fill="auto"/>
            <w:vAlign w:val="center"/>
          </w:tcPr>
          <w:p w14:paraId="705E2E3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1.43 (0.97,2.12)</w:t>
            </w:r>
          </w:p>
        </w:tc>
        <w:tc>
          <w:tcPr>
            <w:tcW w:w="1135" w:type="dxa"/>
            <w:tcBorders>
              <w:top w:val="nil"/>
              <w:left w:val="nil"/>
              <w:bottom w:val="nil"/>
              <w:right w:val="nil"/>
            </w:tcBorders>
            <w:shd w:val="clear" w:color="auto" w:fill="auto"/>
            <w:vAlign w:val="center"/>
          </w:tcPr>
          <w:p w14:paraId="6820E63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0.071</w:t>
            </w:r>
          </w:p>
        </w:tc>
        <w:tc>
          <w:tcPr>
            <w:tcW w:w="1766" w:type="dxa"/>
            <w:tcBorders>
              <w:top w:val="nil"/>
              <w:left w:val="nil"/>
              <w:bottom w:val="nil"/>
              <w:right w:val="nil"/>
            </w:tcBorders>
            <w:shd w:val="clear" w:color="auto" w:fill="auto"/>
            <w:noWrap/>
            <w:vAlign w:val="center"/>
          </w:tcPr>
          <w:p w14:paraId="512C1F19"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1.79 (1.30,2.47)</w:t>
            </w:r>
          </w:p>
        </w:tc>
        <w:tc>
          <w:tcPr>
            <w:tcW w:w="1177" w:type="dxa"/>
            <w:tcBorders>
              <w:top w:val="nil"/>
              <w:left w:val="nil"/>
              <w:bottom w:val="nil"/>
              <w:right w:val="nil"/>
            </w:tcBorders>
            <w:shd w:val="clear" w:color="auto" w:fill="auto"/>
            <w:noWrap/>
            <w:vAlign w:val="center"/>
          </w:tcPr>
          <w:p w14:paraId="24B1E37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&lt;0.001</w:t>
            </w:r>
          </w:p>
        </w:tc>
      </w:tr>
      <w:tr w:rsidR="006D50D1" w:rsidRPr="006D50D1" w14:paraId="496682ED" w14:textId="77777777" w:rsidTr="00BB4DAF">
        <w:trPr>
          <w:trHeight w:val="20"/>
        </w:trPr>
        <w:tc>
          <w:tcPr>
            <w:tcW w:w="4710" w:type="dxa"/>
            <w:tcBorders>
              <w:top w:val="nil"/>
              <w:left w:val="nil"/>
            </w:tcBorders>
            <w:shd w:val="clear" w:color="auto" w:fill="auto"/>
            <w:noWrap/>
            <w:vAlign w:val="center"/>
            <w:hideMark/>
          </w:tcPr>
          <w:p w14:paraId="27B33C21"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Family history of hip fracture</w:t>
            </w:r>
          </w:p>
        </w:tc>
        <w:tc>
          <w:tcPr>
            <w:tcW w:w="1765" w:type="dxa"/>
            <w:tcBorders>
              <w:top w:val="nil"/>
              <w:left w:val="nil"/>
              <w:bottom w:val="nil"/>
              <w:right w:val="nil"/>
            </w:tcBorders>
            <w:shd w:val="clear" w:color="auto" w:fill="auto"/>
            <w:noWrap/>
            <w:vAlign w:val="center"/>
          </w:tcPr>
          <w:p w14:paraId="22168BB1"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1.09 (0.68,1.77)</w:t>
            </w:r>
          </w:p>
        </w:tc>
        <w:tc>
          <w:tcPr>
            <w:tcW w:w="1326" w:type="dxa"/>
            <w:tcBorders>
              <w:top w:val="nil"/>
              <w:left w:val="nil"/>
              <w:bottom w:val="nil"/>
              <w:right w:val="nil"/>
            </w:tcBorders>
            <w:shd w:val="clear" w:color="auto" w:fill="auto"/>
            <w:noWrap/>
            <w:vAlign w:val="center"/>
          </w:tcPr>
          <w:p w14:paraId="55F9C6A3"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0.717</w:t>
            </w:r>
          </w:p>
        </w:tc>
        <w:tc>
          <w:tcPr>
            <w:tcW w:w="1661" w:type="dxa"/>
            <w:tcBorders>
              <w:top w:val="nil"/>
              <w:left w:val="nil"/>
              <w:bottom w:val="nil"/>
              <w:right w:val="nil"/>
            </w:tcBorders>
            <w:shd w:val="clear" w:color="auto" w:fill="auto"/>
            <w:vAlign w:val="center"/>
          </w:tcPr>
          <w:p w14:paraId="6A46440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1.03 (0.61,1.73)</w:t>
            </w:r>
          </w:p>
        </w:tc>
        <w:tc>
          <w:tcPr>
            <w:tcW w:w="1135" w:type="dxa"/>
            <w:tcBorders>
              <w:top w:val="nil"/>
              <w:left w:val="nil"/>
              <w:bottom w:val="nil"/>
              <w:right w:val="nil"/>
            </w:tcBorders>
            <w:shd w:val="clear" w:color="auto" w:fill="auto"/>
            <w:vAlign w:val="center"/>
          </w:tcPr>
          <w:p w14:paraId="24AD11E5"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0.922</w:t>
            </w:r>
          </w:p>
        </w:tc>
        <w:tc>
          <w:tcPr>
            <w:tcW w:w="1766" w:type="dxa"/>
            <w:tcBorders>
              <w:top w:val="nil"/>
              <w:left w:val="nil"/>
              <w:bottom w:val="nil"/>
              <w:right w:val="nil"/>
            </w:tcBorders>
            <w:shd w:val="clear" w:color="auto" w:fill="auto"/>
            <w:noWrap/>
            <w:vAlign w:val="center"/>
          </w:tcPr>
          <w:p w14:paraId="1E944500"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1.18 (0.77,1.82)</w:t>
            </w:r>
          </w:p>
        </w:tc>
        <w:tc>
          <w:tcPr>
            <w:tcW w:w="1177" w:type="dxa"/>
            <w:tcBorders>
              <w:top w:val="nil"/>
              <w:left w:val="nil"/>
              <w:bottom w:val="nil"/>
              <w:right w:val="nil"/>
            </w:tcBorders>
            <w:shd w:val="clear" w:color="auto" w:fill="auto"/>
            <w:noWrap/>
            <w:vAlign w:val="center"/>
          </w:tcPr>
          <w:p w14:paraId="3927DD6D"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0.453</w:t>
            </w:r>
          </w:p>
        </w:tc>
      </w:tr>
      <w:tr w:rsidR="006D50D1" w:rsidRPr="006D50D1" w14:paraId="1DDFC8D6" w14:textId="77777777" w:rsidTr="00BB4DAF">
        <w:trPr>
          <w:trHeight w:val="20"/>
        </w:trPr>
        <w:tc>
          <w:tcPr>
            <w:tcW w:w="4710" w:type="dxa"/>
            <w:tcBorders>
              <w:top w:val="nil"/>
              <w:left w:val="nil"/>
            </w:tcBorders>
            <w:shd w:val="clear" w:color="auto" w:fill="auto"/>
            <w:noWrap/>
            <w:vAlign w:val="center"/>
          </w:tcPr>
          <w:p w14:paraId="7CB9A040"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color w:val="000000"/>
                <w:sz w:val="19"/>
                <w:szCs w:val="19"/>
              </w:rPr>
              <w:t>FRAX 10-year probability (MOF)</w:t>
            </w:r>
            <w:r w:rsidRPr="006D50D1">
              <w:rPr>
                <w:rFonts w:ascii="Times New Roman" w:hAnsi="Times New Roman"/>
                <w:sz w:val="19"/>
                <w:szCs w:val="19"/>
              </w:rPr>
              <w:t>*</w:t>
            </w:r>
          </w:p>
        </w:tc>
        <w:tc>
          <w:tcPr>
            <w:tcW w:w="1765" w:type="dxa"/>
            <w:tcBorders>
              <w:top w:val="nil"/>
              <w:left w:val="nil"/>
              <w:bottom w:val="nil"/>
              <w:right w:val="nil"/>
            </w:tcBorders>
            <w:shd w:val="clear" w:color="auto" w:fill="auto"/>
            <w:noWrap/>
            <w:vAlign w:val="center"/>
          </w:tcPr>
          <w:p w14:paraId="7845B580"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1.16 (0.91,1.47)</w:t>
            </w:r>
          </w:p>
        </w:tc>
        <w:tc>
          <w:tcPr>
            <w:tcW w:w="1326" w:type="dxa"/>
            <w:tcBorders>
              <w:top w:val="nil"/>
              <w:left w:val="nil"/>
              <w:bottom w:val="nil"/>
              <w:right w:val="nil"/>
            </w:tcBorders>
            <w:shd w:val="clear" w:color="auto" w:fill="auto"/>
            <w:noWrap/>
            <w:vAlign w:val="center"/>
          </w:tcPr>
          <w:p w14:paraId="2550F240"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0.227</w:t>
            </w:r>
          </w:p>
        </w:tc>
        <w:tc>
          <w:tcPr>
            <w:tcW w:w="1661" w:type="dxa"/>
            <w:tcBorders>
              <w:top w:val="nil"/>
              <w:left w:val="nil"/>
              <w:bottom w:val="nil"/>
              <w:right w:val="nil"/>
            </w:tcBorders>
            <w:shd w:val="clear" w:color="auto" w:fill="auto"/>
            <w:vAlign w:val="center"/>
          </w:tcPr>
          <w:p w14:paraId="2D6A59BE"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0.98 (0.77,1.25)</w:t>
            </w:r>
          </w:p>
        </w:tc>
        <w:tc>
          <w:tcPr>
            <w:tcW w:w="1135" w:type="dxa"/>
            <w:tcBorders>
              <w:top w:val="nil"/>
              <w:left w:val="nil"/>
              <w:bottom w:val="nil"/>
              <w:right w:val="nil"/>
            </w:tcBorders>
            <w:shd w:val="clear" w:color="auto" w:fill="auto"/>
            <w:vAlign w:val="center"/>
          </w:tcPr>
          <w:p w14:paraId="6401955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0.879</w:t>
            </w:r>
          </w:p>
        </w:tc>
        <w:tc>
          <w:tcPr>
            <w:tcW w:w="1766" w:type="dxa"/>
            <w:tcBorders>
              <w:top w:val="nil"/>
              <w:left w:val="nil"/>
              <w:bottom w:val="nil"/>
              <w:right w:val="nil"/>
            </w:tcBorders>
            <w:shd w:val="clear" w:color="auto" w:fill="auto"/>
            <w:noWrap/>
            <w:vAlign w:val="center"/>
          </w:tcPr>
          <w:p w14:paraId="2BCB9AE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1.08 (0.88,1.32)</w:t>
            </w:r>
          </w:p>
        </w:tc>
        <w:tc>
          <w:tcPr>
            <w:tcW w:w="1177" w:type="dxa"/>
            <w:tcBorders>
              <w:top w:val="nil"/>
              <w:left w:val="nil"/>
              <w:bottom w:val="nil"/>
              <w:right w:val="nil"/>
            </w:tcBorders>
            <w:shd w:val="clear" w:color="auto" w:fill="auto"/>
            <w:noWrap/>
            <w:vAlign w:val="center"/>
          </w:tcPr>
          <w:p w14:paraId="3D02576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0.466</w:t>
            </w:r>
          </w:p>
        </w:tc>
      </w:tr>
      <w:tr w:rsidR="006D50D1" w:rsidRPr="006D50D1" w14:paraId="249277EE" w14:textId="77777777" w:rsidTr="00BB4DAF">
        <w:trPr>
          <w:trHeight w:val="20"/>
        </w:trPr>
        <w:tc>
          <w:tcPr>
            <w:tcW w:w="4710" w:type="dxa"/>
            <w:tcBorders>
              <w:top w:val="nil"/>
              <w:left w:val="nil"/>
            </w:tcBorders>
            <w:shd w:val="clear" w:color="auto" w:fill="auto"/>
            <w:noWrap/>
            <w:vAlign w:val="center"/>
          </w:tcPr>
          <w:p w14:paraId="2D2878FC"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color w:val="000000"/>
                <w:sz w:val="19"/>
                <w:szCs w:val="19"/>
              </w:rPr>
              <w:t>FRAX 10-year probability (hip fracture)</w:t>
            </w:r>
            <w:r w:rsidRPr="006D50D1">
              <w:rPr>
                <w:rFonts w:ascii="Times New Roman" w:hAnsi="Times New Roman"/>
                <w:sz w:val="19"/>
                <w:szCs w:val="19"/>
              </w:rPr>
              <w:t>*</w:t>
            </w:r>
          </w:p>
        </w:tc>
        <w:tc>
          <w:tcPr>
            <w:tcW w:w="1765" w:type="dxa"/>
            <w:tcBorders>
              <w:top w:val="nil"/>
              <w:left w:val="nil"/>
              <w:bottom w:val="nil"/>
              <w:right w:val="nil"/>
            </w:tcBorders>
            <w:shd w:val="clear" w:color="auto" w:fill="auto"/>
            <w:noWrap/>
            <w:vAlign w:val="center"/>
          </w:tcPr>
          <w:p w14:paraId="04B61AB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1.11 (0.87,1.41)</w:t>
            </w:r>
          </w:p>
        </w:tc>
        <w:tc>
          <w:tcPr>
            <w:tcW w:w="1326" w:type="dxa"/>
            <w:tcBorders>
              <w:top w:val="nil"/>
              <w:left w:val="nil"/>
              <w:bottom w:val="nil"/>
              <w:right w:val="nil"/>
            </w:tcBorders>
            <w:shd w:val="clear" w:color="auto" w:fill="auto"/>
            <w:noWrap/>
            <w:vAlign w:val="center"/>
          </w:tcPr>
          <w:p w14:paraId="592B96AD"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0.420</w:t>
            </w:r>
          </w:p>
        </w:tc>
        <w:tc>
          <w:tcPr>
            <w:tcW w:w="1661" w:type="dxa"/>
            <w:tcBorders>
              <w:top w:val="nil"/>
              <w:left w:val="nil"/>
              <w:bottom w:val="nil"/>
              <w:right w:val="nil"/>
            </w:tcBorders>
            <w:shd w:val="clear" w:color="auto" w:fill="auto"/>
            <w:vAlign w:val="center"/>
          </w:tcPr>
          <w:p w14:paraId="78404D8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0.92 (0.72,1.18)</w:t>
            </w:r>
          </w:p>
        </w:tc>
        <w:tc>
          <w:tcPr>
            <w:tcW w:w="1135" w:type="dxa"/>
            <w:tcBorders>
              <w:top w:val="nil"/>
              <w:left w:val="nil"/>
              <w:bottom w:val="nil"/>
              <w:right w:val="nil"/>
            </w:tcBorders>
            <w:shd w:val="clear" w:color="auto" w:fill="auto"/>
            <w:vAlign w:val="center"/>
          </w:tcPr>
          <w:p w14:paraId="55EB1659"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0.518</w:t>
            </w:r>
          </w:p>
        </w:tc>
        <w:tc>
          <w:tcPr>
            <w:tcW w:w="1766" w:type="dxa"/>
            <w:tcBorders>
              <w:top w:val="nil"/>
              <w:left w:val="nil"/>
              <w:bottom w:val="nil"/>
              <w:right w:val="nil"/>
            </w:tcBorders>
            <w:shd w:val="clear" w:color="auto" w:fill="auto"/>
            <w:noWrap/>
            <w:vAlign w:val="center"/>
          </w:tcPr>
          <w:p w14:paraId="36C53A29"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1.02 (0.83,1.26)</w:t>
            </w:r>
          </w:p>
        </w:tc>
        <w:tc>
          <w:tcPr>
            <w:tcW w:w="1177" w:type="dxa"/>
            <w:tcBorders>
              <w:top w:val="nil"/>
              <w:left w:val="nil"/>
              <w:bottom w:val="nil"/>
              <w:right w:val="nil"/>
            </w:tcBorders>
            <w:shd w:val="clear" w:color="auto" w:fill="auto"/>
            <w:noWrap/>
            <w:vAlign w:val="center"/>
          </w:tcPr>
          <w:p w14:paraId="47550AF7"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0.858</w:t>
            </w:r>
          </w:p>
        </w:tc>
      </w:tr>
      <w:tr w:rsidR="006D50D1" w:rsidRPr="006D50D1" w14:paraId="5C8E9FDD" w14:textId="77777777" w:rsidTr="00BB4DAF">
        <w:trPr>
          <w:trHeight w:val="20"/>
        </w:trPr>
        <w:tc>
          <w:tcPr>
            <w:tcW w:w="4710" w:type="dxa"/>
            <w:tcBorders>
              <w:top w:val="nil"/>
              <w:left w:val="nil"/>
            </w:tcBorders>
            <w:shd w:val="clear" w:color="auto" w:fill="auto"/>
            <w:noWrap/>
            <w:vAlign w:val="center"/>
            <w:hideMark/>
          </w:tcPr>
          <w:p w14:paraId="220FA2E7"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Number of comorbidities**</w:t>
            </w:r>
          </w:p>
        </w:tc>
        <w:tc>
          <w:tcPr>
            <w:tcW w:w="1765" w:type="dxa"/>
            <w:tcBorders>
              <w:top w:val="nil"/>
              <w:left w:val="nil"/>
              <w:bottom w:val="nil"/>
              <w:right w:val="nil"/>
            </w:tcBorders>
            <w:shd w:val="clear" w:color="auto" w:fill="auto"/>
            <w:noWrap/>
            <w:vAlign w:val="center"/>
          </w:tcPr>
          <w:p w14:paraId="4CE94FA9"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0.89 (0.76,1.04)</w:t>
            </w:r>
          </w:p>
        </w:tc>
        <w:tc>
          <w:tcPr>
            <w:tcW w:w="1326" w:type="dxa"/>
            <w:tcBorders>
              <w:top w:val="nil"/>
              <w:left w:val="nil"/>
              <w:bottom w:val="nil"/>
              <w:right w:val="nil"/>
            </w:tcBorders>
            <w:shd w:val="clear" w:color="auto" w:fill="auto"/>
            <w:noWrap/>
            <w:vAlign w:val="center"/>
          </w:tcPr>
          <w:p w14:paraId="2DA1D4C5"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0.129</w:t>
            </w:r>
          </w:p>
        </w:tc>
        <w:tc>
          <w:tcPr>
            <w:tcW w:w="1661" w:type="dxa"/>
            <w:tcBorders>
              <w:top w:val="nil"/>
              <w:left w:val="nil"/>
              <w:bottom w:val="nil"/>
              <w:right w:val="nil"/>
            </w:tcBorders>
            <w:shd w:val="clear" w:color="auto" w:fill="auto"/>
            <w:vAlign w:val="center"/>
          </w:tcPr>
          <w:p w14:paraId="346C6342"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1.00 (0.84,1.19)</w:t>
            </w:r>
          </w:p>
        </w:tc>
        <w:tc>
          <w:tcPr>
            <w:tcW w:w="1135" w:type="dxa"/>
            <w:tcBorders>
              <w:top w:val="nil"/>
              <w:left w:val="nil"/>
              <w:bottom w:val="nil"/>
              <w:right w:val="nil"/>
            </w:tcBorders>
            <w:shd w:val="clear" w:color="auto" w:fill="auto"/>
            <w:vAlign w:val="center"/>
          </w:tcPr>
          <w:p w14:paraId="3D289EB6"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0.965</w:t>
            </w:r>
          </w:p>
        </w:tc>
        <w:tc>
          <w:tcPr>
            <w:tcW w:w="1766" w:type="dxa"/>
            <w:tcBorders>
              <w:top w:val="nil"/>
              <w:left w:val="nil"/>
              <w:bottom w:val="nil"/>
              <w:right w:val="nil"/>
            </w:tcBorders>
            <w:shd w:val="clear" w:color="auto" w:fill="auto"/>
            <w:noWrap/>
            <w:vAlign w:val="center"/>
          </w:tcPr>
          <w:p w14:paraId="5A5D8DBF"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0.94 (0.82,1.08)</w:t>
            </w:r>
          </w:p>
        </w:tc>
        <w:tc>
          <w:tcPr>
            <w:tcW w:w="1177" w:type="dxa"/>
            <w:tcBorders>
              <w:top w:val="nil"/>
              <w:left w:val="nil"/>
              <w:bottom w:val="nil"/>
              <w:right w:val="nil"/>
            </w:tcBorders>
            <w:shd w:val="clear" w:color="auto" w:fill="auto"/>
            <w:noWrap/>
            <w:vAlign w:val="center"/>
          </w:tcPr>
          <w:p w14:paraId="5213CC3A" w14:textId="77777777" w:rsidR="006D50D1" w:rsidRPr="006D50D1" w:rsidRDefault="006D50D1" w:rsidP="006D50D1">
            <w:pPr>
              <w:spacing w:after="160" w:line="240" w:lineRule="auto"/>
              <w:rPr>
                <w:rFonts w:ascii="Times New Roman" w:eastAsiaTheme="minorHAnsi" w:hAnsi="Times New Roman"/>
                <w:color w:val="000000"/>
                <w:sz w:val="19"/>
                <w:szCs w:val="19"/>
              </w:rPr>
            </w:pPr>
            <w:r w:rsidRPr="006D50D1">
              <w:rPr>
                <w:rFonts w:ascii="Times New Roman" w:eastAsiaTheme="minorHAnsi" w:hAnsi="Times New Roman"/>
                <w:color w:val="000000"/>
                <w:sz w:val="19"/>
                <w:szCs w:val="19"/>
              </w:rPr>
              <w:t>0.396</w:t>
            </w:r>
          </w:p>
        </w:tc>
      </w:tr>
      <w:tr w:rsidR="006D50D1" w:rsidRPr="006D50D1" w14:paraId="5F621317" w14:textId="77777777" w:rsidTr="00BB4DAF">
        <w:trPr>
          <w:trHeight w:val="20"/>
        </w:trPr>
        <w:tc>
          <w:tcPr>
            <w:tcW w:w="13542" w:type="dxa"/>
            <w:gridSpan w:val="7"/>
            <w:tcBorders>
              <w:top w:val="single" w:sz="4" w:space="0" w:color="auto"/>
              <w:left w:val="nil"/>
              <w:right w:val="nil"/>
            </w:tcBorders>
          </w:tcPr>
          <w:p w14:paraId="6697D679"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sz w:val="19"/>
                <w:szCs w:val="19"/>
              </w:rPr>
              <w:t xml:space="preserve">Ordinal logistic regression models were used with the 5-level variable for self-perceived fracture risk as the outcome. </w:t>
            </w:r>
            <w:r w:rsidRPr="006D50D1">
              <w:rPr>
                <w:rFonts w:ascii="Times New Roman" w:hAnsi="Times New Roman"/>
                <w:color w:val="000000"/>
                <w:sz w:val="19"/>
                <w:szCs w:val="19"/>
              </w:rPr>
              <w:t>All characteristics were ascertained at baseline</w:t>
            </w:r>
          </w:p>
          <w:p w14:paraId="6A0BBD17" w14:textId="77777777" w:rsidR="006D50D1" w:rsidRPr="006D50D1" w:rsidRDefault="006D50D1" w:rsidP="006D50D1">
            <w:pPr>
              <w:spacing w:line="240" w:lineRule="auto"/>
              <w:rPr>
                <w:rFonts w:ascii="Times New Roman" w:hAnsi="Times New Roman"/>
                <w:sz w:val="19"/>
                <w:szCs w:val="19"/>
              </w:rPr>
            </w:pPr>
            <w:r w:rsidRPr="006D50D1">
              <w:rPr>
                <w:rFonts w:ascii="Times New Roman" w:hAnsi="Times New Roman"/>
                <w:color w:val="000000"/>
                <w:sz w:val="19"/>
                <w:szCs w:val="19"/>
              </w:rPr>
              <w:t>*Odds ratio per standard deviation increase      **Odds ratio per higher category of characteristic</w:t>
            </w:r>
          </w:p>
        </w:tc>
      </w:tr>
    </w:tbl>
    <w:p w14:paraId="1BCF9D7E" w14:textId="1AF65158" w:rsidR="00880D6D" w:rsidRDefault="00880D6D" w:rsidP="00880D6D">
      <w:pPr>
        <w:tabs>
          <w:tab w:val="left" w:pos="6996"/>
        </w:tabs>
        <w:rPr>
          <w:rFonts w:ascii="Times New Roman" w:hAnsi="Times New Roman"/>
          <w:szCs w:val="22"/>
        </w:rPr>
      </w:pPr>
      <w:r>
        <w:rPr>
          <w:rFonts w:ascii="Times New Roman" w:hAnsi="Times New Roman"/>
          <w:szCs w:val="22"/>
        </w:rPr>
        <w:tab/>
      </w:r>
    </w:p>
    <w:p w14:paraId="247D77F4" w14:textId="77777777" w:rsidR="00BB4DAF" w:rsidRDefault="00BB4DAF" w:rsidP="00880D6D">
      <w:pPr>
        <w:tabs>
          <w:tab w:val="left" w:pos="3311"/>
        </w:tabs>
        <w:jc w:val="both"/>
        <w:rPr>
          <w:rFonts w:ascii="Times New Roman" w:hAnsi="Times New Roman"/>
          <w:szCs w:val="22"/>
        </w:rPr>
      </w:pPr>
    </w:p>
    <w:p w14:paraId="5FF02B17" w14:textId="77777777" w:rsidR="00BB4DAF" w:rsidRDefault="00BB4DAF" w:rsidP="00880D6D">
      <w:pPr>
        <w:tabs>
          <w:tab w:val="left" w:pos="3311"/>
        </w:tabs>
        <w:jc w:val="both"/>
        <w:rPr>
          <w:rFonts w:ascii="Times New Roman" w:hAnsi="Times New Roman"/>
          <w:szCs w:val="22"/>
        </w:rPr>
      </w:pPr>
    </w:p>
    <w:p w14:paraId="688CCCE8" w14:textId="77777777" w:rsidR="00880D6D" w:rsidRDefault="00880D6D" w:rsidP="00880D6D">
      <w:pPr>
        <w:tabs>
          <w:tab w:val="left" w:pos="3311"/>
        </w:tabs>
        <w:jc w:val="both"/>
        <w:rPr>
          <w:rFonts w:ascii="Times New Roman" w:hAnsi="Times New Roman"/>
          <w:szCs w:val="22"/>
        </w:rPr>
      </w:pPr>
    </w:p>
    <w:p w14:paraId="7C9DD65D" w14:textId="77777777" w:rsidR="00880D6D" w:rsidRDefault="00880D6D" w:rsidP="00880D6D">
      <w:pPr>
        <w:tabs>
          <w:tab w:val="left" w:pos="3311"/>
        </w:tabs>
        <w:jc w:val="both"/>
        <w:rPr>
          <w:rFonts w:ascii="Times New Roman" w:hAnsi="Times New Roman"/>
          <w:szCs w:val="22"/>
        </w:rPr>
      </w:pPr>
    </w:p>
    <w:p w14:paraId="4E35B82D" w14:textId="77777777" w:rsidR="00880D6D" w:rsidRDefault="00880D6D" w:rsidP="00880D6D">
      <w:pPr>
        <w:tabs>
          <w:tab w:val="left" w:pos="3311"/>
        </w:tabs>
        <w:jc w:val="both"/>
        <w:rPr>
          <w:rFonts w:ascii="Times New Roman" w:hAnsi="Times New Roman"/>
          <w:szCs w:val="22"/>
        </w:rPr>
      </w:pPr>
    </w:p>
    <w:p w14:paraId="7DE78311" w14:textId="77777777" w:rsidR="00880D6D" w:rsidRPr="00005118" w:rsidRDefault="00880D6D" w:rsidP="00880D6D">
      <w:pPr>
        <w:tabs>
          <w:tab w:val="left" w:pos="3311"/>
        </w:tabs>
        <w:jc w:val="both"/>
        <w:rPr>
          <w:rFonts w:ascii="Times New Roman" w:hAnsi="Times New Roman"/>
          <w:szCs w:val="22"/>
        </w:rPr>
      </w:pPr>
    </w:p>
    <w:p w14:paraId="359C1285" w14:textId="77777777" w:rsidR="00880D6D" w:rsidRPr="0028311F" w:rsidRDefault="00880D6D" w:rsidP="00880D6D">
      <w:pPr>
        <w:jc w:val="both"/>
        <w:rPr>
          <w:rFonts w:ascii="Times New Roman" w:hAnsi="Times New Roman"/>
          <w:szCs w:val="22"/>
        </w:rPr>
      </w:pPr>
    </w:p>
    <w:p w14:paraId="3F7F4F29" w14:textId="77777777" w:rsidR="00880D6D" w:rsidRPr="0028311F" w:rsidRDefault="00880D6D" w:rsidP="00880D6D">
      <w:pPr>
        <w:jc w:val="both"/>
        <w:rPr>
          <w:rFonts w:ascii="Times New Roman" w:hAnsi="Times New Roman"/>
          <w:szCs w:val="22"/>
        </w:rPr>
      </w:pPr>
    </w:p>
    <w:p w14:paraId="120C9F61" w14:textId="77777777" w:rsidR="00880D6D" w:rsidRPr="0028311F" w:rsidRDefault="00880D6D" w:rsidP="00880D6D">
      <w:pPr>
        <w:jc w:val="both"/>
        <w:rPr>
          <w:rFonts w:ascii="Times New Roman" w:hAnsi="Times New Roman"/>
          <w:szCs w:val="22"/>
        </w:rPr>
      </w:pPr>
    </w:p>
    <w:p w14:paraId="094B0AA8" w14:textId="77777777" w:rsidR="00880D6D" w:rsidRPr="0028311F" w:rsidRDefault="00880D6D" w:rsidP="00880D6D">
      <w:pPr>
        <w:jc w:val="both"/>
        <w:rPr>
          <w:rFonts w:ascii="Times New Roman" w:hAnsi="Times New Roman"/>
          <w:szCs w:val="22"/>
        </w:rPr>
      </w:pPr>
    </w:p>
    <w:p w14:paraId="1EE48E46" w14:textId="77777777" w:rsidR="00880D6D" w:rsidRPr="0028311F" w:rsidRDefault="00880D6D" w:rsidP="00880D6D">
      <w:pPr>
        <w:jc w:val="both"/>
        <w:rPr>
          <w:rFonts w:ascii="Times New Roman" w:hAnsi="Times New Roman"/>
          <w:szCs w:val="22"/>
        </w:rPr>
      </w:pPr>
    </w:p>
    <w:p w14:paraId="4132D298" w14:textId="77777777" w:rsidR="00880D6D" w:rsidRPr="0028311F" w:rsidRDefault="00880D6D" w:rsidP="00880D6D">
      <w:pPr>
        <w:jc w:val="both"/>
        <w:rPr>
          <w:rFonts w:ascii="Times New Roman" w:hAnsi="Times New Roman"/>
          <w:szCs w:val="22"/>
        </w:rPr>
      </w:pPr>
    </w:p>
    <w:p w14:paraId="55C5EFC7" w14:textId="77777777" w:rsidR="00880D6D" w:rsidRPr="0028311F" w:rsidRDefault="00880D6D" w:rsidP="00880D6D">
      <w:pPr>
        <w:jc w:val="both"/>
        <w:rPr>
          <w:rFonts w:ascii="Times New Roman" w:hAnsi="Times New Roman"/>
          <w:szCs w:val="22"/>
        </w:rPr>
      </w:pPr>
    </w:p>
    <w:p w14:paraId="258C87FA" w14:textId="77777777" w:rsidR="00880D6D" w:rsidRPr="0028311F" w:rsidRDefault="00880D6D" w:rsidP="00880D6D">
      <w:pPr>
        <w:jc w:val="both"/>
        <w:rPr>
          <w:rFonts w:ascii="Times New Roman" w:hAnsi="Times New Roman"/>
          <w:szCs w:val="22"/>
        </w:rPr>
      </w:pPr>
    </w:p>
    <w:p w14:paraId="65743583" w14:textId="4F3AFC91" w:rsidR="00880D6D" w:rsidRPr="00D6525A" w:rsidRDefault="00880D6D" w:rsidP="00C72A5F">
      <w:pPr>
        <w:pStyle w:val="EndNoteBibliography"/>
        <w:spacing w:after="0" w:line="360" w:lineRule="auto"/>
        <w:jc w:val="both"/>
        <w:rPr>
          <w:rFonts w:ascii="Times New Roman" w:hAnsi="Times New Roman"/>
          <w:color w:val="303030"/>
          <w:sz w:val="24"/>
          <w:shd w:val="clear" w:color="auto" w:fill="FFFFFF"/>
        </w:rPr>
      </w:pPr>
    </w:p>
    <w:sectPr w:rsidR="00880D6D" w:rsidRPr="00D6525A" w:rsidSect="006D50D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E5C37" w14:textId="77777777" w:rsidR="00D32BC1" w:rsidRDefault="00D32BC1" w:rsidP="006D15A1">
      <w:pPr>
        <w:spacing w:after="0" w:line="240" w:lineRule="auto"/>
      </w:pPr>
      <w:r>
        <w:separator/>
      </w:r>
    </w:p>
  </w:endnote>
  <w:endnote w:type="continuationSeparator" w:id="0">
    <w:p w14:paraId="24280220" w14:textId="77777777" w:rsidR="00D32BC1" w:rsidRDefault="00D32BC1" w:rsidP="006D15A1">
      <w:pPr>
        <w:spacing w:after="0" w:line="240" w:lineRule="auto"/>
      </w:pPr>
      <w:r>
        <w:continuationSeparator/>
      </w:r>
    </w:p>
  </w:endnote>
  <w:endnote w:type="continuationNotice" w:id="1">
    <w:p w14:paraId="79A70CE0" w14:textId="77777777" w:rsidR="00D32BC1" w:rsidRDefault="00D32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Xingkai">
    <w:charset w:val="86"/>
    <w:family w:val="auto"/>
    <w:pitch w:val="variable"/>
    <w:sig w:usb0="00000001" w:usb1="080F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322902"/>
      <w:docPartObj>
        <w:docPartGallery w:val="Page Numbers (Bottom of Page)"/>
        <w:docPartUnique/>
      </w:docPartObj>
    </w:sdtPr>
    <w:sdtEndPr>
      <w:rPr>
        <w:noProof/>
      </w:rPr>
    </w:sdtEndPr>
    <w:sdtContent>
      <w:p w14:paraId="1B493DC4" w14:textId="520CDFDD" w:rsidR="00891876" w:rsidRDefault="00891876">
        <w:pPr>
          <w:pStyle w:val="Footer"/>
        </w:pPr>
        <w:r>
          <w:fldChar w:fldCharType="begin"/>
        </w:r>
        <w:r>
          <w:instrText xml:space="preserve"> PAGE   \* MERGEFORMAT </w:instrText>
        </w:r>
        <w:r>
          <w:fldChar w:fldCharType="separate"/>
        </w:r>
        <w:r w:rsidR="007D41C7">
          <w:rPr>
            <w:noProof/>
          </w:rPr>
          <w:t>1</w:t>
        </w:r>
        <w:r>
          <w:rPr>
            <w:noProof/>
          </w:rPr>
          <w:fldChar w:fldCharType="end"/>
        </w:r>
      </w:p>
    </w:sdtContent>
  </w:sdt>
  <w:p w14:paraId="63D347AA" w14:textId="77777777" w:rsidR="00891876" w:rsidRDefault="008918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93FB1" w14:textId="77777777" w:rsidR="00D32BC1" w:rsidRDefault="00D32BC1" w:rsidP="006D15A1">
      <w:pPr>
        <w:spacing w:after="0" w:line="240" w:lineRule="auto"/>
      </w:pPr>
      <w:r>
        <w:separator/>
      </w:r>
    </w:p>
  </w:footnote>
  <w:footnote w:type="continuationSeparator" w:id="0">
    <w:p w14:paraId="36187E2D" w14:textId="77777777" w:rsidR="00D32BC1" w:rsidRDefault="00D32BC1" w:rsidP="006D15A1">
      <w:pPr>
        <w:spacing w:after="0" w:line="240" w:lineRule="auto"/>
      </w:pPr>
      <w:r>
        <w:continuationSeparator/>
      </w:r>
    </w:p>
  </w:footnote>
  <w:footnote w:type="continuationNotice" w:id="1">
    <w:p w14:paraId="67E3E18D" w14:textId="77777777" w:rsidR="00D32BC1" w:rsidRDefault="00D32BC1">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09E"/>
    <w:multiLevelType w:val="hybridMultilevel"/>
    <w:tmpl w:val="256A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5670"/>
    <w:multiLevelType w:val="hybridMultilevel"/>
    <w:tmpl w:val="D8EEB786"/>
    <w:lvl w:ilvl="0" w:tplc="D7A44AB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3BF4"/>
    <w:multiLevelType w:val="hybridMultilevel"/>
    <w:tmpl w:val="2D44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F3D60"/>
    <w:multiLevelType w:val="hybridMultilevel"/>
    <w:tmpl w:val="A9DE4B16"/>
    <w:lvl w:ilvl="0" w:tplc="E1BA2388">
      <w:start w:val="1"/>
      <w:numFmt w:val="bullet"/>
      <w:lvlText w:val="•"/>
      <w:lvlJc w:val="left"/>
      <w:pPr>
        <w:tabs>
          <w:tab w:val="num" w:pos="720"/>
        </w:tabs>
        <w:ind w:left="720" w:hanging="360"/>
      </w:pPr>
      <w:rPr>
        <w:rFonts w:ascii="Arial" w:hAnsi="Arial" w:hint="default"/>
      </w:rPr>
    </w:lvl>
    <w:lvl w:ilvl="1" w:tplc="9FEEF84C" w:tentative="1">
      <w:start w:val="1"/>
      <w:numFmt w:val="bullet"/>
      <w:lvlText w:val="•"/>
      <w:lvlJc w:val="left"/>
      <w:pPr>
        <w:tabs>
          <w:tab w:val="num" w:pos="1440"/>
        </w:tabs>
        <w:ind w:left="1440" w:hanging="360"/>
      </w:pPr>
      <w:rPr>
        <w:rFonts w:ascii="Arial" w:hAnsi="Arial" w:hint="default"/>
      </w:rPr>
    </w:lvl>
    <w:lvl w:ilvl="2" w:tplc="4234153E" w:tentative="1">
      <w:start w:val="1"/>
      <w:numFmt w:val="bullet"/>
      <w:lvlText w:val="•"/>
      <w:lvlJc w:val="left"/>
      <w:pPr>
        <w:tabs>
          <w:tab w:val="num" w:pos="2160"/>
        </w:tabs>
        <w:ind w:left="2160" w:hanging="360"/>
      </w:pPr>
      <w:rPr>
        <w:rFonts w:ascii="Arial" w:hAnsi="Arial" w:hint="default"/>
      </w:rPr>
    </w:lvl>
    <w:lvl w:ilvl="3" w:tplc="6D82AEF0" w:tentative="1">
      <w:start w:val="1"/>
      <w:numFmt w:val="bullet"/>
      <w:lvlText w:val="•"/>
      <w:lvlJc w:val="left"/>
      <w:pPr>
        <w:tabs>
          <w:tab w:val="num" w:pos="2880"/>
        </w:tabs>
        <w:ind w:left="2880" w:hanging="360"/>
      </w:pPr>
      <w:rPr>
        <w:rFonts w:ascii="Arial" w:hAnsi="Arial" w:hint="default"/>
      </w:rPr>
    </w:lvl>
    <w:lvl w:ilvl="4" w:tplc="BA221D2E" w:tentative="1">
      <w:start w:val="1"/>
      <w:numFmt w:val="bullet"/>
      <w:lvlText w:val="•"/>
      <w:lvlJc w:val="left"/>
      <w:pPr>
        <w:tabs>
          <w:tab w:val="num" w:pos="3600"/>
        </w:tabs>
        <w:ind w:left="3600" w:hanging="360"/>
      </w:pPr>
      <w:rPr>
        <w:rFonts w:ascii="Arial" w:hAnsi="Arial" w:hint="default"/>
      </w:rPr>
    </w:lvl>
    <w:lvl w:ilvl="5" w:tplc="B3C069DA" w:tentative="1">
      <w:start w:val="1"/>
      <w:numFmt w:val="bullet"/>
      <w:lvlText w:val="•"/>
      <w:lvlJc w:val="left"/>
      <w:pPr>
        <w:tabs>
          <w:tab w:val="num" w:pos="4320"/>
        </w:tabs>
        <w:ind w:left="4320" w:hanging="360"/>
      </w:pPr>
      <w:rPr>
        <w:rFonts w:ascii="Arial" w:hAnsi="Arial" w:hint="default"/>
      </w:rPr>
    </w:lvl>
    <w:lvl w:ilvl="6" w:tplc="5DC6012A" w:tentative="1">
      <w:start w:val="1"/>
      <w:numFmt w:val="bullet"/>
      <w:lvlText w:val="•"/>
      <w:lvlJc w:val="left"/>
      <w:pPr>
        <w:tabs>
          <w:tab w:val="num" w:pos="5040"/>
        </w:tabs>
        <w:ind w:left="5040" w:hanging="360"/>
      </w:pPr>
      <w:rPr>
        <w:rFonts w:ascii="Arial" w:hAnsi="Arial" w:hint="default"/>
      </w:rPr>
    </w:lvl>
    <w:lvl w:ilvl="7" w:tplc="F7B805E6" w:tentative="1">
      <w:start w:val="1"/>
      <w:numFmt w:val="bullet"/>
      <w:lvlText w:val="•"/>
      <w:lvlJc w:val="left"/>
      <w:pPr>
        <w:tabs>
          <w:tab w:val="num" w:pos="5760"/>
        </w:tabs>
        <w:ind w:left="5760" w:hanging="360"/>
      </w:pPr>
      <w:rPr>
        <w:rFonts w:ascii="Arial" w:hAnsi="Arial" w:hint="default"/>
      </w:rPr>
    </w:lvl>
    <w:lvl w:ilvl="8" w:tplc="A3C2D5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3334000"/>
    <w:multiLevelType w:val="hybridMultilevel"/>
    <w:tmpl w:val="0C86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E1A6C"/>
    <w:multiLevelType w:val="hybridMultilevel"/>
    <w:tmpl w:val="B78C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76AB8"/>
    <w:multiLevelType w:val="hybridMultilevel"/>
    <w:tmpl w:val="046862C4"/>
    <w:lvl w:ilvl="0" w:tplc="E9EECDB4">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70C74"/>
    <w:multiLevelType w:val="hybridMultilevel"/>
    <w:tmpl w:val="AA1442D6"/>
    <w:lvl w:ilvl="0" w:tplc="9844E70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A5AD5"/>
    <w:multiLevelType w:val="hybridMultilevel"/>
    <w:tmpl w:val="B97A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43DD2"/>
    <w:multiLevelType w:val="hybridMultilevel"/>
    <w:tmpl w:val="10D89560"/>
    <w:lvl w:ilvl="0" w:tplc="C44C3978">
      <w:start w:val="1"/>
      <w:numFmt w:val="bullet"/>
      <w:lvlText w:val="-"/>
      <w:lvlJc w:val="left"/>
      <w:pPr>
        <w:ind w:left="1080" w:hanging="360"/>
      </w:pPr>
      <w:rPr>
        <w:rFonts w:ascii="MinionPro-Regular" w:eastAsiaTheme="minorHAnsi" w:hAnsi="MinionPro-Regular" w:cs="MinionPro-Regular"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
  </w:num>
  <w:num w:numId="4">
    <w:abstractNumId w:val="8"/>
  </w:num>
  <w:num w:numId="5">
    <w:abstractNumId w:val="4"/>
  </w:num>
  <w:num w:numId="6">
    <w:abstractNumId w:val="5"/>
  </w:num>
  <w:num w:numId="7">
    <w:abstractNumId w:val="6"/>
  </w:num>
  <w:num w:numId="8">
    <w:abstractNumId w:val="9"/>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df5rvs9wzts6erav6v0rpowttawpd0ztaa&quot;&gt;HABCReferences_0&lt;record-ids&gt;&lt;item&gt;1305&lt;/item&gt;&lt;item&gt;1306&lt;/item&gt;&lt;/record-ids&gt;&lt;/item&gt;&lt;/Libraries&gt;"/>
  </w:docVars>
  <w:rsids>
    <w:rsidRoot w:val="00BF2027"/>
    <w:rsid w:val="000017D3"/>
    <w:rsid w:val="00005118"/>
    <w:rsid w:val="0000532A"/>
    <w:rsid w:val="000108B4"/>
    <w:rsid w:val="000119BF"/>
    <w:rsid w:val="00013B8F"/>
    <w:rsid w:val="0001466B"/>
    <w:rsid w:val="00015E98"/>
    <w:rsid w:val="0001663D"/>
    <w:rsid w:val="00017ABB"/>
    <w:rsid w:val="00020BB5"/>
    <w:rsid w:val="00021184"/>
    <w:rsid w:val="00022C35"/>
    <w:rsid w:val="000242B2"/>
    <w:rsid w:val="0003192D"/>
    <w:rsid w:val="00032DEB"/>
    <w:rsid w:val="0003400A"/>
    <w:rsid w:val="00034E16"/>
    <w:rsid w:val="00034ED1"/>
    <w:rsid w:val="000362A5"/>
    <w:rsid w:val="00036E4C"/>
    <w:rsid w:val="00040080"/>
    <w:rsid w:val="00041223"/>
    <w:rsid w:val="00042400"/>
    <w:rsid w:val="0004474C"/>
    <w:rsid w:val="00047A9B"/>
    <w:rsid w:val="00050420"/>
    <w:rsid w:val="00050C5C"/>
    <w:rsid w:val="00054F06"/>
    <w:rsid w:val="0005525B"/>
    <w:rsid w:val="000576CA"/>
    <w:rsid w:val="00057DBC"/>
    <w:rsid w:val="00057E97"/>
    <w:rsid w:val="00061304"/>
    <w:rsid w:val="0006198B"/>
    <w:rsid w:val="00062C08"/>
    <w:rsid w:val="000651E9"/>
    <w:rsid w:val="00065ED5"/>
    <w:rsid w:val="00066E38"/>
    <w:rsid w:val="00067070"/>
    <w:rsid w:val="00071BC1"/>
    <w:rsid w:val="00073055"/>
    <w:rsid w:val="000743CD"/>
    <w:rsid w:val="00081B67"/>
    <w:rsid w:val="000822EE"/>
    <w:rsid w:val="000828C5"/>
    <w:rsid w:val="00084B0B"/>
    <w:rsid w:val="00086702"/>
    <w:rsid w:val="00091711"/>
    <w:rsid w:val="000937EE"/>
    <w:rsid w:val="00093E71"/>
    <w:rsid w:val="00094EE8"/>
    <w:rsid w:val="000962C5"/>
    <w:rsid w:val="000A0910"/>
    <w:rsid w:val="000A2327"/>
    <w:rsid w:val="000A29A3"/>
    <w:rsid w:val="000A30F0"/>
    <w:rsid w:val="000A4B45"/>
    <w:rsid w:val="000A5FD8"/>
    <w:rsid w:val="000A7B17"/>
    <w:rsid w:val="000B7ADB"/>
    <w:rsid w:val="000B7D52"/>
    <w:rsid w:val="000C1D43"/>
    <w:rsid w:val="000C64E9"/>
    <w:rsid w:val="000C663B"/>
    <w:rsid w:val="000D3930"/>
    <w:rsid w:val="000D39D7"/>
    <w:rsid w:val="000D4B71"/>
    <w:rsid w:val="000D7E34"/>
    <w:rsid w:val="000E26FE"/>
    <w:rsid w:val="000E34C8"/>
    <w:rsid w:val="000E3BE2"/>
    <w:rsid w:val="000E3D13"/>
    <w:rsid w:val="000E3F66"/>
    <w:rsid w:val="000F2775"/>
    <w:rsid w:val="000F577A"/>
    <w:rsid w:val="000F5FAF"/>
    <w:rsid w:val="000F6C9F"/>
    <w:rsid w:val="00106800"/>
    <w:rsid w:val="001101AC"/>
    <w:rsid w:val="00112935"/>
    <w:rsid w:val="001157CA"/>
    <w:rsid w:val="00116CE5"/>
    <w:rsid w:val="001178F4"/>
    <w:rsid w:val="00117A76"/>
    <w:rsid w:val="00120BFA"/>
    <w:rsid w:val="0012196B"/>
    <w:rsid w:val="0012207C"/>
    <w:rsid w:val="0012293D"/>
    <w:rsid w:val="00124C6A"/>
    <w:rsid w:val="00127E81"/>
    <w:rsid w:val="001301ED"/>
    <w:rsid w:val="001305AA"/>
    <w:rsid w:val="001306EC"/>
    <w:rsid w:val="0013154B"/>
    <w:rsid w:val="0013274C"/>
    <w:rsid w:val="00132FA5"/>
    <w:rsid w:val="00133C67"/>
    <w:rsid w:val="00133CE8"/>
    <w:rsid w:val="00134440"/>
    <w:rsid w:val="00136053"/>
    <w:rsid w:val="0014057C"/>
    <w:rsid w:val="0014159F"/>
    <w:rsid w:val="001415A5"/>
    <w:rsid w:val="00145876"/>
    <w:rsid w:val="00146131"/>
    <w:rsid w:val="00146E92"/>
    <w:rsid w:val="00150C3D"/>
    <w:rsid w:val="00155ABD"/>
    <w:rsid w:val="00156F49"/>
    <w:rsid w:val="00157788"/>
    <w:rsid w:val="00164776"/>
    <w:rsid w:val="00166B66"/>
    <w:rsid w:val="001673E1"/>
    <w:rsid w:val="0017053F"/>
    <w:rsid w:val="001722DD"/>
    <w:rsid w:val="001734D4"/>
    <w:rsid w:val="00174B39"/>
    <w:rsid w:val="0017634C"/>
    <w:rsid w:val="00176414"/>
    <w:rsid w:val="001817B3"/>
    <w:rsid w:val="0018330C"/>
    <w:rsid w:val="001872BF"/>
    <w:rsid w:val="00187374"/>
    <w:rsid w:val="0019300F"/>
    <w:rsid w:val="00196EB6"/>
    <w:rsid w:val="001A1EAA"/>
    <w:rsid w:val="001A22D1"/>
    <w:rsid w:val="001A3CF9"/>
    <w:rsid w:val="001B1B8A"/>
    <w:rsid w:val="001B2759"/>
    <w:rsid w:val="001B39F8"/>
    <w:rsid w:val="001B43D3"/>
    <w:rsid w:val="001B5269"/>
    <w:rsid w:val="001B578C"/>
    <w:rsid w:val="001B6986"/>
    <w:rsid w:val="001C077A"/>
    <w:rsid w:val="001C0F27"/>
    <w:rsid w:val="001C21CC"/>
    <w:rsid w:val="001C3A25"/>
    <w:rsid w:val="001C3ED0"/>
    <w:rsid w:val="001C411A"/>
    <w:rsid w:val="001C5314"/>
    <w:rsid w:val="001C5D8A"/>
    <w:rsid w:val="001C6AD4"/>
    <w:rsid w:val="001C6E88"/>
    <w:rsid w:val="001F2034"/>
    <w:rsid w:val="002017A0"/>
    <w:rsid w:val="002020E4"/>
    <w:rsid w:val="00202600"/>
    <w:rsid w:val="00203736"/>
    <w:rsid w:val="00203A49"/>
    <w:rsid w:val="002049AF"/>
    <w:rsid w:val="00210E6E"/>
    <w:rsid w:val="00213AB7"/>
    <w:rsid w:val="00213B31"/>
    <w:rsid w:val="00222B74"/>
    <w:rsid w:val="002234EF"/>
    <w:rsid w:val="0022765A"/>
    <w:rsid w:val="00230FCF"/>
    <w:rsid w:val="00231A76"/>
    <w:rsid w:val="002354B3"/>
    <w:rsid w:val="00235D6F"/>
    <w:rsid w:val="00236651"/>
    <w:rsid w:val="00240EB0"/>
    <w:rsid w:val="00244094"/>
    <w:rsid w:val="00244560"/>
    <w:rsid w:val="00245F8F"/>
    <w:rsid w:val="002502F5"/>
    <w:rsid w:val="00251160"/>
    <w:rsid w:val="00255499"/>
    <w:rsid w:val="002564AC"/>
    <w:rsid w:val="00257F20"/>
    <w:rsid w:val="0027047D"/>
    <w:rsid w:val="00271B7C"/>
    <w:rsid w:val="00272515"/>
    <w:rsid w:val="002737FA"/>
    <w:rsid w:val="00276638"/>
    <w:rsid w:val="002803B4"/>
    <w:rsid w:val="00280C41"/>
    <w:rsid w:val="002828D5"/>
    <w:rsid w:val="0028311F"/>
    <w:rsid w:val="002831CD"/>
    <w:rsid w:val="00283869"/>
    <w:rsid w:val="002861BC"/>
    <w:rsid w:val="002875C7"/>
    <w:rsid w:val="00290E36"/>
    <w:rsid w:val="002938FA"/>
    <w:rsid w:val="002961D6"/>
    <w:rsid w:val="002978A1"/>
    <w:rsid w:val="002A20C3"/>
    <w:rsid w:val="002A3B82"/>
    <w:rsid w:val="002A551E"/>
    <w:rsid w:val="002A58F2"/>
    <w:rsid w:val="002A65A7"/>
    <w:rsid w:val="002A74BC"/>
    <w:rsid w:val="002B0E78"/>
    <w:rsid w:val="002B1805"/>
    <w:rsid w:val="002B6FF0"/>
    <w:rsid w:val="002B7319"/>
    <w:rsid w:val="002C24DD"/>
    <w:rsid w:val="002C2FBE"/>
    <w:rsid w:val="002C6DFB"/>
    <w:rsid w:val="002C7627"/>
    <w:rsid w:val="002D5161"/>
    <w:rsid w:val="002E2FCD"/>
    <w:rsid w:val="002E3F8A"/>
    <w:rsid w:val="002E46AD"/>
    <w:rsid w:val="002E60D4"/>
    <w:rsid w:val="002E6A04"/>
    <w:rsid w:val="002E7320"/>
    <w:rsid w:val="002E7462"/>
    <w:rsid w:val="00300292"/>
    <w:rsid w:val="00300F5B"/>
    <w:rsid w:val="003025CD"/>
    <w:rsid w:val="003061CC"/>
    <w:rsid w:val="0030783D"/>
    <w:rsid w:val="003103A4"/>
    <w:rsid w:val="00310978"/>
    <w:rsid w:val="00311A80"/>
    <w:rsid w:val="0031209A"/>
    <w:rsid w:val="00314151"/>
    <w:rsid w:val="00315873"/>
    <w:rsid w:val="003178A5"/>
    <w:rsid w:val="00322DFB"/>
    <w:rsid w:val="00326C0A"/>
    <w:rsid w:val="003328DD"/>
    <w:rsid w:val="0033312E"/>
    <w:rsid w:val="0033627B"/>
    <w:rsid w:val="0034069A"/>
    <w:rsid w:val="00340871"/>
    <w:rsid w:val="00341544"/>
    <w:rsid w:val="003479B3"/>
    <w:rsid w:val="00351FCF"/>
    <w:rsid w:val="00352A84"/>
    <w:rsid w:val="00353756"/>
    <w:rsid w:val="003547E0"/>
    <w:rsid w:val="0035534B"/>
    <w:rsid w:val="00356441"/>
    <w:rsid w:val="003602FD"/>
    <w:rsid w:val="00360CD7"/>
    <w:rsid w:val="00361A2A"/>
    <w:rsid w:val="00365218"/>
    <w:rsid w:val="00365CD0"/>
    <w:rsid w:val="00366186"/>
    <w:rsid w:val="0036685D"/>
    <w:rsid w:val="00367570"/>
    <w:rsid w:val="0037152A"/>
    <w:rsid w:val="003730F4"/>
    <w:rsid w:val="0037313C"/>
    <w:rsid w:val="00375FE4"/>
    <w:rsid w:val="00380D39"/>
    <w:rsid w:val="00382C53"/>
    <w:rsid w:val="00382F80"/>
    <w:rsid w:val="00383F2A"/>
    <w:rsid w:val="00384D1F"/>
    <w:rsid w:val="003851BC"/>
    <w:rsid w:val="00385234"/>
    <w:rsid w:val="00385445"/>
    <w:rsid w:val="00386BC6"/>
    <w:rsid w:val="00386F65"/>
    <w:rsid w:val="0039027B"/>
    <w:rsid w:val="003930AF"/>
    <w:rsid w:val="003930B9"/>
    <w:rsid w:val="003959A6"/>
    <w:rsid w:val="003968E9"/>
    <w:rsid w:val="00396D53"/>
    <w:rsid w:val="00397EAF"/>
    <w:rsid w:val="003A0800"/>
    <w:rsid w:val="003A2697"/>
    <w:rsid w:val="003B3F6F"/>
    <w:rsid w:val="003B434A"/>
    <w:rsid w:val="003B4AB5"/>
    <w:rsid w:val="003B5D20"/>
    <w:rsid w:val="003B6E19"/>
    <w:rsid w:val="003B7BEE"/>
    <w:rsid w:val="003B7DBA"/>
    <w:rsid w:val="003C116E"/>
    <w:rsid w:val="003C264B"/>
    <w:rsid w:val="003C3E22"/>
    <w:rsid w:val="003C5549"/>
    <w:rsid w:val="003D0BBC"/>
    <w:rsid w:val="003D5749"/>
    <w:rsid w:val="003E03CC"/>
    <w:rsid w:val="003E2087"/>
    <w:rsid w:val="003E20A7"/>
    <w:rsid w:val="003E2FA5"/>
    <w:rsid w:val="003E3E0A"/>
    <w:rsid w:val="003F1DBC"/>
    <w:rsid w:val="003F28F0"/>
    <w:rsid w:val="003F2995"/>
    <w:rsid w:val="003F61E8"/>
    <w:rsid w:val="003F7982"/>
    <w:rsid w:val="003F7CBB"/>
    <w:rsid w:val="00400AA4"/>
    <w:rsid w:val="00401DA4"/>
    <w:rsid w:val="004021A0"/>
    <w:rsid w:val="004026D6"/>
    <w:rsid w:val="00402865"/>
    <w:rsid w:val="00403647"/>
    <w:rsid w:val="00405090"/>
    <w:rsid w:val="004054CA"/>
    <w:rsid w:val="004066AB"/>
    <w:rsid w:val="004077E6"/>
    <w:rsid w:val="0041167B"/>
    <w:rsid w:val="00411D29"/>
    <w:rsid w:val="0041287C"/>
    <w:rsid w:val="00413CFD"/>
    <w:rsid w:val="004141A9"/>
    <w:rsid w:val="004151BB"/>
    <w:rsid w:val="00415C3F"/>
    <w:rsid w:val="00421B41"/>
    <w:rsid w:val="0042699B"/>
    <w:rsid w:val="00426FF6"/>
    <w:rsid w:val="004319B4"/>
    <w:rsid w:val="00433FEA"/>
    <w:rsid w:val="004369A0"/>
    <w:rsid w:val="00446A8A"/>
    <w:rsid w:val="00447E2C"/>
    <w:rsid w:val="00454FE6"/>
    <w:rsid w:val="00456E84"/>
    <w:rsid w:val="00456F6B"/>
    <w:rsid w:val="004607C9"/>
    <w:rsid w:val="004623F0"/>
    <w:rsid w:val="00463856"/>
    <w:rsid w:val="004639C5"/>
    <w:rsid w:val="00467DEA"/>
    <w:rsid w:val="00470390"/>
    <w:rsid w:val="0047287E"/>
    <w:rsid w:val="00474CA4"/>
    <w:rsid w:val="00475E51"/>
    <w:rsid w:val="00480C6B"/>
    <w:rsid w:val="00482E30"/>
    <w:rsid w:val="0048376F"/>
    <w:rsid w:val="004846C2"/>
    <w:rsid w:val="00486957"/>
    <w:rsid w:val="0049025F"/>
    <w:rsid w:val="0049662F"/>
    <w:rsid w:val="00496DB9"/>
    <w:rsid w:val="004A320F"/>
    <w:rsid w:val="004A38C1"/>
    <w:rsid w:val="004A60A9"/>
    <w:rsid w:val="004B222C"/>
    <w:rsid w:val="004B424E"/>
    <w:rsid w:val="004B6CC4"/>
    <w:rsid w:val="004B72D4"/>
    <w:rsid w:val="004C1769"/>
    <w:rsid w:val="004C55CF"/>
    <w:rsid w:val="004C653D"/>
    <w:rsid w:val="004C6D6C"/>
    <w:rsid w:val="004D1ADD"/>
    <w:rsid w:val="004D2DF1"/>
    <w:rsid w:val="004D33BD"/>
    <w:rsid w:val="004D4996"/>
    <w:rsid w:val="004D5316"/>
    <w:rsid w:val="004E0C15"/>
    <w:rsid w:val="004E0E9B"/>
    <w:rsid w:val="004E1A51"/>
    <w:rsid w:val="004E3794"/>
    <w:rsid w:val="004E5AD8"/>
    <w:rsid w:val="004F0166"/>
    <w:rsid w:val="004F2A8C"/>
    <w:rsid w:val="004F420F"/>
    <w:rsid w:val="004F6CB9"/>
    <w:rsid w:val="0050218E"/>
    <w:rsid w:val="00502919"/>
    <w:rsid w:val="00502DBC"/>
    <w:rsid w:val="0050529C"/>
    <w:rsid w:val="00506D45"/>
    <w:rsid w:val="0050740C"/>
    <w:rsid w:val="005078CC"/>
    <w:rsid w:val="00507BC4"/>
    <w:rsid w:val="00511BEF"/>
    <w:rsid w:val="00512E56"/>
    <w:rsid w:val="00513677"/>
    <w:rsid w:val="0051652D"/>
    <w:rsid w:val="00516DC4"/>
    <w:rsid w:val="00524C16"/>
    <w:rsid w:val="005256F0"/>
    <w:rsid w:val="005259C3"/>
    <w:rsid w:val="00526E91"/>
    <w:rsid w:val="0054094A"/>
    <w:rsid w:val="00542442"/>
    <w:rsid w:val="00544C8B"/>
    <w:rsid w:val="00544FEF"/>
    <w:rsid w:val="005458FD"/>
    <w:rsid w:val="0055089E"/>
    <w:rsid w:val="00550C9B"/>
    <w:rsid w:val="005525E0"/>
    <w:rsid w:val="00552A24"/>
    <w:rsid w:val="0055671E"/>
    <w:rsid w:val="0056147D"/>
    <w:rsid w:val="0056643B"/>
    <w:rsid w:val="00567DF8"/>
    <w:rsid w:val="00570D80"/>
    <w:rsid w:val="00572336"/>
    <w:rsid w:val="00572B8D"/>
    <w:rsid w:val="005757F4"/>
    <w:rsid w:val="00575E32"/>
    <w:rsid w:val="00584679"/>
    <w:rsid w:val="00586EA2"/>
    <w:rsid w:val="0058703B"/>
    <w:rsid w:val="005951AC"/>
    <w:rsid w:val="00597442"/>
    <w:rsid w:val="005A0821"/>
    <w:rsid w:val="005A0E57"/>
    <w:rsid w:val="005A1571"/>
    <w:rsid w:val="005A164C"/>
    <w:rsid w:val="005A1DF2"/>
    <w:rsid w:val="005A6C25"/>
    <w:rsid w:val="005C094B"/>
    <w:rsid w:val="005C2167"/>
    <w:rsid w:val="005C58A2"/>
    <w:rsid w:val="005C62E9"/>
    <w:rsid w:val="005D0D14"/>
    <w:rsid w:val="005E0316"/>
    <w:rsid w:val="005E0B15"/>
    <w:rsid w:val="005E2200"/>
    <w:rsid w:val="005E2D8A"/>
    <w:rsid w:val="005E55F5"/>
    <w:rsid w:val="005E71C6"/>
    <w:rsid w:val="005F3217"/>
    <w:rsid w:val="005F4B3C"/>
    <w:rsid w:val="005F58F7"/>
    <w:rsid w:val="005F6FDA"/>
    <w:rsid w:val="00600436"/>
    <w:rsid w:val="00601B06"/>
    <w:rsid w:val="006025E4"/>
    <w:rsid w:val="00604B7A"/>
    <w:rsid w:val="00607064"/>
    <w:rsid w:val="00614150"/>
    <w:rsid w:val="006157FD"/>
    <w:rsid w:val="00615BA9"/>
    <w:rsid w:val="0062088C"/>
    <w:rsid w:val="00621983"/>
    <w:rsid w:val="00622299"/>
    <w:rsid w:val="0062230D"/>
    <w:rsid w:val="006233BF"/>
    <w:rsid w:val="0062423A"/>
    <w:rsid w:val="006254F5"/>
    <w:rsid w:val="006320B0"/>
    <w:rsid w:val="0063385C"/>
    <w:rsid w:val="006356D2"/>
    <w:rsid w:val="00635BDA"/>
    <w:rsid w:val="006401EB"/>
    <w:rsid w:val="006406FB"/>
    <w:rsid w:val="006426F8"/>
    <w:rsid w:val="006453B8"/>
    <w:rsid w:val="00646976"/>
    <w:rsid w:val="00646A91"/>
    <w:rsid w:val="0065066F"/>
    <w:rsid w:val="00650779"/>
    <w:rsid w:val="00651CF0"/>
    <w:rsid w:val="00653090"/>
    <w:rsid w:val="0065483C"/>
    <w:rsid w:val="0066204B"/>
    <w:rsid w:val="0066218D"/>
    <w:rsid w:val="00667F12"/>
    <w:rsid w:val="00672918"/>
    <w:rsid w:val="006729ED"/>
    <w:rsid w:val="006733D5"/>
    <w:rsid w:val="006765AE"/>
    <w:rsid w:val="00676967"/>
    <w:rsid w:val="00676E9D"/>
    <w:rsid w:val="00676F74"/>
    <w:rsid w:val="00680E1C"/>
    <w:rsid w:val="00680EE4"/>
    <w:rsid w:val="00682410"/>
    <w:rsid w:val="006825D8"/>
    <w:rsid w:val="00683B4C"/>
    <w:rsid w:val="006843D9"/>
    <w:rsid w:val="00685105"/>
    <w:rsid w:val="006870B0"/>
    <w:rsid w:val="0069010E"/>
    <w:rsid w:val="006960C1"/>
    <w:rsid w:val="0069698B"/>
    <w:rsid w:val="006B0610"/>
    <w:rsid w:val="006B0D63"/>
    <w:rsid w:val="006B1AB2"/>
    <w:rsid w:val="006B27FE"/>
    <w:rsid w:val="006B28D8"/>
    <w:rsid w:val="006B378A"/>
    <w:rsid w:val="006B380D"/>
    <w:rsid w:val="006B7689"/>
    <w:rsid w:val="006C359B"/>
    <w:rsid w:val="006C4233"/>
    <w:rsid w:val="006C6639"/>
    <w:rsid w:val="006D06D6"/>
    <w:rsid w:val="006D125C"/>
    <w:rsid w:val="006D15A1"/>
    <w:rsid w:val="006D1D1E"/>
    <w:rsid w:val="006D20EA"/>
    <w:rsid w:val="006D22A3"/>
    <w:rsid w:val="006D50D1"/>
    <w:rsid w:val="006D5B5F"/>
    <w:rsid w:val="006D60C0"/>
    <w:rsid w:val="006D79E0"/>
    <w:rsid w:val="006E19EF"/>
    <w:rsid w:val="006E5D6A"/>
    <w:rsid w:val="006E5EF6"/>
    <w:rsid w:val="006E6371"/>
    <w:rsid w:val="006F016D"/>
    <w:rsid w:val="006F10E7"/>
    <w:rsid w:val="0070009C"/>
    <w:rsid w:val="00702BE7"/>
    <w:rsid w:val="00703AE1"/>
    <w:rsid w:val="007144B5"/>
    <w:rsid w:val="0071484B"/>
    <w:rsid w:val="00714A44"/>
    <w:rsid w:val="007152C3"/>
    <w:rsid w:val="00716EC5"/>
    <w:rsid w:val="00722D20"/>
    <w:rsid w:val="007241B0"/>
    <w:rsid w:val="00725A39"/>
    <w:rsid w:val="007349E2"/>
    <w:rsid w:val="007369F9"/>
    <w:rsid w:val="00746902"/>
    <w:rsid w:val="0075055D"/>
    <w:rsid w:val="007513BE"/>
    <w:rsid w:val="00752283"/>
    <w:rsid w:val="007539F3"/>
    <w:rsid w:val="00753A15"/>
    <w:rsid w:val="0075625C"/>
    <w:rsid w:val="00757A43"/>
    <w:rsid w:val="007654D8"/>
    <w:rsid w:val="00767380"/>
    <w:rsid w:val="00767D6A"/>
    <w:rsid w:val="007732E7"/>
    <w:rsid w:val="00774A61"/>
    <w:rsid w:val="007778FE"/>
    <w:rsid w:val="007831B8"/>
    <w:rsid w:val="0078534F"/>
    <w:rsid w:val="007856E6"/>
    <w:rsid w:val="007860A9"/>
    <w:rsid w:val="007903B1"/>
    <w:rsid w:val="00790D09"/>
    <w:rsid w:val="00790D11"/>
    <w:rsid w:val="00791DC1"/>
    <w:rsid w:val="00791DF3"/>
    <w:rsid w:val="00797172"/>
    <w:rsid w:val="007A2542"/>
    <w:rsid w:val="007A618D"/>
    <w:rsid w:val="007A761B"/>
    <w:rsid w:val="007B2AFC"/>
    <w:rsid w:val="007B43E7"/>
    <w:rsid w:val="007B61F2"/>
    <w:rsid w:val="007B6F0A"/>
    <w:rsid w:val="007B71CE"/>
    <w:rsid w:val="007C0484"/>
    <w:rsid w:val="007C70A9"/>
    <w:rsid w:val="007D0B65"/>
    <w:rsid w:val="007D41C7"/>
    <w:rsid w:val="007D6786"/>
    <w:rsid w:val="007E4916"/>
    <w:rsid w:val="007E5BE4"/>
    <w:rsid w:val="007E5FB5"/>
    <w:rsid w:val="007F0B3B"/>
    <w:rsid w:val="007F20D6"/>
    <w:rsid w:val="007F337C"/>
    <w:rsid w:val="007F41BD"/>
    <w:rsid w:val="007F5389"/>
    <w:rsid w:val="00805839"/>
    <w:rsid w:val="008122CB"/>
    <w:rsid w:val="008127C4"/>
    <w:rsid w:val="00812A9B"/>
    <w:rsid w:val="008135A4"/>
    <w:rsid w:val="008138E6"/>
    <w:rsid w:val="00814624"/>
    <w:rsid w:val="008213CE"/>
    <w:rsid w:val="00822B26"/>
    <w:rsid w:val="00825143"/>
    <w:rsid w:val="00830A58"/>
    <w:rsid w:val="008311C0"/>
    <w:rsid w:val="008328A6"/>
    <w:rsid w:val="00832BD4"/>
    <w:rsid w:val="00835B5F"/>
    <w:rsid w:val="00840139"/>
    <w:rsid w:val="00842F02"/>
    <w:rsid w:val="008432AF"/>
    <w:rsid w:val="00846F28"/>
    <w:rsid w:val="00855D1F"/>
    <w:rsid w:val="008561FB"/>
    <w:rsid w:val="0085678A"/>
    <w:rsid w:val="00860AE7"/>
    <w:rsid w:val="00865189"/>
    <w:rsid w:val="008679C7"/>
    <w:rsid w:val="00870D0D"/>
    <w:rsid w:val="00876EE2"/>
    <w:rsid w:val="00880D6D"/>
    <w:rsid w:val="00882283"/>
    <w:rsid w:val="0088245F"/>
    <w:rsid w:val="0088398C"/>
    <w:rsid w:val="0088419C"/>
    <w:rsid w:val="00887EB8"/>
    <w:rsid w:val="00891876"/>
    <w:rsid w:val="00891DEA"/>
    <w:rsid w:val="00892302"/>
    <w:rsid w:val="008941BB"/>
    <w:rsid w:val="00897407"/>
    <w:rsid w:val="008A12F3"/>
    <w:rsid w:val="008A342F"/>
    <w:rsid w:val="008A4AC1"/>
    <w:rsid w:val="008A5A83"/>
    <w:rsid w:val="008A624C"/>
    <w:rsid w:val="008A7452"/>
    <w:rsid w:val="008B3775"/>
    <w:rsid w:val="008B7BA0"/>
    <w:rsid w:val="008C10B0"/>
    <w:rsid w:val="008C3150"/>
    <w:rsid w:val="008C36EF"/>
    <w:rsid w:val="008C3AB9"/>
    <w:rsid w:val="008C6AC3"/>
    <w:rsid w:val="008C6F1C"/>
    <w:rsid w:val="008D1013"/>
    <w:rsid w:val="008D162F"/>
    <w:rsid w:val="008D4B95"/>
    <w:rsid w:val="008D5DAB"/>
    <w:rsid w:val="008D6122"/>
    <w:rsid w:val="008F01A1"/>
    <w:rsid w:val="008F41D4"/>
    <w:rsid w:val="008F4584"/>
    <w:rsid w:val="008F473D"/>
    <w:rsid w:val="008F49C7"/>
    <w:rsid w:val="008F4D96"/>
    <w:rsid w:val="00903693"/>
    <w:rsid w:val="0090533E"/>
    <w:rsid w:val="00905506"/>
    <w:rsid w:val="00912761"/>
    <w:rsid w:val="00916A23"/>
    <w:rsid w:val="00924B96"/>
    <w:rsid w:val="00926D5C"/>
    <w:rsid w:val="00932550"/>
    <w:rsid w:val="009341FF"/>
    <w:rsid w:val="00935B45"/>
    <w:rsid w:val="0093709A"/>
    <w:rsid w:val="00937AE4"/>
    <w:rsid w:val="00945EF0"/>
    <w:rsid w:val="009529D7"/>
    <w:rsid w:val="00952AAE"/>
    <w:rsid w:val="00955E51"/>
    <w:rsid w:val="0095649E"/>
    <w:rsid w:val="00956755"/>
    <w:rsid w:val="00956C2C"/>
    <w:rsid w:val="00957F20"/>
    <w:rsid w:val="00961D40"/>
    <w:rsid w:val="00961F43"/>
    <w:rsid w:val="009710EA"/>
    <w:rsid w:val="0097345F"/>
    <w:rsid w:val="00974969"/>
    <w:rsid w:val="00976B50"/>
    <w:rsid w:val="00981D5C"/>
    <w:rsid w:val="00983DEF"/>
    <w:rsid w:val="0098406F"/>
    <w:rsid w:val="00985402"/>
    <w:rsid w:val="009858C0"/>
    <w:rsid w:val="009864CD"/>
    <w:rsid w:val="0099139A"/>
    <w:rsid w:val="009914F9"/>
    <w:rsid w:val="009943A9"/>
    <w:rsid w:val="009965A7"/>
    <w:rsid w:val="0099755C"/>
    <w:rsid w:val="009A499C"/>
    <w:rsid w:val="009A4B78"/>
    <w:rsid w:val="009A6EA3"/>
    <w:rsid w:val="009A7546"/>
    <w:rsid w:val="009A7E66"/>
    <w:rsid w:val="009B22F3"/>
    <w:rsid w:val="009B387E"/>
    <w:rsid w:val="009C2649"/>
    <w:rsid w:val="009C29C3"/>
    <w:rsid w:val="009C2AC2"/>
    <w:rsid w:val="009D1A7A"/>
    <w:rsid w:val="009D24F2"/>
    <w:rsid w:val="009E08AF"/>
    <w:rsid w:val="009E43C0"/>
    <w:rsid w:val="009E4A05"/>
    <w:rsid w:val="009F2069"/>
    <w:rsid w:val="009F2701"/>
    <w:rsid w:val="009F409A"/>
    <w:rsid w:val="009F4C4E"/>
    <w:rsid w:val="009F6135"/>
    <w:rsid w:val="00A00A76"/>
    <w:rsid w:val="00A04214"/>
    <w:rsid w:val="00A046DF"/>
    <w:rsid w:val="00A04A1E"/>
    <w:rsid w:val="00A125E7"/>
    <w:rsid w:val="00A13EFE"/>
    <w:rsid w:val="00A21BF3"/>
    <w:rsid w:val="00A22912"/>
    <w:rsid w:val="00A2375F"/>
    <w:rsid w:val="00A24845"/>
    <w:rsid w:val="00A26498"/>
    <w:rsid w:val="00A31C5F"/>
    <w:rsid w:val="00A353E9"/>
    <w:rsid w:val="00A35DBD"/>
    <w:rsid w:val="00A411B2"/>
    <w:rsid w:val="00A415BC"/>
    <w:rsid w:val="00A54765"/>
    <w:rsid w:val="00A54B5D"/>
    <w:rsid w:val="00A56121"/>
    <w:rsid w:val="00A5792A"/>
    <w:rsid w:val="00A57CAF"/>
    <w:rsid w:val="00A613E3"/>
    <w:rsid w:val="00A626D2"/>
    <w:rsid w:val="00A643C0"/>
    <w:rsid w:val="00A65AA5"/>
    <w:rsid w:val="00A66866"/>
    <w:rsid w:val="00A7127F"/>
    <w:rsid w:val="00A716BF"/>
    <w:rsid w:val="00A739FF"/>
    <w:rsid w:val="00A73E63"/>
    <w:rsid w:val="00A7431A"/>
    <w:rsid w:val="00A76DD6"/>
    <w:rsid w:val="00A80B30"/>
    <w:rsid w:val="00A8445D"/>
    <w:rsid w:val="00A93687"/>
    <w:rsid w:val="00AA0632"/>
    <w:rsid w:val="00AA0D28"/>
    <w:rsid w:val="00AA2BF3"/>
    <w:rsid w:val="00AA35FB"/>
    <w:rsid w:val="00AA44C5"/>
    <w:rsid w:val="00AA6906"/>
    <w:rsid w:val="00AA72F9"/>
    <w:rsid w:val="00AA7B12"/>
    <w:rsid w:val="00AA7B24"/>
    <w:rsid w:val="00AA7FC7"/>
    <w:rsid w:val="00AB04F7"/>
    <w:rsid w:val="00AB2BE1"/>
    <w:rsid w:val="00AB2DAD"/>
    <w:rsid w:val="00AB3D29"/>
    <w:rsid w:val="00AB50D3"/>
    <w:rsid w:val="00AB5268"/>
    <w:rsid w:val="00AB5FC0"/>
    <w:rsid w:val="00AC08FF"/>
    <w:rsid w:val="00AC67E3"/>
    <w:rsid w:val="00AC6998"/>
    <w:rsid w:val="00AD1E48"/>
    <w:rsid w:val="00AD2B86"/>
    <w:rsid w:val="00AD51DF"/>
    <w:rsid w:val="00AD5BF7"/>
    <w:rsid w:val="00AD635E"/>
    <w:rsid w:val="00AD6493"/>
    <w:rsid w:val="00AE0FD9"/>
    <w:rsid w:val="00AE35A3"/>
    <w:rsid w:val="00AE38B6"/>
    <w:rsid w:val="00AE3B56"/>
    <w:rsid w:val="00AE532F"/>
    <w:rsid w:val="00AF0161"/>
    <w:rsid w:val="00AF3C2E"/>
    <w:rsid w:val="00AF7862"/>
    <w:rsid w:val="00B00099"/>
    <w:rsid w:val="00B00F41"/>
    <w:rsid w:val="00B00F63"/>
    <w:rsid w:val="00B013D7"/>
    <w:rsid w:val="00B02B6D"/>
    <w:rsid w:val="00B039BC"/>
    <w:rsid w:val="00B0493C"/>
    <w:rsid w:val="00B05FD4"/>
    <w:rsid w:val="00B061E2"/>
    <w:rsid w:val="00B07A86"/>
    <w:rsid w:val="00B10246"/>
    <w:rsid w:val="00B12D6F"/>
    <w:rsid w:val="00B12DB5"/>
    <w:rsid w:val="00B13534"/>
    <w:rsid w:val="00B138E1"/>
    <w:rsid w:val="00B141A8"/>
    <w:rsid w:val="00B16BA2"/>
    <w:rsid w:val="00B20196"/>
    <w:rsid w:val="00B205B5"/>
    <w:rsid w:val="00B20619"/>
    <w:rsid w:val="00B21DE3"/>
    <w:rsid w:val="00B220CF"/>
    <w:rsid w:val="00B2456A"/>
    <w:rsid w:val="00B25848"/>
    <w:rsid w:val="00B274F5"/>
    <w:rsid w:val="00B279C3"/>
    <w:rsid w:val="00B27EE8"/>
    <w:rsid w:val="00B310EF"/>
    <w:rsid w:val="00B33318"/>
    <w:rsid w:val="00B33538"/>
    <w:rsid w:val="00B343B9"/>
    <w:rsid w:val="00B34C9E"/>
    <w:rsid w:val="00B3515C"/>
    <w:rsid w:val="00B355EC"/>
    <w:rsid w:val="00B35B09"/>
    <w:rsid w:val="00B376A7"/>
    <w:rsid w:val="00B410D7"/>
    <w:rsid w:val="00B413FD"/>
    <w:rsid w:val="00B41E95"/>
    <w:rsid w:val="00B43BA6"/>
    <w:rsid w:val="00B46927"/>
    <w:rsid w:val="00B46BE1"/>
    <w:rsid w:val="00B55328"/>
    <w:rsid w:val="00B5677A"/>
    <w:rsid w:val="00B5721A"/>
    <w:rsid w:val="00B57445"/>
    <w:rsid w:val="00B7156B"/>
    <w:rsid w:val="00B7404D"/>
    <w:rsid w:val="00B802D1"/>
    <w:rsid w:val="00B808F7"/>
    <w:rsid w:val="00B8125E"/>
    <w:rsid w:val="00B8190D"/>
    <w:rsid w:val="00B82B0F"/>
    <w:rsid w:val="00B82B1B"/>
    <w:rsid w:val="00B84347"/>
    <w:rsid w:val="00B8435F"/>
    <w:rsid w:val="00B86EC2"/>
    <w:rsid w:val="00B87115"/>
    <w:rsid w:val="00B949C4"/>
    <w:rsid w:val="00BA170A"/>
    <w:rsid w:val="00BA39FF"/>
    <w:rsid w:val="00BA6F3F"/>
    <w:rsid w:val="00BB21C2"/>
    <w:rsid w:val="00BB2D64"/>
    <w:rsid w:val="00BB4DAF"/>
    <w:rsid w:val="00BC138D"/>
    <w:rsid w:val="00BC2438"/>
    <w:rsid w:val="00BC436B"/>
    <w:rsid w:val="00BD112C"/>
    <w:rsid w:val="00BD5DEF"/>
    <w:rsid w:val="00BD5E4E"/>
    <w:rsid w:val="00BD7E1D"/>
    <w:rsid w:val="00BE0564"/>
    <w:rsid w:val="00BE0594"/>
    <w:rsid w:val="00BE6776"/>
    <w:rsid w:val="00BE6DBA"/>
    <w:rsid w:val="00BE7FB4"/>
    <w:rsid w:val="00BF00FA"/>
    <w:rsid w:val="00BF1563"/>
    <w:rsid w:val="00BF1A28"/>
    <w:rsid w:val="00BF1CCB"/>
    <w:rsid w:val="00BF2027"/>
    <w:rsid w:val="00BF2524"/>
    <w:rsid w:val="00BF5979"/>
    <w:rsid w:val="00BF66F1"/>
    <w:rsid w:val="00C00C0A"/>
    <w:rsid w:val="00C00F1E"/>
    <w:rsid w:val="00C07AF3"/>
    <w:rsid w:val="00C107CD"/>
    <w:rsid w:val="00C10EC4"/>
    <w:rsid w:val="00C14E98"/>
    <w:rsid w:val="00C16AFD"/>
    <w:rsid w:val="00C214EC"/>
    <w:rsid w:val="00C21F27"/>
    <w:rsid w:val="00C23108"/>
    <w:rsid w:val="00C243D5"/>
    <w:rsid w:val="00C25E49"/>
    <w:rsid w:val="00C2729A"/>
    <w:rsid w:val="00C2776E"/>
    <w:rsid w:val="00C319EC"/>
    <w:rsid w:val="00C326E3"/>
    <w:rsid w:val="00C34594"/>
    <w:rsid w:val="00C4174D"/>
    <w:rsid w:val="00C4175B"/>
    <w:rsid w:val="00C46017"/>
    <w:rsid w:val="00C47AAC"/>
    <w:rsid w:val="00C53944"/>
    <w:rsid w:val="00C53E4C"/>
    <w:rsid w:val="00C53EEF"/>
    <w:rsid w:val="00C56204"/>
    <w:rsid w:val="00C5714E"/>
    <w:rsid w:val="00C62485"/>
    <w:rsid w:val="00C6502B"/>
    <w:rsid w:val="00C6570C"/>
    <w:rsid w:val="00C678D2"/>
    <w:rsid w:val="00C711D2"/>
    <w:rsid w:val="00C71C18"/>
    <w:rsid w:val="00C7222D"/>
    <w:rsid w:val="00C72A5F"/>
    <w:rsid w:val="00C73819"/>
    <w:rsid w:val="00C76531"/>
    <w:rsid w:val="00C81C43"/>
    <w:rsid w:val="00C833A9"/>
    <w:rsid w:val="00C86F89"/>
    <w:rsid w:val="00C947E0"/>
    <w:rsid w:val="00C94B3D"/>
    <w:rsid w:val="00CA0D29"/>
    <w:rsid w:val="00CA7231"/>
    <w:rsid w:val="00CB0FA0"/>
    <w:rsid w:val="00CB40F9"/>
    <w:rsid w:val="00CB6ABB"/>
    <w:rsid w:val="00CC13D6"/>
    <w:rsid w:val="00CC16CD"/>
    <w:rsid w:val="00CC3729"/>
    <w:rsid w:val="00CC3DE6"/>
    <w:rsid w:val="00CC4D1E"/>
    <w:rsid w:val="00CC61A0"/>
    <w:rsid w:val="00CC70FB"/>
    <w:rsid w:val="00CD11B4"/>
    <w:rsid w:val="00CD58B1"/>
    <w:rsid w:val="00CD6CA5"/>
    <w:rsid w:val="00CE0A22"/>
    <w:rsid w:val="00CE0DFB"/>
    <w:rsid w:val="00CE60A2"/>
    <w:rsid w:val="00CE68A4"/>
    <w:rsid w:val="00CE733B"/>
    <w:rsid w:val="00CE76BF"/>
    <w:rsid w:val="00CE7EF0"/>
    <w:rsid w:val="00CF229E"/>
    <w:rsid w:val="00D038A1"/>
    <w:rsid w:val="00D07042"/>
    <w:rsid w:val="00D10B85"/>
    <w:rsid w:val="00D14AA5"/>
    <w:rsid w:val="00D154F0"/>
    <w:rsid w:val="00D16506"/>
    <w:rsid w:val="00D217A3"/>
    <w:rsid w:val="00D22191"/>
    <w:rsid w:val="00D22C40"/>
    <w:rsid w:val="00D245D0"/>
    <w:rsid w:val="00D32BC1"/>
    <w:rsid w:val="00D3717A"/>
    <w:rsid w:val="00D40C09"/>
    <w:rsid w:val="00D4227E"/>
    <w:rsid w:val="00D428CC"/>
    <w:rsid w:val="00D452B1"/>
    <w:rsid w:val="00D45300"/>
    <w:rsid w:val="00D471CE"/>
    <w:rsid w:val="00D47B5C"/>
    <w:rsid w:val="00D50DB1"/>
    <w:rsid w:val="00D53F7D"/>
    <w:rsid w:val="00D5636D"/>
    <w:rsid w:val="00D6525A"/>
    <w:rsid w:val="00D653C4"/>
    <w:rsid w:val="00D665C9"/>
    <w:rsid w:val="00D70741"/>
    <w:rsid w:val="00D77660"/>
    <w:rsid w:val="00D77F6E"/>
    <w:rsid w:val="00D81811"/>
    <w:rsid w:val="00D82F62"/>
    <w:rsid w:val="00D848B1"/>
    <w:rsid w:val="00D91826"/>
    <w:rsid w:val="00D9597C"/>
    <w:rsid w:val="00D965BC"/>
    <w:rsid w:val="00D96687"/>
    <w:rsid w:val="00D9768A"/>
    <w:rsid w:val="00DA1C73"/>
    <w:rsid w:val="00DA31E0"/>
    <w:rsid w:val="00DA324E"/>
    <w:rsid w:val="00DA338B"/>
    <w:rsid w:val="00DA4152"/>
    <w:rsid w:val="00DA574D"/>
    <w:rsid w:val="00DA5ACC"/>
    <w:rsid w:val="00DA5EC8"/>
    <w:rsid w:val="00DA6320"/>
    <w:rsid w:val="00DB0572"/>
    <w:rsid w:val="00DB0653"/>
    <w:rsid w:val="00DB1587"/>
    <w:rsid w:val="00DB3088"/>
    <w:rsid w:val="00DB39D1"/>
    <w:rsid w:val="00DB4758"/>
    <w:rsid w:val="00DB6459"/>
    <w:rsid w:val="00DC0162"/>
    <w:rsid w:val="00DC16CC"/>
    <w:rsid w:val="00DC1B05"/>
    <w:rsid w:val="00DC1CE5"/>
    <w:rsid w:val="00DC7B77"/>
    <w:rsid w:val="00DD0A05"/>
    <w:rsid w:val="00DD31ED"/>
    <w:rsid w:val="00DD3348"/>
    <w:rsid w:val="00DD4561"/>
    <w:rsid w:val="00DD743A"/>
    <w:rsid w:val="00DD7EA2"/>
    <w:rsid w:val="00DE0EA8"/>
    <w:rsid w:val="00DE160B"/>
    <w:rsid w:val="00DE4184"/>
    <w:rsid w:val="00DE4210"/>
    <w:rsid w:val="00DE4758"/>
    <w:rsid w:val="00DE6416"/>
    <w:rsid w:val="00DF23F9"/>
    <w:rsid w:val="00DF63FD"/>
    <w:rsid w:val="00E00A60"/>
    <w:rsid w:val="00E012FD"/>
    <w:rsid w:val="00E03574"/>
    <w:rsid w:val="00E05682"/>
    <w:rsid w:val="00E065D0"/>
    <w:rsid w:val="00E11379"/>
    <w:rsid w:val="00E11839"/>
    <w:rsid w:val="00E121C2"/>
    <w:rsid w:val="00E1298D"/>
    <w:rsid w:val="00E13247"/>
    <w:rsid w:val="00E1589D"/>
    <w:rsid w:val="00E15ABE"/>
    <w:rsid w:val="00E20022"/>
    <w:rsid w:val="00E208D1"/>
    <w:rsid w:val="00E22947"/>
    <w:rsid w:val="00E2558A"/>
    <w:rsid w:val="00E304FE"/>
    <w:rsid w:val="00E311CD"/>
    <w:rsid w:val="00E337AF"/>
    <w:rsid w:val="00E33BFB"/>
    <w:rsid w:val="00E352CA"/>
    <w:rsid w:val="00E37CE2"/>
    <w:rsid w:val="00E4250E"/>
    <w:rsid w:val="00E446FA"/>
    <w:rsid w:val="00E459E6"/>
    <w:rsid w:val="00E47551"/>
    <w:rsid w:val="00E47CB5"/>
    <w:rsid w:val="00E5326E"/>
    <w:rsid w:val="00E539F9"/>
    <w:rsid w:val="00E53D2C"/>
    <w:rsid w:val="00E55156"/>
    <w:rsid w:val="00E5566A"/>
    <w:rsid w:val="00E619C7"/>
    <w:rsid w:val="00E71475"/>
    <w:rsid w:val="00E750CE"/>
    <w:rsid w:val="00E8624D"/>
    <w:rsid w:val="00E92182"/>
    <w:rsid w:val="00EA0515"/>
    <w:rsid w:val="00EA0BE3"/>
    <w:rsid w:val="00EA28AA"/>
    <w:rsid w:val="00EA4B9E"/>
    <w:rsid w:val="00EA4D68"/>
    <w:rsid w:val="00EA4E89"/>
    <w:rsid w:val="00EA4FC5"/>
    <w:rsid w:val="00EA59C5"/>
    <w:rsid w:val="00EA6B57"/>
    <w:rsid w:val="00EA6E73"/>
    <w:rsid w:val="00EB2D09"/>
    <w:rsid w:val="00EB4411"/>
    <w:rsid w:val="00EB6271"/>
    <w:rsid w:val="00EB73AC"/>
    <w:rsid w:val="00EC10BE"/>
    <w:rsid w:val="00EC19C3"/>
    <w:rsid w:val="00EC21D2"/>
    <w:rsid w:val="00EC6831"/>
    <w:rsid w:val="00EC69C4"/>
    <w:rsid w:val="00ED1BA4"/>
    <w:rsid w:val="00ED6260"/>
    <w:rsid w:val="00ED632F"/>
    <w:rsid w:val="00ED686A"/>
    <w:rsid w:val="00EE17FB"/>
    <w:rsid w:val="00EE3305"/>
    <w:rsid w:val="00EE3D1D"/>
    <w:rsid w:val="00EF2378"/>
    <w:rsid w:val="00EF56F4"/>
    <w:rsid w:val="00EF5952"/>
    <w:rsid w:val="00EF5C2D"/>
    <w:rsid w:val="00EF5D4D"/>
    <w:rsid w:val="00EF7339"/>
    <w:rsid w:val="00EF76FF"/>
    <w:rsid w:val="00F01ABF"/>
    <w:rsid w:val="00F029BB"/>
    <w:rsid w:val="00F07B5B"/>
    <w:rsid w:val="00F105F8"/>
    <w:rsid w:val="00F110AD"/>
    <w:rsid w:val="00F15726"/>
    <w:rsid w:val="00F15B64"/>
    <w:rsid w:val="00F1756C"/>
    <w:rsid w:val="00F2047D"/>
    <w:rsid w:val="00F21CA4"/>
    <w:rsid w:val="00F23328"/>
    <w:rsid w:val="00F23973"/>
    <w:rsid w:val="00F2597A"/>
    <w:rsid w:val="00F25CA7"/>
    <w:rsid w:val="00F26979"/>
    <w:rsid w:val="00F302F7"/>
    <w:rsid w:val="00F315FE"/>
    <w:rsid w:val="00F347BF"/>
    <w:rsid w:val="00F34CB0"/>
    <w:rsid w:val="00F368A2"/>
    <w:rsid w:val="00F41074"/>
    <w:rsid w:val="00F43A45"/>
    <w:rsid w:val="00F4416D"/>
    <w:rsid w:val="00F44FC8"/>
    <w:rsid w:val="00F516DC"/>
    <w:rsid w:val="00F54DA6"/>
    <w:rsid w:val="00F659F7"/>
    <w:rsid w:val="00F67122"/>
    <w:rsid w:val="00F73C30"/>
    <w:rsid w:val="00F73F72"/>
    <w:rsid w:val="00F74EDE"/>
    <w:rsid w:val="00F77083"/>
    <w:rsid w:val="00F81B25"/>
    <w:rsid w:val="00F81C26"/>
    <w:rsid w:val="00F84690"/>
    <w:rsid w:val="00F85B20"/>
    <w:rsid w:val="00F91E48"/>
    <w:rsid w:val="00F91E71"/>
    <w:rsid w:val="00F95399"/>
    <w:rsid w:val="00FA0C70"/>
    <w:rsid w:val="00FA39D8"/>
    <w:rsid w:val="00FA42B2"/>
    <w:rsid w:val="00FB33E7"/>
    <w:rsid w:val="00FB3DF4"/>
    <w:rsid w:val="00FB4269"/>
    <w:rsid w:val="00FB47D0"/>
    <w:rsid w:val="00FB5B0C"/>
    <w:rsid w:val="00FB66FA"/>
    <w:rsid w:val="00FB7AD5"/>
    <w:rsid w:val="00FB7F40"/>
    <w:rsid w:val="00FC0A00"/>
    <w:rsid w:val="00FC0A66"/>
    <w:rsid w:val="00FC1591"/>
    <w:rsid w:val="00FC1FFF"/>
    <w:rsid w:val="00FC3869"/>
    <w:rsid w:val="00FC577E"/>
    <w:rsid w:val="00FC6559"/>
    <w:rsid w:val="00FC6B3B"/>
    <w:rsid w:val="00FC6F82"/>
    <w:rsid w:val="00FD04FA"/>
    <w:rsid w:val="00FD7A7E"/>
    <w:rsid w:val="00FD7E6A"/>
    <w:rsid w:val="00FE0222"/>
    <w:rsid w:val="00FE1ACA"/>
    <w:rsid w:val="00FE2792"/>
    <w:rsid w:val="00FE42E5"/>
    <w:rsid w:val="00FE683F"/>
    <w:rsid w:val="00FE6A49"/>
    <w:rsid w:val="00FF0B1A"/>
    <w:rsid w:val="00FF7507"/>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250172"/>
  <w15:docId w15:val="{3036F2FE-890C-4C8B-A628-55C29B3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912"/>
    <w:pPr>
      <w:spacing w:after="120" w:line="360" w:lineRule="auto"/>
    </w:pPr>
    <w:rPr>
      <w:rFonts w:ascii="Lucida Sans" w:eastAsia="Times New Roman" w:hAnsi="Lucida San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55328"/>
    <w:pPr>
      <w:spacing w:after="0" w:line="240" w:lineRule="auto"/>
    </w:pPr>
    <w:rPr>
      <w:rFonts w:ascii="Arial" w:hAnsi="Arial"/>
      <w:sz w:val="20"/>
    </w:rPr>
  </w:style>
  <w:style w:type="character" w:customStyle="1" w:styleId="BodyTextChar">
    <w:name w:val="Body Text Char"/>
    <w:basedOn w:val="DefaultParagraphFont"/>
    <w:link w:val="BodyText"/>
    <w:semiHidden/>
    <w:rsid w:val="00B55328"/>
    <w:rPr>
      <w:rFonts w:ascii="Arial" w:eastAsia="Times New Roman" w:hAnsi="Arial" w:cs="Times New Roman"/>
      <w:sz w:val="20"/>
      <w:szCs w:val="24"/>
    </w:rPr>
  </w:style>
  <w:style w:type="character" w:styleId="Hyperlink">
    <w:name w:val="Hyperlink"/>
    <w:basedOn w:val="DefaultParagraphFont"/>
    <w:uiPriority w:val="99"/>
    <w:unhideWhenUsed/>
    <w:rsid w:val="005C2167"/>
    <w:rPr>
      <w:color w:val="0563C1" w:themeColor="hyperlink"/>
      <w:u w:val="single"/>
    </w:rPr>
  </w:style>
  <w:style w:type="paragraph" w:customStyle="1" w:styleId="EndNoteBibliographyTitle">
    <w:name w:val="EndNote Bibliography Title"/>
    <w:basedOn w:val="Normal"/>
    <w:link w:val="EndNoteBibliographyTitleChar"/>
    <w:rsid w:val="00F1756C"/>
    <w:pPr>
      <w:spacing w:after="0"/>
      <w:jc w:val="center"/>
    </w:pPr>
    <w:rPr>
      <w:rFonts w:cs="Lucida Sans"/>
      <w:noProof/>
      <w:lang w:val="en-US"/>
    </w:rPr>
  </w:style>
  <w:style w:type="character" w:customStyle="1" w:styleId="EndNoteBibliographyTitleChar">
    <w:name w:val="EndNote Bibliography Title Char"/>
    <w:basedOn w:val="DefaultParagraphFont"/>
    <w:link w:val="EndNoteBibliographyTitle"/>
    <w:rsid w:val="00F1756C"/>
    <w:rPr>
      <w:rFonts w:ascii="Lucida Sans" w:eastAsia="Times New Roman" w:hAnsi="Lucida Sans" w:cs="Lucida Sans"/>
      <w:noProof/>
      <w:szCs w:val="24"/>
      <w:lang w:val="en-US"/>
    </w:rPr>
  </w:style>
  <w:style w:type="paragraph" w:customStyle="1" w:styleId="EndNoteBibliography">
    <w:name w:val="EndNote Bibliography"/>
    <w:basedOn w:val="Normal"/>
    <w:link w:val="EndNoteBibliographyChar"/>
    <w:rsid w:val="00F1756C"/>
    <w:pPr>
      <w:spacing w:line="240" w:lineRule="auto"/>
    </w:pPr>
    <w:rPr>
      <w:rFonts w:cs="Lucida Sans"/>
      <w:noProof/>
      <w:lang w:val="en-US"/>
    </w:rPr>
  </w:style>
  <w:style w:type="character" w:customStyle="1" w:styleId="EndNoteBibliographyChar">
    <w:name w:val="EndNote Bibliography Char"/>
    <w:basedOn w:val="DefaultParagraphFont"/>
    <w:link w:val="EndNoteBibliography"/>
    <w:rsid w:val="00F1756C"/>
    <w:rPr>
      <w:rFonts w:ascii="Lucida Sans" w:eastAsia="Times New Roman" w:hAnsi="Lucida Sans" w:cs="Lucida Sans"/>
      <w:noProof/>
      <w:szCs w:val="24"/>
      <w:lang w:val="en-US"/>
    </w:rPr>
  </w:style>
  <w:style w:type="character" w:styleId="CommentReference">
    <w:name w:val="annotation reference"/>
    <w:basedOn w:val="DefaultParagraphFont"/>
    <w:uiPriority w:val="99"/>
    <w:semiHidden/>
    <w:unhideWhenUsed/>
    <w:rsid w:val="007856E6"/>
    <w:rPr>
      <w:sz w:val="16"/>
      <w:szCs w:val="16"/>
    </w:rPr>
  </w:style>
  <w:style w:type="paragraph" w:styleId="CommentText">
    <w:name w:val="annotation text"/>
    <w:basedOn w:val="Normal"/>
    <w:link w:val="CommentTextChar"/>
    <w:uiPriority w:val="99"/>
    <w:unhideWhenUsed/>
    <w:rsid w:val="007856E6"/>
    <w:pPr>
      <w:spacing w:after="0" w:line="240" w:lineRule="auto"/>
    </w:pPr>
    <w:rPr>
      <w:rFonts w:ascii="Times New Roman" w:eastAsiaTheme="minorHAnsi" w:hAnsi="Times New Roman"/>
      <w:sz w:val="20"/>
      <w:szCs w:val="20"/>
      <w:lang w:eastAsia="en-GB"/>
    </w:rPr>
  </w:style>
  <w:style w:type="character" w:customStyle="1" w:styleId="CommentTextChar">
    <w:name w:val="Comment Text Char"/>
    <w:basedOn w:val="DefaultParagraphFont"/>
    <w:link w:val="CommentText"/>
    <w:uiPriority w:val="99"/>
    <w:rsid w:val="007856E6"/>
    <w:rPr>
      <w:rFonts w:ascii="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85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6E6"/>
    <w:rPr>
      <w:rFonts w:ascii="Segoe UI" w:eastAsia="Times New Roman" w:hAnsi="Segoe UI" w:cs="Segoe UI"/>
      <w:sz w:val="18"/>
      <w:szCs w:val="18"/>
    </w:rPr>
  </w:style>
  <w:style w:type="character" w:customStyle="1" w:styleId="author">
    <w:name w:val="author"/>
    <w:basedOn w:val="DefaultParagraphFont"/>
    <w:rsid w:val="00955E51"/>
  </w:style>
  <w:style w:type="character" w:customStyle="1" w:styleId="apple-converted-space">
    <w:name w:val="apple-converted-space"/>
    <w:basedOn w:val="DefaultParagraphFont"/>
    <w:rsid w:val="00955E51"/>
  </w:style>
  <w:style w:type="character" w:customStyle="1" w:styleId="articletitle">
    <w:name w:val="articletitle"/>
    <w:basedOn w:val="DefaultParagraphFont"/>
    <w:rsid w:val="00955E51"/>
  </w:style>
  <w:style w:type="character" w:customStyle="1" w:styleId="journaltitle">
    <w:name w:val="journaltitle"/>
    <w:basedOn w:val="DefaultParagraphFont"/>
    <w:rsid w:val="00955E51"/>
  </w:style>
  <w:style w:type="character" w:customStyle="1" w:styleId="pubyear">
    <w:name w:val="pubyear"/>
    <w:basedOn w:val="DefaultParagraphFont"/>
    <w:rsid w:val="00955E51"/>
  </w:style>
  <w:style w:type="character" w:customStyle="1" w:styleId="vol">
    <w:name w:val="vol"/>
    <w:basedOn w:val="DefaultParagraphFont"/>
    <w:rsid w:val="00955E51"/>
  </w:style>
  <w:style w:type="character" w:customStyle="1" w:styleId="pagefirst">
    <w:name w:val="pagefirst"/>
    <w:basedOn w:val="DefaultParagraphFont"/>
    <w:rsid w:val="00955E51"/>
  </w:style>
  <w:style w:type="character" w:customStyle="1" w:styleId="pagelast">
    <w:name w:val="pagelast"/>
    <w:basedOn w:val="DefaultParagraphFont"/>
    <w:rsid w:val="00955E51"/>
  </w:style>
  <w:style w:type="paragraph" w:styleId="ListParagraph">
    <w:name w:val="List Paragraph"/>
    <w:basedOn w:val="Normal"/>
    <w:uiPriority w:val="34"/>
    <w:qFormat/>
    <w:rsid w:val="003E3E0A"/>
    <w:pPr>
      <w:spacing w:after="0" w:line="240" w:lineRule="auto"/>
      <w:ind w:left="720"/>
      <w:contextualSpacing/>
    </w:pPr>
    <w:rPr>
      <w:rFonts w:ascii="Times New Roman" w:hAnsi="Times New Roman"/>
      <w:sz w:val="24"/>
      <w:lang w:eastAsia="en-GB"/>
    </w:rPr>
  </w:style>
  <w:style w:type="paragraph" w:styleId="CommentSubject">
    <w:name w:val="annotation subject"/>
    <w:basedOn w:val="CommentText"/>
    <w:next w:val="CommentText"/>
    <w:link w:val="CommentSubjectChar"/>
    <w:uiPriority w:val="99"/>
    <w:semiHidden/>
    <w:unhideWhenUsed/>
    <w:rsid w:val="004607C9"/>
    <w:pPr>
      <w:spacing w:after="120"/>
    </w:pPr>
    <w:rPr>
      <w:rFonts w:ascii="Lucida Sans" w:eastAsia="Times New Roman" w:hAnsi="Lucida Sans"/>
      <w:b/>
      <w:bCs/>
      <w:lang w:eastAsia="en-US"/>
    </w:rPr>
  </w:style>
  <w:style w:type="character" w:customStyle="1" w:styleId="CommentSubjectChar">
    <w:name w:val="Comment Subject Char"/>
    <w:basedOn w:val="CommentTextChar"/>
    <w:link w:val="CommentSubject"/>
    <w:uiPriority w:val="99"/>
    <w:semiHidden/>
    <w:rsid w:val="004607C9"/>
    <w:rPr>
      <w:rFonts w:ascii="Lucida Sans" w:eastAsia="Times New Roman" w:hAnsi="Lucida Sans" w:cs="Times New Roman"/>
      <w:b/>
      <w:bCs/>
      <w:sz w:val="20"/>
      <w:szCs w:val="20"/>
      <w:lang w:eastAsia="en-GB"/>
    </w:rPr>
  </w:style>
  <w:style w:type="paragraph" w:styleId="Revision">
    <w:name w:val="Revision"/>
    <w:hidden/>
    <w:uiPriority w:val="99"/>
    <w:semiHidden/>
    <w:rsid w:val="009C2AC2"/>
    <w:pPr>
      <w:spacing w:after="0" w:line="240" w:lineRule="auto"/>
    </w:pPr>
    <w:rPr>
      <w:rFonts w:ascii="Lucida Sans" w:eastAsia="Times New Roman" w:hAnsi="Lucida Sans" w:cs="Times New Roman"/>
      <w:szCs w:val="24"/>
    </w:rPr>
  </w:style>
  <w:style w:type="paragraph" w:styleId="Header">
    <w:name w:val="header"/>
    <w:basedOn w:val="Normal"/>
    <w:link w:val="HeaderChar"/>
    <w:uiPriority w:val="99"/>
    <w:unhideWhenUsed/>
    <w:rsid w:val="006D1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5A1"/>
    <w:rPr>
      <w:rFonts w:ascii="Lucida Sans" w:eastAsia="Times New Roman" w:hAnsi="Lucida Sans" w:cs="Times New Roman"/>
      <w:szCs w:val="24"/>
    </w:rPr>
  </w:style>
  <w:style w:type="paragraph" w:styleId="Footer">
    <w:name w:val="footer"/>
    <w:basedOn w:val="Normal"/>
    <w:link w:val="FooterChar"/>
    <w:uiPriority w:val="99"/>
    <w:unhideWhenUsed/>
    <w:rsid w:val="006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5A1"/>
    <w:rPr>
      <w:rFonts w:ascii="Lucida Sans" w:eastAsia="Times New Roman" w:hAnsi="Lucida Sans" w:cs="Times New Roman"/>
      <w:szCs w:val="24"/>
    </w:rPr>
  </w:style>
  <w:style w:type="character" w:customStyle="1" w:styleId="st">
    <w:name w:val="st"/>
    <w:basedOn w:val="DefaultParagraphFont"/>
    <w:rsid w:val="00397EAF"/>
  </w:style>
  <w:style w:type="character" w:styleId="Emphasis">
    <w:name w:val="Emphasis"/>
    <w:basedOn w:val="DefaultParagraphFont"/>
    <w:uiPriority w:val="20"/>
    <w:qFormat/>
    <w:rsid w:val="00397EAF"/>
    <w:rPr>
      <w:i/>
      <w:iCs/>
    </w:rPr>
  </w:style>
  <w:style w:type="character" w:styleId="FollowedHyperlink">
    <w:name w:val="FollowedHyperlink"/>
    <w:basedOn w:val="DefaultParagraphFont"/>
    <w:uiPriority w:val="99"/>
    <w:semiHidden/>
    <w:unhideWhenUsed/>
    <w:rsid w:val="00022C35"/>
    <w:rPr>
      <w:color w:val="954F72" w:themeColor="followedHyperlink"/>
      <w:u w:val="single"/>
    </w:rPr>
  </w:style>
  <w:style w:type="paragraph" w:styleId="NormalWeb">
    <w:name w:val="Normal (Web)"/>
    <w:basedOn w:val="Normal"/>
    <w:uiPriority w:val="99"/>
    <w:semiHidden/>
    <w:unhideWhenUsed/>
    <w:rsid w:val="001A3CF9"/>
    <w:pPr>
      <w:spacing w:before="100" w:beforeAutospacing="1" w:after="100" w:afterAutospacing="1" w:line="240" w:lineRule="auto"/>
    </w:pPr>
    <w:rPr>
      <w:rFonts w:ascii="Times New Roman" w:hAnsi="Times New Roman"/>
      <w:sz w:val="24"/>
      <w:lang w:eastAsia="en-GB"/>
    </w:rPr>
  </w:style>
  <w:style w:type="paragraph" w:customStyle="1" w:styleId="Comments">
    <w:name w:val="Comments"/>
    <w:basedOn w:val="CommentText"/>
    <w:link w:val="CommentsChar"/>
    <w:qFormat/>
    <w:rsid w:val="006C4233"/>
    <w:rPr>
      <w:rFonts w:ascii="Arial" w:hAnsi="Arial"/>
      <w:b/>
    </w:rPr>
  </w:style>
  <w:style w:type="character" w:customStyle="1" w:styleId="CommentsChar">
    <w:name w:val="Comments Char"/>
    <w:basedOn w:val="CommentTextChar"/>
    <w:link w:val="Comments"/>
    <w:rsid w:val="006C4233"/>
    <w:rPr>
      <w:rFonts w:ascii="Arial" w:hAnsi="Arial" w:cs="Times New Roman"/>
      <w:b/>
      <w:sz w:val="20"/>
      <w:szCs w:val="20"/>
      <w:lang w:eastAsia="en-GB"/>
    </w:rPr>
  </w:style>
  <w:style w:type="paragraph" w:customStyle="1" w:styleId="Tabela">
    <w:name w:val="Tabela"/>
    <w:basedOn w:val="Normal"/>
    <w:link w:val="TabelaZnak"/>
    <w:qFormat/>
    <w:rsid w:val="004021A0"/>
    <w:pPr>
      <w:framePr w:hSpace="180" w:wrap="around" w:vAnchor="text" w:hAnchor="margin" w:y="-309"/>
      <w:spacing w:after="0" w:line="240" w:lineRule="auto"/>
      <w:jc w:val="both"/>
    </w:pPr>
    <w:rPr>
      <w:rFonts w:ascii="Times New Roman" w:hAnsi="Times New Roman"/>
      <w:sz w:val="20"/>
      <w:szCs w:val="20"/>
      <w:lang w:eastAsia="en-GB"/>
    </w:rPr>
  </w:style>
  <w:style w:type="character" w:customStyle="1" w:styleId="TabelaZnak">
    <w:name w:val="Tabela Znak"/>
    <w:basedOn w:val="DefaultParagraphFont"/>
    <w:link w:val="Tabela"/>
    <w:rsid w:val="004021A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025">
      <w:bodyDiv w:val="1"/>
      <w:marLeft w:val="0"/>
      <w:marRight w:val="0"/>
      <w:marTop w:val="0"/>
      <w:marBottom w:val="0"/>
      <w:divBdr>
        <w:top w:val="none" w:sz="0" w:space="0" w:color="auto"/>
        <w:left w:val="none" w:sz="0" w:space="0" w:color="auto"/>
        <w:bottom w:val="none" w:sz="0" w:space="0" w:color="auto"/>
        <w:right w:val="none" w:sz="0" w:space="0" w:color="auto"/>
      </w:divBdr>
    </w:div>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49562572">
      <w:bodyDiv w:val="1"/>
      <w:marLeft w:val="0"/>
      <w:marRight w:val="0"/>
      <w:marTop w:val="0"/>
      <w:marBottom w:val="0"/>
      <w:divBdr>
        <w:top w:val="none" w:sz="0" w:space="0" w:color="auto"/>
        <w:left w:val="none" w:sz="0" w:space="0" w:color="auto"/>
        <w:bottom w:val="none" w:sz="0" w:space="0" w:color="auto"/>
        <w:right w:val="none" w:sz="0" w:space="0" w:color="auto"/>
      </w:divBdr>
    </w:div>
    <w:div w:id="161707271">
      <w:bodyDiv w:val="1"/>
      <w:marLeft w:val="0"/>
      <w:marRight w:val="0"/>
      <w:marTop w:val="0"/>
      <w:marBottom w:val="0"/>
      <w:divBdr>
        <w:top w:val="none" w:sz="0" w:space="0" w:color="auto"/>
        <w:left w:val="none" w:sz="0" w:space="0" w:color="auto"/>
        <w:bottom w:val="none" w:sz="0" w:space="0" w:color="auto"/>
        <w:right w:val="none" w:sz="0" w:space="0" w:color="auto"/>
      </w:divBdr>
    </w:div>
    <w:div w:id="254291680">
      <w:bodyDiv w:val="1"/>
      <w:marLeft w:val="0"/>
      <w:marRight w:val="0"/>
      <w:marTop w:val="0"/>
      <w:marBottom w:val="0"/>
      <w:divBdr>
        <w:top w:val="none" w:sz="0" w:space="0" w:color="auto"/>
        <w:left w:val="none" w:sz="0" w:space="0" w:color="auto"/>
        <w:bottom w:val="none" w:sz="0" w:space="0" w:color="auto"/>
        <w:right w:val="none" w:sz="0" w:space="0" w:color="auto"/>
      </w:divBdr>
      <w:divsChild>
        <w:div w:id="1669794233">
          <w:marLeft w:val="0"/>
          <w:marRight w:val="0"/>
          <w:marTop w:val="0"/>
          <w:marBottom w:val="0"/>
          <w:divBdr>
            <w:top w:val="none" w:sz="0" w:space="0" w:color="auto"/>
            <w:left w:val="none" w:sz="0" w:space="0" w:color="auto"/>
            <w:bottom w:val="none" w:sz="0" w:space="0" w:color="auto"/>
            <w:right w:val="none" w:sz="0" w:space="0" w:color="auto"/>
          </w:divBdr>
          <w:divsChild>
            <w:div w:id="1542985172">
              <w:marLeft w:val="0"/>
              <w:marRight w:val="0"/>
              <w:marTop w:val="0"/>
              <w:marBottom w:val="0"/>
              <w:divBdr>
                <w:top w:val="none" w:sz="0" w:space="0" w:color="auto"/>
                <w:left w:val="none" w:sz="0" w:space="0" w:color="auto"/>
                <w:bottom w:val="none" w:sz="0" w:space="0" w:color="auto"/>
                <w:right w:val="none" w:sz="0" w:space="0" w:color="auto"/>
              </w:divBdr>
              <w:divsChild>
                <w:div w:id="1043868310">
                  <w:marLeft w:val="0"/>
                  <w:marRight w:val="0"/>
                  <w:marTop w:val="0"/>
                  <w:marBottom w:val="0"/>
                  <w:divBdr>
                    <w:top w:val="none" w:sz="0" w:space="0" w:color="auto"/>
                    <w:left w:val="none" w:sz="0" w:space="0" w:color="auto"/>
                    <w:bottom w:val="none" w:sz="0" w:space="0" w:color="auto"/>
                    <w:right w:val="none" w:sz="0" w:space="0" w:color="auto"/>
                  </w:divBdr>
                  <w:divsChild>
                    <w:div w:id="121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30859">
      <w:bodyDiv w:val="1"/>
      <w:marLeft w:val="0"/>
      <w:marRight w:val="0"/>
      <w:marTop w:val="0"/>
      <w:marBottom w:val="0"/>
      <w:divBdr>
        <w:top w:val="none" w:sz="0" w:space="0" w:color="auto"/>
        <w:left w:val="none" w:sz="0" w:space="0" w:color="auto"/>
        <w:bottom w:val="none" w:sz="0" w:space="0" w:color="auto"/>
        <w:right w:val="none" w:sz="0" w:space="0" w:color="auto"/>
      </w:divBdr>
    </w:div>
    <w:div w:id="398017988">
      <w:bodyDiv w:val="1"/>
      <w:marLeft w:val="0"/>
      <w:marRight w:val="0"/>
      <w:marTop w:val="0"/>
      <w:marBottom w:val="0"/>
      <w:divBdr>
        <w:top w:val="none" w:sz="0" w:space="0" w:color="auto"/>
        <w:left w:val="none" w:sz="0" w:space="0" w:color="auto"/>
        <w:bottom w:val="none" w:sz="0" w:space="0" w:color="auto"/>
        <w:right w:val="none" w:sz="0" w:space="0" w:color="auto"/>
      </w:divBdr>
    </w:div>
    <w:div w:id="439762023">
      <w:bodyDiv w:val="1"/>
      <w:marLeft w:val="0"/>
      <w:marRight w:val="0"/>
      <w:marTop w:val="0"/>
      <w:marBottom w:val="0"/>
      <w:divBdr>
        <w:top w:val="none" w:sz="0" w:space="0" w:color="auto"/>
        <w:left w:val="none" w:sz="0" w:space="0" w:color="auto"/>
        <w:bottom w:val="none" w:sz="0" w:space="0" w:color="auto"/>
        <w:right w:val="none" w:sz="0" w:space="0" w:color="auto"/>
      </w:divBdr>
    </w:div>
    <w:div w:id="538586179">
      <w:bodyDiv w:val="1"/>
      <w:marLeft w:val="0"/>
      <w:marRight w:val="0"/>
      <w:marTop w:val="0"/>
      <w:marBottom w:val="0"/>
      <w:divBdr>
        <w:top w:val="none" w:sz="0" w:space="0" w:color="auto"/>
        <w:left w:val="none" w:sz="0" w:space="0" w:color="auto"/>
        <w:bottom w:val="none" w:sz="0" w:space="0" w:color="auto"/>
        <w:right w:val="none" w:sz="0" w:space="0" w:color="auto"/>
      </w:divBdr>
    </w:div>
    <w:div w:id="548877679">
      <w:bodyDiv w:val="1"/>
      <w:marLeft w:val="0"/>
      <w:marRight w:val="0"/>
      <w:marTop w:val="0"/>
      <w:marBottom w:val="0"/>
      <w:divBdr>
        <w:top w:val="none" w:sz="0" w:space="0" w:color="auto"/>
        <w:left w:val="none" w:sz="0" w:space="0" w:color="auto"/>
        <w:bottom w:val="none" w:sz="0" w:space="0" w:color="auto"/>
        <w:right w:val="none" w:sz="0" w:space="0" w:color="auto"/>
      </w:divBdr>
    </w:div>
    <w:div w:id="589697852">
      <w:bodyDiv w:val="1"/>
      <w:marLeft w:val="0"/>
      <w:marRight w:val="0"/>
      <w:marTop w:val="0"/>
      <w:marBottom w:val="0"/>
      <w:divBdr>
        <w:top w:val="none" w:sz="0" w:space="0" w:color="auto"/>
        <w:left w:val="none" w:sz="0" w:space="0" w:color="auto"/>
        <w:bottom w:val="none" w:sz="0" w:space="0" w:color="auto"/>
        <w:right w:val="none" w:sz="0" w:space="0" w:color="auto"/>
      </w:divBdr>
    </w:div>
    <w:div w:id="646015120">
      <w:bodyDiv w:val="1"/>
      <w:marLeft w:val="0"/>
      <w:marRight w:val="0"/>
      <w:marTop w:val="0"/>
      <w:marBottom w:val="0"/>
      <w:divBdr>
        <w:top w:val="none" w:sz="0" w:space="0" w:color="auto"/>
        <w:left w:val="none" w:sz="0" w:space="0" w:color="auto"/>
        <w:bottom w:val="none" w:sz="0" w:space="0" w:color="auto"/>
        <w:right w:val="none" w:sz="0" w:space="0" w:color="auto"/>
      </w:divBdr>
    </w:div>
    <w:div w:id="697976278">
      <w:bodyDiv w:val="1"/>
      <w:marLeft w:val="0"/>
      <w:marRight w:val="0"/>
      <w:marTop w:val="0"/>
      <w:marBottom w:val="0"/>
      <w:divBdr>
        <w:top w:val="none" w:sz="0" w:space="0" w:color="auto"/>
        <w:left w:val="none" w:sz="0" w:space="0" w:color="auto"/>
        <w:bottom w:val="none" w:sz="0" w:space="0" w:color="auto"/>
        <w:right w:val="none" w:sz="0" w:space="0" w:color="auto"/>
      </w:divBdr>
      <w:divsChild>
        <w:div w:id="1754084897">
          <w:marLeft w:val="547"/>
          <w:marRight w:val="0"/>
          <w:marTop w:val="110"/>
          <w:marBottom w:val="0"/>
          <w:divBdr>
            <w:top w:val="none" w:sz="0" w:space="0" w:color="auto"/>
            <w:left w:val="none" w:sz="0" w:space="0" w:color="auto"/>
            <w:bottom w:val="none" w:sz="0" w:space="0" w:color="auto"/>
            <w:right w:val="none" w:sz="0" w:space="0" w:color="auto"/>
          </w:divBdr>
        </w:div>
      </w:divsChild>
    </w:div>
    <w:div w:id="715932980">
      <w:bodyDiv w:val="1"/>
      <w:marLeft w:val="0"/>
      <w:marRight w:val="0"/>
      <w:marTop w:val="0"/>
      <w:marBottom w:val="0"/>
      <w:divBdr>
        <w:top w:val="none" w:sz="0" w:space="0" w:color="auto"/>
        <w:left w:val="none" w:sz="0" w:space="0" w:color="auto"/>
        <w:bottom w:val="none" w:sz="0" w:space="0" w:color="auto"/>
        <w:right w:val="none" w:sz="0" w:space="0" w:color="auto"/>
      </w:divBdr>
    </w:div>
    <w:div w:id="738864254">
      <w:bodyDiv w:val="1"/>
      <w:marLeft w:val="0"/>
      <w:marRight w:val="0"/>
      <w:marTop w:val="0"/>
      <w:marBottom w:val="0"/>
      <w:divBdr>
        <w:top w:val="none" w:sz="0" w:space="0" w:color="auto"/>
        <w:left w:val="none" w:sz="0" w:space="0" w:color="auto"/>
        <w:bottom w:val="none" w:sz="0" w:space="0" w:color="auto"/>
        <w:right w:val="none" w:sz="0" w:space="0" w:color="auto"/>
      </w:divBdr>
    </w:div>
    <w:div w:id="914164375">
      <w:bodyDiv w:val="1"/>
      <w:marLeft w:val="0"/>
      <w:marRight w:val="0"/>
      <w:marTop w:val="0"/>
      <w:marBottom w:val="0"/>
      <w:divBdr>
        <w:top w:val="none" w:sz="0" w:space="0" w:color="auto"/>
        <w:left w:val="none" w:sz="0" w:space="0" w:color="auto"/>
        <w:bottom w:val="none" w:sz="0" w:space="0" w:color="auto"/>
        <w:right w:val="none" w:sz="0" w:space="0" w:color="auto"/>
      </w:divBdr>
      <w:divsChild>
        <w:div w:id="64686726">
          <w:marLeft w:val="1166"/>
          <w:marRight w:val="0"/>
          <w:marTop w:val="110"/>
          <w:marBottom w:val="0"/>
          <w:divBdr>
            <w:top w:val="none" w:sz="0" w:space="0" w:color="auto"/>
            <w:left w:val="none" w:sz="0" w:space="0" w:color="auto"/>
            <w:bottom w:val="none" w:sz="0" w:space="0" w:color="auto"/>
            <w:right w:val="none" w:sz="0" w:space="0" w:color="auto"/>
          </w:divBdr>
        </w:div>
        <w:div w:id="379013037">
          <w:marLeft w:val="1166"/>
          <w:marRight w:val="0"/>
          <w:marTop w:val="110"/>
          <w:marBottom w:val="0"/>
          <w:divBdr>
            <w:top w:val="none" w:sz="0" w:space="0" w:color="auto"/>
            <w:left w:val="none" w:sz="0" w:space="0" w:color="auto"/>
            <w:bottom w:val="none" w:sz="0" w:space="0" w:color="auto"/>
            <w:right w:val="none" w:sz="0" w:space="0" w:color="auto"/>
          </w:divBdr>
        </w:div>
        <w:div w:id="1144664627">
          <w:marLeft w:val="1166"/>
          <w:marRight w:val="0"/>
          <w:marTop w:val="110"/>
          <w:marBottom w:val="0"/>
          <w:divBdr>
            <w:top w:val="none" w:sz="0" w:space="0" w:color="auto"/>
            <w:left w:val="none" w:sz="0" w:space="0" w:color="auto"/>
            <w:bottom w:val="none" w:sz="0" w:space="0" w:color="auto"/>
            <w:right w:val="none" w:sz="0" w:space="0" w:color="auto"/>
          </w:divBdr>
        </w:div>
        <w:div w:id="2140760356">
          <w:marLeft w:val="547"/>
          <w:marRight w:val="0"/>
          <w:marTop w:val="110"/>
          <w:marBottom w:val="0"/>
          <w:divBdr>
            <w:top w:val="none" w:sz="0" w:space="0" w:color="auto"/>
            <w:left w:val="none" w:sz="0" w:space="0" w:color="auto"/>
            <w:bottom w:val="none" w:sz="0" w:space="0" w:color="auto"/>
            <w:right w:val="none" w:sz="0" w:space="0" w:color="auto"/>
          </w:divBdr>
        </w:div>
      </w:divsChild>
    </w:div>
    <w:div w:id="1029641023">
      <w:bodyDiv w:val="1"/>
      <w:marLeft w:val="0"/>
      <w:marRight w:val="0"/>
      <w:marTop w:val="0"/>
      <w:marBottom w:val="0"/>
      <w:divBdr>
        <w:top w:val="none" w:sz="0" w:space="0" w:color="auto"/>
        <w:left w:val="none" w:sz="0" w:space="0" w:color="auto"/>
        <w:bottom w:val="none" w:sz="0" w:space="0" w:color="auto"/>
        <w:right w:val="none" w:sz="0" w:space="0" w:color="auto"/>
      </w:divBdr>
    </w:div>
    <w:div w:id="1037435627">
      <w:bodyDiv w:val="1"/>
      <w:marLeft w:val="0"/>
      <w:marRight w:val="0"/>
      <w:marTop w:val="0"/>
      <w:marBottom w:val="0"/>
      <w:divBdr>
        <w:top w:val="none" w:sz="0" w:space="0" w:color="auto"/>
        <w:left w:val="none" w:sz="0" w:space="0" w:color="auto"/>
        <w:bottom w:val="none" w:sz="0" w:space="0" w:color="auto"/>
        <w:right w:val="none" w:sz="0" w:space="0" w:color="auto"/>
      </w:divBdr>
    </w:div>
    <w:div w:id="1088890354">
      <w:bodyDiv w:val="1"/>
      <w:marLeft w:val="0"/>
      <w:marRight w:val="0"/>
      <w:marTop w:val="0"/>
      <w:marBottom w:val="0"/>
      <w:divBdr>
        <w:top w:val="none" w:sz="0" w:space="0" w:color="auto"/>
        <w:left w:val="none" w:sz="0" w:space="0" w:color="auto"/>
        <w:bottom w:val="none" w:sz="0" w:space="0" w:color="auto"/>
        <w:right w:val="none" w:sz="0" w:space="0" w:color="auto"/>
      </w:divBdr>
    </w:div>
    <w:div w:id="1172380551">
      <w:bodyDiv w:val="1"/>
      <w:marLeft w:val="0"/>
      <w:marRight w:val="0"/>
      <w:marTop w:val="0"/>
      <w:marBottom w:val="0"/>
      <w:divBdr>
        <w:top w:val="none" w:sz="0" w:space="0" w:color="auto"/>
        <w:left w:val="none" w:sz="0" w:space="0" w:color="auto"/>
        <w:bottom w:val="none" w:sz="0" w:space="0" w:color="auto"/>
        <w:right w:val="none" w:sz="0" w:space="0" w:color="auto"/>
      </w:divBdr>
    </w:div>
    <w:div w:id="1261181349">
      <w:bodyDiv w:val="1"/>
      <w:marLeft w:val="0"/>
      <w:marRight w:val="0"/>
      <w:marTop w:val="0"/>
      <w:marBottom w:val="0"/>
      <w:divBdr>
        <w:top w:val="none" w:sz="0" w:space="0" w:color="auto"/>
        <w:left w:val="none" w:sz="0" w:space="0" w:color="auto"/>
        <w:bottom w:val="none" w:sz="0" w:space="0" w:color="auto"/>
        <w:right w:val="none" w:sz="0" w:space="0" w:color="auto"/>
      </w:divBdr>
      <w:divsChild>
        <w:div w:id="1863787641">
          <w:marLeft w:val="547"/>
          <w:marRight w:val="0"/>
          <w:marTop w:val="91"/>
          <w:marBottom w:val="0"/>
          <w:divBdr>
            <w:top w:val="none" w:sz="0" w:space="0" w:color="auto"/>
            <w:left w:val="none" w:sz="0" w:space="0" w:color="auto"/>
            <w:bottom w:val="none" w:sz="0" w:space="0" w:color="auto"/>
            <w:right w:val="none" w:sz="0" w:space="0" w:color="auto"/>
          </w:divBdr>
        </w:div>
      </w:divsChild>
    </w:div>
    <w:div w:id="1276791984">
      <w:bodyDiv w:val="1"/>
      <w:marLeft w:val="0"/>
      <w:marRight w:val="0"/>
      <w:marTop w:val="0"/>
      <w:marBottom w:val="0"/>
      <w:divBdr>
        <w:top w:val="none" w:sz="0" w:space="0" w:color="auto"/>
        <w:left w:val="none" w:sz="0" w:space="0" w:color="auto"/>
        <w:bottom w:val="none" w:sz="0" w:space="0" w:color="auto"/>
        <w:right w:val="none" w:sz="0" w:space="0" w:color="auto"/>
      </w:divBdr>
    </w:div>
    <w:div w:id="1350715029">
      <w:bodyDiv w:val="1"/>
      <w:marLeft w:val="0"/>
      <w:marRight w:val="0"/>
      <w:marTop w:val="0"/>
      <w:marBottom w:val="0"/>
      <w:divBdr>
        <w:top w:val="none" w:sz="0" w:space="0" w:color="auto"/>
        <w:left w:val="none" w:sz="0" w:space="0" w:color="auto"/>
        <w:bottom w:val="none" w:sz="0" w:space="0" w:color="auto"/>
        <w:right w:val="none" w:sz="0" w:space="0" w:color="auto"/>
      </w:divBdr>
    </w:div>
    <w:div w:id="1376463982">
      <w:bodyDiv w:val="1"/>
      <w:marLeft w:val="0"/>
      <w:marRight w:val="0"/>
      <w:marTop w:val="0"/>
      <w:marBottom w:val="0"/>
      <w:divBdr>
        <w:top w:val="none" w:sz="0" w:space="0" w:color="auto"/>
        <w:left w:val="none" w:sz="0" w:space="0" w:color="auto"/>
        <w:bottom w:val="none" w:sz="0" w:space="0" w:color="auto"/>
        <w:right w:val="none" w:sz="0" w:space="0" w:color="auto"/>
      </w:divBdr>
    </w:div>
    <w:div w:id="1405495873">
      <w:bodyDiv w:val="1"/>
      <w:marLeft w:val="0"/>
      <w:marRight w:val="0"/>
      <w:marTop w:val="0"/>
      <w:marBottom w:val="0"/>
      <w:divBdr>
        <w:top w:val="none" w:sz="0" w:space="0" w:color="auto"/>
        <w:left w:val="none" w:sz="0" w:space="0" w:color="auto"/>
        <w:bottom w:val="none" w:sz="0" w:space="0" w:color="auto"/>
        <w:right w:val="none" w:sz="0" w:space="0" w:color="auto"/>
      </w:divBdr>
    </w:div>
    <w:div w:id="1416515064">
      <w:bodyDiv w:val="1"/>
      <w:marLeft w:val="0"/>
      <w:marRight w:val="0"/>
      <w:marTop w:val="0"/>
      <w:marBottom w:val="0"/>
      <w:divBdr>
        <w:top w:val="none" w:sz="0" w:space="0" w:color="auto"/>
        <w:left w:val="none" w:sz="0" w:space="0" w:color="auto"/>
        <w:bottom w:val="none" w:sz="0" w:space="0" w:color="auto"/>
        <w:right w:val="none" w:sz="0" w:space="0" w:color="auto"/>
      </w:divBdr>
    </w:div>
    <w:div w:id="1427114074">
      <w:bodyDiv w:val="1"/>
      <w:marLeft w:val="0"/>
      <w:marRight w:val="0"/>
      <w:marTop w:val="0"/>
      <w:marBottom w:val="0"/>
      <w:divBdr>
        <w:top w:val="none" w:sz="0" w:space="0" w:color="auto"/>
        <w:left w:val="none" w:sz="0" w:space="0" w:color="auto"/>
        <w:bottom w:val="none" w:sz="0" w:space="0" w:color="auto"/>
        <w:right w:val="none" w:sz="0" w:space="0" w:color="auto"/>
      </w:divBdr>
    </w:div>
    <w:div w:id="1449082623">
      <w:bodyDiv w:val="1"/>
      <w:marLeft w:val="0"/>
      <w:marRight w:val="0"/>
      <w:marTop w:val="0"/>
      <w:marBottom w:val="0"/>
      <w:divBdr>
        <w:top w:val="none" w:sz="0" w:space="0" w:color="auto"/>
        <w:left w:val="none" w:sz="0" w:space="0" w:color="auto"/>
        <w:bottom w:val="none" w:sz="0" w:space="0" w:color="auto"/>
        <w:right w:val="none" w:sz="0" w:space="0" w:color="auto"/>
      </w:divBdr>
      <w:divsChild>
        <w:div w:id="5177802">
          <w:marLeft w:val="547"/>
          <w:marRight w:val="0"/>
          <w:marTop w:val="115"/>
          <w:marBottom w:val="0"/>
          <w:divBdr>
            <w:top w:val="none" w:sz="0" w:space="0" w:color="auto"/>
            <w:left w:val="none" w:sz="0" w:space="0" w:color="auto"/>
            <w:bottom w:val="none" w:sz="0" w:space="0" w:color="auto"/>
            <w:right w:val="none" w:sz="0" w:space="0" w:color="auto"/>
          </w:divBdr>
        </w:div>
        <w:div w:id="1848906063">
          <w:marLeft w:val="547"/>
          <w:marRight w:val="0"/>
          <w:marTop w:val="115"/>
          <w:marBottom w:val="0"/>
          <w:divBdr>
            <w:top w:val="none" w:sz="0" w:space="0" w:color="auto"/>
            <w:left w:val="none" w:sz="0" w:space="0" w:color="auto"/>
            <w:bottom w:val="none" w:sz="0" w:space="0" w:color="auto"/>
            <w:right w:val="none" w:sz="0" w:space="0" w:color="auto"/>
          </w:divBdr>
        </w:div>
        <w:div w:id="1956716728">
          <w:marLeft w:val="547"/>
          <w:marRight w:val="0"/>
          <w:marTop w:val="115"/>
          <w:marBottom w:val="0"/>
          <w:divBdr>
            <w:top w:val="none" w:sz="0" w:space="0" w:color="auto"/>
            <w:left w:val="none" w:sz="0" w:space="0" w:color="auto"/>
            <w:bottom w:val="none" w:sz="0" w:space="0" w:color="auto"/>
            <w:right w:val="none" w:sz="0" w:space="0" w:color="auto"/>
          </w:divBdr>
        </w:div>
      </w:divsChild>
    </w:div>
    <w:div w:id="1482234272">
      <w:bodyDiv w:val="1"/>
      <w:marLeft w:val="0"/>
      <w:marRight w:val="0"/>
      <w:marTop w:val="0"/>
      <w:marBottom w:val="0"/>
      <w:divBdr>
        <w:top w:val="none" w:sz="0" w:space="0" w:color="auto"/>
        <w:left w:val="none" w:sz="0" w:space="0" w:color="auto"/>
        <w:bottom w:val="none" w:sz="0" w:space="0" w:color="auto"/>
        <w:right w:val="none" w:sz="0" w:space="0" w:color="auto"/>
      </w:divBdr>
    </w:div>
    <w:div w:id="1584601381">
      <w:bodyDiv w:val="1"/>
      <w:marLeft w:val="0"/>
      <w:marRight w:val="0"/>
      <w:marTop w:val="0"/>
      <w:marBottom w:val="0"/>
      <w:divBdr>
        <w:top w:val="none" w:sz="0" w:space="0" w:color="auto"/>
        <w:left w:val="none" w:sz="0" w:space="0" w:color="auto"/>
        <w:bottom w:val="none" w:sz="0" w:space="0" w:color="auto"/>
        <w:right w:val="none" w:sz="0" w:space="0" w:color="auto"/>
      </w:divBdr>
    </w:div>
    <w:div w:id="1590502357">
      <w:bodyDiv w:val="1"/>
      <w:marLeft w:val="0"/>
      <w:marRight w:val="0"/>
      <w:marTop w:val="0"/>
      <w:marBottom w:val="0"/>
      <w:divBdr>
        <w:top w:val="none" w:sz="0" w:space="0" w:color="auto"/>
        <w:left w:val="none" w:sz="0" w:space="0" w:color="auto"/>
        <w:bottom w:val="none" w:sz="0" w:space="0" w:color="auto"/>
        <w:right w:val="none" w:sz="0" w:space="0" w:color="auto"/>
      </w:divBdr>
      <w:divsChild>
        <w:div w:id="338048493">
          <w:marLeft w:val="0"/>
          <w:marRight w:val="0"/>
          <w:marTop w:val="0"/>
          <w:marBottom w:val="0"/>
          <w:divBdr>
            <w:top w:val="none" w:sz="0" w:space="0" w:color="auto"/>
            <w:left w:val="none" w:sz="0" w:space="0" w:color="auto"/>
            <w:bottom w:val="none" w:sz="0" w:space="0" w:color="auto"/>
            <w:right w:val="none" w:sz="0" w:space="0" w:color="auto"/>
          </w:divBdr>
          <w:divsChild>
            <w:div w:id="686296649">
              <w:marLeft w:val="0"/>
              <w:marRight w:val="0"/>
              <w:marTop w:val="0"/>
              <w:marBottom w:val="0"/>
              <w:divBdr>
                <w:top w:val="none" w:sz="0" w:space="0" w:color="auto"/>
                <w:left w:val="none" w:sz="0" w:space="0" w:color="auto"/>
                <w:bottom w:val="none" w:sz="0" w:space="0" w:color="auto"/>
                <w:right w:val="none" w:sz="0" w:space="0" w:color="auto"/>
              </w:divBdr>
              <w:divsChild>
                <w:div w:id="303118214">
                  <w:marLeft w:val="0"/>
                  <w:marRight w:val="0"/>
                  <w:marTop w:val="0"/>
                  <w:marBottom w:val="0"/>
                  <w:divBdr>
                    <w:top w:val="none" w:sz="0" w:space="0" w:color="auto"/>
                    <w:left w:val="none" w:sz="0" w:space="0" w:color="auto"/>
                    <w:bottom w:val="none" w:sz="0" w:space="0" w:color="auto"/>
                    <w:right w:val="none" w:sz="0" w:space="0" w:color="auto"/>
                  </w:divBdr>
                  <w:divsChild>
                    <w:div w:id="20298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9293">
      <w:bodyDiv w:val="1"/>
      <w:marLeft w:val="0"/>
      <w:marRight w:val="0"/>
      <w:marTop w:val="0"/>
      <w:marBottom w:val="0"/>
      <w:divBdr>
        <w:top w:val="none" w:sz="0" w:space="0" w:color="auto"/>
        <w:left w:val="none" w:sz="0" w:space="0" w:color="auto"/>
        <w:bottom w:val="none" w:sz="0" w:space="0" w:color="auto"/>
        <w:right w:val="none" w:sz="0" w:space="0" w:color="auto"/>
      </w:divBdr>
      <w:divsChild>
        <w:div w:id="1044719664">
          <w:marLeft w:val="547"/>
          <w:marRight w:val="0"/>
          <w:marTop w:val="96"/>
          <w:marBottom w:val="0"/>
          <w:divBdr>
            <w:top w:val="none" w:sz="0" w:space="0" w:color="auto"/>
            <w:left w:val="none" w:sz="0" w:space="0" w:color="auto"/>
            <w:bottom w:val="none" w:sz="0" w:space="0" w:color="auto"/>
            <w:right w:val="none" w:sz="0" w:space="0" w:color="auto"/>
          </w:divBdr>
        </w:div>
      </w:divsChild>
    </w:div>
    <w:div w:id="1649676059">
      <w:bodyDiv w:val="1"/>
      <w:marLeft w:val="0"/>
      <w:marRight w:val="0"/>
      <w:marTop w:val="0"/>
      <w:marBottom w:val="0"/>
      <w:divBdr>
        <w:top w:val="none" w:sz="0" w:space="0" w:color="auto"/>
        <w:left w:val="none" w:sz="0" w:space="0" w:color="auto"/>
        <w:bottom w:val="none" w:sz="0" w:space="0" w:color="auto"/>
        <w:right w:val="none" w:sz="0" w:space="0" w:color="auto"/>
      </w:divBdr>
      <w:divsChild>
        <w:div w:id="848300142">
          <w:marLeft w:val="547"/>
          <w:marRight w:val="0"/>
          <w:marTop w:val="110"/>
          <w:marBottom w:val="0"/>
          <w:divBdr>
            <w:top w:val="none" w:sz="0" w:space="0" w:color="auto"/>
            <w:left w:val="none" w:sz="0" w:space="0" w:color="auto"/>
            <w:bottom w:val="none" w:sz="0" w:space="0" w:color="auto"/>
            <w:right w:val="none" w:sz="0" w:space="0" w:color="auto"/>
          </w:divBdr>
        </w:div>
      </w:divsChild>
    </w:div>
    <w:div w:id="1672681193">
      <w:bodyDiv w:val="1"/>
      <w:marLeft w:val="0"/>
      <w:marRight w:val="0"/>
      <w:marTop w:val="0"/>
      <w:marBottom w:val="0"/>
      <w:divBdr>
        <w:top w:val="none" w:sz="0" w:space="0" w:color="auto"/>
        <w:left w:val="none" w:sz="0" w:space="0" w:color="auto"/>
        <w:bottom w:val="none" w:sz="0" w:space="0" w:color="auto"/>
        <w:right w:val="none" w:sz="0" w:space="0" w:color="auto"/>
      </w:divBdr>
    </w:div>
    <w:div w:id="1680307823">
      <w:bodyDiv w:val="1"/>
      <w:marLeft w:val="0"/>
      <w:marRight w:val="0"/>
      <w:marTop w:val="0"/>
      <w:marBottom w:val="0"/>
      <w:divBdr>
        <w:top w:val="none" w:sz="0" w:space="0" w:color="auto"/>
        <w:left w:val="none" w:sz="0" w:space="0" w:color="auto"/>
        <w:bottom w:val="none" w:sz="0" w:space="0" w:color="auto"/>
        <w:right w:val="none" w:sz="0" w:space="0" w:color="auto"/>
      </w:divBdr>
      <w:divsChild>
        <w:div w:id="139619008">
          <w:marLeft w:val="547"/>
          <w:marRight w:val="0"/>
          <w:marTop w:val="91"/>
          <w:marBottom w:val="0"/>
          <w:divBdr>
            <w:top w:val="none" w:sz="0" w:space="0" w:color="auto"/>
            <w:left w:val="none" w:sz="0" w:space="0" w:color="auto"/>
            <w:bottom w:val="none" w:sz="0" w:space="0" w:color="auto"/>
            <w:right w:val="none" w:sz="0" w:space="0" w:color="auto"/>
          </w:divBdr>
        </w:div>
      </w:divsChild>
    </w:div>
    <w:div w:id="1690137110">
      <w:bodyDiv w:val="1"/>
      <w:marLeft w:val="0"/>
      <w:marRight w:val="0"/>
      <w:marTop w:val="0"/>
      <w:marBottom w:val="0"/>
      <w:divBdr>
        <w:top w:val="none" w:sz="0" w:space="0" w:color="auto"/>
        <w:left w:val="none" w:sz="0" w:space="0" w:color="auto"/>
        <w:bottom w:val="none" w:sz="0" w:space="0" w:color="auto"/>
        <w:right w:val="none" w:sz="0" w:space="0" w:color="auto"/>
      </w:divBdr>
    </w:div>
    <w:div w:id="1758287934">
      <w:bodyDiv w:val="1"/>
      <w:marLeft w:val="0"/>
      <w:marRight w:val="0"/>
      <w:marTop w:val="0"/>
      <w:marBottom w:val="0"/>
      <w:divBdr>
        <w:top w:val="none" w:sz="0" w:space="0" w:color="auto"/>
        <w:left w:val="none" w:sz="0" w:space="0" w:color="auto"/>
        <w:bottom w:val="none" w:sz="0" w:space="0" w:color="auto"/>
        <w:right w:val="none" w:sz="0" w:space="0" w:color="auto"/>
      </w:divBdr>
    </w:div>
    <w:div w:id="1778403637">
      <w:bodyDiv w:val="1"/>
      <w:marLeft w:val="0"/>
      <w:marRight w:val="0"/>
      <w:marTop w:val="0"/>
      <w:marBottom w:val="0"/>
      <w:divBdr>
        <w:top w:val="none" w:sz="0" w:space="0" w:color="auto"/>
        <w:left w:val="none" w:sz="0" w:space="0" w:color="auto"/>
        <w:bottom w:val="none" w:sz="0" w:space="0" w:color="auto"/>
        <w:right w:val="none" w:sz="0" w:space="0" w:color="auto"/>
      </w:divBdr>
    </w:div>
    <w:div w:id="1789544288">
      <w:bodyDiv w:val="1"/>
      <w:marLeft w:val="0"/>
      <w:marRight w:val="0"/>
      <w:marTop w:val="0"/>
      <w:marBottom w:val="0"/>
      <w:divBdr>
        <w:top w:val="none" w:sz="0" w:space="0" w:color="auto"/>
        <w:left w:val="none" w:sz="0" w:space="0" w:color="auto"/>
        <w:bottom w:val="none" w:sz="0" w:space="0" w:color="auto"/>
        <w:right w:val="none" w:sz="0" w:space="0" w:color="auto"/>
      </w:divBdr>
    </w:div>
    <w:div w:id="1821339368">
      <w:bodyDiv w:val="1"/>
      <w:marLeft w:val="0"/>
      <w:marRight w:val="0"/>
      <w:marTop w:val="0"/>
      <w:marBottom w:val="0"/>
      <w:divBdr>
        <w:top w:val="none" w:sz="0" w:space="0" w:color="auto"/>
        <w:left w:val="none" w:sz="0" w:space="0" w:color="auto"/>
        <w:bottom w:val="none" w:sz="0" w:space="0" w:color="auto"/>
        <w:right w:val="none" w:sz="0" w:space="0" w:color="auto"/>
      </w:divBdr>
    </w:div>
    <w:div w:id="1937900652">
      <w:bodyDiv w:val="1"/>
      <w:marLeft w:val="0"/>
      <w:marRight w:val="0"/>
      <w:marTop w:val="0"/>
      <w:marBottom w:val="0"/>
      <w:divBdr>
        <w:top w:val="none" w:sz="0" w:space="0" w:color="auto"/>
        <w:left w:val="none" w:sz="0" w:space="0" w:color="auto"/>
        <w:bottom w:val="none" w:sz="0" w:space="0" w:color="auto"/>
        <w:right w:val="none" w:sz="0" w:space="0" w:color="auto"/>
      </w:divBdr>
    </w:div>
    <w:div w:id="1940945043">
      <w:bodyDiv w:val="1"/>
      <w:marLeft w:val="0"/>
      <w:marRight w:val="0"/>
      <w:marTop w:val="0"/>
      <w:marBottom w:val="0"/>
      <w:divBdr>
        <w:top w:val="none" w:sz="0" w:space="0" w:color="auto"/>
        <w:left w:val="none" w:sz="0" w:space="0" w:color="auto"/>
        <w:bottom w:val="none" w:sz="0" w:space="0" w:color="auto"/>
        <w:right w:val="none" w:sz="0" w:space="0" w:color="auto"/>
      </w:divBdr>
      <w:divsChild>
        <w:div w:id="1190027560">
          <w:marLeft w:val="0"/>
          <w:marRight w:val="0"/>
          <w:marTop w:val="0"/>
          <w:marBottom w:val="0"/>
          <w:divBdr>
            <w:top w:val="none" w:sz="0" w:space="0" w:color="auto"/>
            <w:left w:val="none" w:sz="0" w:space="0" w:color="auto"/>
            <w:bottom w:val="none" w:sz="0" w:space="0" w:color="auto"/>
            <w:right w:val="none" w:sz="0" w:space="0" w:color="auto"/>
          </w:divBdr>
          <w:divsChild>
            <w:div w:id="1093470837">
              <w:marLeft w:val="0"/>
              <w:marRight w:val="0"/>
              <w:marTop w:val="0"/>
              <w:marBottom w:val="0"/>
              <w:divBdr>
                <w:top w:val="none" w:sz="0" w:space="0" w:color="auto"/>
                <w:left w:val="none" w:sz="0" w:space="0" w:color="auto"/>
                <w:bottom w:val="none" w:sz="0" w:space="0" w:color="auto"/>
                <w:right w:val="none" w:sz="0" w:space="0" w:color="auto"/>
              </w:divBdr>
              <w:divsChild>
                <w:div w:id="1904485160">
                  <w:marLeft w:val="0"/>
                  <w:marRight w:val="0"/>
                  <w:marTop w:val="0"/>
                  <w:marBottom w:val="0"/>
                  <w:divBdr>
                    <w:top w:val="none" w:sz="0" w:space="0" w:color="auto"/>
                    <w:left w:val="none" w:sz="0" w:space="0" w:color="auto"/>
                    <w:bottom w:val="none" w:sz="0" w:space="0" w:color="auto"/>
                    <w:right w:val="none" w:sz="0" w:space="0" w:color="auto"/>
                  </w:divBdr>
                  <w:divsChild>
                    <w:div w:id="19127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0167">
      <w:bodyDiv w:val="1"/>
      <w:marLeft w:val="0"/>
      <w:marRight w:val="0"/>
      <w:marTop w:val="0"/>
      <w:marBottom w:val="0"/>
      <w:divBdr>
        <w:top w:val="none" w:sz="0" w:space="0" w:color="auto"/>
        <w:left w:val="none" w:sz="0" w:space="0" w:color="auto"/>
        <w:bottom w:val="none" w:sz="0" w:space="0" w:color="auto"/>
        <w:right w:val="none" w:sz="0" w:space="0" w:color="auto"/>
      </w:divBdr>
      <w:divsChild>
        <w:div w:id="1940749210">
          <w:marLeft w:val="0"/>
          <w:marRight w:val="0"/>
          <w:marTop w:val="0"/>
          <w:marBottom w:val="0"/>
          <w:divBdr>
            <w:top w:val="none" w:sz="0" w:space="0" w:color="auto"/>
            <w:left w:val="none" w:sz="0" w:space="0" w:color="auto"/>
            <w:bottom w:val="none" w:sz="0" w:space="0" w:color="auto"/>
            <w:right w:val="none" w:sz="0" w:space="0" w:color="auto"/>
          </w:divBdr>
          <w:divsChild>
            <w:div w:id="1436360926">
              <w:marLeft w:val="0"/>
              <w:marRight w:val="0"/>
              <w:marTop w:val="0"/>
              <w:marBottom w:val="0"/>
              <w:divBdr>
                <w:top w:val="none" w:sz="0" w:space="0" w:color="auto"/>
                <w:left w:val="none" w:sz="0" w:space="0" w:color="auto"/>
                <w:bottom w:val="none" w:sz="0" w:space="0" w:color="auto"/>
                <w:right w:val="none" w:sz="0" w:space="0" w:color="auto"/>
              </w:divBdr>
              <w:divsChild>
                <w:div w:id="761876715">
                  <w:marLeft w:val="0"/>
                  <w:marRight w:val="0"/>
                  <w:marTop w:val="0"/>
                  <w:marBottom w:val="0"/>
                  <w:divBdr>
                    <w:top w:val="none" w:sz="0" w:space="0" w:color="auto"/>
                    <w:left w:val="none" w:sz="0" w:space="0" w:color="auto"/>
                    <w:bottom w:val="none" w:sz="0" w:space="0" w:color="auto"/>
                    <w:right w:val="none" w:sz="0" w:space="0" w:color="auto"/>
                  </w:divBdr>
                  <w:divsChild>
                    <w:div w:id="473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A803-EC81-4611-A8A8-4AFC56A4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6617</Words>
  <Characters>42329</Characters>
  <Application>Microsoft Office Word</Application>
  <DocSecurity>4</DocSecurity>
  <Lines>352</Lines>
  <Paragraphs>97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University of Manchester</Company>
  <LinksUpToDate>false</LinksUpToDate>
  <CharactersWithSpaces>48849</CharactersWithSpaces>
  <SharedDoc>false</SharedDoc>
  <HLinks>
    <vt:vector size="18" baseType="variant">
      <vt:variant>
        <vt:i4>2097155</vt:i4>
      </vt:variant>
      <vt:variant>
        <vt:i4>0</vt:i4>
      </vt:variant>
      <vt:variant>
        <vt:i4>0</vt:i4>
      </vt:variant>
      <vt:variant>
        <vt:i4>5</vt:i4>
      </vt:variant>
      <vt:variant>
        <vt:lpwstr>mailto:emd@mrc.soton.ac.uk</vt:lpwstr>
      </vt:variant>
      <vt:variant>
        <vt:lpwstr/>
      </vt:variant>
      <vt:variant>
        <vt:i4>65628</vt:i4>
      </vt:variant>
      <vt:variant>
        <vt:i4>3</vt:i4>
      </vt:variant>
      <vt:variant>
        <vt:i4>0</vt:i4>
      </vt:variant>
      <vt:variant>
        <vt:i4>5</vt:i4>
      </vt:variant>
      <vt:variant>
        <vt:lpwstr>https://eprints.soton.ac.uk/387271/1/jbmr2810.pdf</vt:lpwstr>
      </vt:variant>
      <vt:variant>
        <vt:lpwstr/>
      </vt:variant>
      <vt:variant>
        <vt:i4>3670129</vt:i4>
      </vt:variant>
      <vt:variant>
        <vt:i4>0</vt:i4>
      </vt:variant>
      <vt:variant>
        <vt:i4>0</vt:i4>
      </vt:variant>
      <vt:variant>
        <vt:i4>5</vt:i4>
      </vt:variant>
      <vt:variant>
        <vt:lpwstr>https://www.outcomes-umassmed.org/GLOW/default.aspx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Litwic</dc:creator>
  <cp:keywords/>
  <cp:lastModifiedBy>Karen Drake</cp:lastModifiedBy>
  <cp:revision>2</cp:revision>
  <cp:lastPrinted>2020-02-01T18:48:00Z</cp:lastPrinted>
  <dcterms:created xsi:type="dcterms:W3CDTF">2020-02-27T11:15:00Z</dcterms:created>
  <dcterms:modified xsi:type="dcterms:W3CDTF">2020-02-27T11:15:00Z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