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87" w:rsidRPr="004E48B9" w:rsidRDefault="001F6E87" w:rsidP="00202384">
      <w:pPr>
        <w:spacing w:after="0" w:line="360" w:lineRule="auto"/>
        <w:jc w:val="center"/>
        <w:rPr>
          <w:rFonts w:ascii="Times New Roman" w:hAnsi="Times New Roman" w:cs="Times New Roman"/>
          <w:b/>
          <w:sz w:val="28"/>
          <w:szCs w:val="24"/>
          <w:lang w:val="en-US"/>
        </w:rPr>
      </w:pPr>
      <w:bookmarkStart w:id="0" w:name="_Hlk525573435"/>
      <w:bookmarkStart w:id="1" w:name="_Hlk19541882"/>
      <w:bookmarkStart w:id="2" w:name="_Hlk485305303"/>
      <w:bookmarkStart w:id="3" w:name="_GoBack"/>
      <w:bookmarkEnd w:id="3"/>
      <w:r w:rsidRPr="004E48B9">
        <w:rPr>
          <w:rFonts w:ascii="Times New Roman" w:hAnsi="Times New Roman" w:cs="Times New Roman"/>
          <w:b/>
          <w:sz w:val="28"/>
          <w:szCs w:val="24"/>
          <w:lang w:val="en-US"/>
        </w:rPr>
        <w:t>Caries Risk Prediction models in medical healthcare setting</w:t>
      </w:r>
    </w:p>
    <w:p w:rsidR="00EA1530" w:rsidRPr="004E48B9" w:rsidRDefault="00EA1530" w:rsidP="00EA1530">
      <w:pPr>
        <w:spacing w:after="0" w:line="360" w:lineRule="auto"/>
        <w:jc w:val="both"/>
        <w:rPr>
          <w:rFonts w:ascii="Times New Roman" w:hAnsi="Times New Roman" w:cs="Times New Roman"/>
          <w:sz w:val="24"/>
          <w:szCs w:val="16"/>
          <w:vertAlign w:val="superscript"/>
          <w:lang w:val="en-US"/>
        </w:rPr>
      </w:pPr>
      <w:bookmarkStart w:id="4" w:name="_Hlk531361308"/>
      <w:bookmarkEnd w:id="0"/>
      <w:r w:rsidRPr="004E48B9">
        <w:rPr>
          <w:rFonts w:ascii="Times New Roman" w:hAnsi="Times New Roman" w:cs="Times New Roman"/>
          <w:sz w:val="24"/>
          <w:szCs w:val="16"/>
          <w:lang w:val="en-US"/>
        </w:rPr>
        <w:t>Tosha Ashish Kalhan</w:t>
      </w:r>
      <w:r w:rsidRPr="004E48B9">
        <w:rPr>
          <w:rFonts w:ascii="Times New Roman" w:hAnsi="Times New Roman" w:cs="Times New Roman"/>
          <w:sz w:val="24"/>
          <w:szCs w:val="16"/>
          <w:vertAlign w:val="superscript"/>
          <w:lang w:val="en-US"/>
        </w:rPr>
        <w:t>1</w:t>
      </w:r>
      <w:r w:rsidRPr="004E48B9">
        <w:rPr>
          <w:rFonts w:ascii="Times New Roman" w:hAnsi="Times New Roman" w:cs="Times New Roman"/>
          <w:sz w:val="24"/>
          <w:szCs w:val="16"/>
          <w:lang w:val="en-US"/>
        </w:rPr>
        <w:t>, Carolina Un Lam</w:t>
      </w:r>
      <w:r w:rsidRPr="004E48B9">
        <w:rPr>
          <w:rFonts w:ascii="Times New Roman" w:hAnsi="Times New Roman" w:cs="Times New Roman"/>
          <w:sz w:val="24"/>
          <w:szCs w:val="16"/>
          <w:vertAlign w:val="superscript"/>
          <w:lang w:val="en-US"/>
        </w:rPr>
        <w:t>2</w:t>
      </w:r>
      <w:r w:rsidRPr="004E48B9">
        <w:rPr>
          <w:rFonts w:ascii="Times New Roman" w:hAnsi="Times New Roman" w:cs="Times New Roman"/>
          <w:sz w:val="24"/>
          <w:szCs w:val="16"/>
          <w:lang w:val="en-US"/>
        </w:rPr>
        <w:t>,</w:t>
      </w:r>
      <w:r w:rsidRPr="004E48B9">
        <w:rPr>
          <w:rFonts w:ascii="Times New Roman" w:hAnsi="Times New Roman" w:cs="Times New Roman"/>
          <w:sz w:val="24"/>
          <w:szCs w:val="16"/>
          <w:vertAlign w:val="superscript"/>
          <w:lang w:val="en-US"/>
        </w:rPr>
        <w:t xml:space="preserve"> </w:t>
      </w:r>
      <w:r w:rsidRPr="004E48B9">
        <w:rPr>
          <w:rFonts w:ascii="Times New Roman" w:hAnsi="Times New Roman" w:cs="Times New Roman"/>
          <w:sz w:val="24"/>
          <w:szCs w:val="16"/>
          <w:lang w:val="en-US"/>
        </w:rPr>
        <w:t>Bindu Karunakaran</w:t>
      </w:r>
      <w:r w:rsidRPr="004E48B9">
        <w:rPr>
          <w:rFonts w:ascii="Times New Roman" w:hAnsi="Times New Roman" w:cs="Times New Roman"/>
          <w:sz w:val="24"/>
          <w:szCs w:val="16"/>
          <w:vertAlign w:val="superscript"/>
          <w:lang w:val="en-US"/>
        </w:rPr>
        <w:t>1</w:t>
      </w:r>
      <w:r w:rsidRPr="004E48B9">
        <w:rPr>
          <w:rFonts w:ascii="Times New Roman" w:hAnsi="Times New Roman" w:cs="Times New Roman"/>
          <w:sz w:val="24"/>
          <w:szCs w:val="16"/>
          <w:lang w:val="en-US"/>
        </w:rPr>
        <w:t>, Pui Ling Chay</w:t>
      </w:r>
      <w:r w:rsidRPr="004E48B9">
        <w:rPr>
          <w:rFonts w:ascii="Times New Roman" w:hAnsi="Times New Roman" w:cs="Times New Roman"/>
          <w:sz w:val="24"/>
          <w:szCs w:val="16"/>
          <w:vertAlign w:val="superscript"/>
          <w:lang w:val="en-US"/>
        </w:rPr>
        <w:t>3</w:t>
      </w:r>
      <w:r w:rsidRPr="004E48B9">
        <w:rPr>
          <w:rFonts w:ascii="Times New Roman" w:hAnsi="Times New Roman" w:cs="Times New Roman"/>
          <w:sz w:val="24"/>
          <w:szCs w:val="16"/>
          <w:lang w:val="en-US"/>
        </w:rPr>
        <w:t>, Chai Kiat Chng</w:t>
      </w:r>
      <w:r w:rsidRPr="004E48B9">
        <w:rPr>
          <w:rFonts w:ascii="Times New Roman" w:hAnsi="Times New Roman" w:cs="Times New Roman"/>
          <w:sz w:val="24"/>
          <w:szCs w:val="16"/>
          <w:vertAlign w:val="superscript"/>
          <w:lang w:val="en-US"/>
        </w:rPr>
        <w:t>3</w:t>
      </w:r>
      <w:r w:rsidRPr="004E48B9">
        <w:rPr>
          <w:rFonts w:ascii="Times New Roman" w:hAnsi="Times New Roman" w:cs="Times New Roman"/>
          <w:sz w:val="24"/>
          <w:szCs w:val="16"/>
          <w:lang w:val="en-US"/>
        </w:rPr>
        <w:t>, Rahul Nair</w:t>
      </w:r>
      <w:r w:rsidRPr="004E48B9">
        <w:rPr>
          <w:rFonts w:ascii="Times New Roman" w:hAnsi="Times New Roman" w:cs="Times New Roman"/>
          <w:sz w:val="24"/>
          <w:szCs w:val="16"/>
          <w:vertAlign w:val="superscript"/>
          <w:lang w:val="en-US"/>
        </w:rPr>
        <w:t>4,16</w:t>
      </w:r>
      <w:r w:rsidRPr="004E48B9">
        <w:rPr>
          <w:rFonts w:ascii="Times New Roman" w:hAnsi="Times New Roman" w:cs="Times New Roman"/>
          <w:sz w:val="24"/>
          <w:szCs w:val="16"/>
          <w:lang w:val="en-US"/>
        </w:rPr>
        <w:t>, Yung Seng Lee</w:t>
      </w:r>
      <w:r w:rsidRPr="004E48B9">
        <w:rPr>
          <w:rFonts w:ascii="Times New Roman" w:hAnsi="Times New Roman" w:cs="Times New Roman"/>
          <w:sz w:val="24"/>
          <w:szCs w:val="16"/>
          <w:vertAlign w:val="superscript"/>
          <w:lang w:val="en-US"/>
        </w:rPr>
        <w:t>2,5,6</w:t>
      </w:r>
      <w:r w:rsidRPr="004E48B9">
        <w:rPr>
          <w:rFonts w:ascii="Times New Roman" w:hAnsi="Times New Roman"/>
          <w:sz w:val="24"/>
          <w:lang w:val="en-US"/>
        </w:rPr>
        <w:t>,</w:t>
      </w:r>
      <w:r w:rsidRPr="004E48B9">
        <w:rPr>
          <w:rFonts w:ascii="Times New Roman" w:hAnsi="Times New Roman" w:cs="Times New Roman"/>
          <w:sz w:val="24"/>
          <w:szCs w:val="16"/>
          <w:lang w:val="en-US"/>
        </w:rPr>
        <w:t xml:space="preserve"> Mary Chong Foong Fong</w:t>
      </w:r>
      <w:r w:rsidRPr="004E48B9">
        <w:rPr>
          <w:rFonts w:ascii="Times New Roman" w:hAnsi="Times New Roman" w:cs="Times New Roman"/>
          <w:sz w:val="24"/>
          <w:szCs w:val="16"/>
          <w:vertAlign w:val="superscript"/>
          <w:lang w:val="en-US"/>
        </w:rPr>
        <w:t>2,7</w:t>
      </w:r>
      <w:r w:rsidRPr="004E48B9">
        <w:rPr>
          <w:rFonts w:ascii="Times New Roman" w:hAnsi="Times New Roman" w:cs="Times New Roman"/>
          <w:sz w:val="24"/>
          <w:szCs w:val="16"/>
          <w:lang w:val="en-US"/>
        </w:rPr>
        <w:t>, Yap Seng Chong</w:t>
      </w:r>
      <w:r w:rsidRPr="004E48B9">
        <w:rPr>
          <w:rFonts w:ascii="Times New Roman" w:hAnsi="Times New Roman" w:cs="Times New Roman"/>
          <w:sz w:val="24"/>
          <w:szCs w:val="16"/>
          <w:vertAlign w:val="superscript"/>
          <w:lang w:val="en-US"/>
        </w:rPr>
        <w:t>2,8</w:t>
      </w:r>
      <w:r w:rsidRPr="004E48B9">
        <w:rPr>
          <w:rFonts w:ascii="Times New Roman" w:hAnsi="Times New Roman" w:cs="Times New Roman"/>
          <w:sz w:val="24"/>
          <w:szCs w:val="16"/>
          <w:lang w:val="en-US"/>
        </w:rPr>
        <w:t>, Kenneth Kwek</w:t>
      </w:r>
      <w:r w:rsidRPr="004E48B9">
        <w:rPr>
          <w:rFonts w:ascii="Times New Roman" w:hAnsi="Times New Roman" w:cs="Times New Roman"/>
          <w:sz w:val="24"/>
          <w:szCs w:val="16"/>
          <w:vertAlign w:val="superscript"/>
          <w:lang w:val="en-US"/>
        </w:rPr>
        <w:t>3</w:t>
      </w:r>
      <w:r w:rsidRPr="004E48B9">
        <w:rPr>
          <w:rFonts w:ascii="Times New Roman" w:hAnsi="Times New Roman" w:cs="Times New Roman"/>
          <w:sz w:val="24"/>
          <w:szCs w:val="16"/>
          <w:lang w:val="en-US"/>
        </w:rPr>
        <w:t>, Seang-Mei Saw</w:t>
      </w:r>
      <w:r w:rsidRPr="004E48B9">
        <w:rPr>
          <w:rFonts w:ascii="Times New Roman" w:hAnsi="Times New Roman" w:cs="Times New Roman"/>
          <w:sz w:val="24"/>
          <w:szCs w:val="16"/>
          <w:vertAlign w:val="superscript"/>
          <w:lang w:val="en-US"/>
        </w:rPr>
        <w:t>7</w:t>
      </w:r>
      <w:r w:rsidRPr="004E48B9">
        <w:rPr>
          <w:rFonts w:ascii="Times New Roman" w:hAnsi="Times New Roman" w:cs="Times New Roman"/>
          <w:sz w:val="24"/>
          <w:szCs w:val="16"/>
          <w:lang w:val="en-US"/>
        </w:rPr>
        <w:t>, Lynette Shek</w:t>
      </w:r>
      <w:r w:rsidRPr="004E48B9">
        <w:rPr>
          <w:rFonts w:ascii="Times New Roman" w:hAnsi="Times New Roman" w:cs="Times New Roman"/>
          <w:sz w:val="24"/>
          <w:szCs w:val="16"/>
          <w:vertAlign w:val="superscript"/>
          <w:lang w:val="en-US"/>
        </w:rPr>
        <w:t>2,5,9</w:t>
      </w:r>
      <w:r w:rsidRPr="004E48B9">
        <w:rPr>
          <w:rFonts w:ascii="Times New Roman" w:hAnsi="Times New Roman" w:cs="Times New Roman"/>
          <w:sz w:val="24"/>
          <w:szCs w:val="16"/>
          <w:lang w:val="en-US"/>
        </w:rPr>
        <w:t>, Fabian Yap</w:t>
      </w:r>
      <w:r w:rsidRPr="004E48B9">
        <w:rPr>
          <w:rFonts w:ascii="Times New Roman" w:hAnsi="Times New Roman" w:cs="Times New Roman"/>
          <w:sz w:val="24"/>
          <w:szCs w:val="16"/>
          <w:vertAlign w:val="superscript"/>
          <w:lang w:val="en-US"/>
        </w:rPr>
        <w:t>10,11,12</w:t>
      </w:r>
      <w:r w:rsidRPr="004E48B9">
        <w:rPr>
          <w:rFonts w:ascii="Times New Roman" w:hAnsi="Times New Roman"/>
          <w:sz w:val="24"/>
          <w:lang w:val="en-US"/>
        </w:rPr>
        <w:t xml:space="preserve">, </w:t>
      </w:r>
      <w:r w:rsidRPr="004E48B9">
        <w:rPr>
          <w:rFonts w:ascii="Times New Roman" w:hAnsi="Times New Roman" w:cs="Times New Roman"/>
          <w:sz w:val="24"/>
          <w:szCs w:val="16"/>
          <w:lang w:val="en-US"/>
        </w:rPr>
        <w:t>Kok Hian Tan</w:t>
      </w:r>
      <w:r w:rsidRPr="004E48B9">
        <w:rPr>
          <w:rFonts w:ascii="Times New Roman" w:hAnsi="Times New Roman" w:cs="Times New Roman"/>
          <w:sz w:val="24"/>
          <w:szCs w:val="16"/>
          <w:vertAlign w:val="superscript"/>
          <w:lang w:val="en-US"/>
        </w:rPr>
        <w:t>3,13</w:t>
      </w:r>
      <w:r w:rsidRPr="004E48B9">
        <w:rPr>
          <w:rFonts w:ascii="Times New Roman" w:hAnsi="Times New Roman" w:cs="Times New Roman"/>
          <w:sz w:val="24"/>
          <w:szCs w:val="16"/>
          <w:lang w:val="en-US"/>
        </w:rPr>
        <w:t>, Keith M Godfrey</w:t>
      </w:r>
      <w:r w:rsidRPr="004E48B9">
        <w:rPr>
          <w:rFonts w:ascii="Times New Roman" w:hAnsi="Times New Roman" w:cs="Times New Roman"/>
          <w:sz w:val="24"/>
          <w:szCs w:val="16"/>
          <w:vertAlign w:val="superscript"/>
          <w:lang w:val="en-US"/>
        </w:rPr>
        <w:t>14</w:t>
      </w:r>
      <w:r w:rsidRPr="004E48B9">
        <w:rPr>
          <w:rFonts w:ascii="Times New Roman" w:hAnsi="Times New Roman" w:cs="Times New Roman"/>
          <w:sz w:val="24"/>
          <w:szCs w:val="16"/>
          <w:lang w:val="en-US"/>
        </w:rPr>
        <w:t>, Jonathan Huang</w:t>
      </w:r>
      <w:r w:rsidRPr="004E48B9">
        <w:rPr>
          <w:rFonts w:ascii="Times New Roman" w:hAnsi="Times New Roman" w:cs="Times New Roman"/>
          <w:sz w:val="24"/>
          <w:szCs w:val="16"/>
          <w:vertAlign w:val="superscript"/>
          <w:lang w:val="en-US"/>
        </w:rPr>
        <w:t>15</w:t>
      </w:r>
      <w:r w:rsidRPr="004E48B9">
        <w:rPr>
          <w:rFonts w:ascii="Times New Roman" w:hAnsi="Times New Roman" w:cs="Times New Roman"/>
          <w:sz w:val="24"/>
          <w:szCs w:val="16"/>
          <w:lang w:val="en-US"/>
        </w:rPr>
        <w:t>, Chin-Ying</w:t>
      </w:r>
      <w:r w:rsidR="008F254A" w:rsidRPr="004E48B9">
        <w:rPr>
          <w:rFonts w:ascii="Times New Roman" w:hAnsi="Times New Roman" w:cs="Times New Roman"/>
          <w:sz w:val="24"/>
          <w:szCs w:val="16"/>
          <w:lang w:val="en-US"/>
        </w:rPr>
        <w:t xml:space="preserve"> Stephen</w:t>
      </w:r>
      <w:r w:rsidRPr="004E48B9">
        <w:rPr>
          <w:rFonts w:ascii="Times New Roman" w:hAnsi="Times New Roman" w:cs="Times New Roman"/>
          <w:sz w:val="24"/>
          <w:szCs w:val="16"/>
          <w:lang w:val="en-US"/>
        </w:rPr>
        <w:t xml:space="preserve"> Hsu</w:t>
      </w:r>
      <w:r w:rsidRPr="004E48B9">
        <w:rPr>
          <w:rFonts w:ascii="Times New Roman" w:hAnsi="Times New Roman" w:cs="Times New Roman"/>
          <w:sz w:val="24"/>
          <w:szCs w:val="16"/>
          <w:vertAlign w:val="superscript"/>
          <w:lang w:val="en-US"/>
        </w:rPr>
        <w:t>1#</w:t>
      </w:r>
    </w:p>
    <w:p w:rsidR="001F6E87" w:rsidRPr="004E48B9" w:rsidRDefault="001F6E87" w:rsidP="003F47CA">
      <w:pPr>
        <w:spacing w:after="0" w:line="360" w:lineRule="auto"/>
        <w:jc w:val="both"/>
        <w:rPr>
          <w:rFonts w:ascii="Times New Roman" w:hAnsi="Times New Roman" w:cs="Times New Roman"/>
          <w:sz w:val="20"/>
          <w:szCs w:val="16"/>
          <w:vertAlign w:val="superscript"/>
          <w:lang w:val="en-US"/>
        </w:rPr>
      </w:pPr>
    </w:p>
    <w:p w:rsidR="00EA1530" w:rsidRPr="004E48B9" w:rsidRDefault="00EA1530" w:rsidP="00EA1530">
      <w:pPr>
        <w:spacing w:after="0" w:line="360" w:lineRule="auto"/>
        <w:jc w:val="both"/>
        <w:rPr>
          <w:rFonts w:ascii="Times New Roman" w:hAnsi="Times New Roman" w:cs="Times New Roman"/>
          <w:b/>
          <w:sz w:val="20"/>
          <w:szCs w:val="16"/>
          <w:u w:val="single"/>
          <w:lang w:val="en-US"/>
        </w:rPr>
      </w:pPr>
      <w:bookmarkStart w:id="5" w:name="_Hlk26187663"/>
      <w:bookmarkStart w:id="6" w:name="_Hlk524692024"/>
      <w:bookmarkEnd w:id="4"/>
      <w:r w:rsidRPr="004E48B9">
        <w:rPr>
          <w:rFonts w:ascii="Times New Roman" w:hAnsi="Times New Roman" w:cs="Times New Roman"/>
          <w:b/>
          <w:sz w:val="20"/>
          <w:szCs w:val="16"/>
          <w:u w:val="single"/>
          <w:lang w:val="en-US"/>
        </w:rPr>
        <w:t>Author affiliations</w:t>
      </w:r>
    </w:p>
    <w:bookmarkEnd w:id="5"/>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w:t>
      </w:r>
      <w:r w:rsidRPr="004E48B9">
        <w:rPr>
          <w:rFonts w:ascii="Times New Roman" w:hAnsi="Times New Roman" w:cs="Times New Roman"/>
          <w:sz w:val="20"/>
          <w:szCs w:val="16"/>
          <w:lang w:val="en-US"/>
        </w:rPr>
        <w:t>Faculty of Dentistry, National University of Singapore,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4"/>
          <w:szCs w:val="16"/>
          <w:vertAlign w:val="superscript"/>
          <w:lang w:val="en-US"/>
        </w:rPr>
        <w:t>2</w:t>
      </w:r>
      <w:r w:rsidRPr="004E48B9">
        <w:rPr>
          <w:rFonts w:ascii="Times New Roman" w:hAnsi="Times New Roman" w:cs="Times New Roman"/>
          <w:sz w:val="20"/>
          <w:szCs w:val="16"/>
          <w:lang w:val="en-US"/>
        </w:rPr>
        <w:t xml:space="preserve">Chief Dental Officer’s Office, Ministry of Health, College of Medicine Building, Singapore </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3</w:t>
      </w:r>
      <w:r w:rsidRPr="004E48B9">
        <w:rPr>
          <w:rFonts w:ascii="Times New Roman" w:hAnsi="Times New Roman" w:cs="Times New Roman"/>
          <w:sz w:val="20"/>
          <w:szCs w:val="16"/>
          <w:lang w:val="en-US"/>
        </w:rPr>
        <w:t>Dental Service, KK Women’s and Children’s Hospital,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4</w:t>
      </w:r>
      <w:r w:rsidRPr="004E48B9">
        <w:rPr>
          <w:rFonts w:ascii="Times New Roman" w:hAnsi="Times New Roman" w:cs="Times New Roman"/>
          <w:sz w:val="20"/>
          <w:szCs w:val="16"/>
          <w:lang w:val="en-US"/>
        </w:rPr>
        <w:t>Radboud University Medical Centre, Radboud Institute for Health Sciences, Department of Dentistry - Quality and Safety of Oral Healthcare, Nijmegen, the Netherlands</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5</w:t>
      </w:r>
      <w:r w:rsidRPr="004E48B9">
        <w:rPr>
          <w:rFonts w:ascii="Times New Roman" w:hAnsi="Times New Roman" w:cs="Times New Roman"/>
          <w:sz w:val="20"/>
          <w:szCs w:val="16"/>
          <w:lang w:val="en-US"/>
        </w:rPr>
        <w:t>Department of Paediatrics, Yong Loo Lin School of Medicine, National University of Singapore,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6</w:t>
      </w:r>
      <w:r w:rsidRPr="004E48B9">
        <w:rPr>
          <w:rFonts w:ascii="Times New Roman" w:hAnsi="Times New Roman" w:cs="Times New Roman"/>
          <w:sz w:val="20"/>
          <w:szCs w:val="16"/>
          <w:lang w:val="en-US"/>
        </w:rPr>
        <w:t>Division of Paediatric Endocrinology and Diabetes, Khoo Teck Puat-National University Children’s Medical Institute, National University Hospital, National University Health System,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7</w:t>
      </w:r>
      <w:r w:rsidRPr="004E48B9">
        <w:rPr>
          <w:rFonts w:ascii="Times New Roman" w:hAnsi="Times New Roman" w:cs="Times New Roman"/>
          <w:sz w:val="20"/>
          <w:szCs w:val="16"/>
          <w:lang w:val="en-US"/>
        </w:rPr>
        <w:t>Saw Swee Hock School of Public Health, National University of Singapore,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8</w:t>
      </w:r>
      <w:r w:rsidRPr="004E48B9">
        <w:rPr>
          <w:rFonts w:ascii="Times New Roman" w:hAnsi="Times New Roman" w:cs="Times New Roman"/>
          <w:sz w:val="20"/>
          <w:szCs w:val="16"/>
          <w:lang w:val="en-US"/>
        </w:rPr>
        <w:t>Department of Obstetrics &amp; Gynaecology, Yong Loo Lin School of Medicine, National University of Singapore</w:t>
      </w:r>
    </w:p>
    <w:p w:rsidR="00EA1530" w:rsidRPr="004E48B9" w:rsidRDefault="00EA1530" w:rsidP="00EA1530">
      <w:pPr>
        <w:spacing w:after="0" w:line="360" w:lineRule="auto"/>
        <w:jc w:val="both"/>
        <w:rPr>
          <w:rFonts w:ascii="Times New Roman" w:hAnsi="Times New Roman" w:cs="Times New Roman"/>
          <w:sz w:val="20"/>
          <w:szCs w:val="16"/>
          <w:vertAlign w:val="superscript"/>
          <w:lang w:val="en-US"/>
        </w:rPr>
      </w:pPr>
      <w:r w:rsidRPr="004E48B9">
        <w:rPr>
          <w:rFonts w:ascii="Times New Roman" w:hAnsi="Times New Roman" w:cs="Times New Roman"/>
          <w:sz w:val="20"/>
          <w:szCs w:val="16"/>
          <w:vertAlign w:val="superscript"/>
          <w:lang w:val="en-US"/>
        </w:rPr>
        <w:t>9</w:t>
      </w:r>
      <w:r w:rsidRPr="004E48B9">
        <w:rPr>
          <w:rFonts w:ascii="Times New Roman" w:hAnsi="Times New Roman" w:cs="Times New Roman"/>
          <w:sz w:val="20"/>
          <w:szCs w:val="16"/>
          <w:lang w:val="en-US"/>
        </w:rPr>
        <w:t>Division of Paediatric Allergy, Immunology &amp; Rheumatology, National University Hospital,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10</w:t>
      </w:r>
      <w:r w:rsidRPr="004E48B9">
        <w:rPr>
          <w:rFonts w:ascii="Times New Roman" w:hAnsi="Times New Roman" w:cs="Times New Roman"/>
          <w:sz w:val="20"/>
          <w:szCs w:val="16"/>
          <w:lang w:val="en-US"/>
        </w:rPr>
        <w:t xml:space="preserve">Department of Paediatrics, KK Women’s and Children’s Hospital, Singapore </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11</w:t>
      </w:r>
      <w:r w:rsidRPr="004E48B9">
        <w:rPr>
          <w:rFonts w:ascii="Times New Roman" w:hAnsi="Times New Roman" w:cs="Times New Roman"/>
          <w:sz w:val="20"/>
          <w:szCs w:val="16"/>
          <w:lang w:val="en-US"/>
        </w:rPr>
        <w:t>Department of Paediatrics, Duke-National University of Singapore Graduate Medical School,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12</w:t>
      </w:r>
      <w:r w:rsidRPr="004E48B9">
        <w:rPr>
          <w:rFonts w:ascii="Times New Roman" w:hAnsi="Times New Roman" w:cs="Times New Roman"/>
          <w:sz w:val="20"/>
          <w:szCs w:val="16"/>
          <w:lang w:val="en-US"/>
        </w:rPr>
        <w:t>Lee Kong Chian School of Medicine, Nanyang Technological University,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13</w:t>
      </w:r>
      <w:r w:rsidRPr="004E48B9">
        <w:rPr>
          <w:rFonts w:ascii="Times New Roman" w:hAnsi="Times New Roman" w:cs="Times New Roman"/>
          <w:sz w:val="20"/>
          <w:szCs w:val="16"/>
          <w:lang w:val="en-US"/>
        </w:rPr>
        <w:t>Duke-National University of Singapore Graduate Medical School, Singapore</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14</w:t>
      </w:r>
      <w:r w:rsidRPr="004E48B9">
        <w:rPr>
          <w:rFonts w:ascii="Times New Roman" w:hAnsi="Times New Roman" w:cs="Times New Roman"/>
          <w:sz w:val="20"/>
          <w:szCs w:val="16"/>
          <w:lang w:val="en-US"/>
        </w:rPr>
        <w:t>MRC Lifecourse Epidemiology Unit &amp; NIHR Southampton Biomedical Research Centre, University of Southampton &amp; University Hospital Southampton NHS Foundation Trust</w:t>
      </w:r>
    </w:p>
    <w:p w:rsidR="00EA1530" w:rsidRPr="004E48B9" w:rsidRDefault="00EA1530" w:rsidP="00EA1530">
      <w:pPr>
        <w:spacing w:after="0" w:line="360" w:lineRule="auto"/>
        <w:jc w:val="both"/>
        <w:rPr>
          <w:rFonts w:ascii="Times New Roman" w:hAnsi="Times New Roman" w:cs="Times New Roman"/>
          <w:sz w:val="20"/>
          <w:szCs w:val="16"/>
          <w:lang w:val="en-US"/>
        </w:rPr>
      </w:pPr>
      <w:r w:rsidRPr="004E48B9">
        <w:rPr>
          <w:rFonts w:ascii="Times New Roman" w:hAnsi="Times New Roman" w:cs="Times New Roman"/>
          <w:sz w:val="20"/>
          <w:szCs w:val="16"/>
          <w:vertAlign w:val="superscript"/>
          <w:lang w:val="en-US"/>
        </w:rPr>
        <w:t>15</w:t>
      </w:r>
      <w:r w:rsidRPr="004E48B9">
        <w:rPr>
          <w:rFonts w:ascii="Times New Roman" w:hAnsi="Times New Roman" w:cs="Times New Roman"/>
          <w:sz w:val="20"/>
          <w:szCs w:val="16"/>
          <w:lang w:val="en-US"/>
        </w:rPr>
        <w:t>Singapore Institute for Clinical Sciences (SICS), Agency for Science, Technology and Research (A*STAR)</w:t>
      </w:r>
    </w:p>
    <w:p w:rsidR="00EA1530" w:rsidRPr="004E48B9" w:rsidRDefault="00EA1530" w:rsidP="00EA1530">
      <w:pPr>
        <w:spacing w:after="0" w:line="360" w:lineRule="auto"/>
        <w:jc w:val="both"/>
        <w:rPr>
          <w:rFonts w:ascii="Times New Roman" w:hAnsi="Times New Roman" w:cs="Times New Roman"/>
          <w:bCs/>
          <w:sz w:val="20"/>
          <w:szCs w:val="20"/>
          <w:lang w:val="en-US"/>
        </w:rPr>
      </w:pPr>
      <w:r w:rsidRPr="004E48B9">
        <w:rPr>
          <w:rFonts w:ascii="Times New Roman" w:hAnsi="Times New Roman" w:cs="Times New Roman"/>
          <w:bCs/>
          <w:sz w:val="20"/>
          <w:szCs w:val="20"/>
          <w:vertAlign w:val="superscript"/>
          <w:lang w:val="en-US"/>
        </w:rPr>
        <w:t>16</w:t>
      </w:r>
      <w:r w:rsidRPr="004E48B9">
        <w:rPr>
          <w:rFonts w:ascii="Times New Roman" w:hAnsi="Times New Roman" w:cs="Times New Roman"/>
          <w:bCs/>
          <w:sz w:val="20"/>
          <w:szCs w:val="20"/>
          <w:lang w:val="en-US"/>
        </w:rPr>
        <w:t>Dr. D. Y. Patil Dental College &amp; Hospital, Pune, Maharashtra, India</w:t>
      </w:r>
    </w:p>
    <w:p w:rsidR="001F6E87" w:rsidRPr="004E48B9" w:rsidRDefault="001F6E87" w:rsidP="00BB03A8">
      <w:pPr>
        <w:spacing w:after="0" w:line="360" w:lineRule="auto"/>
        <w:jc w:val="both"/>
        <w:rPr>
          <w:rFonts w:ascii="Times New Roman" w:hAnsi="Times New Roman" w:cs="Times New Roman"/>
          <w:b/>
          <w:sz w:val="24"/>
          <w:szCs w:val="24"/>
          <w:lang w:val="en-US"/>
        </w:rPr>
      </w:pPr>
    </w:p>
    <w:p w:rsidR="001F6E87" w:rsidRPr="004E48B9" w:rsidRDefault="001F6E87" w:rsidP="00BB03A8">
      <w:pPr>
        <w:spacing w:after="0" w:line="360" w:lineRule="auto"/>
        <w:jc w:val="both"/>
        <w:rPr>
          <w:rFonts w:ascii="Times New Roman" w:hAnsi="Times New Roman" w:cs="Times New Roman"/>
          <w:sz w:val="24"/>
          <w:szCs w:val="24"/>
          <w:u w:val="single"/>
          <w:lang w:val="en-US"/>
        </w:rPr>
      </w:pPr>
      <w:r w:rsidRPr="004E48B9">
        <w:rPr>
          <w:rFonts w:ascii="Times New Roman" w:hAnsi="Times New Roman" w:cs="Times New Roman"/>
          <w:sz w:val="24"/>
          <w:szCs w:val="24"/>
          <w:u w:val="single"/>
          <w:lang w:val="en-US"/>
        </w:rPr>
        <w:t>#corresponding author</w:t>
      </w:r>
    </w:p>
    <w:p w:rsidR="001F6E87" w:rsidRPr="004E48B9" w:rsidRDefault="001F6E87" w:rsidP="00641C93">
      <w:pPr>
        <w:spacing w:after="0" w:line="360" w:lineRule="auto"/>
        <w:jc w:val="both"/>
        <w:rPr>
          <w:rFonts w:ascii="Times New Roman" w:hAnsi="Times New Roman" w:cs="Times New Roman"/>
          <w:sz w:val="24"/>
          <w:szCs w:val="24"/>
          <w:lang w:val="en-US"/>
        </w:rPr>
      </w:pPr>
      <w:r w:rsidRPr="004E48B9">
        <w:rPr>
          <w:rFonts w:ascii="Times New Roman" w:hAnsi="Times New Roman" w:cs="Times New Roman"/>
          <w:sz w:val="24"/>
          <w:szCs w:val="24"/>
          <w:lang w:val="en-US"/>
        </w:rPr>
        <w:t xml:space="preserve">Chin-Ying Stephen Hsu, DDS MS PhD </w:t>
      </w:r>
    </w:p>
    <w:p w:rsidR="001F6E87" w:rsidRPr="004E48B9" w:rsidRDefault="001F6E87" w:rsidP="00641C93">
      <w:pPr>
        <w:spacing w:after="0" w:line="360" w:lineRule="auto"/>
        <w:jc w:val="both"/>
        <w:rPr>
          <w:rFonts w:ascii="Times New Roman" w:hAnsi="Times New Roman" w:cs="Times New Roman"/>
          <w:sz w:val="24"/>
          <w:szCs w:val="24"/>
          <w:lang w:val="en-US"/>
        </w:rPr>
      </w:pPr>
      <w:r w:rsidRPr="004E48B9">
        <w:rPr>
          <w:rFonts w:ascii="Times New Roman" w:hAnsi="Times New Roman" w:cs="Times New Roman"/>
          <w:sz w:val="24"/>
          <w:szCs w:val="24"/>
          <w:lang w:val="en-US"/>
        </w:rPr>
        <w:t xml:space="preserve">Faculty of Dentistry, National University of Singapore, </w:t>
      </w:r>
    </w:p>
    <w:p w:rsidR="001F6E87" w:rsidRPr="004E48B9" w:rsidRDefault="001F6E87" w:rsidP="00641C93">
      <w:pPr>
        <w:spacing w:after="0" w:line="360" w:lineRule="auto"/>
        <w:jc w:val="both"/>
        <w:rPr>
          <w:rFonts w:ascii="Times New Roman" w:hAnsi="Times New Roman" w:cs="Times New Roman"/>
          <w:sz w:val="24"/>
          <w:szCs w:val="24"/>
          <w:lang w:val="en-US"/>
        </w:rPr>
      </w:pPr>
      <w:r w:rsidRPr="004E48B9">
        <w:rPr>
          <w:rFonts w:ascii="Times New Roman" w:hAnsi="Times New Roman" w:cs="Times New Roman"/>
          <w:sz w:val="24"/>
          <w:szCs w:val="24"/>
          <w:lang w:val="en-US"/>
        </w:rPr>
        <w:t>9 Lower Kent Ridge Rd, Singapore 119085</w:t>
      </w:r>
    </w:p>
    <w:p w:rsidR="001F6E87" w:rsidRPr="004E48B9" w:rsidRDefault="001F6E87" w:rsidP="00641C93">
      <w:pPr>
        <w:spacing w:after="0" w:line="360" w:lineRule="auto"/>
        <w:jc w:val="both"/>
        <w:rPr>
          <w:rFonts w:ascii="Times New Roman" w:hAnsi="Times New Roman" w:cs="Times New Roman"/>
          <w:sz w:val="24"/>
          <w:szCs w:val="24"/>
          <w:lang w:val="en-US"/>
        </w:rPr>
      </w:pPr>
      <w:r w:rsidRPr="004E48B9">
        <w:rPr>
          <w:rFonts w:ascii="Times New Roman" w:hAnsi="Times New Roman" w:cs="Times New Roman"/>
          <w:sz w:val="24"/>
          <w:szCs w:val="24"/>
          <w:lang w:val="en-US"/>
        </w:rPr>
        <w:t>Email: denhsus@nus.edu.sg</w:t>
      </w:r>
    </w:p>
    <w:p w:rsidR="001F6E87" w:rsidRPr="004E48B9" w:rsidRDefault="001F6E87" w:rsidP="00BB03A8">
      <w:pPr>
        <w:spacing w:after="0" w:line="360" w:lineRule="auto"/>
        <w:jc w:val="both"/>
        <w:rPr>
          <w:rFonts w:ascii="Times New Roman" w:hAnsi="Times New Roman" w:cs="Times New Roman"/>
          <w:b/>
          <w:sz w:val="24"/>
          <w:szCs w:val="24"/>
          <w:lang w:val="en-US"/>
        </w:rPr>
      </w:pPr>
    </w:p>
    <w:bookmarkEnd w:id="1"/>
    <w:p w:rsidR="001F6E87" w:rsidRPr="004E48B9" w:rsidRDefault="001F6E87" w:rsidP="00BB03A8">
      <w:pPr>
        <w:spacing w:after="0" w:line="360" w:lineRule="auto"/>
        <w:jc w:val="both"/>
        <w:rPr>
          <w:rFonts w:ascii="Times New Roman" w:hAnsi="Times New Roman" w:cs="Times New Roman"/>
          <w:b/>
          <w:sz w:val="24"/>
          <w:szCs w:val="24"/>
          <w:lang w:val="en-US"/>
        </w:rPr>
      </w:pPr>
    </w:p>
    <w:p w:rsidR="001F6E87" w:rsidRPr="004E48B9" w:rsidRDefault="001F6E87" w:rsidP="00BB03A8">
      <w:pPr>
        <w:spacing w:after="0" w:line="360" w:lineRule="auto"/>
        <w:jc w:val="both"/>
        <w:rPr>
          <w:rFonts w:ascii="Times New Roman" w:hAnsi="Times New Roman" w:cs="Times New Roman"/>
          <w:b/>
          <w:sz w:val="24"/>
          <w:szCs w:val="24"/>
          <w:lang w:val="en-US"/>
        </w:rPr>
      </w:pPr>
    </w:p>
    <w:p w:rsidR="00AF2644" w:rsidRPr="004E48B9" w:rsidRDefault="00AF2644" w:rsidP="00BB03A8">
      <w:pPr>
        <w:spacing w:after="0" w:line="360" w:lineRule="auto"/>
        <w:jc w:val="both"/>
        <w:rPr>
          <w:rFonts w:ascii="Times New Roman" w:hAnsi="Times New Roman" w:cs="Times New Roman"/>
          <w:b/>
          <w:sz w:val="24"/>
          <w:szCs w:val="24"/>
          <w:lang w:val="en-US"/>
        </w:rPr>
      </w:pPr>
    </w:p>
    <w:p w:rsidR="00AF2644" w:rsidRPr="004E48B9" w:rsidRDefault="00AF2644" w:rsidP="00BB03A8">
      <w:pPr>
        <w:spacing w:after="0" w:line="360" w:lineRule="auto"/>
        <w:jc w:val="both"/>
        <w:rPr>
          <w:rFonts w:ascii="Times New Roman" w:hAnsi="Times New Roman" w:cs="Times New Roman"/>
          <w:b/>
          <w:sz w:val="24"/>
          <w:szCs w:val="24"/>
          <w:lang w:val="en-US"/>
        </w:rPr>
      </w:pPr>
    </w:p>
    <w:p w:rsidR="001F6E87" w:rsidRPr="004E48B9" w:rsidRDefault="001F6E87" w:rsidP="00BB03A8">
      <w:pPr>
        <w:spacing w:after="0" w:line="360" w:lineRule="auto"/>
        <w:jc w:val="both"/>
        <w:rPr>
          <w:rFonts w:ascii="Times New Roman" w:hAnsi="Times New Roman" w:cs="Times New Roman"/>
          <w:b/>
          <w:sz w:val="28"/>
          <w:lang w:val="en-US"/>
        </w:rPr>
      </w:pPr>
      <w:r w:rsidRPr="004E48B9">
        <w:rPr>
          <w:rFonts w:ascii="Times New Roman" w:hAnsi="Times New Roman" w:cs="Times New Roman"/>
          <w:b/>
          <w:sz w:val="28"/>
          <w:lang w:val="en-US"/>
        </w:rPr>
        <w:lastRenderedPageBreak/>
        <w:t>Introduction</w:t>
      </w:r>
    </w:p>
    <w:p w:rsidR="001F6E87" w:rsidRPr="004E48B9" w:rsidRDefault="001F6E87" w:rsidP="0005003D">
      <w:pPr>
        <w:spacing w:after="0" w:line="360" w:lineRule="auto"/>
        <w:ind w:firstLine="720"/>
        <w:jc w:val="both"/>
        <w:rPr>
          <w:rFonts w:ascii="Times New Roman" w:hAnsi="Times New Roman" w:cs="Times New Roman"/>
          <w:sz w:val="24"/>
          <w:lang w:val="en-US"/>
        </w:rPr>
      </w:pPr>
      <w:bookmarkStart w:id="7" w:name="_Hlk485051395"/>
      <w:r w:rsidRPr="004E48B9">
        <w:rPr>
          <w:rFonts w:ascii="Times New Roman" w:hAnsi="Times New Roman" w:cs="Times New Roman"/>
          <w:sz w:val="24"/>
          <w:lang w:val="en-US"/>
        </w:rPr>
        <w:t xml:space="preserve">Despite rapid development of new approaches for caries prevention and control, the global burden of untreated caries in primary teeth (early childhood caries) has remained relatively unchanged for three decades (Peres et al. 2019), with caries in deciduous teeth ranking fifth amongst the top thirty conditions exhibiting highest incidence rates (Vos et al. 2017). </w:t>
      </w:r>
      <w:bookmarkStart w:id="8" w:name="_Hlk8291866"/>
      <w:bookmarkEnd w:id="7"/>
      <w:r w:rsidRPr="004E48B9">
        <w:rPr>
          <w:rFonts w:ascii="Times New Roman" w:hAnsi="Times New Roman" w:cs="Times New Roman"/>
          <w:sz w:val="24"/>
          <w:lang w:val="en-US"/>
        </w:rPr>
        <w:t>Families of children with early childhood caries (ECC) may experience significant financial burden (Righolt et al. 2018), compromised oral health-related quality of life (Chaffee et al. 2017), increased susceptibility to caries in permanent teeth (Isaksson et al. 2013), lower self-esteem (Filstrup et al. 2003) and even lethal infection/sepsis (Casamassimo et al. 2009).</w:t>
      </w:r>
      <w:bookmarkEnd w:id="8"/>
      <w:r w:rsidRPr="004E48B9">
        <w:rPr>
          <w:rFonts w:ascii="Times New Roman" w:hAnsi="Times New Roman" w:cs="Times New Roman"/>
          <w:sz w:val="24"/>
          <w:lang w:val="en-US"/>
        </w:rPr>
        <w:t xml:space="preserve"> A skewed distribution of disease burden has been reported with 16-25% of children bearing 75-80% of the overall lesions (Gao et al. 2009; Kaste et al. 1996). Thus, </w:t>
      </w:r>
      <w:bookmarkStart w:id="9" w:name="_Hlk8292693"/>
      <w:r w:rsidRPr="004E48B9">
        <w:rPr>
          <w:rFonts w:ascii="Times New Roman" w:hAnsi="Times New Roman" w:cs="Times New Roman"/>
          <w:sz w:val="24"/>
          <w:lang w:val="en-US"/>
        </w:rPr>
        <w:t xml:space="preserve">to lessen the widening gap of </w:t>
      </w:r>
      <w:bookmarkEnd w:id="9"/>
      <w:r w:rsidRPr="004E48B9">
        <w:rPr>
          <w:rFonts w:ascii="Times New Roman" w:hAnsi="Times New Roman" w:cs="Times New Roman"/>
          <w:sz w:val="24"/>
          <w:lang w:val="en-US"/>
        </w:rPr>
        <w:t xml:space="preserve">oral health disparities, accurate and applicable early caries risk assessment (CRA) may be critical, especially for infants/toddlers. However, conventional CRA models use “past caries experience” and/or “dental factors” as predictors, </w:t>
      </w:r>
      <w:r w:rsidR="00C44368" w:rsidRPr="004E48B9">
        <w:rPr>
          <w:rFonts w:ascii="Times New Roman" w:hAnsi="Times New Roman" w:cs="Times New Roman"/>
          <w:sz w:val="24"/>
          <w:lang w:val="en-US"/>
        </w:rPr>
        <w:t xml:space="preserve">which </w:t>
      </w:r>
      <w:r w:rsidRPr="004E48B9">
        <w:rPr>
          <w:rFonts w:ascii="Times New Roman" w:hAnsi="Times New Roman" w:cs="Times New Roman"/>
          <w:sz w:val="24"/>
          <w:lang w:val="en-US"/>
        </w:rPr>
        <w:t xml:space="preserve">require a separate dental examination/visit, </w:t>
      </w:r>
      <w:r w:rsidR="00C44368" w:rsidRPr="004E48B9">
        <w:rPr>
          <w:rFonts w:ascii="Times New Roman" w:hAnsi="Times New Roman" w:cs="Times New Roman"/>
          <w:sz w:val="24"/>
          <w:lang w:val="en-US"/>
        </w:rPr>
        <w:t xml:space="preserve">reportedly low in the first year with &lt;2% infants visiting dentists, in contrast to &gt;82% medical utilization </w:t>
      </w:r>
      <w:r w:rsidRPr="004E48B9">
        <w:rPr>
          <w:rFonts w:ascii="Times New Roman" w:hAnsi="Times New Roman" w:cs="Times New Roman"/>
          <w:sz w:val="24"/>
          <w:lang w:val="en-US"/>
        </w:rPr>
        <w:t>(Chi et al. 2013). While the integration of oral and general healthcare has been advocated (Donoff et al. 2014) and proven to be effective (Stearns et al. 2012), dentistry remains as an isolated profession in the healthcare system (Sheiham et al. 2015). With a steep increase in global incidence rates of ECC per capita (from 0.10 to 0.70) in 1- to 4-years old children (Kassebaum et al. 2017),</w:t>
      </w:r>
      <w:r w:rsidR="00C7777C"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 xml:space="preserve">a “medical” CRA instead of a “dental” CRA model may be more effective for early and timely identification of caries-susceptible individuals (Watt et al. 2019). Hence, this study was purposed to build “medical CRA models”, using information </w:t>
      </w:r>
      <w:bookmarkStart w:id="10" w:name="_Hlk495067482"/>
      <w:r w:rsidRPr="004E48B9">
        <w:rPr>
          <w:rFonts w:ascii="Times New Roman" w:hAnsi="Times New Roman" w:cs="Times New Roman"/>
          <w:sz w:val="24"/>
          <w:lang w:val="en-US"/>
        </w:rPr>
        <w:t>available to medical professionals, through a longitudinal mother-offspring cohort study to predict caries formation at 2 and 3</w:t>
      </w:r>
      <w:r w:rsidR="00F77EEA"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years of age.</w:t>
      </w:r>
      <w:bookmarkEnd w:id="10"/>
    </w:p>
    <w:p w:rsidR="001F6E87" w:rsidRPr="004E48B9" w:rsidRDefault="001F6E87" w:rsidP="0005003D">
      <w:pPr>
        <w:spacing w:after="0" w:line="360" w:lineRule="auto"/>
        <w:ind w:firstLine="720"/>
        <w:jc w:val="both"/>
        <w:rPr>
          <w:rFonts w:ascii="Times New Roman" w:hAnsi="Times New Roman" w:cs="Times New Roman"/>
          <w:sz w:val="24"/>
          <w:lang w:val="en-US"/>
        </w:rPr>
      </w:pPr>
    </w:p>
    <w:p w:rsidR="001F6E87" w:rsidRPr="004E48B9" w:rsidRDefault="001F6E87" w:rsidP="007B4416">
      <w:pPr>
        <w:spacing w:after="0" w:line="360" w:lineRule="auto"/>
        <w:jc w:val="both"/>
        <w:rPr>
          <w:rFonts w:ascii="Times New Roman" w:hAnsi="Times New Roman" w:cs="Times New Roman"/>
          <w:b/>
          <w:sz w:val="28"/>
          <w:lang w:val="en-US"/>
        </w:rPr>
      </w:pPr>
      <w:bookmarkStart w:id="11" w:name="_Hlk26188297"/>
      <w:bookmarkEnd w:id="2"/>
      <w:bookmarkEnd w:id="6"/>
      <w:r w:rsidRPr="004E48B9">
        <w:rPr>
          <w:rFonts w:ascii="Times New Roman" w:hAnsi="Times New Roman" w:cs="Times New Roman"/>
          <w:b/>
          <w:sz w:val="28"/>
          <w:lang w:val="en-US"/>
        </w:rPr>
        <w:t>Materials and Methods</w:t>
      </w:r>
    </w:p>
    <w:p w:rsidR="001F6E87" w:rsidRPr="004E48B9" w:rsidRDefault="001F6E87" w:rsidP="007B4416">
      <w:pPr>
        <w:spacing w:after="0" w:line="360" w:lineRule="auto"/>
        <w:jc w:val="both"/>
        <w:rPr>
          <w:rFonts w:ascii="Times New Roman" w:hAnsi="Times New Roman" w:cs="Times New Roman"/>
          <w:b/>
          <w:sz w:val="24"/>
          <w:lang w:val="en-US"/>
        </w:rPr>
      </w:pPr>
      <w:r w:rsidRPr="004E48B9">
        <w:rPr>
          <w:rFonts w:ascii="Times New Roman" w:hAnsi="Times New Roman" w:cs="Times New Roman"/>
          <w:b/>
          <w:sz w:val="24"/>
          <w:lang w:val="en-US"/>
        </w:rPr>
        <w:t>Study design and data collection</w:t>
      </w:r>
    </w:p>
    <w:p w:rsidR="001F6E87" w:rsidRPr="004E48B9" w:rsidRDefault="001F6E87" w:rsidP="007B4416">
      <w:pPr>
        <w:spacing w:after="0" w:line="360" w:lineRule="auto"/>
        <w:ind w:firstLine="720"/>
        <w:jc w:val="both"/>
        <w:rPr>
          <w:rFonts w:ascii="Times New Roman" w:hAnsi="Times New Roman" w:cs="Times New Roman"/>
          <w:sz w:val="24"/>
          <w:lang w:val="en-US"/>
        </w:rPr>
      </w:pPr>
      <w:bookmarkStart w:id="12" w:name="_Hlk536107730"/>
      <w:bookmarkStart w:id="13" w:name="_Hlk26188776"/>
      <w:bookmarkEnd w:id="11"/>
      <w:r w:rsidRPr="004E48B9" w:rsidDel="00C56C59">
        <w:rPr>
          <w:rFonts w:ascii="Times New Roman" w:hAnsi="Times New Roman" w:cs="Times New Roman"/>
          <w:sz w:val="24"/>
          <w:lang w:val="en-US"/>
        </w:rPr>
        <w:t xml:space="preserve">Ethical approval was obtained from Centralized Institutional Review Board (CIRB) of SingHealth (reference 2009/280/D) and Domain Specific Review Board (DSRB) of Singapore National Healthcare Group (reference D/09/021). </w:t>
      </w:r>
      <w:bookmarkEnd w:id="12"/>
      <w:r w:rsidRPr="004E48B9">
        <w:rPr>
          <w:rFonts w:ascii="Times New Roman" w:hAnsi="Times New Roman" w:cs="Times New Roman"/>
          <w:sz w:val="24"/>
          <w:lang w:val="en-US"/>
        </w:rPr>
        <w:t xml:space="preserve">Only Singapore citizens or permanent residents of Chinese, Malay and Indian ethnicity with homogenous ethnic background and who intend to reside in Singapore for the next 5 years were approached (Soh et al. 2014) to be a part of the Growing Up in Singapore Towards healthy Outcomes (GUSTO) cohort. The primary </w:t>
      </w:r>
      <w:r w:rsidRPr="004E48B9">
        <w:rPr>
          <w:rFonts w:ascii="Times New Roman" w:hAnsi="Times New Roman" w:cs="Times New Roman"/>
          <w:sz w:val="24"/>
          <w:lang w:val="en-US"/>
        </w:rPr>
        <w:lastRenderedPageBreak/>
        <w:t>objective of the GUSTO cohort was to investigate the role of prenatal and post-natal influences (fetal, developmental and epigenetic factors) during early development, affecting the pathways to disease. A total of 1247 healthy pregnant women, aged 18 years and above, were recruited as part of the GUSTO mother-offspring cohort during their first trimester (&lt;14 weeks’ gestation) at two major public maternity hospitals in Singapore. Mothers and their offspring (n=1176) were followed up postnatally at periodic intervals during childhood (Figure 1). Mothers receiving chemotherapy, psychotropic drugs or with Type I diabetes mellitus were excluded from the study.</w:t>
      </w:r>
    </w:p>
    <w:p w:rsidR="001F6E87" w:rsidRPr="004E48B9" w:rsidRDefault="001F6E87">
      <w:pPr>
        <w:spacing w:after="0" w:line="360" w:lineRule="auto"/>
        <w:ind w:firstLine="720"/>
        <w:jc w:val="both"/>
        <w:rPr>
          <w:rFonts w:ascii="Times New Roman" w:hAnsi="Times New Roman" w:cs="Times New Roman"/>
          <w:sz w:val="24"/>
          <w:lang w:val="en-US"/>
        </w:rPr>
      </w:pPr>
      <w:bookmarkStart w:id="14" w:name="_Hlk26188364"/>
      <w:bookmarkEnd w:id="13"/>
      <w:r w:rsidRPr="004E48B9">
        <w:rPr>
          <w:rFonts w:ascii="Times New Roman" w:hAnsi="Times New Roman" w:cs="Times New Roman"/>
          <w:sz w:val="24"/>
          <w:lang w:val="en-US"/>
        </w:rPr>
        <w:t xml:space="preserve">Interviewer-administered questionnaires were used to collect data on a) </w:t>
      </w:r>
      <w:r w:rsidRPr="004E48B9">
        <w:rPr>
          <w:rFonts w:ascii="Times New Roman" w:hAnsi="Times New Roman" w:cs="Times New Roman"/>
          <w:i/>
          <w:sz w:val="24"/>
          <w:lang w:val="en-US"/>
        </w:rPr>
        <w:t xml:space="preserve">demographic/socioeconomic characteristics </w:t>
      </w:r>
      <w:r w:rsidRPr="004E48B9">
        <w:rPr>
          <w:rFonts w:ascii="Times New Roman" w:hAnsi="Times New Roman" w:cs="Times New Roman"/>
          <w:sz w:val="24"/>
          <w:lang w:val="en-US"/>
        </w:rPr>
        <w:t xml:space="preserve">(e.g. ethnicity, mother’s and father’s educational status, maternal child bearing age, mother’s occupational status, monthly household income, parity status), b) </w:t>
      </w:r>
      <w:r w:rsidRPr="004E48B9">
        <w:rPr>
          <w:rFonts w:ascii="Times New Roman" w:hAnsi="Times New Roman" w:cs="Times New Roman"/>
          <w:i/>
          <w:sz w:val="24"/>
          <w:lang w:val="en-US"/>
        </w:rPr>
        <w:t xml:space="preserve">maternal general health-related factors </w:t>
      </w:r>
      <w:r w:rsidRPr="004E48B9">
        <w:rPr>
          <w:rFonts w:ascii="Times New Roman" w:hAnsi="Times New Roman" w:cs="Times New Roman"/>
          <w:sz w:val="24"/>
          <w:lang w:val="en-US"/>
        </w:rPr>
        <w:t xml:space="preserve">(history of any chronic illness, active/passive prenatal tobacco smoke exposure) at 26-week gestation visit, and c) </w:t>
      </w:r>
      <w:r w:rsidRPr="004E48B9">
        <w:rPr>
          <w:rFonts w:ascii="Times New Roman" w:hAnsi="Times New Roman" w:cs="Times New Roman"/>
          <w:i/>
          <w:sz w:val="24"/>
          <w:lang w:val="en-US"/>
        </w:rPr>
        <w:t>child’s general health during infancy</w:t>
      </w:r>
      <w:r w:rsidRPr="004E48B9">
        <w:rPr>
          <w:rFonts w:ascii="Times New Roman" w:hAnsi="Times New Roman" w:cs="Times New Roman"/>
          <w:sz w:val="24"/>
          <w:lang w:val="en-US"/>
        </w:rPr>
        <w:t xml:space="preserve"> such as history of any medical condition within 3-6 months, history of allergies </w:t>
      </w:r>
      <w:r w:rsidR="0095387D" w:rsidRPr="004E48B9">
        <w:rPr>
          <w:rFonts w:ascii="Times New Roman" w:hAnsi="Times New Roman" w:cs="Times New Roman"/>
          <w:sz w:val="24"/>
          <w:lang w:val="en-US"/>
        </w:rPr>
        <w:t xml:space="preserve">before </w:t>
      </w:r>
      <w:r w:rsidRPr="004E48B9">
        <w:rPr>
          <w:rFonts w:ascii="Times New Roman" w:hAnsi="Times New Roman" w:cs="Times New Roman"/>
          <w:sz w:val="24"/>
          <w:lang w:val="en-US"/>
        </w:rPr>
        <w:t xml:space="preserve">12 months (runny nose within 9-12 months /itchy rashes within 6-12 months) history of allergies before first tooth eruption (runny nose/itchy rashes), intake of medications (oral medicines within 6-12 months /nebulizers within 9-12 months /antibiotics within 9-12 months /medications for runny nose within 0-12 months), history of infections (ear infections/vomiting/diarrhoea prior to first tooth eruption). Separate oral health questionnaires were used at 24-month dental visit to obtain data for a) </w:t>
      </w:r>
      <w:bookmarkEnd w:id="14"/>
      <w:r w:rsidRPr="004E48B9">
        <w:rPr>
          <w:rFonts w:ascii="Times New Roman" w:hAnsi="Times New Roman" w:cs="Times New Roman"/>
          <w:i/>
          <w:sz w:val="24"/>
          <w:lang w:val="en-US"/>
        </w:rPr>
        <w:t xml:space="preserve">mother’s oral health behaviors </w:t>
      </w:r>
      <w:r w:rsidRPr="004E48B9">
        <w:rPr>
          <w:rFonts w:ascii="Times New Roman" w:hAnsi="Times New Roman" w:cs="Times New Roman"/>
          <w:sz w:val="24"/>
          <w:lang w:val="en-US"/>
        </w:rPr>
        <w:t xml:space="preserve">(brushing frequency, regular dental check-ups, knowledge of cause of tooth decay, sharing of feeding/drinking utensils with child), and b) </w:t>
      </w:r>
      <w:r w:rsidRPr="004E48B9">
        <w:rPr>
          <w:rFonts w:ascii="Times New Roman" w:hAnsi="Times New Roman" w:cs="Times New Roman"/>
          <w:i/>
          <w:sz w:val="24"/>
          <w:lang w:val="en-US"/>
        </w:rPr>
        <w:t>child’s oral health data</w:t>
      </w:r>
      <w:r w:rsidRPr="004E48B9">
        <w:rPr>
          <w:rFonts w:ascii="Times New Roman" w:hAnsi="Times New Roman" w:cs="Times New Roman"/>
          <w:sz w:val="24"/>
          <w:lang w:val="en-US"/>
        </w:rPr>
        <w:t xml:space="preserve"> </w:t>
      </w:r>
      <w:r w:rsidR="00D444D1"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duration of pacifier use (in months), duration of breastfeeding (in months), age of introduction of solid food (in months), number of teeth present at first year, age for first tooth eruption (in months), night-time bottle feeding and previous dental visit during the first 24 months. Collectively, the biopsychosocial data, obtained till</w:t>
      </w:r>
      <w:r w:rsidR="00FE37EA"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1 and 2 years of age, was used to build prediction models for caries risk at 2 and 3</w:t>
      </w:r>
      <w:r w:rsidR="007375CC"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years of age, respectively.</w:t>
      </w:r>
    </w:p>
    <w:p w:rsidR="001F6E87" w:rsidRPr="004E48B9" w:rsidRDefault="001F6E87" w:rsidP="007B4416">
      <w:pPr>
        <w:spacing w:after="0" w:line="360" w:lineRule="auto"/>
        <w:ind w:firstLine="720"/>
        <w:jc w:val="both"/>
        <w:rPr>
          <w:rFonts w:ascii="Times New Roman" w:hAnsi="Times New Roman" w:cs="Times New Roman"/>
          <w:sz w:val="24"/>
          <w:lang w:val="en-US"/>
        </w:rPr>
      </w:pPr>
    </w:p>
    <w:p w:rsidR="001F6E87" w:rsidRPr="004E48B9" w:rsidRDefault="001F6E87" w:rsidP="007B4416">
      <w:pPr>
        <w:spacing w:after="0" w:line="360" w:lineRule="auto"/>
        <w:jc w:val="both"/>
        <w:rPr>
          <w:rFonts w:ascii="Times New Roman" w:hAnsi="Times New Roman" w:cs="Times New Roman"/>
          <w:b/>
          <w:sz w:val="24"/>
          <w:lang w:val="en-US"/>
        </w:rPr>
      </w:pPr>
      <w:bookmarkStart w:id="15" w:name="_Hlk26188863"/>
      <w:r w:rsidRPr="004E48B9">
        <w:rPr>
          <w:rFonts w:ascii="Times New Roman" w:hAnsi="Times New Roman" w:cs="Times New Roman"/>
          <w:b/>
          <w:sz w:val="24"/>
          <w:lang w:val="en-US"/>
        </w:rPr>
        <w:t>Oral examination</w:t>
      </w:r>
    </w:p>
    <w:p w:rsidR="001F6E87" w:rsidRPr="004E48B9" w:rsidRDefault="001F6E87" w:rsidP="007B4416">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Dental examinations in children were carried out at 2- and 3-year clinic visit by trained calibrated dentists, with a single examiner at the 2-year visit and three examiners at the 3-year visit. Children were refrained from eating, drinking, and tooth-brushing for at least 1 hour prior to any oral-related clinical procedures. Examinations were conducted using knee-to-knee position and teeth were assessed by visual inspection, using plane surface mouth mirrors, and aided by tactile inspection, when deemed necessary. Autoclavable blunt WHO probes were used to avoid damaging sound enamel surfaces. Caries detection was performed by modified International Caries Detection and Assessment System (ICDAS II) diagnostic criteria (Ismail et al. 2007), without recording ICDAS code 1 due to logistical constraints. No additional detection methods or radiographs were used.</w:t>
      </w:r>
    </w:p>
    <w:bookmarkEnd w:id="15"/>
    <w:p w:rsidR="001F6E87" w:rsidRPr="004E48B9" w:rsidRDefault="001F6E87" w:rsidP="00F6447E">
      <w:pPr>
        <w:spacing w:after="0" w:line="360" w:lineRule="auto"/>
        <w:jc w:val="both"/>
        <w:rPr>
          <w:rFonts w:ascii="Times New Roman" w:hAnsi="Times New Roman" w:cs="Times New Roman"/>
          <w:b/>
          <w:sz w:val="24"/>
          <w:lang w:val="en-US"/>
        </w:rPr>
      </w:pPr>
    </w:p>
    <w:p w:rsidR="001F6E87" w:rsidRPr="004E48B9" w:rsidRDefault="001F6E87" w:rsidP="007B4416">
      <w:pPr>
        <w:spacing w:after="0" w:line="360" w:lineRule="auto"/>
        <w:jc w:val="both"/>
        <w:rPr>
          <w:rFonts w:ascii="Times New Roman" w:hAnsi="Times New Roman" w:cs="Times New Roman"/>
          <w:b/>
          <w:sz w:val="24"/>
          <w:lang w:val="en-US"/>
        </w:rPr>
      </w:pPr>
      <w:bookmarkStart w:id="16" w:name="_Hlk26188945"/>
      <w:r w:rsidRPr="004E48B9">
        <w:rPr>
          <w:rFonts w:ascii="Times New Roman" w:hAnsi="Times New Roman" w:cs="Times New Roman"/>
          <w:b/>
          <w:sz w:val="24"/>
          <w:lang w:val="en-US"/>
        </w:rPr>
        <w:t>Data analysis</w:t>
      </w:r>
    </w:p>
    <w:bookmarkEnd w:id="16"/>
    <w:p w:rsidR="001F6E87" w:rsidRPr="004E48B9" w:rsidRDefault="001F6E87" w:rsidP="002436DD">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Data analysis was performed using SPSS statistical software (Version 25, IBM SPSS Statistics, Armonk, N.Y., USA) and STATA (Version 12.1). The continuous variables are presented as mean ± S.D., while the categorical variables are presented as N</w:t>
      </w:r>
      <w:r w:rsidR="0048214E"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w:t>
      </w:r>
      <w:bookmarkStart w:id="17" w:name="_Hlk26455820"/>
      <w:r w:rsidRPr="004E48B9">
        <w:rPr>
          <w:rFonts w:ascii="Times New Roman" w:hAnsi="Times New Roman" w:cs="Times New Roman"/>
          <w:sz w:val="24"/>
          <w:lang w:val="en-US"/>
        </w:rPr>
        <w:t xml:space="preserve"> Inter- and intra-examiner reliability was assessed during the training phase and quantified using Intraclass Correlation Coefficient (ICC) scores. </w:t>
      </w:r>
      <w:bookmarkEnd w:id="17"/>
      <w:r w:rsidRPr="004E48B9">
        <w:rPr>
          <w:rFonts w:ascii="Times New Roman" w:hAnsi="Times New Roman" w:cs="Times New Roman"/>
          <w:sz w:val="24"/>
          <w:lang w:val="en-US"/>
        </w:rPr>
        <w:t xml:space="preserve">The binary outcome variable, caries-affected (dmfs&gt;0) and caries-free (dmfs=0), was used to build CRA models: (i) Model I for 2-year-old and (ii) Model II for 3-year-old children. Thereafter, these models were sub-categorized based on the type of lesions detected: (i) Model A (ICDAS codes 2-6): all caries lesions including non-cavitated, cavitated lesions in enamel and dentin; (ii) Model B (ICDAS codes 3-6): moderate-extensive caries lesions excluding code 2 lesions. Thus, </w:t>
      </w:r>
      <w:r w:rsidR="00407936" w:rsidRPr="004E48B9">
        <w:rPr>
          <w:rFonts w:ascii="Times New Roman" w:hAnsi="Times New Roman" w:cs="Times New Roman"/>
          <w:sz w:val="24"/>
          <w:lang w:val="en-US"/>
        </w:rPr>
        <w:t>the</w:t>
      </w:r>
      <w:r w:rsidRPr="004E48B9">
        <w:rPr>
          <w:rFonts w:ascii="Times New Roman" w:hAnsi="Times New Roman" w:cs="Times New Roman"/>
          <w:sz w:val="24"/>
          <w:lang w:val="en-US"/>
        </w:rPr>
        <w:t xml:space="preserve"> medical CRA models reported in the current study</w:t>
      </w:r>
      <w:r w:rsidR="00407936" w:rsidRPr="004E48B9">
        <w:rPr>
          <w:rFonts w:ascii="Times New Roman" w:hAnsi="Times New Roman" w:cs="Times New Roman"/>
          <w:sz w:val="24"/>
          <w:lang w:val="en-US"/>
        </w:rPr>
        <w:t xml:space="preserve"> are</w:t>
      </w:r>
      <w:r w:rsidRPr="004E48B9">
        <w:rPr>
          <w:rFonts w:ascii="Times New Roman" w:hAnsi="Times New Roman" w:cs="Times New Roman"/>
          <w:sz w:val="24"/>
          <w:lang w:val="en-US"/>
        </w:rPr>
        <w:t xml:space="preserve">: Model I-A and II-A predicting “overall caries lesions” at 2 and 3 years respectively; Model I-B and II-B predicting risk of “moderate-extensive caries” at 2 and 3 years respectively. Multivariable logistic regression was employed to develop risk prediction models excluding all the factors that were not feasible/or difficult to obtain by medical professionals. Factors with a p-value≤0.05 in the bivariate logistic regression were selected as the core variables for the multivariable model, along with factors which were closely associated with etiological factors, of clinical relevance and/or increased the maximum variance in the outcome explained by the models. </w:t>
      </w:r>
      <w:r w:rsidR="002B264B" w:rsidRPr="004E48B9">
        <w:rPr>
          <w:rFonts w:ascii="Times New Roman" w:hAnsi="Times New Roman" w:cs="Times New Roman"/>
          <w:sz w:val="24"/>
          <w:lang w:val="en-US"/>
        </w:rPr>
        <w:t>Pseudo R</w:t>
      </w:r>
      <w:r w:rsidR="002B264B" w:rsidRPr="004E48B9">
        <w:rPr>
          <w:rFonts w:ascii="Times New Roman" w:hAnsi="Times New Roman" w:cs="Times New Roman"/>
          <w:sz w:val="24"/>
          <w:vertAlign w:val="superscript"/>
          <w:lang w:val="en-US"/>
        </w:rPr>
        <w:t>2</w:t>
      </w:r>
      <w:r w:rsidR="002B264B" w:rsidRPr="004E48B9">
        <w:rPr>
          <w:rFonts w:ascii="Times New Roman" w:hAnsi="Times New Roman" w:cs="Times New Roman"/>
          <w:sz w:val="24"/>
          <w:lang w:val="en-US"/>
        </w:rPr>
        <w:t xml:space="preserve"> was used to estimate the amount of variation in the outcome that could be explained by the model. Receiver Operating Characteristic (ROC) analysis was used to evaluate predictive accuracy of the models, using area under the curve (AUC). Sensitivity and specificity values were obtained from the AUC, followed by estimation of the accuracy of the model. To overcome the constraint of biased/overestimated results that may arise as a result of missing data, Multiple Imputation by Chained Equation (MICE) was used to impute the missing covariates for all the models (Model I-Ai, Model I-Bi, Model II-Ai, Model II-Bi), as a sensitivity test. </w:t>
      </w:r>
      <w:r w:rsidR="00A50BFE" w:rsidRPr="004E48B9">
        <w:rPr>
          <w:rFonts w:ascii="Times New Roman" w:hAnsi="Times New Roman" w:cs="Times New Roman"/>
          <w:sz w:val="24"/>
          <w:lang w:val="en-US"/>
        </w:rPr>
        <w:t>Details of the MICE technique ha</w:t>
      </w:r>
      <w:r w:rsidR="00733216" w:rsidRPr="004E48B9">
        <w:rPr>
          <w:rFonts w:ascii="Times New Roman" w:hAnsi="Times New Roman" w:cs="Times New Roman"/>
          <w:sz w:val="24"/>
          <w:lang w:val="en-US"/>
        </w:rPr>
        <w:t>ve</w:t>
      </w:r>
      <w:r w:rsidR="00A50BFE" w:rsidRPr="004E48B9">
        <w:rPr>
          <w:rFonts w:ascii="Times New Roman" w:hAnsi="Times New Roman" w:cs="Times New Roman"/>
          <w:sz w:val="24"/>
          <w:lang w:val="en-US"/>
        </w:rPr>
        <w:t xml:space="preserve"> been presented in the Appendix. </w:t>
      </w:r>
      <w:r w:rsidRPr="004E48B9">
        <w:rPr>
          <w:rFonts w:ascii="Times New Roman" w:hAnsi="Times New Roman" w:cs="Times New Roman"/>
          <w:sz w:val="24"/>
          <w:lang w:val="en-US"/>
        </w:rPr>
        <w:t xml:space="preserve">To simulate a possible scenario where the medical professionals were trained to identify caries lesions in anterior teeth using quick screening tools such as “lift the lip” </w:t>
      </w:r>
      <w:r w:rsidRPr="004E48B9">
        <w:rPr>
          <w:rFonts w:ascii="Times New Roman" w:hAnsi="Times New Roman" w:cs="Times New Roman"/>
          <w:noProof/>
          <w:sz w:val="24"/>
          <w:lang w:val="en-US"/>
        </w:rPr>
        <w:t>(Kaste et al. 1996)</w:t>
      </w:r>
      <w:r w:rsidRPr="004E48B9">
        <w:rPr>
          <w:rFonts w:ascii="Times New Roman" w:hAnsi="Times New Roman" w:cs="Times New Roman"/>
          <w:sz w:val="24"/>
          <w:lang w:val="en-US"/>
        </w:rPr>
        <w:t>, anterior caries lesions at Year 2 were added to the medical models (</w:t>
      </w:r>
      <w:r w:rsidR="00341B9C" w:rsidRPr="004E48B9">
        <w:rPr>
          <w:rFonts w:ascii="Times New Roman" w:hAnsi="Times New Roman" w:cs="Times New Roman"/>
          <w:sz w:val="24"/>
          <w:lang w:val="en-US"/>
        </w:rPr>
        <w:t>Model II-A</w:t>
      </w:r>
      <w:r w:rsidR="00DB7671" w:rsidRPr="004E48B9">
        <w:rPr>
          <w:rFonts w:ascii="Times New Roman" w:hAnsi="Times New Roman" w:cs="Times New Roman"/>
          <w:sz w:val="24"/>
          <w:lang w:val="en-US"/>
        </w:rPr>
        <w:t>-</w:t>
      </w:r>
      <w:r w:rsidR="00341B9C" w:rsidRPr="004E48B9">
        <w:rPr>
          <w:rFonts w:ascii="Times New Roman" w:hAnsi="Times New Roman" w:cs="Times New Roman"/>
          <w:sz w:val="24"/>
          <w:lang w:val="en-US"/>
        </w:rPr>
        <w:t>a, II-Ai-a, II-B</w:t>
      </w:r>
      <w:r w:rsidR="00DB7671" w:rsidRPr="004E48B9">
        <w:rPr>
          <w:rFonts w:ascii="Times New Roman" w:hAnsi="Times New Roman" w:cs="Times New Roman"/>
          <w:sz w:val="24"/>
          <w:lang w:val="en-US"/>
        </w:rPr>
        <w:t>-</w:t>
      </w:r>
      <w:r w:rsidR="00341B9C" w:rsidRPr="004E48B9">
        <w:rPr>
          <w:rFonts w:ascii="Times New Roman" w:hAnsi="Times New Roman" w:cs="Times New Roman"/>
          <w:sz w:val="24"/>
          <w:lang w:val="en-US"/>
        </w:rPr>
        <w:t xml:space="preserve">a </w:t>
      </w:r>
      <w:r w:rsidRPr="004E48B9">
        <w:rPr>
          <w:rFonts w:ascii="Times New Roman" w:hAnsi="Times New Roman" w:cs="Times New Roman"/>
          <w:sz w:val="24"/>
          <w:lang w:val="en-US"/>
        </w:rPr>
        <w:t>and II-B</w:t>
      </w:r>
      <w:r w:rsidR="00341B9C" w:rsidRPr="004E48B9">
        <w:rPr>
          <w:rFonts w:ascii="Times New Roman" w:hAnsi="Times New Roman" w:cs="Times New Roman"/>
          <w:sz w:val="24"/>
          <w:lang w:val="en-US"/>
        </w:rPr>
        <w:t>i-a</w:t>
      </w:r>
      <w:r w:rsidRPr="004E48B9">
        <w:rPr>
          <w:rFonts w:ascii="Times New Roman" w:hAnsi="Times New Roman" w:cs="Times New Roman"/>
          <w:sz w:val="24"/>
          <w:lang w:val="en-US"/>
        </w:rPr>
        <w:t>) and the model performance was evaluated. The data and analysis reported for this longitudinal study follows the STROBE guidelines.</w:t>
      </w:r>
    </w:p>
    <w:p w:rsidR="001F6E87" w:rsidRPr="004E48B9" w:rsidRDefault="001F6E87" w:rsidP="00B252DF">
      <w:pPr>
        <w:spacing w:after="0" w:line="360" w:lineRule="auto"/>
        <w:ind w:firstLine="720"/>
        <w:jc w:val="both"/>
        <w:rPr>
          <w:rFonts w:ascii="Times New Roman" w:hAnsi="Times New Roman" w:cs="Times New Roman"/>
          <w:sz w:val="24"/>
          <w:lang w:val="en-US"/>
        </w:rPr>
      </w:pPr>
    </w:p>
    <w:p w:rsidR="001F6E87" w:rsidRPr="004E48B9" w:rsidRDefault="001F6E87" w:rsidP="004023F2">
      <w:pPr>
        <w:spacing w:after="0" w:line="360" w:lineRule="auto"/>
        <w:jc w:val="both"/>
        <w:rPr>
          <w:rFonts w:ascii="Times New Roman" w:hAnsi="Times New Roman" w:cs="Times New Roman"/>
          <w:b/>
          <w:sz w:val="28"/>
          <w:lang w:val="en-US"/>
        </w:rPr>
      </w:pPr>
      <w:bookmarkStart w:id="18" w:name="_Hlk26189011"/>
      <w:r w:rsidRPr="004E48B9">
        <w:rPr>
          <w:rFonts w:ascii="Times New Roman" w:hAnsi="Times New Roman" w:cs="Times New Roman"/>
          <w:b/>
          <w:sz w:val="28"/>
          <w:lang w:val="en-US"/>
        </w:rPr>
        <w:t>Results</w:t>
      </w:r>
    </w:p>
    <w:p w:rsidR="001F6E87" w:rsidRPr="004E48B9" w:rsidRDefault="001F6E87" w:rsidP="001665A4">
      <w:pPr>
        <w:spacing w:after="0" w:line="360" w:lineRule="auto"/>
        <w:ind w:firstLine="720"/>
        <w:jc w:val="both"/>
        <w:rPr>
          <w:rFonts w:ascii="Times New Roman" w:hAnsi="Times New Roman" w:cs="Times New Roman"/>
          <w:sz w:val="24"/>
          <w:lang w:val="en-US"/>
        </w:rPr>
      </w:pPr>
      <w:bookmarkStart w:id="19" w:name="_Hlk26189035"/>
      <w:bookmarkEnd w:id="18"/>
      <w:r w:rsidRPr="004E48B9">
        <w:rPr>
          <w:rFonts w:ascii="Times New Roman" w:hAnsi="Times New Roman" w:cs="Times New Roman"/>
          <w:sz w:val="24"/>
          <w:lang w:val="en-US"/>
        </w:rPr>
        <w:t>The potential risk determinants for all caries and moderate-extensive caries lesions have been presented in Table 1 and Appendix Table 1, respectively. A total of 535 and 721 participants were examined at the 2- and 3-year clinic visits, respectively. The ECC prevalence rates at 2- and 3-years were 17.8% (95/535) and 42.9% (309/721), respectively. Moderate-extensive caries were observed in 3.9% (21/535) and 20.6% (149/721) at 2- and 3-years, respectively. A single investigator performed clinical examinations at the 2-year visit, with intra-examiner reliability of 0.95 (for ICDAS code 2) and 1.00 (for ICDAS codes 3-6). Furthermore, three examiners performed oral examinations at the 3-year visit, with mean inter- and intra-examiner reliability scores of 0.84 and 0.80, respectively (for ICDAS code 2) and 0.85 and 0.90, respectively (for ICDAS codes 3-6).</w:t>
      </w:r>
    </w:p>
    <w:bookmarkEnd w:id="19"/>
    <w:p w:rsidR="001F6E87" w:rsidRPr="004E48B9" w:rsidRDefault="001F6E87" w:rsidP="006C06C8">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The multivariable medical CRA models for 2-year-old toddlers, Models I-A and I-B, demonstrated an AUC (95%CI) of 0.81 (0.75-0.87) and 0.91 (0.85-0.97), and an accuracy of 74% and 87%, respectively, while explaining 33%-35% of the variance in the outcome (Table 2). Models II-A and II-B demonstrated an AUC (95%CI) of 0.79 (0.74-0.84) and 0.79 (0.73-0.85) and an accuracy of 71% and 72%, respectively, with the models explaining 20%-24% of the variance in the outcome (Table 3).</w:t>
      </w:r>
    </w:p>
    <w:p w:rsidR="001F6E87" w:rsidRPr="004E48B9" w:rsidRDefault="001F6E87">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Significant risk predictors in Model I-A (all lesions) were “history of allergies before first tooth eruption” (OR 2.58, 95%CI 1.44-6.14, P=0.01), “intake of medications during the first year” (OR 2.98, 95%CI 1.44-6.14, P=0.003) and “history of infections before first tooth eruption” (OR 3.11, 95%CI 1.44-6.74, P=0.004); while protective factors were “monthly household income (2000-3999 SGD)” (OR 0.26, 95%CI 0.08-0.79, P=0.01) and “history of maternal illness” (OR 0.16, 95%CI 0.07-0.38, P&lt;0.001). Significant risk predictors in Model I-B (moderate-extensive lesions) include “higher maternal childbearing age” (OR 1.26, 95%CI 1.00-1.48, P=0.04), “prenatal tobacco smoke exposure”(OR 6.79, 95%CI 1.40-32.90, P=0.01) and “history of allergies </w:t>
      </w:r>
      <w:r w:rsidR="00D44E15" w:rsidRPr="004E48B9">
        <w:rPr>
          <w:rFonts w:ascii="Times New Roman" w:hAnsi="Times New Roman" w:cs="Times New Roman"/>
          <w:sz w:val="24"/>
          <w:lang w:val="en-US"/>
        </w:rPr>
        <w:t xml:space="preserve">before </w:t>
      </w:r>
      <w:r w:rsidRPr="004E48B9">
        <w:rPr>
          <w:rFonts w:ascii="Times New Roman" w:hAnsi="Times New Roman" w:cs="Times New Roman"/>
          <w:sz w:val="24"/>
          <w:lang w:val="en-US"/>
        </w:rPr>
        <w:t xml:space="preserve">12 months” (OR 9.18, 95%CI 1.34-62.73, P=0.02) detailed in Appendix Table 2. </w:t>
      </w:r>
    </w:p>
    <w:p w:rsidR="001F6E87" w:rsidRPr="004E48B9" w:rsidRDefault="001F6E87" w:rsidP="00E818BC">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Significant risk predictors in Model II-A were “Chinese ethnicity” (OR 2.67, 95%CI 1.00-7.10, P=0.04), “mother’s occupation (non-professional)” (OR 2.50, 95%CI 1.30-4.83, P=0.006), “prenatal tobacco smoke exposure” (OR 2.57, 95%CI 1.33-4.99, P=0.005), “higher mother’s brushing frequency (2 times/day)” (OR 2.79, 95%CI 1.16-6.70, P=0.02), higher mother’s brushing frequency (≥3 times/day)” (OR 3.58, 95%CI 1.12-11.42, P=0.03)], “higher frequency of in between meal sweet snacks (≥2 times/day)” (OR 3.21, 95%CI 1.50-6.95, P=0.003), “greater number of teeth present at 1-year” (OR 1.16, 95%CI 1.00-1.34, P=0.04) and “delayed tooth eruption” (OR 1.19, 95%CI 1.02-1.40, P=0.03); while “mother’s education (secondary school)” (OR 0.33, 95%CI 0.12-0.91, P=0.03), “history of chronic maternal illness” (OR 0.34, 95%CI 0.19-0.62, P&lt;0.001), “parental reported cause for tooth decay (sugar and bacteria)”(OR 0.50, 95%CI 0.25-0.99, P=0.04) and “increased use of pacifier” (OR 0.96, 95%CI 0.93-0.99, P=0.02) were protective risk factors. Significant risk predictors in Model II-B were “Malay ethnicity” (OR 6.16, 95%CI 1.60-23.76, P=0.008), “Chinese ethnicity” (OR 5.09, 95%CI 1.38-18.69, P=0.01), “higher mother’s brushing frequency (2 times/day)” (OR 3.74, 95%CI 1.09-12.79, P=0.03), “higher frequency of in between meal sweet snacks (≥2 times/day)” (OR 3.60, 95%CI 1.42-9.14, P=0.007)</w:t>
      </w:r>
      <w:r w:rsidR="00AA75A5"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and “child with pre-existing medical conditions” (OR 2.24, 95%CI 1.08-4.67, P=0.03) along with protective factors such as “history of maternal illness” (OR 0.48, 95%CI 0.24-0.94, P=0.03) and “increased use of pacifier” (OR 0.94, 95%CI 0.90-0.98, P=0.003) detailed in Appendix Table 3.</w:t>
      </w:r>
    </w:p>
    <w:p w:rsidR="001F6E87" w:rsidRPr="004E48B9" w:rsidRDefault="001F6E87" w:rsidP="00167AED">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After accounting for the missing data, multivariable medical CRA models for 2-year-old toddlers, Models I-A</w:t>
      </w:r>
      <w:r w:rsidR="00E96C8B" w:rsidRPr="004E48B9">
        <w:rPr>
          <w:rFonts w:ascii="Times New Roman" w:hAnsi="Times New Roman" w:cs="Times New Roman"/>
          <w:sz w:val="24"/>
          <w:lang w:val="en-US"/>
        </w:rPr>
        <w:t>i</w:t>
      </w:r>
      <w:r w:rsidRPr="004E48B9">
        <w:rPr>
          <w:rFonts w:ascii="Times New Roman" w:hAnsi="Times New Roman" w:cs="Times New Roman"/>
          <w:sz w:val="24"/>
          <w:lang w:val="en-US"/>
        </w:rPr>
        <w:t xml:space="preserve"> and I-B</w:t>
      </w:r>
      <w:r w:rsidR="00E96C8B" w:rsidRPr="004E48B9">
        <w:rPr>
          <w:rFonts w:ascii="Times New Roman" w:hAnsi="Times New Roman" w:cs="Times New Roman"/>
          <w:sz w:val="24"/>
          <w:lang w:val="en-US"/>
        </w:rPr>
        <w:t>i</w:t>
      </w:r>
      <w:r w:rsidRPr="004E48B9">
        <w:rPr>
          <w:rFonts w:ascii="Times New Roman" w:hAnsi="Times New Roman" w:cs="Times New Roman"/>
          <w:sz w:val="24"/>
          <w:lang w:val="en-US"/>
        </w:rPr>
        <w:t>, demonstrated an AUC (95%CI) of 0.75 (0.70-0.81) and 0.84 (0.76-0.92) (Table 4) whereas the post imputation performance of Models II-A</w:t>
      </w:r>
      <w:r w:rsidR="00E96C8B" w:rsidRPr="004E48B9">
        <w:rPr>
          <w:rFonts w:ascii="Times New Roman" w:hAnsi="Times New Roman" w:cs="Times New Roman"/>
          <w:sz w:val="24"/>
          <w:lang w:val="en-US"/>
        </w:rPr>
        <w:t>i</w:t>
      </w:r>
      <w:r w:rsidRPr="004E48B9">
        <w:rPr>
          <w:rFonts w:ascii="Times New Roman" w:hAnsi="Times New Roman" w:cs="Times New Roman"/>
          <w:sz w:val="24"/>
          <w:lang w:val="en-US"/>
        </w:rPr>
        <w:t xml:space="preserve"> and II-B</w:t>
      </w:r>
      <w:r w:rsidR="00E96C8B" w:rsidRPr="004E48B9">
        <w:rPr>
          <w:rFonts w:ascii="Times New Roman" w:hAnsi="Times New Roman" w:cs="Times New Roman"/>
          <w:sz w:val="24"/>
          <w:lang w:val="en-US"/>
        </w:rPr>
        <w:t>i</w:t>
      </w:r>
      <w:r w:rsidRPr="004E48B9">
        <w:rPr>
          <w:rFonts w:ascii="Times New Roman" w:hAnsi="Times New Roman" w:cs="Times New Roman"/>
          <w:sz w:val="24"/>
          <w:lang w:val="en-US"/>
        </w:rPr>
        <w:t>, for caries risk prediction at 3 years, demonstrated an AUC (95%CI) of 0.71 (0.67-0.75) and 0.75 (0.70-0.80) (Table 4).</w:t>
      </w:r>
    </w:p>
    <w:p w:rsidR="00AF2644" w:rsidRPr="004E48B9" w:rsidRDefault="001F6E87" w:rsidP="00F22873">
      <w:pPr>
        <w:spacing w:after="0" w:line="360" w:lineRule="auto"/>
        <w:jc w:val="both"/>
        <w:rPr>
          <w:rFonts w:ascii="Times New Roman" w:hAnsi="Times New Roman" w:cs="Times New Roman"/>
          <w:bCs/>
          <w:sz w:val="24"/>
          <w:szCs w:val="21"/>
          <w:lang w:val="en-US"/>
        </w:rPr>
      </w:pPr>
      <w:r w:rsidRPr="004E48B9">
        <w:rPr>
          <w:rFonts w:ascii="Times New Roman" w:hAnsi="Times New Roman" w:cs="Times New Roman"/>
          <w:sz w:val="24"/>
          <w:lang w:val="en-US"/>
        </w:rPr>
        <w:tab/>
      </w:r>
      <w:r w:rsidRPr="004E48B9">
        <w:rPr>
          <w:rFonts w:ascii="Times New Roman" w:hAnsi="Times New Roman" w:cs="Times New Roman"/>
          <w:bCs/>
          <w:sz w:val="24"/>
          <w:szCs w:val="21"/>
          <w:lang w:val="en-US"/>
        </w:rPr>
        <w:t xml:space="preserve">On simulation of a hypothetical scenario where medical professionals </w:t>
      </w:r>
      <w:r w:rsidR="00C44368" w:rsidRPr="004E48B9">
        <w:rPr>
          <w:rFonts w:ascii="Times New Roman" w:hAnsi="Times New Roman" w:cs="Times New Roman"/>
          <w:bCs/>
          <w:sz w:val="24"/>
          <w:szCs w:val="21"/>
          <w:lang w:val="en-US"/>
        </w:rPr>
        <w:t xml:space="preserve">were </w:t>
      </w:r>
      <w:r w:rsidRPr="004E48B9">
        <w:rPr>
          <w:rFonts w:ascii="Times New Roman" w:hAnsi="Times New Roman" w:cs="Times New Roman"/>
          <w:bCs/>
          <w:sz w:val="24"/>
          <w:szCs w:val="21"/>
          <w:lang w:val="en-US"/>
        </w:rPr>
        <w:t>trained to “lift the lip” to identify caries lesions on anterior teeth at 2-years, significant improvement was demonstrated in the performance of both non-imputed (Model II-A</w:t>
      </w:r>
      <w:r w:rsidR="00DB7671" w:rsidRPr="004E48B9">
        <w:rPr>
          <w:rFonts w:ascii="Times New Roman" w:hAnsi="Times New Roman" w:cs="Times New Roman"/>
          <w:bCs/>
          <w:sz w:val="24"/>
          <w:szCs w:val="21"/>
          <w:lang w:val="en-US"/>
        </w:rPr>
        <w:t>-</w:t>
      </w:r>
      <w:r w:rsidRPr="004E48B9">
        <w:rPr>
          <w:rFonts w:ascii="Times New Roman" w:hAnsi="Times New Roman" w:cs="Times New Roman"/>
          <w:bCs/>
          <w:sz w:val="24"/>
          <w:szCs w:val="21"/>
          <w:lang w:val="en-US"/>
        </w:rPr>
        <w:t>a: AUC 0.86, 95%CI 0.81-0.90, P&lt;0.05; Model II-B</w:t>
      </w:r>
      <w:r w:rsidR="00DB7671" w:rsidRPr="004E48B9">
        <w:rPr>
          <w:rFonts w:ascii="Times New Roman" w:hAnsi="Times New Roman" w:cs="Times New Roman"/>
          <w:bCs/>
          <w:sz w:val="24"/>
          <w:szCs w:val="21"/>
          <w:lang w:val="en-US"/>
        </w:rPr>
        <w:t>-</w:t>
      </w:r>
      <w:r w:rsidRPr="004E48B9">
        <w:rPr>
          <w:rFonts w:ascii="Times New Roman" w:hAnsi="Times New Roman" w:cs="Times New Roman"/>
          <w:bCs/>
          <w:sz w:val="24"/>
          <w:szCs w:val="21"/>
          <w:lang w:val="en-US"/>
        </w:rPr>
        <w:t>a: AUC 0.86, 95%CI 0.81-0.91, P&lt;0.05) and imputed models (Model II-A</w:t>
      </w:r>
      <w:r w:rsidR="00E96C8B" w:rsidRPr="004E48B9">
        <w:rPr>
          <w:rFonts w:ascii="Times New Roman" w:hAnsi="Times New Roman" w:cs="Times New Roman"/>
          <w:bCs/>
          <w:sz w:val="24"/>
          <w:szCs w:val="21"/>
          <w:lang w:val="en-US"/>
        </w:rPr>
        <w:t>i-</w:t>
      </w:r>
      <w:r w:rsidRPr="004E48B9">
        <w:rPr>
          <w:rFonts w:ascii="Times New Roman" w:hAnsi="Times New Roman" w:cs="Times New Roman"/>
          <w:bCs/>
          <w:sz w:val="24"/>
          <w:szCs w:val="21"/>
          <w:lang w:val="en-US"/>
        </w:rPr>
        <w:t>a: AUC 0.80, 95%CI 0.76-0.84, P&lt;0.05; Model II-B</w:t>
      </w:r>
      <w:r w:rsidR="00E96C8B" w:rsidRPr="004E48B9">
        <w:rPr>
          <w:rFonts w:ascii="Times New Roman" w:hAnsi="Times New Roman" w:cs="Times New Roman"/>
          <w:bCs/>
          <w:sz w:val="24"/>
          <w:szCs w:val="21"/>
          <w:lang w:val="en-US"/>
        </w:rPr>
        <w:t>i-</w:t>
      </w:r>
      <w:r w:rsidRPr="004E48B9">
        <w:rPr>
          <w:rFonts w:ascii="Times New Roman" w:hAnsi="Times New Roman" w:cs="Times New Roman"/>
          <w:bCs/>
          <w:sz w:val="24"/>
          <w:szCs w:val="21"/>
          <w:lang w:val="en-US"/>
        </w:rPr>
        <w:t xml:space="preserve">a: AUC 0.83, 95%CI 0.78-0.88, P&lt;0.05) (Tables 3 and 4). </w:t>
      </w:r>
    </w:p>
    <w:p w:rsidR="00AF2644" w:rsidRPr="004E48B9" w:rsidRDefault="00AF2644" w:rsidP="00F22873">
      <w:pPr>
        <w:spacing w:after="0" w:line="360" w:lineRule="auto"/>
        <w:jc w:val="both"/>
        <w:rPr>
          <w:rFonts w:ascii="Times New Roman" w:hAnsi="Times New Roman" w:cs="Times New Roman"/>
          <w:b/>
          <w:sz w:val="28"/>
          <w:lang w:val="en-US"/>
        </w:rPr>
      </w:pPr>
    </w:p>
    <w:p w:rsidR="001F6E87" w:rsidRPr="004E48B9" w:rsidRDefault="001F6E87" w:rsidP="00F22873">
      <w:pPr>
        <w:spacing w:after="0" w:line="360" w:lineRule="auto"/>
        <w:jc w:val="both"/>
        <w:rPr>
          <w:rFonts w:ascii="Times New Roman" w:hAnsi="Times New Roman" w:cs="Times New Roman"/>
          <w:b/>
          <w:sz w:val="28"/>
          <w:lang w:val="en-US"/>
        </w:rPr>
      </w:pPr>
      <w:bookmarkStart w:id="20" w:name="_Hlk26189262"/>
      <w:r w:rsidRPr="004E48B9">
        <w:rPr>
          <w:rFonts w:ascii="Times New Roman" w:hAnsi="Times New Roman" w:cs="Times New Roman"/>
          <w:b/>
          <w:sz w:val="28"/>
          <w:lang w:val="en-US"/>
        </w:rPr>
        <w:t>Discussion</w:t>
      </w:r>
    </w:p>
    <w:bookmarkEnd w:id="20"/>
    <w:p w:rsidR="001F6E87" w:rsidRPr="004E48B9" w:rsidRDefault="001F6E87" w:rsidP="00393474">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This study aims to explore the potential of medical-based CRA models for early screening of susceptible young children in a medical healthcare setting for timely dental referral and effective preventive initiatives, such as fluoride varnish application with motivational interviewing in combination with anticipatory guidelines (Jamieson et al. 2018; Marinho et al. 2013). </w:t>
      </w:r>
    </w:p>
    <w:p w:rsidR="001F6E87" w:rsidRPr="004E48B9" w:rsidRDefault="001F6E87" w:rsidP="00393474">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Studies have shown greater utilization of medical services in the early years of life compared to dental utilization rates (Chi et al. 2013). Furthermore, physician-delivered preventive oral health services have been shown to reduce 32% treatment cost of caries-related hospital episodes in children up to 3 years (Stearns et al. 2012). While recent studies have advocated performing individual risk assessment by medical health care providers</w:t>
      </w:r>
      <w:r w:rsidR="00DF7C99" w:rsidRPr="004E48B9">
        <w:rPr>
          <w:rFonts w:ascii="Times New Roman" w:hAnsi="Times New Roman" w:cs="Times New Roman"/>
          <w:sz w:val="24"/>
          <w:lang w:val="en-US"/>
        </w:rPr>
        <w:t xml:space="preserve"> </w:t>
      </w:r>
      <w:r w:rsidRPr="004E48B9">
        <w:rPr>
          <w:rFonts w:ascii="Times New Roman" w:hAnsi="Times New Roman" w:cs="Times New Roman"/>
          <w:noProof/>
          <w:sz w:val="24"/>
          <w:lang w:val="en-US"/>
        </w:rPr>
        <w:t>(</w:t>
      </w:r>
      <w:r w:rsidR="00DF7C99" w:rsidRPr="004E48B9">
        <w:rPr>
          <w:rFonts w:ascii="Times New Roman" w:hAnsi="Times New Roman" w:cs="Times New Roman"/>
          <w:noProof/>
          <w:sz w:val="24"/>
          <w:lang w:val="en-US"/>
        </w:rPr>
        <w:t xml:space="preserve">AAPD 2019; </w:t>
      </w:r>
      <w:r w:rsidRPr="004E48B9">
        <w:rPr>
          <w:rFonts w:ascii="Times New Roman" w:hAnsi="Times New Roman" w:cs="Times New Roman"/>
          <w:noProof/>
          <w:sz w:val="24"/>
          <w:lang w:val="en-US"/>
        </w:rPr>
        <w:t>Fontana et al. 2019; Ramos-Gomez et al. 2007)</w:t>
      </w:r>
      <w:r w:rsidRPr="004E48B9">
        <w:rPr>
          <w:rFonts w:ascii="Times New Roman" w:hAnsi="Times New Roman" w:cs="Times New Roman"/>
          <w:sz w:val="24"/>
          <w:lang w:val="en-US"/>
        </w:rPr>
        <w:t>, the predictive potential of these models has not been well established yet.</w:t>
      </w:r>
    </w:p>
    <w:p w:rsidR="001F6E87" w:rsidRPr="004E48B9" w:rsidRDefault="001F6E87" w:rsidP="009B7B79">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The medical models developed in the present study performed better in predicting caries risk at 2 years (AUC=0.91) than the models predicting caries risk at 3 years  (AUC=0.79), reflecting the temporal impact of predictors on the predictive accuracy of the models and the increasing variability of behavioral/psychosocial influence at the later stage of life. The current medical models (AUC 0.91 for Year 2 and 0.79 for Year 3) in Singaporean children appeared to be comparable to a recent US-based medical model developed for 4</w:t>
      </w:r>
      <w:r w:rsidR="00384105" w:rsidRPr="004E48B9">
        <w:rPr>
          <w:rFonts w:ascii="Times New Roman" w:hAnsi="Times New Roman" w:cs="Times New Roman"/>
          <w:sz w:val="24"/>
          <w:lang w:val="en-US"/>
        </w:rPr>
        <w:t>-</w:t>
      </w:r>
      <w:r w:rsidRPr="004E48B9">
        <w:rPr>
          <w:rFonts w:ascii="Times New Roman" w:hAnsi="Times New Roman" w:cs="Times New Roman"/>
          <w:sz w:val="24"/>
          <w:lang w:val="en-US"/>
        </w:rPr>
        <w:t xml:space="preserve">year old children (AUC 0.73) (Fontana 2019). As such, previous CRA models requiring a separate dental examination, have been shown to predict new cavitated lesions at 3 years with an AUC=0.75 (Fontana et al. 2011). When the applicability of the medical model (Model II-B) was tested to predict 1-year increase in moderate-extensive lesions, the AUC=0.80 (0.74-0.86) was comparable to the previously reported model relying on past caries experience (AUC=0.75) (Fontana et al. 2011) (Appendix Table </w:t>
      </w:r>
      <w:r w:rsidR="000C690D" w:rsidRPr="004E48B9">
        <w:rPr>
          <w:rFonts w:ascii="Times New Roman" w:hAnsi="Times New Roman" w:cs="Times New Roman"/>
          <w:sz w:val="24"/>
          <w:lang w:val="en-US"/>
        </w:rPr>
        <w:t>4</w:t>
      </w:r>
      <w:r w:rsidRPr="004E48B9">
        <w:rPr>
          <w:rFonts w:ascii="Times New Roman" w:hAnsi="Times New Roman" w:cs="Times New Roman"/>
          <w:sz w:val="24"/>
          <w:lang w:val="en-US"/>
        </w:rPr>
        <w:t>). Although the current study models explained 20-35% of the variation in the outcome, ongoing studies including genetic factors and oral microbiome information, may further improve the model performance at the expense of feasibility/utility.</w:t>
      </w:r>
    </w:p>
    <w:p w:rsidR="001F6E87" w:rsidRPr="004E48B9" w:rsidRDefault="001F6E87" w:rsidP="00825EF0">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Additionally, a few important associations, not necessarily causal but potentially reversed causal, were identified. Prenatal tobacco smoke exposure was shown to be a risk factor for ECC development at both 2 and 3 years, possibly due to speculated prenatal exposure of developing tooth to harmful chemical toxins (Tanaka et al. 2009) and increased growth of cariogenic bacteria in mothers after nicotine use (Lindemeyer et al. 1981) via vertical transmission from mothers to children (Chaffee et al. 2014). Similar to the findings from a nation-wide preschooler study (Gao et al. 2010), higher caries rates in Malay children and a biphasic caries risk of socioeconomic indicators (e.g. monthly household income in the present study), with higher caries rates in low</w:t>
      </w:r>
      <w:r w:rsidR="00AF2644" w:rsidRPr="004E48B9">
        <w:rPr>
          <w:rFonts w:ascii="Times New Roman" w:hAnsi="Times New Roman" w:cs="Times New Roman"/>
          <w:sz w:val="24"/>
          <w:lang w:val="en-US"/>
        </w:rPr>
        <w:t xml:space="preserve"> </w:t>
      </w:r>
      <w:r w:rsidRPr="004E48B9">
        <w:rPr>
          <w:rFonts w:ascii="Times New Roman" w:hAnsi="Times New Roman" w:cs="Times New Roman"/>
          <w:sz w:val="24"/>
          <w:lang w:val="en-US"/>
        </w:rPr>
        <w:t>and high</w:t>
      </w:r>
      <w:r w:rsidR="00AF2644" w:rsidRPr="004E48B9">
        <w:rPr>
          <w:rFonts w:ascii="Times New Roman" w:hAnsi="Times New Roman" w:cs="Times New Roman"/>
          <w:sz w:val="24"/>
          <w:lang w:val="en-US"/>
        </w:rPr>
        <w:t>-</w:t>
      </w:r>
      <w:r w:rsidRPr="004E48B9">
        <w:rPr>
          <w:rFonts w:ascii="Times New Roman" w:hAnsi="Times New Roman" w:cs="Times New Roman"/>
          <w:sz w:val="24"/>
          <w:lang w:val="en-US"/>
        </w:rPr>
        <w:t>income groups, compared to intermediate group, was observed.</w:t>
      </w:r>
      <w:bookmarkStart w:id="21" w:name="_Hlk27127829"/>
      <w:r w:rsidRPr="004E48B9">
        <w:rPr>
          <w:rFonts w:ascii="Times New Roman" w:hAnsi="Times New Roman" w:cs="Times New Roman"/>
          <w:sz w:val="24"/>
          <w:lang w:val="en-US"/>
        </w:rPr>
        <w:t xml:space="preserve"> The higher caries rates in Malays, compared to Indians, may possibly be due to lower monthly household income levels (74.5% vs 50.4%) and higher prenatal tobacco smoke exposure (67.1% vs 25.5%). </w:t>
      </w:r>
      <w:bookmarkEnd w:id="21"/>
      <w:r w:rsidRPr="004E48B9">
        <w:rPr>
          <w:rFonts w:ascii="Times New Roman" w:hAnsi="Times New Roman" w:cs="Times New Roman"/>
          <w:sz w:val="24"/>
          <w:lang w:val="en-US"/>
        </w:rPr>
        <w:t xml:space="preserve">History of allergies (e.g. eczema) </w:t>
      </w:r>
      <w:r w:rsidR="007F75E0" w:rsidRPr="004E48B9">
        <w:rPr>
          <w:rFonts w:ascii="Times New Roman" w:hAnsi="Times New Roman" w:cs="Times New Roman"/>
          <w:sz w:val="24"/>
          <w:lang w:val="en-US"/>
        </w:rPr>
        <w:t xml:space="preserve">before </w:t>
      </w:r>
      <w:r w:rsidRPr="004E48B9">
        <w:rPr>
          <w:rFonts w:ascii="Times New Roman" w:hAnsi="Times New Roman" w:cs="Times New Roman"/>
          <w:sz w:val="24"/>
          <w:lang w:val="en-US"/>
        </w:rPr>
        <w:t>12 months collected via a questionnaire, was shown to be an ECC risk factor, confirming the previous findings (Kalhan et al. 2017), possibly due to a 2-fold higher risk of hypomineralization reported in children with infantile eczema (Silva et al. 2019). A common pathogenic pathway via an underlying ectodermal structural defect may be plausible.</w:t>
      </w:r>
    </w:p>
    <w:p w:rsidR="001F6E87" w:rsidRPr="004E48B9" w:rsidRDefault="001F6E87">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Although unconventional and counterintuitive, higher maternal brushing frequency was shown to be a risk factor for ECC development in children. This may possibly be due to fear-driven behavioral change (e.g. brushing habit) and/or a “reverse causality” </w:t>
      </w:r>
      <w:r w:rsidRPr="004E48B9">
        <w:rPr>
          <w:rFonts w:ascii="Times New Roman" w:hAnsi="Times New Roman" w:cs="Times New Roman"/>
          <w:noProof/>
          <w:sz w:val="24"/>
          <w:lang w:val="en-US"/>
        </w:rPr>
        <w:t>(Un Lam et al. 2017)</w:t>
      </w:r>
      <w:r w:rsidRPr="004E48B9">
        <w:rPr>
          <w:rFonts w:ascii="Times New Roman" w:hAnsi="Times New Roman" w:cs="Times New Roman"/>
          <w:sz w:val="24"/>
          <w:lang w:val="en-US"/>
        </w:rPr>
        <w:t xml:space="preserve">, suggesting maternal brushing habits </w:t>
      </w:r>
      <w:r w:rsidR="00250DAC" w:rsidRPr="004E48B9">
        <w:rPr>
          <w:rFonts w:ascii="Times New Roman" w:hAnsi="Times New Roman" w:cs="Times New Roman"/>
          <w:sz w:val="24"/>
          <w:lang w:val="en-US"/>
        </w:rPr>
        <w:t xml:space="preserve">might have been </w:t>
      </w:r>
      <w:r w:rsidRPr="004E48B9">
        <w:rPr>
          <w:rFonts w:ascii="Times New Roman" w:hAnsi="Times New Roman" w:cs="Times New Roman"/>
          <w:sz w:val="24"/>
          <w:lang w:val="en-US"/>
        </w:rPr>
        <w:t xml:space="preserve">changed after/due to the caries/outcome or potential/perceived risk of outcome which took place before our clinical examination. Our previous study showed brushing frequency of child’s teeth to be associated with reduced plaque accumulation (OR=0.62), but increased caries risk at 2 years (OR=1.88) using a bivariate probit model (Un Lam et al. 2017). Additionally, our current data shows increased frequency of brushing in mothers (≥2 times/day) to be associated with increased brushing frequency (≥2 times/day) in children (P&lt;0.001). </w:t>
      </w:r>
    </w:p>
    <w:p w:rsidR="001F6E87" w:rsidRPr="004E48B9" w:rsidRDefault="001F6E87">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Furthermore, the study findings show prolonged use of pacifier to exert a protective effect. While pacifiers have been reported to increase ECC risk in preschoolers (Vazquez-Nava et al. 2008), contrasting evidence exists reporting no association (Huntington et al. 2002) or lower ECC risk associated with pacifier usage (Menghini et al. 2008). Addition of sweeteners (Hallett and O'Rourke 2002) and/or ineffective oral sugar clearance leading to reduced plaque pH (Ollila et al. 1997), may potentially affect the association, necessitating future studies to explore the mechanistic explanation. </w:t>
      </w:r>
    </w:p>
    <w:p w:rsidR="001F6E87" w:rsidRPr="004E48B9" w:rsidRDefault="001F6E87" w:rsidP="00825EF0">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The findings also show a pre-existing maternal health condition to be a protective factor for ECC development. A previous nation-wide study has also reported lower ECC rates in 3-6-year-old children of mothers with health conditions (Gao et al. 2010). It is speculated that the health conditions of mother or child may heighten the health consciousness and modify certain health behaviors (Un Lam et al. 2017), possibly explaining the protective effect. On the other hand, presence of child infections prior to first tooth eruption, was shown to be a risk factor, along with increased medication use in the first year. Studies have shown increased use of prescription medications to modify the cariogenic oral flora and increase caries susceptibility (Jurasic et al. 2019).</w:t>
      </w:r>
    </w:p>
    <w:p w:rsidR="001F6E87" w:rsidRPr="004E48B9" w:rsidRDefault="001F6E87" w:rsidP="00026B17">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One of the most common problems encountered with a longitudinal study design is the missing data. Amongst the commonly employed methods to handle missing data, such as complete case analyses (ignoring the missing data), missing-indicator method, single imputation and multiple imputation, the latter has been demonstrated to be better in handling the missing data (van der Heijden et al. 2006). As a part of sensitivity test to assess the potential bias and influence of the missing data on the performance of risk prediction models (Hughes et al. 2019), Multiple Imputation by Chained Equations (MICE) was performed. The imputed models, demonstrated comparatively lower AUC compared to original models (AUC: Model I-A=0.75 vs 0.81; Model I-B=0.84 vs 0.91; Model II-A=0.71 vs 0.79; Model II-B=0.75 vs 0.79) (Table 4), reiterating the need for cautious interpretation of model performance in longitudinal studies with substantial missing data. Furthermore, internal validation of the models was carried out in the present study to verify the “reproducibility” of the model (Appendix Table </w:t>
      </w:r>
      <w:r w:rsidR="000C690D" w:rsidRPr="004E48B9">
        <w:rPr>
          <w:rFonts w:ascii="Times New Roman" w:hAnsi="Times New Roman" w:cs="Times New Roman"/>
          <w:sz w:val="24"/>
          <w:lang w:val="en-US"/>
        </w:rPr>
        <w:t>5</w:t>
      </w:r>
      <w:r w:rsidRPr="004E48B9">
        <w:rPr>
          <w:rFonts w:ascii="Times New Roman" w:hAnsi="Times New Roman" w:cs="Times New Roman"/>
          <w:sz w:val="24"/>
          <w:lang w:val="en-US"/>
        </w:rPr>
        <w:t>).</w:t>
      </w:r>
    </w:p>
    <w:p w:rsidR="001F6E87" w:rsidRPr="004E48B9" w:rsidRDefault="001F6E87">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Identification of caries in anterior teeth by medical professionals using dental health screening guides such as “lift the lip” have been reported, showing high inter- and intra-examiner reliability (kappa&gt;0.85) </w:t>
      </w:r>
      <w:r w:rsidRPr="004E48B9">
        <w:rPr>
          <w:rFonts w:ascii="Times New Roman" w:hAnsi="Times New Roman" w:cs="Times New Roman"/>
          <w:noProof/>
          <w:sz w:val="24"/>
          <w:lang w:val="en-US"/>
        </w:rPr>
        <w:t>(Kaste et al. 1996)</w:t>
      </w:r>
      <w:r w:rsidRPr="004E48B9">
        <w:rPr>
          <w:rFonts w:ascii="Times New Roman" w:hAnsi="Times New Roman" w:cs="Times New Roman"/>
          <w:sz w:val="24"/>
          <w:lang w:val="en-US"/>
        </w:rPr>
        <w:t xml:space="preserve">. Our simulated scenario showed that, incorporating information related to upper anteriors, the performance of medical models significantly increased </w:t>
      </w:r>
      <w:r w:rsidR="002D7717" w:rsidRPr="004E48B9">
        <w:rPr>
          <w:rFonts w:ascii="Times New Roman" w:hAnsi="Times New Roman" w:cs="Times New Roman"/>
          <w:sz w:val="24"/>
          <w:lang w:val="en-US"/>
        </w:rPr>
        <w:t>with AUC</w:t>
      </w:r>
      <w:r w:rsidR="00C156E7" w:rsidRPr="004E48B9">
        <w:rPr>
          <w:rFonts w:ascii="Times New Roman" w:hAnsi="Times New Roman" w:cs="Times New Roman"/>
          <w:sz w:val="24"/>
          <w:lang w:val="en-US"/>
        </w:rPr>
        <w:t xml:space="preserve">&gt;80% </w:t>
      </w:r>
      <w:r w:rsidRPr="004E48B9">
        <w:rPr>
          <w:rFonts w:ascii="Times New Roman" w:hAnsi="Times New Roman" w:cs="Times New Roman"/>
          <w:sz w:val="24"/>
          <w:lang w:val="en-US"/>
        </w:rPr>
        <w:t xml:space="preserve">in </w:t>
      </w:r>
      <w:r w:rsidR="002D7717" w:rsidRPr="004E48B9">
        <w:rPr>
          <w:rFonts w:ascii="Times New Roman" w:hAnsi="Times New Roman" w:cs="Times New Roman"/>
          <w:sz w:val="24"/>
          <w:lang w:val="en-US"/>
        </w:rPr>
        <w:t xml:space="preserve">all </w:t>
      </w:r>
      <w:r w:rsidRPr="004E48B9">
        <w:rPr>
          <w:rFonts w:ascii="Times New Roman" w:hAnsi="Times New Roman" w:cs="Times New Roman"/>
          <w:sz w:val="24"/>
          <w:lang w:val="en-US"/>
        </w:rPr>
        <w:t xml:space="preserve">non-imputed and imputed models (Tables 3 and 4). Therefore, training pediatricians or their assistants to assess anterior teeth of infants/toddlers, coupled with the algorithms or software derived from aforementioned CRA models, might further enhance the performance of medical models in screening caries susceptible children, in line with the global need to integrate oral and general healthcare </w:t>
      </w:r>
      <w:r w:rsidRPr="004E48B9">
        <w:rPr>
          <w:rFonts w:ascii="Times New Roman" w:hAnsi="Times New Roman" w:cs="Times New Roman"/>
          <w:noProof/>
          <w:sz w:val="24"/>
          <w:lang w:val="en-US"/>
        </w:rPr>
        <w:t>(Watt et al. 2019)</w:t>
      </w:r>
      <w:r w:rsidRPr="004E48B9">
        <w:rPr>
          <w:rFonts w:ascii="Times New Roman" w:hAnsi="Times New Roman" w:cs="Times New Roman"/>
          <w:sz w:val="24"/>
          <w:lang w:val="en-US"/>
        </w:rPr>
        <w:t xml:space="preserve">. </w:t>
      </w:r>
    </w:p>
    <w:p w:rsidR="001F6E87" w:rsidRPr="004E48B9" w:rsidRDefault="001F6E87" w:rsidP="00F22873">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The study had some limitations. Firstly, the cohort may not be representative of the entire population, warranting cautious extrapolation of study findings, although the participant characteristics and disease burden (20.7% cavitated lesions at 3 years) were comparable to the previous nation-wide study using a randomized sample (27% cavitated lesions at 3-4 years). Secondly, substantial missing data across multiple time-points (ranging between 1.1%-19.4% and 0.8%-25.8% for Year 2 and 3 outcomes, respectively) was observed and handled as mentioned above. The strengths of the study include its longitudinal cohort design. The oversampling of Malay and Indian mothers in the GUSTO cohort provided a diverse multi-ethnic sample. </w:t>
      </w:r>
    </w:p>
    <w:p w:rsidR="001F6E87" w:rsidRPr="004E48B9" w:rsidRDefault="001F6E87" w:rsidP="00845080">
      <w:pPr>
        <w:spacing w:after="0" w:line="360" w:lineRule="auto"/>
        <w:ind w:firstLine="720"/>
        <w:jc w:val="both"/>
        <w:rPr>
          <w:rFonts w:ascii="Times New Roman" w:hAnsi="Times New Roman" w:cs="Times New Roman"/>
          <w:sz w:val="24"/>
          <w:lang w:val="en-US"/>
        </w:rPr>
      </w:pPr>
      <w:r w:rsidRPr="004E48B9">
        <w:rPr>
          <w:rFonts w:ascii="Times New Roman" w:hAnsi="Times New Roman" w:cs="Times New Roman"/>
          <w:sz w:val="24"/>
          <w:lang w:val="en-US"/>
        </w:rPr>
        <w:t xml:space="preserve">In conclusion, </w:t>
      </w:r>
      <w:bookmarkStart w:id="22" w:name="_Hlk8317517"/>
      <w:r w:rsidRPr="004E48B9">
        <w:rPr>
          <w:rFonts w:ascii="Times New Roman" w:hAnsi="Times New Roman" w:cs="Times New Roman"/>
          <w:sz w:val="24"/>
          <w:lang w:val="en-US"/>
        </w:rPr>
        <w:t xml:space="preserve">risk prediction models utilizing easily attainable data for medical professionals may be clinically promising in early identification of caries-susceptible infants/toddlers, especially after training medical colleagues to identify caries lesions in anterior teeth. </w:t>
      </w:r>
      <w:bookmarkEnd w:id="22"/>
      <w:r w:rsidRPr="004E48B9">
        <w:rPr>
          <w:rFonts w:ascii="Times New Roman" w:hAnsi="Times New Roman" w:cs="Times New Roman"/>
          <w:sz w:val="24"/>
          <w:lang w:val="en-US"/>
        </w:rPr>
        <w:t xml:space="preserve">This may echo the need in integrating oral health services into the mainstream healthcare system, thus possibly reducing global oral health disparities in children. </w:t>
      </w:r>
    </w:p>
    <w:p w:rsidR="00DF7E23" w:rsidRPr="004E48B9" w:rsidRDefault="00DF7E23" w:rsidP="00EB0E54">
      <w:pPr>
        <w:spacing w:after="0" w:line="360" w:lineRule="auto"/>
        <w:jc w:val="both"/>
        <w:rPr>
          <w:rFonts w:ascii="Times New Roman" w:hAnsi="Times New Roman" w:cs="Times New Roman"/>
          <w:b/>
          <w:sz w:val="28"/>
          <w:lang w:val="en-US"/>
        </w:rPr>
      </w:pPr>
      <w:bookmarkStart w:id="23" w:name="_Hlk26456286"/>
    </w:p>
    <w:p w:rsidR="001F6E87" w:rsidRPr="004E48B9" w:rsidRDefault="001F6E87" w:rsidP="00EB0E54">
      <w:pPr>
        <w:spacing w:after="0" w:line="360" w:lineRule="auto"/>
        <w:jc w:val="both"/>
        <w:rPr>
          <w:rFonts w:ascii="Times New Roman" w:hAnsi="Times New Roman" w:cs="Times New Roman"/>
          <w:b/>
          <w:sz w:val="28"/>
          <w:lang w:val="en-US"/>
        </w:rPr>
      </w:pPr>
      <w:r w:rsidRPr="004E48B9">
        <w:rPr>
          <w:rFonts w:ascii="Times New Roman" w:hAnsi="Times New Roman" w:cs="Times New Roman"/>
          <w:b/>
          <w:sz w:val="28"/>
          <w:lang w:val="en-US"/>
        </w:rPr>
        <w:t>Acknowledgements</w:t>
      </w:r>
    </w:p>
    <w:bookmarkEnd w:id="23"/>
    <w:p w:rsidR="001F6E87" w:rsidRPr="004E48B9" w:rsidRDefault="001F6E87" w:rsidP="00E104B2">
      <w:pPr>
        <w:spacing w:after="0" w:line="360" w:lineRule="auto"/>
        <w:jc w:val="both"/>
        <w:rPr>
          <w:rFonts w:ascii="Times New Roman" w:hAnsi="Times New Roman" w:cs="Times New Roman"/>
          <w:sz w:val="24"/>
          <w:lang w:val="en-US"/>
        </w:rPr>
      </w:pPr>
      <w:r w:rsidRPr="004E48B9">
        <w:rPr>
          <w:rFonts w:ascii="Times New Roman" w:hAnsi="Times New Roman" w:cs="Times New Roman"/>
          <w:sz w:val="24"/>
          <w:lang w:val="en-US"/>
        </w:rPr>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Singapore. This study was also funded by Singapore’s NMRC (Grant no. NMRC/CIRG/1341/2012) and NUHS Bridging Funds 02/FY16 (R-221-000-110-733).</w:t>
      </w:r>
      <w:bookmarkStart w:id="24" w:name="_Hlk26473553"/>
      <w:r w:rsidRPr="004E48B9">
        <w:rPr>
          <w:rFonts w:ascii="Times New Roman" w:hAnsi="Times New Roman" w:cs="Times New Roman"/>
          <w:sz w:val="24"/>
          <w:lang w:val="en-US"/>
        </w:rPr>
        <w:t xml:space="preserve"> Tosha Ashish Kalhan contributed to data analysis and interpretation, drafted and critically revised the manuscript; Carolina Un Lam contributed to conception, design, data acquisition and critically revised the manuscript; </w:t>
      </w:r>
      <w:r w:rsidRPr="004E48B9">
        <w:rPr>
          <w:rFonts w:ascii="Times New Roman" w:hAnsi="Times New Roman" w:cs="Times New Roman"/>
          <w:sz w:val="24"/>
          <w:szCs w:val="16"/>
          <w:lang w:val="en-US"/>
        </w:rPr>
        <w:t xml:space="preserve">Jonathan Huang </w:t>
      </w:r>
      <w:r w:rsidRPr="004E48B9">
        <w:rPr>
          <w:rFonts w:ascii="Times New Roman" w:hAnsi="Times New Roman" w:cs="Times New Roman"/>
          <w:sz w:val="24"/>
          <w:lang w:val="en-US"/>
        </w:rPr>
        <w:t xml:space="preserve">contributed to data interpretation, and critical revision of the manuscript; Pui Ling and Rahul Nair contributed to data acquisition and critical revision of the manuscript; </w:t>
      </w:r>
      <w:r w:rsidRPr="004E48B9">
        <w:rPr>
          <w:rFonts w:ascii="Times New Roman" w:hAnsi="Times New Roman" w:cs="Times New Roman"/>
          <w:sz w:val="24"/>
          <w:szCs w:val="16"/>
          <w:lang w:val="en-US"/>
        </w:rPr>
        <w:t>Bindu  Karunakaran</w:t>
      </w:r>
      <w:r w:rsidRPr="004E48B9">
        <w:rPr>
          <w:rFonts w:ascii="Times New Roman" w:hAnsi="Times New Roman" w:cs="Times New Roman"/>
          <w:sz w:val="24"/>
          <w:lang w:val="en-US"/>
        </w:rPr>
        <w:t xml:space="preserve"> contributed to data acquisition and revision of the manuscript; Chin-Ying Stephen Hsu contributed to conception, design, data acquisition, analysis, and interpretation, drafted and critically revised the manuscript; </w:t>
      </w:r>
      <w:r w:rsidRPr="004E48B9">
        <w:rPr>
          <w:rFonts w:ascii="Times New Roman" w:hAnsi="Times New Roman" w:cs="Times New Roman"/>
          <w:sz w:val="24"/>
          <w:szCs w:val="16"/>
          <w:lang w:val="en-US"/>
        </w:rPr>
        <w:t xml:space="preserve">Yung Seng Lee, Mary Chong Foong Fong, Yap Seng Chong, Kenneth Kwek, Seang-Mei Saw, Lynette Shek, Fabian Yap, Kok Hian Tan, Keith M Godfrey </w:t>
      </w:r>
      <w:r w:rsidRPr="004E48B9">
        <w:rPr>
          <w:rFonts w:ascii="Times New Roman" w:hAnsi="Times New Roman" w:cs="Times New Roman"/>
          <w:sz w:val="24"/>
          <w:lang w:val="en-US"/>
        </w:rPr>
        <w:t>contributed to conception, design, and critically revised the manuscript. All authors gave their final approval and agree to be accountable for all aspects of the work</w:t>
      </w:r>
      <w:bookmarkEnd w:id="24"/>
      <w:r w:rsidRPr="004E48B9">
        <w:rPr>
          <w:rFonts w:ascii="Times New Roman" w:hAnsi="Times New Roman" w:cs="Times New Roman"/>
          <w:sz w:val="24"/>
          <w:lang w:val="en-US"/>
        </w:rPr>
        <w:t xml:space="preserve">. We thank Prof. Johan Gunnar Eriksson and Prof. Ser Aik Quek for critically evaluating this manuscript. </w:t>
      </w:r>
    </w:p>
    <w:p w:rsidR="001F6E87" w:rsidRPr="004E48B9" w:rsidRDefault="001F6E87" w:rsidP="005E5C5B">
      <w:pPr>
        <w:spacing w:after="0" w:line="360" w:lineRule="auto"/>
        <w:jc w:val="both"/>
        <w:rPr>
          <w:rFonts w:ascii="Times New Roman" w:hAnsi="Times New Roman" w:cs="Times New Roman"/>
          <w:sz w:val="24"/>
          <w:lang w:val="en-US"/>
        </w:rPr>
      </w:pPr>
    </w:p>
    <w:p w:rsidR="001F6E87" w:rsidRPr="004E48B9" w:rsidRDefault="001F6E87" w:rsidP="005E5C5B">
      <w:pPr>
        <w:spacing w:after="0" w:line="360" w:lineRule="auto"/>
        <w:jc w:val="both"/>
        <w:rPr>
          <w:rFonts w:ascii="Times New Roman" w:hAnsi="Times New Roman" w:cs="Times New Roman"/>
          <w:sz w:val="24"/>
          <w:u w:val="single"/>
          <w:lang w:val="en-US"/>
        </w:rPr>
      </w:pPr>
      <w:bookmarkStart w:id="25" w:name="_Hlk26456302"/>
      <w:r w:rsidRPr="004E48B9">
        <w:rPr>
          <w:rFonts w:ascii="Times New Roman" w:hAnsi="Times New Roman" w:cs="Times New Roman"/>
          <w:sz w:val="24"/>
          <w:u w:val="single"/>
          <w:lang w:val="en-US"/>
        </w:rPr>
        <w:t>Disclosure of potential conflict of interest</w:t>
      </w:r>
    </w:p>
    <w:bookmarkEnd w:id="25"/>
    <w:p w:rsidR="00B44762" w:rsidRPr="004E48B9" w:rsidRDefault="001F6E87" w:rsidP="001B1495">
      <w:pPr>
        <w:spacing w:after="0" w:line="360" w:lineRule="auto"/>
        <w:jc w:val="both"/>
        <w:rPr>
          <w:rFonts w:ascii="Times New Roman" w:hAnsi="Times New Roman" w:cs="Times New Roman"/>
          <w:sz w:val="24"/>
          <w:lang w:val="en-US"/>
        </w:rPr>
      </w:pPr>
      <w:r w:rsidRPr="004E48B9">
        <w:rPr>
          <w:rFonts w:ascii="Times New Roman" w:hAnsi="Times New Roman" w:cs="Times New Roman"/>
          <w:sz w:val="24"/>
          <w:lang w:val="en-US"/>
        </w:rPr>
        <w:t xml:space="preserve">KMG is supported by the UK Medical Research Council (MC_UU_12011/4), the National Institute for Health Research (NIHR Senior Investigator (NF-SI-0515-10042) and the NIHR Southampton Biomedical Research Centre) and the European Union (Erasmus+ Programme Early Nutrition eAcademy Southeast Asia-573651-EPP-1-2016-1-DE-EPPKA2-CBHE-JP). L. P.-chi Shek has consultant arrangements with Mead Johnson and Nestle; has received payment for lectures from Danone and Nestle; and has received research funding from Danone. Y. S. Chong has received research collaborations and funding from Abbott, Danone and Nestec. </w:t>
      </w:r>
    </w:p>
    <w:p w:rsidR="00F22A34" w:rsidRPr="004E48B9" w:rsidRDefault="00F22A34" w:rsidP="001B1495">
      <w:pPr>
        <w:spacing w:after="0" w:line="360" w:lineRule="auto"/>
        <w:jc w:val="both"/>
        <w:rPr>
          <w:rFonts w:ascii="Times New Roman" w:hAnsi="Times New Roman" w:cs="Times New Roman"/>
          <w:sz w:val="24"/>
          <w:lang w:val="en-US"/>
        </w:rPr>
      </w:pPr>
    </w:p>
    <w:p w:rsidR="001F6E87" w:rsidRPr="004E48B9" w:rsidRDefault="001F6E87" w:rsidP="006F4BE9">
      <w:pPr>
        <w:pStyle w:val="EndNoteBibliography"/>
        <w:rPr>
          <w:rFonts w:ascii="Times New Roman" w:hAnsi="Times New Roman" w:cs="Times New Roman"/>
          <w:b/>
          <w:noProof w:val="0"/>
          <w:sz w:val="20"/>
          <w:szCs w:val="20"/>
        </w:rPr>
      </w:pPr>
      <w:bookmarkStart w:id="26" w:name="_Hlk19542003"/>
      <w:r w:rsidRPr="004E48B9">
        <w:rPr>
          <w:rFonts w:ascii="Times New Roman" w:hAnsi="Times New Roman" w:cs="Times New Roman"/>
          <w:b/>
          <w:noProof w:val="0"/>
          <w:sz w:val="20"/>
          <w:szCs w:val="20"/>
        </w:rPr>
        <w:t>REFERENCES</w:t>
      </w:r>
    </w:p>
    <w:p w:rsidR="00E72A7A" w:rsidRPr="004E48B9" w:rsidRDefault="001F6E87" w:rsidP="009724F7">
      <w:pPr>
        <w:pStyle w:val="EndNoteBibliography"/>
        <w:spacing w:after="0"/>
        <w:ind w:left="720" w:hanging="720"/>
        <w:rPr>
          <w:bCs/>
          <w:noProof w:val="0"/>
        </w:rPr>
      </w:pPr>
      <w:r w:rsidRPr="004E48B9">
        <w:rPr>
          <w:bCs/>
          <w:noProof w:val="0"/>
        </w:rPr>
        <w:t xml:space="preserve">American Academy of Pediatric Dentistry. 2019. Caries-risk Assessment and Management for Infants, Children, and Adolescents. Ref Man. [accessed 2020 Feb 3];220–224. </w:t>
      </w:r>
      <w:hyperlink r:id="rId7" w:history="1">
        <w:r w:rsidRPr="004E48B9">
          <w:rPr>
            <w:rStyle w:val="Hyperlink"/>
            <w:bCs/>
            <w:noProof w:val="0"/>
          </w:rPr>
          <w:t>https://www.aapd.org/globalassets/media/policies_guidelines/bp_cariesriskassessment.pdf</w:t>
        </w:r>
      </w:hyperlink>
      <w:bookmarkEnd w:id="26"/>
    </w:p>
    <w:p w:rsidR="001F6E87" w:rsidRPr="004E48B9" w:rsidRDefault="001F6E87" w:rsidP="009724F7">
      <w:pPr>
        <w:pStyle w:val="EndNoteBibliography"/>
        <w:spacing w:after="0"/>
        <w:ind w:left="720" w:hanging="720"/>
      </w:pPr>
      <w:r w:rsidRPr="004E48B9">
        <w:t>Casamassimo PS, Thikkurissy S, Edelstein BL, Maiorini E. 2009. Beyond the dmft: The human and economic cost of early childhood caries. J Am Dent Assoc. 140(6):650-657.</w:t>
      </w:r>
    </w:p>
    <w:p w:rsidR="001F6E87" w:rsidRPr="004E48B9" w:rsidRDefault="001F6E87" w:rsidP="009724F7">
      <w:pPr>
        <w:pStyle w:val="EndNoteBibliography"/>
        <w:spacing w:after="0"/>
        <w:ind w:left="720" w:hanging="720"/>
      </w:pPr>
      <w:r w:rsidRPr="004E48B9">
        <w:t>Chaffee BW, Gansky SA, Weintraub JA, Featherstone JD, Ramos-Gomez FJ. 2014. Maternal oral bacterial levels predict early childhood caries development. J Dent Res. 93(3):238-244.</w:t>
      </w:r>
    </w:p>
    <w:p w:rsidR="001F6E87" w:rsidRPr="004E48B9" w:rsidRDefault="001F6E87" w:rsidP="009724F7">
      <w:pPr>
        <w:pStyle w:val="EndNoteBibliography"/>
        <w:spacing w:after="0"/>
        <w:ind w:left="720" w:hanging="720"/>
      </w:pPr>
      <w:r w:rsidRPr="004E48B9">
        <w:t>Chaffee BW, Rodrigues PH, Kramer PF, Vitolo MR, Feldens CA. 2017. Oral health-related quality-of-life scores differ by socioeconomic status and caries experience. Community Dent Oral Epidemiol. 45(3):216-224.</w:t>
      </w:r>
    </w:p>
    <w:p w:rsidR="001F6E87" w:rsidRPr="004E48B9" w:rsidRDefault="001F6E87" w:rsidP="009724F7">
      <w:pPr>
        <w:pStyle w:val="EndNoteBibliography"/>
        <w:spacing w:after="0"/>
        <w:ind w:left="720" w:hanging="720"/>
      </w:pPr>
      <w:r w:rsidRPr="004E48B9">
        <w:t>Chi DL, Momany ET, Jones MP, Kuthy RA, Askelson NM, Wehby GL, Damiano PC. 2013. Relationship between medical well baby visits and first dental examinations for young children in medicaid. Am J Public Health. 103(2):347-354.</w:t>
      </w:r>
    </w:p>
    <w:p w:rsidR="001F6E87" w:rsidRPr="004E48B9" w:rsidRDefault="001F6E87" w:rsidP="009724F7">
      <w:pPr>
        <w:pStyle w:val="EndNoteBibliography"/>
        <w:spacing w:after="0"/>
        <w:ind w:left="720" w:hanging="720"/>
      </w:pPr>
      <w:r w:rsidRPr="004E48B9">
        <w:t>Donoff B, McDonough JE, Riedy CA. 2014. Integrating oral and general health care. N Engl J Med. 371(24):2247-2249.</w:t>
      </w:r>
    </w:p>
    <w:p w:rsidR="001F6E87" w:rsidRPr="004E48B9" w:rsidRDefault="001F6E87" w:rsidP="009724F7">
      <w:pPr>
        <w:pStyle w:val="EndNoteBibliography"/>
        <w:spacing w:after="0"/>
        <w:ind w:left="720" w:hanging="720"/>
      </w:pPr>
      <w:r w:rsidRPr="004E48B9">
        <w:t>Filstrup SL, Briskie D, da Fonseca M, Lawrence L, Wandera A, Inglehart MR. 2003. Early childhood caries and quality of life: Child and parent perspectives. Pediatr Dent. 25(5):431-440.</w:t>
      </w:r>
    </w:p>
    <w:p w:rsidR="001F6E87" w:rsidRPr="004E48B9" w:rsidRDefault="001F6E87" w:rsidP="009724F7">
      <w:pPr>
        <w:pStyle w:val="EndNoteBibliography"/>
        <w:spacing w:after="0"/>
        <w:ind w:left="720" w:hanging="720"/>
      </w:pPr>
      <w:r w:rsidRPr="004E48B9">
        <w:t>Fontana M. 2019. Modeling of children’s caries risk in medical settings. Paper presented at: International Association for Dental Research. Vancouver, BC, Canada.</w:t>
      </w:r>
    </w:p>
    <w:p w:rsidR="001F6E87" w:rsidRPr="004E48B9" w:rsidRDefault="001F6E87" w:rsidP="009724F7">
      <w:pPr>
        <w:pStyle w:val="EndNoteBibliography"/>
        <w:spacing w:after="0"/>
        <w:ind w:left="720" w:hanging="720"/>
      </w:pPr>
      <w:r w:rsidRPr="004E48B9">
        <w:t>Fontana M, Eckert GJ, Keels MA, Jackson R, Katz BP, Kemper AR, Levy BT, Levy SM, Yanca E, Kelly S et al. 2019. Predicting caries in medical settings: Risk factors in diverse infant groups. J Dent Res. 98(1):68-76.</w:t>
      </w:r>
    </w:p>
    <w:p w:rsidR="001F6E87" w:rsidRPr="004E48B9" w:rsidRDefault="001F6E87" w:rsidP="009724F7">
      <w:pPr>
        <w:pStyle w:val="EndNoteBibliography"/>
        <w:spacing w:after="0"/>
        <w:ind w:left="720" w:hanging="720"/>
      </w:pPr>
      <w:r w:rsidRPr="004E48B9">
        <w:t>Fontana M, Jackson R, Eckert G, Swigonski N, Chin J, Zandona AF, Ando M, Stookey GK, Downs S, Zero DT. 2011. Identification of caries risk factors in toddlers. J Dent Res. 90(2):209-214.</w:t>
      </w:r>
    </w:p>
    <w:p w:rsidR="001F6E87" w:rsidRPr="004E48B9" w:rsidRDefault="001F6E87" w:rsidP="009724F7">
      <w:pPr>
        <w:pStyle w:val="EndNoteBibliography"/>
        <w:spacing w:after="0"/>
        <w:ind w:left="720" w:hanging="720"/>
      </w:pPr>
      <w:r w:rsidRPr="004E48B9">
        <w:t>Gao X-L, Hsu C-YS, Xu Y, Hwarng HB, Loh T, Koh D. 2010. Building caries risk assessment models for children. J Dent Res. p. 637-643.</w:t>
      </w:r>
    </w:p>
    <w:p w:rsidR="001F6E87" w:rsidRPr="004E48B9" w:rsidRDefault="001F6E87" w:rsidP="009724F7">
      <w:pPr>
        <w:pStyle w:val="EndNoteBibliography"/>
        <w:spacing w:after="0"/>
        <w:ind w:left="720" w:hanging="720"/>
      </w:pPr>
      <w:r w:rsidRPr="004E48B9">
        <w:t>Gao XL, Hsu CY, Loh T, Koh D, Hwamg HB, Xu Y. 2009. Dental caries prevalence and distribution among preschoolers in singapore. Community Dent Health. 26(1):12-17.</w:t>
      </w:r>
    </w:p>
    <w:p w:rsidR="001F6E87" w:rsidRPr="004E48B9" w:rsidRDefault="001F6E87" w:rsidP="009724F7">
      <w:pPr>
        <w:pStyle w:val="EndNoteBibliography"/>
        <w:spacing w:after="0"/>
        <w:ind w:left="720" w:hanging="720"/>
      </w:pPr>
      <w:r w:rsidRPr="004E48B9">
        <w:t>Hallett KB, O'Rourke PK. 2002. Early childhood caries and infant feeding practice. Community Dent Health. 19(4):237-242.</w:t>
      </w:r>
    </w:p>
    <w:p w:rsidR="001F6E87" w:rsidRPr="004E48B9" w:rsidRDefault="001F6E87" w:rsidP="009724F7">
      <w:pPr>
        <w:pStyle w:val="EndNoteBibliography"/>
        <w:spacing w:after="0"/>
        <w:ind w:left="720" w:hanging="720"/>
      </w:pPr>
      <w:r w:rsidRPr="004E48B9">
        <w:t>Hughes RA, Heron J, Sterne JAC, Tilling K. 2019. Accounting for missing data in statistical analyses: Multiple imputation is not always the answer. Int J Epidemiol. 48(4):1294-1304.</w:t>
      </w:r>
    </w:p>
    <w:p w:rsidR="001F6E87" w:rsidRPr="004E48B9" w:rsidRDefault="001F6E87" w:rsidP="009724F7">
      <w:pPr>
        <w:pStyle w:val="EndNoteBibliography"/>
        <w:spacing w:after="0"/>
        <w:ind w:left="720" w:hanging="720"/>
      </w:pPr>
      <w:r w:rsidRPr="004E48B9">
        <w:t>Huntington NL, Kim IJ, Hughes CV. 2002. Caries-risk factors for hispanic children affected by early childhood caries. Pediatr Dent. 24(6):536-542.</w:t>
      </w:r>
    </w:p>
    <w:p w:rsidR="001F6E87" w:rsidRPr="004E48B9" w:rsidRDefault="001F6E87" w:rsidP="009724F7">
      <w:pPr>
        <w:pStyle w:val="EndNoteBibliography"/>
        <w:spacing w:after="0"/>
        <w:ind w:left="720" w:hanging="720"/>
      </w:pPr>
      <w:r w:rsidRPr="004E48B9">
        <w:t>Isaksson H, Alm A, Koch G, Birkhed D, Wendt LK. 2013. Caries prevalence in swedish 20-year-olds in relation to their previous caries experience. Caries Res. 47(3):234-242.</w:t>
      </w:r>
    </w:p>
    <w:p w:rsidR="001F6E87" w:rsidRPr="004E48B9" w:rsidRDefault="001F6E87" w:rsidP="009724F7">
      <w:pPr>
        <w:pStyle w:val="EndNoteBibliography"/>
        <w:spacing w:after="0"/>
        <w:ind w:left="720" w:hanging="720"/>
      </w:pPr>
      <w:r w:rsidRPr="004E48B9">
        <w:t>Ismail AI, Sohn W, Tellez M, Amaya A, Sen A, Hasson H, Pitts NB. 2007. The international caries detection and assessment system (icdas): An integrated system for measuring dental caries. Community Dent Oral Epidemiol. 35(3):170-178.</w:t>
      </w:r>
    </w:p>
    <w:p w:rsidR="001F6E87" w:rsidRPr="004E48B9" w:rsidRDefault="001F6E87" w:rsidP="009724F7">
      <w:pPr>
        <w:pStyle w:val="EndNoteBibliography"/>
        <w:spacing w:after="0"/>
        <w:ind w:left="720" w:hanging="720"/>
      </w:pPr>
      <w:r w:rsidRPr="004E48B9">
        <w:t>Jamieson L, Smithers L, Hedges J, Parker E, Mills H, Kapellas K, Lawrence HP, Broughton JR, Ju X. 2018. Dental disease outcomes following a 2-year oral health promotion program for australian aboriginal children and their families: A 2-arm parallel, single-blind, randomised controlled trial. EClinicalMedicine. 1:43-50.</w:t>
      </w:r>
    </w:p>
    <w:p w:rsidR="001F6E87" w:rsidRPr="004E48B9" w:rsidRDefault="001F6E87" w:rsidP="009724F7">
      <w:pPr>
        <w:pStyle w:val="EndNoteBibliography"/>
        <w:spacing w:after="0"/>
        <w:ind w:left="720" w:hanging="720"/>
      </w:pPr>
      <w:r w:rsidRPr="004E48B9">
        <w:t>Jurasic MM, Gibson G, Wehler CJ, Orner MB, Jones JA. 2019. Caries prevalence and associations with medications and medical comorbidities. J Public Health Dent. 79(1):34-43.</w:t>
      </w:r>
    </w:p>
    <w:p w:rsidR="001F6E87" w:rsidRPr="004E48B9" w:rsidRDefault="001F6E87" w:rsidP="009724F7">
      <w:pPr>
        <w:pStyle w:val="EndNoteBibliography"/>
        <w:spacing w:after="0"/>
        <w:ind w:left="720" w:hanging="720"/>
      </w:pPr>
      <w:r w:rsidRPr="004E48B9">
        <w:t>Kalhan TA, Loo EXL, Kalhan AC, Kramer MS, Karunakaran B, Un Lam C, Van Bever H, Shek LP, Goh A, Chong YS et al. 2017. Atopic dermatitis and early childhood caries: Results of the gusto study. J Allergy Clin Immunol. 139(6):2000-2003.</w:t>
      </w:r>
    </w:p>
    <w:p w:rsidR="001F6E87" w:rsidRPr="004E48B9" w:rsidRDefault="001F6E87" w:rsidP="009724F7">
      <w:pPr>
        <w:pStyle w:val="EndNoteBibliography"/>
        <w:spacing w:after="0"/>
        <w:ind w:left="720" w:hanging="720"/>
      </w:pPr>
      <w:r w:rsidRPr="004E48B9">
        <w:t>Kassebaum NJ, Smith AGC, Bernabe E, Fleming TD, Reynolds AE, Vos T, Murray CJL, Marcenes W, Collaborators GBDOH. 2017. Global, regional, and national prevalence, incidence, and disability-adjusted life years for oral conditions for 195 countries, 1990-2015: A systematic analysis for the global burden of diseases, injuries, and risk factors. J Dent Res. 96(4):380-387.</w:t>
      </w:r>
    </w:p>
    <w:p w:rsidR="001F6E87" w:rsidRPr="004E48B9" w:rsidRDefault="001F6E87" w:rsidP="009724F7">
      <w:pPr>
        <w:pStyle w:val="EndNoteBibliography"/>
        <w:spacing w:after="0"/>
        <w:ind w:left="720" w:hanging="720"/>
      </w:pPr>
      <w:r w:rsidRPr="004E48B9">
        <w:t>Kaste LM, Selwitz RH, Oldakowski RJ, Brunelle JA, Winn DM, Brown LJ. 1996. Coronal caries in the primary and permanent dentition of children and adolescents 1-17 years of age: United states, 1988-1991. J Dent Res. 75 Spec No:631-641.</w:t>
      </w:r>
    </w:p>
    <w:p w:rsidR="001F6E87" w:rsidRPr="004E48B9" w:rsidRDefault="001F6E87" w:rsidP="009724F7">
      <w:pPr>
        <w:pStyle w:val="EndNoteBibliography"/>
        <w:spacing w:after="0"/>
        <w:ind w:left="720" w:hanging="720"/>
      </w:pPr>
      <w:r w:rsidRPr="004E48B9">
        <w:t>Lindemeyer RG, Baum RH, Hsu SC, Going RE. 1981. In vitro effect of tobacco on the growth of oral cariogenic streptococci. J Am Dent Assoc. 103(5):719-722.</w:t>
      </w:r>
    </w:p>
    <w:p w:rsidR="001F6E87" w:rsidRPr="004E48B9" w:rsidRDefault="001F6E87" w:rsidP="009724F7">
      <w:pPr>
        <w:pStyle w:val="EndNoteBibliography"/>
        <w:spacing w:after="0"/>
        <w:ind w:left="720" w:hanging="720"/>
      </w:pPr>
      <w:r w:rsidRPr="004E48B9">
        <w:t>Marinho VC, Worthington HV, Walsh T, Clarkson JE. 2013. Fluoride varnishes for preventing dental caries in children and adolescents. Cochrane Database Syst Rev. (7):CD002279.</w:t>
      </w:r>
    </w:p>
    <w:p w:rsidR="001F6E87" w:rsidRPr="004E48B9" w:rsidRDefault="001F6E87" w:rsidP="009724F7">
      <w:pPr>
        <w:pStyle w:val="EndNoteBibliography"/>
        <w:spacing w:after="0"/>
        <w:ind w:left="720" w:hanging="720"/>
      </w:pPr>
      <w:r w:rsidRPr="004E48B9">
        <w:t>Menghini G, Steiner M, Thomet E, Roos M, Imfeld T. 2008. Caries prevalence in 2-year-old children in the city of zurich. Community Dent Health. 25(3):154-160.</w:t>
      </w:r>
    </w:p>
    <w:p w:rsidR="001F6E87" w:rsidRPr="004E48B9" w:rsidRDefault="001F6E87" w:rsidP="009724F7">
      <w:pPr>
        <w:pStyle w:val="EndNoteBibliography"/>
        <w:spacing w:after="0"/>
        <w:ind w:left="720" w:hanging="720"/>
      </w:pPr>
      <w:r w:rsidRPr="004E48B9">
        <w:t>Ollila P, Niemela M, Uhari M, Larmas M. 1997. Risk factors for colonization of salivary lactobacilli and candida in children. Acta Odontol Scand. 55(1):9-13.</w:t>
      </w:r>
    </w:p>
    <w:p w:rsidR="001F6E87" w:rsidRPr="004E48B9" w:rsidRDefault="001F6E87" w:rsidP="009724F7">
      <w:pPr>
        <w:pStyle w:val="EndNoteBibliography"/>
        <w:spacing w:after="0"/>
        <w:ind w:left="720" w:hanging="720"/>
      </w:pPr>
      <w:r w:rsidRPr="004E48B9">
        <w:t>Peres MA, Macpherson LMD, Weyant RJ, Daly B, Venturelli R, Mathur MR, Listl S, Celeste RK, Guarnizo-Herreno CC, Kearns C et al. 2019. Oral diseases: A global public health challenge. Lancet. 394(10194):249-260.</w:t>
      </w:r>
    </w:p>
    <w:p w:rsidR="001F6E87" w:rsidRPr="004E48B9" w:rsidRDefault="001F6E87" w:rsidP="009724F7">
      <w:pPr>
        <w:pStyle w:val="EndNoteBibliography"/>
        <w:spacing w:after="0"/>
        <w:ind w:left="720" w:hanging="720"/>
      </w:pPr>
      <w:r w:rsidRPr="004E48B9">
        <w:t>Ramos-Gomez FJ, Crall J, Gansky SA, Slayton RL, Featherstone JD. 2007. Caries risk assessment appropriate for the age 1 visit (infants and toddlers). J Calif Dent Assoc. 35(10):687-702.</w:t>
      </w:r>
    </w:p>
    <w:p w:rsidR="001F6E87" w:rsidRPr="004E48B9" w:rsidRDefault="001F6E87" w:rsidP="009724F7">
      <w:pPr>
        <w:pStyle w:val="EndNoteBibliography"/>
        <w:spacing w:after="0"/>
        <w:ind w:left="720" w:hanging="720"/>
      </w:pPr>
      <w:r w:rsidRPr="004E48B9">
        <w:t>Righolt AJ, Jevdjevic M, Marcenes W, Listl S. 2018. Global-, regional-, and country-level economic impacts of dental diseases in 2015. J Dent Res. 97(5):501-507.</w:t>
      </w:r>
    </w:p>
    <w:p w:rsidR="001F6E87" w:rsidRPr="004E48B9" w:rsidRDefault="001F6E87" w:rsidP="009724F7">
      <w:pPr>
        <w:pStyle w:val="EndNoteBibliography"/>
        <w:spacing w:after="0"/>
        <w:ind w:left="720" w:hanging="720"/>
      </w:pPr>
      <w:r w:rsidRPr="004E48B9">
        <w:t>Shackleton N, Broadbent JM, Thornley S, Milne BJ, Crengle S, Exeter DJ. 2018. Inequalities in dental caries experience among 4-year-old new zealand children. Community Dent Oral Epidemiol. 46(3):288-296.</w:t>
      </w:r>
    </w:p>
    <w:p w:rsidR="001F6E87" w:rsidRPr="004E48B9" w:rsidRDefault="001F6E87" w:rsidP="009724F7">
      <w:pPr>
        <w:pStyle w:val="EndNoteBibliography"/>
        <w:spacing w:after="0"/>
        <w:ind w:left="720" w:hanging="720"/>
      </w:pPr>
      <w:r w:rsidRPr="004E48B9">
        <w:t>Sheiham A, Williams DM, Weyant RJ, Glick M, Naidoo S, Eisele JL, Selikowitz HS. 2015. Billions with oral disease: A global health crisis--a call to action. J Am Dent Assoc. 146(12):861-864.</w:t>
      </w:r>
    </w:p>
    <w:p w:rsidR="001F6E87" w:rsidRPr="004E48B9" w:rsidRDefault="001F6E87" w:rsidP="009724F7">
      <w:pPr>
        <w:pStyle w:val="EndNoteBibliography"/>
        <w:spacing w:after="0"/>
        <w:ind w:left="720" w:hanging="720"/>
      </w:pPr>
      <w:r w:rsidRPr="004E48B9">
        <w:t>Silva MJ, Kilpatrick NM, Craig JM, Manton DJ, Leong P, Burgner D, Scurrah KJ. 2019. Etiology of hypomineralized second primary molars: A prospective twin study. J Dent Res. 98(1):77-83.</w:t>
      </w:r>
    </w:p>
    <w:p w:rsidR="001F6E87" w:rsidRPr="004E48B9" w:rsidRDefault="001F6E87" w:rsidP="009724F7">
      <w:pPr>
        <w:pStyle w:val="EndNoteBibliography"/>
        <w:spacing w:after="0"/>
        <w:ind w:left="720" w:hanging="720"/>
      </w:pPr>
      <w:r w:rsidRPr="004E48B9">
        <w:t>Soh SE, Tint MT, Gluckman PD, Godfrey KM, Rifkin-Graboi A, Chan YH, Stunkel W, Holbrook JD, Kwek K, Chong YS et al. 2014. Cohort profile: Growing up in singapore towards healthy outcomes (gusto) birth cohort study. Int J Epidemiol. 43(5):1401-1409.</w:t>
      </w:r>
    </w:p>
    <w:p w:rsidR="001F6E87" w:rsidRPr="004E48B9" w:rsidRDefault="001F6E87" w:rsidP="009724F7">
      <w:pPr>
        <w:pStyle w:val="EndNoteBibliography"/>
        <w:spacing w:after="0"/>
        <w:ind w:left="720" w:hanging="720"/>
      </w:pPr>
      <w:r w:rsidRPr="004E48B9">
        <w:t>Stearns SC, Rozier RG, Kranz AM, Pahel BT, Quiñonez RB. 2012. Cost-effectiveness of preventive oral health care in medical offices for young medicaid enrolleescost-effectiveness of preventive oral health care. Arch Pediatr Adolesc Med. 166(10):945-951.</w:t>
      </w:r>
    </w:p>
    <w:p w:rsidR="001F6E87" w:rsidRPr="004E48B9" w:rsidRDefault="001F6E87" w:rsidP="009724F7">
      <w:pPr>
        <w:pStyle w:val="EndNoteBibliography"/>
        <w:spacing w:after="0"/>
        <w:ind w:left="720" w:hanging="720"/>
      </w:pPr>
      <w:r w:rsidRPr="004E48B9">
        <w:t>Tanaka K, Miyake Y, Sasaki S. 2009. The effect of maternal smoking during pregnancy and postnatal household smoking on dental caries in young children. J Pediatr. 155(3):410-415.</w:t>
      </w:r>
    </w:p>
    <w:p w:rsidR="001F6E87" w:rsidRPr="004E48B9" w:rsidRDefault="001F6E87" w:rsidP="009724F7">
      <w:pPr>
        <w:pStyle w:val="EndNoteBibliography"/>
        <w:spacing w:after="0"/>
        <w:ind w:left="720" w:hanging="720"/>
      </w:pPr>
      <w:r w:rsidRPr="004E48B9">
        <w:t>Un Lam C, Khin LW, Kalhan AC, Yee R, Lee YS, Chong MF, Kwek K, Saw SM, Godfrey K, Chong YS et al. 2017. Identification of caries risk determinants in toddlers: Results of the gusto birth cohort study. Caries Res. 51(4):271-282.</w:t>
      </w:r>
    </w:p>
    <w:p w:rsidR="001F6E87" w:rsidRPr="004E48B9" w:rsidRDefault="001F6E87" w:rsidP="009724F7">
      <w:pPr>
        <w:pStyle w:val="EndNoteBibliography"/>
        <w:spacing w:after="0"/>
        <w:ind w:left="720" w:hanging="720"/>
      </w:pPr>
      <w:r w:rsidRPr="004E48B9">
        <w:t>van der Heijden GJ, Donders AR, Stijnen T, Moons KG. 2006. Imputation of missing values is superior to complete case analysis and the missing-indicator method in multivariable diagnostic research: A clinical example. J Clin Epidemiol. 59(10):1102-1109.</w:t>
      </w:r>
    </w:p>
    <w:p w:rsidR="001F6E87" w:rsidRPr="004E48B9" w:rsidRDefault="001F6E87" w:rsidP="009724F7">
      <w:pPr>
        <w:pStyle w:val="EndNoteBibliography"/>
        <w:spacing w:after="0"/>
        <w:ind w:left="720" w:hanging="720"/>
      </w:pPr>
      <w:r w:rsidRPr="004E48B9">
        <w:t>Vazquez-Nava F, Vazquez RE, Saldivar GA, Beltran GF, Almeida AV, Vazquez RC. 2008. Allergic rhinitis, feeding and oral habits, toothbrushing and socioeconomic status. Effects on development of dental caries in primary dentition. Caries Res. 42(2):141-147.</w:t>
      </w:r>
    </w:p>
    <w:p w:rsidR="001F6E87" w:rsidRPr="004E48B9" w:rsidRDefault="001F6E87" w:rsidP="009724F7">
      <w:pPr>
        <w:pStyle w:val="EndNoteBibliography"/>
        <w:spacing w:after="0"/>
        <w:ind w:left="720" w:hanging="720"/>
      </w:pPr>
      <w:r w:rsidRPr="004E48B9">
        <w:t>Vos T, Abajobir AA, Abate KH, Abbafati C, Abbas KM, Abd-Allah F, Abdulkader RS, Abdulle AM, Abebo TA, Abera SF et al. 2017. Global, regional, and national incidence, prevalence, and years lived with disability for 328 diseases and injuries for 195 countries, 1990–2016: A systematic analysis for the global burden of disease study 2016. The Lancet. 390(10100):1211-1259.</w:t>
      </w:r>
    </w:p>
    <w:p w:rsidR="00D7067B" w:rsidRDefault="001F6E87" w:rsidP="00BF25F6">
      <w:pPr>
        <w:pStyle w:val="EndNoteBibliography"/>
        <w:spacing w:after="0"/>
        <w:ind w:left="720" w:hanging="720"/>
      </w:pPr>
      <w:r w:rsidRPr="004E48B9">
        <w:t>Watt RG, Daly B, Allison P, Macpherson LMD, Venturelli R, Listl S, Weyant RJ, Mathur MR, Guarnizo-Herreno CC, Celeste RK et al. 2019. Ending the neglect of global oral health: Time for radical action. Lancet. 394(10194):261-272.</w:t>
      </w:r>
    </w:p>
    <w:sectPr w:rsidR="00D7067B" w:rsidSect="001B0311">
      <w:headerReference w:type="default" r:id="rId8"/>
      <w:footerReference w:type="default" r:id="rId9"/>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63" w:rsidRDefault="00D52C63">
      <w:pPr>
        <w:spacing w:after="0" w:line="240" w:lineRule="auto"/>
      </w:pPr>
      <w:r>
        <w:separator/>
      </w:r>
    </w:p>
  </w:endnote>
  <w:endnote w:type="continuationSeparator" w:id="0">
    <w:p w:rsidR="00D52C63" w:rsidRDefault="00D5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590814"/>
      <w:docPartObj>
        <w:docPartGallery w:val="Page Numbers (Bottom of Page)"/>
        <w:docPartUnique/>
      </w:docPartObj>
    </w:sdtPr>
    <w:sdtEndPr>
      <w:rPr>
        <w:noProof/>
      </w:rPr>
    </w:sdtEndPr>
    <w:sdtContent>
      <w:p w:rsidR="009A3790" w:rsidRDefault="00204201">
        <w:pPr>
          <w:pStyle w:val="Footer"/>
          <w:jc w:val="right"/>
        </w:pPr>
        <w:r>
          <w:fldChar w:fldCharType="begin"/>
        </w:r>
        <w:r>
          <w:instrText xml:space="preserve"> PAGE   \* MERGEFORMAT </w:instrText>
        </w:r>
        <w:r>
          <w:fldChar w:fldCharType="separate"/>
        </w:r>
        <w:r w:rsidR="00F254DA">
          <w:rPr>
            <w:noProof/>
          </w:rPr>
          <w:t>1</w:t>
        </w:r>
        <w:r>
          <w:rPr>
            <w:noProof/>
          </w:rPr>
          <w:fldChar w:fldCharType="end"/>
        </w:r>
      </w:p>
    </w:sdtContent>
  </w:sdt>
  <w:p w:rsidR="009A3790" w:rsidRDefault="00F254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63" w:rsidRDefault="00D52C63">
      <w:pPr>
        <w:spacing w:after="0" w:line="240" w:lineRule="auto"/>
      </w:pPr>
      <w:r>
        <w:separator/>
      </w:r>
    </w:p>
  </w:footnote>
  <w:footnote w:type="continuationSeparator" w:id="0">
    <w:p w:rsidR="00D52C63" w:rsidRDefault="00D5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90" w:rsidRDefault="00F254DA" w:rsidP="00EA129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160"/>
    <w:multiLevelType w:val="hybridMultilevel"/>
    <w:tmpl w:val="649A0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8073D"/>
    <w:multiLevelType w:val="hybridMultilevel"/>
    <w:tmpl w:val="B99C4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957EE"/>
    <w:multiLevelType w:val="hybridMultilevel"/>
    <w:tmpl w:val="3D2884B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533DE0"/>
    <w:multiLevelType w:val="hybridMultilevel"/>
    <w:tmpl w:val="D7927A5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E9F1160"/>
    <w:multiLevelType w:val="hybridMultilevel"/>
    <w:tmpl w:val="894A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2264"/>
    <w:multiLevelType w:val="hybridMultilevel"/>
    <w:tmpl w:val="2B48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43E8F"/>
    <w:multiLevelType w:val="hybridMultilevel"/>
    <w:tmpl w:val="6BC849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D297070"/>
    <w:multiLevelType w:val="hybridMultilevel"/>
    <w:tmpl w:val="7EB8CF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E834655"/>
    <w:multiLevelType w:val="hybridMultilevel"/>
    <w:tmpl w:val="09F8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A60D1"/>
    <w:multiLevelType w:val="hybridMultilevel"/>
    <w:tmpl w:val="F178087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3E67689"/>
    <w:multiLevelType w:val="hybridMultilevel"/>
    <w:tmpl w:val="6366C4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52F7DE3"/>
    <w:multiLevelType w:val="hybridMultilevel"/>
    <w:tmpl w:val="62DE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47644"/>
    <w:multiLevelType w:val="hybridMultilevel"/>
    <w:tmpl w:val="C9D20D9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7A97440"/>
    <w:multiLevelType w:val="hybridMultilevel"/>
    <w:tmpl w:val="0672C30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D266A5A"/>
    <w:multiLevelType w:val="hybridMultilevel"/>
    <w:tmpl w:val="B59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47A26"/>
    <w:multiLevelType w:val="hybridMultilevel"/>
    <w:tmpl w:val="D2F6AC6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2F36AA4"/>
    <w:multiLevelType w:val="hybridMultilevel"/>
    <w:tmpl w:val="E632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D7F76"/>
    <w:multiLevelType w:val="hybridMultilevel"/>
    <w:tmpl w:val="3E383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652DBC"/>
    <w:multiLevelType w:val="hybridMultilevel"/>
    <w:tmpl w:val="1DF22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C1561"/>
    <w:multiLevelType w:val="hybridMultilevel"/>
    <w:tmpl w:val="B66857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4FD065D"/>
    <w:multiLevelType w:val="hybridMultilevel"/>
    <w:tmpl w:val="7D8AA1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8A55A5F"/>
    <w:multiLevelType w:val="hybridMultilevel"/>
    <w:tmpl w:val="5CFED0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A3E0FA7"/>
    <w:multiLevelType w:val="hybridMultilevel"/>
    <w:tmpl w:val="73F28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B432F12"/>
    <w:multiLevelType w:val="hybridMultilevel"/>
    <w:tmpl w:val="16F8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026E9"/>
    <w:multiLevelType w:val="hybridMultilevel"/>
    <w:tmpl w:val="E3CE104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C097499"/>
    <w:multiLevelType w:val="hybridMultilevel"/>
    <w:tmpl w:val="DB8E7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B1E8D"/>
    <w:multiLevelType w:val="hybridMultilevel"/>
    <w:tmpl w:val="88DE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05750"/>
    <w:multiLevelType w:val="hybridMultilevel"/>
    <w:tmpl w:val="3204360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6E906260"/>
    <w:multiLevelType w:val="hybridMultilevel"/>
    <w:tmpl w:val="E3E2F68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ECD726A"/>
    <w:multiLevelType w:val="hybridMultilevel"/>
    <w:tmpl w:val="B5E00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497D40"/>
    <w:multiLevelType w:val="hybridMultilevel"/>
    <w:tmpl w:val="A4FAA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B3B09"/>
    <w:multiLevelType w:val="hybridMultilevel"/>
    <w:tmpl w:val="F516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0"/>
  </w:num>
  <w:num w:numId="4">
    <w:abstractNumId w:val="7"/>
  </w:num>
  <w:num w:numId="5">
    <w:abstractNumId w:val="28"/>
  </w:num>
  <w:num w:numId="6">
    <w:abstractNumId w:val="20"/>
  </w:num>
  <w:num w:numId="7">
    <w:abstractNumId w:val="3"/>
  </w:num>
  <w:num w:numId="8">
    <w:abstractNumId w:val="12"/>
  </w:num>
  <w:num w:numId="9">
    <w:abstractNumId w:val="19"/>
  </w:num>
  <w:num w:numId="10">
    <w:abstractNumId w:val="24"/>
  </w:num>
  <w:num w:numId="11">
    <w:abstractNumId w:val="15"/>
  </w:num>
  <w:num w:numId="12">
    <w:abstractNumId w:val="27"/>
  </w:num>
  <w:num w:numId="13">
    <w:abstractNumId w:val="13"/>
  </w:num>
  <w:num w:numId="14">
    <w:abstractNumId w:val="9"/>
  </w:num>
  <w:num w:numId="15">
    <w:abstractNumId w:val="21"/>
  </w:num>
  <w:num w:numId="16">
    <w:abstractNumId w:val="6"/>
  </w:num>
  <w:num w:numId="17">
    <w:abstractNumId w:val="4"/>
  </w:num>
  <w:num w:numId="18">
    <w:abstractNumId w:val="26"/>
  </w:num>
  <w:num w:numId="19">
    <w:abstractNumId w:val="14"/>
  </w:num>
  <w:num w:numId="20">
    <w:abstractNumId w:val="18"/>
  </w:num>
  <w:num w:numId="21">
    <w:abstractNumId w:val="31"/>
  </w:num>
  <w:num w:numId="22">
    <w:abstractNumId w:val="25"/>
  </w:num>
  <w:num w:numId="23">
    <w:abstractNumId w:val="0"/>
  </w:num>
  <w:num w:numId="24">
    <w:abstractNumId w:val="11"/>
  </w:num>
  <w:num w:numId="25">
    <w:abstractNumId w:val="8"/>
  </w:num>
  <w:num w:numId="26">
    <w:abstractNumId w:val="23"/>
  </w:num>
  <w:num w:numId="27">
    <w:abstractNumId w:val="30"/>
  </w:num>
  <w:num w:numId="28">
    <w:abstractNumId w:val="16"/>
  </w:num>
  <w:num w:numId="29">
    <w:abstractNumId w:val="5"/>
  </w:num>
  <w:num w:numId="30">
    <w:abstractNumId w:val="1"/>
  </w:num>
  <w:num w:numId="31">
    <w:abstractNumId w:val="2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F6E87"/>
    <w:rsid w:val="00005176"/>
    <w:rsid w:val="00043148"/>
    <w:rsid w:val="00046935"/>
    <w:rsid w:val="0007178E"/>
    <w:rsid w:val="0008614D"/>
    <w:rsid w:val="00090A8D"/>
    <w:rsid w:val="000C690D"/>
    <w:rsid w:val="000E61AD"/>
    <w:rsid w:val="000F246A"/>
    <w:rsid w:val="0012300A"/>
    <w:rsid w:val="00171675"/>
    <w:rsid w:val="001A54B9"/>
    <w:rsid w:val="001B0311"/>
    <w:rsid w:val="001C4321"/>
    <w:rsid w:val="001C7F05"/>
    <w:rsid w:val="001F40F1"/>
    <w:rsid w:val="001F6E87"/>
    <w:rsid w:val="00204201"/>
    <w:rsid w:val="00216DA6"/>
    <w:rsid w:val="002238D7"/>
    <w:rsid w:val="002372A4"/>
    <w:rsid w:val="00250DAC"/>
    <w:rsid w:val="00260502"/>
    <w:rsid w:val="002A3657"/>
    <w:rsid w:val="002B264B"/>
    <w:rsid w:val="002C12C9"/>
    <w:rsid w:val="002D1570"/>
    <w:rsid w:val="002D4FE5"/>
    <w:rsid w:val="002D7717"/>
    <w:rsid w:val="00327ED9"/>
    <w:rsid w:val="00332C07"/>
    <w:rsid w:val="00341B9C"/>
    <w:rsid w:val="00343760"/>
    <w:rsid w:val="00353AC4"/>
    <w:rsid w:val="00363FFA"/>
    <w:rsid w:val="00380F24"/>
    <w:rsid w:val="00384105"/>
    <w:rsid w:val="003A100E"/>
    <w:rsid w:val="003C23D3"/>
    <w:rsid w:val="003C32B4"/>
    <w:rsid w:val="003D4C7E"/>
    <w:rsid w:val="00400ED1"/>
    <w:rsid w:val="00407936"/>
    <w:rsid w:val="00412651"/>
    <w:rsid w:val="0048214E"/>
    <w:rsid w:val="004A17D4"/>
    <w:rsid w:val="004C1FB7"/>
    <w:rsid w:val="004D0822"/>
    <w:rsid w:val="004E48B9"/>
    <w:rsid w:val="004E59C7"/>
    <w:rsid w:val="00561B23"/>
    <w:rsid w:val="0056566A"/>
    <w:rsid w:val="00583736"/>
    <w:rsid w:val="005C72B2"/>
    <w:rsid w:val="005F0768"/>
    <w:rsid w:val="0065356C"/>
    <w:rsid w:val="00683C74"/>
    <w:rsid w:val="0068459C"/>
    <w:rsid w:val="006C20F5"/>
    <w:rsid w:val="006C457A"/>
    <w:rsid w:val="006D1E9C"/>
    <w:rsid w:val="006F5F66"/>
    <w:rsid w:val="00733216"/>
    <w:rsid w:val="00733A52"/>
    <w:rsid w:val="007375CC"/>
    <w:rsid w:val="007462E5"/>
    <w:rsid w:val="00794B2E"/>
    <w:rsid w:val="00794FE2"/>
    <w:rsid w:val="007C590E"/>
    <w:rsid w:val="007D6714"/>
    <w:rsid w:val="007F75E0"/>
    <w:rsid w:val="008272CB"/>
    <w:rsid w:val="008416A6"/>
    <w:rsid w:val="00894B2F"/>
    <w:rsid w:val="008B22CA"/>
    <w:rsid w:val="008F254A"/>
    <w:rsid w:val="009159B2"/>
    <w:rsid w:val="00950200"/>
    <w:rsid w:val="0095387D"/>
    <w:rsid w:val="00974AC9"/>
    <w:rsid w:val="00977A16"/>
    <w:rsid w:val="00980BE3"/>
    <w:rsid w:val="009A747F"/>
    <w:rsid w:val="009C179C"/>
    <w:rsid w:val="009C30C0"/>
    <w:rsid w:val="00A109AB"/>
    <w:rsid w:val="00A16F0A"/>
    <w:rsid w:val="00A43F57"/>
    <w:rsid w:val="00A50BFE"/>
    <w:rsid w:val="00A557A0"/>
    <w:rsid w:val="00A61241"/>
    <w:rsid w:val="00A714F9"/>
    <w:rsid w:val="00A870DE"/>
    <w:rsid w:val="00A94547"/>
    <w:rsid w:val="00AA53D5"/>
    <w:rsid w:val="00AA75A5"/>
    <w:rsid w:val="00AE2206"/>
    <w:rsid w:val="00AF2644"/>
    <w:rsid w:val="00B44762"/>
    <w:rsid w:val="00BB0F7A"/>
    <w:rsid w:val="00BF25F6"/>
    <w:rsid w:val="00C156E7"/>
    <w:rsid w:val="00C16521"/>
    <w:rsid w:val="00C2304B"/>
    <w:rsid w:val="00C44368"/>
    <w:rsid w:val="00C601C2"/>
    <w:rsid w:val="00C77042"/>
    <w:rsid w:val="00C7777C"/>
    <w:rsid w:val="00C962A3"/>
    <w:rsid w:val="00C97FB7"/>
    <w:rsid w:val="00CB5A6E"/>
    <w:rsid w:val="00CE6FBC"/>
    <w:rsid w:val="00D04E57"/>
    <w:rsid w:val="00D444D1"/>
    <w:rsid w:val="00D44E15"/>
    <w:rsid w:val="00D52C63"/>
    <w:rsid w:val="00D57283"/>
    <w:rsid w:val="00D64687"/>
    <w:rsid w:val="00D7067B"/>
    <w:rsid w:val="00D73809"/>
    <w:rsid w:val="00D84C90"/>
    <w:rsid w:val="00DB7671"/>
    <w:rsid w:val="00DD53EB"/>
    <w:rsid w:val="00DD6B8F"/>
    <w:rsid w:val="00DF7C99"/>
    <w:rsid w:val="00DF7E23"/>
    <w:rsid w:val="00E478F8"/>
    <w:rsid w:val="00E71FCE"/>
    <w:rsid w:val="00E72A7A"/>
    <w:rsid w:val="00E85E35"/>
    <w:rsid w:val="00E96C8B"/>
    <w:rsid w:val="00EA1530"/>
    <w:rsid w:val="00EA7A39"/>
    <w:rsid w:val="00EB111F"/>
    <w:rsid w:val="00ED0ED1"/>
    <w:rsid w:val="00EE1300"/>
    <w:rsid w:val="00EE29EE"/>
    <w:rsid w:val="00EE6F42"/>
    <w:rsid w:val="00EF1847"/>
    <w:rsid w:val="00F03A05"/>
    <w:rsid w:val="00F0595D"/>
    <w:rsid w:val="00F22A34"/>
    <w:rsid w:val="00F241BF"/>
    <w:rsid w:val="00F254DA"/>
    <w:rsid w:val="00F47110"/>
    <w:rsid w:val="00F54C8F"/>
    <w:rsid w:val="00F71D60"/>
    <w:rsid w:val="00F730EA"/>
    <w:rsid w:val="00F77EEA"/>
    <w:rsid w:val="00FC711D"/>
    <w:rsid w:val="00FE352A"/>
    <w:rsid w:val="00FE37E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2DA3-14CF-FA49-9653-49FBFB6E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E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F6E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F6E87"/>
    <w:rPr>
      <w:rFonts w:ascii="Calibri" w:hAnsi="Calibri" w:cs="Calibri"/>
      <w:noProof/>
      <w:sz w:val="22"/>
      <w:szCs w:val="22"/>
      <w:lang w:val="en-US"/>
    </w:rPr>
  </w:style>
  <w:style w:type="paragraph" w:customStyle="1" w:styleId="EndNoteBibliography">
    <w:name w:val="EndNote Bibliography"/>
    <w:basedOn w:val="Normal"/>
    <w:link w:val="EndNoteBibliographyChar"/>
    <w:rsid w:val="001F6E8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F6E87"/>
    <w:rPr>
      <w:rFonts w:ascii="Calibri" w:hAnsi="Calibri" w:cs="Calibri"/>
      <w:noProof/>
      <w:sz w:val="22"/>
      <w:szCs w:val="22"/>
      <w:lang w:val="en-US"/>
    </w:rPr>
  </w:style>
  <w:style w:type="paragraph" w:styleId="BalloonText">
    <w:name w:val="Balloon Text"/>
    <w:basedOn w:val="Normal"/>
    <w:link w:val="BalloonTextChar"/>
    <w:uiPriority w:val="99"/>
    <w:semiHidden/>
    <w:unhideWhenUsed/>
    <w:rsid w:val="001F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E87"/>
    <w:rPr>
      <w:rFonts w:ascii="Segoe UI" w:hAnsi="Segoe UI" w:cs="Segoe UI"/>
      <w:sz w:val="18"/>
      <w:szCs w:val="18"/>
    </w:rPr>
  </w:style>
  <w:style w:type="paragraph" w:styleId="Header">
    <w:name w:val="header"/>
    <w:basedOn w:val="Normal"/>
    <w:link w:val="HeaderChar"/>
    <w:uiPriority w:val="99"/>
    <w:unhideWhenUsed/>
    <w:rsid w:val="001F6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E87"/>
    <w:rPr>
      <w:sz w:val="22"/>
      <w:szCs w:val="22"/>
    </w:rPr>
  </w:style>
  <w:style w:type="paragraph" w:styleId="Footer">
    <w:name w:val="footer"/>
    <w:basedOn w:val="Normal"/>
    <w:link w:val="FooterChar"/>
    <w:uiPriority w:val="99"/>
    <w:unhideWhenUsed/>
    <w:rsid w:val="001F6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E87"/>
    <w:rPr>
      <w:sz w:val="22"/>
      <w:szCs w:val="22"/>
    </w:rPr>
  </w:style>
  <w:style w:type="character" w:styleId="CommentReference">
    <w:name w:val="annotation reference"/>
    <w:basedOn w:val="DefaultParagraphFont"/>
    <w:uiPriority w:val="99"/>
    <w:semiHidden/>
    <w:unhideWhenUsed/>
    <w:rsid w:val="001F6E87"/>
    <w:rPr>
      <w:sz w:val="16"/>
      <w:szCs w:val="16"/>
    </w:rPr>
  </w:style>
  <w:style w:type="paragraph" w:styleId="CommentText">
    <w:name w:val="annotation text"/>
    <w:basedOn w:val="Normal"/>
    <w:link w:val="CommentTextChar"/>
    <w:uiPriority w:val="99"/>
    <w:unhideWhenUsed/>
    <w:rsid w:val="001F6E87"/>
    <w:pPr>
      <w:spacing w:line="240" w:lineRule="auto"/>
    </w:pPr>
    <w:rPr>
      <w:sz w:val="20"/>
      <w:szCs w:val="20"/>
    </w:rPr>
  </w:style>
  <w:style w:type="character" w:customStyle="1" w:styleId="CommentTextChar">
    <w:name w:val="Comment Text Char"/>
    <w:basedOn w:val="DefaultParagraphFont"/>
    <w:link w:val="CommentText"/>
    <w:uiPriority w:val="99"/>
    <w:rsid w:val="001F6E87"/>
    <w:rPr>
      <w:sz w:val="20"/>
      <w:szCs w:val="20"/>
    </w:rPr>
  </w:style>
  <w:style w:type="paragraph" w:styleId="CommentSubject">
    <w:name w:val="annotation subject"/>
    <w:basedOn w:val="CommentText"/>
    <w:next w:val="CommentText"/>
    <w:link w:val="CommentSubjectChar"/>
    <w:uiPriority w:val="99"/>
    <w:semiHidden/>
    <w:unhideWhenUsed/>
    <w:rsid w:val="001F6E87"/>
    <w:rPr>
      <w:b/>
      <w:bCs/>
    </w:rPr>
  </w:style>
  <w:style w:type="character" w:customStyle="1" w:styleId="CommentSubjectChar">
    <w:name w:val="Comment Subject Char"/>
    <w:basedOn w:val="CommentTextChar"/>
    <w:link w:val="CommentSubject"/>
    <w:uiPriority w:val="99"/>
    <w:semiHidden/>
    <w:rsid w:val="001F6E87"/>
    <w:rPr>
      <w:b/>
      <w:bCs/>
      <w:sz w:val="20"/>
      <w:szCs w:val="20"/>
    </w:rPr>
  </w:style>
  <w:style w:type="paragraph" w:styleId="Revision">
    <w:name w:val="Revision"/>
    <w:hidden/>
    <w:uiPriority w:val="99"/>
    <w:semiHidden/>
    <w:rsid w:val="001F6E87"/>
    <w:rPr>
      <w:sz w:val="22"/>
      <w:szCs w:val="22"/>
    </w:rPr>
  </w:style>
  <w:style w:type="table" w:styleId="TableGrid">
    <w:name w:val="Table Grid"/>
    <w:basedOn w:val="TableNormal"/>
    <w:uiPriority w:val="39"/>
    <w:rsid w:val="001F6E8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E87"/>
    <w:pPr>
      <w:ind w:left="720"/>
      <w:contextualSpacing/>
    </w:pPr>
  </w:style>
  <w:style w:type="paragraph" w:styleId="NormalWeb">
    <w:name w:val="Normal (Web)"/>
    <w:basedOn w:val="Normal"/>
    <w:uiPriority w:val="99"/>
    <w:unhideWhenUsed/>
    <w:rsid w:val="001F6E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1F6E87"/>
  </w:style>
  <w:style w:type="character" w:styleId="Hyperlink">
    <w:name w:val="Hyperlink"/>
    <w:basedOn w:val="DefaultParagraphFont"/>
    <w:uiPriority w:val="99"/>
    <w:unhideWhenUsed/>
    <w:rsid w:val="001F6E87"/>
    <w:rPr>
      <w:color w:val="0563C1" w:themeColor="hyperlink"/>
      <w:u w:val="single"/>
    </w:rPr>
  </w:style>
  <w:style w:type="character" w:customStyle="1" w:styleId="UnresolvedMention1">
    <w:name w:val="Unresolved Mention1"/>
    <w:basedOn w:val="DefaultParagraphFont"/>
    <w:uiPriority w:val="99"/>
    <w:semiHidden/>
    <w:unhideWhenUsed/>
    <w:rsid w:val="001F6E87"/>
    <w:rPr>
      <w:color w:val="605E5C"/>
      <w:shd w:val="clear" w:color="auto" w:fill="E1DFDD"/>
    </w:rPr>
  </w:style>
  <w:style w:type="character" w:customStyle="1" w:styleId="UnresolvedMention2">
    <w:name w:val="Unresolved Mention2"/>
    <w:basedOn w:val="DefaultParagraphFont"/>
    <w:uiPriority w:val="99"/>
    <w:semiHidden/>
    <w:unhideWhenUsed/>
    <w:rsid w:val="001F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apd.org/globalassets/media/policies_guidelines/bp_cariesriskassess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5262</Words>
  <Characters>29996</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Ashish Kalhan</dc:creator>
  <cp:keywords/>
  <dc:description/>
  <cp:lastModifiedBy>Karen Drake</cp:lastModifiedBy>
  <cp:revision>2</cp:revision>
  <dcterms:created xsi:type="dcterms:W3CDTF">2020-03-02T15:29:00Z</dcterms:created>
  <dcterms:modified xsi:type="dcterms:W3CDTF">2020-03-02T15:29:00Z</dcterms:modified>
</cp:coreProperties>
</file>