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F784B" w14:textId="77777777" w:rsidR="00E12EB8" w:rsidRDefault="00E12EB8" w:rsidP="00E12EB8">
      <w:pPr>
        <w:spacing w:line="360" w:lineRule="auto"/>
        <w:jc w:val="center"/>
        <w:rPr>
          <w:rFonts w:ascii="Times New Roman" w:hAnsi="Times New Roman" w:cs="Times New Roman"/>
          <w:b/>
          <w:sz w:val="28"/>
        </w:rPr>
      </w:pPr>
      <w:bookmarkStart w:id="0" w:name="_Hlk525573435"/>
      <w:bookmarkStart w:id="1" w:name="_Hlk19541882"/>
      <w:bookmarkStart w:id="2" w:name="_Hlk485305303"/>
      <w:bookmarkStart w:id="3" w:name="_GoBack"/>
      <w:bookmarkEnd w:id="3"/>
      <w:r>
        <w:rPr>
          <w:rFonts w:ascii="Times New Roman" w:hAnsi="Times New Roman" w:cs="Times New Roman"/>
          <w:b/>
          <w:sz w:val="28"/>
        </w:rPr>
        <w:t>Caries Risk Prediction models in medical healthcare setting</w:t>
      </w:r>
      <w:bookmarkEnd w:id="0"/>
      <w:bookmarkEnd w:id="1"/>
      <w:bookmarkEnd w:id="2"/>
    </w:p>
    <w:p w14:paraId="7CF3E1A2" w14:textId="70E7ACD6" w:rsidR="00E12EB8" w:rsidRDefault="00E12EB8" w:rsidP="00E12EB8">
      <w:pPr>
        <w:rPr>
          <w:rFonts w:ascii="Times New Roman" w:hAnsi="Times New Roman" w:cs="Times New Roman"/>
          <w:lang w:val="en-US"/>
        </w:rPr>
      </w:pPr>
      <w:r w:rsidRPr="002C38FC">
        <w:rPr>
          <w:rFonts w:ascii="Times New Roman" w:hAnsi="Times New Roman" w:cs="Times New Roman"/>
          <w:lang w:val="en-US"/>
        </w:rPr>
        <w:t xml:space="preserve">Table </w:t>
      </w:r>
      <w:r w:rsidRPr="008E7D1B">
        <w:rPr>
          <w:rFonts w:ascii="Times New Roman" w:hAnsi="Times New Roman" w:cs="Times New Roman"/>
          <w:lang w:val="en-US"/>
        </w:rPr>
        <w:t>2. Evaluation</w:t>
      </w:r>
      <w:r w:rsidRPr="002C38FC">
        <w:rPr>
          <w:rFonts w:ascii="Times New Roman" w:hAnsi="Times New Roman" w:cs="Times New Roman"/>
          <w:lang w:val="en-US"/>
        </w:rPr>
        <w:t xml:space="preserve"> of medical CRA models predicting caries risk at 2 years</w:t>
      </w:r>
    </w:p>
    <w:p w14:paraId="02DE92E5" w14:textId="77777777" w:rsidR="00700C3C" w:rsidRPr="002C38FC" w:rsidRDefault="00700C3C" w:rsidP="00E12EB8">
      <w:pPr>
        <w:rPr>
          <w:rFonts w:ascii="Times New Roman" w:hAnsi="Times New Roman" w:cs="Times New Roman"/>
          <w:lang w:val="en-US"/>
        </w:rPr>
      </w:pPr>
    </w:p>
    <w:tbl>
      <w:tblPr>
        <w:tblStyle w:val="TableGrid"/>
        <w:tblW w:w="9355" w:type="dxa"/>
        <w:tblLook w:val="04A0" w:firstRow="1" w:lastRow="0" w:firstColumn="1" w:lastColumn="0" w:noHBand="0" w:noVBand="1"/>
      </w:tblPr>
      <w:tblGrid>
        <w:gridCol w:w="1345"/>
        <w:gridCol w:w="2078"/>
        <w:gridCol w:w="854"/>
        <w:gridCol w:w="1285"/>
        <w:gridCol w:w="1247"/>
        <w:gridCol w:w="1092"/>
        <w:gridCol w:w="1454"/>
      </w:tblGrid>
      <w:tr w:rsidR="00E12EB8" w:rsidRPr="00DC020C" w14:paraId="0640EFE8" w14:textId="77777777" w:rsidTr="00FB4F51">
        <w:tc>
          <w:tcPr>
            <w:tcW w:w="9355" w:type="dxa"/>
            <w:gridSpan w:val="7"/>
            <w:vAlign w:val="bottom"/>
          </w:tcPr>
          <w:p w14:paraId="3323FA2A" w14:textId="77777777" w:rsidR="00E12EB8" w:rsidRPr="00E2117E" w:rsidRDefault="00E12EB8" w:rsidP="00FB4F51">
            <w:pPr>
              <w:spacing w:line="360" w:lineRule="auto"/>
              <w:rPr>
                <w:rFonts w:ascii="Times New Roman" w:hAnsi="Times New Roman" w:cs="Times New Roman"/>
                <w:bCs/>
                <w:i/>
                <w:iCs/>
                <w:sz w:val="20"/>
                <w:szCs w:val="20"/>
                <w:lang w:val="en-US"/>
              </w:rPr>
            </w:pPr>
            <w:r w:rsidRPr="00E2117E">
              <w:rPr>
                <w:rFonts w:ascii="Times New Roman" w:hAnsi="Times New Roman" w:cs="Times New Roman"/>
                <w:bCs/>
                <w:i/>
                <w:iCs/>
                <w:sz w:val="20"/>
                <w:szCs w:val="20"/>
                <w:lang w:val="en-US"/>
              </w:rPr>
              <w:t>Model I-A: All lesions (ICDAS codes 2-6)</w:t>
            </w:r>
          </w:p>
        </w:tc>
      </w:tr>
      <w:tr w:rsidR="00E12EB8" w:rsidRPr="00E2117E" w14:paraId="793E2D8E" w14:textId="77777777" w:rsidTr="00FB4F51">
        <w:tc>
          <w:tcPr>
            <w:tcW w:w="1345" w:type="dxa"/>
            <w:vAlign w:val="bottom"/>
          </w:tcPr>
          <w:p w14:paraId="0440582C"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Adjusted* N</w:t>
            </w:r>
          </w:p>
        </w:tc>
        <w:tc>
          <w:tcPr>
            <w:tcW w:w="2078" w:type="dxa"/>
            <w:vAlign w:val="bottom"/>
          </w:tcPr>
          <w:p w14:paraId="33834F00"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AUC (95%CI)</w:t>
            </w:r>
          </w:p>
        </w:tc>
        <w:tc>
          <w:tcPr>
            <w:tcW w:w="854" w:type="dxa"/>
            <w:vAlign w:val="bottom"/>
          </w:tcPr>
          <w:p w14:paraId="4F7A839F"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Cut-off</w:t>
            </w:r>
          </w:p>
        </w:tc>
        <w:tc>
          <w:tcPr>
            <w:tcW w:w="1285" w:type="dxa"/>
          </w:tcPr>
          <w:p w14:paraId="2A1855B0"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Sensitivity</w:t>
            </w:r>
          </w:p>
        </w:tc>
        <w:tc>
          <w:tcPr>
            <w:tcW w:w="1247" w:type="dxa"/>
          </w:tcPr>
          <w:p w14:paraId="029BFC23"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Specificity</w:t>
            </w:r>
          </w:p>
        </w:tc>
        <w:tc>
          <w:tcPr>
            <w:tcW w:w="1092" w:type="dxa"/>
            <w:vAlign w:val="bottom"/>
          </w:tcPr>
          <w:p w14:paraId="35246ADC"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Accuracy</w:t>
            </w:r>
            <w:r w:rsidRPr="00E2117E">
              <w:rPr>
                <w:rFonts w:ascii="Times New Roman" w:hAnsi="Times New Roman" w:cs="Times New Roman"/>
                <w:bCs/>
                <w:sz w:val="20"/>
                <w:szCs w:val="20"/>
                <w:vertAlign w:val="superscript"/>
                <w:lang w:val="en-US"/>
              </w:rPr>
              <w:t>§</w:t>
            </w:r>
          </w:p>
        </w:tc>
        <w:tc>
          <w:tcPr>
            <w:tcW w:w="1454" w:type="dxa"/>
            <w:vAlign w:val="bottom"/>
          </w:tcPr>
          <w:p w14:paraId="512450D7"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Pseudo R</w:t>
            </w:r>
            <w:r w:rsidRPr="00E2117E">
              <w:rPr>
                <w:rFonts w:ascii="Times New Roman" w:hAnsi="Times New Roman" w:cs="Times New Roman"/>
                <w:bCs/>
                <w:sz w:val="20"/>
                <w:szCs w:val="20"/>
                <w:vertAlign w:val="superscript"/>
                <w:lang w:val="en-US"/>
              </w:rPr>
              <w:t>2</w:t>
            </w:r>
          </w:p>
        </w:tc>
      </w:tr>
      <w:tr w:rsidR="00E12EB8" w:rsidRPr="00DC020C" w14:paraId="4DC50438" w14:textId="77777777" w:rsidTr="00FB4F51">
        <w:tc>
          <w:tcPr>
            <w:tcW w:w="1345" w:type="dxa"/>
            <w:vAlign w:val="bottom"/>
          </w:tcPr>
          <w:p w14:paraId="61669E8A"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276</w:t>
            </w:r>
          </w:p>
        </w:tc>
        <w:tc>
          <w:tcPr>
            <w:tcW w:w="2078" w:type="dxa"/>
            <w:vAlign w:val="bottom"/>
          </w:tcPr>
          <w:p w14:paraId="38DCFB03"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0.81 (0.75-0.87)</w:t>
            </w:r>
          </w:p>
        </w:tc>
        <w:tc>
          <w:tcPr>
            <w:tcW w:w="854" w:type="dxa"/>
            <w:vAlign w:val="bottom"/>
          </w:tcPr>
          <w:p w14:paraId="109664A1"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0.213</w:t>
            </w:r>
          </w:p>
        </w:tc>
        <w:tc>
          <w:tcPr>
            <w:tcW w:w="1285" w:type="dxa"/>
            <w:vAlign w:val="bottom"/>
          </w:tcPr>
          <w:p w14:paraId="749F335A"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78</w:t>
            </w:r>
          </w:p>
        </w:tc>
        <w:tc>
          <w:tcPr>
            <w:tcW w:w="1247" w:type="dxa"/>
            <w:vAlign w:val="bottom"/>
          </w:tcPr>
          <w:p w14:paraId="1A81ECBF"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73</w:t>
            </w:r>
          </w:p>
        </w:tc>
        <w:tc>
          <w:tcPr>
            <w:tcW w:w="1092" w:type="dxa"/>
            <w:vAlign w:val="bottom"/>
          </w:tcPr>
          <w:p w14:paraId="05642858"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74</w:t>
            </w:r>
          </w:p>
        </w:tc>
        <w:tc>
          <w:tcPr>
            <w:tcW w:w="1454" w:type="dxa"/>
            <w:vAlign w:val="bottom"/>
          </w:tcPr>
          <w:p w14:paraId="6E6C59FC"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0.33</w:t>
            </w:r>
          </w:p>
        </w:tc>
      </w:tr>
      <w:tr w:rsidR="00E12EB8" w:rsidRPr="00DC020C" w14:paraId="18C04575" w14:textId="77777777" w:rsidTr="00FB4F51">
        <w:tc>
          <w:tcPr>
            <w:tcW w:w="9355" w:type="dxa"/>
            <w:gridSpan w:val="7"/>
          </w:tcPr>
          <w:p w14:paraId="1A3FB2EF" w14:textId="77777777" w:rsidR="00E12EB8" w:rsidRPr="00E2117E" w:rsidRDefault="00E12EB8" w:rsidP="00FB4F51">
            <w:pPr>
              <w:spacing w:line="360" w:lineRule="auto"/>
              <w:rPr>
                <w:rFonts w:ascii="Times New Roman" w:hAnsi="Times New Roman" w:cs="Times New Roman"/>
                <w:bCs/>
                <w:i/>
                <w:iCs/>
                <w:sz w:val="20"/>
                <w:szCs w:val="20"/>
                <w:lang w:val="en-US"/>
              </w:rPr>
            </w:pPr>
            <w:r w:rsidRPr="00E2117E">
              <w:rPr>
                <w:rFonts w:ascii="Times New Roman" w:hAnsi="Times New Roman" w:cs="Times New Roman"/>
                <w:bCs/>
                <w:i/>
                <w:iCs/>
                <w:sz w:val="20"/>
                <w:szCs w:val="20"/>
                <w:lang w:val="en-US"/>
              </w:rPr>
              <w:t>Model I-B: Moderate-extensive lesions (ICDAS codes 3-6)</w:t>
            </w:r>
          </w:p>
        </w:tc>
      </w:tr>
      <w:tr w:rsidR="00E12EB8" w:rsidRPr="00E2117E" w14:paraId="79DF3A60" w14:textId="77777777" w:rsidTr="00FB4F51">
        <w:tc>
          <w:tcPr>
            <w:tcW w:w="1345" w:type="dxa"/>
          </w:tcPr>
          <w:p w14:paraId="233549AF"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Adjusted** N</w:t>
            </w:r>
          </w:p>
        </w:tc>
        <w:tc>
          <w:tcPr>
            <w:tcW w:w="2078" w:type="dxa"/>
          </w:tcPr>
          <w:p w14:paraId="4E58908C"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AUC (95%CI)</w:t>
            </w:r>
          </w:p>
        </w:tc>
        <w:tc>
          <w:tcPr>
            <w:tcW w:w="854" w:type="dxa"/>
          </w:tcPr>
          <w:p w14:paraId="36AE19C2"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Cut-off</w:t>
            </w:r>
          </w:p>
        </w:tc>
        <w:tc>
          <w:tcPr>
            <w:tcW w:w="1285" w:type="dxa"/>
          </w:tcPr>
          <w:p w14:paraId="501F0B95"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Sensitivity</w:t>
            </w:r>
          </w:p>
        </w:tc>
        <w:tc>
          <w:tcPr>
            <w:tcW w:w="1247" w:type="dxa"/>
          </w:tcPr>
          <w:p w14:paraId="520C2061"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Specificity</w:t>
            </w:r>
          </w:p>
        </w:tc>
        <w:tc>
          <w:tcPr>
            <w:tcW w:w="1092" w:type="dxa"/>
          </w:tcPr>
          <w:p w14:paraId="36430D7E"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Accuracy</w:t>
            </w:r>
            <w:r w:rsidRPr="00E2117E">
              <w:rPr>
                <w:rFonts w:ascii="Times New Roman" w:hAnsi="Times New Roman" w:cs="Times New Roman"/>
                <w:bCs/>
                <w:sz w:val="20"/>
                <w:szCs w:val="20"/>
                <w:vertAlign w:val="superscript"/>
                <w:lang w:val="en-US"/>
              </w:rPr>
              <w:t>§</w:t>
            </w:r>
          </w:p>
        </w:tc>
        <w:tc>
          <w:tcPr>
            <w:tcW w:w="1454" w:type="dxa"/>
          </w:tcPr>
          <w:p w14:paraId="456975F6" w14:textId="77777777" w:rsidR="00E12EB8" w:rsidRPr="00E2117E" w:rsidRDefault="00E12EB8" w:rsidP="00FB4F51">
            <w:pPr>
              <w:spacing w:line="360" w:lineRule="auto"/>
              <w:jc w:val="center"/>
              <w:rPr>
                <w:rFonts w:ascii="Times New Roman" w:hAnsi="Times New Roman" w:cs="Times New Roman"/>
                <w:bCs/>
                <w:sz w:val="20"/>
                <w:szCs w:val="20"/>
                <w:lang w:val="en-US"/>
              </w:rPr>
            </w:pPr>
            <w:r w:rsidRPr="00E2117E">
              <w:rPr>
                <w:rFonts w:ascii="Times New Roman" w:hAnsi="Times New Roman" w:cs="Times New Roman"/>
                <w:bCs/>
                <w:sz w:val="20"/>
                <w:szCs w:val="20"/>
                <w:lang w:val="en-US"/>
              </w:rPr>
              <w:t>Pseudo R</w:t>
            </w:r>
            <w:r w:rsidRPr="00E2117E">
              <w:rPr>
                <w:rFonts w:ascii="Times New Roman" w:hAnsi="Times New Roman" w:cs="Times New Roman"/>
                <w:bCs/>
                <w:sz w:val="20"/>
                <w:szCs w:val="20"/>
                <w:vertAlign w:val="superscript"/>
                <w:lang w:val="en-US"/>
              </w:rPr>
              <w:t>2</w:t>
            </w:r>
          </w:p>
        </w:tc>
      </w:tr>
      <w:tr w:rsidR="00E12EB8" w:rsidRPr="00DC020C" w14:paraId="1DE47DEC" w14:textId="77777777" w:rsidTr="00FB4F51">
        <w:tc>
          <w:tcPr>
            <w:tcW w:w="1345" w:type="dxa"/>
          </w:tcPr>
          <w:p w14:paraId="03CF772E"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299</w:t>
            </w:r>
          </w:p>
        </w:tc>
        <w:tc>
          <w:tcPr>
            <w:tcW w:w="2078" w:type="dxa"/>
          </w:tcPr>
          <w:p w14:paraId="491BCE64"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0.91 (0.85-0.97)</w:t>
            </w:r>
          </w:p>
        </w:tc>
        <w:tc>
          <w:tcPr>
            <w:tcW w:w="854" w:type="dxa"/>
          </w:tcPr>
          <w:p w14:paraId="4AC9B263"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0.067</w:t>
            </w:r>
          </w:p>
        </w:tc>
        <w:tc>
          <w:tcPr>
            <w:tcW w:w="1285" w:type="dxa"/>
          </w:tcPr>
          <w:p w14:paraId="36CD548F"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83</w:t>
            </w:r>
          </w:p>
        </w:tc>
        <w:tc>
          <w:tcPr>
            <w:tcW w:w="1247" w:type="dxa"/>
          </w:tcPr>
          <w:p w14:paraId="7E31CE8F"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87</w:t>
            </w:r>
          </w:p>
        </w:tc>
        <w:tc>
          <w:tcPr>
            <w:tcW w:w="1092" w:type="dxa"/>
          </w:tcPr>
          <w:p w14:paraId="57CE3145"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87</w:t>
            </w:r>
          </w:p>
        </w:tc>
        <w:tc>
          <w:tcPr>
            <w:tcW w:w="1454" w:type="dxa"/>
          </w:tcPr>
          <w:p w14:paraId="1C44FE82" w14:textId="77777777" w:rsidR="00E12EB8" w:rsidRPr="00E2117E" w:rsidRDefault="00E12EB8" w:rsidP="00FB4F51">
            <w:pPr>
              <w:spacing w:line="360" w:lineRule="auto"/>
              <w:jc w:val="center"/>
              <w:rPr>
                <w:rFonts w:ascii="Times New Roman" w:hAnsi="Times New Roman" w:cs="Times New Roman"/>
                <w:sz w:val="20"/>
                <w:szCs w:val="20"/>
                <w:lang w:val="en-US"/>
              </w:rPr>
            </w:pPr>
            <w:r w:rsidRPr="00E2117E">
              <w:rPr>
                <w:rFonts w:ascii="Times New Roman" w:hAnsi="Times New Roman" w:cs="Times New Roman"/>
                <w:sz w:val="20"/>
                <w:szCs w:val="20"/>
                <w:lang w:val="en-US"/>
              </w:rPr>
              <w:t>0.35</w:t>
            </w:r>
          </w:p>
        </w:tc>
      </w:tr>
    </w:tbl>
    <w:p w14:paraId="61BF7F27" w14:textId="3E5DCBBC" w:rsidR="00E12EB8" w:rsidRPr="002C38FC" w:rsidRDefault="00E12EB8" w:rsidP="00E12EB8">
      <w:pPr>
        <w:jc w:val="both"/>
        <w:rPr>
          <w:rFonts w:ascii="Times New Roman" w:hAnsi="Times New Roman" w:cs="Times New Roman"/>
          <w:sz w:val="18"/>
          <w:lang w:val="en-US"/>
        </w:rPr>
      </w:pPr>
      <w:r w:rsidRPr="002C38FC">
        <w:rPr>
          <w:rFonts w:ascii="Times New Roman" w:hAnsi="Times New Roman" w:cs="Times New Roman"/>
          <w:sz w:val="18"/>
          <w:u w:val="single"/>
          <w:lang w:val="en-US"/>
        </w:rPr>
        <w:t>*Risk predictors (17)</w:t>
      </w:r>
      <w:r w:rsidR="002059B8">
        <w:rPr>
          <w:rFonts w:ascii="Times New Roman" w:hAnsi="Times New Roman" w:cs="Times New Roman"/>
          <w:sz w:val="18"/>
          <w:u w:val="single"/>
          <w:lang w:val="en-US"/>
        </w:rPr>
        <w:t xml:space="preserve"> in Model I-A</w:t>
      </w:r>
      <w:r w:rsidRPr="002C38FC">
        <w:rPr>
          <w:rFonts w:ascii="Times New Roman" w:hAnsi="Times New Roman" w:cs="Times New Roman"/>
          <w:sz w:val="18"/>
          <w:u w:val="single"/>
          <w:lang w:val="en-US"/>
        </w:rPr>
        <w:t>:</w:t>
      </w:r>
      <w:r w:rsidRPr="002C38FC">
        <w:rPr>
          <w:rFonts w:ascii="Times New Roman" w:hAnsi="Times New Roman" w:cs="Times New Roman"/>
          <w:b/>
          <w:i/>
          <w:sz w:val="18"/>
          <w:lang w:val="en-US"/>
        </w:rPr>
        <w:t xml:space="preserve"> Prenatal factors-</w:t>
      </w:r>
      <w:r w:rsidRPr="002C38FC">
        <w:rPr>
          <w:rFonts w:ascii="Times New Roman" w:hAnsi="Times New Roman" w:cs="Times New Roman"/>
          <w:sz w:val="18"/>
          <w:lang w:val="en-US"/>
        </w:rPr>
        <w:t xml:space="preserve"> Ethnicity, maternal childbearing age, maternal occupation, parity status, history of chronic maternal illness, monthly household income, prenatal </w:t>
      </w:r>
      <w:r>
        <w:rPr>
          <w:rFonts w:ascii="Times New Roman" w:hAnsi="Times New Roman" w:cs="Times New Roman"/>
          <w:sz w:val="18"/>
          <w:lang w:val="en-US"/>
        </w:rPr>
        <w:t xml:space="preserve">tobacco </w:t>
      </w:r>
      <w:r w:rsidRPr="002C38FC">
        <w:rPr>
          <w:rFonts w:ascii="Times New Roman" w:hAnsi="Times New Roman" w:cs="Times New Roman"/>
          <w:sz w:val="18"/>
          <w:lang w:val="en-US"/>
        </w:rPr>
        <w:t xml:space="preserve">smoke exposure; </w:t>
      </w:r>
      <w:r w:rsidRPr="002C38FC">
        <w:rPr>
          <w:rFonts w:ascii="Times New Roman" w:hAnsi="Times New Roman" w:cs="Times New Roman"/>
          <w:b/>
          <w:i/>
          <w:sz w:val="18"/>
          <w:lang w:val="en-US"/>
        </w:rPr>
        <w:t>Peri-natal factor</w:t>
      </w:r>
      <w:r w:rsidRPr="002C38FC">
        <w:rPr>
          <w:rFonts w:ascii="Times New Roman" w:hAnsi="Times New Roman" w:cs="Times New Roman"/>
          <w:sz w:val="18"/>
          <w:lang w:val="en-US"/>
        </w:rPr>
        <w:t xml:space="preserve">: mode of delivery; </w:t>
      </w:r>
      <w:r w:rsidRPr="002C38FC">
        <w:rPr>
          <w:rFonts w:ascii="Times New Roman" w:hAnsi="Times New Roman" w:cs="Times New Roman"/>
          <w:b/>
          <w:i/>
          <w:sz w:val="18"/>
          <w:lang w:val="en-US"/>
        </w:rPr>
        <w:t xml:space="preserve">Post-natal factors: </w:t>
      </w:r>
      <w:r w:rsidRPr="002C38FC">
        <w:rPr>
          <w:rFonts w:ascii="Times New Roman" w:hAnsi="Times New Roman" w:cs="Times New Roman"/>
          <w:sz w:val="18"/>
          <w:lang w:val="en-US"/>
        </w:rPr>
        <w:t xml:space="preserve">History of allergies </w:t>
      </w:r>
      <w:r w:rsidR="0075255F">
        <w:rPr>
          <w:rFonts w:ascii="Times New Roman" w:hAnsi="Times New Roman" w:cs="Times New Roman"/>
          <w:sz w:val="18"/>
          <w:lang w:val="en-US"/>
        </w:rPr>
        <w:t>before</w:t>
      </w:r>
      <w:r w:rsidR="00E87452">
        <w:rPr>
          <w:rFonts w:ascii="Times New Roman" w:hAnsi="Times New Roman" w:cs="Times New Roman"/>
          <w:sz w:val="18"/>
          <w:lang w:val="en-US"/>
        </w:rPr>
        <w:t xml:space="preserve"> </w:t>
      </w:r>
      <w:r w:rsidRPr="006D0F1E">
        <w:rPr>
          <w:rFonts w:ascii="Times New Roman" w:hAnsi="Times New Roman" w:cs="Times New Roman"/>
          <w:sz w:val="18"/>
          <w:lang w:val="en-US"/>
        </w:rPr>
        <w:t xml:space="preserve">12 months </w:t>
      </w:r>
      <w:r w:rsidRPr="002C38FC">
        <w:rPr>
          <w:rFonts w:ascii="Times New Roman" w:hAnsi="Times New Roman" w:cs="Times New Roman"/>
          <w:sz w:val="18"/>
          <w:lang w:val="en-US"/>
        </w:rPr>
        <w:t xml:space="preserve">(runny nose: </w:t>
      </w:r>
      <w:r>
        <w:rPr>
          <w:rFonts w:ascii="Times New Roman" w:hAnsi="Times New Roman" w:cs="Times New Roman"/>
          <w:sz w:val="18"/>
          <w:lang w:val="en-US"/>
        </w:rPr>
        <w:t>9</w:t>
      </w:r>
      <w:r w:rsidRPr="002C38FC">
        <w:rPr>
          <w:rFonts w:ascii="Times New Roman" w:hAnsi="Times New Roman" w:cs="Times New Roman"/>
          <w:sz w:val="18"/>
          <w:lang w:val="en-US"/>
        </w:rPr>
        <w:t>-12 months; itchy rashes: 6-12 months), history of allergy before first tooth eruption</w:t>
      </w:r>
      <w:r>
        <w:rPr>
          <w:rFonts w:ascii="Times New Roman" w:hAnsi="Times New Roman" w:cs="Times New Roman"/>
          <w:sz w:val="18"/>
          <w:lang w:val="en-US"/>
        </w:rPr>
        <w:t xml:space="preserve"> </w:t>
      </w:r>
      <w:r w:rsidRPr="002C38FC">
        <w:rPr>
          <w:rFonts w:ascii="Times New Roman" w:hAnsi="Times New Roman" w:cs="Times New Roman"/>
          <w:sz w:val="18"/>
          <w:lang w:val="en-US"/>
        </w:rPr>
        <w:t>(runny nose, itchy rashes), intake of medications (oral medicines: 6-12 months; nebulizers: 9-12 months; antibiotics:</w:t>
      </w:r>
      <w:r w:rsidR="0059189D">
        <w:rPr>
          <w:rFonts w:ascii="Times New Roman" w:hAnsi="Times New Roman" w:cs="Times New Roman"/>
          <w:sz w:val="18"/>
          <w:lang w:val="en-US"/>
        </w:rPr>
        <w:t xml:space="preserve"> </w:t>
      </w:r>
      <w:r w:rsidRPr="002C38FC">
        <w:rPr>
          <w:rFonts w:ascii="Times New Roman" w:hAnsi="Times New Roman" w:cs="Times New Roman"/>
          <w:sz w:val="18"/>
          <w:lang w:val="en-US"/>
        </w:rPr>
        <w:t>9-12 months; medications for runny nose: 0-12 months), BMI (12 months), history of infection (ear infection/vomiting/diarrhoea) before first tooth eruption, number of teeth present (12 months), duration of breastfeeding (in months), child’s age for first tooth eruption (in months), age of introduction of solid food (in months)</w:t>
      </w:r>
    </w:p>
    <w:p w14:paraId="0A7DF2C2" w14:textId="03D054B9" w:rsidR="00E12EB8" w:rsidRPr="0080445B" w:rsidRDefault="0080445B" w:rsidP="00E12EB8">
      <w:pPr>
        <w:jc w:val="both"/>
        <w:rPr>
          <w:rFonts w:ascii="Times New Roman" w:eastAsia="Calibri" w:hAnsi="Times New Roman" w:cs="Times New Roman"/>
          <w:bCs/>
          <w:sz w:val="18"/>
          <w:szCs w:val="22"/>
          <w:lang w:val="en-US"/>
        </w:rPr>
      </w:pPr>
      <w:r>
        <w:rPr>
          <w:rFonts w:ascii="Times New Roman" w:eastAsia="Calibri" w:hAnsi="Times New Roman" w:cs="Times New Roman"/>
          <w:b/>
          <w:sz w:val="18"/>
          <w:szCs w:val="20"/>
          <w:vertAlign w:val="superscript"/>
          <w:lang w:val="en-US"/>
        </w:rPr>
        <w:t>**</w:t>
      </w:r>
      <w:r w:rsidRPr="00F837DE">
        <w:rPr>
          <w:rFonts w:ascii="Times New Roman" w:eastAsia="Calibri" w:hAnsi="Times New Roman" w:cs="Times New Roman"/>
          <w:bCs/>
          <w:sz w:val="18"/>
          <w:szCs w:val="20"/>
          <w:u w:val="single"/>
          <w:lang w:val="en-US"/>
        </w:rPr>
        <w:t>Model I-B</w:t>
      </w:r>
      <w:r w:rsidRPr="00F837DE">
        <w:rPr>
          <w:rFonts w:ascii="Times New Roman" w:eastAsia="Calibri" w:hAnsi="Times New Roman" w:cs="Times New Roman"/>
          <w:bCs/>
          <w:sz w:val="18"/>
          <w:szCs w:val="20"/>
          <w:lang w:val="en-US"/>
        </w:rPr>
        <w:t xml:space="preserve">: </w:t>
      </w:r>
      <w:r>
        <w:rPr>
          <w:rFonts w:ascii="Times New Roman" w:eastAsia="Calibri" w:hAnsi="Times New Roman" w:cs="Times New Roman"/>
          <w:bCs/>
          <w:sz w:val="18"/>
          <w:szCs w:val="20"/>
          <w:lang w:val="en-US"/>
        </w:rPr>
        <w:t>Having the same predictors as those of</w:t>
      </w:r>
      <w:r w:rsidRPr="00F837DE">
        <w:rPr>
          <w:rFonts w:ascii="Times New Roman" w:eastAsia="Calibri" w:hAnsi="Times New Roman" w:cs="Times New Roman"/>
          <w:bCs/>
          <w:sz w:val="18"/>
          <w:szCs w:val="20"/>
          <w:lang w:val="en-US"/>
        </w:rPr>
        <w:t xml:space="preserve"> Model I-A, </w:t>
      </w:r>
      <w:r>
        <w:rPr>
          <w:rFonts w:ascii="Times New Roman" w:eastAsia="Calibri" w:hAnsi="Times New Roman" w:cs="Times New Roman"/>
          <w:bCs/>
          <w:sz w:val="18"/>
          <w:szCs w:val="20"/>
          <w:lang w:val="en-US"/>
        </w:rPr>
        <w:t>but without</w:t>
      </w:r>
      <w:r w:rsidRPr="00F837DE">
        <w:rPr>
          <w:rFonts w:ascii="Times New Roman" w:eastAsia="Calibri" w:hAnsi="Times New Roman" w:cs="Times New Roman"/>
          <w:bCs/>
          <w:sz w:val="18"/>
          <w:szCs w:val="20"/>
          <w:lang w:val="en-US"/>
        </w:rPr>
        <w:t xml:space="preserve"> </w:t>
      </w:r>
      <w:r w:rsidRPr="00F837DE">
        <w:rPr>
          <w:rFonts w:ascii="Times New Roman" w:eastAsia="Calibri" w:hAnsi="Times New Roman" w:cs="Times New Roman"/>
          <w:bCs/>
          <w:sz w:val="18"/>
          <w:szCs w:val="22"/>
          <w:lang w:val="en-US"/>
        </w:rPr>
        <w:t>monthly household income and mode of delivery (owing to high standard error)</w:t>
      </w:r>
    </w:p>
    <w:p w14:paraId="1CD6AC0F" w14:textId="77777777" w:rsidR="00E12EB8" w:rsidRDefault="00E12EB8" w:rsidP="00E12EB8">
      <w:pPr>
        <w:jc w:val="both"/>
        <w:rPr>
          <w:rFonts w:ascii="Times New Roman" w:hAnsi="Times New Roman" w:cs="Times New Roman"/>
          <w:lang w:val="en-US"/>
        </w:rPr>
      </w:pPr>
      <w:r w:rsidRPr="002C38FC">
        <w:rPr>
          <w:rFonts w:ascii="Times New Roman" w:hAnsi="Times New Roman" w:cs="Times New Roman"/>
          <w:i/>
          <w:sz w:val="18"/>
          <w:szCs w:val="20"/>
          <w:vertAlign w:val="superscript"/>
          <w:lang w:val="en-US"/>
        </w:rPr>
        <w:t>§</w:t>
      </w:r>
      <w:r w:rsidRPr="002C38FC">
        <w:rPr>
          <w:rFonts w:ascii="Times New Roman" w:hAnsi="Times New Roman" w:cs="Times New Roman"/>
          <w:i/>
          <w:sz w:val="18"/>
          <w:szCs w:val="20"/>
          <w:lang w:val="en-US"/>
        </w:rPr>
        <w:t>Accuracy calculated as [(sensitivity x prevalence of outcome) + (specificity x non-prevalence of outcome)/100].</w:t>
      </w:r>
    </w:p>
    <w:p w14:paraId="13DFC83B" w14:textId="77777777" w:rsidR="00D7067B" w:rsidRDefault="00D7067B"/>
    <w:sectPr w:rsidR="00D7067B" w:rsidSect="003D4C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B8"/>
    <w:rsid w:val="00046935"/>
    <w:rsid w:val="0007178E"/>
    <w:rsid w:val="0008614D"/>
    <w:rsid w:val="00090A8D"/>
    <w:rsid w:val="0012300A"/>
    <w:rsid w:val="001A54B9"/>
    <w:rsid w:val="001C4321"/>
    <w:rsid w:val="001C7F05"/>
    <w:rsid w:val="002059B8"/>
    <w:rsid w:val="00216DA6"/>
    <w:rsid w:val="002238D7"/>
    <w:rsid w:val="002372A4"/>
    <w:rsid w:val="00260502"/>
    <w:rsid w:val="002A3657"/>
    <w:rsid w:val="002C12C9"/>
    <w:rsid w:val="002D1570"/>
    <w:rsid w:val="002D4FE5"/>
    <w:rsid w:val="00332C07"/>
    <w:rsid w:val="00343760"/>
    <w:rsid w:val="00353AC4"/>
    <w:rsid w:val="00363FFA"/>
    <w:rsid w:val="00380F24"/>
    <w:rsid w:val="003A100E"/>
    <w:rsid w:val="003C32B4"/>
    <w:rsid w:val="003D4C7E"/>
    <w:rsid w:val="00400ED1"/>
    <w:rsid w:val="00412651"/>
    <w:rsid w:val="004A17D4"/>
    <w:rsid w:val="004E59C7"/>
    <w:rsid w:val="0056566A"/>
    <w:rsid w:val="00583736"/>
    <w:rsid w:val="0059189D"/>
    <w:rsid w:val="005C72B2"/>
    <w:rsid w:val="0065356C"/>
    <w:rsid w:val="00683C74"/>
    <w:rsid w:val="0068459C"/>
    <w:rsid w:val="006C20F5"/>
    <w:rsid w:val="006C457A"/>
    <w:rsid w:val="006F5F66"/>
    <w:rsid w:val="00700C3C"/>
    <w:rsid w:val="0075255F"/>
    <w:rsid w:val="00794B2E"/>
    <w:rsid w:val="00794FE2"/>
    <w:rsid w:val="0080445B"/>
    <w:rsid w:val="008272CB"/>
    <w:rsid w:val="00894B2F"/>
    <w:rsid w:val="008B22CA"/>
    <w:rsid w:val="009159B2"/>
    <w:rsid w:val="00950200"/>
    <w:rsid w:val="00974AC9"/>
    <w:rsid w:val="00980BE3"/>
    <w:rsid w:val="00A109AB"/>
    <w:rsid w:val="00A16F0A"/>
    <w:rsid w:val="00A61241"/>
    <w:rsid w:val="00A714F9"/>
    <w:rsid w:val="00A870DE"/>
    <w:rsid w:val="00BB0F7A"/>
    <w:rsid w:val="00C601C2"/>
    <w:rsid w:val="00C77042"/>
    <w:rsid w:val="00C962A3"/>
    <w:rsid w:val="00C97FB7"/>
    <w:rsid w:val="00CB5A6E"/>
    <w:rsid w:val="00CE6FBC"/>
    <w:rsid w:val="00D04E57"/>
    <w:rsid w:val="00D7067B"/>
    <w:rsid w:val="00D73809"/>
    <w:rsid w:val="00D84C90"/>
    <w:rsid w:val="00DD6B8F"/>
    <w:rsid w:val="00E12EB8"/>
    <w:rsid w:val="00E85E35"/>
    <w:rsid w:val="00E87452"/>
    <w:rsid w:val="00EE29EE"/>
    <w:rsid w:val="00EE6F42"/>
    <w:rsid w:val="00EF1847"/>
    <w:rsid w:val="00F0595D"/>
    <w:rsid w:val="00F54C8F"/>
    <w:rsid w:val="00F71D60"/>
    <w:rsid w:val="00F946B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9FDA"/>
  <w15:chartTrackingRefBased/>
  <w15:docId w15:val="{95FA9DD7-8776-0F44-9227-2AE2F8FA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E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C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0C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Ashish Kalhan</dc:creator>
  <cp:keywords/>
  <dc:description/>
  <cp:lastModifiedBy>Karen Drake</cp:lastModifiedBy>
  <cp:revision>2</cp:revision>
  <dcterms:created xsi:type="dcterms:W3CDTF">2020-03-02T15:31:00Z</dcterms:created>
  <dcterms:modified xsi:type="dcterms:W3CDTF">2020-03-02T15:31:00Z</dcterms:modified>
</cp:coreProperties>
</file>