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EBCC7E" w14:textId="77777777" w:rsidR="00F837DE" w:rsidRDefault="00F837DE" w:rsidP="00F837DE">
      <w:pPr>
        <w:spacing w:line="360" w:lineRule="auto"/>
        <w:jc w:val="center"/>
        <w:rPr>
          <w:rFonts w:ascii="Times New Roman" w:hAnsi="Times New Roman" w:cs="Times New Roman"/>
          <w:b/>
          <w:sz w:val="28"/>
        </w:rPr>
      </w:pPr>
      <w:bookmarkStart w:id="0" w:name="_Hlk525573435"/>
      <w:bookmarkStart w:id="1" w:name="_Hlk19541882"/>
      <w:bookmarkStart w:id="2" w:name="_Hlk485305303"/>
      <w:bookmarkStart w:id="3" w:name="_GoBack"/>
      <w:bookmarkEnd w:id="3"/>
      <w:r>
        <w:rPr>
          <w:rFonts w:ascii="Times New Roman" w:hAnsi="Times New Roman" w:cs="Times New Roman"/>
          <w:b/>
          <w:sz w:val="28"/>
        </w:rPr>
        <w:t>Caries Risk Prediction models in medical healthcare setting</w:t>
      </w:r>
      <w:bookmarkEnd w:id="0"/>
      <w:bookmarkEnd w:id="1"/>
      <w:bookmarkEnd w:id="2"/>
    </w:p>
    <w:p w14:paraId="024E791C" w14:textId="77777777" w:rsidR="00F837DE" w:rsidRPr="00F837DE" w:rsidRDefault="00F837DE" w:rsidP="00F837DE">
      <w:pPr>
        <w:rPr>
          <w:rFonts w:ascii="Times New Roman" w:eastAsia="Calibri" w:hAnsi="Times New Roman" w:cs="Times New Roman"/>
          <w:szCs w:val="22"/>
          <w:lang w:val="en-US"/>
        </w:rPr>
      </w:pPr>
      <w:r w:rsidRPr="00F837DE">
        <w:rPr>
          <w:rFonts w:ascii="Times New Roman" w:eastAsia="Calibri" w:hAnsi="Times New Roman" w:cs="Times New Roman"/>
          <w:szCs w:val="22"/>
          <w:lang w:val="en-US"/>
        </w:rPr>
        <w:t xml:space="preserve">Table 4. Performance of medical-CRA models post-imputation </w:t>
      </w:r>
    </w:p>
    <w:p w14:paraId="1788DFAC" w14:textId="77777777" w:rsidR="00F837DE" w:rsidRPr="00F837DE" w:rsidRDefault="00F837DE" w:rsidP="00F837DE">
      <w:pPr>
        <w:jc w:val="both"/>
        <w:rPr>
          <w:rFonts w:ascii="Times New Roman" w:eastAsia="Calibri" w:hAnsi="Times New Roman" w:cs="Times New Roman"/>
          <w:szCs w:val="22"/>
          <w:lang w:val="en-US"/>
        </w:rPr>
      </w:pPr>
    </w:p>
    <w:tbl>
      <w:tblPr>
        <w:tblStyle w:val="TableGrid"/>
        <w:tblW w:w="9396" w:type="dxa"/>
        <w:jc w:val="center"/>
        <w:tblLook w:val="04A0" w:firstRow="1" w:lastRow="0" w:firstColumn="1" w:lastColumn="0" w:noHBand="0" w:noVBand="1"/>
      </w:tblPr>
      <w:tblGrid>
        <w:gridCol w:w="2122"/>
        <w:gridCol w:w="1422"/>
        <w:gridCol w:w="1517"/>
        <w:gridCol w:w="949"/>
        <w:gridCol w:w="1105"/>
        <w:gridCol w:w="1105"/>
        <w:gridCol w:w="1176"/>
      </w:tblGrid>
      <w:tr w:rsidR="00F837DE" w:rsidRPr="00F837DE" w14:paraId="13E72D9B" w14:textId="77777777" w:rsidTr="00FB4F51">
        <w:trPr>
          <w:jc w:val="center"/>
        </w:trPr>
        <w:tc>
          <w:tcPr>
            <w:tcW w:w="2122" w:type="dxa"/>
            <w:vAlign w:val="center"/>
          </w:tcPr>
          <w:p w14:paraId="78F97B50"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MODELS</w:t>
            </w:r>
          </w:p>
        </w:tc>
        <w:tc>
          <w:tcPr>
            <w:tcW w:w="1422" w:type="dxa"/>
            <w:vAlign w:val="center"/>
          </w:tcPr>
          <w:p w14:paraId="15FC94E4" w14:textId="6DB1C00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Adjusted N</w:t>
            </w:r>
          </w:p>
        </w:tc>
        <w:tc>
          <w:tcPr>
            <w:tcW w:w="1517" w:type="dxa"/>
            <w:vAlign w:val="center"/>
          </w:tcPr>
          <w:p w14:paraId="15E8A6CD"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AUC (95%CI)</w:t>
            </w:r>
          </w:p>
        </w:tc>
        <w:tc>
          <w:tcPr>
            <w:tcW w:w="949" w:type="dxa"/>
            <w:vAlign w:val="center"/>
          </w:tcPr>
          <w:p w14:paraId="1953D440"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Cut-off</w:t>
            </w:r>
          </w:p>
        </w:tc>
        <w:tc>
          <w:tcPr>
            <w:tcW w:w="1105" w:type="dxa"/>
            <w:vAlign w:val="center"/>
          </w:tcPr>
          <w:p w14:paraId="4002638E"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Sensitivity</w:t>
            </w:r>
          </w:p>
        </w:tc>
        <w:tc>
          <w:tcPr>
            <w:tcW w:w="1105" w:type="dxa"/>
            <w:vAlign w:val="center"/>
          </w:tcPr>
          <w:p w14:paraId="36B2234A"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Specificity</w:t>
            </w:r>
          </w:p>
        </w:tc>
        <w:tc>
          <w:tcPr>
            <w:tcW w:w="1176" w:type="dxa"/>
            <w:vAlign w:val="center"/>
          </w:tcPr>
          <w:p w14:paraId="6B00AC84" w14:textId="77777777" w:rsidR="00F837DE" w:rsidRPr="00F837DE" w:rsidRDefault="00F837DE" w:rsidP="00F837DE">
            <w:pPr>
              <w:spacing w:line="360" w:lineRule="auto"/>
              <w:jc w:val="center"/>
              <w:rPr>
                <w:rFonts w:ascii="Times New Roman" w:eastAsia="Calibri" w:hAnsi="Times New Roman" w:cs="Times New Roman"/>
                <w:b/>
                <w:sz w:val="20"/>
                <w:szCs w:val="20"/>
                <w:lang w:val="en-US"/>
              </w:rPr>
            </w:pPr>
            <w:r w:rsidRPr="00F837DE">
              <w:rPr>
                <w:rFonts w:ascii="Times New Roman" w:eastAsia="Calibri" w:hAnsi="Times New Roman" w:cs="Times New Roman"/>
                <w:b/>
                <w:sz w:val="20"/>
                <w:szCs w:val="20"/>
                <w:lang w:val="en-US"/>
              </w:rPr>
              <w:t>Pseudo R</w:t>
            </w:r>
            <w:r w:rsidRPr="00F837DE">
              <w:rPr>
                <w:rFonts w:ascii="Times New Roman" w:eastAsia="Calibri" w:hAnsi="Times New Roman" w:cs="Times New Roman"/>
                <w:b/>
                <w:sz w:val="20"/>
                <w:szCs w:val="20"/>
                <w:vertAlign w:val="superscript"/>
                <w:lang w:val="en-US"/>
              </w:rPr>
              <w:t>2</w:t>
            </w:r>
          </w:p>
        </w:tc>
      </w:tr>
      <w:tr w:rsidR="00F837DE" w:rsidRPr="00F837DE" w14:paraId="2CCDD6EF" w14:textId="77777777" w:rsidTr="00FB4F51">
        <w:trPr>
          <w:jc w:val="center"/>
        </w:trPr>
        <w:tc>
          <w:tcPr>
            <w:tcW w:w="9396" w:type="dxa"/>
            <w:gridSpan w:val="7"/>
            <w:vAlign w:val="center"/>
          </w:tcPr>
          <w:p w14:paraId="26CD4B48" w14:textId="77777777" w:rsidR="00F837DE" w:rsidRPr="00F837DE" w:rsidRDefault="00F837DE" w:rsidP="00F837DE">
            <w:pPr>
              <w:spacing w:line="360" w:lineRule="auto"/>
              <w:rPr>
                <w:rFonts w:ascii="Times New Roman" w:eastAsia="Calibri" w:hAnsi="Times New Roman" w:cs="Times New Roman"/>
                <w:i/>
                <w:iCs/>
                <w:sz w:val="20"/>
                <w:szCs w:val="20"/>
                <w:lang w:val="en-US"/>
              </w:rPr>
            </w:pPr>
            <w:r w:rsidRPr="00F837DE">
              <w:rPr>
                <w:rFonts w:ascii="Times New Roman" w:eastAsia="Calibri" w:hAnsi="Times New Roman" w:cs="Times New Roman"/>
                <w:i/>
                <w:iCs/>
                <w:sz w:val="21"/>
                <w:szCs w:val="21"/>
                <w:lang w:val="en-US"/>
              </w:rPr>
              <w:t>Medical CRA models predicting caries risk at 2 years</w:t>
            </w:r>
          </w:p>
        </w:tc>
      </w:tr>
      <w:tr w:rsidR="00F837DE" w:rsidRPr="00F837DE" w14:paraId="068A4079" w14:textId="77777777" w:rsidTr="00FB4F51">
        <w:trPr>
          <w:jc w:val="center"/>
        </w:trPr>
        <w:tc>
          <w:tcPr>
            <w:tcW w:w="2122" w:type="dxa"/>
            <w:vAlign w:val="center"/>
          </w:tcPr>
          <w:p w14:paraId="6FBB5721" w14:textId="15E0D756" w:rsidR="00F837DE" w:rsidRPr="00F837DE" w:rsidRDefault="00F837DE" w:rsidP="00F837DE">
            <w:pPr>
              <w:spacing w:line="360" w:lineRule="auto"/>
              <w:rPr>
                <w:rFonts w:ascii="Times New Roman" w:eastAsia="Calibri" w:hAnsi="Times New Roman" w:cs="Times New Roman"/>
                <w:bCs/>
                <w:sz w:val="20"/>
                <w:szCs w:val="20"/>
                <w:lang w:val="en-US"/>
              </w:rPr>
            </w:pPr>
            <w:r w:rsidRPr="00F837DE">
              <w:rPr>
                <w:rFonts w:ascii="Times New Roman" w:eastAsia="Calibri" w:hAnsi="Times New Roman" w:cs="Times New Roman"/>
                <w:bCs/>
                <w:sz w:val="20"/>
                <w:szCs w:val="20"/>
                <w:lang w:val="en-US"/>
              </w:rPr>
              <w:t>Model I-A</w:t>
            </w:r>
            <w:r w:rsidR="00455F77">
              <w:rPr>
                <w:rFonts w:ascii="Times New Roman" w:eastAsia="Calibri" w:hAnsi="Times New Roman" w:cs="Times New Roman"/>
                <w:bCs/>
                <w:sz w:val="20"/>
                <w:szCs w:val="20"/>
                <w:lang w:val="en-US"/>
              </w:rPr>
              <w:t>i</w:t>
            </w:r>
            <w:r w:rsidR="00501E42">
              <w:rPr>
                <w:rFonts w:ascii="Times New Roman" w:eastAsia="Calibri" w:hAnsi="Times New Roman" w:cs="Times New Roman"/>
                <w:bCs/>
                <w:sz w:val="20"/>
                <w:szCs w:val="20"/>
                <w:lang w:val="en-US"/>
              </w:rPr>
              <w:t>*</w:t>
            </w:r>
          </w:p>
        </w:tc>
        <w:tc>
          <w:tcPr>
            <w:tcW w:w="1422" w:type="dxa"/>
            <w:vAlign w:val="bottom"/>
          </w:tcPr>
          <w:p w14:paraId="010A71B2"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535</w:t>
            </w:r>
          </w:p>
        </w:tc>
        <w:tc>
          <w:tcPr>
            <w:tcW w:w="1517" w:type="dxa"/>
            <w:vAlign w:val="bottom"/>
          </w:tcPr>
          <w:p w14:paraId="08B871F0"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0.75 (0.70-0.81)</w:t>
            </w:r>
          </w:p>
        </w:tc>
        <w:tc>
          <w:tcPr>
            <w:tcW w:w="949" w:type="dxa"/>
            <w:vAlign w:val="bottom"/>
          </w:tcPr>
          <w:p w14:paraId="26F7C77A"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0.17</w:t>
            </w:r>
          </w:p>
        </w:tc>
        <w:tc>
          <w:tcPr>
            <w:tcW w:w="1105" w:type="dxa"/>
            <w:vAlign w:val="bottom"/>
          </w:tcPr>
          <w:p w14:paraId="0AAC56A6"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69</w:t>
            </w:r>
          </w:p>
        </w:tc>
        <w:tc>
          <w:tcPr>
            <w:tcW w:w="1105" w:type="dxa"/>
            <w:vAlign w:val="bottom"/>
          </w:tcPr>
          <w:p w14:paraId="1084C66F"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67</w:t>
            </w:r>
          </w:p>
        </w:tc>
        <w:tc>
          <w:tcPr>
            <w:tcW w:w="1176" w:type="dxa"/>
            <w:vAlign w:val="bottom"/>
          </w:tcPr>
          <w:p w14:paraId="50BD3AEC"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0.12</w:t>
            </w:r>
          </w:p>
        </w:tc>
      </w:tr>
      <w:tr w:rsidR="00F837DE" w:rsidRPr="00F837DE" w14:paraId="77B34CD5" w14:textId="77777777" w:rsidTr="00FB4F51">
        <w:trPr>
          <w:jc w:val="center"/>
        </w:trPr>
        <w:tc>
          <w:tcPr>
            <w:tcW w:w="2122" w:type="dxa"/>
            <w:vAlign w:val="center"/>
          </w:tcPr>
          <w:p w14:paraId="00D81DC1" w14:textId="5E182ACB" w:rsidR="00F837DE" w:rsidRPr="00F837DE" w:rsidRDefault="00F837DE" w:rsidP="00F837DE">
            <w:pPr>
              <w:spacing w:line="360" w:lineRule="auto"/>
              <w:rPr>
                <w:rFonts w:ascii="Times New Roman" w:eastAsia="Calibri" w:hAnsi="Times New Roman" w:cs="Times New Roman"/>
                <w:bCs/>
                <w:sz w:val="20"/>
                <w:szCs w:val="20"/>
                <w:lang w:val="en-US"/>
              </w:rPr>
            </w:pPr>
            <w:r w:rsidRPr="00F837DE">
              <w:rPr>
                <w:rFonts w:ascii="Times New Roman" w:eastAsia="Calibri" w:hAnsi="Times New Roman" w:cs="Times New Roman"/>
                <w:bCs/>
                <w:sz w:val="20"/>
                <w:szCs w:val="20"/>
                <w:lang w:val="en-US"/>
              </w:rPr>
              <w:t>Model I-B</w:t>
            </w:r>
            <w:r w:rsidR="00455F77">
              <w:rPr>
                <w:rFonts w:ascii="Times New Roman" w:eastAsia="Calibri" w:hAnsi="Times New Roman" w:cs="Times New Roman"/>
                <w:bCs/>
                <w:sz w:val="20"/>
                <w:szCs w:val="20"/>
                <w:lang w:val="en-US"/>
              </w:rPr>
              <w:t>i</w:t>
            </w:r>
            <w:r w:rsidR="00501E42" w:rsidRPr="00F837DE">
              <w:rPr>
                <w:rFonts w:ascii="Times New Roman" w:eastAsia="Calibri" w:hAnsi="Times New Roman" w:cs="Times New Roman"/>
                <w:b/>
                <w:sz w:val="18"/>
                <w:szCs w:val="20"/>
                <w:vertAlign w:val="superscript"/>
                <w:lang w:val="en-US"/>
              </w:rPr>
              <w:t>#</w:t>
            </w:r>
          </w:p>
        </w:tc>
        <w:tc>
          <w:tcPr>
            <w:tcW w:w="1422" w:type="dxa"/>
          </w:tcPr>
          <w:p w14:paraId="7DFA26A3"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535</w:t>
            </w:r>
          </w:p>
        </w:tc>
        <w:tc>
          <w:tcPr>
            <w:tcW w:w="1517" w:type="dxa"/>
          </w:tcPr>
          <w:p w14:paraId="00A93DE5"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0.84 (0.76-0.92)</w:t>
            </w:r>
          </w:p>
        </w:tc>
        <w:tc>
          <w:tcPr>
            <w:tcW w:w="949" w:type="dxa"/>
          </w:tcPr>
          <w:p w14:paraId="77B830D0"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0.03</w:t>
            </w:r>
          </w:p>
        </w:tc>
        <w:tc>
          <w:tcPr>
            <w:tcW w:w="1105" w:type="dxa"/>
          </w:tcPr>
          <w:p w14:paraId="7035855C"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80</w:t>
            </w:r>
          </w:p>
        </w:tc>
        <w:tc>
          <w:tcPr>
            <w:tcW w:w="1105" w:type="dxa"/>
          </w:tcPr>
          <w:p w14:paraId="504A1215"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72</w:t>
            </w:r>
          </w:p>
        </w:tc>
        <w:tc>
          <w:tcPr>
            <w:tcW w:w="1176" w:type="dxa"/>
          </w:tcPr>
          <w:p w14:paraId="44A48C9D" w14:textId="77777777" w:rsidR="00F837DE" w:rsidRPr="00F837DE" w:rsidRDefault="00F837DE" w:rsidP="00F837DE">
            <w:pPr>
              <w:spacing w:line="360" w:lineRule="auto"/>
              <w:jc w:val="center"/>
              <w:rPr>
                <w:rFonts w:ascii="Times New Roman" w:eastAsia="Calibri" w:hAnsi="Times New Roman" w:cs="Times New Roman"/>
                <w:bCs/>
                <w:sz w:val="20"/>
                <w:szCs w:val="20"/>
                <w:lang w:val="en-US"/>
              </w:rPr>
            </w:pPr>
            <w:r w:rsidRPr="00F837DE">
              <w:rPr>
                <w:rFonts w:ascii="Times New Roman" w:eastAsia="Calibri" w:hAnsi="Times New Roman" w:cs="Times New Roman"/>
                <w:sz w:val="20"/>
                <w:szCs w:val="20"/>
                <w:lang w:val="en-US"/>
              </w:rPr>
              <w:t>0.17</w:t>
            </w:r>
          </w:p>
        </w:tc>
      </w:tr>
      <w:tr w:rsidR="00F837DE" w:rsidRPr="00F837DE" w14:paraId="3136D389" w14:textId="77777777" w:rsidTr="00FB4F51">
        <w:trPr>
          <w:jc w:val="center"/>
        </w:trPr>
        <w:tc>
          <w:tcPr>
            <w:tcW w:w="9396" w:type="dxa"/>
            <w:gridSpan w:val="7"/>
            <w:vAlign w:val="center"/>
          </w:tcPr>
          <w:p w14:paraId="34977380" w14:textId="77777777" w:rsidR="00F837DE" w:rsidRPr="00F837DE" w:rsidRDefault="00F837DE" w:rsidP="00F837DE">
            <w:pPr>
              <w:spacing w:line="360" w:lineRule="auto"/>
              <w:rPr>
                <w:rFonts w:ascii="Times New Roman" w:eastAsia="Calibri" w:hAnsi="Times New Roman" w:cs="Times New Roman"/>
                <w:i/>
                <w:iCs/>
                <w:sz w:val="20"/>
                <w:szCs w:val="20"/>
                <w:lang w:val="en-US"/>
              </w:rPr>
            </w:pPr>
            <w:r w:rsidRPr="00F837DE">
              <w:rPr>
                <w:rFonts w:ascii="Times New Roman" w:eastAsia="Calibri" w:hAnsi="Times New Roman" w:cs="Times New Roman"/>
                <w:i/>
                <w:iCs/>
                <w:sz w:val="21"/>
                <w:szCs w:val="21"/>
                <w:lang w:val="en-US"/>
              </w:rPr>
              <w:t>Medical CRA models predicting caries risk at 3 years</w:t>
            </w:r>
          </w:p>
        </w:tc>
      </w:tr>
      <w:tr w:rsidR="00F837DE" w:rsidRPr="00F837DE" w14:paraId="1305D6D2" w14:textId="77777777" w:rsidTr="00FB4F51">
        <w:trPr>
          <w:jc w:val="center"/>
        </w:trPr>
        <w:tc>
          <w:tcPr>
            <w:tcW w:w="2122" w:type="dxa"/>
            <w:vAlign w:val="center"/>
          </w:tcPr>
          <w:p w14:paraId="1F5E070A" w14:textId="12471816" w:rsidR="00F837DE" w:rsidRPr="00F837DE" w:rsidRDefault="00F837DE" w:rsidP="00F837DE">
            <w:pP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Model II-A</w:t>
            </w:r>
            <w:r w:rsidR="00455F77">
              <w:rPr>
                <w:rFonts w:ascii="Times New Roman" w:eastAsia="Calibri" w:hAnsi="Times New Roman" w:cs="Times New Roman"/>
                <w:sz w:val="20"/>
                <w:szCs w:val="20"/>
                <w:lang w:val="en-US"/>
              </w:rPr>
              <w:t>i</w:t>
            </w:r>
            <w:r w:rsidR="00501E42" w:rsidRPr="00501E42">
              <w:rPr>
                <w:rFonts w:ascii="Times New Roman" w:eastAsia="Calibri" w:hAnsi="Times New Roman" w:cs="Times New Roman"/>
                <w:bCs/>
                <w:sz w:val="18"/>
                <w:lang w:val="en-US"/>
              </w:rPr>
              <w:t>**</w:t>
            </w:r>
          </w:p>
        </w:tc>
        <w:tc>
          <w:tcPr>
            <w:tcW w:w="1422" w:type="dxa"/>
            <w:vAlign w:val="bottom"/>
          </w:tcPr>
          <w:p w14:paraId="7540BD0E"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721</w:t>
            </w:r>
          </w:p>
        </w:tc>
        <w:tc>
          <w:tcPr>
            <w:tcW w:w="1517" w:type="dxa"/>
            <w:vAlign w:val="bottom"/>
          </w:tcPr>
          <w:p w14:paraId="4FA1CBA7"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0.71 (0.67-0.75)</w:t>
            </w:r>
          </w:p>
        </w:tc>
        <w:tc>
          <w:tcPr>
            <w:tcW w:w="949" w:type="dxa"/>
            <w:vAlign w:val="bottom"/>
          </w:tcPr>
          <w:p w14:paraId="0D0EB264"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0.41</w:t>
            </w:r>
          </w:p>
        </w:tc>
        <w:tc>
          <w:tcPr>
            <w:tcW w:w="1105" w:type="dxa"/>
            <w:vAlign w:val="bottom"/>
          </w:tcPr>
          <w:p w14:paraId="07DE6F50"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69</w:t>
            </w:r>
          </w:p>
        </w:tc>
        <w:tc>
          <w:tcPr>
            <w:tcW w:w="1105" w:type="dxa"/>
            <w:vAlign w:val="bottom"/>
          </w:tcPr>
          <w:p w14:paraId="7B610063"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63</w:t>
            </w:r>
          </w:p>
        </w:tc>
        <w:tc>
          <w:tcPr>
            <w:tcW w:w="1176" w:type="dxa"/>
            <w:vAlign w:val="bottom"/>
          </w:tcPr>
          <w:p w14:paraId="5358DC3C"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0.10</w:t>
            </w:r>
          </w:p>
        </w:tc>
      </w:tr>
      <w:tr w:rsidR="00F837DE" w:rsidRPr="00F837DE" w14:paraId="5F50020D" w14:textId="77777777" w:rsidTr="00FB4F51">
        <w:trPr>
          <w:jc w:val="center"/>
        </w:trPr>
        <w:tc>
          <w:tcPr>
            <w:tcW w:w="2122" w:type="dxa"/>
            <w:vAlign w:val="center"/>
          </w:tcPr>
          <w:p w14:paraId="620EF4C7" w14:textId="07F7F679" w:rsidR="00F837DE" w:rsidRPr="00F837DE" w:rsidRDefault="00F837DE" w:rsidP="00F837DE">
            <w:pP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Model II-A</w:t>
            </w:r>
            <w:r w:rsidR="00455F77">
              <w:rPr>
                <w:rFonts w:ascii="Times New Roman" w:eastAsia="Calibri" w:hAnsi="Times New Roman" w:cs="Times New Roman"/>
                <w:sz w:val="20"/>
                <w:szCs w:val="20"/>
                <w:lang w:val="en-US"/>
              </w:rPr>
              <w:t>i</w:t>
            </w:r>
            <w:r w:rsidR="00C83B7C">
              <w:rPr>
                <w:rFonts w:ascii="Times New Roman" w:eastAsia="Calibri" w:hAnsi="Times New Roman" w:cs="Times New Roman"/>
                <w:sz w:val="20"/>
                <w:szCs w:val="20"/>
                <w:lang w:val="en-US"/>
              </w:rPr>
              <w:t>-</w:t>
            </w:r>
            <w:r w:rsidRPr="00F837DE">
              <w:rPr>
                <w:rFonts w:ascii="Times New Roman" w:eastAsia="Calibri" w:hAnsi="Times New Roman" w:cs="Times New Roman"/>
                <w:sz w:val="20"/>
                <w:szCs w:val="20"/>
                <w:lang w:val="en-US"/>
              </w:rPr>
              <w:t>a***</w:t>
            </w:r>
          </w:p>
        </w:tc>
        <w:tc>
          <w:tcPr>
            <w:tcW w:w="1422" w:type="dxa"/>
            <w:vAlign w:val="center"/>
          </w:tcPr>
          <w:p w14:paraId="72D162DC"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480</w:t>
            </w:r>
          </w:p>
        </w:tc>
        <w:tc>
          <w:tcPr>
            <w:tcW w:w="1517" w:type="dxa"/>
            <w:vAlign w:val="center"/>
          </w:tcPr>
          <w:p w14:paraId="65CA99B1"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0.80 (0.76-0.84)</w:t>
            </w:r>
          </w:p>
        </w:tc>
        <w:tc>
          <w:tcPr>
            <w:tcW w:w="949" w:type="dxa"/>
            <w:vAlign w:val="center"/>
          </w:tcPr>
          <w:p w14:paraId="2876FA3D"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0.14</w:t>
            </w:r>
          </w:p>
        </w:tc>
        <w:tc>
          <w:tcPr>
            <w:tcW w:w="1105" w:type="dxa"/>
            <w:vAlign w:val="center"/>
          </w:tcPr>
          <w:p w14:paraId="776AAEF4"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69</w:t>
            </w:r>
          </w:p>
        </w:tc>
        <w:tc>
          <w:tcPr>
            <w:tcW w:w="1105" w:type="dxa"/>
            <w:vAlign w:val="center"/>
          </w:tcPr>
          <w:p w14:paraId="52C6BAB4"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69</w:t>
            </w:r>
          </w:p>
        </w:tc>
        <w:tc>
          <w:tcPr>
            <w:tcW w:w="1176" w:type="dxa"/>
            <w:vAlign w:val="center"/>
          </w:tcPr>
          <w:p w14:paraId="2CF5732B"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0.22</w:t>
            </w:r>
          </w:p>
        </w:tc>
      </w:tr>
      <w:tr w:rsidR="00F837DE" w:rsidRPr="00F837DE" w14:paraId="4C8D1AA7" w14:textId="77777777" w:rsidTr="00FB4F51">
        <w:trPr>
          <w:jc w:val="center"/>
        </w:trPr>
        <w:tc>
          <w:tcPr>
            <w:tcW w:w="2122" w:type="dxa"/>
            <w:vAlign w:val="center"/>
          </w:tcPr>
          <w:p w14:paraId="1B6B86DD" w14:textId="4C73D0CB" w:rsidR="00F837DE" w:rsidRPr="00F837DE" w:rsidRDefault="00F837DE" w:rsidP="00F837DE">
            <w:pP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Model II-B</w:t>
            </w:r>
            <w:r w:rsidR="00455F77">
              <w:rPr>
                <w:rFonts w:ascii="Times New Roman" w:eastAsia="Calibri" w:hAnsi="Times New Roman" w:cs="Times New Roman"/>
                <w:sz w:val="20"/>
                <w:szCs w:val="20"/>
                <w:lang w:val="en-US"/>
              </w:rPr>
              <w:t>i</w:t>
            </w:r>
            <w:r w:rsidR="00501E42" w:rsidRPr="00501E42">
              <w:rPr>
                <w:rFonts w:ascii="Times New Roman" w:eastAsia="Calibri" w:hAnsi="Times New Roman" w:cs="Times New Roman"/>
                <w:bCs/>
                <w:sz w:val="18"/>
                <w:lang w:val="en-US"/>
              </w:rPr>
              <w:t>**</w:t>
            </w:r>
          </w:p>
        </w:tc>
        <w:tc>
          <w:tcPr>
            <w:tcW w:w="1422" w:type="dxa"/>
          </w:tcPr>
          <w:p w14:paraId="07219379"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721</w:t>
            </w:r>
          </w:p>
        </w:tc>
        <w:tc>
          <w:tcPr>
            <w:tcW w:w="1517" w:type="dxa"/>
          </w:tcPr>
          <w:p w14:paraId="2E232B80"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0.75 (0.70-0.80)</w:t>
            </w:r>
          </w:p>
        </w:tc>
        <w:tc>
          <w:tcPr>
            <w:tcW w:w="949" w:type="dxa"/>
          </w:tcPr>
          <w:p w14:paraId="16489D3A"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0.40</w:t>
            </w:r>
          </w:p>
        </w:tc>
        <w:tc>
          <w:tcPr>
            <w:tcW w:w="1105" w:type="dxa"/>
          </w:tcPr>
          <w:p w14:paraId="7AC477BC"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70</w:t>
            </w:r>
          </w:p>
        </w:tc>
        <w:tc>
          <w:tcPr>
            <w:tcW w:w="1105" w:type="dxa"/>
          </w:tcPr>
          <w:p w14:paraId="5E3253F1"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62</w:t>
            </w:r>
          </w:p>
        </w:tc>
        <w:tc>
          <w:tcPr>
            <w:tcW w:w="1176" w:type="dxa"/>
          </w:tcPr>
          <w:p w14:paraId="4BCB2D13"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0.13</w:t>
            </w:r>
          </w:p>
        </w:tc>
      </w:tr>
      <w:tr w:rsidR="00F837DE" w:rsidRPr="00F837DE" w14:paraId="1BEC18C3" w14:textId="77777777" w:rsidTr="00FB4F51">
        <w:trPr>
          <w:jc w:val="center"/>
        </w:trPr>
        <w:tc>
          <w:tcPr>
            <w:tcW w:w="2122" w:type="dxa"/>
            <w:vAlign w:val="center"/>
          </w:tcPr>
          <w:p w14:paraId="5C444FF5" w14:textId="4EB737DA" w:rsidR="00F837DE" w:rsidRPr="00F837DE" w:rsidRDefault="00F837DE" w:rsidP="00F837DE">
            <w:pP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Model II-B</w:t>
            </w:r>
            <w:r w:rsidR="00455F77">
              <w:rPr>
                <w:rFonts w:ascii="Times New Roman" w:eastAsia="Calibri" w:hAnsi="Times New Roman" w:cs="Times New Roman"/>
                <w:sz w:val="20"/>
                <w:szCs w:val="20"/>
                <w:lang w:val="en-US"/>
              </w:rPr>
              <w:t>i</w:t>
            </w:r>
            <w:r w:rsidR="00C83B7C">
              <w:rPr>
                <w:rFonts w:ascii="Times New Roman" w:eastAsia="Calibri" w:hAnsi="Times New Roman" w:cs="Times New Roman"/>
                <w:sz w:val="20"/>
                <w:szCs w:val="20"/>
                <w:lang w:val="en-US"/>
              </w:rPr>
              <w:t>-</w:t>
            </w:r>
            <w:r w:rsidRPr="00F837DE">
              <w:rPr>
                <w:rFonts w:ascii="Times New Roman" w:eastAsia="Calibri" w:hAnsi="Times New Roman" w:cs="Times New Roman"/>
                <w:sz w:val="20"/>
                <w:szCs w:val="20"/>
                <w:lang w:val="en-US"/>
              </w:rPr>
              <w:t>a***</w:t>
            </w:r>
          </w:p>
        </w:tc>
        <w:tc>
          <w:tcPr>
            <w:tcW w:w="1422" w:type="dxa"/>
            <w:vAlign w:val="center"/>
          </w:tcPr>
          <w:p w14:paraId="43BC5B4C"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480</w:t>
            </w:r>
          </w:p>
        </w:tc>
        <w:tc>
          <w:tcPr>
            <w:tcW w:w="1517" w:type="dxa"/>
            <w:vAlign w:val="center"/>
          </w:tcPr>
          <w:p w14:paraId="2C073EAA"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0.83 (0.78-0.88)</w:t>
            </w:r>
          </w:p>
        </w:tc>
        <w:tc>
          <w:tcPr>
            <w:tcW w:w="949" w:type="dxa"/>
            <w:vAlign w:val="center"/>
          </w:tcPr>
          <w:p w14:paraId="2CFBC13F"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0.20</w:t>
            </w:r>
          </w:p>
        </w:tc>
        <w:tc>
          <w:tcPr>
            <w:tcW w:w="1105" w:type="dxa"/>
            <w:vAlign w:val="center"/>
          </w:tcPr>
          <w:p w14:paraId="51315E49"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75</w:t>
            </w:r>
          </w:p>
        </w:tc>
        <w:tc>
          <w:tcPr>
            <w:tcW w:w="1105" w:type="dxa"/>
            <w:vAlign w:val="center"/>
          </w:tcPr>
          <w:p w14:paraId="6DFAEC89"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75</w:t>
            </w:r>
          </w:p>
        </w:tc>
        <w:tc>
          <w:tcPr>
            <w:tcW w:w="1176" w:type="dxa"/>
            <w:vAlign w:val="center"/>
          </w:tcPr>
          <w:p w14:paraId="4E5131B0" w14:textId="77777777" w:rsidR="00F837DE" w:rsidRPr="00F837DE" w:rsidRDefault="00F837DE" w:rsidP="00F837DE">
            <w:pPr>
              <w:spacing w:line="360" w:lineRule="auto"/>
              <w:jc w:val="center"/>
              <w:rPr>
                <w:rFonts w:ascii="Times New Roman" w:eastAsia="Calibri" w:hAnsi="Times New Roman" w:cs="Times New Roman"/>
                <w:sz w:val="20"/>
                <w:szCs w:val="20"/>
                <w:lang w:val="en-US"/>
              </w:rPr>
            </w:pPr>
            <w:r w:rsidRPr="00F837DE">
              <w:rPr>
                <w:rFonts w:ascii="Times New Roman" w:eastAsia="Calibri" w:hAnsi="Times New Roman" w:cs="Times New Roman"/>
                <w:sz w:val="20"/>
                <w:szCs w:val="20"/>
                <w:lang w:val="en-US"/>
              </w:rPr>
              <w:t>0.27</w:t>
            </w:r>
          </w:p>
        </w:tc>
      </w:tr>
    </w:tbl>
    <w:p w14:paraId="56A30FE1" w14:textId="699BB7A3" w:rsidR="00F837DE" w:rsidRPr="00F837DE" w:rsidRDefault="00F837DE" w:rsidP="00F837DE">
      <w:pPr>
        <w:jc w:val="both"/>
        <w:rPr>
          <w:rFonts w:ascii="Times New Roman" w:eastAsia="Calibri" w:hAnsi="Times New Roman" w:cs="Times New Roman"/>
          <w:sz w:val="18"/>
          <w:szCs w:val="22"/>
          <w:u w:val="single"/>
          <w:lang w:val="en-US"/>
        </w:rPr>
      </w:pPr>
      <w:r w:rsidRPr="00F837DE">
        <w:rPr>
          <w:rFonts w:ascii="Times New Roman" w:eastAsia="Calibri" w:hAnsi="Times New Roman" w:cs="Times New Roman"/>
          <w:sz w:val="18"/>
          <w:szCs w:val="22"/>
          <w:u w:val="single"/>
          <w:lang w:val="en-US"/>
        </w:rPr>
        <w:t>*Model I-A</w:t>
      </w:r>
      <w:r w:rsidR="00455F77">
        <w:rPr>
          <w:rFonts w:ascii="Times New Roman" w:eastAsia="Calibri" w:hAnsi="Times New Roman" w:cs="Times New Roman"/>
          <w:sz w:val="18"/>
          <w:szCs w:val="22"/>
          <w:u w:val="single"/>
          <w:lang w:val="en-US"/>
        </w:rPr>
        <w:t>i</w:t>
      </w:r>
      <w:r w:rsidRPr="00F837DE">
        <w:rPr>
          <w:rFonts w:ascii="Times New Roman" w:eastAsia="Calibri" w:hAnsi="Times New Roman" w:cs="Times New Roman"/>
          <w:sz w:val="18"/>
          <w:szCs w:val="22"/>
          <w:u w:val="single"/>
          <w:lang w:val="en-US"/>
        </w:rPr>
        <w:t xml:space="preserve">: </w:t>
      </w:r>
      <w:r w:rsidRPr="00F837DE">
        <w:rPr>
          <w:rFonts w:ascii="Times New Roman" w:eastAsia="Calibri" w:hAnsi="Times New Roman" w:cs="Times New Roman"/>
          <w:b/>
          <w:i/>
          <w:sz w:val="18"/>
          <w:szCs w:val="22"/>
          <w:lang w:val="en-US"/>
        </w:rPr>
        <w:t>Prenatal factors-</w:t>
      </w:r>
      <w:r w:rsidRPr="00F837DE">
        <w:rPr>
          <w:rFonts w:ascii="Times New Roman" w:eastAsia="Calibri" w:hAnsi="Times New Roman" w:cs="Times New Roman"/>
          <w:sz w:val="18"/>
          <w:szCs w:val="22"/>
          <w:lang w:val="en-US"/>
        </w:rPr>
        <w:t xml:space="preserve"> Ethnicity, maternal childbearing age, maternal occupation, parity status, history of chronic maternal illness, monthly household income, prenatal tobacco smoke exposure; </w:t>
      </w:r>
      <w:r w:rsidRPr="00F837DE">
        <w:rPr>
          <w:rFonts w:ascii="Times New Roman" w:eastAsia="Calibri" w:hAnsi="Times New Roman" w:cs="Times New Roman"/>
          <w:b/>
          <w:i/>
          <w:sz w:val="18"/>
          <w:szCs w:val="22"/>
          <w:lang w:val="en-US"/>
        </w:rPr>
        <w:t>Peri-natal factor</w:t>
      </w:r>
      <w:r w:rsidRPr="00F837DE">
        <w:rPr>
          <w:rFonts w:ascii="Times New Roman" w:eastAsia="Calibri" w:hAnsi="Times New Roman" w:cs="Times New Roman"/>
          <w:sz w:val="18"/>
          <w:szCs w:val="22"/>
          <w:lang w:val="en-US"/>
        </w:rPr>
        <w:t xml:space="preserve">: mode of delivery; </w:t>
      </w:r>
      <w:r w:rsidRPr="00F837DE">
        <w:rPr>
          <w:rFonts w:ascii="Times New Roman" w:eastAsia="Calibri" w:hAnsi="Times New Roman" w:cs="Times New Roman"/>
          <w:b/>
          <w:i/>
          <w:sz w:val="18"/>
          <w:szCs w:val="22"/>
          <w:lang w:val="en-US"/>
        </w:rPr>
        <w:t xml:space="preserve">Post-natal factors: </w:t>
      </w:r>
      <w:r w:rsidRPr="00F837DE">
        <w:rPr>
          <w:rFonts w:ascii="Times New Roman" w:eastAsia="Calibri" w:hAnsi="Times New Roman" w:cs="Times New Roman"/>
          <w:sz w:val="18"/>
          <w:szCs w:val="22"/>
          <w:lang w:val="en-US"/>
        </w:rPr>
        <w:t>History of allergies between 6-12 months (runny nose: 9-12 months; itchy rashes: 6-12 months), history of allergy before first tooth eruption (runny nose, itchy rashes), intake of medications (oral medicines: 6-12 months; nebulizers: 9-12 months; antibiotics: 9-12 months; medications for runny nose: 0-12 months), BMI (12 months), history of infection (ear infection/vomiting/diarrhoea) before first tooth eruption, number of teeth present (12 months), duration of breastfeeding (in months), child’s age for first tooth eruption (in months), age of introduction of solid food (in months)</w:t>
      </w:r>
    </w:p>
    <w:p w14:paraId="48A50627" w14:textId="040CD1EA" w:rsidR="00F837DE" w:rsidRPr="00F837DE" w:rsidRDefault="00F837DE" w:rsidP="00F837DE">
      <w:pPr>
        <w:jc w:val="both"/>
        <w:rPr>
          <w:rFonts w:ascii="Times New Roman" w:eastAsia="Calibri" w:hAnsi="Times New Roman" w:cs="Times New Roman"/>
          <w:bCs/>
          <w:sz w:val="18"/>
          <w:szCs w:val="22"/>
          <w:lang w:val="en-US"/>
        </w:rPr>
      </w:pPr>
      <w:r w:rsidRPr="00F837DE">
        <w:rPr>
          <w:rFonts w:ascii="Times New Roman" w:eastAsia="Calibri" w:hAnsi="Times New Roman" w:cs="Times New Roman"/>
          <w:b/>
          <w:sz w:val="18"/>
          <w:szCs w:val="20"/>
          <w:vertAlign w:val="superscript"/>
          <w:lang w:val="en-US"/>
        </w:rPr>
        <w:t>#</w:t>
      </w:r>
      <w:r w:rsidRPr="00F837DE">
        <w:rPr>
          <w:rFonts w:ascii="Times New Roman" w:eastAsia="Calibri" w:hAnsi="Times New Roman" w:cs="Times New Roman"/>
          <w:bCs/>
          <w:sz w:val="18"/>
          <w:szCs w:val="20"/>
          <w:u w:val="single"/>
          <w:lang w:val="en-US"/>
        </w:rPr>
        <w:t>Model I-B</w:t>
      </w:r>
      <w:r w:rsidR="00455F77">
        <w:rPr>
          <w:rFonts w:ascii="Times New Roman" w:eastAsia="Calibri" w:hAnsi="Times New Roman" w:cs="Times New Roman"/>
          <w:bCs/>
          <w:sz w:val="18"/>
          <w:szCs w:val="20"/>
          <w:u w:val="single"/>
          <w:lang w:val="en-US"/>
        </w:rPr>
        <w:t>i</w:t>
      </w:r>
      <w:r w:rsidRPr="00F837DE">
        <w:rPr>
          <w:rFonts w:ascii="Times New Roman" w:eastAsia="Calibri" w:hAnsi="Times New Roman" w:cs="Times New Roman"/>
          <w:bCs/>
          <w:sz w:val="18"/>
          <w:szCs w:val="20"/>
          <w:lang w:val="en-US"/>
        </w:rPr>
        <w:t xml:space="preserve">: Inclusion of risk predictors similar to Model I-A, except </w:t>
      </w:r>
      <w:r w:rsidRPr="00F837DE">
        <w:rPr>
          <w:rFonts w:ascii="Times New Roman" w:eastAsia="Calibri" w:hAnsi="Times New Roman" w:cs="Times New Roman"/>
          <w:bCs/>
          <w:sz w:val="18"/>
          <w:szCs w:val="22"/>
          <w:lang w:val="en-US"/>
        </w:rPr>
        <w:t>monthly household income and mode of delivery (excluded owing to high standard error)</w:t>
      </w:r>
    </w:p>
    <w:p w14:paraId="7DE9D0B8" w14:textId="70FF20A6" w:rsidR="00F837DE" w:rsidRPr="00F837DE" w:rsidRDefault="00F837DE" w:rsidP="00F837DE">
      <w:pPr>
        <w:jc w:val="both"/>
        <w:rPr>
          <w:rFonts w:ascii="Times New Roman" w:eastAsia="Calibri" w:hAnsi="Times New Roman" w:cs="Times New Roman"/>
          <w:sz w:val="18"/>
          <w:szCs w:val="22"/>
          <w:lang w:val="en-US"/>
        </w:rPr>
      </w:pPr>
      <w:r w:rsidRPr="00F837DE">
        <w:rPr>
          <w:rFonts w:ascii="Times New Roman" w:eastAsia="Calibri" w:hAnsi="Times New Roman" w:cs="Times New Roman"/>
          <w:bCs/>
          <w:sz w:val="18"/>
          <w:szCs w:val="22"/>
          <w:u w:val="single"/>
          <w:lang w:val="en-US"/>
        </w:rPr>
        <w:t>**Model II-A</w:t>
      </w:r>
      <w:r w:rsidR="00455F77">
        <w:rPr>
          <w:rFonts w:ascii="Times New Roman" w:eastAsia="Calibri" w:hAnsi="Times New Roman" w:cs="Times New Roman"/>
          <w:bCs/>
          <w:sz w:val="18"/>
          <w:szCs w:val="22"/>
          <w:u w:val="single"/>
          <w:lang w:val="en-US"/>
        </w:rPr>
        <w:t>i</w:t>
      </w:r>
      <w:r w:rsidR="00C42EF9">
        <w:rPr>
          <w:rFonts w:ascii="Times New Roman" w:eastAsia="Calibri" w:hAnsi="Times New Roman" w:cs="Times New Roman"/>
          <w:bCs/>
          <w:sz w:val="18"/>
          <w:szCs w:val="22"/>
          <w:u w:val="single"/>
          <w:lang w:val="en-US"/>
        </w:rPr>
        <w:t>/</w:t>
      </w:r>
      <w:r w:rsidRPr="00F837DE">
        <w:rPr>
          <w:rFonts w:ascii="Times New Roman" w:eastAsia="Calibri" w:hAnsi="Times New Roman" w:cs="Times New Roman"/>
          <w:bCs/>
          <w:sz w:val="18"/>
          <w:szCs w:val="22"/>
          <w:u w:val="single"/>
          <w:lang w:val="en-US"/>
        </w:rPr>
        <w:t>B</w:t>
      </w:r>
      <w:r w:rsidR="00455F77">
        <w:rPr>
          <w:rFonts w:ascii="Times New Roman" w:eastAsia="Calibri" w:hAnsi="Times New Roman" w:cs="Times New Roman"/>
          <w:bCs/>
          <w:sz w:val="18"/>
          <w:szCs w:val="22"/>
          <w:u w:val="single"/>
          <w:lang w:val="en-US"/>
        </w:rPr>
        <w:t>i</w:t>
      </w:r>
      <w:r w:rsidRPr="00F837DE">
        <w:rPr>
          <w:rFonts w:ascii="Times New Roman" w:eastAsia="Calibri" w:hAnsi="Times New Roman" w:cs="Times New Roman"/>
          <w:bCs/>
          <w:sz w:val="18"/>
          <w:szCs w:val="22"/>
          <w:u w:val="single"/>
          <w:lang w:val="en-US"/>
        </w:rPr>
        <w:t>:</w:t>
      </w:r>
      <w:r w:rsidRPr="00F837DE">
        <w:rPr>
          <w:rFonts w:ascii="Times New Roman" w:eastAsia="Calibri" w:hAnsi="Times New Roman" w:cs="Times New Roman"/>
          <w:bCs/>
          <w:sz w:val="18"/>
          <w:szCs w:val="22"/>
          <w:lang w:val="en-US"/>
        </w:rPr>
        <w:t xml:space="preserve"> </w:t>
      </w:r>
      <w:r w:rsidRPr="00F837DE">
        <w:rPr>
          <w:rFonts w:ascii="Times New Roman" w:eastAsia="Calibri" w:hAnsi="Times New Roman" w:cs="Times New Roman"/>
          <w:b/>
          <w:i/>
          <w:sz w:val="18"/>
          <w:szCs w:val="22"/>
          <w:lang w:val="en-US"/>
        </w:rPr>
        <w:t xml:space="preserve">Prenatal factors: </w:t>
      </w:r>
      <w:r w:rsidRPr="00F837DE">
        <w:rPr>
          <w:rFonts w:ascii="Times New Roman" w:eastAsia="Calibri" w:hAnsi="Times New Roman" w:cs="Times New Roman"/>
          <w:sz w:val="18"/>
          <w:szCs w:val="22"/>
          <w:lang w:val="en-US"/>
        </w:rPr>
        <w:t xml:space="preserve">Ethnicity, household income, maternal educational levels, maternal occupation, father educational levels, parity status, history of chronic maternal illness, prenatal tobacco smoke exposure; </w:t>
      </w:r>
      <w:r w:rsidRPr="00F837DE">
        <w:rPr>
          <w:rFonts w:ascii="Times New Roman" w:eastAsia="Calibri" w:hAnsi="Times New Roman" w:cs="Times New Roman"/>
          <w:b/>
          <w:i/>
          <w:sz w:val="18"/>
          <w:szCs w:val="22"/>
          <w:lang w:val="en-US"/>
        </w:rPr>
        <w:t xml:space="preserve">Post-natal factors: </w:t>
      </w:r>
      <w:r w:rsidRPr="00F837DE">
        <w:rPr>
          <w:rFonts w:ascii="Times New Roman" w:eastAsia="Calibri" w:hAnsi="Times New Roman" w:cs="Times New Roman"/>
          <w:sz w:val="18"/>
          <w:szCs w:val="22"/>
          <w:lang w:val="en-US"/>
        </w:rPr>
        <w:t>Parental belief for cause of tooth decay (24 months), mother’s brushing frequency (24 months), child’s pre-existing medical condition (6 months), frequency of in between meal sweet snacks (24 months), duration of pacifier use (in months), duration of breastfeeding (in months), maternal regular dental check-up (24 months), child’s brushing frequency (24 months), number of teeth (12 months), sharing feeding/drinking utensils, night-time bottle feeding (24 months), child’s age for first tooth eruption (in months), dry mouth (18 months), previous dental visit (24 months).</w:t>
      </w:r>
    </w:p>
    <w:p w14:paraId="6D38DE01" w14:textId="6CCB0923" w:rsidR="0052043E" w:rsidRPr="00F837DE" w:rsidRDefault="00F837DE" w:rsidP="0052043E">
      <w:pPr>
        <w:jc w:val="both"/>
        <w:rPr>
          <w:rFonts w:ascii="Times New Roman" w:eastAsia="Calibri" w:hAnsi="Times New Roman" w:cs="Times New Roman"/>
          <w:iCs/>
          <w:sz w:val="18"/>
          <w:szCs w:val="18"/>
          <w:lang w:val="en-US"/>
        </w:rPr>
      </w:pPr>
      <w:r w:rsidRPr="00DB3F73">
        <w:rPr>
          <w:rFonts w:ascii="Times New Roman" w:eastAsia="Calibri" w:hAnsi="Times New Roman" w:cs="Times New Roman"/>
          <w:sz w:val="18"/>
          <w:szCs w:val="22"/>
          <w:u w:val="single"/>
          <w:lang w:val="en-US"/>
        </w:rPr>
        <w:t>***</w:t>
      </w:r>
      <w:r w:rsidR="0052043E" w:rsidRPr="00DB3F73">
        <w:rPr>
          <w:rFonts w:ascii="Times New Roman" w:eastAsia="Calibri" w:hAnsi="Times New Roman" w:cs="Times New Roman"/>
          <w:sz w:val="20"/>
          <w:szCs w:val="20"/>
          <w:u w:val="single"/>
          <w:lang w:val="en-US"/>
        </w:rPr>
        <w:t>Model II-Ai-a</w:t>
      </w:r>
      <w:r w:rsidR="0052043E" w:rsidRPr="00DB3F73">
        <w:rPr>
          <w:rFonts w:ascii="Times New Roman" w:eastAsia="Calibri" w:hAnsi="Times New Roman" w:cs="Times New Roman"/>
          <w:iCs/>
          <w:sz w:val="18"/>
          <w:szCs w:val="18"/>
          <w:u w:val="single"/>
          <w:lang w:val="en-US"/>
        </w:rPr>
        <w:t>/Bi-a:</w:t>
      </w:r>
      <w:r w:rsidR="0052043E">
        <w:rPr>
          <w:rFonts w:ascii="Times New Roman" w:eastAsia="Calibri" w:hAnsi="Times New Roman" w:cs="Times New Roman"/>
          <w:iCs/>
          <w:sz w:val="18"/>
          <w:szCs w:val="18"/>
          <w:lang w:val="en-US"/>
        </w:rPr>
        <w:t xml:space="preserve"> </w:t>
      </w:r>
      <w:r w:rsidRPr="00F837DE">
        <w:rPr>
          <w:rFonts w:ascii="Times New Roman" w:eastAsia="Calibri" w:hAnsi="Times New Roman" w:cs="Times New Roman"/>
          <w:iCs/>
          <w:sz w:val="18"/>
          <w:szCs w:val="18"/>
          <w:lang w:val="en-US"/>
        </w:rPr>
        <w:t>Upon addition of “year-2 anterior caries lesions” as a covariate</w:t>
      </w:r>
      <w:r w:rsidR="0052043E">
        <w:rPr>
          <w:rFonts w:ascii="Times New Roman" w:eastAsia="Calibri" w:hAnsi="Times New Roman" w:cs="Times New Roman"/>
          <w:iCs/>
          <w:sz w:val="18"/>
          <w:szCs w:val="18"/>
          <w:lang w:val="en-US"/>
        </w:rPr>
        <w:t xml:space="preserve"> into Model II-A</w:t>
      </w:r>
      <w:r w:rsidR="00C637E3">
        <w:rPr>
          <w:rFonts w:ascii="Times New Roman" w:eastAsia="Calibri" w:hAnsi="Times New Roman" w:cs="Times New Roman"/>
          <w:iCs/>
          <w:sz w:val="18"/>
          <w:szCs w:val="18"/>
          <w:lang w:val="en-US"/>
        </w:rPr>
        <w:t>i</w:t>
      </w:r>
      <w:r w:rsidR="0052043E">
        <w:rPr>
          <w:rFonts w:ascii="Times New Roman" w:eastAsia="Calibri" w:hAnsi="Times New Roman" w:cs="Times New Roman"/>
          <w:iCs/>
          <w:sz w:val="18"/>
          <w:szCs w:val="18"/>
          <w:lang w:val="en-US"/>
        </w:rPr>
        <w:t>/B</w:t>
      </w:r>
      <w:r w:rsidR="00C637E3">
        <w:rPr>
          <w:rFonts w:ascii="Times New Roman" w:eastAsia="Calibri" w:hAnsi="Times New Roman" w:cs="Times New Roman"/>
          <w:iCs/>
          <w:sz w:val="18"/>
          <w:szCs w:val="18"/>
          <w:lang w:val="en-US"/>
        </w:rPr>
        <w:t>i</w:t>
      </w:r>
      <w:r w:rsidR="0052043E" w:rsidRPr="00F837DE">
        <w:rPr>
          <w:rFonts w:ascii="Times New Roman" w:eastAsia="Calibri" w:hAnsi="Times New Roman" w:cs="Times New Roman"/>
          <w:iCs/>
          <w:sz w:val="18"/>
          <w:szCs w:val="18"/>
          <w:lang w:val="en-US"/>
        </w:rPr>
        <w:t xml:space="preserve">, significant improvement was demonstrated in the </w:t>
      </w:r>
      <w:r w:rsidR="0052043E">
        <w:rPr>
          <w:rFonts w:ascii="Times New Roman" w:eastAsia="Calibri" w:hAnsi="Times New Roman" w:cs="Times New Roman"/>
          <w:iCs/>
          <w:sz w:val="18"/>
          <w:szCs w:val="18"/>
          <w:lang w:val="en-US"/>
        </w:rPr>
        <w:t xml:space="preserve">model </w:t>
      </w:r>
      <w:r w:rsidR="0052043E" w:rsidRPr="00F837DE">
        <w:rPr>
          <w:rFonts w:ascii="Times New Roman" w:eastAsia="Calibri" w:hAnsi="Times New Roman" w:cs="Times New Roman"/>
          <w:iCs/>
          <w:sz w:val="18"/>
          <w:szCs w:val="18"/>
          <w:lang w:val="en-US"/>
        </w:rPr>
        <w:t>performance (both P&lt;0.05).</w:t>
      </w:r>
    </w:p>
    <w:p w14:paraId="283886E7" w14:textId="39A9CB38" w:rsidR="00F837DE" w:rsidRPr="00F837DE" w:rsidRDefault="00F837DE" w:rsidP="00F837DE">
      <w:pPr>
        <w:jc w:val="both"/>
        <w:rPr>
          <w:rFonts w:ascii="Times New Roman" w:eastAsia="Calibri" w:hAnsi="Times New Roman" w:cs="Times New Roman"/>
          <w:bCs/>
          <w:i/>
          <w:sz w:val="22"/>
          <w:szCs w:val="22"/>
          <w:lang w:val="en-US"/>
        </w:rPr>
      </w:pPr>
    </w:p>
    <w:p w14:paraId="07172040" w14:textId="77777777" w:rsidR="00D7067B" w:rsidRDefault="00D7067B"/>
    <w:sectPr w:rsidR="00D7067B" w:rsidSect="003D4C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DE"/>
    <w:rsid w:val="00046935"/>
    <w:rsid w:val="00055B8E"/>
    <w:rsid w:val="0007178E"/>
    <w:rsid w:val="0008614D"/>
    <w:rsid w:val="00090A8D"/>
    <w:rsid w:val="00113B31"/>
    <w:rsid w:val="0012300A"/>
    <w:rsid w:val="001A54B9"/>
    <w:rsid w:val="001C4321"/>
    <w:rsid w:val="001C7F05"/>
    <w:rsid w:val="00216DA6"/>
    <w:rsid w:val="002238D7"/>
    <w:rsid w:val="002372A4"/>
    <w:rsid w:val="00260502"/>
    <w:rsid w:val="002A3657"/>
    <w:rsid w:val="002C12C9"/>
    <w:rsid w:val="002D1570"/>
    <w:rsid w:val="002D4FE5"/>
    <w:rsid w:val="00332C07"/>
    <w:rsid w:val="00343760"/>
    <w:rsid w:val="00353AC4"/>
    <w:rsid w:val="00363FFA"/>
    <w:rsid w:val="00380F24"/>
    <w:rsid w:val="003A100E"/>
    <w:rsid w:val="003C32B4"/>
    <w:rsid w:val="003D4C7E"/>
    <w:rsid w:val="00400ED1"/>
    <w:rsid w:val="00412651"/>
    <w:rsid w:val="00455F77"/>
    <w:rsid w:val="004A17D4"/>
    <w:rsid w:val="004E59C7"/>
    <w:rsid w:val="00501E42"/>
    <w:rsid w:val="0052043E"/>
    <w:rsid w:val="0056566A"/>
    <w:rsid w:val="00583736"/>
    <w:rsid w:val="005C72B2"/>
    <w:rsid w:val="0065356C"/>
    <w:rsid w:val="00683C74"/>
    <w:rsid w:val="0068459C"/>
    <w:rsid w:val="006C20F5"/>
    <w:rsid w:val="006C457A"/>
    <w:rsid w:val="006F5F66"/>
    <w:rsid w:val="00794B2E"/>
    <w:rsid w:val="00794FE2"/>
    <w:rsid w:val="008272CB"/>
    <w:rsid w:val="00894B2F"/>
    <w:rsid w:val="008B22CA"/>
    <w:rsid w:val="008D52A2"/>
    <w:rsid w:val="009159B2"/>
    <w:rsid w:val="00950200"/>
    <w:rsid w:val="00974AC9"/>
    <w:rsid w:val="00980BE3"/>
    <w:rsid w:val="00A109AB"/>
    <w:rsid w:val="00A16F0A"/>
    <w:rsid w:val="00A61241"/>
    <w:rsid w:val="00A714F9"/>
    <w:rsid w:val="00A870DE"/>
    <w:rsid w:val="00BB0F7A"/>
    <w:rsid w:val="00C42EF9"/>
    <w:rsid w:val="00C601C2"/>
    <w:rsid w:val="00C637E3"/>
    <w:rsid w:val="00C77042"/>
    <w:rsid w:val="00C83B7C"/>
    <w:rsid w:val="00C962A3"/>
    <w:rsid w:val="00C97FB7"/>
    <w:rsid w:val="00CB5A6E"/>
    <w:rsid w:val="00CE6FBC"/>
    <w:rsid w:val="00D04E57"/>
    <w:rsid w:val="00D7067B"/>
    <w:rsid w:val="00D73809"/>
    <w:rsid w:val="00D84C90"/>
    <w:rsid w:val="00DB3F73"/>
    <w:rsid w:val="00DD6B8F"/>
    <w:rsid w:val="00E85E35"/>
    <w:rsid w:val="00EE29EE"/>
    <w:rsid w:val="00EE6F42"/>
    <w:rsid w:val="00EF1847"/>
    <w:rsid w:val="00F0595D"/>
    <w:rsid w:val="00F54C8F"/>
    <w:rsid w:val="00F71D60"/>
    <w:rsid w:val="00F837D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B5A"/>
  <w15:chartTrackingRefBased/>
  <w15:docId w15:val="{D359EB01-E3FC-554B-8D70-B82C0497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37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37DE"/>
    <w:rPr>
      <w:rFonts w:ascii="Times New Roman" w:hAnsi="Times New Roman" w:cs="Times New Roman"/>
      <w:sz w:val="18"/>
      <w:szCs w:val="18"/>
    </w:rPr>
  </w:style>
  <w:style w:type="table" w:styleId="TableGrid">
    <w:name w:val="Table Grid"/>
    <w:basedOn w:val="TableNormal"/>
    <w:uiPriority w:val="39"/>
    <w:rsid w:val="00F837D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393</Words>
  <Characters>2241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Tosha Ashish Kalhan</dc:creator>
  <cp:keywords/>
  <dc:description/>
  <cp:lastModifiedBy>Karen Drake</cp:lastModifiedBy>
  <cp:revision>2</cp:revision>
  <dcterms:created xsi:type="dcterms:W3CDTF">2020-03-02T15:34:00Z</dcterms:created>
  <dcterms:modified xsi:type="dcterms:W3CDTF">2020-03-02T15:34:00Z</dcterms:modified>
</cp:coreProperties>
</file>