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9C005F" w14:textId="77777777" w:rsidR="00314731" w:rsidRDefault="00314731" w:rsidP="006B4933">
      <w:pPr>
        <w:ind w:left="567"/>
        <w:jc w:val="center"/>
        <w:rPr>
          <w:rFonts w:cstheme="minorHAnsi"/>
          <w:b/>
          <w:bCs/>
          <w:sz w:val="28"/>
          <w:szCs w:val="28"/>
          <w:lang w:val="en-GB"/>
        </w:rPr>
      </w:pPr>
      <w:bookmarkStart w:id="0" w:name="_GoBack"/>
      <w:bookmarkEnd w:id="0"/>
    </w:p>
    <w:p w14:paraId="49D39F4E" w14:textId="05AF5AA4" w:rsidR="00314731" w:rsidRPr="00314731" w:rsidRDefault="00314731" w:rsidP="00314731">
      <w:pPr>
        <w:ind w:left="567"/>
        <w:jc w:val="right"/>
        <w:rPr>
          <w:rFonts w:cstheme="minorHAnsi"/>
          <w:i/>
          <w:iCs/>
          <w:lang w:val="en-GB"/>
        </w:rPr>
      </w:pPr>
      <w:r w:rsidRPr="00314731">
        <w:rPr>
          <w:rFonts w:cstheme="minorHAnsi"/>
          <w:i/>
          <w:iCs/>
          <w:lang w:val="en-GB"/>
        </w:rPr>
        <w:t>FRAX Bulgaria v OSIN</w:t>
      </w:r>
    </w:p>
    <w:p w14:paraId="7DD076B9" w14:textId="77777777" w:rsidR="0083742C" w:rsidRDefault="0083742C" w:rsidP="006B4933">
      <w:pPr>
        <w:ind w:left="567"/>
        <w:jc w:val="center"/>
        <w:rPr>
          <w:rFonts w:cstheme="minorHAnsi"/>
          <w:b/>
          <w:bCs/>
          <w:sz w:val="28"/>
          <w:szCs w:val="28"/>
          <w:lang w:val="en-GB"/>
        </w:rPr>
      </w:pPr>
    </w:p>
    <w:p w14:paraId="4019B271" w14:textId="77777777" w:rsidR="0083742C" w:rsidRDefault="0083742C" w:rsidP="006B4933">
      <w:pPr>
        <w:ind w:left="567"/>
        <w:jc w:val="center"/>
        <w:rPr>
          <w:rFonts w:cstheme="minorHAnsi"/>
          <w:b/>
          <w:bCs/>
          <w:sz w:val="28"/>
          <w:szCs w:val="28"/>
          <w:lang w:val="en-GB"/>
        </w:rPr>
      </w:pPr>
    </w:p>
    <w:p w14:paraId="629600BB" w14:textId="4167A45F" w:rsidR="00586CEE" w:rsidRDefault="00F60909" w:rsidP="006B4933">
      <w:pPr>
        <w:ind w:left="567"/>
        <w:jc w:val="center"/>
        <w:rPr>
          <w:rFonts w:cstheme="minorHAnsi"/>
          <w:b/>
          <w:bCs/>
          <w:sz w:val="28"/>
          <w:szCs w:val="28"/>
          <w:lang w:val="en-GB"/>
        </w:rPr>
      </w:pPr>
      <w:r w:rsidRPr="0099220F">
        <w:rPr>
          <w:rFonts w:cstheme="minorHAnsi"/>
          <w:b/>
          <w:bCs/>
          <w:sz w:val="28"/>
          <w:szCs w:val="28"/>
          <w:lang w:val="en-GB"/>
        </w:rPr>
        <w:t xml:space="preserve">Epidemiology of </w:t>
      </w:r>
      <w:r w:rsidR="004518FE" w:rsidRPr="0099220F">
        <w:rPr>
          <w:rFonts w:cstheme="minorHAnsi"/>
          <w:b/>
          <w:bCs/>
          <w:sz w:val="28"/>
          <w:szCs w:val="28"/>
          <w:lang w:val="en-GB"/>
        </w:rPr>
        <w:t xml:space="preserve">hip </w:t>
      </w:r>
      <w:r w:rsidRPr="0099220F">
        <w:rPr>
          <w:rFonts w:cstheme="minorHAnsi"/>
          <w:b/>
          <w:bCs/>
          <w:sz w:val="28"/>
          <w:szCs w:val="28"/>
          <w:lang w:val="en-GB"/>
        </w:rPr>
        <w:t>fractures in Bulgaria: development of a country</w:t>
      </w:r>
      <w:r w:rsidR="006B4933">
        <w:rPr>
          <w:rFonts w:cstheme="minorHAnsi"/>
          <w:b/>
          <w:bCs/>
          <w:sz w:val="28"/>
          <w:szCs w:val="28"/>
          <w:lang w:val="en-GB"/>
        </w:rPr>
        <w:t xml:space="preserve"> </w:t>
      </w:r>
      <w:r w:rsidRPr="0099220F">
        <w:rPr>
          <w:rFonts w:cstheme="minorHAnsi"/>
          <w:b/>
          <w:bCs/>
          <w:sz w:val="28"/>
          <w:szCs w:val="28"/>
          <w:lang w:val="en-GB"/>
        </w:rPr>
        <w:t>specific FRAX model</w:t>
      </w:r>
    </w:p>
    <w:p w14:paraId="608982A9" w14:textId="77777777" w:rsidR="007A3978" w:rsidRPr="0099220F" w:rsidRDefault="007A3978" w:rsidP="006B4933">
      <w:pPr>
        <w:ind w:left="567"/>
        <w:jc w:val="center"/>
        <w:rPr>
          <w:rFonts w:cstheme="minorHAnsi"/>
          <w:b/>
          <w:bCs/>
          <w:sz w:val="28"/>
          <w:szCs w:val="28"/>
          <w:lang w:val="en-GB"/>
        </w:rPr>
      </w:pPr>
    </w:p>
    <w:p w14:paraId="5E4C214C" w14:textId="63542711" w:rsidR="00BE0BCD" w:rsidRPr="00BE0BCD" w:rsidRDefault="0060298E" w:rsidP="001A0941">
      <w:pPr>
        <w:suppressAutoHyphens/>
        <w:spacing w:after="0" w:line="360" w:lineRule="auto"/>
        <w:ind w:left="567"/>
        <w:rPr>
          <w:rFonts w:ascii="Calibri" w:eastAsia="Calibri" w:hAnsi="Calibri" w:cs="Times New Roman"/>
          <w:sz w:val="24"/>
          <w:szCs w:val="24"/>
          <w:lang w:val="en-GB"/>
        </w:rPr>
      </w:pPr>
      <w:r w:rsidRPr="00714060">
        <w:rPr>
          <w:rFonts w:ascii="Calibri" w:eastAsia="Calibri" w:hAnsi="Calibri" w:cs="Times New Roman"/>
          <w:sz w:val="24"/>
          <w:szCs w:val="24"/>
          <w:lang w:val="en-GB"/>
        </w:rPr>
        <w:t>E Kirilova</w:t>
      </w:r>
      <w:r w:rsidRPr="00714060">
        <w:rPr>
          <w:rFonts w:ascii="Calibri" w:eastAsia="Calibri" w:hAnsi="Calibri" w:cs="Times New Roman"/>
          <w:sz w:val="24"/>
          <w:szCs w:val="24"/>
          <w:vertAlign w:val="superscript"/>
          <w:lang w:val="en-GB"/>
        </w:rPr>
        <w:t>1</w:t>
      </w:r>
      <w:r w:rsidRPr="00714060">
        <w:rPr>
          <w:rFonts w:ascii="Calibri" w:eastAsia="Calibri" w:hAnsi="Calibri" w:cs="Times New Roman"/>
          <w:sz w:val="24"/>
          <w:szCs w:val="24"/>
          <w:lang w:val="en-GB"/>
        </w:rPr>
        <w:t xml:space="preserve">, </w:t>
      </w:r>
      <w:r w:rsidR="00CD5190" w:rsidRPr="00714060">
        <w:rPr>
          <w:rFonts w:ascii="Calibri" w:eastAsia="Calibri" w:hAnsi="Calibri" w:cs="Times New Roman"/>
          <w:sz w:val="24"/>
          <w:szCs w:val="24"/>
          <w:lang w:val="en-GB"/>
        </w:rPr>
        <w:t>H Johansson</w:t>
      </w:r>
      <w:r w:rsidR="003C2002" w:rsidRPr="00714060">
        <w:rPr>
          <w:rFonts w:ascii="Calibri" w:eastAsia="Calibri" w:hAnsi="Calibri" w:cs="Times New Roman"/>
          <w:sz w:val="24"/>
          <w:szCs w:val="24"/>
          <w:vertAlign w:val="superscript"/>
          <w:lang w:val="en-GB"/>
        </w:rPr>
        <w:t>2</w:t>
      </w:r>
      <w:r w:rsidR="00AA44D1" w:rsidRPr="00714060">
        <w:rPr>
          <w:rFonts w:ascii="Calibri" w:eastAsia="Calibri" w:hAnsi="Calibri" w:cs="Times New Roman"/>
          <w:sz w:val="24"/>
          <w:szCs w:val="24"/>
          <w:lang w:val="en-GB"/>
        </w:rPr>
        <w:t>,</w:t>
      </w:r>
      <w:r w:rsidR="00C54961" w:rsidRPr="00714060">
        <w:rPr>
          <w:rFonts w:ascii="Calibri" w:eastAsia="Calibri" w:hAnsi="Calibri" w:cs="Times New Roman"/>
          <w:sz w:val="24"/>
          <w:szCs w:val="24"/>
          <w:lang w:val="en-GB"/>
        </w:rPr>
        <w:t xml:space="preserve"> </w:t>
      </w:r>
      <w:r w:rsidRPr="00714060">
        <w:rPr>
          <w:rFonts w:ascii="Calibri" w:eastAsia="Calibri" w:hAnsi="Calibri" w:cs="Times New Roman"/>
          <w:sz w:val="24"/>
          <w:szCs w:val="24"/>
          <w:lang w:val="en-GB"/>
        </w:rPr>
        <w:t>N Kirilov</w:t>
      </w:r>
      <w:r w:rsidRPr="00714060">
        <w:rPr>
          <w:rFonts w:ascii="Calibri" w:eastAsia="Calibri" w:hAnsi="Calibri" w:cs="Times New Roman"/>
          <w:sz w:val="24"/>
          <w:szCs w:val="24"/>
          <w:vertAlign w:val="superscript"/>
          <w:lang w:val="en-GB"/>
        </w:rPr>
        <w:t>1</w:t>
      </w:r>
      <w:r w:rsidRPr="00714060">
        <w:rPr>
          <w:rFonts w:ascii="Calibri" w:eastAsia="Calibri" w:hAnsi="Calibri" w:cs="Times New Roman"/>
          <w:sz w:val="24"/>
          <w:szCs w:val="24"/>
          <w:lang w:val="en-GB"/>
        </w:rPr>
        <w:t>, S Vladeva</w:t>
      </w:r>
      <w:r w:rsidR="00174DCD" w:rsidRPr="00714060">
        <w:rPr>
          <w:rFonts w:ascii="Calibri" w:eastAsia="Calibri" w:hAnsi="Calibri" w:cs="Times New Roman"/>
          <w:sz w:val="24"/>
          <w:szCs w:val="24"/>
          <w:vertAlign w:val="superscript"/>
          <w:lang w:val="en-GB"/>
        </w:rPr>
        <w:t>3</w:t>
      </w:r>
      <w:r w:rsidRPr="00714060">
        <w:rPr>
          <w:rFonts w:ascii="Calibri" w:eastAsia="Calibri" w:hAnsi="Calibri" w:cs="Times New Roman"/>
          <w:sz w:val="24"/>
          <w:szCs w:val="24"/>
          <w:lang w:val="en-GB"/>
        </w:rPr>
        <w:t>, T Petranova</w:t>
      </w:r>
      <w:r w:rsidRPr="00714060">
        <w:rPr>
          <w:rFonts w:ascii="Calibri" w:eastAsia="Calibri" w:hAnsi="Calibri" w:cs="Times New Roman"/>
          <w:sz w:val="24"/>
          <w:szCs w:val="24"/>
          <w:vertAlign w:val="superscript"/>
          <w:lang w:val="en-GB"/>
        </w:rPr>
        <w:t>1</w:t>
      </w:r>
      <w:r w:rsidRPr="00714060">
        <w:rPr>
          <w:rFonts w:ascii="Calibri" w:eastAsia="Calibri" w:hAnsi="Calibri" w:cs="Times New Roman"/>
          <w:sz w:val="24"/>
          <w:szCs w:val="24"/>
          <w:lang w:val="en-GB"/>
        </w:rPr>
        <w:t>, Z Kolarov</w:t>
      </w:r>
      <w:r w:rsidRPr="006D75F9">
        <w:rPr>
          <w:rFonts w:ascii="Calibri" w:eastAsia="Calibri" w:hAnsi="Calibri" w:cs="Times New Roman"/>
          <w:sz w:val="24"/>
          <w:szCs w:val="24"/>
          <w:vertAlign w:val="superscript"/>
          <w:lang w:val="en-GB"/>
        </w:rPr>
        <w:t>1</w:t>
      </w:r>
      <w:r w:rsidRPr="00714060">
        <w:rPr>
          <w:rFonts w:ascii="Calibri" w:eastAsia="Calibri" w:hAnsi="Calibri" w:cs="Times New Roman"/>
          <w:sz w:val="24"/>
          <w:szCs w:val="24"/>
          <w:lang w:val="en-GB"/>
        </w:rPr>
        <w:t xml:space="preserve"> </w:t>
      </w:r>
      <w:r w:rsidR="00BE0BCD" w:rsidRPr="00714060">
        <w:rPr>
          <w:rFonts w:ascii="Calibri" w:eastAsia="Calibri" w:hAnsi="Calibri" w:cs="Times New Roman"/>
          <w:sz w:val="24"/>
          <w:szCs w:val="24"/>
          <w:lang w:val="en-GB"/>
        </w:rPr>
        <w:t>E Liu</w:t>
      </w:r>
      <w:r w:rsidR="0057677E" w:rsidRPr="00714060">
        <w:rPr>
          <w:rFonts w:ascii="Calibri" w:eastAsia="Calibri" w:hAnsi="Calibri" w:cs="Times New Roman"/>
          <w:sz w:val="24"/>
          <w:szCs w:val="24"/>
          <w:vertAlign w:val="superscript"/>
          <w:lang w:val="en-GB"/>
        </w:rPr>
        <w:t>2</w:t>
      </w:r>
      <w:r w:rsidR="00BE0BCD" w:rsidRPr="00714060">
        <w:rPr>
          <w:rFonts w:ascii="Calibri" w:eastAsia="Calibri" w:hAnsi="Calibri" w:cs="Times New Roman"/>
          <w:sz w:val="24"/>
          <w:szCs w:val="24"/>
          <w:lang w:val="en-GB"/>
        </w:rPr>
        <w:t>, M Lorentzon</w:t>
      </w:r>
      <w:r w:rsidR="00D92D26" w:rsidRPr="00714060">
        <w:rPr>
          <w:rFonts w:ascii="Calibri" w:eastAsia="Calibri" w:hAnsi="Calibri" w:cs="Times New Roman"/>
          <w:sz w:val="24"/>
          <w:szCs w:val="24"/>
          <w:vertAlign w:val="superscript"/>
          <w:lang w:val="en-GB"/>
        </w:rPr>
        <w:t>2</w:t>
      </w:r>
      <w:r w:rsidR="004F4702" w:rsidRPr="00714060">
        <w:rPr>
          <w:rFonts w:ascii="Calibri" w:eastAsia="Calibri" w:hAnsi="Calibri" w:cs="Times New Roman"/>
          <w:sz w:val="24"/>
          <w:szCs w:val="24"/>
          <w:vertAlign w:val="superscript"/>
          <w:lang w:val="en-GB"/>
        </w:rPr>
        <w:t>,</w:t>
      </w:r>
      <w:r w:rsidR="00BB6609" w:rsidRPr="00714060">
        <w:rPr>
          <w:rFonts w:ascii="Calibri" w:eastAsia="Calibri" w:hAnsi="Calibri" w:cs="Times New Roman"/>
          <w:sz w:val="24"/>
          <w:szCs w:val="24"/>
          <w:vertAlign w:val="superscript"/>
          <w:lang w:val="en-GB"/>
        </w:rPr>
        <w:t>4</w:t>
      </w:r>
      <w:r w:rsidR="00BE0BCD" w:rsidRPr="00714060">
        <w:rPr>
          <w:rFonts w:ascii="Calibri" w:eastAsia="Calibri" w:hAnsi="Calibri" w:cs="Times New Roman"/>
          <w:sz w:val="24"/>
          <w:szCs w:val="24"/>
          <w:lang w:val="en-GB"/>
        </w:rPr>
        <w:t xml:space="preserve">, </w:t>
      </w:r>
      <w:r w:rsidR="00CD76A1" w:rsidRPr="00714060">
        <w:rPr>
          <w:rFonts w:ascii="Calibri" w:eastAsia="Calibri" w:hAnsi="Calibri" w:cs="Times New Roman"/>
          <w:sz w:val="24"/>
          <w:szCs w:val="24"/>
          <w:lang w:val="en-GB"/>
        </w:rPr>
        <w:t>L Vandenput</w:t>
      </w:r>
      <w:r w:rsidR="00356060" w:rsidRPr="00714060">
        <w:rPr>
          <w:rFonts w:ascii="Calibri" w:eastAsia="Calibri" w:hAnsi="Calibri" w:cs="Times New Roman"/>
          <w:sz w:val="24"/>
          <w:szCs w:val="24"/>
          <w:vertAlign w:val="superscript"/>
          <w:lang w:val="en-GB"/>
        </w:rPr>
        <w:t>2</w:t>
      </w:r>
      <w:r w:rsidR="007B4959">
        <w:rPr>
          <w:rFonts w:ascii="Calibri" w:eastAsia="Calibri" w:hAnsi="Calibri" w:cs="Times New Roman"/>
          <w:sz w:val="24"/>
          <w:szCs w:val="24"/>
          <w:vertAlign w:val="superscript"/>
          <w:lang w:val="en-GB"/>
        </w:rPr>
        <w:t xml:space="preserve">, </w:t>
      </w:r>
      <w:r w:rsidR="00A60A68">
        <w:rPr>
          <w:rFonts w:ascii="Calibri" w:eastAsia="Calibri" w:hAnsi="Calibri" w:cs="Times New Roman"/>
          <w:sz w:val="24"/>
          <w:szCs w:val="24"/>
          <w:vertAlign w:val="superscript"/>
          <w:lang w:val="en-GB"/>
        </w:rPr>
        <w:t>5</w:t>
      </w:r>
      <w:r w:rsidR="00356060" w:rsidRPr="00714060">
        <w:rPr>
          <w:rFonts w:ascii="Calibri" w:eastAsia="Calibri" w:hAnsi="Calibri" w:cs="Times New Roman"/>
          <w:sz w:val="24"/>
          <w:szCs w:val="24"/>
          <w:lang w:val="en-GB"/>
        </w:rPr>
        <w:t xml:space="preserve">, </w:t>
      </w:r>
      <w:r w:rsidR="00BE0BCD" w:rsidRPr="00714060">
        <w:rPr>
          <w:rFonts w:ascii="Calibri" w:eastAsia="Calibri" w:hAnsi="Calibri" w:cs="Times New Roman"/>
          <w:sz w:val="24"/>
          <w:szCs w:val="24"/>
          <w:lang w:val="en-GB"/>
        </w:rPr>
        <w:t>NC Harvey</w:t>
      </w:r>
      <w:r w:rsidR="007B4959">
        <w:rPr>
          <w:rFonts w:ascii="Calibri" w:eastAsia="Calibri" w:hAnsi="Calibri" w:cs="Times New Roman"/>
          <w:sz w:val="24"/>
          <w:szCs w:val="24"/>
          <w:vertAlign w:val="superscript"/>
          <w:lang w:val="en-GB"/>
        </w:rPr>
        <w:t>6</w:t>
      </w:r>
      <w:r w:rsidR="00BE0BCD" w:rsidRPr="00714060">
        <w:rPr>
          <w:rFonts w:ascii="Calibri" w:eastAsia="Calibri" w:hAnsi="Calibri" w:cs="Times New Roman"/>
          <w:sz w:val="24"/>
          <w:szCs w:val="24"/>
          <w:lang w:val="en-GB"/>
        </w:rPr>
        <w:t>, E McCloskey</w:t>
      </w:r>
      <w:r w:rsidR="007B4959">
        <w:rPr>
          <w:rFonts w:ascii="Calibri" w:eastAsia="Calibri" w:hAnsi="Calibri" w:cs="Times New Roman"/>
          <w:sz w:val="24"/>
          <w:szCs w:val="24"/>
          <w:vertAlign w:val="superscript"/>
          <w:lang w:val="en-GB"/>
        </w:rPr>
        <w:t>7</w:t>
      </w:r>
      <w:r w:rsidR="00BE0BCD" w:rsidRPr="00714060">
        <w:rPr>
          <w:rFonts w:ascii="Calibri" w:eastAsia="Calibri" w:hAnsi="Calibri" w:cs="Times New Roman"/>
          <w:sz w:val="24"/>
          <w:szCs w:val="24"/>
          <w:lang w:val="en-GB"/>
        </w:rPr>
        <w:t>, JA Kanis</w:t>
      </w:r>
      <w:r w:rsidR="0028461B" w:rsidRPr="00714060">
        <w:rPr>
          <w:rFonts w:ascii="Calibri" w:eastAsia="Calibri" w:hAnsi="Calibri" w:cs="Times New Roman"/>
          <w:sz w:val="24"/>
          <w:szCs w:val="24"/>
          <w:vertAlign w:val="superscript"/>
          <w:lang w:val="en-GB"/>
        </w:rPr>
        <w:t>2</w:t>
      </w:r>
      <w:r w:rsidR="00B439E2" w:rsidRPr="00714060">
        <w:rPr>
          <w:rFonts w:ascii="Calibri" w:eastAsia="Calibri" w:hAnsi="Calibri" w:cs="Times New Roman"/>
          <w:sz w:val="24"/>
          <w:szCs w:val="24"/>
          <w:vertAlign w:val="superscript"/>
          <w:lang w:val="en-GB"/>
        </w:rPr>
        <w:t>,</w:t>
      </w:r>
      <w:r w:rsidR="0024545E">
        <w:rPr>
          <w:rFonts w:ascii="Calibri" w:eastAsia="Calibri" w:hAnsi="Calibri" w:cs="Times New Roman"/>
          <w:sz w:val="24"/>
          <w:szCs w:val="24"/>
          <w:vertAlign w:val="superscript"/>
          <w:lang w:val="en-GB"/>
        </w:rPr>
        <w:t>7</w:t>
      </w:r>
    </w:p>
    <w:p w14:paraId="29A656FF" w14:textId="77777777" w:rsidR="00BE0BCD" w:rsidRPr="00BE0BCD" w:rsidRDefault="00BE0BCD" w:rsidP="001A0941">
      <w:pPr>
        <w:suppressAutoHyphens/>
        <w:spacing w:after="0" w:line="360" w:lineRule="auto"/>
        <w:ind w:left="567" w:firstLine="709"/>
        <w:rPr>
          <w:rFonts w:ascii="Calibri" w:eastAsia="Calibri" w:hAnsi="Calibri" w:cs="Times New Roman"/>
          <w:sz w:val="24"/>
          <w:szCs w:val="24"/>
          <w:lang w:val="en-GB"/>
        </w:rPr>
      </w:pPr>
    </w:p>
    <w:p w14:paraId="6B53847C" w14:textId="321AFCC9" w:rsidR="00DD66FC" w:rsidRDefault="00DD66FC" w:rsidP="001A0941">
      <w:pPr>
        <w:suppressAutoHyphens/>
        <w:spacing w:after="0" w:line="360" w:lineRule="auto"/>
        <w:ind w:left="567" w:hanging="142"/>
        <w:rPr>
          <w:rFonts w:ascii="Calibri" w:eastAsia="Calibri" w:hAnsi="Calibri" w:cs="Times New Roman"/>
          <w:sz w:val="24"/>
          <w:szCs w:val="24"/>
          <w:lang w:val="en-GB"/>
        </w:rPr>
      </w:pPr>
      <w:r w:rsidRPr="00DD66FC">
        <w:rPr>
          <w:rFonts w:ascii="Calibri" w:eastAsia="Calibri" w:hAnsi="Calibri" w:cs="Times New Roman"/>
          <w:sz w:val="24"/>
          <w:szCs w:val="24"/>
          <w:vertAlign w:val="superscript"/>
          <w:lang w:val="en-GB"/>
        </w:rPr>
        <w:t xml:space="preserve">1 </w:t>
      </w:r>
      <w:r w:rsidRPr="003E4B9A">
        <w:rPr>
          <w:rFonts w:ascii="Calibri" w:eastAsia="Calibri" w:hAnsi="Calibri" w:cs="Times New Roman"/>
          <w:sz w:val="24"/>
          <w:szCs w:val="24"/>
          <w:lang w:val="en-GB"/>
        </w:rPr>
        <w:t>Medical university of Sofia, Sofia, Bulgaria</w:t>
      </w:r>
    </w:p>
    <w:p w14:paraId="2FD492EA" w14:textId="28BEFD8A" w:rsidR="00BE0BCD" w:rsidRDefault="00754065" w:rsidP="001A0941">
      <w:pPr>
        <w:suppressAutoHyphens/>
        <w:spacing w:after="0" w:line="360" w:lineRule="auto"/>
        <w:ind w:left="567" w:hanging="142"/>
        <w:rPr>
          <w:rFonts w:ascii="Calibri" w:eastAsia="Calibri" w:hAnsi="Calibri" w:cs="Times New Roman"/>
          <w:sz w:val="24"/>
          <w:szCs w:val="24"/>
          <w:lang w:val="en-GB"/>
        </w:rPr>
      </w:pPr>
      <w:r>
        <w:rPr>
          <w:rFonts w:ascii="Calibri" w:eastAsia="Calibri" w:hAnsi="Calibri" w:cs="Times New Roman"/>
          <w:sz w:val="24"/>
          <w:szCs w:val="24"/>
          <w:vertAlign w:val="superscript"/>
          <w:lang w:val="en-GB"/>
        </w:rPr>
        <w:t xml:space="preserve">2 </w:t>
      </w:r>
      <w:r w:rsidR="002547B7" w:rsidRPr="002547B7">
        <w:rPr>
          <w:rFonts w:ascii="Calibri" w:eastAsia="Calibri" w:hAnsi="Calibri" w:cs="Times New Roman"/>
          <w:sz w:val="24"/>
          <w:szCs w:val="24"/>
          <w:lang w:val="en-GB"/>
        </w:rPr>
        <w:t>Mary McKillop Institute for Health Research</w:t>
      </w:r>
      <w:r w:rsidR="00BE0BCD" w:rsidRPr="00BE0BCD">
        <w:rPr>
          <w:rFonts w:ascii="Calibri" w:eastAsia="Calibri" w:hAnsi="Calibri" w:cs="Times New Roman"/>
          <w:sz w:val="24"/>
          <w:szCs w:val="24"/>
          <w:lang w:val="en-GB"/>
        </w:rPr>
        <w:t>, Australian Catholic University, Melbourne, Australia</w:t>
      </w:r>
    </w:p>
    <w:p w14:paraId="0B0F0173" w14:textId="5E12CC3B" w:rsidR="00DD66FC" w:rsidRPr="00BE0BCD" w:rsidRDefault="006571CC" w:rsidP="001A0941">
      <w:pPr>
        <w:suppressAutoHyphens/>
        <w:spacing w:after="0" w:line="360" w:lineRule="auto"/>
        <w:ind w:left="567" w:hanging="142"/>
        <w:rPr>
          <w:rFonts w:ascii="Calibri" w:eastAsia="Calibri" w:hAnsi="Calibri" w:cs="Times New Roman"/>
          <w:sz w:val="24"/>
          <w:szCs w:val="24"/>
          <w:lang w:val="en-GB"/>
        </w:rPr>
      </w:pPr>
      <w:r w:rsidRPr="00193672">
        <w:rPr>
          <w:rFonts w:ascii="Calibri" w:eastAsia="Calibri" w:hAnsi="Calibri" w:cs="Times New Roman"/>
          <w:sz w:val="24"/>
          <w:szCs w:val="24"/>
          <w:vertAlign w:val="superscript"/>
          <w:lang w:val="en-GB"/>
        </w:rPr>
        <w:t>3</w:t>
      </w:r>
      <w:r w:rsidR="00FE4D02" w:rsidRPr="00FE4D02">
        <w:rPr>
          <w:rFonts w:ascii="Calibri" w:eastAsia="Calibri" w:hAnsi="Calibri" w:cs="Times New Roman"/>
          <w:sz w:val="24"/>
          <w:szCs w:val="24"/>
          <w:lang w:val="en-GB"/>
        </w:rPr>
        <w:t>Trakia university, Medical faculty, Stara Zagora, Bulgaria</w:t>
      </w:r>
    </w:p>
    <w:p w14:paraId="0914ECC2" w14:textId="6CFA0D3E" w:rsidR="00BE0BCD" w:rsidRDefault="00BB6609" w:rsidP="001A0941">
      <w:pPr>
        <w:suppressAutoHyphens/>
        <w:spacing w:after="0" w:line="360" w:lineRule="auto"/>
        <w:ind w:left="567" w:hanging="142"/>
        <w:rPr>
          <w:rFonts w:ascii="Calibri" w:eastAsia="Calibri" w:hAnsi="Calibri" w:cs="Times New Roman"/>
          <w:sz w:val="24"/>
          <w:szCs w:val="24"/>
          <w:lang w:val="en-GB"/>
        </w:rPr>
      </w:pPr>
      <w:r>
        <w:rPr>
          <w:rFonts w:ascii="Calibri" w:eastAsia="Calibri" w:hAnsi="Calibri" w:cs="Times New Roman"/>
          <w:sz w:val="24"/>
          <w:szCs w:val="24"/>
          <w:vertAlign w:val="superscript"/>
          <w:lang w:val="en-GB"/>
        </w:rPr>
        <w:t>4</w:t>
      </w:r>
      <w:r w:rsidR="00BE0BCD" w:rsidRPr="00BE0BCD">
        <w:rPr>
          <w:rFonts w:ascii="Calibri" w:eastAsia="Calibri" w:hAnsi="Calibri" w:cs="Times New Roman"/>
          <w:sz w:val="24"/>
          <w:szCs w:val="24"/>
          <w:lang w:val="en-GB"/>
        </w:rPr>
        <w:t xml:space="preserve"> </w:t>
      </w:r>
      <w:r w:rsidR="006550E2">
        <w:rPr>
          <w:rFonts w:ascii="Calibri" w:eastAsia="Calibri" w:hAnsi="Calibri" w:cs="Times New Roman"/>
          <w:sz w:val="24"/>
          <w:szCs w:val="24"/>
          <w:lang w:val="en-GB"/>
        </w:rPr>
        <w:t>Geriatric Medicine</w:t>
      </w:r>
      <w:r w:rsidR="00DC4094">
        <w:rPr>
          <w:rFonts w:ascii="Calibri" w:eastAsia="Calibri" w:hAnsi="Calibri" w:cs="Times New Roman"/>
          <w:sz w:val="24"/>
          <w:szCs w:val="24"/>
          <w:lang w:val="en-GB"/>
        </w:rPr>
        <w:t xml:space="preserve">, </w:t>
      </w:r>
      <w:bookmarkStart w:id="1" w:name="_Hlk23637994"/>
      <w:r w:rsidR="00BE0BCD" w:rsidRPr="00BE0BCD">
        <w:rPr>
          <w:rFonts w:ascii="Calibri" w:eastAsia="Calibri" w:hAnsi="Calibri" w:cs="Times New Roman"/>
          <w:sz w:val="24"/>
          <w:szCs w:val="24"/>
          <w:lang w:val="en-GB"/>
        </w:rPr>
        <w:t>Institute of Medicine, University of Gothenburg, Gothenburg, Sweden</w:t>
      </w:r>
      <w:bookmarkEnd w:id="1"/>
    </w:p>
    <w:p w14:paraId="4FDAEF45" w14:textId="4C0342A7" w:rsidR="007B4959" w:rsidRPr="00BE0BCD" w:rsidRDefault="00344D30" w:rsidP="001A0941">
      <w:pPr>
        <w:suppressAutoHyphens/>
        <w:spacing w:after="0" w:line="360" w:lineRule="auto"/>
        <w:ind w:left="567" w:hanging="142"/>
        <w:rPr>
          <w:rFonts w:ascii="Calibri" w:eastAsia="Calibri" w:hAnsi="Calibri" w:cs="Times New Roman"/>
          <w:sz w:val="24"/>
          <w:szCs w:val="24"/>
          <w:lang w:val="en-GB"/>
        </w:rPr>
      </w:pPr>
      <w:r w:rsidRPr="00344D30">
        <w:rPr>
          <w:rFonts w:ascii="Calibri" w:eastAsia="Calibri" w:hAnsi="Calibri" w:cs="Times New Roman"/>
          <w:sz w:val="24"/>
          <w:szCs w:val="24"/>
          <w:vertAlign w:val="superscript"/>
          <w:lang w:val="en-GB"/>
        </w:rPr>
        <w:t>5</w:t>
      </w:r>
      <w:r>
        <w:rPr>
          <w:rFonts w:ascii="Calibri" w:eastAsia="Calibri" w:hAnsi="Calibri" w:cs="Times New Roman"/>
          <w:sz w:val="24"/>
          <w:szCs w:val="24"/>
          <w:lang w:val="en-GB"/>
        </w:rPr>
        <w:t xml:space="preserve"> </w:t>
      </w:r>
      <w:r w:rsidR="00B24537" w:rsidRPr="00B24537">
        <w:rPr>
          <w:rFonts w:ascii="Calibri" w:eastAsia="Calibri" w:hAnsi="Calibri" w:cs="Times New Roman"/>
          <w:sz w:val="24"/>
          <w:szCs w:val="24"/>
          <w:lang w:val="en-GB"/>
        </w:rPr>
        <w:t>Centre for Bone and Arthritis Research,</w:t>
      </w:r>
      <w:r w:rsidR="00B24537" w:rsidRPr="00B24537">
        <w:t xml:space="preserve"> </w:t>
      </w:r>
      <w:r w:rsidR="00B24537" w:rsidRPr="00B24537">
        <w:rPr>
          <w:rFonts w:ascii="Calibri" w:eastAsia="Calibri" w:hAnsi="Calibri" w:cs="Times New Roman"/>
          <w:sz w:val="24"/>
          <w:szCs w:val="24"/>
          <w:lang w:val="en-GB"/>
        </w:rPr>
        <w:t>Institute of Medicine, University of Gothenburg, Gothenburg, Sweden</w:t>
      </w:r>
    </w:p>
    <w:p w14:paraId="02CB887A" w14:textId="7ED290C9" w:rsidR="00BE0BCD" w:rsidRPr="00BE0BCD" w:rsidRDefault="00606CA7" w:rsidP="001A0941">
      <w:pPr>
        <w:suppressAutoHyphens/>
        <w:spacing w:after="0" w:line="360" w:lineRule="auto"/>
        <w:ind w:left="567" w:hanging="142"/>
        <w:rPr>
          <w:rFonts w:ascii="Calibri" w:eastAsia="Calibri" w:hAnsi="Calibri" w:cs="Times New Roman"/>
          <w:sz w:val="24"/>
          <w:szCs w:val="24"/>
          <w:lang w:val="en-GB"/>
        </w:rPr>
      </w:pPr>
      <w:r>
        <w:rPr>
          <w:rFonts w:ascii="Calibri" w:eastAsia="Calibri" w:hAnsi="Calibri" w:cs="Times New Roman"/>
          <w:sz w:val="24"/>
          <w:szCs w:val="24"/>
          <w:vertAlign w:val="superscript"/>
          <w:lang w:val="en-GB"/>
        </w:rPr>
        <w:t>6</w:t>
      </w:r>
      <w:r w:rsidR="00BE0BCD" w:rsidRPr="00BE0BCD">
        <w:rPr>
          <w:rFonts w:ascii="Calibri" w:eastAsia="Calibri" w:hAnsi="Calibri" w:cs="Times New Roman"/>
          <w:sz w:val="24"/>
          <w:szCs w:val="24"/>
          <w:lang w:val="en-GB"/>
        </w:rPr>
        <w:t xml:space="preserve"> MRC Lifecourse Epidemiology Unit, University of Southampton, UK</w:t>
      </w:r>
    </w:p>
    <w:p w14:paraId="553F540F" w14:textId="57B7B28E" w:rsidR="00BE0BCD" w:rsidRPr="00BE0BCD" w:rsidRDefault="00606CA7" w:rsidP="001A0941">
      <w:pPr>
        <w:suppressAutoHyphens/>
        <w:spacing w:after="0" w:line="360" w:lineRule="auto"/>
        <w:ind w:left="567" w:hanging="142"/>
        <w:rPr>
          <w:rFonts w:ascii="Calibri" w:eastAsia="Calibri" w:hAnsi="Calibri" w:cs="Times New Roman"/>
          <w:sz w:val="24"/>
          <w:szCs w:val="24"/>
          <w:lang w:val="en-GB"/>
        </w:rPr>
      </w:pPr>
      <w:r>
        <w:rPr>
          <w:rFonts w:ascii="Calibri" w:eastAsia="Calibri" w:hAnsi="Calibri" w:cs="Times New Roman"/>
          <w:sz w:val="24"/>
          <w:szCs w:val="24"/>
          <w:vertAlign w:val="superscript"/>
          <w:lang w:val="en-GB"/>
        </w:rPr>
        <w:t>7</w:t>
      </w:r>
      <w:r w:rsidR="00BE0BCD" w:rsidRPr="00BE0BCD">
        <w:rPr>
          <w:rFonts w:ascii="Calibri" w:eastAsia="Calibri" w:hAnsi="Calibri" w:cs="Times New Roman"/>
          <w:sz w:val="24"/>
          <w:szCs w:val="24"/>
          <w:lang w:val="en-GB"/>
        </w:rPr>
        <w:t xml:space="preserve"> Centre for Metabolic Bone Diseases, University of Sheffield, UK </w:t>
      </w:r>
    </w:p>
    <w:p w14:paraId="7988B5F0" w14:textId="77777777" w:rsidR="00BE0BCD" w:rsidRPr="00BE0BCD" w:rsidRDefault="00BE0BCD" w:rsidP="001A0941">
      <w:pPr>
        <w:spacing w:after="0" w:line="276" w:lineRule="auto"/>
        <w:ind w:left="567" w:right="1133"/>
        <w:rPr>
          <w:rFonts w:ascii="Calibri" w:eastAsia="Times New Roman" w:hAnsi="Calibri" w:cs="Calibri"/>
          <w:sz w:val="24"/>
          <w:szCs w:val="24"/>
          <w:lang w:val="en-GB" w:eastAsia="ru-RU"/>
        </w:rPr>
      </w:pPr>
    </w:p>
    <w:p w14:paraId="0CB8BE03" w14:textId="77777777" w:rsidR="00BE0BCD" w:rsidRPr="00BE0BCD" w:rsidRDefault="00BE0BCD" w:rsidP="001A0941">
      <w:pPr>
        <w:spacing w:after="0" w:line="276" w:lineRule="auto"/>
        <w:ind w:left="567" w:right="1133"/>
        <w:rPr>
          <w:rFonts w:ascii="Calibri" w:eastAsia="Times New Roman" w:hAnsi="Calibri" w:cs="Calibri"/>
          <w:sz w:val="24"/>
          <w:szCs w:val="24"/>
          <w:lang w:val="en-GB" w:eastAsia="ru-RU"/>
        </w:rPr>
      </w:pPr>
      <w:r w:rsidRPr="00BE0BCD">
        <w:rPr>
          <w:rFonts w:ascii="Calibri" w:eastAsia="Times New Roman" w:hAnsi="Calibri" w:cs="Calibri"/>
          <w:sz w:val="24"/>
          <w:szCs w:val="24"/>
          <w:lang w:val="en-GB" w:eastAsia="ru-RU"/>
        </w:rPr>
        <w:t xml:space="preserve">Correspondence: </w:t>
      </w:r>
    </w:p>
    <w:p w14:paraId="265E3C74" w14:textId="77777777" w:rsidR="00BE0BCD" w:rsidRPr="00BE0BCD" w:rsidRDefault="00BE0BCD" w:rsidP="001A0941">
      <w:pPr>
        <w:spacing w:after="0" w:line="276" w:lineRule="auto"/>
        <w:ind w:left="567" w:right="1133"/>
        <w:rPr>
          <w:rFonts w:ascii="Calibri" w:eastAsia="Times New Roman" w:hAnsi="Calibri" w:cs="Calibri"/>
          <w:sz w:val="24"/>
          <w:szCs w:val="24"/>
          <w:lang w:val="en-GB" w:eastAsia="ru-RU"/>
        </w:rPr>
      </w:pPr>
      <w:r w:rsidRPr="00BE0BCD">
        <w:rPr>
          <w:rFonts w:ascii="Calibri" w:eastAsia="Times New Roman" w:hAnsi="Calibri" w:cs="Calibri"/>
          <w:sz w:val="24"/>
          <w:szCs w:val="24"/>
          <w:lang w:val="en-GB" w:eastAsia="ru-RU"/>
        </w:rPr>
        <w:t xml:space="preserve">John A Kanis </w:t>
      </w:r>
    </w:p>
    <w:p w14:paraId="0841ECEF" w14:textId="77777777" w:rsidR="00BE0BCD" w:rsidRPr="00BE0BCD" w:rsidRDefault="00BE0BCD" w:rsidP="001A0941">
      <w:pPr>
        <w:spacing w:after="0" w:line="276" w:lineRule="auto"/>
        <w:ind w:left="567" w:right="1133"/>
        <w:rPr>
          <w:rFonts w:ascii="Calibri" w:eastAsia="Times New Roman" w:hAnsi="Calibri" w:cs="Calibri"/>
          <w:sz w:val="24"/>
          <w:szCs w:val="24"/>
          <w:lang w:val="en-GB" w:eastAsia="ru-RU"/>
        </w:rPr>
      </w:pPr>
      <w:r w:rsidRPr="00BE0BCD">
        <w:rPr>
          <w:rFonts w:ascii="Calibri" w:eastAsia="Times New Roman" w:hAnsi="Calibri" w:cs="Calibri"/>
          <w:sz w:val="24"/>
          <w:szCs w:val="24"/>
          <w:lang w:val="en-GB" w:eastAsia="ru-RU"/>
        </w:rPr>
        <w:t xml:space="preserve">e-mail: </w:t>
      </w:r>
      <w:hyperlink r:id="rId8" w:history="1">
        <w:r w:rsidRPr="00BE0BCD">
          <w:rPr>
            <w:rFonts w:ascii="Calibri" w:eastAsia="Times New Roman" w:hAnsi="Calibri" w:cs="Calibri"/>
            <w:color w:val="0563C1"/>
            <w:sz w:val="24"/>
            <w:szCs w:val="24"/>
            <w:u w:val="single"/>
            <w:lang w:val="en-GB" w:eastAsia="ru-RU"/>
          </w:rPr>
          <w:t>w.j.pontefract@sheffield.ac.uk</w:t>
        </w:r>
      </w:hyperlink>
      <w:r w:rsidRPr="00BE0BCD">
        <w:rPr>
          <w:rFonts w:ascii="Calibri" w:eastAsia="Times New Roman" w:hAnsi="Calibri" w:cs="Calibri"/>
          <w:sz w:val="24"/>
          <w:szCs w:val="24"/>
          <w:lang w:val="en-GB" w:eastAsia="ru-RU"/>
        </w:rPr>
        <w:t xml:space="preserve"> </w:t>
      </w:r>
    </w:p>
    <w:p w14:paraId="642B488A" w14:textId="77777777" w:rsidR="00BE0BCD" w:rsidRPr="00BE0BCD" w:rsidRDefault="00BE0BCD" w:rsidP="001A0941">
      <w:pPr>
        <w:spacing w:after="0" w:line="276" w:lineRule="auto"/>
        <w:ind w:left="567" w:right="1133"/>
        <w:rPr>
          <w:rFonts w:ascii="Calibri" w:eastAsia="Times New Roman" w:hAnsi="Calibri" w:cs="Calibri"/>
          <w:sz w:val="24"/>
          <w:szCs w:val="24"/>
          <w:lang w:val="en-GB" w:eastAsia="ru-RU"/>
        </w:rPr>
      </w:pPr>
    </w:p>
    <w:p w14:paraId="6B8ACD6B" w14:textId="77777777" w:rsidR="00BE0BCD" w:rsidRPr="00BE0BCD" w:rsidRDefault="00BE0BCD" w:rsidP="001A0941">
      <w:pPr>
        <w:spacing w:after="0" w:line="276" w:lineRule="auto"/>
        <w:ind w:left="567" w:right="1133"/>
        <w:rPr>
          <w:rFonts w:ascii="Calibri" w:eastAsia="Times New Roman" w:hAnsi="Calibri" w:cs="Calibri"/>
          <w:sz w:val="24"/>
          <w:szCs w:val="24"/>
          <w:lang w:val="en-GB" w:eastAsia="ru-RU"/>
        </w:rPr>
      </w:pPr>
      <w:r w:rsidRPr="00BE0BCD">
        <w:rPr>
          <w:rFonts w:ascii="Calibri" w:eastAsia="Times New Roman" w:hAnsi="Calibri" w:cs="Calibri"/>
          <w:sz w:val="24"/>
          <w:szCs w:val="24"/>
          <w:lang w:val="en-GB" w:eastAsia="ru-RU"/>
        </w:rPr>
        <w:br w:type="page"/>
      </w:r>
    </w:p>
    <w:p w14:paraId="3CD4137D" w14:textId="746E3BB0" w:rsidR="003815DE" w:rsidRDefault="003815DE" w:rsidP="001A0941">
      <w:pPr>
        <w:pStyle w:val="Heading3"/>
        <w:shd w:val="clear" w:color="auto" w:fill="FFFFFF"/>
        <w:spacing w:before="308" w:after="154" w:line="300" w:lineRule="atLeast"/>
        <w:ind w:left="567"/>
        <w:rPr>
          <w:rStyle w:val="Emphasis"/>
          <w:rFonts w:asciiTheme="minorHAnsi" w:hAnsiTheme="minorHAnsi" w:cstheme="minorHAnsi"/>
          <w:b/>
          <w:bCs/>
          <w:i w:val="0"/>
          <w:color w:val="auto"/>
          <w:sz w:val="32"/>
          <w:szCs w:val="32"/>
          <w:lang w:val="en-GB"/>
        </w:rPr>
      </w:pPr>
      <w:r w:rsidRPr="0099220F">
        <w:rPr>
          <w:rStyle w:val="Emphasis"/>
          <w:rFonts w:asciiTheme="minorHAnsi" w:hAnsiTheme="minorHAnsi" w:cstheme="minorHAnsi"/>
          <w:b/>
          <w:bCs/>
          <w:i w:val="0"/>
          <w:color w:val="auto"/>
          <w:sz w:val="32"/>
          <w:szCs w:val="32"/>
          <w:lang w:val="en-GB"/>
        </w:rPr>
        <w:lastRenderedPageBreak/>
        <w:t>Abstract</w:t>
      </w:r>
    </w:p>
    <w:p w14:paraId="43F4B750" w14:textId="1E2952F4" w:rsidR="00D46F52" w:rsidRDefault="00D46F52" w:rsidP="00D46F52">
      <w:pPr>
        <w:rPr>
          <w:lang w:val="en-GB"/>
        </w:rPr>
      </w:pPr>
    </w:p>
    <w:p w14:paraId="27666E34" w14:textId="77777777" w:rsidR="00D46F52" w:rsidRPr="00D46F52" w:rsidRDefault="00D46F52" w:rsidP="00D46F52">
      <w:pPr>
        <w:keepNext/>
        <w:keepLines/>
        <w:spacing w:before="200" w:after="0" w:line="276" w:lineRule="auto"/>
        <w:ind w:left="567" w:right="1133"/>
        <w:jc w:val="both"/>
        <w:outlineLvl w:val="1"/>
        <w:rPr>
          <w:rFonts w:ascii="Calibri" w:eastAsia="Times New Roman" w:hAnsi="Calibri" w:cs="Calibri"/>
          <w:b/>
          <w:bCs/>
          <w:color w:val="000000"/>
          <w:sz w:val="24"/>
          <w:szCs w:val="24"/>
          <w:lang w:eastAsia="ru-RU"/>
        </w:rPr>
      </w:pPr>
      <w:r w:rsidRPr="00D46F52">
        <w:rPr>
          <w:rFonts w:ascii="Calibri" w:eastAsia="Times New Roman" w:hAnsi="Calibri" w:cs="Calibri"/>
          <w:b/>
          <w:bCs/>
          <w:color w:val="000000"/>
          <w:sz w:val="24"/>
          <w:szCs w:val="24"/>
          <w:lang w:eastAsia="ru-RU"/>
        </w:rPr>
        <w:t>Mini Abstract</w:t>
      </w:r>
    </w:p>
    <w:p w14:paraId="1F9E786A" w14:textId="6928982B" w:rsidR="00D46F52" w:rsidRPr="00D46F52" w:rsidRDefault="0052267F" w:rsidP="00D46F52">
      <w:pPr>
        <w:keepNext/>
        <w:keepLines/>
        <w:spacing w:before="200" w:after="0" w:line="276" w:lineRule="auto"/>
        <w:ind w:left="567" w:right="1133"/>
        <w:jc w:val="both"/>
        <w:outlineLvl w:val="1"/>
        <w:rPr>
          <w:rFonts w:ascii="Calibri" w:eastAsia="Times New Roman" w:hAnsi="Calibri" w:cs="Calibri"/>
          <w:bCs/>
          <w:color w:val="000000"/>
          <w:sz w:val="24"/>
          <w:szCs w:val="24"/>
          <w:lang w:eastAsia="ru-RU"/>
        </w:rPr>
      </w:pPr>
      <w:r>
        <w:rPr>
          <w:rFonts w:ascii="Calibri" w:eastAsia="Times New Roman" w:hAnsi="Calibri" w:cs="Calibri"/>
          <w:bCs/>
          <w:color w:val="000000"/>
          <w:sz w:val="24"/>
          <w:szCs w:val="24"/>
          <w:lang w:eastAsia="ru-RU"/>
        </w:rPr>
        <w:t>A r</w:t>
      </w:r>
      <w:r w:rsidR="00D46F52" w:rsidRPr="00D46F52">
        <w:rPr>
          <w:rFonts w:ascii="Calibri" w:eastAsia="Times New Roman" w:hAnsi="Calibri" w:cs="Calibri"/>
          <w:bCs/>
          <w:color w:val="000000"/>
          <w:sz w:val="24"/>
          <w:szCs w:val="24"/>
          <w:lang w:eastAsia="ru-RU"/>
        </w:rPr>
        <w:t xml:space="preserve">etrospective population-based survey </w:t>
      </w:r>
      <w:r w:rsidR="00481710" w:rsidRPr="00481710">
        <w:rPr>
          <w:rFonts w:ascii="Calibri" w:eastAsia="Times New Roman" w:hAnsi="Calibri" w:cs="Calibri"/>
          <w:bCs/>
          <w:color w:val="000000"/>
          <w:sz w:val="24"/>
          <w:szCs w:val="24"/>
          <w:lang w:eastAsia="ru-RU"/>
        </w:rPr>
        <w:t xml:space="preserve">was undertaken </w:t>
      </w:r>
      <w:r w:rsidR="00D46F52" w:rsidRPr="00D46F52">
        <w:rPr>
          <w:rFonts w:ascii="Calibri" w:eastAsia="Times New Roman" w:hAnsi="Calibri" w:cs="Calibri"/>
          <w:bCs/>
          <w:color w:val="000000"/>
          <w:sz w:val="24"/>
          <w:szCs w:val="24"/>
          <w:lang w:eastAsia="ru-RU"/>
        </w:rPr>
        <w:t xml:space="preserve">in </w:t>
      </w:r>
      <w:r w:rsidR="00D76AC5">
        <w:rPr>
          <w:rFonts w:ascii="Calibri" w:eastAsia="Times New Roman" w:hAnsi="Calibri" w:cs="Calibri"/>
          <w:bCs/>
          <w:color w:val="000000"/>
          <w:sz w:val="24"/>
          <w:szCs w:val="24"/>
          <w:lang w:eastAsia="ru-RU"/>
        </w:rPr>
        <w:t>a</w:t>
      </w:r>
      <w:r w:rsidR="00D46F52" w:rsidRPr="00D46F52">
        <w:rPr>
          <w:rFonts w:ascii="Calibri" w:eastAsia="Times New Roman" w:hAnsi="Calibri" w:cs="Calibri"/>
          <w:bCs/>
          <w:color w:val="000000"/>
          <w:sz w:val="24"/>
          <w:szCs w:val="24"/>
          <w:lang w:eastAsia="ru-RU"/>
        </w:rPr>
        <w:t xml:space="preserve"> region of </w:t>
      </w:r>
      <w:r w:rsidR="00D76AC5">
        <w:rPr>
          <w:rFonts w:ascii="Calibri" w:eastAsia="Times New Roman" w:hAnsi="Calibri" w:cs="Calibri"/>
          <w:bCs/>
          <w:color w:val="000000"/>
          <w:sz w:val="24"/>
          <w:szCs w:val="24"/>
          <w:lang w:eastAsia="ru-RU"/>
        </w:rPr>
        <w:t>Bulgaria</w:t>
      </w:r>
      <w:r w:rsidR="00D46F52" w:rsidRPr="00D46F52">
        <w:rPr>
          <w:rFonts w:ascii="Calibri" w:eastAsia="Times New Roman" w:hAnsi="Calibri" w:cs="Calibri"/>
          <w:bCs/>
          <w:color w:val="000000"/>
          <w:sz w:val="24"/>
          <w:szCs w:val="24"/>
          <w:lang w:eastAsia="ru-RU"/>
        </w:rPr>
        <w:t xml:space="preserve"> </w:t>
      </w:r>
      <w:r w:rsidR="002E66B7">
        <w:rPr>
          <w:rFonts w:ascii="Calibri" w:eastAsia="Times New Roman" w:hAnsi="Calibri" w:cs="Calibri"/>
          <w:bCs/>
          <w:color w:val="000000"/>
          <w:sz w:val="24"/>
          <w:szCs w:val="24"/>
          <w:lang w:eastAsia="ru-RU"/>
        </w:rPr>
        <w:t xml:space="preserve">to </w:t>
      </w:r>
      <w:r w:rsidR="00D46F52" w:rsidRPr="00D46F52">
        <w:rPr>
          <w:rFonts w:ascii="Calibri" w:eastAsia="Times New Roman" w:hAnsi="Calibri" w:cs="Calibri"/>
          <w:bCs/>
          <w:color w:val="000000"/>
          <w:sz w:val="24"/>
          <w:szCs w:val="24"/>
          <w:lang w:eastAsia="ru-RU"/>
        </w:rPr>
        <w:t xml:space="preserve">determine the incidence of </w:t>
      </w:r>
      <w:r w:rsidR="00E3635A">
        <w:rPr>
          <w:rFonts w:ascii="Calibri" w:eastAsia="Times New Roman" w:hAnsi="Calibri" w:cs="Calibri"/>
          <w:bCs/>
          <w:color w:val="000000"/>
          <w:sz w:val="24"/>
          <w:szCs w:val="24"/>
          <w:lang w:eastAsia="ru-RU"/>
        </w:rPr>
        <w:t xml:space="preserve">hip </w:t>
      </w:r>
      <w:r w:rsidR="00D46F52" w:rsidRPr="00D46F52">
        <w:rPr>
          <w:rFonts w:ascii="Calibri" w:eastAsia="Times New Roman" w:hAnsi="Calibri" w:cs="Calibri"/>
          <w:bCs/>
          <w:color w:val="000000"/>
          <w:sz w:val="24"/>
          <w:szCs w:val="24"/>
          <w:lang w:eastAsia="ru-RU"/>
        </w:rPr>
        <w:t xml:space="preserve">fracture. The estimated number of </w:t>
      </w:r>
      <w:r w:rsidR="00580791">
        <w:rPr>
          <w:rFonts w:ascii="Calibri" w:eastAsia="Times New Roman" w:hAnsi="Calibri" w:cs="Calibri"/>
          <w:bCs/>
          <w:color w:val="000000"/>
          <w:sz w:val="24"/>
          <w:szCs w:val="24"/>
          <w:lang w:eastAsia="ru-RU"/>
        </w:rPr>
        <w:t>hip</w:t>
      </w:r>
      <w:r w:rsidR="00D46F52" w:rsidRPr="00D46F52">
        <w:rPr>
          <w:rFonts w:ascii="Calibri" w:eastAsia="Times New Roman" w:hAnsi="Calibri" w:cs="Calibri"/>
          <w:bCs/>
          <w:color w:val="000000"/>
          <w:sz w:val="24"/>
          <w:szCs w:val="24"/>
          <w:lang w:eastAsia="ru-RU"/>
        </w:rPr>
        <w:t xml:space="preserve"> fractures nationwide for 2015 was </w:t>
      </w:r>
      <w:r w:rsidR="00D41C07">
        <w:rPr>
          <w:rFonts w:ascii="Calibri" w:eastAsia="Times New Roman" w:hAnsi="Calibri" w:cs="Calibri"/>
          <w:bCs/>
          <w:color w:val="000000"/>
          <w:sz w:val="24"/>
          <w:szCs w:val="24"/>
          <w:lang w:eastAsia="ru-RU"/>
        </w:rPr>
        <w:t>9,322</w:t>
      </w:r>
      <w:r w:rsidR="00D46F52" w:rsidRPr="00D46F52">
        <w:rPr>
          <w:rFonts w:ascii="Calibri" w:eastAsia="Times New Roman" w:hAnsi="Calibri" w:cs="Calibri"/>
          <w:bCs/>
          <w:color w:val="000000"/>
          <w:sz w:val="24"/>
          <w:szCs w:val="24"/>
          <w:lang w:eastAsia="ru-RU"/>
        </w:rPr>
        <w:t xml:space="preserve"> and is predicted to increase to </w:t>
      </w:r>
      <w:r w:rsidR="00D41C07">
        <w:rPr>
          <w:rFonts w:ascii="Calibri" w:eastAsia="Times New Roman" w:hAnsi="Calibri" w:cs="Calibri"/>
          <w:bCs/>
          <w:color w:val="000000"/>
          <w:sz w:val="24"/>
          <w:szCs w:val="24"/>
          <w:lang w:eastAsia="ru-RU"/>
        </w:rPr>
        <w:t>11,398</w:t>
      </w:r>
      <w:r w:rsidR="00D46F52" w:rsidRPr="00D46F52">
        <w:rPr>
          <w:rFonts w:ascii="Calibri" w:eastAsia="Times New Roman" w:hAnsi="Calibri" w:cs="Calibri"/>
          <w:bCs/>
          <w:color w:val="000000"/>
          <w:sz w:val="24"/>
          <w:szCs w:val="24"/>
          <w:lang w:eastAsia="ru-RU"/>
        </w:rPr>
        <w:t xml:space="preserve"> in 2050. The hip fracture rates were used to create a FRAX model.</w:t>
      </w:r>
    </w:p>
    <w:p w14:paraId="1D7E44D7" w14:textId="77777777" w:rsidR="00D46F52" w:rsidRPr="00D46F52" w:rsidRDefault="00D46F52" w:rsidP="00D46F52">
      <w:pPr>
        <w:keepNext/>
        <w:keepLines/>
        <w:spacing w:before="200" w:after="0" w:line="276" w:lineRule="auto"/>
        <w:ind w:left="567" w:right="1133"/>
        <w:jc w:val="both"/>
        <w:outlineLvl w:val="1"/>
        <w:rPr>
          <w:rFonts w:ascii="Calibri" w:eastAsia="Times New Roman" w:hAnsi="Calibri" w:cs="Calibri"/>
          <w:b/>
          <w:bCs/>
          <w:color w:val="000000"/>
          <w:sz w:val="24"/>
          <w:szCs w:val="24"/>
          <w:lang w:eastAsia="ru-RU"/>
        </w:rPr>
      </w:pPr>
      <w:r w:rsidRPr="00D46F52">
        <w:rPr>
          <w:rFonts w:ascii="Calibri" w:eastAsia="Times New Roman" w:hAnsi="Calibri" w:cs="Calibri"/>
          <w:b/>
          <w:bCs/>
          <w:color w:val="000000"/>
          <w:sz w:val="24"/>
          <w:szCs w:val="24"/>
          <w:lang w:eastAsia="ru-RU"/>
        </w:rPr>
        <w:t>Abstract</w:t>
      </w:r>
    </w:p>
    <w:p w14:paraId="1023A6C7" w14:textId="282627C1" w:rsidR="00D46F52" w:rsidRPr="00D46F52" w:rsidRDefault="00D46F52" w:rsidP="00D46F52">
      <w:pPr>
        <w:spacing w:after="200" w:line="276" w:lineRule="auto"/>
        <w:ind w:left="567" w:right="1133"/>
        <w:rPr>
          <w:rFonts w:ascii="Calibri" w:eastAsia="Times New Roman" w:hAnsi="Calibri" w:cs="Calibri"/>
          <w:sz w:val="24"/>
          <w:szCs w:val="24"/>
          <w:lang w:eastAsia="ru-RU"/>
        </w:rPr>
      </w:pPr>
      <w:r w:rsidRPr="00D46F52">
        <w:rPr>
          <w:rFonts w:ascii="Calibri" w:eastAsia="Times New Roman" w:hAnsi="Calibri" w:cs="Calibri"/>
          <w:i/>
          <w:sz w:val="24"/>
          <w:szCs w:val="24"/>
          <w:lang w:eastAsia="ru-RU"/>
        </w:rPr>
        <w:t>Objective</w:t>
      </w:r>
      <w:r w:rsidRPr="00D46F52">
        <w:rPr>
          <w:rFonts w:ascii="Calibri" w:eastAsia="Times New Roman" w:hAnsi="Calibri" w:cs="Calibri"/>
          <w:sz w:val="24"/>
          <w:szCs w:val="24"/>
          <w:lang w:eastAsia="ru-RU"/>
        </w:rPr>
        <w:t xml:space="preserve"> </w:t>
      </w:r>
      <w:r w:rsidR="00C06F31">
        <w:rPr>
          <w:rFonts w:ascii="Calibri" w:eastAsia="Times New Roman" w:hAnsi="Calibri" w:cs="Calibri"/>
          <w:sz w:val="24"/>
          <w:szCs w:val="24"/>
          <w:lang w:eastAsia="ru-RU"/>
        </w:rPr>
        <w:t>To</w:t>
      </w:r>
      <w:r w:rsidRPr="00D46F52">
        <w:rPr>
          <w:rFonts w:ascii="Calibri" w:eastAsia="Times New Roman" w:hAnsi="Calibri" w:cs="Calibri"/>
          <w:sz w:val="24"/>
          <w:szCs w:val="24"/>
          <w:lang w:eastAsia="ru-RU"/>
        </w:rPr>
        <w:t xml:space="preserve"> describe the epidemiology of </w:t>
      </w:r>
      <w:r w:rsidR="00C06F31">
        <w:rPr>
          <w:rFonts w:ascii="Calibri" w:eastAsia="Times New Roman" w:hAnsi="Calibri" w:cs="Calibri"/>
          <w:sz w:val="24"/>
          <w:szCs w:val="24"/>
          <w:lang w:eastAsia="ru-RU"/>
        </w:rPr>
        <w:t>hip</w:t>
      </w:r>
      <w:r w:rsidRPr="00D46F52">
        <w:rPr>
          <w:rFonts w:ascii="Calibri" w:eastAsia="Times New Roman" w:hAnsi="Calibri" w:cs="Calibri"/>
          <w:sz w:val="24"/>
          <w:szCs w:val="24"/>
          <w:lang w:eastAsia="ru-RU"/>
        </w:rPr>
        <w:t xml:space="preserve"> fractures in </w:t>
      </w:r>
      <w:r w:rsidR="00CF30AB">
        <w:rPr>
          <w:rFonts w:ascii="Calibri" w:eastAsia="Times New Roman" w:hAnsi="Calibri" w:cs="Calibri"/>
          <w:sz w:val="24"/>
          <w:szCs w:val="24"/>
          <w:lang w:eastAsia="ru-RU"/>
        </w:rPr>
        <w:t>Bulgaria</w:t>
      </w:r>
      <w:r w:rsidR="00CF30AB" w:rsidRPr="00D46F52">
        <w:rPr>
          <w:rFonts w:ascii="Calibri" w:eastAsia="Times New Roman" w:hAnsi="Calibri" w:cs="Calibri"/>
          <w:sz w:val="24"/>
          <w:szCs w:val="24"/>
          <w:lang w:eastAsia="ru-RU"/>
        </w:rPr>
        <w:t>,</w:t>
      </w:r>
      <w:r w:rsidR="002F1558" w:rsidRPr="002F1558">
        <w:rPr>
          <w:rFonts w:ascii="Calibri" w:eastAsia="Times New Roman" w:hAnsi="Calibri" w:cs="Calibri"/>
          <w:sz w:val="24"/>
          <w:szCs w:val="24"/>
          <w:lang w:eastAsia="ru-RU"/>
        </w:rPr>
        <w:t xml:space="preserve"> which was then </w:t>
      </w:r>
      <w:r w:rsidRPr="00D46F52">
        <w:rPr>
          <w:rFonts w:ascii="Calibri" w:eastAsia="Times New Roman" w:hAnsi="Calibri" w:cs="Calibri"/>
          <w:sz w:val="24"/>
          <w:szCs w:val="24"/>
          <w:lang w:eastAsia="ru-RU"/>
        </w:rPr>
        <w:t xml:space="preserve">used to develop the country-specific fracture prediction FRAX® tool. </w:t>
      </w:r>
    </w:p>
    <w:p w14:paraId="42C1DC63" w14:textId="163164F4" w:rsidR="00D46F52" w:rsidRPr="00D46F52" w:rsidRDefault="00D46F52" w:rsidP="00D46F52">
      <w:pPr>
        <w:spacing w:after="200" w:line="276" w:lineRule="auto"/>
        <w:ind w:left="567" w:right="1133"/>
        <w:rPr>
          <w:rFonts w:ascii="Calibri" w:eastAsia="Times New Roman" w:hAnsi="Calibri" w:cs="Calibri"/>
          <w:sz w:val="24"/>
          <w:szCs w:val="24"/>
          <w:lang w:eastAsia="ru-RU"/>
        </w:rPr>
      </w:pPr>
      <w:r w:rsidRPr="00D46F52">
        <w:rPr>
          <w:rFonts w:ascii="Calibri" w:eastAsia="Times New Roman" w:hAnsi="Calibri" w:cs="Calibri"/>
          <w:i/>
          <w:sz w:val="24"/>
          <w:szCs w:val="24"/>
          <w:lang w:eastAsia="ru-RU"/>
        </w:rPr>
        <w:t>Methods</w:t>
      </w:r>
      <w:r w:rsidRPr="00D46F52">
        <w:rPr>
          <w:rFonts w:ascii="Calibri" w:eastAsia="Times New Roman" w:hAnsi="Calibri" w:cs="Calibri"/>
          <w:sz w:val="24"/>
          <w:szCs w:val="24"/>
          <w:lang w:eastAsia="ru-RU"/>
        </w:rPr>
        <w:t xml:space="preserve"> We carried out a retrospective population-based survey in </w:t>
      </w:r>
      <w:r w:rsidR="00303744" w:rsidRPr="00303744">
        <w:rPr>
          <w:rFonts w:ascii="Calibri" w:eastAsia="Times New Roman" w:hAnsi="Calibri" w:cs="Calibri"/>
          <w:sz w:val="24"/>
          <w:szCs w:val="24"/>
          <w:lang w:eastAsia="ru-RU"/>
        </w:rPr>
        <w:t>Stara Zagora</w:t>
      </w:r>
      <w:r w:rsidR="00303744">
        <w:rPr>
          <w:rFonts w:ascii="Calibri" w:eastAsia="Times New Roman" w:hAnsi="Calibri" w:cs="Calibri"/>
          <w:sz w:val="24"/>
          <w:szCs w:val="24"/>
          <w:lang w:eastAsia="ru-RU"/>
        </w:rPr>
        <w:t xml:space="preserve">, </w:t>
      </w:r>
      <w:r w:rsidR="00303744" w:rsidRPr="00303744">
        <w:rPr>
          <w:rFonts w:ascii="Calibri" w:eastAsia="Times New Roman" w:hAnsi="Calibri" w:cs="Calibri"/>
          <w:sz w:val="24"/>
          <w:szCs w:val="24"/>
          <w:lang w:eastAsia="ru-RU"/>
        </w:rPr>
        <w:t>Bulgaria</w:t>
      </w:r>
      <w:r w:rsidRPr="00D46F52">
        <w:rPr>
          <w:rFonts w:ascii="Calibri" w:eastAsia="Times New Roman" w:hAnsi="Calibri" w:cs="Calibri"/>
          <w:sz w:val="24"/>
          <w:szCs w:val="24"/>
          <w:lang w:eastAsia="ru-RU"/>
        </w:rPr>
        <w:t xml:space="preserve"> representing approximately </w:t>
      </w:r>
      <w:r w:rsidR="00653276">
        <w:rPr>
          <w:rFonts w:ascii="Calibri" w:eastAsia="Times New Roman" w:hAnsi="Calibri" w:cs="Calibri"/>
          <w:sz w:val="24"/>
          <w:szCs w:val="24"/>
          <w:lang w:eastAsia="ru-RU"/>
        </w:rPr>
        <w:t>4.6</w:t>
      </w:r>
      <w:r w:rsidRPr="00D46F52">
        <w:rPr>
          <w:rFonts w:ascii="Calibri" w:eastAsia="Times New Roman" w:hAnsi="Calibri" w:cs="Calibri"/>
          <w:sz w:val="24"/>
          <w:szCs w:val="24"/>
          <w:lang w:eastAsia="ru-RU"/>
        </w:rPr>
        <w:t xml:space="preserve">% of the country’s population. We identified hip fractures </w:t>
      </w:r>
      <w:r w:rsidR="00711414">
        <w:rPr>
          <w:rFonts w:ascii="Calibri" w:eastAsia="Times New Roman" w:hAnsi="Calibri" w:cs="Calibri"/>
          <w:sz w:val="24"/>
          <w:szCs w:val="24"/>
          <w:lang w:eastAsia="ru-RU"/>
        </w:rPr>
        <w:t xml:space="preserve">occurring </w:t>
      </w:r>
      <w:r w:rsidRPr="00D46F52">
        <w:rPr>
          <w:rFonts w:ascii="Calibri" w:eastAsia="Times New Roman" w:hAnsi="Calibri" w:cs="Calibri"/>
          <w:sz w:val="24"/>
          <w:szCs w:val="24"/>
          <w:lang w:eastAsia="ru-RU"/>
        </w:rPr>
        <w:t xml:space="preserve">in </w:t>
      </w:r>
      <w:r w:rsidR="0000080E">
        <w:rPr>
          <w:rFonts w:eastAsia="Times New Roman" w:cstheme="minorHAnsi"/>
          <w:color w:val="000000"/>
          <w:sz w:val="24"/>
          <w:szCs w:val="24"/>
          <w:lang w:val="en-GB"/>
        </w:rPr>
        <w:t xml:space="preserve">2015, 2016 and </w:t>
      </w:r>
      <w:r w:rsidR="0000080E" w:rsidRPr="0099220F">
        <w:rPr>
          <w:rFonts w:eastAsia="Times New Roman" w:cstheme="minorHAnsi"/>
          <w:color w:val="000000"/>
          <w:sz w:val="24"/>
          <w:szCs w:val="24"/>
          <w:lang w:val="en-GB"/>
        </w:rPr>
        <w:t>2017</w:t>
      </w:r>
      <w:r w:rsidR="00711414">
        <w:rPr>
          <w:rFonts w:eastAsia="Times New Roman" w:cstheme="minorHAnsi"/>
          <w:color w:val="000000"/>
          <w:sz w:val="24"/>
          <w:szCs w:val="24"/>
          <w:lang w:val="en-GB"/>
        </w:rPr>
        <w:t xml:space="preserve"> </w:t>
      </w:r>
      <w:r w:rsidRPr="00D46F52">
        <w:rPr>
          <w:rFonts w:ascii="Calibri" w:eastAsia="Times New Roman" w:hAnsi="Calibri" w:cs="Calibri"/>
          <w:sz w:val="24"/>
          <w:szCs w:val="24"/>
          <w:lang w:eastAsia="ru-RU"/>
        </w:rPr>
        <w:t>from hospital registers and primary care sources</w:t>
      </w:r>
      <w:r w:rsidR="006B3872">
        <w:rPr>
          <w:rFonts w:ascii="Calibri" w:eastAsia="Times New Roman" w:hAnsi="Calibri" w:cs="Calibri"/>
          <w:sz w:val="24"/>
          <w:szCs w:val="24"/>
          <w:lang w:eastAsia="ru-RU"/>
        </w:rPr>
        <w:t xml:space="preserve"> held by</w:t>
      </w:r>
      <w:r w:rsidR="0031597B">
        <w:rPr>
          <w:rFonts w:ascii="Calibri" w:eastAsia="Times New Roman" w:hAnsi="Calibri" w:cs="Calibri"/>
          <w:sz w:val="24"/>
          <w:szCs w:val="24"/>
          <w:lang w:eastAsia="ru-RU"/>
        </w:rPr>
        <w:t xml:space="preserve"> the</w:t>
      </w:r>
      <w:r w:rsidR="006B3872">
        <w:rPr>
          <w:rFonts w:ascii="Calibri" w:eastAsia="Times New Roman" w:hAnsi="Calibri" w:cs="Calibri"/>
          <w:sz w:val="24"/>
          <w:szCs w:val="24"/>
          <w:lang w:eastAsia="ru-RU"/>
        </w:rPr>
        <w:t xml:space="preserve"> </w:t>
      </w:r>
      <w:r w:rsidR="00B848CD" w:rsidRPr="00B848CD">
        <w:rPr>
          <w:rFonts w:ascii="Calibri" w:eastAsia="Times New Roman" w:hAnsi="Calibri" w:cs="Calibri"/>
          <w:sz w:val="24"/>
          <w:szCs w:val="24"/>
          <w:lang w:eastAsia="ru-RU"/>
        </w:rPr>
        <w:t>regional health insurance</w:t>
      </w:r>
      <w:r w:rsidR="00B848CD">
        <w:rPr>
          <w:rFonts w:ascii="Calibri" w:eastAsia="Times New Roman" w:hAnsi="Calibri" w:cs="Calibri"/>
          <w:sz w:val="24"/>
          <w:szCs w:val="24"/>
          <w:lang w:eastAsia="ru-RU"/>
        </w:rPr>
        <w:t xml:space="preserve"> agency</w:t>
      </w:r>
      <w:r w:rsidRPr="00D46F52">
        <w:rPr>
          <w:rFonts w:ascii="Calibri" w:eastAsia="Times New Roman" w:hAnsi="Calibri" w:cs="Calibri"/>
          <w:sz w:val="24"/>
          <w:szCs w:val="24"/>
          <w:lang w:eastAsia="ru-RU"/>
        </w:rPr>
        <w:t xml:space="preserve">. Age- and sex-specific incidence of hip fracture and national mortality rates were incorporated into a FRAX model for </w:t>
      </w:r>
      <w:r w:rsidR="00B848CD">
        <w:rPr>
          <w:rFonts w:ascii="Calibri" w:eastAsia="Times New Roman" w:hAnsi="Calibri" w:cs="Calibri"/>
          <w:sz w:val="24"/>
          <w:szCs w:val="24"/>
          <w:lang w:eastAsia="ru-RU"/>
        </w:rPr>
        <w:t>Bulgaria</w:t>
      </w:r>
      <w:r w:rsidRPr="00D46F52">
        <w:rPr>
          <w:rFonts w:ascii="Calibri" w:eastAsia="Times New Roman" w:hAnsi="Calibri" w:cs="Calibri"/>
          <w:sz w:val="24"/>
          <w:szCs w:val="24"/>
          <w:lang w:eastAsia="ru-RU"/>
        </w:rPr>
        <w:t>. Fracture probabilities were compared with those from neighbo</w:t>
      </w:r>
      <w:r w:rsidR="00390987">
        <w:rPr>
          <w:rFonts w:ascii="Calibri" w:eastAsia="Times New Roman" w:hAnsi="Calibri" w:cs="Calibri"/>
          <w:sz w:val="24"/>
          <w:szCs w:val="24"/>
          <w:lang w:eastAsia="ru-RU"/>
        </w:rPr>
        <w:t>u</w:t>
      </w:r>
      <w:r w:rsidRPr="00D46F52">
        <w:rPr>
          <w:rFonts w:ascii="Calibri" w:eastAsia="Times New Roman" w:hAnsi="Calibri" w:cs="Calibri"/>
          <w:sz w:val="24"/>
          <w:szCs w:val="24"/>
          <w:lang w:eastAsia="ru-RU"/>
        </w:rPr>
        <w:t xml:space="preserve">ring countries having FRAX models. </w:t>
      </w:r>
    </w:p>
    <w:p w14:paraId="22308F5E" w14:textId="2930CB05" w:rsidR="00D46F52" w:rsidRPr="00D46F52" w:rsidRDefault="00D46F52" w:rsidP="00D46F52">
      <w:pPr>
        <w:spacing w:after="200" w:line="276" w:lineRule="auto"/>
        <w:ind w:left="567" w:right="1133"/>
        <w:rPr>
          <w:rFonts w:ascii="Calibri" w:eastAsia="Times New Roman" w:hAnsi="Calibri" w:cs="Calibri"/>
          <w:sz w:val="24"/>
          <w:szCs w:val="24"/>
          <w:lang w:eastAsia="ru-RU"/>
        </w:rPr>
      </w:pPr>
      <w:r w:rsidRPr="00D46F52">
        <w:rPr>
          <w:rFonts w:ascii="Calibri" w:eastAsia="Times New Roman" w:hAnsi="Calibri" w:cs="Calibri"/>
          <w:i/>
          <w:sz w:val="24"/>
          <w:szCs w:val="24"/>
          <w:lang w:eastAsia="ru-RU"/>
        </w:rPr>
        <w:t>Results</w:t>
      </w:r>
      <w:r w:rsidRPr="00D46F52">
        <w:rPr>
          <w:rFonts w:ascii="Calibri" w:eastAsia="Times New Roman" w:hAnsi="Calibri" w:cs="Calibri"/>
          <w:sz w:val="24"/>
          <w:szCs w:val="24"/>
          <w:lang w:eastAsia="ru-RU"/>
        </w:rPr>
        <w:t xml:space="preserve"> The incidence of hip fracture applied nationally suggested that the estimated number of hip fractures nationwide in persons over the age of 50 years for 2015 </w:t>
      </w:r>
      <w:r w:rsidR="000715E9">
        <w:rPr>
          <w:rFonts w:ascii="Calibri" w:eastAsia="Times New Roman" w:hAnsi="Calibri" w:cs="Calibri"/>
          <w:sz w:val="24"/>
          <w:szCs w:val="24"/>
          <w:lang w:eastAsia="ru-RU"/>
        </w:rPr>
        <w:t xml:space="preserve">was </w:t>
      </w:r>
      <w:r w:rsidR="00B848CD" w:rsidRPr="00B848CD">
        <w:rPr>
          <w:rFonts w:ascii="Calibri" w:eastAsia="Times New Roman" w:hAnsi="Calibri" w:cs="Calibri"/>
          <w:sz w:val="24"/>
          <w:szCs w:val="24"/>
          <w:lang w:eastAsia="ru-RU"/>
        </w:rPr>
        <w:t>9,322 and is predicted to increase to 11,398 in 2050</w:t>
      </w:r>
      <w:r w:rsidRPr="00D46F52">
        <w:rPr>
          <w:rFonts w:ascii="Calibri" w:eastAsia="Times New Roman" w:hAnsi="Calibri" w:cs="Calibri"/>
          <w:sz w:val="24"/>
          <w:szCs w:val="24"/>
          <w:lang w:eastAsia="ru-RU"/>
        </w:rPr>
        <w:t xml:space="preserve">. FRAX-based probabilities </w:t>
      </w:r>
      <w:r w:rsidRPr="00C451C0">
        <w:rPr>
          <w:rFonts w:ascii="Calibri" w:eastAsia="Times New Roman" w:hAnsi="Calibri" w:cs="Calibri"/>
          <w:sz w:val="24"/>
          <w:szCs w:val="24"/>
          <w:lang w:eastAsia="ru-RU"/>
        </w:rPr>
        <w:t xml:space="preserve">were higher in </w:t>
      </w:r>
      <w:r w:rsidR="00F938B4" w:rsidRPr="00C451C0">
        <w:rPr>
          <w:rFonts w:ascii="Calibri" w:eastAsia="Times New Roman" w:hAnsi="Calibri" w:cs="Calibri"/>
          <w:sz w:val="24"/>
          <w:szCs w:val="24"/>
          <w:lang w:eastAsia="ru-RU"/>
        </w:rPr>
        <w:t>Bul</w:t>
      </w:r>
      <w:r w:rsidR="00AC0305" w:rsidRPr="00C451C0">
        <w:rPr>
          <w:rFonts w:ascii="Calibri" w:eastAsia="Times New Roman" w:hAnsi="Calibri" w:cs="Calibri"/>
          <w:sz w:val="24"/>
          <w:szCs w:val="24"/>
          <w:lang w:eastAsia="ru-RU"/>
        </w:rPr>
        <w:t>g</w:t>
      </w:r>
      <w:r w:rsidR="00F938B4" w:rsidRPr="00C451C0">
        <w:rPr>
          <w:rFonts w:ascii="Calibri" w:eastAsia="Times New Roman" w:hAnsi="Calibri" w:cs="Calibri"/>
          <w:sz w:val="24"/>
          <w:szCs w:val="24"/>
          <w:lang w:eastAsia="ru-RU"/>
        </w:rPr>
        <w:t>ari</w:t>
      </w:r>
      <w:r w:rsidR="00AC0305" w:rsidRPr="00C451C0">
        <w:rPr>
          <w:rFonts w:ascii="Calibri" w:eastAsia="Times New Roman" w:hAnsi="Calibri" w:cs="Calibri"/>
          <w:sz w:val="24"/>
          <w:szCs w:val="24"/>
          <w:lang w:eastAsia="ru-RU"/>
        </w:rPr>
        <w:t>a</w:t>
      </w:r>
      <w:r w:rsidRPr="00C451C0">
        <w:rPr>
          <w:rFonts w:ascii="Calibri" w:eastAsia="Times New Roman" w:hAnsi="Calibri" w:cs="Calibri"/>
          <w:sz w:val="24"/>
          <w:szCs w:val="24"/>
          <w:lang w:eastAsia="ru-RU"/>
        </w:rPr>
        <w:t xml:space="preserve"> than </w:t>
      </w:r>
      <w:r w:rsidR="001C6FAB" w:rsidRPr="00C451C0">
        <w:rPr>
          <w:rFonts w:ascii="Calibri" w:eastAsia="Times New Roman" w:hAnsi="Calibri" w:cs="Calibri"/>
          <w:sz w:val="24"/>
          <w:szCs w:val="24"/>
          <w:lang w:eastAsia="ru-RU"/>
        </w:rPr>
        <w:t xml:space="preserve">in Serbia or </w:t>
      </w:r>
      <w:r w:rsidR="00C451C0" w:rsidRPr="00C451C0">
        <w:rPr>
          <w:rFonts w:ascii="Calibri" w:eastAsia="Times New Roman" w:hAnsi="Calibri" w:cs="Calibri"/>
          <w:sz w:val="24"/>
          <w:szCs w:val="24"/>
          <w:lang w:eastAsia="ru-RU"/>
        </w:rPr>
        <w:t>Romania, lower</w:t>
      </w:r>
      <w:r w:rsidR="00F35457" w:rsidRPr="00C451C0">
        <w:rPr>
          <w:rFonts w:ascii="Calibri" w:eastAsia="Times New Roman" w:hAnsi="Calibri" w:cs="Calibri"/>
          <w:sz w:val="24"/>
          <w:szCs w:val="24"/>
          <w:lang w:eastAsia="ru-RU"/>
        </w:rPr>
        <w:t xml:space="preserve"> than </w:t>
      </w:r>
      <w:r w:rsidR="00DE4396" w:rsidRPr="00C451C0">
        <w:rPr>
          <w:rFonts w:ascii="Calibri" w:eastAsia="Times New Roman" w:hAnsi="Calibri" w:cs="Calibri"/>
          <w:sz w:val="24"/>
          <w:szCs w:val="24"/>
          <w:lang w:eastAsia="ru-RU"/>
        </w:rPr>
        <w:t>probabilities for</w:t>
      </w:r>
      <w:r w:rsidR="00F35457" w:rsidRPr="00C451C0">
        <w:rPr>
          <w:rFonts w:ascii="Calibri" w:eastAsia="Times New Roman" w:hAnsi="Calibri" w:cs="Calibri"/>
          <w:sz w:val="24"/>
          <w:szCs w:val="24"/>
          <w:lang w:eastAsia="ru-RU"/>
        </w:rPr>
        <w:t xml:space="preserve"> </w:t>
      </w:r>
      <w:r w:rsidR="00CA469F" w:rsidRPr="00C451C0">
        <w:rPr>
          <w:rFonts w:ascii="Calibri" w:eastAsia="Times New Roman" w:hAnsi="Calibri" w:cs="Calibri"/>
          <w:sz w:val="24"/>
          <w:szCs w:val="24"/>
          <w:lang w:eastAsia="ru-RU"/>
        </w:rPr>
        <w:t>Turkey</w:t>
      </w:r>
      <w:r w:rsidR="00DD4D10">
        <w:rPr>
          <w:rFonts w:ascii="Calibri" w:eastAsia="Times New Roman" w:hAnsi="Calibri" w:cs="Calibri"/>
          <w:sz w:val="24"/>
          <w:szCs w:val="24"/>
          <w:lang w:eastAsia="ru-RU"/>
        </w:rPr>
        <w:t>,</w:t>
      </w:r>
      <w:r w:rsidR="00CA469F" w:rsidRPr="00C451C0">
        <w:rPr>
          <w:rFonts w:ascii="Calibri" w:eastAsia="Times New Roman" w:hAnsi="Calibri" w:cs="Calibri"/>
          <w:sz w:val="24"/>
          <w:szCs w:val="24"/>
          <w:lang w:eastAsia="ru-RU"/>
        </w:rPr>
        <w:t xml:space="preserve"> and similar to those for Greece. </w:t>
      </w:r>
      <w:r w:rsidR="00F35457" w:rsidRPr="00C451C0">
        <w:rPr>
          <w:rFonts w:ascii="Calibri" w:eastAsia="Times New Roman" w:hAnsi="Calibri" w:cs="Calibri"/>
          <w:sz w:val="24"/>
          <w:szCs w:val="24"/>
          <w:lang w:eastAsia="ru-RU"/>
        </w:rPr>
        <w:t xml:space="preserve"> </w:t>
      </w:r>
    </w:p>
    <w:p w14:paraId="3BF8D4FA" w14:textId="3B780680" w:rsidR="00D46F52" w:rsidRPr="00D46F52" w:rsidRDefault="00D46F52" w:rsidP="00D46F52">
      <w:pPr>
        <w:spacing w:after="200" w:line="276" w:lineRule="auto"/>
        <w:ind w:left="567" w:right="1133"/>
        <w:rPr>
          <w:rFonts w:ascii="Calibri" w:eastAsia="Times New Roman" w:hAnsi="Calibri" w:cs="Calibri"/>
          <w:sz w:val="24"/>
          <w:szCs w:val="24"/>
          <w:lang w:eastAsia="ru-RU"/>
        </w:rPr>
      </w:pPr>
      <w:r w:rsidRPr="00D46F52">
        <w:rPr>
          <w:rFonts w:ascii="Calibri" w:eastAsia="Times New Roman" w:hAnsi="Calibri" w:cs="Calibri"/>
          <w:i/>
          <w:sz w:val="24"/>
          <w:szCs w:val="24"/>
          <w:lang w:eastAsia="ru-RU"/>
        </w:rPr>
        <w:t>Conclusion</w:t>
      </w:r>
      <w:r w:rsidRPr="00D46F52">
        <w:rPr>
          <w:rFonts w:ascii="Calibri" w:eastAsia="Times New Roman" w:hAnsi="Calibri" w:cs="Calibri"/>
          <w:sz w:val="24"/>
          <w:szCs w:val="24"/>
          <w:lang w:eastAsia="ru-RU"/>
        </w:rPr>
        <w:t xml:space="preserve"> The FRAX model should enhance accuracy of determining fracture probability among the </w:t>
      </w:r>
      <w:r w:rsidR="00EB106E">
        <w:rPr>
          <w:rFonts w:ascii="Calibri" w:eastAsia="Times New Roman" w:hAnsi="Calibri" w:cs="Calibri"/>
          <w:sz w:val="24"/>
          <w:szCs w:val="24"/>
          <w:lang w:eastAsia="ru-RU"/>
        </w:rPr>
        <w:t>Bulgarian</w:t>
      </w:r>
      <w:r w:rsidRPr="00D46F52">
        <w:rPr>
          <w:rFonts w:ascii="Calibri" w:eastAsia="Times New Roman" w:hAnsi="Calibri" w:cs="Calibri"/>
          <w:sz w:val="24"/>
          <w:szCs w:val="24"/>
          <w:lang w:eastAsia="ru-RU"/>
        </w:rPr>
        <w:t xml:space="preserve"> population and help guide decisions about treatment.</w:t>
      </w:r>
    </w:p>
    <w:p w14:paraId="32601AC8" w14:textId="77777777" w:rsidR="00D46F52" w:rsidRPr="00D46F52" w:rsidRDefault="00D46F52" w:rsidP="00D46F52">
      <w:pPr>
        <w:rPr>
          <w:lang w:val="en-GB"/>
        </w:rPr>
      </w:pPr>
    </w:p>
    <w:p w14:paraId="65EC5EFD" w14:textId="73093247" w:rsidR="00D46160" w:rsidRPr="00D46160" w:rsidRDefault="00D46160" w:rsidP="00226C65">
      <w:pPr>
        <w:spacing w:after="200" w:line="276" w:lineRule="auto"/>
        <w:ind w:left="567" w:right="1133"/>
        <w:rPr>
          <w:rFonts w:ascii="Calibri" w:eastAsia="Calibri" w:hAnsi="Calibri" w:cs="Calibri"/>
          <w:bCs/>
          <w:color w:val="000000"/>
          <w:sz w:val="24"/>
          <w:szCs w:val="24"/>
          <w:lang w:val="en-GB" w:eastAsia="ru-RU"/>
        </w:rPr>
      </w:pPr>
      <w:r w:rsidRPr="00562692">
        <w:rPr>
          <w:rFonts w:ascii="Calibri" w:eastAsia="Times New Roman" w:hAnsi="Calibri" w:cs="Calibri"/>
          <w:b/>
          <w:bCs/>
          <w:color w:val="000000"/>
          <w:sz w:val="24"/>
          <w:szCs w:val="24"/>
          <w:lang w:val="en-GB" w:eastAsia="ru-RU"/>
        </w:rPr>
        <w:t xml:space="preserve">Keywords </w:t>
      </w:r>
      <w:r w:rsidR="0086667D" w:rsidRPr="0086667D">
        <w:rPr>
          <w:rFonts w:ascii="Calibri" w:eastAsia="Times New Roman" w:hAnsi="Calibri" w:cs="Calibri"/>
          <w:color w:val="000000"/>
          <w:sz w:val="24"/>
          <w:szCs w:val="24"/>
          <w:lang w:val="en-GB" w:eastAsia="ru-RU"/>
        </w:rPr>
        <w:t>Bulgaria</w:t>
      </w:r>
      <w:r w:rsidR="0086667D" w:rsidRPr="0086667D">
        <w:rPr>
          <w:rFonts w:ascii="Calibri" w:eastAsia="Times New Roman" w:hAnsi="Calibri" w:cs="Calibri"/>
          <w:b/>
          <w:bCs/>
          <w:color w:val="000000"/>
          <w:sz w:val="24"/>
          <w:szCs w:val="24"/>
          <w:lang w:val="en-GB" w:eastAsia="ru-RU"/>
        </w:rPr>
        <w:t xml:space="preserve"> · </w:t>
      </w:r>
      <w:r w:rsidRPr="00562692">
        <w:rPr>
          <w:rFonts w:ascii="Calibri" w:eastAsia="Calibri" w:hAnsi="Calibri" w:cs="Calibri"/>
          <w:bCs/>
          <w:color w:val="000000"/>
          <w:sz w:val="24"/>
          <w:szCs w:val="24"/>
          <w:lang w:val="en-GB" w:eastAsia="ru-RU"/>
        </w:rPr>
        <w:t>FRAX</w:t>
      </w:r>
      <w:bookmarkStart w:id="2" w:name="_Hlk21020060"/>
      <w:r w:rsidRPr="00562692">
        <w:rPr>
          <w:rFonts w:ascii="Calibri" w:eastAsia="Calibri" w:hAnsi="Calibri" w:cs="Calibri"/>
          <w:bCs/>
          <w:color w:val="000000"/>
          <w:sz w:val="24"/>
          <w:szCs w:val="24"/>
          <w:lang w:val="en-GB" w:eastAsia="ru-RU"/>
        </w:rPr>
        <w:t xml:space="preserve"> · </w:t>
      </w:r>
      <w:bookmarkEnd w:id="2"/>
      <w:r w:rsidRPr="00562692">
        <w:rPr>
          <w:rFonts w:ascii="Calibri" w:eastAsia="Calibri" w:hAnsi="Calibri" w:cs="Calibri"/>
          <w:bCs/>
          <w:color w:val="000000"/>
          <w:sz w:val="24"/>
          <w:szCs w:val="24"/>
          <w:lang w:val="en-GB" w:eastAsia="ru-RU"/>
        </w:rPr>
        <w:t xml:space="preserve">Fracture probability · Epidemiology · Hip fracture </w:t>
      </w:r>
    </w:p>
    <w:p w14:paraId="4B1595A9" w14:textId="77777777" w:rsidR="00D46160" w:rsidRPr="0099220F" w:rsidRDefault="00D46160" w:rsidP="001A0941">
      <w:pPr>
        <w:ind w:left="567"/>
        <w:rPr>
          <w:rFonts w:cstheme="minorHAnsi"/>
          <w:sz w:val="24"/>
          <w:szCs w:val="24"/>
          <w:lang w:val="en-GB"/>
        </w:rPr>
      </w:pPr>
    </w:p>
    <w:p w14:paraId="58741009" w14:textId="77777777" w:rsidR="00A7482D" w:rsidRPr="0099220F" w:rsidRDefault="00A7482D" w:rsidP="001A0941">
      <w:pPr>
        <w:shd w:val="clear" w:color="auto" w:fill="FFFFFF"/>
        <w:ind w:left="567"/>
        <w:rPr>
          <w:rFonts w:ascii="Arial" w:hAnsi="Arial" w:cs="Arial"/>
          <w:b/>
          <w:sz w:val="24"/>
          <w:szCs w:val="24"/>
          <w:lang w:val="en-GB"/>
        </w:rPr>
      </w:pPr>
      <w:bookmarkStart w:id="3" w:name="OLE_LINK3"/>
      <w:bookmarkStart w:id="4" w:name="OLE_LINK4"/>
      <w:bookmarkStart w:id="5" w:name="OLE_LINK7"/>
      <w:bookmarkStart w:id="6" w:name="OLE_LINK8"/>
    </w:p>
    <w:p w14:paraId="779802CE" w14:textId="77777777" w:rsidR="00A7482D" w:rsidRPr="0099220F" w:rsidRDefault="00A7482D" w:rsidP="001A0941">
      <w:pPr>
        <w:shd w:val="clear" w:color="auto" w:fill="FFFFFF"/>
        <w:ind w:left="567"/>
        <w:rPr>
          <w:rFonts w:ascii="Arial" w:hAnsi="Arial" w:cs="Arial"/>
          <w:b/>
          <w:sz w:val="24"/>
          <w:szCs w:val="24"/>
          <w:lang w:val="en-GB"/>
        </w:rPr>
      </w:pPr>
    </w:p>
    <w:p w14:paraId="1DB09B5D" w14:textId="77777777" w:rsidR="00E7025B" w:rsidRPr="0099220F" w:rsidRDefault="00E7025B" w:rsidP="001A0941">
      <w:pPr>
        <w:shd w:val="clear" w:color="auto" w:fill="FFFFFF"/>
        <w:spacing w:line="276" w:lineRule="auto"/>
        <w:ind w:left="567"/>
        <w:rPr>
          <w:rFonts w:cstheme="minorHAnsi"/>
          <w:sz w:val="32"/>
          <w:szCs w:val="32"/>
          <w:lang w:val="en-GB"/>
        </w:rPr>
      </w:pPr>
      <w:r w:rsidRPr="0099220F">
        <w:rPr>
          <w:rFonts w:cstheme="minorHAnsi"/>
          <w:b/>
          <w:sz w:val="32"/>
          <w:szCs w:val="32"/>
          <w:lang w:val="en-GB"/>
        </w:rPr>
        <w:t>Introduction</w:t>
      </w:r>
      <w:r w:rsidR="004C0291" w:rsidRPr="0099220F">
        <w:rPr>
          <w:rFonts w:cstheme="minorHAnsi"/>
          <w:sz w:val="32"/>
          <w:szCs w:val="32"/>
          <w:lang w:val="en-GB"/>
        </w:rPr>
        <w:t xml:space="preserve"> </w:t>
      </w:r>
    </w:p>
    <w:p w14:paraId="0F2BE14D" w14:textId="076D3273" w:rsidR="00ED2002" w:rsidRPr="00312CA4" w:rsidRDefault="004F639B" w:rsidP="001A0941">
      <w:pPr>
        <w:spacing w:line="276" w:lineRule="auto"/>
        <w:ind w:left="567"/>
        <w:rPr>
          <w:rFonts w:ascii="Calibri" w:eastAsia="Times New Roman" w:hAnsi="Calibri" w:cs="Calibri"/>
          <w:color w:val="000000"/>
          <w:sz w:val="24"/>
          <w:szCs w:val="24"/>
          <w:lang w:val="en-GB" w:eastAsia="ru-RU"/>
        </w:rPr>
      </w:pPr>
      <w:r w:rsidRPr="00AE7FE0">
        <w:rPr>
          <w:rFonts w:cstheme="minorHAnsi"/>
          <w:sz w:val="24"/>
          <w:szCs w:val="24"/>
          <w:lang w:val="en-GB"/>
        </w:rPr>
        <w:lastRenderedPageBreak/>
        <w:t>O</w:t>
      </w:r>
      <w:r w:rsidR="00390AC9" w:rsidRPr="00AE7FE0">
        <w:rPr>
          <w:rFonts w:cstheme="minorHAnsi"/>
          <w:sz w:val="24"/>
          <w:szCs w:val="24"/>
          <w:lang w:val="en-GB"/>
        </w:rPr>
        <w:t xml:space="preserve">steoporosis and osteoporotic fractures </w:t>
      </w:r>
      <w:r w:rsidR="00400A28" w:rsidRPr="00AE7FE0">
        <w:rPr>
          <w:rFonts w:cstheme="minorHAnsi"/>
          <w:sz w:val="24"/>
          <w:szCs w:val="24"/>
          <w:lang w:val="en-GB"/>
        </w:rPr>
        <w:t>are becoming more common</w:t>
      </w:r>
      <w:r w:rsidR="001C4C28" w:rsidRPr="00AE7FE0">
        <w:rPr>
          <w:rFonts w:cstheme="minorHAnsi"/>
          <w:sz w:val="24"/>
          <w:szCs w:val="24"/>
          <w:lang w:val="en-GB"/>
        </w:rPr>
        <w:t xml:space="preserve"> with advancing age</w:t>
      </w:r>
      <w:bookmarkStart w:id="7" w:name="OLE_LINK5"/>
      <w:bookmarkStart w:id="8" w:name="OLE_LINK6"/>
      <w:bookmarkStart w:id="9" w:name="OLE_LINK9"/>
      <w:bookmarkEnd w:id="3"/>
      <w:bookmarkEnd w:id="4"/>
      <w:bookmarkEnd w:id="5"/>
      <w:bookmarkEnd w:id="6"/>
      <w:r w:rsidR="0066007A" w:rsidRPr="00AE7FE0">
        <w:rPr>
          <w:rFonts w:cstheme="minorHAnsi"/>
          <w:sz w:val="24"/>
          <w:szCs w:val="24"/>
          <w:lang w:val="en-GB"/>
        </w:rPr>
        <w:t xml:space="preserve">  </w:t>
      </w:r>
      <w:r w:rsidR="002F1B76" w:rsidRPr="00AE7FE0">
        <w:rPr>
          <w:rFonts w:ascii="Calibri" w:eastAsia="Times New Roman" w:hAnsi="Calibri" w:cs="Calibri"/>
          <w:color w:val="000000"/>
          <w:sz w:val="24"/>
          <w:szCs w:val="24"/>
          <w:lang w:val="en-GB" w:eastAsia="ru-RU"/>
        </w:rPr>
        <w:t>In Europe, the annual cost of fractures associated with osteoporosis exceeded € 37 billion in 2010 [1</w:t>
      </w:r>
      <w:r w:rsidR="00332004" w:rsidRPr="00AE7FE0">
        <w:rPr>
          <w:rFonts w:ascii="Calibri" w:eastAsia="Times New Roman" w:hAnsi="Calibri" w:cs="Calibri"/>
          <w:color w:val="000000"/>
          <w:sz w:val="24"/>
          <w:szCs w:val="24"/>
          <w:lang w:val="en-GB" w:eastAsia="ru-RU"/>
        </w:rPr>
        <w:t>]</w:t>
      </w:r>
      <w:r w:rsidR="002F1B76" w:rsidRPr="00AE7FE0">
        <w:rPr>
          <w:rFonts w:ascii="Calibri" w:eastAsia="Times New Roman" w:hAnsi="Calibri" w:cs="Calibri"/>
          <w:color w:val="000000"/>
          <w:sz w:val="24"/>
          <w:szCs w:val="24"/>
          <w:lang w:val="en-GB" w:eastAsia="ru-RU"/>
        </w:rPr>
        <w:t xml:space="preserve"> and disability due to osteoporosis was greater than that caused by any single cancer, with the exception of lung cancer and was comparable or greater than that lost to a variety of chronic noncommunicable diseases, such as rheumatoid arthritis, asthma and high blood pressure related heart disease [2]. Fortunately, a wide variety of treatments is available that favourably affect bone mass and thereby decrease the risk of fractures associated with osteoporosis [3].  The use of such interventions by health care practitioners is assisted by instruments that assess patients’ fracture risk to optimise clinical decisions about prevention and treatment. The most widely used web-based tool FRAX® (https://www.sheffield.ac.uk/FRAX/) meets these requirements and computes the 10-year probability of fragility fractures based on several common clinical risk factors and, optionally a DXA scan result [4, 5].  FRAX models are available for 66 countries covering more than 80% of the world population at risk [6] and has been incorporated into more than 100 guidelines worldwide [7].</w:t>
      </w:r>
    </w:p>
    <w:p w14:paraId="34A20DB3" w14:textId="340B2E41" w:rsidR="003D71D9" w:rsidRDefault="003D71D9" w:rsidP="001A0941">
      <w:pPr>
        <w:spacing w:line="276" w:lineRule="auto"/>
        <w:ind w:left="567"/>
        <w:rPr>
          <w:rFonts w:ascii="Calibri" w:eastAsia="Times New Roman" w:hAnsi="Calibri" w:cs="Calibri"/>
          <w:color w:val="000000"/>
          <w:sz w:val="24"/>
          <w:szCs w:val="24"/>
          <w:lang w:val="en-GB" w:eastAsia="ru-RU"/>
        </w:rPr>
      </w:pPr>
      <w:r w:rsidRPr="00AE7FE0">
        <w:rPr>
          <w:rFonts w:ascii="Calibri" w:eastAsia="Times New Roman" w:hAnsi="Calibri" w:cs="Calibri"/>
          <w:color w:val="000000"/>
          <w:sz w:val="24"/>
          <w:szCs w:val="24"/>
          <w:lang w:val="en-GB" w:eastAsia="ru-RU"/>
        </w:rPr>
        <w:t>The availability of FRAX has stimulated studies for the generation of new FRAX models.  Specific examples include Brazil, Mexico</w:t>
      </w:r>
      <w:r w:rsidR="003270A1" w:rsidRPr="00AE7FE0">
        <w:rPr>
          <w:rFonts w:ascii="Calibri" w:eastAsia="Times New Roman" w:hAnsi="Calibri" w:cs="Calibri"/>
          <w:color w:val="000000"/>
          <w:sz w:val="24"/>
          <w:szCs w:val="24"/>
          <w:lang w:val="en-GB" w:eastAsia="ru-RU"/>
        </w:rPr>
        <w:t>,</w:t>
      </w:r>
      <w:r w:rsidRPr="00AE7FE0">
        <w:rPr>
          <w:rFonts w:ascii="Calibri" w:eastAsia="Times New Roman" w:hAnsi="Calibri" w:cs="Calibri"/>
          <w:color w:val="000000"/>
          <w:sz w:val="24"/>
          <w:szCs w:val="24"/>
          <w:lang w:val="en-GB" w:eastAsia="ru-RU"/>
        </w:rPr>
        <w:t xml:space="preserve"> Turkey</w:t>
      </w:r>
      <w:r w:rsidR="003270A1" w:rsidRPr="00AE7FE0">
        <w:rPr>
          <w:rFonts w:ascii="Calibri" w:eastAsia="Times New Roman" w:hAnsi="Calibri" w:cs="Calibri"/>
          <w:color w:val="000000"/>
          <w:sz w:val="24"/>
          <w:szCs w:val="24"/>
          <w:lang w:val="en-GB" w:eastAsia="ru-RU"/>
        </w:rPr>
        <w:t xml:space="preserve"> </w:t>
      </w:r>
      <w:r w:rsidR="00B449AA" w:rsidRPr="00AE7FE0">
        <w:rPr>
          <w:rFonts w:ascii="Calibri" w:eastAsia="Times New Roman" w:hAnsi="Calibri" w:cs="Calibri"/>
          <w:color w:val="000000"/>
          <w:sz w:val="24"/>
          <w:szCs w:val="24"/>
          <w:lang w:val="en-GB" w:eastAsia="ru-RU"/>
        </w:rPr>
        <w:t>[</w:t>
      </w:r>
      <w:r w:rsidR="006C2429" w:rsidRPr="00AE7FE0">
        <w:rPr>
          <w:rFonts w:ascii="Calibri" w:eastAsia="Times New Roman" w:hAnsi="Calibri" w:cs="Calibri"/>
          <w:color w:val="000000"/>
          <w:sz w:val="24"/>
          <w:szCs w:val="24"/>
          <w:lang w:val="en-GB" w:eastAsia="ru-RU"/>
        </w:rPr>
        <w:t>8, 9</w:t>
      </w:r>
      <w:r w:rsidR="00D7159F" w:rsidRPr="00AE7FE0">
        <w:rPr>
          <w:rFonts w:ascii="Calibri" w:eastAsia="Times New Roman" w:hAnsi="Calibri" w:cs="Calibri"/>
          <w:color w:val="000000"/>
          <w:sz w:val="24"/>
          <w:szCs w:val="24"/>
          <w:lang w:val="en-GB" w:eastAsia="ru-RU"/>
        </w:rPr>
        <w:t xml:space="preserve">, </w:t>
      </w:r>
      <w:r w:rsidR="00D0387D" w:rsidRPr="00AE7FE0">
        <w:rPr>
          <w:rFonts w:ascii="Calibri" w:eastAsia="Times New Roman" w:hAnsi="Calibri" w:cs="Calibri"/>
          <w:color w:val="000000"/>
          <w:sz w:val="24"/>
          <w:szCs w:val="24"/>
          <w:lang w:val="en-GB" w:eastAsia="ru-RU"/>
        </w:rPr>
        <w:t>10</w:t>
      </w:r>
      <w:r w:rsidR="00B449AA" w:rsidRPr="00AE7FE0">
        <w:rPr>
          <w:rFonts w:ascii="Calibri" w:eastAsia="Times New Roman" w:hAnsi="Calibri" w:cs="Calibri"/>
          <w:color w:val="000000"/>
          <w:sz w:val="24"/>
          <w:szCs w:val="24"/>
          <w:lang w:val="en-GB" w:eastAsia="ru-RU"/>
        </w:rPr>
        <w:t xml:space="preserve">] </w:t>
      </w:r>
      <w:r w:rsidR="003270A1" w:rsidRPr="00AE7FE0">
        <w:rPr>
          <w:rFonts w:ascii="Calibri" w:eastAsia="Times New Roman" w:hAnsi="Calibri" w:cs="Calibri"/>
          <w:color w:val="000000"/>
          <w:sz w:val="24"/>
          <w:szCs w:val="24"/>
          <w:lang w:val="en-GB" w:eastAsia="ru-RU"/>
        </w:rPr>
        <w:t>and several countries in Eastern Europe</w:t>
      </w:r>
      <w:r w:rsidRPr="00AE7FE0">
        <w:rPr>
          <w:rFonts w:ascii="Calibri" w:eastAsia="Times New Roman" w:hAnsi="Calibri" w:cs="Calibri"/>
          <w:color w:val="000000"/>
          <w:sz w:val="24"/>
          <w:szCs w:val="24"/>
          <w:lang w:val="en-GB" w:eastAsia="ru-RU"/>
        </w:rPr>
        <w:t xml:space="preserve"> [</w:t>
      </w:r>
      <w:r w:rsidR="002000FE" w:rsidRPr="00AE7FE0">
        <w:rPr>
          <w:rFonts w:ascii="Calibri" w:eastAsia="Times New Roman" w:hAnsi="Calibri" w:cs="Calibri"/>
          <w:color w:val="000000"/>
          <w:sz w:val="24"/>
          <w:szCs w:val="24"/>
          <w:lang w:val="en-GB" w:eastAsia="ru-RU"/>
        </w:rPr>
        <w:t>11</w:t>
      </w:r>
      <w:r w:rsidR="008F42C9" w:rsidRPr="00AE7FE0">
        <w:rPr>
          <w:rFonts w:ascii="Calibri" w:eastAsia="Times New Roman" w:hAnsi="Calibri" w:cs="Calibri"/>
          <w:color w:val="000000"/>
          <w:sz w:val="24"/>
          <w:szCs w:val="24"/>
          <w:lang w:val="en-GB" w:eastAsia="ru-RU"/>
        </w:rPr>
        <w:t>,</w:t>
      </w:r>
      <w:r w:rsidRPr="00AE7FE0">
        <w:rPr>
          <w:rFonts w:ascii="Calibri" w:eastAsia="Times New Roman" w:hAnsi="Calibri" w:cs="Calibri"/>
          <w:color w:val="000000"/>
          <w:sz w:val="24"/>
          <w:szCs w:val="24"/>
          <w:lang w:val="en-GB" w:eastAsia="ru-RU"/>
        </w:rPr>
        <w:t xml:space="preserve"> </w:t>
      </w:r>
      <w:r w:rsidR="002000FE" w:rsidRPr="00AE7FE0">
        <w:rPr>
          <w:rFonts w:ascii="Calibri" w:eastAsia="Times New Roman" w:hAnsi="Calibri" w:cs="Calibri"/>
          <w:color w:val="000000"/>
          <w:sz w:val="24"/>
          <w:szCs w:val="24"/>
          <w:lang w:val="en-GB" w:eastAsia="ru-RU"/>
        </w:rPr>
        <w:t>12</w:t>
      </w:r>
      <w:r w:rsidR="00BC74A5" w:rsidRPr="00AE7FE0">
        <w:rPr>
          <w:rFonts w:ascii="Calibri" w:eastAsia="Times New Roman" w:hAnsi="Calibri" w:cs="Calibri"/>
          <w:color w:val="000000"/>
          <w:sz w:val="24"/>
          <w:szCs w:val="24"/>
          <w:lang w:val="en-GB" w:eastAsia="ru-RU"/>
        </w:rPr>
        <w:t>, 13, 14</w:t>
      </w:r>
      <w:r w:rsidR="00ED49F2" w:rsidRPr="00AE7FE0">
        <w:rPr>
          <w:rFonts w:ascii="Calibri" w:eastAsia="Times New Roman" w:hAnsi="Calibri" w:cs="Calibri"/>
          <w:color w:val="000000"/>
          <w:sz w:val="24"/>
          <w:szCs w:val="24"/>
          <w:lang w:val="en-GB" w:eastAsia="ru-RU"/>
        </w:rPr>
        <w:t>]</w:t>
      </w:r>
      <w:r w:rsidRPr="00AE7FE0">
        <w:rPr>
          <w:rFonts w:ascii="Calibri" w:eastAsia="Times New Roman" w:hAnsi="Calibri" w:cs="Calibri"/>
          <w:color w:val="000000"/>
          <w:sz w:val="24"/>
          <w:szCs w:val="24"/>
          <w:lang w:val="en-GB" w:eastAsia="ru-RU"/>
        </w:rPr>
        <w:t xml:space="preserve">.  The present report describes the epidemiology of fractures at the hip in </w:t>
      </w:r>
      <w:r w:rsidR="00C76EF3" w:rsidRPr="00AE7FE0">
        <w:rPr>
          <w:rFonts w:ascii="Calibri" w:eastAsia="Times New Roman" w:hAnsi="Calibri" w:cs="Calibri"/>
          <w:color w:val="000000"/>
          <w:sz w:val="24"/>
          <w:szCs w:val="24"/>
          <w:lang w:val="en-GB" w:eastAsia="ru-RU"/>
        </w:rPr>
        <w:t>Bulgaria</w:t>
      </w:r>
      <w:r w:rsidRPr="00AE7FE0">
        <w:rPr>
          <w:rFonts w:ascii="Calibri" w:eastAsia="Times New Roman" w:hAnsi="Calibri" w:cs="Calibri"/>
          <w:color w:val="000000"/>
          <w:sz w:val="24"/>
          <w:szCs w:val="24"/>
          <w:lang w:val="en-GB" w:eastAsia="ru-RU"/>
        </w:rPr>
        <w:t xml:space="preserve"> and the generation of a country specific FRAX model.</w:t>
      </w:r>
      <w:r w:rsidRPr="003D71D9">
        <w:rPr>
          <w:rFonts w:ascii="Calibri" w:eastAsia="Times New Roman" w:hAnsi="Calibri" w:cs="Calibri"/>
          <w:color w:val="000000"/>
          <w:sz w:val="24"/>
          <w:szCs w:val="24"/>
          <w:lang w:val="en-GB" w:eastAsia="ru-RU"/>
        </w:rPr>
        <w:t xml:space="preserve">  </w:t>
      </w:r>
    </w:p>
    <w:bookmarkEnd w:id="7"/>
    <w:bookmarkEnd w:id="8"/>
    <w:bookmarkEnd w:id="9"/>
    <w:p w14:paraId="4411C469" w14:textId="77777777" w:rsidR="00CB5AC2" w:rsidRDefault="00CB5AC2" w:rsidP="001A0941">
      <w:pPr>
        <w:shd w:val="clear" w:color="auto" w:fill="FFFFFF"/>
        <w:spacing w:line="276" w:lineRule="auto"/>
        <w:ind w:left="567"/>
        <w:rPr>
          <w:rFonts w:cstheme="minorHAnsi"/>
          <w:b/>
          <w:sz w:val="32"/>
          <w:szCs w:val="32"/>
          <w:lang w:val="en-GB"/>
        </w:rPr>
      </w:pPr>
    </w:p>
    <w:p w14:paraId="5566FAB5" w14:textId="11109431" w:rsidR="00C95376" w:rsidRPr="0099220F" w:rsidRDefault="006A6B0B" w:rsidP="001A0941">
      <w:pPr>
        <w:shd w:val="clear" w:color="auto" w:fill="FFFFFF"/>
        <w:spacing w:line="276" w:lineRule="auto"/>
        <w:ind w:left="567"/>
        <w:rPr>
          <w:rFonts w:cstheme="minorHAnsi"/>
          <w:b/>
          <w:sz w:val="32"/>
          <w:szCs w:val="32"/>
          <w:lang w:val="en-GB"/>
        </w:rPr>
      </w:pPr>
      <w:r w:rsidRPr="0099220F">
        <w:rPr>
          <w:rFonts w:cstheme="minorHAnsi"/>
          <w:b/>
          <w:sz w:val="32"/>
          <w:szCs w:val="32"/>
          <w:lang w:val="en-GB"/>
        </w:rPr>
        <w:t>Methods</w:t>
      </w:r>
      <w:bookmarkStart w:id="10" w:name="OLE_LINK12"/>
      <w:bookmarkStart w:id="11" w:name="OLE_LINK13"/>
    </w:p>
    <w:p w14:paraId="6AACC419" w14:textId="51338E7E" w:rsidR="006A6B0B" w:rsidRPr="00CB5AC2" w:rsidRDefault="007F2233" w:rsidP="001A0941">
      <w:pPr>
        <w:shd w:val="clear" w:color="auto" w:fill="FFFFFF"/>
        <w:spacing w:line="276" w:lineRule="auto"/>
        <w:ind w:left="567"/>
        <w:rPr>
          <w:rFonts w:cstheme="minorHAnsi"/>
          <w:sz w:val="24"/>
          <w:szCs w:val="24"/>
          <w:lang w:val="en-GB"/>
        </w:rPr>
      </w:pPr>
      <w:r w:rsidRPr="00CB5AC2">
        <w:rPr>
          <w:rFonts w:cstheme="minorHAnsi"/>
          <w:sz w:val="24"/>
          <w:szCs w:val="24"/>
          <w:lang w:val="en-GB"/>
        </w:rPr>
        <w:t xml:space="preserve">Bulgaria is a country in </w:t>
      </w:r>
      <w:r w:rsidR="000D50F2" w:rsidRPr="00CB5AC2">
        <w:rPr>
          <w:rFonts w:cstheme="minorHAnsi"/>
          <w:sz w:val="24"/>
          <w:szCs w:val="24"/>
          <w:lang w:val="en-GB"/>
        </w:rPr>
        <w:t>south-eastern</w:t>
      </w:r>
      <w:r w:rsidR="00F969A8" w:rsidRPr="00CB5AC2">
        <w:rPr>
          <w:rFonts w:cstheme="minorHAnsi"/>
          <w:sz w:val="24"/>
          <w:szCs w:val="24"/>
          <w:lang w:val="en-GB"/>
        </w:rPr>
        <w:t xml:space="preserve"> Europe</w:t>
      </w:r>
      <w:r w:rsidR="005018FF" w:rsidRPr="00CB5AC2">
        <w:rPr>
          <w:rFonts w:cstheme="minorHAnsi"/>
          <w:sz w:val="24"/>
          <w:szCs w:val="24"/>
          <w:lang w:val="en-GB"/>
        </w:rPr>
        <w:t xml:space="preserve"> with a total area of 110</w:t>
      </w:r>
      <w:r w:rsidR="00357725" w:rsidRPr="00CB5AC2">
        <w:rPr>
          <w:rFonts w:cstheme="minorHAnsi"/>
          <w:sz w:val="24"/>
          <w:szCs w:val="24"/>
          <w:lang w:val="en-GB"/>
        </w:rPr>
        <w:t>,</w:t>
      </w:r>
      <w:r w:rsidR="003269C3" w:rsidRPr="00CB5AC2">
        <w:rPr>
          <w:rFonts w:cstheme="minorHAnsi"/>
          <w:sz w:val="24"/>
          <w:szCs w:val="24"/>
          <w:lang w:val="en-GB"/>
        </w:rPr>
        <w:t>994 km</w:t>
      </w:r>
      <w:r w:rsidR="003269C3" w:rsidRPr="00CB5AC2">
        <w:rPr>
          <w:rFonts w:cstheme="minorHAnsi"/>
          <w:sz w:val="24"/>
          <w:szCs w:val="24"/>
          <w:vertAlign w:val="superscript"/>
          <w:lang w:val="en-GB"/>
        </w:rPr>
        <w:t>2</w:t>
      </w:r>
      <w:r w:rsidR="008767E2" w:rsidRPr="00CB5AC2">
        <w:rPr>
          <w:rFonts w:cstheme="minorHAnsi"/>
          <w:sz w:val="24"/>
          <w:szCs w:val="24"/>
          <w:lang w:val="en-GB"/>
        </w:rPr>
        <w:t>. It borders the Black Sea to the east</w:t>
      </w:r>
      <w:r w:rsidR="008F0EE1" w:rsidRPr="00CB5AC2">
        <w:rPr>
          <w:rFonts w:cstheme="minorHAnsi"/>
          <w:sz w:val="24"/>
          <w:szCs w:val="24"/>
          <w:lang w:val="en-GB"/>
        </w:rPr>
        <w:t>, Greece and Turkey to the south, Serbia and Macedonia to the west</w:t>
      </w:r>
      <w:r w:rsidR="00BB498F" w:rsidRPr="00CB5AC2">
        <w:rPr>
          <w:rFonts w:cstheme="minorHAnsi"/>
          <w:sz w:val="24"/>
          <w:szCs w:val="24"/>
          <w:lang w:val="en-GB"/>
        </w:rPr>
        <w:t xml:space="preserve"> and</w:t>
      </w:r>
      <w:r w:rsidR="00F969A8" w:rsidRPr="00CB5AC2">
        <w:rPr>
          <w:rFonts w:cstheme="minorHAnsi"/>
          <w:sz w:val="24"/>
          <w:szCs w:val="24"/>
          <w:lang w:val="en-GB"/>
        </w:rPr>
        <w:t xml:space="preserve"> Romania</w:t>
      </w:r>
      <w:r w:rsidR="00BB498F" w:rsidRPr="00CB5AC2">
        <w:rPr>
          <w:rFonts w:cstheme="minorHAnsi"/>
          <w:sz w:val="24"/>
          <w:szCs w:val="24"/>
          <w:lang w:val="en-GB"/>
        </w:rPr>
        <w:t xml:space="preserve"> to the north</w:t>
      </w:r>
      <w:bookmarkEnd w:id="10"/>
      <w:bookmarkEnd w:id="11"/>
      <w:r w:rsidR="005F65DA" w:rsidRPr="00CB5AC2">
        <w:rPr>
          <w:rFonts w:cstheme="minorHAnsi"/>
          <w:sz w:val="24"/>
          <w:szCs w:val="24"/>
          <w:lang w:val="en-GB"/>
        </w:rPr>
        <w:t xml:space="preserve"> [</w:t>
      </w:r>
      <w:r w:rsidR="00EE300C" w:rsidRPr="00CB5AC2">
        <w:rPr>
          <w:rFonts w:cstheme="minorHAnsi"/>
          <w:sz w:val="24"/>
          <w:szCs w:val="24"/>
          <w:lang w:val="en-GB"/>
        </w:rPr>
        <w:t>1</w:t>
      </w:r>
      <w:r w:rsidR="00A8151F" w:rsidRPr="00CB5AC2">
        <w:rPr>
          <w:rFonts w:cstheme="minorHAnsi"/>
          <w:sz w:val="24"/>
          <w:szCs w:val="24"/>
          <w:lang w:val="en-GB"/>
        </w:rPr>
        <w:t>5</w:t>
      </w:r>
      <w:r w:rsidR="005F65DA" w:rsidRPr="00CB5AC2">
        <w:rPr>
          <w:rFonts w:cstheme="minorHAnsi"/>
          <w:sz w:val="24"/>
          <w:szCs w:val="24"/>
          <w:lang w:val="en-GB"/>
        </w:rPr>
        <w:t>]</w:t>
      </w:r>
      <w:r w:rsidR="00F969A8" w:rsidRPr="00CB5AC2">
        <w:rPr>
          <w:rFonts w:cstheme="minorHAnsi"/>
          <w:sz w:val="24"/>
          <w:szCs w:val="24"/>
          <w:lang w:val="en-GB"/>
        </w:rPr>
        <w:t>.</w:t>
      </w:r>
      <w:r w:rsidR="00AA2AF3" w:rsidRPr="00CB5AC2">
        <w:rPr>
          <w:rFonts w:cstheme="minorHAnsi"/>
          <w:sz w:val="24"/>
          <w:szCs w:val="24"/>
          <w:lang w:val="en-GB"/>
        </w:rPr>
        <w:t xml:space="preserve"> </w:t>
      </w:r>
      <w:r w:rsidR="00F82DD9" w:rsidRPr="00CB5AC2">
        <w:rPr>
          <w:rFonts w:cstheme="minorHAnsi"/>
          <w:sz w:val="24"/>
          <w:szCs w:val="24"/>
          <w:lang w:val="en-GB"/>
        </w:rPr>
        <w:t xml:space="preserve">According to the national statistical institute, </w:t>
      </w:r>
      <w:r w:rsidR="005018FF" w:rsidRPr="00CB5AC2">
        <w:rPr>
          <w:rFonts w:cstheme="minorHAnsi"/>
          <w:sz w:val="24"/>
          <w:szCs w:val="24"/>
          <w:lang w:val="en-GB"/>
        </w:rPr>
        <w:t xml:space="preserve">the </w:t>
      </w:r>
      <w:r w:rsidR="001F2C7E" w:rsidRPr="00CB5AC2">
        <w:rPr>
          <w:rFonts w:cstheme="minorHAnsi"/>
          <w:sz w:val="24"/>
          <w:szCs w:val="24"/>
          <w:lang w:val="en-GB"/>
        </w:rPr>
        <w:t>Bulgarian</w:t>
      </w:r>
      <w:r w:rsidR="005018FF" w:rsidRPr="00CB5AC2">
        <w:rPr>
          <w:rFonts w:cstheme="minorHAnsi"/>
          <w:sz w:val="24"/>
          <w:szCs w:val="24"/>
          <w:lang w:val="en-GB"/>
        </w:rPr>
        <w:t xml:space="preserve"> population </w:t>
      </w:r>
      <w:r w:rsidR="007F7CAF" w:rsidRPr="00CB5AC2">
        <w:rPr>
          <w:rFonts w:cstheme="minorHAnsi"/>
          <w:sz w:val="24"/>
          <w:szCs w:val="24"/>
          <w:lang w:val="en-GB"/>
        </w:rPr>
        <w:t>comprises</w:t>
      </w:r>
      <w:r w:rsidR="005018FF" w:rsidRPr="00CB5AC2">
        <w:rPr>
          <w:rFonts w:cstheme="minorHAnsi"/>
          <w:sz w:val="24"/>
          <w:szCs w:val="24"/>
          <w:lang w:val="en-GB"/>
        </w:rPr>
        <w:t xml:space="preserve"> four</w:t>
      </w:r>
      <w:r w:rsidR="001F2C7E" w:rsidRPr="00CB5AC2">
        <w:rPr>
          <w:rFonts w:cstheme="minorHAnsi"/>
          <w:sz w:val="24"/>
          <w:szCs w:val="24"/>
          <w:lang w:val="en-GB"/>
        </w:rPr>
        <w:t xml:space="preserve"> ethnic group</w:t>
      </w:r>
      <w:r w:rsidR="005018FF" w:rsidRPr="00CB5AC2">
        <w:rPr>
          <w:rFonts w:cstheme="minorHAnsi"/>
          <w:sz w:val="24"/>
          <w:szCs w:val="24"/>
          <w:lang w:val="en-GB"/>
        </w:rPr>
        <w:t>s as follows: Bulgarian (</w:t>
      </w:r>
      <w:r w:rsidR="001F2C7E" w:rsidRPr="00CB5AC2">
        <w:rPr>
          <w:rFonts w:cstheme="minorHAnsi"/>
          <w:sz w:val="24"/>
          <w:szCs w:val="24"/>
          <w:lang w:val="en-GB"/>
        </w:rPr>
        <w:t>84.8%</w:t>
      </w:r>
      <w:r w:rsidR="005018FF" w:rsidRPr="00CB5AC2">
        <w:rPr>
          <w:rFonts w:cstheme="minorHAnsi"/>
          <w:sz w:val="24"/>
          <w:szCs w:val="24"/>
          <w:lang w:val="en-GB"/>
        </w:rPr>
        <w:t>), Turkish (8.8%), Roma (</w:t>
      </w:r>
      <w:r w:rsidR="001F2C7E" w:rsidRPr="00CB5AC2">
        <w:rPr>
          <w:rFonts w:cstheme="minorHAnsi"/>
          <w:sz w:val="24"/>
          <w:szCs w:val="24"/>
          <w:lang w:val="en-GB"/>
        </w:rPr>
        <w:t>4.9%</w:t>
      </w:r>
      <w:r w:rsidR="005018FF" w:rsidRPr="00CB5AC2">
        <w:rPr>
          <w:rFonts w:cstheme="minorHAnsi"/>
          <w:sz w:val="24"/>
          <w:szCs w:val="24"/>
          <w:lang w:val="en-GB"/>
        </w:rPr>
        <w:t>)</w:t>
      </w:r>
      <w:r w:rsidR="001F2C7E" w:rsidRPr="00CB5AC2">
        <w:rPr>
          <w:rFonts w:cstheme="minorHAnsi"/>
          <w:sz w:val="24"/>
          <w:szCs w:val="24"/>
          <w:lang w:val="en-GB"/>
        </w:rPr>
        <w:t xml:space="preserve"> and </w:t>
      </w:r>
      <w:r w:rsidR="005018FF" w:rsidRPr="00CB5AC2">
        <w:rPr>
          <w:rFonts w:cstheme="minorHAnsi"/>
          <w:sz w:val="24"/>
          <w:szCs w:val="24"/>
          <w:lang w:val="en-GB"/>
        </w:rPr>
        <w:t>other (</w:t>
      </w:r>
      <w:r w:rsidR="00814FCA" w:rsidRPr="00CB5AC2">
        <w:rPr>
          <w:rFonts w:cstheme="minorHAnsi"/>
          <w:sz w:val="24"/>
          <w:szCs w:val="24"/>
          <w:lang w:val="en-GB"/>
        </w:rPr>
        <w:t>1.5%</w:t>
      </w:r>
      <w:r w:rsidR="005018FF" w:rsidRPr="00CB5AC2">
        <w:rPr>
          <w:rFonts w:cstheme="minorHAnsi"/>
          <w:sz w:val="24"/>
          <w:szCs w:val="24"/>
          <w:lang w:val="en-GB"/>
        </w:rPr>
        <w:t>)</w:t>
      </w:r>
      <w:r w:rsidR="00814FCA" w:rsidRPr="00CB5AC2">
        <w:rPr>
          <w:rFonts w:cstheme="minorHAnsi"/>
          <w:sz w:val="24"/>
          <w:szCs w:val="24"/>
          <w:lang w:val="en-GB"/>
        </w:rPr>
        <w:t xml:space="preserve"> </w:t>
      </w:r>
      <w:r w:rsidR="00061E1B" w:rsidRPr="00CB5AC2">
        <w:rPr>
          <w:rFonts w:cstheme="minorHAnsi"/>
          <w:sz w:val="24"/>
          <w:szCs w:val="24"/>
          <w:lang w:val="en-GB"/>
        </w:rPr>
        <w:t>[</w:t>
      </w:r>
      <w:r w:rsidR="00EE300C" w:rsidRPr="00CB5AC2">
        <w:rPr>
          <w:rFonts w:cstheme="minorHAnsi"/>
          <w:sz w:val="24"/>
          <w:szCs w:val="24"/>
          <w:lang w:val="en-GB"/>
        </w:rPr>
        <w:t>1</w:t>
      </w:r>
      <w:r w:rsidR="000856C2" w:rsidRPr="00CB5AC2">
        <w:rPr>
          <w:rFonts w:cstheme="minorHAnsi"/>
          <w:sz w:val="24"/>
          <w:szCs w:val="24"/>
          <w:lang w:val="en-GB"/>
        </w:rPr>
        <w:t>6</w:t>
      </w:r>
      <w:r w:rsidR="00061E1B" w:rsidRPr="00CB5AC2">
        <w:rPr>
          <w:rFonts w:cstheme="minorHAnsi"/>
          <w:sz w:val="24"/>
          <w:szCs w:val="24"/>
          <w:lang w:val="en-GB"/>
        </w:rPr>
        <w:t>]</w:t>
      </w:r>
      <w:r w:rsidR="00814FCA" w:rsidRPr="00CB5AC2">
        <w:rPr>
          <w:rFonts w:cstheme="minorHAnsi"/>
          <w:sz w:val="24"/>
          <w:szCs w:val="24"/>
          <w:lang w:val="en-GB"/>
        </w:rPr>
        <w:t>.</w:t>
      </w:r>
    </w:p>
    <w:p w14:paraId="00EBE4D4" w14:textId="7BEEFAFE" w:rsidR="0069731C" w:rsidRPr="00CB5AC2" w:rsidRDefault="00713D44" w:rsidP="001A0941">
      <w:pPr>
        <w:shd w:val="clear" w:color="auto" w:fill="FFFFFF"/>
        <w:spacing w:line="276" w:lineRule="auto"/>
        <w:ind w:left="567"/>
        <w:rPr>
          <w:rFonts w:eastAsia="Times New Roman" w:cstheme="minorHAnsi"/>
          <w:color w:val="26282A"/>
          <w:sz w:val="24"/>
          <w:szCs w:val="24"/>
          <w:lang w:val="en-GB"/>
        </w:rPr>
      </w:pPr>
      <w:bookmarkStart w:id="12" w:name="OLE_LINK14"/>
      <w:bookmarkStart w:id="13" w:name="OLE_LINK15"/>
      <w:bookmarkStart w:id="14" w:name="OLE_LINK1"/>
      <w:bookmarkStart w:id="15" w:name="OLE_LINK2"/>
      <w:r w:rsidRPr="00CB5AC2">
        <w:rPr>
          <w:rFonts w:eastAsia="Times New Roman" w:cstheme="minorHAnsi"/>
          <w:color w:val="26282A"/>
          <w:sz w:val="24"/>
          <w:szCs w:val="24"/>
          <w:lang w:val="en-GB"/>
        </w:rPr>
        <w:t xml:space="preserve">Stara Zagora </w:t>
      </w:r>
      <w:r w:rsidR="008E3D30" w:rsidRPr="008E3D30">
        <w:rPr>
          <w:rFonts w:eastAsia="Times New Roman" w:cstheme="minorHAnsi"/>
          <w:color w:val="26282A"/>
          <w:sz w:val="24"/>
          <w:szCs w:val="24"/>
          <w:lang w:val="en-GB"/>
        </w:rPr>
        <w:t xml:space="preserve">, in southern Bulgaria, </w:t>
      </w:r>
      <w:r w:rsidR="006A313B" w:rsidRPr="00CB5AC2">
        <w:rPr>
          <w:rFonts w:eastAsia="Times New Roman" w:cstheme="minorHAnsi"/>
          <w:color w:val="26282A"/>
          <w:sz w:val="24"/>
          <w:szCs w:val="24"/>
          <w:lang w:val="en-GB"/>
        </w:rPr>
        <w:t>is the sixth-largest city in Bulgaria. B</w:t>
      </w:r>
      <w:r w:rsidR="00E92A09" w:rsidRPr="00CB5AC2">
        <w:rPr>
          <w:rFonts w:eastAsia="Times New Roman" w:cstheme="minorHAnsi"/>
          <w:color w:val="26282A"/>
          <w:sz w:val="24"/>
          <w:szCs w:val="24"/>
          <w:lang w:val="en-GB"/>
        </w:rPr>
        <w:t>ased on regional health inspection’s data</w:t>
      </w:r>
      <w:r w:rsidR="00DD25E1" w:rsidRPr="00CB5AC2">
        <w:rPr>
          <w:rFonts w:eastAsia="Times New Roman" w:cstheme="minorHAnsi"/>
          <w:color w:val="26282A"/>
          <w:sz w:val="24"/>
          <w:szCs w:val="24"/>
          <w:lang w:val="en-GB"/>
        </w:rPr>
        <w:t>,</w:t>
      </w:r>
      <w:r w:rsidR="00E92A09" w:rsidRPr="00CB5AC2">
        <w:rPr>
          <w:rFonts w:eastAsia="Times New Roman" w:cstheme="minorHAnsi"/>
          <w:color w:val="26282A"/>
          <w:sz w:val="24"/>
          <w:szCs w:val="24"/>
          <w:lang w:val="en-GB"/>
        </w:rPr>
        <w:t xml:space="preserve"> </w:t>
      </w:r>
      <w:r w:rsidR="009A4E84" w:rsidRPr="00CB5AC2">
        <w:rPr>
          <w:rFonts w:eastAsia="Times New Roman" w:cstheme="minorHAnsi"/>
          <w:color w:val="26282A"/>
          <w:sz w:val="24"/>
          <w:szCs w:val="24"/>
          <w:lang w:val="en-GB"/>
        </w:rPr>
        <w:t>the</w:t>
      </w:r>
      <w:r w:rsidR="006A313B" w:rsidRPr="00CB5AC2">
        <w:rPr>
          <w:rFonts w:eastAsia="Times New Roman" w:cstheme="minorHAnsi"/>
          <w:color w:val="26282A"/>
          <w:sz w:val="24"/>
          <w:szCs w:val="24"/>
          <w:lang w:val="en-GB"/>
        </w:rPr>
        <w:t xml:space="preserve"> </w:t>
      </w:r>
      <w:r w:rsidR="00FE4F07" w:rsidRPr="00CB5AC2">
        <w:rPr>
          <w:rFonts w:eastAsia="Times New Roman" w:cstheme="minorHAnsi"/>
          <w:color w:val="26282A"/>
          <w:sz w:val="24"/>
          <w:szCs w:val="24"/>
          <w:lang w:val="en-GB"/>
        </w:rPr>
        <w:t xml:space="preserve">region’s </w:t>
      </w:r>
      <w:r w:rsidR="006A313B" w:rsidRPr="00CB5AC2">
        <w:rPr>
          <w:rFonts w:eastAsia="Times New Roman" w:cstheme="minorHAnsi"/>
          <w:color w:val="26282A"/>
          <w:sz w:val="24"/>
          <w:szCs w:val="24"/>
          <w:lang w:val="en-GB"/>
        </w:rPr>
        <w:t xml:space="preserve">population </w:t>
      </w:r>
      <w:r w:rsidR="003E3BAB" w:rsidRPr="00CB5AC2">
        <w:rPr>
          <w:rFonts w:eastAsia="Times New Roman" w:cstheme="minorHAnsi"/>
          <w:color w:val="26282A"/>
          <w:sz w:val="24"/>
          <w:szCs w:val="24"/>
          <w:lang w:val="en-GB"/>
        </w:rPr>
        <w:t xml:space="preserve">aged 40 years </w:t>
      </w:r>
      <w:r w:rsidR="00932828">
        <w:rPr>
          <w:rFonts w:eastAsia="Times New Roman" w:cstheme="minorHAnsi"/>
          <w:color w:val="26282A"/>
          <w:sz w:val="24"/>
          <w:szCs w:val="24"/>
          <w:lang w:val="en-GB"/>
        </w:rPr>
        <w:t>or</w:t>
      </w:r>
      <w:r w:rsidR="009A4E84" w:rsidRPr="00CB5AC2">
        <w:rPr>
          <w:rFonts w:eastAsia="Times New Roman" w:cstheme="minorHAnsi"/>
          <w:color w:val="26282A"/>
          <w:sz w:val="24"/>
          <w:szCs w:val="24"/>
          <w:lang w:val="en-GB"/>
        </w:rPr>
        <w:t xml:space="preserve"> above</w:t>
      </w:r>
      <w:r w:rsidR="003E3BAB" w:rsidRPr="00CB5AC2">
        <w:rPr>
          <w:rFonts w:eastAsia="Times New Roman" w:cstheme="minorHAnsi"/>
          <w:color w:val="26282A"/>
          <w:sz w:val="24"/>
          <w:szCs w:val="24"/>
          <w:lang w:val="en-GB"/>
        </w:rPr>
        <w:t xml:space="preserve"> </w:t>
      </w:r>
      <w:r w:rsidR="006A313B" w:rsidRPr="00CB5AC2">
        <w:rPr>
          <w:rFonts w:eastAsia="Times New Roman" w:cstheme="minorHAnsi"/>
          <w:color w:val="26282A"/>
          <w:sz w:val="24"/>
          <w:szCs w:val="24"/>
          <w:lang w:val="en-GB"/>
        </w:rPr>
        <w:t>in 2017 amount</w:t>
      </w:r>
      <w:r w:rsidR="009A4E84" w:rsidRPr="00CB5AC2">
        <w:rPr>
          <w:rFonts w:eastAsia="Times New Roman" w:cstheme="minorHAnsi"/>
          <w:color w:val="26282A"/>
          <w:sz w:val="24"/>
          <w:szCs w:val="24"/>
          <w:lang w:val="en-GB"/>
        </w:rPr>
        <w:t>ed</w:t>
      </w:r>
      <w:r w:rsidR="006A313B" w:rsidRPr="00CB5AC2">
        <w:rPr>
          <w:rFonts w:eastAsia="Times New Roman" w:cstheme="minorHAnsi"/>
          <w:color w:val="26282A"/>
          <w:sz w:val="24"/>
          <w:szCs w:val="24"/>
          <w:lang w:val="en-GB"/>
        </w:rPr>
        <w:t xml:space="preserve"> to </w:t>
      </w:r>
      <w:r w:rsidR="00EF4DC3" w:rsidRPr="00CB5AC2">
        <w:rPr>
          <w:rFonts w:eastAsia="Times New Roman" w:cstheme="minorHAnsi"/>
          <w:color w:val="000000"/>
          <w:sz w:val="24"/>
          <w:szCs w:val="24"/>
          <w:lang w:val="en-GB"/>
        </w:rPr>
        <w:t>183</w:t>
      </w:r>
      <w:r w:rsidR="00962319" w:rsidRPr="00CB5AC2">
        <w:rPr>
          <w:rFonts w:eastAsia="Times New Roman" w:cstheme="minorHAnsi"/>
          <w:color w:val="000000"/>
          <w:sz w:val="24"/>
          <w:szCs w:val="24"/>
          <w:lang w:val="en-GB"/>
        </w:rPr>
        <w:t>,</w:t>
      </w:r>
      <w:r w:rsidR="00EF4DC3" w:rsidRPr="00CB5AC2">
        <w:rPr>
          <w:rFonts w:eastAsia="Times New Roman" w:cstheme="minorHAnsi"/>
          <w:color w:val="000000"/>
          <w:sz w:val="24"/>
          <w:szCs w:val="24"/>
          <w:lang w:val="en-GB"/>
        </w:rPr>
        <w:t>294</w:t>
      </w:r>
      <w:r w:rsidR="00331070" w:rsidRPr="00CB5AC2">
        <w:rPr>
          <w:rFonts w:eastAsia="Times New Roman" w:cstheme="minorHAnsi"/>
          <w:color w:val="000000"/>
          <w:sz w:val="24"/>
          <w:szCs w:val="24"/>
          <w:lang w:val="en-GB"/>
        </w:rPr>
        <w:t xml:space="preserve"> </w:t>
      </w:r>
      <w:bookmarkEnd w:id="12"/>
      <w:bookmarkEnd w:id="13"/>
      <w:r w:rsidR="006A313B" w:rsidRPr="00CB5AC2">
        <w:rPr>
          <w:rFonts w:eastAsia="Times New Roman" w:cstheme="minorHAnsi"/>
          <w:color w:val="000000"/>
          <w:sz w:val="24"/>
          <w:szCs w:val="24"/>
          <w:lang w:val="en-GB"/>
        </w:rPr>
        <w:t xml:space="preserve">people </w:t>
      </w:r>
      <w:r w:rsidR="00331070" w:rsidRPr="00CB5AC2">
        <w:rPr>
          <w:rFonts w:eastAsia="Times New Roman" w:cstheme="minorHAnsi"/>
          <w:color w:val="000000"/>
          <w:sz w:val="24"/>
          <w:szCs w:val="24"/>
          <w:lang w:val="en-GB"/>
        </w:rPr>
        <w:t>(</w:t>
      </w:r>
      <w:r w:rsidR="00EF4DC3" w:rsidRPr="00CB5AC2">
        <w:rPr>
          <w:rFonts w:eastAsia="Times New Roman" w:cstheme="minorHAnsi"/>
          <w:color w:val="000000"/>
          <w:sz w:val="24"/>
          <w:szCs w:val="24"/>
          <w:lang w:val="en-GB"/>
        </w:rPr>
        <w:t>84</w:t>
      </w:r>
      <w:r w:rsidR="00962319" w:rsidRPr="00CB5AC2">
        <w:rPr>
          <w:rFonts w:eastAsia="Times New Roman" w:cstheme="minorHAnsi"/>
          <w:color w:val="000000"/>
          <w:sz w:val="24"/>
          <w:szCs w:val="24"/>
          <w:lang w:val="en-GB"/>
        </w:rPr>
        <w:t>,</w:t>
      </w:r>
      <w:r w:rsidR="00EF4DC3" w:rsidRPr="00CB5AC2">
        <w:rPr>
          <w:rFonts w:eastAsia="Times New Roman" w:cstheme="minorHAnsi"/>
          <w:color w:val="000000"/>
          <w:sz w:val="24"/>
          <w:szCs w:val="24"/>
          <w:lang w:val="en-GB"/>
        </w:rPr>
        <w:t>557</w:t>
      </w:r>
      <w:r w:rsidR="00331070" w:rsidRPr="00CB5AC2">
        <w:rPr>
          <w:rFonts w:eastAsia="Times New Roman" w:cstheme="minorHAnsi"/>
          <w:color w:val="000000"/>
          <w:sz w:val="24"/>
          <w:szCs w:val="24"/>
          <w:lang w:val="en-GB"/>
        </w:rPr>
        <w:t xml:space="preserve"> men and</w:t>
      </w:r>
      <w:r w:rsidR="00EF4DC3" w:rsidRPr="00CB5AC2">
        <w:rPr>
          <w:rFonts w:eastAsia="Times New Roman" w:cstheme="minorHAnsi"/>
          <w:color w:val="000000"/>
          <w:sz w:val="24"/>
          <w:szCs w:val="24"/>
          <w:lang w:val="en-GB"/>
        </w:rPr>
        <w:t xml:space="preserve"> 98</w:t>
      </w:r>
      <w:r w:rsidR="00962319" w:rsidRPr="00CB5AC2">
        <w:rPr>
          <w:rFonts w:eastAsia="Times New Roman" w:cstheme="minorHAnsi"/>
          <w:color w:val="000000"/>
          <w:sz w:val="24"/>
          <w:szCs w:val="24"/>
          <w:lang w:val="en-GB"/>
        </w:rPr>
        <w:t>,</w:t>
      </w:r>
      <w:r w:rsidR="00EF4DC3" w:rsidRPr="00CB5AC2">
        <w:rPr>
          <w:rFonts w:eastAsia="Times New Roman" w:cstheme="minorHAnsi"/>
          <w:color w:val="000000"/>
          <w:sz w:val="24"/>
          <w:szCs w:val="24"/>
          <w:lang w:val="en-GB"/>
        </w:rPr>
        <w:t>737</w:t>
      </w:r>
      <w:r w:rsidR="00331070" w:rsidRPr="00CB5AC2">
        <w:rPr>
          <w:rFonts w:eastAsia="Times New Roman" w:cstheme="minorHAnsi"/>
          <w:color w:val="000000"/>
          <w:sz w:val="24"/>
          <w:szCs w:val="24"/>
          <w:lang w:val="en-GB"/>
        </w:rPr>
        <w:t xml:space="preserve"> women)</w:t>
      </w:r>
      <w:r w:rsidR="00B04FE7" w:rsidRPr="00CB5AC2">
        <w:rPr>
          <w:rFonts w:eastAsia="Times New Roman" w:cstheme="minorHAnsi"/>
          <w:color w:val="000000"/>
          <w:sz w:val="24"/>
          <w:szCs w:val="24"/>
          <w:lang w:val="en-GB"/>
        </w:rPr>
        <w:t xml:space="preserve"> and</w:t>
      </w:r>
      <w:r w:rsidR="00DA28A7" w:rsidRPr="00CB5AC2">
        <w:rPr>
          <w:rFonts w:eastAsia="Times New Roman" w:cstheme="minorHAnsi"/>
          <w:color w:val="000000"/>
          <w:sz w:val="24"/>
          <w:szCs w:val="24"/>
          <w:lang w:val="en-GB"/>
        </w:rPr>
        <w:t xml:space="preserve"> represented</w:t>
      </w:r>
      <w:r w:rsidR="00B40A1F" w:rsidRPr="00CB5AC2">
        <w:rPr>
          <w:rFonts w:eastAsia="Times New Roman" w:cstheme="minorHAnsi"/>
          <w:color w:val="000000"/>
          <w:sz w:val="24"/>
          <w:szCs w:val="24"/>
          <w:lang w:val="en-GB"/>
        </w:rPr>
        <w:t xml:space="preserve"> 4.6</w:t>
      </w:r>
      <w:r w:rsidR="00530554" w:rsidRPr="00CB5AC2">
        <w:rPr>
          <w:rFonts w:eastAsia="Times New Roman" w:cstheme="minorHAnsi"/>
          <w:color w:val="000000"/>
          <w:sz w:val="24"/>
          <w:szCs w:val="24"/>
          <w:lang w:val="en-GB"/>
        </w:rPr>
        <w:t xml:space="preserve">% </w:t>
      </w:r>
      <w:r w:rsidR="00DA0453" w:rsidRPr="00CB5AC2">
        <w:rPr>
          <w:rFonts w:eastAsia="Times New Roman" w:cstheme="minorHAnsi"/>
          <w:color w:val="000000"/>
          <w:sz w:val="24"/>
          <w:szCs w:val="24"/>
          <w:lang w:val="en-GB"/>
        </w:rPr>
        <w:t>of the whole Bulgaria</w:t>
      </w:r>
      <w:r w:rsidR="00B04FE7" w:rsidRPr="00CB5AC2">
        <w:rPr>
          <w:rFonts w:eastAsia="Times New Roman" w:cstheme="minorHAnsi"/>
          <w:color w:val="000000"/>
          <w:sz w:val="24"/>
          <w:szCs w:val="24"/>
          <w:lang w:val="en-GB"/>
        </w:rPr>
        <w:t>n population</w:t>
      </w:r>
      <w:r w:rsidR="00DA0453" w:rsidRPr="00CB5AC2">
        <w:rPr>
          <w:rFonts w:eastAsia="Times New Roman" w:cstheme="minorHAnsi"/>
          <w:color w:val="000000"/>
          <w:sz w:val="24"/>
          <w:szCs w:val="24"/>
          <w:lang w:val="en-GB"/>
        </w:rPr>
        <w:t xml:space="preserve"> </w:t>
      </w:r>
      <w:r w:rsidR="00C36D9B" w:rsidRPr="00CB5AC2">
        <w:rPr>
          <w:rFonts w:eastAsia="Times New Roman" w:cstheme="minorHAnsi"/>
          <w:color w:val="000000"/>
          <w:sz w:val="24"/>
          <w:szCs w:val="24"/>
          <w:lang w:val="en-GB"/>
        </w:rPr>
        <w:t xml:space="preserve">aged 40 </w:t>
      </w:r>
      <w:r w:rsidR="001B6F9D" w:rsidRPr="00CB5AC2">
        <w:rPr>
          <w:rFonts w:eastAsia="Times New Roman" w:cstheme="minorHAnsi"/>
          <w:color w:val="000000"/>
          <w:sz w:val="24"/>
          <w:szCs w:val="24"/>
          <w:lang w:val="en-GB"/>
        </w:rPr>
        <w:t xml:space="preserve">years </w:t>
      </w:r>
      <w:r w:rsidR="00FE4F07" w:rsidRPr="00CB5AC2">
        <w:rPr>
          <w:rFonts w:eastAsia="Times New Roman" w:cstheme="minorHAnsi"/>
          <w:color w:val="000000"/>
          <w:sz w:val="24"/>
          <w:szCs w:val="24"/>
          <w:lang w:val="en-GB"/>
        </w:rPr>
        <w:t>and above</w:t>
      </w:r>
      <w:r w:rsidR="00B40A1F" w:rsidRPr="00CB5AC2">
        <w:rPr>
          <w:rFonts w:eastAsia="Times New Roman" w:cstheme="minorHAnsi"/>
          <w:color w:val="000000"/>
          <w:sz w:val="24"/>
          <w:szCs w:val="24"/>
          <w:lang w:val="en-GB"/>
        </w:rPr>
        <w:t xml:space="preserve"> (183</w:t>
      </w:r>
      <w:r w:rsidR="00962319" w:rsidRPr="00CB5AC2">
        <w:rPr>
          <w:rFonts w:eastAsia="Times New Roman" w:cstheme="minorHAnsi"/>
          <w:color w:val="000000"/>
          <w:sz w:val="24"/>
          <w:szCs w:val="24"/>
          <w:lang w:val="en-GB"/>
        </w:rPr>
        <w:t>,</w:t>
      </w:r>
      <w:r w:rsidR="00B40A1F" w:rsidRPr="00CB5AC2">
        <w:rPr>
          <w:rFonts w:eastAsia="Times New Roman" w:cstheme="minorHAnsi"/>
          <w:color w:val="000000"/>
          <w:sz w:val="24"/>
          <w:szCs w:val="24"/>
          <w:lang w:val="en-GB"/>
        </w:rPr>
        <w:t>294</w:t>
      </w:r>
      <w:r w:rsidR="00C36D9B" w:rsidRPr="00CB5AC2">
        <w:rPr>
          <w:rFonts w:eastAsia="Times New Roman" w:cstheme="minorHAnsi"/>
          <w:color w:val="000000"/>
          <w:sz w:val="24"/>
          <w:szCs w:val="24"/>
          <w:lang w:val="en-GB"/>
        </w:rPr>
        <w:t>/</w:t>
      </w:r>
      <w:r w:rsidR="00B40A1F" w:rsidRPr="00CB5AC2">
        <w:rPr>
          <w:rFonts w:eastAsia="Times New Roman" w:cstheme="minorHAnsi"/>
          <w:color w:val="000000"/>
          <w:sz w:val="24"/>
          <w:szCs w:val="24"/>
          <w:lang w:val="en-GB"/>
        </w:rPr>
        <w:t>3</w:t>
      </w:r>
      <w:r w:rsidR="00962319" w:rsidRPr="00CB5AC2">
        <w:rPr>
          <w:rFonts w:eastAsia="Times New Roman" w:cstheme="minorHAnsi"/>
          <w:color w:val="000000"/>
          <w:sz w:val="24"/>
          <w:szCs w:val="24"/>
          <w:lang w:val="en-GB"/>
        </w:rPr>
        <w:t>,</w:t>
      </w:r>
      <w:r w:rsidR="00B40A1F" w:rsidRPr="00CB5AC2">
        <w:rPr>
          <w:rFonts w:eastAsia="Times New Roman" w:cstheme="minorHAnsi"/>
          <w:color w:val="000000"/>
          <w:sz w:val="24"/>
          <w:szCs w:val="24"/>
          <w:lang w:val="en-GB"/>
        </w:rPr>
        <w:t>982</w:t>
      </w:r>
      <w:r w:rsidR="00962319" w:rsidRPr="00CB5AC2">
        <w:rPr>
          <w:rFonts w:eastAsia="Times New Roman" w:cstheme="minorHAnsi"/>
          <w:color w:val="000000"/>
          <w:sz w:val="24"/>
          <w:szCs w:val="24"/>
          <w:lang w:val="en-GB"/>
        </w:rPr>
        <w:t>,</w:t>
      </w:r>
      <w:r w:rsidR="00B40A1F" w:rsidRPr="00CB5AC2">
        <w:rPr>
          <w:rFonts w:eastAsia="Times New Roman" w:cstheme="minorHAnsi"/>
          <w:color w:val="000000"/>
          <w:sz w:val="24"/>
          <w:szCs w:val="24"/>
          <w:lang w:val="en-GB"/>
        </w:rPr>
        <w:t>770</w:t>
      </w:r>
      <w:r w:rsidR="00DA0453" w:rsidRPr="00CB5AC2">
        <w:rPr>
          <w:rFonts w:eastAsia="Times New Roman" w:cstheme="minorHAnsi"/>
          <w:color w:val="000000"/>
          <w:sz w:val="24"/>
          <w:szCs w:val="24"/>
          <w:lang w:val="en-GB"/>
        </w:rPr>
        <w:t xml:space="preserve">). </w:t>
      </w:r>
      <w:r w:rsidR="00302B87" w:rsidRPr="00CB5AC2">
        <w:rPr>
          <w:rFonts w:eastAsia="Times New Roman" w:cstheme="minorHAnsi"/>
          <w:color w:val="000000"/>
          <w:sz w:val="24"/>
          <w:szCs w:val="24"/>
          <w:lang w:val="en-GB"/>
        </w:rPr>
        <w:t>The ethnic ad</w:t>
      </w:r>
      <w:r w:rsidR="005437E1" w:rsidRPr="00CB5AC2">
        <w:rPr>
          <w:rFonts w:eastAsia="Times New Roman" w:cstheme="minorHAnsi"/>
          <w:color w:val="000000"/>
          <w:sz w:val="24"/>
          <w:szCs w:val="24"/>
          <w:lang w:val="en-GB"/>
        </w:rPr>
        <w:t>mixture of</w:t>
      </w:r>
      <w:r w:rsidR="005437E1" w:rsidRPr="00CB5AC2">
        <w:rPr>
          <w:sz w:val="24"/>
          <w:szCs w:val="24"/>
        </w:rPr>
        <w:t xml:space="preserve"> </w:t>
      </w:r>
      <w:r w:rsidR="005437E1" w:rsidRPr="00CB5AC2">
        <w:rPr>
          <w:rFonts w:eastAsia="Times New Roman" w:cstheme="minorHAnsi"/>
          <w:color w:val="000000"/>
          <w:sz w:val="24"/>
          <w:szCs w:val="24"/>
          <w:lang w:val="en-GB"/>
        </w:rPr>
        <w:t>Stara Zagora is similar</w:t>
      </w:r>
      <w:r w:rsidR="00E834E0" w:rsidRPr="00CB5AC2">
        <w:rPr>
          <w:rFonts w:eastAsia="Times New Roman" w:cstheme="minorHAnsi"/>
          <w:color w:val="000000"/>
          <w:sz w:val="24"/>
          <w:szCs w:val="24"/>
          <w:lang w:val="en-GB"/>
        </w:rPr>
        <w:t xml:space="preserve"> to the country as a whole.</w:t>
      </w:r>
      <w:r w:rsidR="005437E1" w:rsidRPr="00CB5AC2">
        <w:rPr>
          <w:rFonts w:eastAsia="Times New Roman" w:cstheme="minorHAnsi"/>
          <w:color w:val="000000"/>
          <w:sz w:val="24"/>
          <w:szCs w:val="24"/>
          <w:lang w:val="en-GB"/>
        </w:rPr>
        <w:t xml:space="preserve"> </w:t>
      </w:r>
    </w:p>
    <w:p w14:paraId="2671D891" w14:textId="2EB83A74" w:rsidR="0023029B" w:rsidRPr="00CB5AC2" w:rsidRDefault="00AA6CF3" w:rsidP="001A0941">
      <w:pPr>
        <w:spacing w:line="276" w:lineRule="auto"/>
        <w:ind w:left="567"/>
        <w:rPr>
          <w:rFonts w:eastAsia="Times New Roman" w:cstheme="minorHAnsi"/>
          <w:color w:val="000000"/>
          <w:sz w:val="24"/>
          <w:szCs w:val="24"/>
          <w:lang w:val="en-GB"/>
        </w:rPr>
      </w:pPr>
      <w:r w:rsidRPr="00CB5AC2">
        <w:rPr>
          <w:rFonts w:eastAsia="Times New Roman" w:cstheme="minorHAnsi"/>
          <w:color w:val="000000"/>
          <w:sz w:val="24"/>
          <w:szCs w:val="24"/>
          <w:lang w:val="en-GB"/>
        </w:rPr>
        <w:t xml:space="preserve">We analyzed the </w:t>
      </w:r>
      <w:r w:rsidR="00753CAB" w:rsidRPr="00CB5AC2">
        <w:rPr>
          <w:rFonts w:eastAsia="Times New Roman" w:cstheme="minorHAnsi"/>
          <w:color w:val="000000"/>
          <w:sz w:val="24"/>
          <w:szCs w:val="24"/>
          <w:lang w:val="en-GB"/>
        </w:rPr>
        <w:t xml:space="preserve">cases of hip fractures </w:t>
      </w:r>
      <w:r w:rsidR="00D22A95">
        <w:rPr>
          <w:rFonts w:eastAsia="Times New Roman" w:cstheme="minorHAnsi"/>
          <w:color w:val="000000"/>
          <w:sz w:val="24"/>
          <w:szCs w:val="24"/>
          <w:lang w:val="en-GB"/>
        </w:rPr>
        <w:t>(</w:t>
      </w:r>
      <w:r w:rsidR="002179CC" w:rsidRPr="002179CC">
        <w:rPr>
          <w:rFonts w:eastAsia="Times New Roman" w:cstheme="minorHAnsi"/>
          <w:color w:val="000000"/>
          <w:sz w:val="24"/>
          <w:szCs w:val="24"/>
          <w:lang w:val="en-GB"/>
        </w:rPr>
        <w:t>ICD codes: S72.0, S72.1 and S72.2</w:t>
      </w:r>
      <w:r w:rsidR="002179CC">
        <w:rPr>
          <w:rFonts w:eastAsia="Times New Roman" w:cstheme="minorHAnsi"/>
          <w:color w:val="000000"/>
          <w:sz w:val="24"/>
          <w:szCs w:val="24"/>
          <w:lang w:val="en-GB"/>
        </w:rPr>
        <w:t>)</w:t>
      </w:r>
      <w:r w:rsidR="002179CC" w:rsidRPr="002179CC">
        <w:rPr>
          <w:rFonts w:eastAsia="Times New Roman" w:cstheme="minorHAnsi"/>
          <w:color w:val="000000"/>
          <w:sz w:val="24"/>
          <w:szCs w:val="24"/>
          <w:lang w:val="en-GB"/>
        </w:rPr>
        <w:t xml:space="preserve"> </w:t>
      </w:r>
      <w:r w:rsidR="00A85575" w:rsidRPr="00CB5AC2">
        <w:rPr>
          <w:rFonts w:eastAsia="Times New Roman" w:cstheme="minorHAnsi"/>
          <w:color w:val="000000"/>
          <w:sz w:val="24"/>
          <w:szCs w:val="24"/>
          <w:lang w:val="en-GB"/>
        </w:rPr>
        <w:t xml:space="preserve">in </w:t>
      </w:r>
      <w:r w:rsidR="00BC3C01">
        <w:rPr>
          <w:rFonts w:eastAsia="Times New Roman" w:cstheme="minorHAnsi"/>
          <w:color w:val="000000"/>
          <w:sz w:val="24"/>
          <w:szCs w:val="24"/>
          <w:lang w:val="en-GB"/>
        </w:rPr>
        <w:t>t</w:t>
      </w:r>
      <w:r w:rsidR="00485025">
        <w:rPr>
          <w:rFonts w:eastAsia="Times New Roman" w:cstheme="minorHAnsi"/>
          <w:color w:val="000000"/>
          <w:sz w:val="24"/>
          <w:szCs w:val="24"/>
          <w:lang w:val="en-GB"/>
        </w:rPr>
        <w:t xml:space="preserve">he </w:t>
      </w:r>
      <w:r w:rsidR="00A85575" w:rsidRPr="00CB5AC2">
        <w:rPr>
          <w:rFonts w:eastAsia="Times New Roman" w:cstheme="minorHAnsi"/>
          <w:color w:val="000000"/>
          <w:sz w:val="24"/>
          <w:szCs w:val="24"/>
          <w:lang w:val="en-GB"/>
        </w:rPr>
        <w:t>Stara Zagora</w:t>
      </w:r>
      <w:r w:rsidR="00BC3C01" w:rsidRPr="00BC3C01">
        <w:t xml:space="preserve"> </w:t>
      </w:r>
      <w:r w:rsidR="00BC3C01" w:rsidRPr="00BC3C01">
        <w:rPr>
          <w:rFonts w:eastAsia="Times New Roman" w:cstheme="minorHAnsi"/>
          <w:color w:val="000000"/>
          <w:sz w:val="24"/>
          <w:szCs w:val="24"/>
          <w:lang w:val="en-GB"/>
        </w:rPr>
        <w:t>region</w:t>
      </w:r>
      <w:r w:rsidR="008076D4" w:rsidRPr="00CB5AC2">
        <w:rPr>
          <w:rFonts w:eastAsia="Times New Roman" w:cstheme="minorHAnsi"/>
          <w:color w:val="000000"/>
          <w:sz w:val="24"/>
          <w:szCs w:val="24"/>
          <w:lang w:val="en-GB"/>
        </w:rPr>
        <w:t>, Bulgaria</w:t>
      </w:r>
      <w:r w:rsidR="00A85575" w:rsidRPr="00CB5AC2">
        <w:rPr>
          <w:rFonts w:eastAsia="Times New Roman" w:cstheme="minorHAnsi"/>
          <w:color w:val="000000"/>
          <w:sz w:val="24"/>
          <w:szCs w:val="24"/>
          <w:lang w:val="en-GB"/>
        </w:rPr>
        <w:t xml:space="preserve"> </w:t>
      </w:r>
      <w:bookmarkStart w:id="16" w:name="_Hlk21020539"/>
      <w:r w:rsidR="00EA0393" w:rsidRPr="00CB5AC2">
        <w:rPr>
          <w:rFonts w:eastAsia="Times New Roman" w:cstheme="minorHAnsi"/>
          <w:color w:val="000000"/>
          <w:sz w:val="24"/>
          <w:szCs w:val="24"/>
          <w:lang w:val="en-GB"/>
        </w:rPr>
        <w:t>for the years 20</w:t>
      </w:r>
      <w:r w:rsidR="00244C9F" w:rsidRPr="00CB5AC2">
        <w:rPr>
          <w:rFonts w:eastAsia="Times New Roman" w:cstheme="minorHAnsi"/>
          <w:color w:val="000000"/>
          <w:sz w:val="24"/>
          <w:szCs w:val="24"/>
          <w:lang w:val="en-GB"/>
        </w:rPr>
        <w:t>1</w:t>
      </w:r>
      <w:r w:rsidR="00EA0393" w:rsidRPr="00CB5AC2">
        <w:rPr>
          <w:rFonts w:eastAsia="Times New Roman" w:cstheme="minorHAnsi"/>
          <w:color w:val="000000"/>
          <w:sz w:val="24"/>
          <w:szCs w:val="24"/>
          <w:lang w:val="en-GB"/>
        </w:rPr>
        <w:t>5</w:t>
      </w:r>
      <w:r w:rsidR="0043111C" w:rsidRPr="00CB5AC2">
        <w:rPr>
          <w:rFonts w:eastAsia="Times New Roman" w:cstheme="minorHAnsi"/>
          <w:color w:val="000000"/>
          <w:sz w:val="24"/>
          <w:szCs w:val="24"/>
          <w:lang w:val="en-GB"/>
        </w:rPr>
        <w:t>, 20</w:t>
      </w:r>
      <w:r w:rsidR="00244C9F" w:rsidRPr="00CB5AC2">
        <w:rPr>
          <w:rFonts w:eastAsia="Times New Roman" w:cstheme="minorHAnsi"/>
          <w:color w:val="000000"/>
          <w:sz w:val="24"/>
          <w:szCs w:val="24"/>
          <w:lang w:val="en-GB"/>
        </w:rPr>
        <w:t>1</w:t>
      </w:r>
      <w:r w:rsidR="0043111C" w:rsidRPr="00CB5AC2">
        <w:rPr>
          <w:rFonts w:eastAsia="Times New Roman" w:cstheme="minorHAnsi"/>
          <w:color w:val="000000"/>
          <w:sz w:val="24"/>
          <w:szCs w:val="24"/>
          <w:lang w:val="en-GB"/>
        </w:rPr>
        <w:t xml:space="preserve">6 and </w:t>
      </w:r>
      <w:r w:rsidR="005C6A11" w:rsidRPr="00CB5AC2">
        <w:rPr>
          <w:rFonts w:eastAsia="Times New Roman" w:cstheme="minorHAnsi"/>
          <w:color w:val="000000"/>
          <w:sz w:val="24"/>
          <w:szCs w:val="24"/>
          <w:lang w:val="en-GB"/>
        </w:rPr>
        <w:t>2017</w:t>
      </w:r>
      <w:bookmarkEnd w:id="16"/>
      <w:r w:rsidR="005C6A11" w:rsidRPr="00CB5AC2">
        <w:rPr>
          <w:rFonts w:eastAsia="Times New Roman" w:cstheme="minorHAnsi"/>
          <w:color w:val="000000"/>
          <w:sz w:val="24"/>
          <w:szCs w:val="24"/>
          <w:lang w:val="en-GB"/>
        </w:rPr>
        <w:t>.</w:t>
      </w:r>
      <w:r w:rsidR="00742CC0" w:rsidRPr="00CB5AC2">
        <w:rPr>
          <w:rFonts w:eastAsia="Times New Roman" w:cstheme="minorHAnsi"/>
          <w:color w:val="000000"/>
          <w:sz w:val="24"/>
          <w:szCs w:val="24"/>
          <w:lang w:val="en-GB"/>
        </w:rPr>
        <w:t xml:space="preserve"> D</w:t>
      </w:r>
      <w:r w:rsidR="00DD7717" w:rsidRPr="00CB5AC2">
        <w:rPr>
          <w:rFonts w:eastAsia="Times New Roman" w:cstheme="minorHAnsi"/>
          <w:color w:val="000000"/>
          <w:sz w:val="24"/>
          <w:szCs w:val="24"/>
          <w:lang w:val="en-GB"/>
        </w:rPr>
        <w:t xml:space="preserve">ata </w:t>
      </w:r>
      <w:r w:rsidR="00B77591" w:rsidRPr="00CB5AC2">
        <w:rPr>
          <w:rFonts w:eastAsia="Times New Roman" w:cstheme="minorHAnsi"/>
          <w:color w:val="000000"/>
          <w:sz w:val="24"/>
          <w:szCs w:val="24"/>
          <w:lang w:val="en-GB"/>
        </w:rPr>
        <w:t>w</w:t>
      </w:r>
      <w:r w:rsidR="00B66322" w:rsidRPr="00CB5AC2">
        <w:rPr>
          <w:rFonts w:eastAsia="Times New Roman" w:cstheme="minorHAnsi"/>
          <w:color w:val="000000"/>
          <w:sz w:val="24"/>
          <w:szCs w:val="24"/>
          <w:lang w:val="en-GB"/>
        </w:rPr>
        <w:t>ere</w:t>
      </w:r>
      <w:r w:rsidR="00B77591" w:rsidRPr="00CB5AC2">
        <w:rPr>
          <w:rFonts w:eastAsia="Times New Roman" w:cstheme="minorHAnsi"/>
          <w:color w:val="000000"/>
          <w:sz w:val="24"/>
          <w:szCs w:val="24"/>
          <w:lang w:val="en-GB"/>
        </w:rPr>
        <w:t xml:space="preserve"> provided by</w:t>
      </w:r>
      <w:r w:rsidR="00DD7717" w:rsidRPr="00CB5AC2">
        <w:rPr>
          <w:rFonts w:eastAsia="Times New Roman" w:cstheme="minorHAnsi"/>
          <w:color w:val="000000"/>
          <w:sz w:val="24"/>
          <w:szCs w:val="24"/>
          <w:lang w:val="en-GB"/>
        </w:rPr>
        <w:t xml:space="preserve"> the regional health insurance</w:t>
      </w:r>
      <w:r w:rsidR="00B77591" w:rsidRPr="00CB5AC2">
        <w:rPr>
          <w:rFonts w:eastAsia="Times New Roman" w:cstheme="minorHAnsi"/>
          <w:color w:val="000000"/>
          <w:sz w:val="24"/>
          <w:szCs w:val="24"/>
          <w:lang w:val="en-GB"/>
        </w:rPr>
        <w:t xml:space="preserve"> </w:t>
      </w:r>
      <w:r w:rsidR="0051260D" w:rsidRPr="00CB5AC2">
        <w:rPr>
          <w:rFonts w:eastAsia="Times New Roman" w:cstheme="minorHAnsi"/>
          <w:color w:val="000000"/>
          <w:sz w:val="24"/>
          <w:szCs w:val="24"/>
          <w:lang w:val="en-GB"/>
        </w:rPr>
        <w:t xml:space="preserve">fund (RHIF) </w:t>
      </w:r>
      <w:r w:rsidR="00233CB9" w:rsidRPr="00CB5AC2">
        <w:rPr>
          <w:rFonts w:eastAsia="Times New Roman" w:cstheme="minorHAnsi"/>
          <w:color w:val="000000"/>
          <w:sz w:val="24"/>
          <w:szCs w:val="24"/>
          <w:lang w:val="en-GB"/>
        </w:rPr>
        <w:t xml:space="preserve">Stara Zagora using </w:t>
      </w:r>
      <w:r w:rsidR="001553D6">
        <w:rPr>
          <w:rFonts w:eastAsia="Times New Roman" w:cstheme="minorHAnsi"/>
          <w:color w:val="000000"/>
          <w:sz w:val="24"/>
          <w:szCs w:val="24"/>
          <w:lang w:val="en-GB"/>
        </w:rPr>
        <w:t xml:space="preserve">an </w:t>
      </w:r>
      <w:r w:rsidR="0053723B" w:rsidRPr="00CB5AC2">
        <w:rPr>
          <w:rFonts w:eastAsia="Times New Roman" w:cstheme="minorHAnsi"/>
          <w:color w:val="000000"/>
          <w:sz w:val="24"/>
          <w:szCs w:val="24"/>
          <w:lang w:val="en-GB"/>
        </w:rPr>
        <w:t>electronic database</w:t>
      </w:r>
      <w:r w:rsidR="00233CB9" w:rsidRPr="00CB5AC2">
        <w:rPr>
          <w:rFonts w:eastAsia="Times New Roman" w:cstheme="minorHAnsi"/>
          <w:color w:val="000000"/>
          <w:sz w:val="24"/>
          <w:szCs w:val="24"/>
          <w:lang w:val="en-GB"/>
        </w:rPr>
        <w:t xml:space="preserve"> </w:t>
      </w:r>
      <w:r w:rsidR="0053723B" w:rsidRPr="00CB5AC2">
        <w:rPr>
          <w:rFonts w:eastAsia="Times New Roman" w:cstheme="minorHAnsi"/>
          <w:color w:val="000000"/>
          <w:sz w:val="24"/>
          <w:szCs w:val="24"/>
          <w:lang w:val="en-GB"/>
        </w:rPr>
        <w:t xml:space="preserve">of </w:t>
      </w:r>
      <w:r w:rsidR="00233CB9" w:rsidRPr="00CB5AC2">
        <w:rPr>
          <w:rFonts w:eastAsia="Times New Roman" w:cstheme="minorHAnsi"/>
          <w:color w:val="000000"/>
          <w:sz w:val="24"/>
          <w:szCs w:val="24"/>
          <w:lang w:val="en-GB"/>
        </w:rPr>
        <w:t>hospitals, general practitioners and specialist</w:t>
      </w:r>
      <w:r w:rsidR="00866319" w:rsidRPr="00CB5AC2">
        <w:rPr>
          <w:rFonts w:eastAsia="Times New Roman" w:cstheme="minorHAnsi"/>
          <w:color w:val="000000"/>
          <w:sz w:val="24"/>
          <w:szCs w:val="24"/>
          <w:lang w:val="en-GB"/>
        </w:rPr>
        <w:t>s</w:t>
      </w:r>
      <w:r w:rsidR="00AC1B74" w:rsidRPr="00CB5AC2">
        <w:rPr>
          <w:rFonts w:eastAsia="Times New Roman" w:cstheme="minorHAnsi"/>
          <w:color w:val="000000"/>
          <w:sz w:val="24"/>
          <w:szCs w:val="24"/>
          <w:lang w:val="en-GB"/>
        </w:rPr>
        <w:t xml:space="preserve"> in this </w:t>
      </w:r>
      <w:r w:rsidR="00233CB9" w:rsidRPr="00CB5AC2">
        <w:rPr>
          <w:rFonts w:eastAsia="Times New Roman" w:cstheme="minorHAnsi"/>
          <w:color w:val="000000"/>
          <w:sz w:val="24"/>
          <w:szCs w:val="24"/>
          <w:lang w:val="en-GB"/>
        </w:rPr>
        <w:t xml:space="preserve">region. </w:t>
      </w:r>
      <w:r w:rsidR="00E76AF0" w:rsidRPr="00CB5AC2">
        <w:rPr>
          <w:rFonts w:eastAsia="Times New Roman" w:cstheme="minorHAnsi"/>
          <w:color w:val="000000"/>
          <w:sz w:val="24"/>
          <w:szCs w:val="24"/>
          <w:lang w:val="en-GB"/>
        </w:rPr>
        <w:t xml:space="preserve">The insurance company covers 81.2% of the total population but </w:t>
      </w:r>
      <w:r w:rsidR="00337D78">
        <w:rPr>
          <w:rFonts w:eastAsia="Times New Roman" w:cstheme="minorHAnsi"/>
          <w:color w:val="000000"/>
          <w:sz w:val="24"/>
          <w:szCs w:val="24"/>
          <w:lang w:val="en-GB"/>
        </w:rPr>
        <w:t>co</w:t>
      </w:r>
      <w:r w:rsidR="00B24F66">
        <w:rPr>
          <w:rFonts w:eastAsia="Times New Roman" w:cstheme="minorHAnsi"/>
          <w:color w:val="000000"/>
          <w:sz w:val="24"/>
          <w:szCs w:val="24"/>
          <w:lang w:val="en-GB"/>
        </w:rPr>
        <w:t xml:space="preserve">verage </w:t>
      </w:r>
      <w:r w:rsidR="00E76AF0" w:rsidRPr="00CB5AC2">
        <w:rPr>
          <w:rFonts w:eastAsia="Times New Roman" w:cstheme="minorHAnsi"/>
          <w:color w:val="000000"/>
          <w:sz w:val="24"/>
          <w:szCs w:val="24"/>
          <w:lang w:val="en-GB"/>
        </w:rPr>
        <w:t xml:space="preserve">varies according to age and sex. </w:t>
      </w:r>
      <w:r w:rsidR="00476072">
        <w:rPr>
          <w:rFonts w:eastAsia="Times New Roman" w:cstheme="minorHAnsi"/>
          <w:color w:val="000000"/>
          <w:sz w:val="24"/>
          <w:szCs w:val="24"/>
          <w:lang w:val="en-GB"/>
        </w:rPr>
        <w:t>The relevant data on coverage was availa</w:t>
      </w:r>
      <w:r w:rsidR="00D840CF">
        <w:rPr>
          <w:rFonts w:eastAsia="Times New Roman" w:cstheme="minorHAnsi"/>
          <w:color w:val="000000"/>
          <w:sz w:val="24"/>
          <w:szCs w:val="24"/>
          <w:lang w:val="en-GB"/>
        </w:rPr>
        <w:t xml:space="preserve">ble and the </w:t>
      </w:r>
      <w:r w:rsidR="00E76AF0" w:rsidRPr="00CB5AC2">
        <w:rPr>
          <w:rFonts w:eastAsia="Times New Roman" w:cstheme="minorHAnsi"/>
          <w:color w:val="000000"/>
          <w:sz w:val="24"/>
          <w:szCs w:val="24"/>
          <w:lang w:val="en-GB"/>
        </w:rPr>
        <w:t>age</w:t>
      </w:r>
      <w:r w:rsidR="00F3012C">
        <w:rPr>
          <w:rFonts w:eastAsia="Times New Roman" w:cstheme="minorHAnsi"/>
          <w:color w:val="000000"/>
          <w:sz w:val="24"/>
          <w:szCs w:val="24"/>
          <w:lang w:val="en-GB"/>
        </w:rPr>
        <w:t>-</w:t>
      </w:r>
      <w:r w:rsidR="00E76AF0" w:rsidRPr="00CB5AC2">
        <w:rPr>
          <w:rFonts w:eastAsia="Times New Roman" w:cstheme="minorHAnsi"/>
          <w:color w:val="000000"/>
          <w:sz w:val="24"/>
          <w:szCs w:val="24"/>
          <w:lang w:val="en-GB"/>
        </w:rPr>
        <w:t xml:space="preserve"> and sex</w:t>
      </w:r>
      <w:r w:rsidR="00F3012C">
        <w:rPr>
          <w:rFonts w:eastAsia="Times New Roman" w:cstheme="minorHAnsi"/>
          <w:color w:val="000000"/>
          <w:sz w:val="24"/>
          <w:szCs w:val="24"/>
          <w:lang w:val="en-GB"/>
        </w:rPr>
        <w:t>-</w:t>
      </w:r>
      <w:r w:rsidR="00E76AF0" w:rsidRPr="00CB5AC2">
        <w:rPr>
          <w:rFonts w:eastAsia="Times New Roman" w:cstheme="minorHAnsi"/>
          <w:color w:val="000000"/>
          <w:sz w:val="24"/>
          <w:szCs w:val="24"/>
          <w:lang w:val="en-GB"/>
        </w:rPr>
        <w:t xml:space="preserve">specific insured population comprised the denominator for the calculation of incidence.  </w:t>
      </w:r>
      <w:r w:rsidR="001D42EA" w:rsidRPr="00CB5AC2">
        <w:rPr>
          <w:rFonts w:eastAsia="Times New Roman" w:cstheme="minorHAnsi"/>
          <w:color w:val="000000"/>
          <w:sz w:val="24"/>
          <w:szCs w:val="24"/>
          <w:lang w:val="en-GB"/>
        </w:rPr>
        <w:t xml:space="preserve">  </w:t>
      </w:r>
      <w:r w:rsidR="005B16C7" w:rsidRPr="00CB5AC2">
        <w:rPr>
          <w:rFonts w:eastAsia="Times New Roman" w:cstheme="minorHAnsi"/>
          <w:color w:val="000000"/>
          <w:sz w:val="24"/>
          <w:szCs w:val="24"/>
          <w:lang w:val="en-GB"/>
        </w:rPr>
        <w:t xml:space="preserve">To </w:t>
      </w:r>
      <w:r w:rsidR="00C060D4" w:rsidRPr="00CB5AC2">
        <w:rPr>
          <w:rFonts w:eastAsia="Times New Roman" w:cstheme="minorHAnsi"/>
          <w:color w:val="000000"/>
          <w:sz w:val="24"/>
          <w:szCs w:val="24"/>
          <w:lang w:val="en-GB"/>
        </w:rPr>
        <w:t>minimise</w:t>
      </w:r>
      <w:r w:rsidR="005B16C7" w:rsidRPr="00CB5AC2">
        <w:rPr>
          <w:rFonts w:eastAsia="Times New Roman" w:cstheme="minorHAnsi"/>
          <w:color w:val="000000"/>
          <w:sz w:val="24"/>
          <w:szCs w:val="24"/>
          <w:lang w:val="en-GB"/>
        </w:rPr>
        <w:t xml:space="preserve"> double counting, further admissions for the same </w:t>
      </w:r>
      <w:r w:rsidR="00770BC5" w:rsidRPr="00CB5AC2">
        <w:rPr>
          <w:rFonts w:eastAsia="Times New Roman" w:cstheme="minorHAnsi"/>
          <w:color w:val="000000"/>
          <w:sz w:val="24"/>
          <w:szCs w:val="24"/>
          <w:lang w:val="en-GB"/>
        </w:rPr>
        <w:t xml:space="preserve">hip </w:t>
      </w:r>
      <w:r w:rsidR="005B16C7" w:rsidRPr="00CB5AC2">
        <w:rPr>
          <w:rFonts w:eastAsia="Times New Roman" w:cstheme="minorHAnsi"/>
          <w:color w:val="000000"/>
          <w:sz w:val="24"/>
          <w:szCs w:val="24"/>
          <w:lang w:val="en-GB"/>
        </w:rPr>
        <w:t xml:space="preserve">fracture site </w:t>
      </w:r>
      <w:r w:rsidR="006D5658" w:rsidRPr="00CB5AC2">
        <w:rPr>
          <w:rFonts w:eastAsia="Times New Roman" w:cstheme="minorHAnsi"/>
          <w:color w:val="000000"/>
          <w:sz w:val="24"/>
          <w:szCs w:val="24"/>
          <w:lang w:val="en-GB"/>
        </w:rPr>
        <w:t>within 3 months</w:t>
      </w:r>
      <w:r w:rsidR="005B16C7" w:rsidRPr="00CB5AC2">
        <w:rPr>
          <w:rFonts w:eastAsia="Times New Roman" w:cstheme="minorHAnsi"/>
          <w:color w:val="000000"/>
          <w:sz w:val="24"/>
          <w:szCs w:val="24"/>
          <w:lang w:val="en-GB"/>
        </w:rPr>
        <w:t xml:space="preserve"> were excluded.</w:t>
      </w:r>
      <w:r w:rsidR="00770BC5" w:rsidRPr="00CB5AC2">
        <w:rPr>
          <w:rFonts w:eastAsia="Times New Roman" w:cstheme="minorHAnsi"/>
          <w:color w:val="000000"/>
          <w:sz w:val="24"/>
          <w:szCs w:val="24"/>
          <w:lang w:val="en-GB"/>
        </w:rPr>
        <w:t xml:space="preserve"> </w:t>
      </w:r>
      <w:r w:rsidR="00A34716" w:rsidRPr="00CB5AC2">
        <w:rPr>
          <w:rFonts w:eastAsia="Times New Roman" w:cstheme="minorHAnsi"/>
          <w:color w:val="000000"/>
          <w:sz w:val="24"/>
          <w:szCs w:val="24"/>
          <w:lang w:val="en-GB"/>
        </w:rPr>
        <w:t>Permanent residence in the region was not a criterion for inclusion, so a small number of patients living temporarily in the catchment area were also included in the database.</w:t>
      </w:r>
    </w:p>
    <w:p w14:paraId="74B64226" w14:textId="39AF83F4" w:rsidR="00521561" w:rsidRPr="00CB5AC2" w:rsidRDefault="00866319" w:rsidP="001A0941">
      <w:pPr>
        <w:spacing w:line="276" w:lineRule="auto"/>
        <w:ind w:left="567"/>
        <w:rPr>
          <w:rFonts w:eastAsia="Times New Roman" w:cstheme="minorHAnsi"/>
          <w:color w:val="000000"/>
          <w:sz w:val="24"/>
          <w:szCs w:val="24"/>
          <w:lang w:val="en-GB"/>
        </w:rPr>
      </w:pPr>
      <w:r w:rsidRPr="00CB5AC2">
        <w:rPr>
          <w:rFonts w:eastAsia="Times New Roman" w:cstheme="minorHAnsi"/>
          <w:color w:val="000000"/>
          <w:sz w:val="24"/>
          <w:szCs w:val="24"/>
          <w:lang w:val="en-GB"/>
        </w:rPr>
        <w:t xml:space="preserve">Incidence of </w:t>
      </w:r>
      <w:r w:rsidR="002C3948" w:rsidRPr="00CB5AC2">
        <w:rPr>
          <w:rFonts w:eastAsia="Times New Roman" w:cstheme="minorHAnsi"/>
          <w:color w:val="000000"/>
          <w:sz w:val="24"/>
          <w:szCs w:val="24"/>
          <w:lang w:val="en-GB"/>
        </w:rPr>
        <w:t>hip fractures was calculated</w:t>
      </w:r>
      <w:r w:rsidR="00B51973" w:rsidRPr="00CB5AC2">
        <w:rPr>
          <w:rFonts w:eastAsia="Times New Roman" w:cstheme="minorHAnsi"/>
          <w:color w:val="000000"/>
          <w:sz w:val="24"/>
          <w:szCs w:val="24"/>
          <w:lang w:val="en-GB"/>
        </w:rPr>
        <w:t xml:space="preserve"> </w:t>
      </w:r>
      <w:r w:rsidR="0079220D" w:rsidRPr="00CB5AC2">
        <w:rPr>
          <w:rFonts w:eastAsia="Times New Roman" w:cstheme="minorHAnsi"/>
          <w:color w:val="000000"/>
          <w:sz w:val="24"/>
          <w:szCs w:val="24"/>
          <w:lang w:val="en-GB"/>
        </w:rPr>
        <w:t xml:space="preserve">from the age of 40 </w:t>
      </w:r>
      <w:r w:rsidR="004A373C" w:rsidRPr="00CB5AC2">
        <w:rPr>
          <w:rFonts w:eastAsia="Times New Roman" w:cstheme="minorHAnsi"/>
          <w:color w:val="000000"/>
          <w:sz w:val="24"/>
          <w:szCs w:val="24"/>
          <w:lang w:val="en-GB"/>
        </w:rPr>
        <w:t xml:space="preserve">years in </w:t>
      </w:r>
      <w:r w:rsidR="00244C9F" w:rsidRPr="00CB5AC2">
        <w:rPr>
          <w:rFonts w:eastAsia="Times New Roman" w:cstheme="minorHAnsi"/>
          <w:color w:val="000000"/>
          <w:sz w:val="24"/>
          <w:szCs w:val="24"/>
          <w:lang w:val="en-GB"/>
        </w:rPr>
        <w:t>5-year</w:t>
      </w:r>
      <w:r w:rsidR="004A373C" w:rsidRPr="00CB5AC2">
        <w:rPr>
          <w:rFonts w:eastAsia="Times New Roman" w:cstheme="minorHAnsi"/>
          <w:color w:val="000000"/>
          <w:sz w:val="24"/>
          <w:szCs w:val="24"/>
          <w:lang w:val="en-GB"/>
        </w:rPr>
        <w:t xml:space="preserve"> age intervals</w:t>
      </w:r>
      <w:r w:rsidR="00B51973" w:rsidRPr="00CB5AC2">
        <w:rPr>
          <w:rFonts w:eastAsia="Times New Roman" w:cstheme="minorHAnsi"/>
          <w:color w:val="000000"/>
          <w:sz w:val="24"/>
          <w:szCs w:val="24"/>
          <w:lang w:val="en-GB"/>
        </w:rPr>
        <w:t xml:space="preserve"> </w:t>
      </w:r>
      <w:r w:rsidR="00E43CA4" w:rsidRPr="00CB5AC2">
        <w:rPr>
          <w:rFonts w:eastAsia="Times New Roman" w:cstheme="minorHAnsi"/>
          <w:color w:val="000000"/>
          <w:sz w:val="24"/>
          <w:szCs w:val="24"/>
          <w:lang w:val="en-GB"/>
        </w:rPr>
        <w:t xml:space="preserve">in men and in women. </w:t>
      </w:r>
      <w:r w:rsidR="00590F25" w:rsidRPr="00CB5AC2">
        <w:rPr>
          <w:rFonts w:eastAsia="Times New Roman" w:cstheme="minorHAnsi"/>
          <w:color w:val="000000"/>
          <w:sz w:val="24"/>
          <w:szCs w:val="24"/>
          <w:lang w:val="en-GB"/>
        </w:rPr>
        <w:t xml:space="preserve">The age of 40 was chosen since FRAX permits the </w:t>
      </w:r>
      <w:r w:rsidR="004B2E83" w:rsidRPr="00CB5AC2">
        <w:rPr>
          <w:rFonts w:eastAsia="Times New Roman" w:cstheme="minorHAnsi"/>
          <w:color w:val="000000"/>
          <w:sz w:val="24"/>
          <w:szCs w:val="24"/>
          <w:lang w:val="en-GB"/>
        </w:rPr>
        <w:t xml:space="preserve">calculation of fracture probability from this age. </w:t>
      </w:r>
    </w:p>
    <w:p w14:paraId="6D5E6179" w14:textId="16D0B195" w:rsidR="00095A2B" w:rsidRPr="00CB5AC2" w:rsidRDefault="00095A2B" w:rsidP="001A0941">
      <w:pPr>
        <w:spacing w:line="276" w:lineRule="auto"/>
        <w:ind w:left="567"/>
        <w:rPr>
          <w:rFonts w:cstheme="minorHAnsi"/>
          <w:sz w:val="24"/>
          <w:szCs w:val="24"/>
          <w:lang w:val="en-GB"/>
        </w:rPr>
      </w:pPr>
      <w:r w:rsidRPr="00CB5AC2">
        <w:rPr>
          <w:rFonts w:cstheme="minorHAnsi"/>
          <w:sz w:val="24"/>
          <w:szCs w:val="24"/>
          <w:lang w:val="en-GB"/>
        </w:rPr>
        <w:t xml:space="preserve">The age and sex-specific incidence </w:t>
      </w:r>
      <w:r w:rsidR="00244C9F" w:rsidRPr="00CB5AC2">
        <w:rPr>
          <w:rFonts w:cstheme="minorHAnsi"/>
          <w:sz w:val="24"/>
          <w:szCs w:val="24"/>
          <w:lang w:val="en-GB"/>
        </w:rPr>
        <w:t>for</w:t>
      </w:r>
      <w:r w:rsidRPr="00CB5AC2">
        <w:rPr>
          <w:rFonts w:cstheme="minorHAnsi"/>
          <w:sz w:val="24"/>
          <w:szCs w:val="24"/>
          <w:lang w:val="en-GB"/>
        </w:rPr>
        <w:t xml:space="preserve"> 20</w:t>
      </w:r>
      <w:r w:rsidR="00244C9F" w:rsidRPr="00CB5AC2">
        <w:rPr>
          <w:rFonts w:cstheme="minorHAnsi"/>
          <w:sz w:val="24"/>
          <w:szCs w:val="24"/>
          <w:lang w:val="en-GB"/>
        </w:rPr>
        <w:t>1</w:t>
      </w:r>
      <w:r w:rsidR="008759AA" w:rsidRPr="00CB5AC2">
        <w:rPr>
          <w:rFonts w:cstheme="minorHAnsi"/>
          <w:sz w:val="24"/>
          <w:szCs w:val="24"/>
          <w:lang w:val="en-GB"/>
        </w:rPr>
        <w:t>5</w:t>
      </w:r>
      <w:r w:rsidR="00244C9F" w:rsidRPr="00CB5AC2">
        <w:rPr>
          <w:rFonts w:cstheme="minorHAnsi"/>
          <w:sz w:val="24"/>
          <w:szCs w:val="24"/>
          <w:lang w:val="en-GB"/>
        </w:rPr>
        <w:t>-</w:t>
      </w:r>
      <w:r w:rsidRPr="00CB5AC2">
        <w:rPr>
          <w:rFonts w:cstheme="minorHAnsi"/>
          <w:sz w:val="24"/>
          <w:szCs w:val="24"/>
          <w:lang w:val="en-GB"/>
        </w:rPr>
        <w:t>201</w:t>
      </w:r>
      <w:r w:rsidR="00244C9F" w:rsidRPr="00CB5AC2">
        <w:rPr>
          <w:rFonts w:cstheme="minorHAnsi"/>
          <w:sz w:val="24"/>
          <w:szCs w:val="24"/>
          <w:lang w:val="en-GB"/>
        </w:rPr>
        <w:t>7</w:t>
      </w:r>
      <w:r w:rsidRPr="00CB5AC2">
        <w:rPr>
          <w:rFonts w:cstheme="minorHAnsi"/>
          <w:sz w:val="24"/>
          <w:szCs w:val="24"/>
          <w:lang w:val="en-GB"/>
        </w:rPr>
        <w:t xml:space="preserve"> was applied to the </w:t>
      </w:r>
      <w:r w:rsidR="005F3D0D" w:rsidRPr="00CB5AC2">
        <w:rPr>
          <w:rFonts w:cstheme="minorHAnsi"/>
          <w:sz w:val="24"/>
          <w:szCs w:val="24"/>
          <w:lang w:val="en-GB"/>
        </w:rPr>
        <w:t>Bulgarian population</w:t>
      </w:r>
      <w:r w:rsidRPr="00CB5AC2">
        <w:rPr>
          <w:rFonts w:cstheme="minorHAnsi"/>
          <w:sz w:val="24"/>
          <w:szCs w:val="24"/>
          <w:lang w:val="en-GB"/>
        </w:rPr>
        <w:t xml:space="preserve"> for 2015 to estimate the number of hip fractures nationwide.  Additionally, future projections were estimated up to 2050</w:t>
      </w:r>
      <w:r w:rsidR="00CB1C15" w:rsidRPr="00CB5AC2">
        <w:rPr>
          <w:rFonts w:cstheme="minorHAnsi"/>
          <w:sz w:val="24"/>
          <w:szCs w:val="24"/>
          <w:lang w:val="en-GB"/>
        </w:rPr>
        <w:t>,</w:t>
      </w:r>
      <w:r w:rsidRPr="00CB5AC2">
        <w:rPr>
          <w:rFonts w:cstheme="minorHAnsi"/>
          <w:sz w:val="24"/>
          <w:szCs w:val="24"/>
          <w:lang w:val="en-GB"/>
        </w:rPr>
        <w:t xml:space="preserve"> assuming that the age- and sex-specific incidence remained stable.  Population demography was taken from the United Nations using the medium variant for fertility [</w:t>
      </w:r>
      <w:r w:rsidR="00970A22" w:rsidRPr="00CB5AC2">
        <w:rPr>
          <w:rFonts w:cstheme="minorHAnsi"/>
          <w:sz w:val="24"/>
          <w:szCs w:val="24"/>
          <w:lang w:val="en-GB"/>
        </w:rPr>
        <w:t>1</w:t>
      </w:r>
      <w:r w:rsidR="005E5F2F" w:rsidRPr="00CB5AC2">
        <w:rPr>
          <w:rFonts w:cstheme="minorHAnsi"/>
          <w:sz w:val="24"/>
          <w:szCs w:val="24"/>
          <w:lang w:val="en-GB"/>
        </w:rPr>
        <w:t>7</w:t>
      </w:r>
      <w:r w:rsidRPr="00CB5AC2">
        <w:rPr>
          <w:rFonts w:cstheme="minorHAnsi"/>
          <w:sz w:val="24"/>
          <w:szCs w:val="24"/>
          <w:lang w:val="en-GB"/>
        </w:rPr>
        <w:t>].</w:t>
      </w:r>
    </w:p>
    <w:p w14:paraId="5B456FD7" w14:textId="3E784F47" w:rsidR="00A756D5" w:rsidRPr="00CB5AC2" w:rsidRDefault="00A756D5" w:rsidP="001A0941">
      <w:pPr>
        <w:spacing w:line="276" w:lineRule="auto"/>
        <w:ind w:left="567"/>
        <w:rPr>
          <w:rFonts w:cstheme="minorHAnsi"/>
          <w:sz w:val="24"/>
          <w:szCs w:val="24"/>
          <w:lang w:val="en-GB"/>
        </w:rPr>
      </w:pPr>
      <w:r w:rsidRPr="007B0ED4">
        <w:rPr>
          <w:rFonts w:ascii="Calibri" w:eastAsia="Times New Roman" w:hAnsi="Calibri" w:cs="Calibri"/>
          <w:sz w:val="24"/>
          <w:szCs w:val="24"/>
          <w:lang w:eastAsia="ru-RU"/>
        </w:rPr>
        <w:t xml:space="preserve">The data on hip fracture were used to construct </w:t>
      </w:r>
      <w:r w:rsidR="00DA04C3" w:rsidRPr="007B0ED4">
        <w:rPr>
          <w:rFonts w:ascii="Calibri" w:eastAsia="Times New Roman" w:hAnsi="Calibri" w:cs="Calibri"/>
          <w:sz w:val="24"/>
          <w:szCs w:val="24"/>
          <w:lang w:eastAsia="ru-RU"/>
        </w:rPr>
        <w:t>a</w:t>
      </w:r>
      <w:r w:rsidRPr="007B0ED4">
        <w:rPr>
          <w:rFonts w:ascii="Calibri" w:eastAsia="Times New Roman" w:hAnsi="Calibri" w:cs="Calibri"/>
          <w:sz w:val="24"/>
          <w:szCs w:val="24"/>
          <w:lang w:eastAsia="ru-RU"/>
        </w:rPr>
        <w:t xml:space="preserve"> FRAX model</w:t>
      </w:r>
      <w:r w:rsidR="0039770F" w:rsidRPr="007B0ED4">
        <w:rPr>
          <w:rFonts w:ascii="Calibri" w:eastAsia="Times New Roman" w:hAnsi="Calibri" w:cs="Calibri"/>
          <w:sz w:val="24"/>
          <w:szCs w:val="24"/>
          <w:lang w:eastAsia="ru-RU"/>
        </w:rPr>
        <w:t xml:space="preserve"> for Bulgaria</w:t>
      </w:r>
      <w:r w:rsidRPr="007B0ED4">
        <w:rPr>
          <w:rFonts w:ascii="Calibri" w:eastAsia="Times New Roman" w:hAnsi="Calibri" w:cs="Calibri"/>
          <w:sz w:val="24"/>
          <w:szCs w:val="24"/>
          <w:lang w:eastAsia="ru-RU"/>
        </w:rPr>
        <w:t xml:space="preserve">.  For other major osteoporotic fractures (clinical spine, forearm and humeral fractures) it was assumed that the age- and sex-specific ratios of these fractures to hip fracture risk in </w:t>
      </w:r>
      <w:r w:rsidR="00577309" w:rsidRPr="007B0ED4">
        <w:rPr>
          <w:rFonts w:ascii="Calibri" w:eastAsia="Times New Roman" w:hAnsi="Calibri" w:cs="Calibri"/>
          <w:sz w:val="24"/>
          <w:szCs w:val="24"/>
          <w:lang w:eastAsia="ru-RU"/>
        </w:rPr>
        <w:t>Bulgaria</w:t>
      </w:r>
      <w:r w:rsidRPr="007B0ED4">
        <w:rPr>
          <w:rFonts w:ascii="Calibri" w:eastAsia="Times New Roman" w:hAnsi="Calibri" w:cs="Calibri"/>
          <w:sz w:val="24"/>
          <w:szCs w:val="24"/>
          <w:lang w:eastAsia="ru-RU"/>
        </w:rPr>
        <w:t xml:space="preserve"> were comparable to those </w:t>
      </w:r>
      <w:r w:rsidR="00AD0279" w:rsidRPr="007B0ED4">
        <w:rPr>
          <w:rFonts w:ascii="Calibri" w:eastAsia="Times New Roman" w:hAnsi="Calibri" w:cs="Calibri"/>
          <w:sz w:val="24"/>
          <w:szCs w:val="24"/>
          <w:lang w:eastAsia="ru-RU"/>
        </w:rPr>
        <w:t xml:space="preserve">found in </w:t>
      </w:r>
      <w:r w:rsidR="00AD0279" w:rsidRPr="004E4262">
        <w:rPr>
          <w:rFonts w:ascii="Calibri" w:eastAsia="Times New Roman" w:hAnsi="Calibri" w:cs="Calibri"/>
          <w:sz w:val="24"/>
          <w:szCs w:val="24"/>
          <w:lang w:eastAsia="ru-RU"/>
        </w:rPr>
        <w:t>Sweden</w:t>
      </w:r>
      <w:r w:rsidR="00A341E5" w:rsidRPr="004E4262">
        <w:rPr>
          <w:rFonts w:ascii="Calibri" w:eastAsia="Times New Roman" w:hAnsi="Calibri" w:cs="Calibri"/>
          <w:sz w:val="24"/>
          <w:szCs w:val="24"/>
          <w:lang w:eastAsia="ru-RU"/>
        </w:rPr>
        <w:t xml:space="preserve"> </w:t>
      </w:r>
      <w:r w:rsidR="00C25592" w:rsidRPr="004E4262">
        <w:rPr>
          <w:rFonts w:ascii="Calibri" w:eastAsia="Times New Roman" w:hAnsi="Calibri" w:cs="Calibri"/>
          <w:sz w:val="24"/>
          <w:szCs w:val="24"/>
          <w:lang w:eastAsia="ru-RU"/>
        </w:rPr>
        <w:t>[4]</w:t>
      </w:r>
      <w:r w:rsidRPr="004E4262">
        <w:rPr>
          <w:rFonts w:ascii="Calibri" w:eastAsia="Times New Roman" w:hAnsi="Calibri" w:cs="Calibri"/>
          <w:sz w:val="24"/>
          <w:szCs w:val="24"/>
          <w:lang w:eastAsia="ru-RU"/>
        </w:rPr>
        <w:t>. This assumption</w:t>
      </w:r>
      <w:r w:rsidRPr="007B0ED4">
        <w:rPr>
          <w:rFonts w:ascii="Calibri" w:eastAsia="Times New Roman" w:hAnsi="Calibri" w:cs="Calibri"/>
          <w:sz w:val="24"/>
          <w:szCs w:val="24"/>
          <w:lang w:eastAsia="ru-RU"/>
        </w:rPr>
        <w:t xml:space="preserve"> has been used for many of the FRAX models with incomplete epidemiological information</w:t>
      </w:r>
      <w:r w:rsidR="003C0E87" w:rsidRPr="007B0ED4">
        <w:t xml:space="preserve"> </w:t>
      </w:r>
      <w:r w:rsidR="003C0E87" w:rsidRPr="007B0ED4">
        <w:rPr>
          <w:rFonts w:ascii="Calibri" w:eastAsia="Times New Roman" w:hAnsi="Calibri" w:cs="Calibri"/>
          <w:sz w:val="24"/>
          <w:szCs w:val="24"/>
          <w:lang w:eastAsia="ru-RU"/>
        </w:rPr>
        <w:t>on non-hip fractures.</w:t>
      </w:r>
      <w:r w:rsidRPr="007B0ED4">
        <w:rPr>
          <w:rFonts w:ascii="Calibri" w:eastAsia="Times New Roman" w:hAnsi="Calibri" w:cs="Calibri"/>
          <w:sz w:val="24"/>
          <w:szCs w:val="24"/>
          <w:lang w:eastAsia="ru-RU"/>
        </w:rPr>
        <w:t xml:space="preserve"> Available information suggests that the age- and sex-stratified pattern of fracture is very similar in the Western world and Australia</w:t>
      </w:r>
      <w:r w:rsidR="002D01FA" w:rsidRPr="007B0ED4">
        <w:rPr>
          <w:rFonts w:ascii="Calibri" w:eastAsia="Times New Roman" w:hAnsi="Calibri" w:cs="Calibri"/>
          <w:sz w:val="24"/>
          <w:szCs w:val="24"/>
          <w:lang w:eastAsia="ru-RU"/>
        </w:rPr>
        <w:t xml:space="preserve"> [</w:t>
      </w:r>
      <w:r w:rsidR="001E68F5" w:rsidRPr="007B0ED4">
        <w:rPr>
          <w:rFonts w:ascii="Calibri" w:eastAsia="Times New Roman" w:hAnsi="Calibri" w:cs="Calibri"/>
          <w:sz w:val="24"/>
          <w:szCs w:val="24"/>
          <w:lang w:eastAsia="ru-RU"/>
        </w:rPr>
        <w:t>1</w:t>
      </w:r>
      <w:r w:rsidR="008871E9" w:rsidRPr="007B0ED4">
        <w:rPr>
          <w:rFonts w:ascii="Calibri" w:eastAsia="Times New Roman" w:hAnsi="Calibri" w:cs="Calibri"/>
          <w:sz w:val="24"/>
          <w:szCs w:val="24"/>
          <w:lang w:eastAsia="ru-RU"/>
        </w:rPr>
        <w:t>4,</w:t>
      </w:r>
      <w:r w:rsidR="001E68F5" w:rsidRPr="007B0ED4">
        <w:rPr>
          <w:rFonts w:ascii="Calibri" w:eastAsia="Times New Roman" w:hAnsi="Calibri" w:cs="Calibri"/>
          <w:sz w:val="24"/>
          <w:szCs w:val="24"/>
          <w:lang w:eastAsia="ru-RU"/>
        </w:rPr>
        <w:t xml:space="preserve"> </w:t>
      </w:r>
      <w:r w:rsidR="002D01FA" w:rsidRPr="007B0ED4">
        <w:rPr>
          <w:rFonts w:ascii="Calibri" w:eastAsia="Times New Roman" w:hAnsi="Calibri" w:cs="Calibri"/>
          <w:sz w:val="24"/>
          <w:szCs w:val="24"/>
          <w:lang w:eastAsia="ru-RU"/>
        </w:rPr>
        <w:t>1</w:t>
      </w:r>
      <w:r w:rsidR="00E00110" w:rsidRPr="007B0ED4">
        <w:rPr>
          <w:rFonts w:ascii="Calibri" w:eastAsia="Times New Roman" w:hAnsi="Calibri" w:cs="Calibri"/>
          <w:sz w:val="24"/>
          <w:szCs w:val="24"/>
          <w:lang w:eastAsia="ru-RU"/>
        </w:rPr>
        <w:t>8</w:t>
      </w:r>
      <w:r w:rsidR="00CD7915" w:rsidRPr="007B0ED4">
        <w:rPr>
          <w:rFonts w:ascii="Calibri" w:eastAsia="Times New Roman" w:hAnsi="Calibri" w:cs="Calibri"/>
          <w:sz w:val="24"/>
          <w:szCs w:val="24"/>
          <w:lang w:eastAsia="ru-RU"/>
        </w:rPr>
        <w:t>,</w:t>
      </w:r>
      <w:r w:rsidRPr="007B0ED4">
        <w:rPr>
          <w:rFonts w:ascii="Calibri" w:eastAsia="Times New Roman" w:hAnsi="Calibri" w:cs="Calibri"/>
          <w:sz w:val="24"/>
          <w:szCs w:val="24"/>
          <w:lang w:eastAsia="ru-RU"/>
        </w:rPr>
        <w:t xml:space="preserve"> </w:t>
      </w:r>
      <w:r w:rsidR="00E00110" w:rsidRPr="007B0ED4">
        <w:rPr>
          <w:rFonts w:ascii="Calibri" w:eastAsia="Times New Roman" w:hAnsi="Calibri" w:cs="Calibri"/>
          <w:sz w:val="24"/>
          <w:szCs w:val="24"/>
          <w:lang w:eastAsia="ru-RU"/>
        </w:rPr>
        <w:t>19</w:t>
      </w:r>
      <w:r w:rsidR="00CD7915" w:rsidRPr="007B0ED4">
        <w:rPr>
          <w:rFonts w:ascii="Calibri" w:eastAsia="Calibri" w:hAnsi="Calibri"/>
          <w:sz w:val="24"/>
          <w:szCs w:val="24"/>
        </w:rPr>
        <w:t xml:space="preserve">, </w:t>
      </w:r>
      <w:r w:rsidR="00CD6BCD" w:rsidRPr="007B0ED4">
        <w:rPr>
          <w:rFonts w:ascii="Calibri" w:eastAsia="Calibri" w:hAnsi="Calibri"/>
          <w:sz w:val="24"/>
          <w:szCs w:val="24"/>
        </w:rPr>
        <w:t>2</w:t>
      </w:r>
      <w:r w:rsidR="00E00110" w:rsidRPr="007B0ED4">
        <w:rPr>
          <w:rFonts w:ascii="Calibri" w:eastAsia="Calibri" w:hAnsi="Calibri"/>
          <w:sz w:val="24"/>
          <w:szCs w:val="24"/>
        </w:rPr>
        <w:t>0</w:t>
      </w:r>
      <w:r w:rsidRPr="007B0ED4">
        <w:rPr>
          <w:rFonts w:ascii="Calibri" w:eastAsia="Times New Roman" w:hAnsi="Calibri" w:cs="Calibri"/>
          <w:sz w:val="24"/>
          <w:szCs w:val="24"/>
          <w:lang w:eastAsia="ru-RU"/>
        </w:rPr>
        <w:t>].</w:t>
      </w:r>
      <w:r w:rsidRPr="00CB5AC2">
        <w:rPr>
          <w:rFonts w:ascii="Calibri" w:eastAsia="Times New Roman" w:hAnsi="Calibri" w:cs="Calibri"/>
          <w:sz w:val="24"/>
          <w:szCs w:val="24"/>
          <w:lang w:eastAsia="ru-RU"/>
        </w:rPr>
        <w:t xml:space="preserve">  </w:t>
      </w:r>
    </w:p>
    <w:p w14:paraId="491BB3F7" w14:textId="31F8089A" w:rsidR="00272F6B" w:rsidRPr="00CB5AC2" w:rsidRDefault="00272F6B" w:rsidP="00FC69E8">
      <w:pPr>
        <w:spacing w:after="0" w:line="276" w:lineRule="auto"/>
        <w:ind w:left="567" w:right="4"/>
        <w:rPr>
          <w:rFonts w:ascii="Calibri" w:eastAsia="Times New Roman" w:hAnsi="Calibri" w:cs="Calibri"/>
          <w:sz w:val="24"/>
          <w:szCs w:val="24"/>
          <w:lang w:eastAsia="ru-RU"/>
        </w:rPr>
      </w:pPr>
      <w:r w:rsidRPr="00CB5AC2">
        <w:rPr>
          <w:rFonts w:ascii="Calibri" w:eastAsia="Times New Roman" w:hAnsi="Calibri" w:cs="Calibri"/>
          <w:sz w:val="24"/>
          <w:szCs w:val="24"/>
          <w:lang w:eastAsia="ru-RU"/>
        </w:rPr>
        <w:t xml:space="preserve">The development and validation of FRAX have been extensively described [4, 5]. The risk factors used were based on a systematic set of meta-analyses of population-based cohorts worldwide and validated in independent cohorts with over 1 million patient-years of follow-up. The construct of the FRAX model for </w:t>
      </w:r>
      <w:r w:rsidR="00A52D39" w:rsidRPr="00CB5AC2">
        <w:rPr>
          <w:rFonts w:ascii="Calibri" w:eastAsia="Times New Roman" w:hAnsi="Calibri" w:cs="Calibri"/>
          <w:sz w:val="24"/>
          <w:szCs w:val="24"/>
          <w:lang w:eastAsia="ru-RU"/>
        </w:rPr>
        <w:t>Bulgaria</w:t>
      </w:r>
      <w:r w:rsidRPr="00CB5AC2">
        <w:rPr>
          <w:rFonts w:ascii="Calibri" w:eastAsia="Times New Roman" w:hAnsi="Calibri" w:cs="Calibri"/>
          <w:sz w:val="24"/>
          <w:szCs w:val="24"/>
          <w:lang w:eastAsia="ru-RU"/>
        </w:rPr>
        <w:t xml:space="preserve"> retained the beta coefficients of the risk factors in the original FRAX model with the incidence rates of hip fracture and mortality rates for </w:t>
      </w:r>
      <w:r w:rsidR="009441C0" w:rsidRPr="00CB5AC2">
        <w:rPr>
          <w:rFonts w:ascii="Calibri" w:eastAsia="Times New Roman" w:hAnsi="Calibri" w:cs="Calibri"/>
          <w:sz w:val="24"/>
          <w:szCs w:val="24"/>
          <w:lang w:eastAsia="ru-RU"/>
        </w:rPr>
        <w:t>Bulgaria</w:t>
      </w:r>
      <w:r w:rsidRPr="00CB5AC2">
        <w:rPr>
          <w:rFonts w:ascii="Calibri" w:eastAsia="Times New Roman" w:hAnsi="Calibri" w:cs="Calibri"/>
          <w:sz w:val="24"/>
          <w:szCs w:val="24"/>
          <w:lang w:eastAsia="ru-RU"/>
        </w:rPr>
        <w:t>. National mortality rates used data from the United Nations for 20</w:t>
      </w:r>
      <w:r w:rsidR="00E03898" w:rsidRPr="00CB5AC2">
        <w:rPr>
          <w:rFonts w:ascii="Calibri" w:eastAsia="Times New Roman" w:hAnsi="Calibri" w:cs="Calibri"/>
          <w:sz w:val="24"/>
          <w:szCs w:val="24"/>
          <w:lang w:eastAsia="ru-RU"/>
        </w:rPr>
        <w:t>14</w:t>
      </w:r>
      <w:r w:rsidRPr="00CB5AC2">
        <w:rPr>
          <w:rFonts w:ascii="Calibri" w:eastAsia="Times New Roman" w:hAnsi="Calibri" w:cs="Calibri"/>
          <w:sz w:val="24"/>
          <w:szCs w:val="24"/>
          <w:lang w:eastAsia="ru-RU"/>
        </w:rPr>
        <w:t xml:space="preserve"> [</w:t>
      </w:r>
      <w:r w:rsidR="00D84759" w:rsidRPr="00CB5AC2">
        <w:rPr>
          <w:rFonts w:ascii="Calibri" w:eastAsia="Times New Roman" w:hAnsi="Calibri" w:cs="Calibri"/>
          <w:sz w:val="24"/>
          <w:szCs w:val="24"/>
          <w:lang w:eastAsia="ru-RU"/>
        </w:rPr>
        <w:t>2</w:t>
      </w:r>
      <w:r w:rsidR="00332633" w:rsidRPr="00CB5AC2">
        <w:rPr>
          <w:rFonts w:ascii="Calibri" w:eastAsia="Times New Roman" w:hAnsi="Calibri" w:cs="Calibri"/>
          <w:sz w:val="24"/>
          <w:szCs w:val="24"/>
          <w:lang w:eastAsia="ru-RU"/>
        </w:rPr>
        <w:t>1</w:t>
      </w:r>
      <w:r w:rsidRPr="00CB5AC2">
        <w:rPr>
          <w:rFonts w:ascii="Calibri" w:eastAsia="Times New Roman" w:hAnsi="Calibri" w:cs="Calibri"/>
          <w:sz w:val="24"/>
          <w:szCs w:val="24"/>
          <w:lang w:eastAsia="ru-RU"/>
        </w:rPr>
        <w:t>]. Ten-year fracture probabilities were compared to those of neighbouring countries</w:t>
      </w:r>
      <w:r w:rsidR="007B13A4" w:rsidRPr="00CB5AC2">
        <w:rPr>
          <w:rFonts w:ascii="Calibri" w:eastAsia="Times New Roman" w:hAnsi="Calibri" w:cs="Calibri"/>
          <w:sz w:val="24"/>
          <w:szCs w:val="24"/>
          <w:lang w:eastAsia="ru-RU"/>
        </w:rPr>
        <w:t xml:space="preserve"> with FRAX models</w:t>
      </w:r>
      <w:r w:rsidRPr="00CB5AC2">
        <w:rPr>
          <w:rFonts w:ascii="Calibri" w:eastAsia="Times New Roman" w:hAnsi="Calibri" w:cs="Calibri"/>
          <w:sz w:val="24"/>
          <w:szCs w:val="24"/>
          <w:lang w:eastAsia="ru-RU"/>
        </w:rPr>
        <w:t xml:space="preserve"> (</w:t>
      </w:r>
      <w:r w:rsidR="00C43C62" w:rsidRPr="00CB5AC2">
        <w:rPr>
          <w:rFonts w:ascii="Calibri" w:eastAsia="Times New Roman" w:hAnsi="Calibri" w:cs="Calibri"/>
          <w:sz w:val="24"/>
          <w:szCs w:val="24"/>
          <w:lang w:eastAsia="ru-RU"/>
        </w:rPr>
        <w:t xml:space="preserve">Greece, Serbia, Turkey </w:t>
      </w:r>
      <w:r w:rsidR="0021710A" w:rsidRPr="00CB5AC2">
        <w:rPr>
          <w:rFonts w:ascii="Calibri" w:eastAsia="Times New Roman" w:hAnsi="Calibri" w:cs="Calibri"/>
          <w:sz w:val="24"/>
          <w:szCs w:val="24"/>
          <w:lang w:eastAsia="ru-RU"/>
        </w:rPr>
        <w:t xml:space="preserve">and </w:t>
      </w:r>
      <w:r w:rsidRPr="00CB5AC2">
        <w:rPr>
          <w:rFonts w:ascii="Calibri" w:eastAsia="Times New Roman" w:hAnsi="Calibri" w:cs="Calibri"/>
          <w:sz w:val="24"/>
          <w:szCs w:val="24"/>
          <w:lang w:eastAsia="ru-RU"/>
        </w:rPr>
        <w:t>Romania).</w:t>
      </w:r>
    </w:p>
    <w:p w14:paraId="46D3DD14" w14:textId="77777777" w:rsidR="00272F6B" w:rsidRPr="00CB5AC2" w:rsidRDefault="00272F6B" w:rsidP="00FC69E8">
      <w:pPr>
        <w:spacing w:after="0" w:line="276" w:lineRule="auto"/>
        <w:ind w:left="567" w:right="4"/>
        <w:rPr>
          <w:rFonts w:ascii="Calibri" w:eastAsia="Times New Roman" w:hAnsi="Calibri" w:cs="Calibri"/>
          <w:sz w:val="24"/>
          <w:szCs w:val="24"/>
          <w:lang w:eastAsia="ru-RU"/>
        </w:rPr>
      </w:pPr>
    </w:p>
    <w:p w14:paraId="48D513A5" w14:textId="17A47485" w:rsidR="00272F6B" w:rsidRPr="00CB5AC2" w:rsidRDefault="00272F6B" w:rsidP="00FC69E8">
      <w:pPr>
        <w:spacing w:after="0" w:line="276" w:lineRule="auto"/>
        <w:ind w:left="567" w:right="4"/>
        <w:rPr>
          <w:rFonts w:ascii="Calibri" w:eastAsia="Times New Roman" w:hAnsi="Calibri" w:cs="Calibri"/>
          <w:sz w:val="24"/>
          <w:szCs w:val="24"/>
          <w:lang w:eastAsia="ru-RU"/>
        </w:rPr>
      </w:pPr>
      <w:r w:rsidRPr="00CB5AC2">
        <w:rPr>
          <w:rFonts w:ascii="Calibri" w:eastAsia="Times New Roman" w:hAnsi="Calibri" w:cs="Calibri"/>
          <w:sz w:val="24"/>
          <w:szCs w:val="24"/>
          <w:lang w:eastAsia="ru-RU"/>
        </w:rPr>
        <w:t xml:space="preserve">In order to compare </w:t>
      </w:r>
      <w:r w:rsidR="0021710A" w:rsidRPr="00CB5AC2">
        <w:rPr>
          <w:rFonts w:ascii="Calibri" w:eastAsia="Times New Roman" w:hAnsi="Calibri" w:cs="Calibri"/>
          <w:sz w:val="24"/>
          <w:szCs w:val="24"/>
          <w:lang w:eastAsia="ru-RU"/>
        </w:rPr>
        <w:t>Bulgarian</w:t>
      </w:r>
      <w:r w:rsidRPr="00CB5AC2">
        <w:rPr>
          <w:rFonts w:ascii="Calibri" w:eastAsia="Times New Roman" w:hAnsi="Calibri" w:cs="Calibri"/>
          <w:sz w:val="24"/>
          <w:szCs w:val="24"/>
          <w:lang w:eastAsia="ru-RU"/>
        </w:rPr>
        <w:t xml:space="preserve"> hip fracture probabilities with those of other regions of the world, the remaining lifetime probability of hip fracture from the age of 50 years was calculated for men and women, as described by Kanis et al. [</w:t>
      </w:r>
      <w:r w:rsidR="00CF1724" w:rsidRPr="00CB5AC2">
        <w:rPr>
          <w:rFonts w:ascii="Calibri" w:eastAsia="Times New Roman" w:hAnsi="Calibri" w:cs="Calibri"/>
          <w:sz w:val="24"/>
          <w:szCs w:val="24"/>
          <w:lang w:eastAsia="ru-RU"/>
        </w:rPr>
        <w:t>2</w:t>
      </w:r>
      <w:r w:rsidR="006E19ED" w:rsidRPr="00CB5AC2">
        <w:rPr>
          <w:rFonts w:ascii="Calibri" w:eastAsia="Times New Roman" w:hAnsi="Calibri" w:cs="Calibri"/>
          <w:sz w:val="24"/>
          <w:szCs w:val="24"/>
          <w:lang w:eastAsia="ru-RU"/>
        </w:rPr>
        <w:t>2</w:t>
      </w:r>
      <w:r w:rsidRPr="00CB5AC2">
        <w:rPr>
          <w:rFonts w:ascii="Calibri" w:eastAsia="Times New Roman" w:hAnsi="Calibri" w:cs="Calibri"/>
          <w:sz w:val="24"/>
          <w:szCs w:val="24"/>
          <w:lang w:eastAsia="ru-RU"/>
        </w:rPr>
        <w:t xml:space="preserve">]. In the present analysis, values for </w:t>
      </w:r>
      <w:r w:rsidR="008F095E" w:rsidRPr="00CB5AC2">
        <w:rPr>
          <w:rFonts w:ascii="Calibri" w:eastAsia="Times New Roman" w:hAnsi="Calibri" w:cs="Calibri"/>
          <w:sz w:val="24"/>
          <w:szCs w:val="24"/>
          <w:lang w:eastAsia="ru-RU"/>
        </w:rPr>
        <w:t>Bulgari</w:t>
      </w:r>
      <w:r w:rsidR="00D45893" w:rsidRPr="00CB5AC2">
        <w:rPr>
          <w:rFonts w:ascii="Calibri" w:eastAsia="Times New Roman" w:hAnsi="Calibri" w:cs="Calibri"/>
          <w:sz w:val="24"/>
          <w:szCs w:val="24"/>
          <w:lang w:eastAsia="ru-RU"/>
        </w:rPr>
        <w:t>a</w:t>
      </w:r>
      <w:r w:rsidRPr="00CB5AC2">
        <w:rPr>
          <w:rFonts w:ascii="Calibri" w:eastAsia="Times New Roman" w:hAnsi="Calibri" w:cs="Calibri"/>
          <w:sz w:val="24"/>
          <w:szCs w:val="24"/>
          <w:lang w:eastAsia="ru-RU"/>
        </w:rPr>
        <w:t xml:space="preserve"> were compared with those of China (with and without inclusion of Hong Kong), Canada, Denmark, Finland, France, </w:t>
      </w:r>
      <w:r w:rsidR="004F6E1C" w:rsidRPr="00CB5AC2">
        <w:rPr>
          <w:rFonts w:ascii="Calibri" w:eastAsia="Times New Roman" w:hAnsi="Calibri" w:cs="Calibri"/>
          <w:sz w:val="24"/>
          <w:szCs w:val="24"/>
          <w:lang w:eastAsia="ru-RU"/>
        </w:rPr>
        <w:t xml:space="preserve">Greece, </w:t>
      </w:r>
      <w:r w:rsidRPr="00CB5AC2">
        <w:rPr>
          <w:rFonts w:ascii="Calibri" w:eastAsia="Times New Roman" w:hAnsi="Calibri" w:cs="Calibri"/>
          <w:sz w:val="24"/>
          <w:szCs w:val="24"/>
          <w:lang w:eastAsia="ru-RU"/>
        </w:rPr>
        <w:t>Hungary, Portugal, Spain, Sweden, United Kingdom, and the United States</w:t>
      </w:r>
      <w:r w:rsidR="009A21E3" w:rsidRPr="00CB5AC2">
        <w:rPr>
          <w:rFonts w:ascii="Calibri" w:eastAsia="Times New Roman" w:hAnsi="Calibri" w:cs="Calibri"/>
          <w:sz w:val="24"/>
          <w:szCs w:val="24"/>
          <w:lang w:eastAsia="ru-RU"/>
        </w:rPr>
        <w:t xml:space="preserve"> [</w:t>
      </w:r>
      <w:r w:rsidR="00CB2DAB" w:rsidRPr="00CB5AC2">
        <w:rPr>
          <w:rFonts w:ascii="Calibri" w:eastAsia="Times New Roman" w:hAnsi="Calibri" w:cs="Calibri"/>
          <w:sz w:val="24"/>
          <w:szCs w:val="24"/>
          <w:lang w:eastAsia="ru-RU"/>
        </w:rPr>
        <w:t>2</w:t>
      </w:r>
      <w:r w:rsidR="00C13063" w:rsidRPr="00CB5AC2">
        <w:rPr>
          <w:rFonts w:ascii="Calibri" w:eastAsia="Times New Roman" w:hAnsi="Calibri" w:cs="Calibri"/>
          <w:sz w:val="24"/>
          <w:szCs w:val="24"/>
          <w:lang w:eastAsia="ru-RU"/>
        </w:rPr>
        <w:t>2</w:t>
      </w:r>
      <w:r w:rsidR="009A21E3" w:rsidRPr="00CB5AC2">
        <w:rPr>
          <w:rFonts w:ascii="Calibri" w:eastAsia="Times New Roman" w:hAnsi="Calibri" w:cs="Calibri"/>
          <w:sz w:val="24"/>
          <w:szCs w:val="24"/>
          <w:lang w:eastAsia="ru-RU"/>
        </w:rPr>
        <w:t>]</w:t>
      </w:r>
      <w:r w:rsidR="00AC552D" w:rsidRPr="00CB5AC2">
        <w:rPr>
          <w:rFonts w:ascii="Calibri" w:eastAsia="Times New Roman" w:hAnsi="Calibri" w:cs="Calibri"/>
          <w:sz w:val="24"/>
          <w:szCs w:val="24"/>
          <w:lang w:eastAsia="ru-RU"/>
        </w:rPr>
        <w:t xml:space="preserve"> with more recent additions of </w:t>
      </w:r>
      <w:r w:rsidR="00260BBA" w:rsidRPr="00CB5AC2">
        <w:rPr>
          <w:rFonts w:ascii="Calibri" w:eastAsia="Times New Roman" w:hAnsi="Calibri" w:cs="Calibri"/>
          <w:sz w:val="24"/>
          <w:szCs w:val="24"/>
          <w:lang w:eastAsia="ru-RU"/>
        </w:rPr>
        <w:t xml:space="preserve"> </w:t>
      </w:r>
      <w:r w:rsidR="004F6E1C" w:rsidRPr="00CB5AC2">
        <w:rPr>
          <w:rFonts w:ascii="Calibri" w:eastAsia="Times New Roman" w:hAnsi="Calibri" w:cs="Calibri"/>
          <w:sz w:val="24"/>
          <w:szCs w:val="24"/>
          <w:lang w:eastAsia="ru-RU"/>
        </w:rPr>
        <w:t>Mexico</w:t>
      </w:r>
      <w:r w:rsidR="007A3F65" w:rsidRPr="00CB5AC2">
        <w:rPr>
          <w:rFonts w:ascii="Calibri" w:eastAsia="Times New Roman" w:hAnsi="Calibri" w:cs="Calibri"/>
          <w:sz w:val="24"/>
          <w:szCs w:val="24"/>
          <w:lang w:eastAsia="ru-RU"/>
        </w:rPr>
        <w:t xml:space="preserve"> [</w:t>
      </w:r>
      <w:r w:rsidR="00862A48" w:rsidRPr="00CB5AC2">
        <w:rPr>
          <w:rFonts w:ascii="Calibri" w:eastAsia="Times New Roman" w:hAnsi="Calibri" w:cs="Calibri"/>
          <w:sz w:val="24"/>
          <w:szCs w:val="24"/>
          <w:lang w:eastAsia="ru-RU"/>
        </w:rPr>
        <w:t>23</w:t>
      </w:r>
      <w:r w:rsidR="007A3F65" w:rsidRPr="00CB5AC2">
        <w:rPr>
          <w:rFonts w:ascii="Calibri" w:eastAsia="Times New Roman" w:hAnsi="Calibri" w:cs="Calibri"/>
          <w:sz w:val="24"/>
          <w:szCs w:val="24"/>
          <w:lang w:eastAsia="ru-RU"/>
        </w:rPr>
        <w:t>]</w:t>
      </w:r>
      <w:r w:rsidR="004F6E1C" w:rsidRPr="00CB5AC2">
        <w:rPr>
          <w:rFonts w:ascii="Calibri" w:eastAsia="Times New Roman" w:hAnsi="Calibri" w:cs="Calibri"/>
          <w:sz w:val="24"/>
          <w:szCs w:val="24"/>
          <w:lang w:eastAsia="ru-RU"/>
        </w:rPr>
        <w:t xml:space="preserve">, </w:t>
      </w:r>
      <w:r w:rsidR="000D2774" w:rsidRPr="00CB5AC2">
        <w:rPr>
          <w:rFonts w:ascii="Calibri" w:eastAsia="Times New Roman" w:hAnsi="Calibri" w:cs="Calibri"/>
          <w:sz w:val="24"/>
          <w:szCs w:val="24"/>
          <w:lang w:eastAsia="ru-RU"/>
        </w:rPr>
        <w:t>Romania</w:t>
      </w:r>
      <w:r w:rsidR="001F728F" w:rsidRPr="00CB5AC2">
        <w:rPr>
          <w:rFonts w:ascii="Calibri" w:eastAsia="Times New Roman" w:hAnsi="Calibri" w:cs="Calibri"/>
          <w:sz w:val="24"/>
          <w:szCs w:val="24"/>
          <w:lang w:eastAsia="ru-RU"/>
        </w:rPr>
        <w:t xml:space="preserve"> [2</w:t>
      </w:r>
      <w:r w:rsidR="00862A48" w:rsidRPr="00CB5AC2">
        <w:rPr>
          <w:rFonts w:ascii="Calibri" w:eastAsia="Times New Roman" w:hAnsi="Calibri" w:cs="Calibri"/>
          <w:sz w:val="24"/>
          <w:szCs w:val="24"/>
          <w:lang w:eastAsia="ru-RU"/>
        </w:rPr>
        <w:t>4</w:t>
      </w:r>
      <w:r w:rsidR="00C120B2" w:rsidRPr="00CB5AC2">
        <w:rPr>
          <w:rFonts w:ascii="Calibri" w:eastAsia="Times New Roman" w:hAnsi="Calibri" w:cs="Calibri"/>
          <w:sz w:val="24"/>
          <w:szCs w:val="24"/>
          <w:lang w:eastAsia="ru-RU"/>
        </w:rPr>
        <w:t>],</w:t>
      </w:r>
      <w:r w:rsidR="000D2774" w:rsidRPr="00CB5AC2">
        <w:rPr>
          <w:rFonts w:ascii="Calibri" w:eastAsia="Times New Roman" w:hAnsi="Calibri" w:cs="Calibri"/>
          <w:sz w:val="24"/>
          <w:szCs w:val="24"/>
          <w:lang w:eastAsia="ru-RU"/>
        </w:rPr>
        <w:t xml:space="preserve">  </w:t>
      </w:r>
      <w:r w:rsidR="007A3F65" w:rsidRPr="00CB5AC2">
        <w:rPr>
          <w:rFonts w:ascii="Calibri" w:eastAsia="Times New Roman" w:hAnsi="Calibri" w:cs="Calibri"/>
          <w:sz w:val="24"/>
          <w:szCs w:val="24"/>
          <w:lang w:eastAsia="ru-RU"/>
        </w:rPr>
        <w:t>Poland</w:t>
      </w:r>
      <w:r w:rsidR="000D2774" w:rsidRPr="00CB5AC2">
        <w:rPr>
          <w:rFonts w:ascii="Calibri" w:eastAsia="Times New Roman" w:hAnsi="Calibri" w:cs="Calibri"/>
          <w:sz w:val="24"/>
          <w:szCs w:val="24"/>
          <w:lang w:eastAsia="ru-RU"/>
        </w:rPr>
        <w:t xml:space="preserve"> </w:t>
      </w:r>
      <w:r w:rsidR="00C120B2" w:rsidRPr="00CB5AC2">
        <w:rPr>
          <w:rFonts w:ascii="Calibri" w:eastAsia="Times New Roman" w:hAnsi="Calibri" w:cs="Calibri"/>
          <w:sz w:val="24"/>
          <w:szCs w:val="24"/>
          <w:lang w:eastAsia="ru-RU"/>
        </w:rPr>
        <w:t>[</w:t>
      </w:r>
      <w:r w:rsidR="0069766E" w:rsidRPr="00CB5AC2">
        <w:rPr>
          <w:rFonts w:ascii="Calibri" w:eastAsia="Times New Roman" w:hAnsi="Calibri" w:cs="Calibri"/>
          <w:sz w:val="24"/>
          <w:szCs w:val="24"/>
          <w:lang w:eastAsia="ru-RU"/>
        </w:rPr>
        <w:t>2</w:t>
      </w:r>
      <w:r w:rsidR="00D40186" w:rsidRPr="00CB5AC2">
        <w:rPr>
          <w:rFonts w:ascii="Calibri" w:eastAsia="Times New Roman" w:hAnsi="Calibri" w:cs="Calibri"/>
          <w:sz w:val="24"/>
          <w:szCs w:val="24"/>
          <w:lang w:eastAsia="ru-RU"/>
        </w:rPr>
        <w:t>5</w:t>
      </w:r>
      <w:r w:rsidR="0069766E" w:rsidRPr="00CB5AC2">
        <w:rPr>
          <w:rFonts w:ascii="Calibri" w:eastAsia="Times New Roman" w:hAnsi="Calibri" w:cs="Calibri"/>
          <w:sz w:val="24"/>
          <w:szCs w:val="24"/>
          <w:lang w:eastAsia="ru-RU"/>
        </w:rPr>
        <w:t xml:space="preserve">], </w:t>
      </w:r>
      <w:r w:rsidR="003574DF" w:rsidRPr="00CB5AC2">
        <w:rPr>
          <w:rFonts w:ascii="Calibri" w:eastAsia="Times New Roman" w:hAnsi="Calibri" w:cs="Calibri"/>
          <w:sz w:val="24"/>
          <w:szCs w:val="24"/>
          <w:lang w:eastAsia="ru-RU"/>
        </w:rPr>
        <w:t>Moldova [</w:t>
      </w:r>
      <w:r w:rsidR="0074455B" w:rsidRPr="00CB5AC2">
        <w:rPr>
          <w:rFonts w:ascii="Calibri" w:eastAsia="Times New Roman" w:hAnsi="Calibri" w:cs="Calibri"/>
          <w:sz w:val="24"/>
          <w:szCs w:val="24"/>
          <w:lang w:eastAsia="ru-RU"/>
        </w:rPr>
        <w:t>1</w:t>
      </w:r>
      <w:r w:rsidR="00D40186" w:rsidRPr="00CB5AC2">
        <w:rPr>
          <w:rFonts w:ascii="Calibri" w:eastAsia="Times New Roman" w:hAnsi="Calibri" w:cs="Calibri"/>
          <w:sz w:val="24"/>
          <w:szCs w:val="24"/>
          <w:lang w:eastAsia="ru-RU"/>
        </w:rPr>
        <w:t>4</w:t>
      </w:r>
      <w:r w:rsidR="0074455B" w:rsidRPr="00CB5AC2">
        <w:rPr>
          <w:rFonts w:ascii="Calibri" w:eastAsia="Times New Roman" w:hAnsi="Calibri" w:cs="Calibri"/>
          <w:sz w:val="24"/>
          <w:szCs w:val="24"/>
          <w:lang w:eastAsia="ru-RU"/>
        </w:rPr>
        <w:t>]</w:t>
      </w:r>
      <w:r w:rsidR="004E5B73" w:rsidRPr="00CB5AC2">
        <w:rPr>
          <w:rFonts w:ascii="Calibri" w:eastAsia="Times New Roman" w:hAnsi="Calibri" w:cs="Calibri"/>
          <w:sz w:val="24"/>
          <w:szCs w:val="24"/>
          <w:lang w:eastAsia="ru-RU"/>
        </w:rPr>
        <w:t>,</w:t>
      </w:r>
      <w:r w:rsidR="007E63B3" w:rsidRPr="00CB5AC2">
        <w:rPr>
          <w:rFonts w:ascii="Calibri" w:eastAsia="Times New Roman" w:hAnsi="Calibri" w:cs="Calibri"/>
          <w:sz w:val="24"/>
          <w:szCs w:val="24"/>
          <w:lang w:eastAsia="ru-RU"/>
        </w:rPr>
        <w:t xml:space="preserve"> </w:t>
      </w:r>
      <w:r w:rsidR="004F6E1C" w:rsidRPr="00CB5AC2">
        <w:rPr>
          <w:rFonts w:ascii="Calibri" w:eastAsia="Times New Roman" w:hAnsi="Calibri" w:cs="Calibri"/>
          <w:sz w:val="24"/>
          <w:szCs w:val="24"/>
          <w:lang w:eastAsia="ru-RU"/>
        </w:rPr>
        <w:t>Russia</w:t>
      </w:r>
      <w:r w:rsidR="00585D63" w:rsidRPr="00CB5AC2">
        <w:rPr>
          <w:sz w:val="24"/>
          <w:szCs w:val="24"/>
        </w:rPr>
        <w:t xml:space="preserve"> </w:t>
      </w:r>
      <w:r w:rsidR="001216B6" w:rsidRPr="00CB5AC2">
        <w:rPr>
          <w:sz w:val="24"/>
          <w:szCs w:val="24"/>
        </w:rPr>
        <w:t xml:space="preserve">[12], </w:t>
      </w:r>
      <w:r w:rsidR="00585D63" w:rsidRPr="00CB5AC2">
        <w:rPr>
          <w:rFonts w:ascii="Calibri" w:eastAsia="Times New Roman" w:hAnsi="Calibri" w:cs="Calibri"/>
          <w:sz w:val="24"/>
          <w:szCs w:val="24"/>
          <w:lang w:eastAsia="ru-RU"/>
        </w:rPr>
        <w:t>Turkey</w:t>
      </w:r>
      <w:r w:rsidR="001216B6" w:rsidRPr="00CB5AC2">
        <w:rPr>
          <w:rFonts w:ascii="Calibri" w:eastAsia="Times New Roman" w:hAnsi="Calibri" w:cs="Calibri"/>
          <w:sz w:val="24"/>
          <w:szCs w:val="24"/>
          <w:lang w:eastAsia="ru-RU"/>
        </w:rPr>
        <w:t xml:space="preserve"> [</w:t>
      </w:r>
      <w:r w:rsidR="00A15887" w:rsidRPr="00CB5AC2">
        <w:rPr>
          <w:rFonts w:ascii="Calibri" w:eastAsia="Times New Roman" w:hAnsi="Calibri" w:cs="Calibri"/>
          <w:sz w:val="24"/>
          <w:szCs w:val="24"/>
          <w:lang w:eastAsia="ru-RU"/>
        </w:rPr>
        <w:t>10]</w:t>
      </w:r>
      <w:r w:rsidR="00585D63" w:rsidRPr="00CB5AC2">
        <w:rPr>
          <w:rFonts w:ascii="Calibri" w:eastAsia="Times New Roman" w:hAnsi="Calibri" w:cs="Calibri"/>
          <w:sz w:val="24"/>
          <w:szCs w:val="24"/>
          <w:lang w:eastAsia="ru-RU"/>
        </w:rPr>
        <w:t>, Ukraine</w:t>
      </w:r>
      <w:r w:rsidR="000D5C05" w:rsidRPr="00CB5AC2">
        <w:rPr>
          <w:rFonts w:ascii="Calibri" w:eastAsia="Times New Roman" w:hAnsi="Calibri" w:cs="Calibri"/>
          <w:sz w:val="24"/>
          <w:szCs w:val="24"/>
          <w:lang w:eastAsia="ru-RU"/>
        </w:rPr>
        <w:t xml:space="preserve"> [2</w:t>
      </w:r>
      <w:r w:rsidR="00AC0F4B" w:rsidRPr="00CB5AC2">
        <w:rPr>
          <w:rFonts w:ascii="Calibri" w:eastAsia="Times New Roman" w:hAnsi="Calibri" w:cs="Calibri"/>
          <w:sz w:val="24"/>
          <w:szCs w:val="24"/>
          <w:lang w:eastAsia="ru-RU"/>
        </w:rPr>
        <w:t>6</w:t>
      </w:r>
      <w:r w:rsidR="007D112A" w:rsidRPr="00CB5AC2">
        <w:rPr>
          <w:rFonts w:ascii="Calibri" w:eastAsia="Times New Roman" w:hAnsi="Calibri" w:cs="Calibri"/>
          <w:sz w:val="24"/>
          <w:szCs w:val="24"/>
          <w:lang w:eastAsia="ru-RU"/>
        </w:rPr>
        <w:t>]</w:t>
      </w:r>
      <w:r w:rsidR="004E5B73" w:rsidRPr="00CB5AC2">
        <w:rPr>
          <w:rFonts w:ascii="Calibri" w:eastAsia="Times New Roman" w:hAnsi="Calibri" w:cs="Calibri"/>
          <w:sz w:val="24"/>
          <w:szCs w:val="24"/>
          <w:lang w:eastAsia="ru-RU"/>
        </w:rPr>
        <w:t xml:space="preserve"> an</w:t>
      </w:r>
      <w:r w:rsidR="007E63B3" w:rsidRPr="00CB5AC2">
        <w:rPr>
          <w:rFonts w:ascii="Calibri" w:eastAsia="Times New Roman" w:hAnsi="Calibri" w:cs="Calibri"/>
          <w:sz w:val="24"/>
          <w:szCs w:val="24"/>
          <w:lang w:eastAsia="ru-RU"/>
        </w:rPr>
        <w:t>d</w:t>
      </w:r>
      <w:r w:rsidR="004E5B73" w:rsidRPr="00CB5AC2">
        <w:rPr>
          <w:rFonts w:ascii="Calibri" w:eastAsia="Times New Roman" w:hAnsi="Calibri" w:cs="Calibri"/>
          <w:sz w:val="24"/>
          <w:szCs w:val="24"/>
          <w:lang w:eastAsia="ru-RU"/>
        </w:rPr>
        <w:t xml:space="preserve"> Serbi</w:t>
      </w:r>
      <w:r w:rsidR="001522D5" w:rsidRPr="00CB5AC2">
        <w:rPr>
          <w:rFonts w:ascii="Calibri" w:eastAsia="Times New Roman" w:hAnsi="Calibri" w:cs="Calibri"/>
          <w:sz w:val="24"/>
          <w:szCs w:val="24"/>
          <w:lang w:eastAsia="ru-RU"/>
        </w:rPr>
        <w:t>a [</w:t>
      </w:r>
      <w:r w:rsidR="00AF40DC" w:rsidRPr="00CB5AC2">
        <w:rPr>
          <w:rFonts w:ascii="Calibri" w:eastAsia="Times New Roman" w:hAnsi="Calibri" w:cs="Calibri"/>
          <w:sz w:val="24"/>
          <w:szCs w:val="24"/>
          <w:lang w:eastAsia="ru-RU"/>
        </w:rPr>
        <w:t>2</w:t>
      </w:r>
      <w:r w:rsidR="00AC0F4B" w:rsidRPr="00CB5AC2">
        <w:rPr>
          <w:rFonts w:ascii="Calibri" w:eastAsia="Times New Roman" w:hAnsi="Calibri" w:cs="Calibri"/>
          <w:sz w:val="24"/>
          <w:szCs w:val="24"/>
          <w:lang w:eastAsia="ru-RU"/>
        </w:rPr>
        <w:t>7</w:t>
      </w:r>
      <w:r w:rsidR="007E63B3" w:rsidRPr="00CB5AC2">
        <w:rPr>
          <w:rFonts w:ascii="Calibri" w:eastAsia="Times New Roman" w:hAnsi="Calibri" w:cs="Calibri"/>
          <w:sz w:val="24"/>
          <w:szCs w:val="24"/>
          <w:lang w:eastAsia="ru-RU"/>
        </w:rPr>
        <w:t>]</w:t>
      </w:r>
      <w:r w:rsidR="00AC0F4B" w:rsidRPr="00CB5AC2">
        <w:rPr>
          <w:rFonts w:ascii="Calibri" w:eastAsia="Times New Roman" w:hAnsi="Calibri" w:cs="Calibri"/>
          <w:sz w:val="24"/>
          <w:szCs w:val="24"/>
          <w:lang w:eastAsia="ru-RU"/>
        </w:rPr>
        <w:t>.</w:t>
      </w:r>
    </w:p>
    <w:p w14:paraId="63AC912B" w14:textId="77777777" w:rsidR="00A15887" w:rsidRPr="00272F6B" w:rsidRDefault="00A15887" w:rsidP="00272F6B">
      <w:pPr>
        <w:spacing w:after="0" w:line="276" w:lineRule="auto"/>
        <w:ind w:left="567" w:right="1133"/>
        <w:rPr>
          <w:rFonts w:ascii="Calibri" w:eastAsia="Times New Roman" w:hAnsi="Calibri" w:cs="Calibri"/>
          <w:sz w:val="24"/>
          <w:szCs w:val="24"/>
          <w:lang w:eastAsia="ru-RU"/>
        </w:rPr>
      </w:pPr>
    </w:p>
    <w:p w14:paraId="0F14A14C" w14:textId="612B145B" w:rsidR="00FC0E6B" w:rsidRPr="0099220F" w:rsidRDefault="00FC0E6B" w:rsidP="001A0941">
      <w:pPr>
        <w:spacing w:line="276" w:lineRule="auto"/>
        <w:ind w:left="567"/>
        <w:rPr>
          <w:rFonts w:cstheme="minorHAnsi"/>
          <w:b/>
          <w:sz w:val="32"/>
          <w:szCs w:val="32"/>
          <w:lang w:val="en-GB"/>
        </w:rPr>
      </w:pPr>
      <w:r w:rsidRPr="0099220F">
        <w:rPr>
          <w:rFonts w:cstheme="minorHAnsi"/>
          <w:b/>
          <w:sz w:val="32"/>
          <w:szCs w:val="32"/>
          <w:lang w:val="en-GB"/>
        </w:rPr>
        <w:t>Results</w:t>
      </w:r>
    </w:p>
    <w:p w14:paraId="23FC954E" w14:textId="1E336706" w:rsidR="00EB26F6" w:rsidRDefault="00E41EB2" w:rsidP="001A0941">
      <w:pPr>
        <w:ind w:left="567"/>
        <w:rPr>
          <w:rFonts w:cstheme="minorHAnsi"/>
          <w:sz w:val="24"/>
          <w:szCs w:val="24"/>
          <w:lang w:val="en-GB"/>
        </w:rPr>
      </w:pPr>
      <w:r w:rsidRPr="00E41EB2">
        <w:rPr>
          <w:rFonts w:cstheme="minorHAnsi"/>
          <w:sz w:val="24"/>
          <w:szCs w:val="24"/>
          <w:lang w:val="en-GB"/>
        </w:rPr>
        <w:t>A total of 367 hip fractures were identified in men and 1017 in women (female/male ratio 2.8). Below the age of 65 years, hip fractures were more prevalent in men than in women (female/male ratio 0.7) but thereafter were more frequent in women (female/male ratio 3.2). The incidence of hip fracture increased with age in men and women, though more markedly in women (Table 1).</w:t>
      </w:r>
    </w:p>
    <w:p w14:paraId="7F8B6B01" w14:textId="3B806EB5" w:rsidR="00987639" w:rsidRPr="00987639" w:rsidRDefault="00987639" w:rsidP="00987639">
      <w:pPr>
        <w:spacing w:after="0" w:line="276" w:lineRule="auto"/>
        <w:ind w:left="567" w:right="141"/>
        <w:rPr>
          <w:rFonts w:ascii="Calibri" w:eastAsia="Times New Roman" w:hAnsi="Calibri" w:cs="Calibri"/>
          <w:b/>
          <w:sz w:val="20"/>
          <w:szCs w:val="20"/>
          <w:lang w:val="en-GB" w:eastAsia="ru-RU"/>
        </w:rPr>
      </w:pPr>
      <w:r w:rsidRPr="00987639">
        <w:rPr>
          <w:rFonts w:ascii="Calibri" w:eastAsia="Times New Roman" w:hAnsi="Calibri" w:cs="Calibri"/>
          <w:b/>
          <w:sz w:val="20"/>
          <w:szCs w:val="20"/>
          <w:lang w:val="en-GB" w:eastAsia="ru-RU"/>
        </w:rPr>
        <w:t xml:space="preserve">Table 1. </w:t>
      </w:r>
      <w:r w:rsidRPr="00987639">
        <w:rPr>
          <w:rFonts w:ascii="Calibri" w:eastAsia="Times New Roman" w:hAnsi="Calibri" w:cs="Calibri"/>
          <w:sz w:val="20"/>
          <w:szCs w:val="20"/>
          <w:lang w:val="en-GB" w:eastAsia="ru-RU"/>
        </w:rPr>
        <w:t xml:space="preserve">Population of the catchment area, number of hip fractures and annual incidence of hip fractures (rate/100,000) in men and women in Stara Zagora, Bulgaria by age for 2015, 2016 and 2017 combined. </w:t>
      </w:r>
      <w:bookmarkStart w:id="17" w:name="_Hlk1226777"/>
    </w:p>
    <w:tbl>
      <w:tblPr>
        <w:tblpPr w:leftFromText="180" w:rightFromText="180" w:bottomFromText="160" w:vertAnchor="text" w:horzAnchor="page" w:tblpX="1906" w:tblpY="88"/>
        <w:tblW w:w="8217" w:type="dxa"/>
        <w:tblBorders>
          <w:top w:val="single" w:sz="4" w:space="0" w:color="auto"/>
          <w:bottom w:val="single" w:sz="4" w:space="0" w:color="auto"/>
        </w:tblBorders>
        <w:tblLayout w:type="fixed"/>
        <w:tblLook w:val="04A0" w:firstRow="1" w:lastRow="0" w:firstColumn="1" w:lastColumn="0" w:noHBand="0" w:noVBand="1"/>
      </w:tblPr>
      <w:tblGrid>
        <w:gridCol w:w="1088"/>
        <w:gridCol w:w="1561"/>
        <w:gridCol w:w="1560"/>
        <w:gridCol w:w="1985"/>
        <w:gridCol w:w="2023"/>
      </w:tblGrid>
      <w:tr w:rsidR="00987639" w:rsidRPr="00987639" w14:paraId="37E56F25" w14:textId="77777777" w:rsidTr="006050E4">
        <w:trPr>
          <w:trHeight w:val="300"/>
        </w:trPr>
        <w:tc>
          <w:tcPr>
            <w:tcW w:w="1088" w:type="dxa"/>
            <w:tcBorders>
              <w:top w:val="single" w:sz="4" w:space="0" w:color="auto"/>
              <w:bottom w:val="single" w:sz="4" w:space="0" w:color="auto"/>
            </w:tcBorders>
            <w:vAlign w:val="center"/>
            <w:hideMark/>
          </w:tcPr>
          <w:bookmarkEnd w:id="17"/>
          <w:p w14:paraId="229512C1" w14:textId="77777777" w:rsidR="00987639" w:rsidRPr="00987639" w:rsidRDefault="00987639" w:rsidP="00987639">
            <w:pPr>
              <w:spacing w:after="0" w:line="256" w:lineRule="auto"/>
              <w:rPr>
                <w:rFonts w:ascii="Calibri" w:eastAsia="Times New Roman" w:hAnsi="Calibri" w:cs="Calibri"/>
                <w:sz w:val="20"/>
                <w:szCs w:val="20"/>
                <w:lang w:val="en-GB" w:eastAsia="ru-RU"/>
              </w:rPr>
            </w:pPr>
            <w:r w:rsidRPr="00987639">
              <w:rPr>
                <w:rFonts w:ascii="Calibri" w:eastAsia="Times New Roman" w:hAnsi="Calibri" w:cs="Calibri"/>
                <w:sz w:val="20"/>
                <w:szCs w:val="20"/>
                <w:lang w:val="en-GB" w:eastAsia="ru-RU"/>
              </w:rPr>
              <w:t>Age (years)</w:t>
            </w:r>
          </w:p>
        </w:tc>
        <w:tc>
          <w:tcPr>
            <w:tcW w:w="1561" w:type="dxa"/>
            <w:tcBorders>
              <w:top w:val="single" w:sz="4" w:space="0" w:color="auto"/>
              <w:bottom w:val="single" w:sz="4" w:space="0" w:color="auto"/>
            </w:tcBorders>
            <w:noWrap/>
            <w:hideMark/>
          </w:tcPr>
          <w:p w14:paraId="4BFD46A9" w14:textId="02EC51CB" w:rsidR="00987639" w:rsidRPr="00987639" w:rsidRDefault="00987639" w:rsidP="00987639">
            <w:pPr>
              <w:spacing w:after="0" w:line="256" w:lineRule="auto"/>
              <w:jc w:val="right"/>
              <w:rPr>
                <w:rFonts w:ascii="Calibri" w:eastAsia="Times New Roman" w:hAnsi="Calibri" w:cs="Calibri"/>
                <w:sz w:val="20"/>
                <w:szCs w:val="20"/>
                <w:lang w:val="en-GB" w:eastAsia="ru-RU"/>
              </w:rPr>
            </w:pPr>
            <w:r w:rsidRPr="00987639">
              <w:rPr>
                <w:rFonts w:ascii="Calibri" w:eastAsia="Times New Roman" w:hAnsi="Calibri" w:cs="Calibri"/>
                <w:sz w:val="20"/>
                <w:szCs w:val="20"/>
                <w:lang w:val="en-GB" w:eastAsia="ru-RU"/>
              </w:rPr>
              <w:t>Population</w:t>
            </w:r>
            <w:r w:rsidR="00311DF5" w:rsidRPr="00311DF5">
              <w:rPr>
                <w:rFonts w:ascii="Calibri" w:eastAsia="Times New Roman" w:hAnsi="Calibri" w:cs="Calibri"/>
                <w:sz w:val="20"/>
                <w:szCs w:val="20"/>
                <w:vertAlign w:val="superscript"/>
                <w:lang w:val="en-GB" w:eastAsia="ru-RU"/>
              </w:rPr>
              <w:t>a</w:t>
            </w:r>
          </w:p>
        </w:tc>
        <w:tc>
          <w:tcPr>
            <w:tcW w:w="1560" w:type="dxa"/>
            <w:tcBorders>
              <w:top w:val="single" w:sz="4" w:space="0" w:color="auto"/>
              <w:bottom w:val="single" w:sz="4" w:space="0" w:color="auto"/>
            </w:tcBorders>
            <w:noWrap/>
            <w:hideMark/>
          </w:tcPr>
          <w:p w14:paraId="4E8CA559" w14:textId="12E8D5ED" w:rsidR="00987639" w:rsidRPr="00987639" w:rsidRDefault="00987639" w:rsidP="00987639">
            <w:pPr>
              <w:spacing w:after="0" w:line="256" w:lineRule="auto"/>
              <w:jc w:val="right"/>
              <w:rPr>
                <w:rFonts w:ascii="Calibri" w:eastAsia="Times New Roman" w:hAnsi="Calibri" w:cs="Calibri"/>
                <w:sz w:val="20"/>
                <w:szCs w:val="20"/>
                <w:lang w:val="en-GB" w:eastAsia="ru-RU"/>
              </w:rPr>
            </w:pPr>
            <w:r w:rsidRPr="00987639">
              <w:rPr>
                <w:rFonts w:ascii="Calibri" w:eastAsia="Times New Roman" w:hAnsi="Calibri" w:cs="Calibri"/>
                <w:sz w:val="20"/>
                <w:szCs w:val="20"/>
                <w:lang w:val="en-GB" w:eastAsia="ru-RU"/>
              </w:rPr>
              <w:t>Fractures</w:t>
            </w:r>
            <w:r w:rsidR="00311DF5">
              <w:rPr>
                <w:rFonts w:ascii="Calibri" w:eastAsia="Times New Roman" w:hAnsi="Calibri" w:cs="Calibri"/>
                <w:sz w:val="20"/>
                <w:szCs w:val="20"/>
                <w:vertAlign w:val="superscript"/>
                <w:lang w:val="en-GB" w:eastAsia="ru-RU"/>
              </w:rPr>
              <w:t>b</w:t>
            </w:r>
          </w:p>
        </w:tc>
        <w:tc>
          <w:tcPr>
            <w:tcW w:w="1985" w:type="dxa"/>
            <w:tcBorders>
              <w:top w:val="single" w:sz="4" w:space="0" w:color="auto"/>
              <w:bottom w:val="single" w:sz="4" w:space="0" w:color="auto"/>
            </w:tcBorders>
            <w:noWrap/>
            <w:hideMark/>
          </w:tcPr>
          <w:p w14:paraId="04B02D03" w14:textId="77777777" w:rsidR="00987639" w:rsidRPr="00987639" w:rsidRDefault="00987639" w:rsidP="00987639">
            <w:pPr>
              <w:spacing w:after="0" w:line="256" w:lineRule="auto"/>
              <w:jc w:val="right"/>
              <w:rPr>
                <w:rFonts w:ascii="Calibri" w:eastAsia="Times New Roman" w:hAnsi="Calibri" w:cs="Calibri"/>
                <w:sz w:val="20"/>
                <w:szCs w:val="20"/>
                <w:lang w:val="en-GB" w:eastAsia="ru-RU"/>
              </w:rPr>
            </w:pPr>
            <w:r w:rsidRPr="00987639">
              <w:rPr>
                <w:rFonts w:ascii="Calibri" w:eastAsia="Times New Roman" w:hAnsi="Calibri" w:cs="Calibri"/>
                <w:sz w:val="20"/>
                <w:szCs w:val="20"/>
                <w:lang w:val="en-GB" w:eastAsia="ru-RU"/>
              </w:rPr>
              <w:t>Incidence/100,000</w:t>
            </w:r>
          </w:p>
        </w:tc>
        <w:tc>
          <w:tcPr>
            <w:tcW w:w="2023" w:type="dxa"/>
            <w:tcBorders>
              <w:top w:val="single" w:sz="4" w:space="0" w:color="auto"/>
              <w:bottom w:val="single" w:sz="4" w:space="0" w:color="auto"/>
            </w:tcBorders>
            <w:noWrap/>
            <w:hideMark/>
          </w:tcPr>
          <w:p w14:paraId="75BB9238" w14:textId="77777777" w:rsidR="00987639" w:rsidRPr="00987639" w:rsidRDefault="00987639" w:rsidP="00987639">
            <w:pPr>
              <w:spacing w:after="0" w:line="256" w:lineRule="auto"/>
              <w:jc w:val="right"/>
              <w:rPr>
                <w:rFonts w:ascii="Calibri" w:eastAsia="Times New Roman" w:hAnsi="Calibri" w:cs="Calibri"/>
                <w:sz w:val="20"/>
                <w:szCs w:val="20"/>
                <w:lang w:val="en-GB" w:eastAsia="ru-RU"/>
              </w:rPr>
            </w:pPr>
            <w:r w:rsidRPr="00987639">
              <w:rPr>
                <w:rFonts w:ascii="Calibri" w:eastAsia="Times New Roman" w:hAnsi="Calibri" w:cs="Calibri"/>
                <w:sz w:val="20"/>
                <w:szCs w:val="20"/>
                <w:lang w:val="en-GB" w:eastAsia="ru-RU"/>
              </w:rPr>
              <w:t>95% CI</w:t>
            </w:r>
          </w:p>
        </w:tc>
      </w:tr>
      <w:tr w:rsidR="00987639" w:rsidRPr="00987639" w14:paraId="316D7878" w14:textId="77777777" w:rsidTr="006050E4">
        <w:trPr>
          <w:trHeight w:val="300"/>
        </w:trPr>
        <w:tc>
          <w:tcPr>
            <w:tcW w:w="1088" w:type="dxa"/>
            <w:tcBorders>
              <w:top w:val="single" w:sz="4" w:space="0" w:color="auto"/>
            </w:tcBorders>
            <w:vAlign w:val="center"/>
            <w:hideMark/>
          </w:tcPr>
          <w:p w14:paraId="77E5C192" w14:textId="77777777" w:rsidR="00987639" w:rsidRPr="00987639" w:rsidRDefault="00987639" w:rsidP="00987639">
            <w:pPr>
              <w:spacing w:after="0" w:line="256" w:lineRule="auto"/>
              <w:rPr>
                <w:rFonts w:ascii="Calibri" w:eastAsia="Times New Roman" w:hAnsi="Calibri" w:cs="Calibri"/>
                <w:i/>
                <w:sz w:val="20"/>
                <w:szCs w:val="20"/>
                <w:lang w:val="en-GB" w:eastAsia="ru-RU"/>
              </w:rPr>
            </w:pPr>
            <w:r w:rsidRPr="00987639">
              <w:rPr>
                <w:rFonts w:ascii="Calibri" w:eastAsia="Times New Roman" w:hAnsi="Calibri" w:cs="Calibri"/>
                <w:i/>
                <w:sz w:val="20"/>
                <w:szCs w:val="20"/>
                <w:lang w:val="en-GB" w:eastAsia="ru-RU"/>
              </w:rPr>
              <w:t>Men</w:t>
            </w:r>
          </w:p>
        </w:tc>
        <w:tc>
          <w:tcPr>
            <w:tcW w:w="1561" w:type="dxa"/>
            <w:tcBorders>
              <w:top w:val="single" w:sz="4" w:space="0" w:color="auto"/>
            </w:tcBorders>
            <w:noWrap/>
          </w:tcPr>
          <w:p w14:paraId="443FE3CB" w14:textId="77777777" w:rsidR="00987639" w:rsidRPr="00987639" w:rsidRDefault="00987639" w:rsidP="00987639">
            <w:pPr>
              <w:spacing w:after="0" w:line="256" w:lineRule="auto"/>
              <w:jc w:val="right"/>
              <w:rPr>
                <w:rFonts w:ascii="Calibri" w:eastAsia="Times New Roman" w:hAnsi="Calibri" w:cs="Calibri"/>
                <w:sz w:val="20"/>
                <w:szCs w:val="20"/>
                <w:lang w:val="en-GB" w:eastAsia="ru-RU"/>
              </w:rPr>
            </w:pPr>
          </w:p>
        </w:tc>
        <w:tc>
          <w:tcPr>
            <w:tcW w:w="1560" w:type="dxa"/>
            <w:tcBorders>
              <w:top w:val="single" w:sz="4" w:space="0" w:color="auto"/>
            </w:tcBorders>
            <w:noWrap/>
          </w:tcPr>
          <w:p w14:paraId="6212AFFF" w14:textId="77777777" w:rsidR="00987639" w:rsidRPr="00987639" w:rsidRDefault="00987639" w:rsidP="00987639">
            <w:pPr>
              <w:spacing w:after="0" w:line="256" w:lineRule="auto"/>
              <w:jc w:val="right"/>
              <w:rPr>
                <w:rFonts w:ascii="Calibri" w:eastAsia="Times New Roman" w:hAnsi="Calibri" w:cs="Calibri"/>
                <w:sz w:val="20"/>
                <w:szCs w:val="20"/>
                <w:lang w:val="en-GB" w:eastAsia="ru-RU"/>
              </w:rPr>
            </w:pPr>
          </w:p>
        </w:tc>
        <w:tc>
          <w:tcPr>
            <w:tcW w:w="1985" w:type="dxa"/>
            <w:tcBorders>
              <w:top w:val="single" w:sz="4" w:space="0" w:color="auto"/>
            </w:tcBorders>
            <w:noWrap/>
          </w:tcPr>
          <w:p w14:paraId="01F6ADE5" w14:textId="77777777" w:rsidR="00987639" w:rsidRPr="00987639" w:rsidRDefault="00987639" w:rsidP="00987639">
            <w:pPr>
              <w:spacing w:after="0" w:line="256" w:lineRule="auto"/>
              <w:jc w:val="right"/>
              <w:rPr>
                <w:rFonts w:ascii="Calibri" w:eastAsia="Times New Roman" w:hAnsi="Calibri" w:cs="Calibri"/>
                <w:sz w:val="20"/>
                <w:szCs w:val="20"/>
                <w:lang w:val="en-GB" w:eastAsia="ru-RU"/>
              </w:rPr>
            </w:pPr>
          </w:p>
        </w:tc>
        <w:tc>
          <w:tcPr>
            <w:tcW w:w="2023" w:type="dxa"/>
            <w:tcBorders>
              <w:top w:val="single" w:sz="4" w:space="0" w:color="auto"/>
            </w:tcBorders>
            <w:noWrap/>
          </w:tcPr>
          <w:p w14:paraId="6F79DF03" w14:textId="77777777" w:rsidR="00987639" w:rsidRPr="00987639" w:rsidRDefault="00987639" w:rsidP="00987639">
            <w:pPr>
              <w:spacing w:after="0" w:line="256" w:lineRule="auto"/>
              <w:jc w:val="right"/>
              <w:rPr>
                <w:rFonts w:ascii="Calibri" w:eastAsia="Times New Roman" w:hAnsi="Calibri" w:cs="Calibri"/>
                <w:sz w:val="20"/>
                <w:szCs w:val="20"/>
                <w:lang w:val="en-GB" w:eastAsia="ru-RU"/>
              </w:rPr>
            </w:pPr>
          </w:p>
        </w:tc>
      </w:tr>
      <w:tr w:rsidR="00987639" w:rsidRPr="00987639" w14:paraId="34F9C93C" w14:textId="77777777" w:rsidTr="006050E4">
        <w:trPr>
          <w:trHeight w:val="300"/>
        </w:trPr>
        <w:tc>
          <w:tcPr>
            <w:tcW w:w="1088" w:type="dxa"/>
            <w:hideMark/>
          </w:tcPr>
          <w:p w14:paraId="4FB3603F" w14:textId="77777777" w:rsidR="00987639" w:rsidRPr="00987639" w:rsidRDefault="00987639" w:rsidP="00987639">
            <w:pPr>
              <w:spacing w:after="0" w:line="256" w:lineRule="auto"/>
              <w:rPr>
                <w:rFonts w:ascii="Calibri" w:eastAsia="Times New Roman" w:hAnsi="Calibri" w:cs="Calibri"/>
                <w:sz w:val="20"/>
                <w:szCs w:val="20"/>
                <w:lang w:val="en-GB" w:eastAsia="ru-RU"/>
              </w:rPr>
            </w:pPr>
            <w:r w:rsidRPr="00987639">
              <w:rPr>
                <w:rFonts w:ascii="Calibri" w:eastAsia="Times New Roman" w:hAnsi="Calibri" w:cs="Calibri"/>
                <w:sz w:val="20"/>
                <w:szCs w:val="20"/>
                <w:lang w:val="en-GB" w:eastAsia="ru-RU"/>
              </w:rPr>
              <w:t>40-44</w:t>
            </w:r>
          </w:p>
        </w:tc>
        <w:tc>
          <w:tcPr>
            <w:tcW w:w="1561" w:type="dxa"/>
            <w:noWrap/>
          </w:tcPr>
          <w:p w14:paraId="2F8023C2" w14:textId="721886BF" w:rsidR="00987639" w:rsidRPr="00987639" w:rsidRDefault="00987639" w:rsidP="00987639">
            <w:pPr>
              <w:spacing w:after="0" w:line="256" w:lineRule="auto"/>
              <w:jc w:val="right"/>
              <w:rPr>
                <w:rFonts w:ascii="Calibri" w:eastAsia="Times New Roman" w:hAnsi="Calibri" w:cs="Calibri"/>
                <w:sz w:val="20"/>
                <w:szCs w:val="20"/>
                <w:lang w:val="en-GB" w:eastAsia="ru-RU"/>
              </w:rPr>
            </w:pPr>
            <w:r w:rsidRPr="00987639">
              <w:rPr>
                <w:rFonts w:ascii="Calibri" w:eastAsia="Times New Roman" w:hAnsi="Calibri" w:cs="Calibri"/>
                <w:sz w:val="20"/>
                <w:szCs w:val="20"/>
                <w:lang w:val="en-GB" w:eastAsia="ru-RU"/>
              </w:rPr>
              <w:t>28</w:t>
            </w:r>
            <w:r w:rsidR="00902015">
              <w:rPr>
                <w:rFonts w:ascii="Calibri" w:eastAsia="Times New Roman" w:hAnsi="Calibri" w:cs="Calibri"/>
                <w:sz w:val="20"/>
                <w:szCs w:val="20"/>
                <w:lang w:val="en-GB" w:eastAsia="ru-RU"/>
              </w:rPr>
              <w:t>,</w:t>
            </w:r>
            <w:r w:rsidRPr="00987639">
              <w:rPr>
                <w:rFonts w:ascii="Calibri" w:eastAsia="Times New Roman" w:hAnsi="Calibri" w:cs="Calibri"/>
                <w:sz w:val="20"/>
                <w:szCs w:val="20"/>
                <w:lang w:val="en-GB" w:eastAsia="ru-RU"/>
              </w:rPr>
              <w:t>257</w:t>
            </w:r>
          </w:p>
        </w:tc>
        <w:tc>
          <w:tcPr>
            <w:tcW w:w="1560" w:type="dxa"/>
            <w:noWrap/>
          </w:tcPr>
          <w:p w14:paraId="61E89F45" w14:textId="77777777" w:rsidR="00987639" w:rsidRPr="00987639" w:rsidRDefault="00987639" w:rsidP="00987639">
            <w:pPr>
              <w:spacing w:after="0" w:line="256" w:lineRule="auto"/>
              <w:jc w:val="right"/>
              <w:rPr>
                <w:rFonts w:ascii="Calibri" w:eastAsia="Times New Roman" w:hAnsi="Calibri" w:cs="Calibri"/>
                <w:sz w:val="20"/>
                <w:szCs w:val="20"/>
                <w:lang w:val="en-GB" w:eastAsia="ru-RU"/>
              </w:rPr>
            </w:pPr>
            <w:r w:rsidRPr="00987639">
              <w:rPr>
                <w:rFonts w:ascii="Calibri" w:eastAsia="Times New Roman" w:hAnsi="Calibri" w:cs="Calibri"/>
                <w:sz w:val="20"/>
                <w:szCs w:val="20"/>
                <w:lang w:val="en-GB" w:eastAsia="ru-RU"/>
              </w:rPr>
              <w:t>9</w:t>
            </w:r>
          </w:p>
        </w:tc>
        <w:tc>
          <w:tcPr>
            <w:tcW w:w="1985" w:type="dxa"/>
            <w:noWrap/>
          </w:tcPr>
          <w:p w14:paraId="3432F315" w14:textId="77777777" w:rsidR="00987639" w:rsidRPr="00987639" w:rsidRDefault="00987639" w:rsidP="00987639">
            <w:pPr>
              <w:spacing w:after="0" w:line="256" w:lineRule="auto"/>
              <w:jc w:val="right"/>
              <w:rPr>
                <w:rFonts w:ascii="Calibri" w:eastAsia="Times New Roman" w:hAnsi="Calibri" w:cs="Calibri"/>
                <w:sz w:val="20"/>
                <w:szCs w:val="20"/>
                <w:lang w:val="en-GB" w:eastAsia="ru-RU"/>
              </w:rPr>
            </w:pPr>
            <w:r w:rsidRPr="00987639">
              <w:rPr>
                <w:rFonts w:ascii="Calibri" w:eastAsia="Times New Roman" w:hAnsi="Calibri" w:cs="Calibri"/>
                <w:sz w:val="20"/>
                <w:szCs w:val="20"/>
                <w:lang w:val="en-GB" w:eastAsia="ru-RU"/>
              </w:rPr>
              <w:t>32</w:t>
            </w:r>
          </w:p>
        </w:tc>
        <w:tc>
          <w:tcPr>
            <w:tcW w:w="2023" w:type="dxa"/>
            <w:noWrap/>
            <w:vAlign w:val="bottom"/>
          </w:tcPr>
          <w:p w14:paraId="21A43E61" w14:textId="77777777" w:rsidR="00987639" w:rsidRPr="00987639" w:rsidRDefault="00987639" w:rsidP="00987639">
            <w:pPr>
              <w:spacing w:after="0" w:line="256" w:lineRule="auto"/>
              <w:jc w:val="right"/>
              <w:rPr>
                <w:rFonts w:ascii="Calibri" w:eastAsia="Times New Roman" w:hAnsi="Calibri" w:cs="Calibri"/>
                <w:sz w:val="20"/>
                <w:szCs w:val="20"/>
                <w:lang w:val="en-GB" w:eastAsia="ru-RU"/>
              </w:rPr>
            </w:pPr>
            <w:r w:rsidRPr="00987639">
              <w:rPr>
                <w:rFonts w:ascii="Calibri" w:eastAsia="Times New Roman" w:hAnsi="Calibri" w:cs="Calibri"/>
                <w:sz w:val="20"/>
                <w:szCs w:val="20"/>
                <w:lang w:val="en-GB" w:eastAsia="ru-RU"/>
              </w:rPr>
              <w:t>15-60</w:t>
            </w:r>
          </w:p>
        </w:tc>
      </w:tr>
      <w:tr w:rsidR="00987639" w:rsidRPr="00987639" w14:paraId="178C09A2" w14:textId="77777777" w:rsidTr="006050E4">
        <w:trPr>
          <w:trHeight w:val="300"/>
        </w:trPr>
        <w:tc>
          <w:tcPr>
            <w:tcW w:w="1088" w:type="dxa"/>
            <w:hideMark/>
          </w:tcPr>
          <w:p w14:paraId="6DA9CCE6" w14:textId="77777777" w:rsidR="00987639" w:rsidRPr="00987639" w:rsidRDefault="00987639" w:rsidP="00987639">
            <w:pPr>
              <w:spacing w:after="0" w:line="256" w:lineRule="auto"/>
              <w:rPr>
                <w:rFonts w:ascii="Calibri" w:eastAsia="Times New Roman" w:hAnsi="Calibri" w:cs="Calibri"/>
                <w:sz w:val="20"/>
                <w:szCs w:val="20"/>
                <w:lang w:val="en-GB" w:eastAsia="ru-RU"/>
              </w:rPr>
            </w:pPr>
            <w:r w:rsidRPr="00987639">
              <w:rPr>
                <w:rFonts w:ascii="Calibri" w:eastAsia="Times New Roman" w:hAnsi="Calibri" w:cs="Calibri"/>
                <w:sz w:val="20"/>
                <w:szCs w:val="20"/>
                <w:lang w:val="en-GB" w:eastAsia="ru-RU"/>
              </w:rPr>
              <w:t>45-49</w:t>
            </w:r>
          </w:p>
        </w:tc>
        <w:tc>
          <w:tcPr>
            <w:tcW w:w="1561" w:type="dxa"/>
            <w:noWrap/>
          </w:tcPr>
          <w:p w14:paraId="2626860C" w14:textId="31F637A3" w:rsidR="00987639" w:rsidRPr="00987639" w:rsidRDefault="00987639" w:rsidP="00987639">
            <w:pPr>
              <w:spacing w:after="0" w:line="256" w:lineRule="auto"/>
              <w:jc w:val="right"/>
              <w:rPr>
                <w:rFonts w:ascii="Calibri" w:eastAsia="Times New Roman" w:hAnsi="Calibri" w:cs="Calibri"/>
                <w:sz w:val="20"/>
                <w:szCs w:val="20"/>
                <w:lang w:val="en-GB" w:eastAsia="ru-RU"/>
              </w:rPr>
            </w:pPr>
            <w:r w:rsidRPr="00987639">
              <w:rPr>
                <w:rFonts w:ascii="Calibri" w:eastAsia="Times New Roman" w:hAnsi="Calibri" w:cs="Calibri"/>
                <w:sz w:val="20"/>
                <w:szCs w:val="20"/>
                <w:lang w:val="en-GB" w:eastAsia="ru-RU"/>
              </w:rPr>
              <w:t>27</w:t>
            </w:r>
            <w:r w:rsidR="00902015">
              <w:rPr>
                <w:rFonts w:ascii="Calibri" w:eastAsia="Times New Roman" w:hAnsi="Calibri" w:cs="Calibri"/>
                <w:sz w:val="20"/>
                <w:szCs w:val="20"/>
                <w:lang w:val="en-GB" w:eastAsia="ru-RU"/>
              </w:rPr>
              <w:t>,</w:t>
            </w:r>
            <w:r w:rsidRPr="00987639">
              <w:rPr>
                <w:rFonts w:ascii="Calibri" w:eastAsia="Times New Roman" w:hAnsi="Calibri" w:cs="Calibri"/>
                <w:sz w:val="20"/>
                <w:szCs w:val="20"/>
                <w:lang w:val="en-GB" w:eastAsia="ru-RU"/>
              </w:rPr>
              <w:t>267</w:t>
            </w:r>
          </w:p>
        </w:tc>
        <w:tc>
          <w:tcPr>
            <w:tcW w:w="1560" w:type="dxa"/>
            <w:noWrap/>
          </w:tcPr>
          <w:p w14:paraId="2EF142D1" w14:textId="77777777" w:rsidR="00987639" w:rsidRPr="00987639" w:rsidRDefault="00987639" w:rsidP="00987639">
            <w:pPr>
              <w:spacing w:after="0" w:line="256" w:lineRule="auto"/>
              <w:jc w:val="right"/>
              <w:rPr>
                <w:rFonts w:ascii="Calibri" w:eastAsia="Times New Roman" w:hAnsi="Calibri" w:cs="Calibri"/>
                <w:sz w:val="20"/>
                <w:szCs w:val="20"/>
                <w:lang w:val="en-GB" w:eastAsia="ru-RU"/>
              </w:rPr>
            </w:pPr>
            <w:r w:rsidRPr="00987639">
              <w:rPr>
                <w:rFonts w:ascii="Calibri" w:eastAsia="Times New Roman" w:hAnsi="Calibri" w:cs="Calibri"/>
                <w:sz w:val="20"/>
                <w:szCs w:val="20"/>
                <w:lang w:val="en-GB" w:eastAsia="ru-RU"/>
              </w:rPr>
              <w:t>14</w:t>
            </w:r>
          </w:p>
        </w:tc>
        <w:tc>
          <w:tcPr>
            <w:tcW w:w="1985" w:type="dxa"/>
            <w:noWrap/>
          </w:tcPr>
          <w:p w14:paraId="789D1833" w14:textId="77777777" w:rsidR="00987639" w:rsidRPr="00987639" w:rsidRDefault="00987639" w:rsidP="00987639">
            <w:pPr>
              <w:spacing w:after="0" w:line="256" w:lineRule="auto"/>
              <w:jc w:val="right"/>
              <w:rPr>
                <w:rFonts w:ascii="Calibri" w:eastAsia="Times New Roman" w:hAnsi="Calibri" w:cs="Calibri"/>
                <w:sz w:val="20"/>
                <w:szCs w:val="20"/>
                <w:lang w:val="en-GB" w:eastAsia="ru-RU"/>
              </w:rPr>
            </w:pPr>
            <w:r w:rsidRPr="00987639">
              <w:rPr>
                <w:rFonts w:ascii="Calibri" w:eastAsia="Times New Roman" w:hAnsi="Calibri" w:cs="Calibri"/>
                <w:sz w:val="20"/>
                <w:szCs w:val="20"/>
                <w:lang w:val="en-GB" w:eastAsia="ru-RU"/>
              </w:rPr>
              <w:t>51</w:t>
            </w:r>
          </w:p>
        </w:tc>
        <w:tc>
          <w:tcPr>
            <w:tcW w:w="2023" w:type="dxa"/>
            <w:noWrap/>
            <w:vAlign w:val="bottom"/>
          </w:tcPr>
          <w:p w14:paraId="3DB65949" w14:textId="77777777" w:rsidR="00987639" w:rsidRPr="00987639" w:rsidRDefault="00987639" w:rsidP="00987639">
            <w:pPr>
              <w:spacing w:after="0" w:line="256" w:lineRule="auto"/>
              <w:jc w:val="right"/>
              <w:rPr>
                <w:rFonts w:ascii="Calibri" w:eastAsia="Times New Roman" w:hAnsi="Calibri" w:cs="Calibri"/>
                <w:sz w:val="20"/>
                <w:szCs w:val="20"/>
                <w:lang w:val="en-GB" w:eastAsia="ru-RU"/>
              </w:rPr>
            </w:pPr>
            <w:r w:rsidRPr="00987639">
              <w:rPr>
                <w:rFonts w:ascii="Calibri" w:eastAsia="Times New Roman" w:hAnsi="Calibri" w:cs="Calibri"/>
                <w:sz w:val="20"/>
                <w:szCs w:val="20"/>
                <w:lang w:val="en-GB" w:eastAsia="ru-RU"/>
              </w:rPr>
              <w:t>28-86</w:t>
            </w:r>
          </w:p>
        </w:tc>
      </w:tr>
      <w:tr w:rsidR="00987639" w:rsidRPr="00987639" w14:paraId="02937BB8" w14:textId="77777777" w:rsidTr="006050E4">
        <w:trPr>
          <w:trHeight w:val="300"/>
        </w:trPr>
        <w:tc>
          <w:tcPr>
            <w:tcW w:w="1088" w:type="dxa"/>
            <w:hideMark/>
          </w:tcPr>
          <w:p w14:paraId="725A4398" w14:textId="77777777" w:rsidR="00987639" w:rsidRPr="00987639" w:rsidRDefault="00987639" w:rsidP="00987639">
            <w:pPr>
              <w:spacing w:after="0" w:line="256" w:lineRule="auto"/>
              <w:rPr>
                <w:rFonts w:ascii="Calibri" w:eastAsia="Times New Roman" w:hAnsi="Calibri" w:cs="Calibri"/>
                <w:sz w:val="20"/>
                <w:szCs w:val="20"/>
                <w:lang w:val="en-GB" w:eastAsia="ru-RU"/>
              </w:rPr>
            </w:pPr>
            <w:r w:rsidRPr="00987639">
              <w:rPr>
                <w:rFonts w:ascii="Calibri" w:eastAsia="Times New Roman" w:hAnsi="Calibri" w:cs="Calibri"/>
                <w:sz w:val="20"/>
                <w:szCs w:val="20"/>
                <w:lang w:val="en-GB" w:eastAsia="ru-RU"/>
              </w:rPr>
              <w:t>50-54</w:t>
            </w:r>
          </w:p>
        </w:tc>
        <w:tc>
          <w:tcPr>
            <w:tcW w:w="1561" w:type="dxa"/>
            <w:noWrap/>
          </w:tcPr>
          <w:p w14:paraId="0BE023D2" w14:textId="4DC13192" w:rsidR="00987639" w:rsidRPr="00987639" w:rsidRDefault="00987639" w:rsidP="00987639">
            <w:pPr>
              <w:spacing w:after="0" w:line="256" w:lineRule="auto"/>
              <w:jc w:val="right"/>
              <w:rPr>
                <w:rFonts w:ascii="Calibri" w:eastAsia="Times New Roman" w:hAnsi="Calibri" w:cs="Calibri"/>
                <w:sz w:val="20"/>
                <w:szCs w:val="20"/>
                <w:lang w:val="en-GB" w:eastAsia="ru-RU"/>
              </w:rPr>
            </w:pPr>
            <w:r w:rsidRPr="00987639">
              <w:rPr>
                <w:rFonts w:ascii="Calibri" w:eastAsia="Times New Roman" w:hAnsi="Calibri" w:cs="Calibri"/>
                <w:sz w:val="20"/>
                <w:szCs w:val="20"/>
                <w:lang w:val="en-GB" w:eastAsia="ru-RU"/>
              </w:rPr>
              <w:t>26</w:t>
            </w:r>
            <w:r w:rsidR="00902015">
              <w:rPr>
                <w:rFonts w:ascii="Calibri" w:eastAsia="Times New Roman" w:hAnsi="Calibri" w:cs="Calibri"/>
                <w:sz w:val="20"/>
                <w:szCs w:val="20"/>
                <w:lang w:val="en-GB" w:eastAsia="ru-RU"/>
              </w:rPr>
              <w:t>,</w:t>
            </w:r>
            <w:r w:rsidRPr="00987639">
              <w:rPr>
                <w:rFonts w:ascii="Calibri" w:eastAsia="Times New Roman" w:hAnsi="Calibri" w:cs="Calibri"/>
                <w:sz w:val="20"/>
                <w:szCs w:val="20"/>
                <w:lang w:val="en-GB" w:eastAsia="ru-RU"/>
              </w:rPr>
              <w:t>372</w:t>
            </w:r>
          </w:p>
        </w:tc>
        <w:tc>
          <w:tcPr>
            <w:tcW w:w="1560" w:type="dxa"/>
            <w:noWrap/>
          </w:tcPr>
          <w:p w14:paraId="30CADDAC" w14:textId="77777777" w:rsidR="00987639" w:rsidRPr="00987639" w:rsidRDefault="00987639" w:rsidP="00987639">
            <w:pPr>
              <w:spacing w:after="0" w:line="256" w:lineRule="auto"/>
              <w:jc w:val="right"/>
              <w:rPr>
                <w:rFonts w:ascii="Calibri" w:eastAsia="Times New Roman" w:hAnsi="Calibri" w:cs="Calibri"/>
                <w:sz w:val="20"/>
                <w:szCs w:val="20"/>
                <w:lang w:val="en-GB" w:eastAsia="ru-RU"/>
              </w:rPr>
            </w:pPr>
            <w:r w:rsidRPr="00987639">
              <w:rPr>
                <w:rFonts w:ascii="Calibri" w:eastAsia="Times New Roman" w:hAnsi="Calibri" w:cs="Calibri"/>
                <w:sz w:val="20"/>
                <w:szCs w:val="20"/>
                <w:lang w:val="en-GB" w:eastAsia="ru-RU"/>
              </w:rPr>
              <w:t>18</w:t>
            </w:r>
          </w:p>
        </w:tc>
        <w:tc>
          <w:tcPr>
            <w:tcW w:w="1985" w:type="dxa"/>
            <w:noWrap/>
          </w:tcPr>
          <w:p w14:paraId="71A6D3AB" w14:textId="77777777" w:rsidR="00987639" w:rsidRPr="00987639" w:rsidRDefault="00987639" w:rsidP="00987639">
            <w:pPr>
              <w:spacing w:after="0" w:line="256" w:lineRule="auto"/>
              <w:jc w:val="right"/>
              <w:rPr>
                <w:rFonts w:ascii="Calibri" w:eastAsia="Times New Roman" w:hAnsi="Calibri" w:cs="Calibri"/>
                <w:sz w:val="20"/>
                <w:szCs w:val="20"/>
                <w:lang w:val="en-GB" w:eastAsia="ru-RU"/>
              </w:rPr>
            </w:pPr>
            <w:r w:rsidRPr="00987639">
              <w:rPr>
                <w:rFonts w:ascii="Calibri" w:eastAsia="Times New Roman" w:hAnsi="Calibri" w:cs="Calibri"/>
                <w:sz w:val="20"/>
                <w:szCs w:val="20"/>
                <w:lang w:val="en-GB" w:eastAsia="ru-RU"/>
              </w:rPr>
              <w:t>68</w:t>
            </w:r>
          </w:p>
        </w:tc>
        <w:tc>
          <w:tcPr>
            <w:tcW w:w="2023" w:type="dxa"/>
            <w:noWrap/>
            <w:vAlign w:val="bottom"/>
          </w:tcPr>
          <w:p w14:paraId="28132C33" w14:textId="77777777" w:rsidR="00987639" w:rsidRPr="00987639" w:rsidRDefault="00987639" w:rsidP="00987639">
            <w:pPr>
              <w:spacing w:after="0" w:line="256" w:lineRule="auto"/>
              <w:jc w:val="right"/>
              <w:rPr>
                <w:rFonts w:ascii="Calibri" w:eastAsia="Times New Roman" w:hAnsi="Calibri" w:cs="Calibri"/>
                <w:sz w:val="20"/>
                <w:szCs w:val="20"/>
                <w:lang w:val="en-GB" w:eastAsia="ru-RU"/>
              </w:rPr>
            </w:pPr>
            <w:r w:rsidRPr="00987639">
              <w:rPr>
                <w:rFonts w:ascii="Calibri" w:eastAsia="Times New Roman" w:hAnsi="Calibri" w:cs="Calibri"/>
                <w:sz w:val="20"/>
                <w:szCs w:val="20"/>
                <w:lang w:val="en-GB" w:eastAsia="ru-RU"/>
              </w:rPr>
              <w:t>40-108</w:t>
            </w:r>
          </w:p>
        </w:tc>
      </w:tr>
      <w:tr w:rsidR="00987639" w:rsidRPr="00987639" w14:paraId="56760C74" w14:textId="77777777" w:rsidTr="006050E4">
        <w:trPr>
          <w:trHeight w:val="300"/>
        </w:trPr>
        <w:tc>
          <w:tcPr>
            <w:tcW w:w="1088" w:type="dxa"/>
            <w:hideMark/>
          </w:tcPr>
          <w:p w14:paraId="6EFDF77D" w14:textId="77777777" w:rsidR="00987639" w:rsidRPr="00987639" w:rsidRDefault="00987639" w:rsidP="00987639">
            <w:pPr>
              <w:spacing w:after="0" w:line="256" w:lineRule="auto"/>
              <w:rPr>
                <w:rFonts w:ascii="Calibri" w:eastAsia="Times New Roman" w:hAnsi="Calibri" w:cs="Calibri"/>
                <w:sz w:val="20"/>
                <w:szCs w:val="20"/>
                <w:lang w:val="en-GB" w:eastAsia="ru-RU"/>
              </w:rPr>
            </w:pPr>
            <w:r w:rsidRPr="00987639">
              <w:rPr>
                <w:rFonts w:ascii="Calibri" w:eastAsia="Times New Roman" w:hAnsi="Calibri" w:cs="Calibri"/>
                <w:sz w:val="20"/>
                <w:szCs w:val="20"/>
                <w:lang w:val="en-GB" w:eastAsia="ru-RU"/>
              </w:rPr>
              <w:t>55-59</w:t>
            </w:r>
          </w:p>
        </w:tc>
        <w:tc>
          <w:tcPr>
            <w:tcW w:w="1561" w:type="dxa"/>
            <w:noWrap/>
          </w:tcPr>
          <w:p w14:paraId="200C78B7" w14:textId="07978137" w:rsidR="00987639" w:rsidRPr="00987639" w:rsidRDefault="00987639" w:rsidP="00987639">
            <w:pPr>
              <w:spacing w:after="0" w:line="256" w:lineRule="auto"/>
              <w:jc w:val="right"/>
              <w:rPr>
                <w:rFonts w:ascii="Calibri" w:eastAsia="Times New Roman" w:hAnsi="Calibri" w:cs="Calibri"/>
                <w:sz w:val="20"/>
                <w:szCs w:val="20"/>
                <w:lang w:val="en-GB" w:eastAsia="ru-RU"/>
              </w:rPr>
            </w:pPr>
            <w:r w:rsidRPr="00987639">
              <w:rPr>
                <w:rFonts w:ascii="Calibri" w:eastAsia="Times New Roman" w:hAnsi="Calibri" w:cs="Calibri"/>
                <w:sz w:val="20"/>
                <w:szCs w:val="20"/>
                <w:lang w:val="en-GB" w:eastAsia="ru-RU"/>
              </w:rPr>
              <w:t>27</w:t>
            </w:r>
            <w:r w:rsidR="00902015">
              <w:rPr>
                <w:rFonts w:ascii="Calibri" w:eastAsia="Times New Roman" w:hAnsi="Calibri" w:cs="Calibri"/>
                <w:sz w:val="20"/>
                <w:szCs w:val="20"/>
                <w:lang w:val="en-GB" w:eastAsia="ru-RU"/>
              </w:rPr>
              <w:t>,</w:t>
            </w:r>
            <w:r w:rsidRPr="00987639">
              <w:rPr>
                <w:rFonts w:ascii="Calibri" w:eastAsia="Times New Roman" w:hAnsi="Calibri" w:cs="Calibri"/>
                <w:sz w:val="20"/>
                <w:szCs w:val="20"/>
                <w:lang w:val="en-GB" w:eastAsia="ru-RU"/>
              </w:rPr>
              <w:t>646</w:t>
            </w:r>
          </w:p>
        </w:tc>
        <w:tc>
          <w:tcPr>
            <w:tcW w:w="1560" w:type="dxa"/>
            <w:noWrap/>
          </w:tcPr>
          <w:p w14:paraId="197FCA17" w14:textId="77777777" w:rsidR="00987639" w:rsidRPr="00987639" w:rsidRDefault="00987639" w:rsidP="00987639">
            <w:pPr>
              <w:spacing w:after="0" w:line="256" w:lineRule="auto"/>
              <w:jc w:val="right"/>
              <w:rPr>
                <w:rFonts w:ascii="Calibri" w:eastAsia="Times New Roman" w:hAnsi="Calibri" w:cs="Calibri"/>
                <w:sz w:val="20"/>
                <w:szCs w:val="20"/>
                <w:lang w:val="en-GB" w:eastAsia="ru-RU"/>
              </w:rPr>
            </w:pPr>
            <w:r w:rsidRPr="00987639">
              <w:rPr>
                <w:rFonts w:ascii="Calibri" w:eastAsia="Times New Roman" w:hAnsi="Calibri" w:cs="Calibri"/>
                <w:sz w:val="20"/>
                <w:szCs w:val="20"/>
                <w:lang w:val="en-GB" w:eastAsia="ru-RU"/>
              </w:rPr>
              <w:t>26</w:t>
            </w:r>
          </w:p>
        </w:tc>
        <w:tc>
          <w:tcPr>
            <w:tcW w:w="1985" w:type="dxa"/>
            <w:noWrap/>
          </w:tcPr>
          <w:p w14:paraId="5678A461" w14:textId="77777777" w:rsidR="00987639" w:rsidRPr="00987639" w:rsidRDefault="00987639" w:rsidP="00987639">
            <w:pPr>
              <w:spacing w:after="0" w:line="256" w:lineRule="auto"/>
              <w:jc w:val="right"/>
              <w:rPr>
                <w:rFonts w:ascii="Calibri" w:eastAsia="Times New Roman" w:hAnsi="Calibri" w:cs="Calibri"/>
                <w:sz w:val="20"/>
                <w:szCs w:val="20"/>
                <w:lang w:val="en-GB" w:eastAsia="ru-RU"/>
              </w:rPr>
            </w:pPr>
            <w:r w:rsidRPr="00987639">
              <w:rPr>
                <w:rFonts w:ascii="Calibri" w:eastAsia="Times New Roman" w:hAnsi="Calibri" w:cs="Calibri"/>
                <w:sz w:val="20"/>
                <w:szCs w:val="20"/>
                <w:lang w:val="en-GB" w:eastAsia="ru-RU"/>
              </w:rPr>
              <w:t>94</w:t>
            </w:r>
          </w:p>
        </w:tc>
        <w:tc>
          <w:tcPr>
            <w:tcW w:w="2023" w:type="dxa"/>
            <w:noWrap/>
            <w:vAlign w:val="bottom"/>
          </w:tcPr>
          <w:p w14:paraId="6D46F6C6" w14:textId="77777777" w:rsidR="00987639" w:rsidRPr="00987639" w:rsidRDefault="00987639" w:rsidP="00987639">
            <w:pPr>
              <w:spacing w:after="0" w:line="256" w:lineRule="auto"/>
              <w:jc w:val="right"/>
              <w:rPr>
                <w:rFonts w:ascii="Calibri" w:eastAsia="Times New Roman" w:hAnsi="Calibri" w:cs="Calibri"/>
                <w:sz w:val="20"/>
                <w:szCs w:val="20"/>
                <w:lang w:val="en-GB" w:eastAsia="ru-RU"/>
              </w:rPr>
            </w:pPr>
            <w:r w:rsidRPr="00987639">
              <w:rPr>
                <w:rFonts w:ascii="Calibri" w:eastAsia="Times New Roman" w:hAnsi="Calibri" w:cs="Calibri"/>
                <w:sz w:val="20"/>
                <w:szCs w:val="20"/>
                <w:lang w:val="en-GB" w:eastAsia="ru-RU"/>
              </w:rPr>
              <w:t>61-138</w:t>
            </w:r>
          </w:p>
        </w:tc>
      </w:tr>
      <w:tr w:rsidR="00987639" w:rsidRPr="00987639" w14:paraId="47D8B9EE" w14:textId="77777777" w:rsidTr="006050E4">
        <w:trPr>
          <w:trHeight w:val="300"/>
        </w:trPr>
        <w:tc>
          <w:tcPr>
            <w:tcW w:w="1088" w:type="dxa"/>
            <w:hideMark/>
          </w:tcPr>
          <w:p w14:paraId="09C8A82B" w14:textId="77777777" w:rsidR="00987639" w:rsidRPr="00987639" w:rsidRDefault="00987639" w:rsidP="00987639">
            <w:pPr>
              <w:spacing w:after="0" w:line="256" w:lineRule="auto"/>
              <w:rPr>
                <w:rFonts w:ascii="Calibri" w:eastAsia="Times New Roman" w:hAnsi="Calibri" w:cs="Calibri"/>
                <w:sz w:val="20"/>
                <w:szCs w:val="20"/>
                <w:lang w:val="en-GB" w:eastAsia="ru-RU"/>
              </w:rPr>
            </w:pPr>
            <w:r w:rsidRPr="00987639">
              <w:rPr>
                <w:rFonts w:ascii="Calibri" w:eastAsia="Times New Roman" w:hAnsi="Calibri" w:cs="Calibri"/>
                <w:sz w:val="20"/>
                <w:szCs w:val="20"/>
                <w:lang w:val="en-GB" w:eastAsia="ru-RU"/>
              </w:rPr>
              <w:t>60-64</w:t>
            </w:r>
          </w:p>
        </w:tc>
        <w:tc>
          <w:tcPr>
            <w:tcW w:w="1561" w:type="dxa"/>
            <w:noWrap/>
          </w:tcPr>
          <w:p w14:paraId="71E82DEB" w14:textId="5A44BFEB" w:rsidR="00987639" w:rsidRPr="00987639" w:rsidRDefault="00987639" w:rsidP="00987639">
            <w:pPr>
              <w:spacing w:after="0" w:line="256" w:lineRule="auto"/>
              <w:jc w:val="right"/>
              <w:rPr>
                <w:rFonts w:ascii="Calibri" w:eastAsia="Times New Roman" w:hAnsi="Calibri" w:cs="Calibri"/>
                <w:sz w:val="20"/>
                <w:szCs w:val="20"/>
                <w:lang w:val="en-GB" w:eastAsia="ru-RU"/>
              </w:rPr>
            </w:pPr>
            <w:r w:rsidRPr="00987639">
              <w:rPr>
                <w:rFonts w:ascii="Calibri" w:eastAsia="Times New Roman" w:hAnsi="Calibri" w:cs="Calibri"/>
                <w:sz w:val="20"/>
                <w:szCs w:val="20"/>
                <w:lang w:val="en-GB" w:eastAsia="ru-RU"/>
              </w:rPr>
              <w:t>27</w:t>
            </w:r>
            <w:r w:rsidR="00902015">
              <w:rPr>
                <w:rFonts w:ascii="Calibri" w:eastAsia="Times New Roman" w:hAnsi="Calibri" w:cs="Calibri"/>
                <w:sz w:val="20"/>
                <w:szCs w:val="20"/>
                <w:lang w:val="en-GB" w:eastAsia="ru-RU"/>
              </w:rPr>
              <w:t>,</w:t>
            </w:r>
            <w:r w:rsidRPr="00987639">
              <w:rPr>
                <w:rFonts w:ascii="Calibri" w:eastAsia="Times New Roman" w:hAnsi="Calibri" w:cs="Calibri"/>
                <w:sz w:val="20"/>
                <w:szCs w:val="20"/>
                <w:lang w:val="en-GB" w:eastAsia="ru-RU"/>
              </w:rPr>
              <w:t>889</w:t>
            </w:r>
          </w:p>
        </w:tc>
        <w:tc>
          <w:tcPr>
            <w:tcW w:w="1560" w:type="dxa"/>
            <w:noWrap/>
          </w:tcPr>
          <w:p w14:paraId="73368854" w14:textId="77777777" w:rsidR="00987639" w:rsidRPr="00987639" w:rsidRDefault="00987639" w:rsidP="00987639">
            <w:pPr>
              <w:spacing w:after="0" w:line="256" w:lineRule="auto"/>
              <w:jc w:val="right"/>
              <w:rPr>
                <w:rFonts w:ascii="Calibri" w:eastAsia="Times New Roman" w:hAnsi="Calibri" w:cs="Calibri"/>
                <w:sz w:val="20"/>
                <w:szCs w:val="20"/>
                <w:lang w:val="en-GB" w:eastAsia="ru-RU"/>
              </w:rPr>
            </w:pPr>
            <w:r w:rsidRPr="00987639">
              <w:rPr>
                <w:rFonts w:ascii="Calibri" w:eastAsia="Times New Roman" w:hAnsi="Calibri" w:cs="Calibri"/>
                <w:sz w:val="20"/>
                <w:szCs w:val="20"/>
                <w:lang w:val="en-GB" w:eastAsia="ru-RU"/>
              </w:rPr>
              <w:t>35</w:t>
            </w:r>
          </w:p>
        </w:tc>
        <w:tc>
          <w:tcPr>
            <w:tcW w:w="1985" w:type="dxa"/>
            <w:noWrap/>
          </w:tcPr>
          <w:p w14:paraId="0E18F761" w14:textId="77777777" w:rsidR="00987639" w:rsidRPr="00987639" w:rsidRDefault="00987639" w:rsidP="00987639">
            <w:pPr>
              <w:spacing w:after="0" w:line="256" w:lineRule="auto"/>
              <w:jc w:val="right"/>
              <w:rPr>
                <w:rFonts w:ascii="Calibri" w:eastAsia="Times New Roman" w:hAnsi="Calibri" w:cs="Calibri"/>
                <w:sz w:val="20"/>
                <w:szCs w:val="20"/>
                <w:lang w:val="en-GB" w:eastAsia="ru-RU"/>
              </w:rPr>
            </w:pPr>
            <w:r w:rsidRPr="00987639">
              <w:rPr>
                <w:rFonts w:ascii="Calibri" w:eastAsia="Times New Roman" w:hAnsi="Calibri" w:cs="Calibri"/>
                <w:sz w:val="20"/>
                <w:szCs w:val="20"/>
                <w:lang w:val="en-GB" w:eastAsia="ru-RU"/>
              </w:rPr>
              <w:t>125</w:t>
            </w:r>
          </w:p>
        </w:tc>
        <w:tc>
          <w:tcPr>
            <w:tcW w:w="2023" w:type="dxa"/>
            <w:noWrap/>
            <w:vAlign w:val="bottom"/>
          </w:tcPr>
          <w:p w14:paraId="6ED6F743" w14:textId="77777777" w:rsidR="00987639" w:rsidRPr="00987639" w:rsidRDefault="00987639" w:rsidP="00987639">
            <w:pPr>
              <w:spacing w:after="0" w:line="256" w:lineRule="auto"/>
              <w:jc w:val="right"/>
              <w:rPr>
                <w:rFonts w:ascii="Calibri" w:eastAsia="Times New Roman" w:hAnsi="Calibri" w:cs="Calibri"/>
                <w:sz w:val="20"/>
                <w:szCs w:val="20"/>
                <w:lang w:val="en-GB" w:eastAsia="ru-RU"/>
              </w:rPr>
            </w:pPr>
            <w:r w:rsidRPr="00987639">
              <w:rPr>
                <w:rFonts w:ascii="Calibri" w:eastAsia="Times New Roman" w:hAnsi="Calibri" w:cs="Calibri"/>
                <w:sz w:val="20"/>
                <w:szCs w:val="20"/>
                <w:lang w:val="en-GB" w:eastAsia="ru-RU"/>
              </w:rPr>
              <w:t>87-175</w:t>
            </w:r>
          </w:p>
        </w:tc>
      </w:tr>
      <w:tr w:rsidR="00987639" w:rsidRPr="00987639" w14:paraId="3025EAF5" w14:textId="77777777" w:rsidTr="006050E4">
        <w:trPr>
          <w:trHeight w:val="300"/>
        </w:trPr>
        <w:tc>
          <w:tcPr>
            <w:tcW w:w="1088" w:type="dxa"/>
            <w:hideMark/>
          </w:tcPr>
          <w:p w14:paraId="6061AB36" w14:textId="77777777" w:rsidR="00987639" w:rsidRPr="00987639" w:rsidRDefault="00987639" w:rsidP="00987639">
            <w:pPr>
              <w:spacing w:after="0" w:line="256" w:lineRule="auto"/>
              <w:rPr>
                <w:rFonts w:ascii="Calibri" w:eastAsia="Times New Roman" w:hAnsi="Calibri" w:cs="Calibri"/>
                <w:sz w:val="20"/>
                <w:szCs w:val="20"/>
                <w:lang w:val="en-GB" w:eastAsia="ru-RU"/>
              </w:rPr>
            </w:pPr>
            <w:r w:rsidRPr="00987639">
              <w:rPr>
                <w:rFonts w:ascii="Calibri" w:eastAsia="Times New Roman" w:hAnsi="Calibri" w:cs="Calibri"/>
                <w:sz w:val="20"/>
                <w:szCs w:val="20"/>
                <w:lang w:val="en-GB" w:eastAsia="ru-RU"/>
              </w:rPr>
              <w:t>65-69</w:t>
            </w:r>
          </w:p>
        </w:tc>
        <w:tc>
          <w:tcPr>
            <w:tcW w:w="1561" w:type="dxa"/>
            <w:noWrap/>
          </w:tcPr>
          <w:p w14:paraId="1DF228F6" w14:textId="1A838944" w:rsidR="00987639" w:rsidRPr="00987639" w:rsidRDefault="00987639" w:rsidP="00987639">
            <w:pPr>
              <w:spacing w:after="0" w:line="256" w:lineRule="auto"/>
              <w:jc w:val="right"/>
              <w:rPr>
                <w:rFonts w:ascii="Calibri" w:eastAsia="Times New Roman" w:hAnsi="Calibri" w:cs="Calibri"/>
                <w:sz w:val="20"/>
                <w:szCs w:val="20"/>
                <w:lang w:val="en-GB" w:eastAsia="ru-RU"/>
              </w:rPr>
            </w:pPr>
            <w:r w:rsidRPr="00987639">
              <w:rPr>
                <w:rFonts w:ascii="Calibri" w:eastAsia="Times New Roman" w:hAnsi="Calibri" w:cs="Calibri"/>
                <w:sz w:val="20"/>
                <w:szCs w:val="20"/>
                <w:lang w:val="en-GB" w:eastAsia="ru-RU"/>
              </w:rPr>
              <w:t>27</w:t>
            </w:r>
            <w:r w:rsidR="00902015">
              <w:rPr>
                <w:rFonts w:ascii="Calibri" w:eastAsia="Times New Roman" w:hAnsi="Calibri" w:cs="Calibri"/>
                <w:sz w:val="20"/>
                <w:szCs w:val="20"/>
                <w:lang w:val="en-GB" w:eastAsia="ru-RU"/>
              </w:rPr>
              <w:t>,</w:t>
            </w:r>
            <w:r w:rsidRPr="00987639">
              <w:rPr>
                <w:rFonts w:ascii="Calibri" w:eastAsia="Times New Roman" w:hAnsi="Calibri" w:cs="Calibri"/>
                <w:sz w:val="20"/>
                <w:szCs w:val="20"/>
                <w:lang w:val="en-GB" w:eastAsia="ru-RU"/>
              </w:rPr>
              <w:t>903</w:t>
            </w:r>
          </w:p>
        </w:tc>
        <w:tc>
          <w:tcPr>
            <w:tcW w:w="1560" w:type="dxa"/>
            <w:noWrap/>
          </w:tcPr>
          <w:p w14:paraId="6E1A1FE2" w14:textId="77777777" w:rsidR="00987639" w:rsidRPr="00987639" w:rsidRDefault="00987639" w:rsidP="00987639">
            <w:pPr>
              <w:spacing w:after="0" w:line="256" w:lineRule="auto"/>
              <w:jc w:val="right"/>
              <w:rPr>
                <w:rFonts w:ascii="Calibri" w:eastAsia="Times New Roman" w:hAnsi="Calibri" w:cs="Calibri"/>
                <w:sz w:val="20"/>
                <w:szCs w:val="20"/>
                <w:lang w:val="en-GB" w:eastAsia="ru-RU"/>
              </w:rPr>
            </w:pPr>
            <w:r w:rsidRPr="00987639">
              <w:rPr>
                <w:rFonts w:ascii="Calibri" w:eastAsia="Times New Roman" w:hAnsi="Calibri" w:cs="Calibri"/>
                <w:sz w:val="20"/>
                <w:szCs w:val="20"/>
                <w:lang w:val="en-GB" w:eastAsia="ru-RU"/>
              </w:rPr>
              <w:t>37</w:t>
            </w:r>
          </w:p>
        </w:tc>
        <w:tc>
          <w:tcPr>
            <w:tcW w:w="1985" w:type="dxa"/>
            <w:noWrap/>
          </w:tcPr>
          <w:p w14:paraId="7B461BFB" w14:textId="77777777" w:rsidR="00987639" w:rsidRPr="00987639" w:rsidRDefault="00987639" w:rsidP="00987639">
            <w:pPr>
              <w:spacing w:after="0" w:line="256" w:lineRule="auto"/>
              <w:jc w:val="right"/>
              <w:rPr>
                <w:rFonts w:ascii="Calibri" w:eastAsia="Times New Roman" w:hAnsi="Calibri" w:cs="Calibri"/>
                <w:sz w:val="20"/>
                <w:szCs w:val="20"/>
                <w:lang w:val="en-GB" w:eastAsia="ru-RU"/>
              </w:rPr>
            </w:pPr>
            <w:r w:rsidRPr="00987639">
              <w:rPr>
                <w:rFonts w:ascii="Calibri" w:eastAsia="Times New Roman" w:hAnsi="Calibri" w:cs="Calibri"/>
                <w:sz w:val="20"/>
                <w:szCs w:val="20"/>
                <w:lang w:val="en-GB" w:eastAsia="ru-RU"/>
              </w:rPr>
              <w:t>133</w:t>
            </w:r>
          </w:p>
        </w:tc>
        <w:tc>
          <w:tcPr>
            <w:tcW w:w="2023" w:type="dxa"/>
            <w:noWrap/>
            <w:vAlign w:val="bottom"/>
          </w:tcPr>
          <w:p w14:paraId="4BAC6831" w14:textId="77777777" w:rsidR="00987639" w:rsidRPr="00987639" w:rsidRDefault="00987639" w:rsidP="00987639">
            <w:pPr>
              <w:spacing w:after="0" w:line="256" w:lineRule="auto"/>
              <w:jc w:val="right"/>
              <w:rPr>
                <w:rFonts w:ascii="Calibri" w:eastAsia="Times New Roman" w:hAnsi="Calibri" w:cs="Calibri"/>
                <w:sz w:val="20"/>
                <w:szCs w:val="20"/>
                <w:lang w:val="en-GB" w:eastAsia="ru-RU"/>
              </w:rPr>
            </w:pPr>
            <w:r w:rsidRPr="00987639">
              <w:rPr>
                <w:rFonts w:ascii="Calibri" w:eastAsia="Times New Roman" w:hAnsi="Calibri" w:cs="Calibri"/>
                <w:sz w:val="20"/>
                <w:szCs w:val="20"/>
                <w:lang w:val="en-GB" w:eastAsia="ru-RU"/>
              </w:rPr>
              <w:t>93-183</w:t>
            </w:r>
          </w:p>
        </w:tc>
      </w:tr>
      <w:tr w:rsidR="00987639" w:rsidRPr="00987639" w14:paraId="60AE8AFC" w14:textId="77777777" w:rsidTr="006050E4">
        <w:trPr>
          <w:trHeight w:val="300"/>
        </w:trPr>
        <w:tc>
          <w:tcPr>
            <w:tcW w:w="1088" w:type="dxa"/>
            <w:hideMark/>
          </w:tcPr>
          <w:p w14:paraId="39B37399" w14:textId="77777777" w:rsidR="00987639" w:rsidRPr="00987639" w:rsidRDefault="00987639" w:rsidP="00987639">
            <w:pPr>
              <w:spacing w:after="0" w:line="256" w:lineRule="auto"/>
              <w:rPr>
                <w:rFonts w:ascii="Calibri" w:eastAsia="Times New Roman" w:hAnsi="Calibri" w:cs="Calibri"/>
                <w:sz w:val="20"/>
                <w:szCs w:val="20"/>
                <w:lang w:val="en-GB" w:eastAsia="ru-RU"/>
              </w:rPr>
            </w:pPr>
            <w:r w:rsidRPr="00987639">
              <w:rPr>
                <w:rFonts w:ascii="Calibri" w:eastAsia="Times New Roman" w:hAnsi="Calibri" w:cs="Calibri"/>
                <w:sz w:val="20"/>
                <w:szCs w:val="20"/>
                <w:lang w:val="en-GB" w:eastAsia="ru-RU"/>
              </w:rPr>
              <w:t>70-74</w:t>
            </w:r>
          </w:p>
        </w:tc>
        <w:tc>
          <w:tcPr>
            <w:tcW w:w="1561" w:type="dxa"/>
            <w:noWrap/>
          </w:tcPr>
          <w:p w14:paraId="34669012" w14:textId="4335C8F3" w:rsidR="00987639" w:rsidRPr="00987639" w:rsidRDefault="00987639" w:rsidP="00987639">
            <w:pPr>
              <w:spacing w:after="0" w:line="256" w:lineRule="auto"/>
              <w:jc w:val="right"/>
              <w:rPr>
                <w:rFonts w:ascii="Calibri" w:eastAsia="Times New Roman" w:hAnsi="Calibri" w:cs="Calibri"/>
                <w:sz w:val="20"/>
                <w:szCs w:val="20"/>
                <w:lang w:val="en-GB" w:eastAsia="ru-RU"/>
              </w:rPr>
            </w:pPr>
            <w:r w:rsidRPr="00987639">
              <w:rPr>
                <w:rFonts w:ascii="Calibri" w:eastAsia="Times New Roman" w:hAnsi="Calibri" w:cs="Calibri"/>
                <w:sz w:val="20"/>
                <w:szCs w:val="20"/>
                <w:lang w:val="en-GB" w:eastAsia="ru-RU"/>
              </w:rPr>
              <w:t>20</w:t>
            </w:r>
            <w:r w:rsidR="00902015">
              <w:rPr>
                <w:rFonts w:ascii="Calibri" w:eastAsia="Times New Roman" w:hAnsi="Calibri" w:cs="Calibri"/>
                <w:sz w:val="20"/>
                <w:szCs w:val="20"/>
                <w:lang w:val="en-GB" w:eastAsia="ru-RU"/>
              </w:rPr>
              <w:t>,</w:t>
            </w:r>
            <w:r w:rsidRPr="00987639">
              <w:rPr>
                <w:rFonts w:ascii="Calibri" w:eastAsia="Times New Roman" w:hAnsi="Calibri" w:cs="Calibri"/>
                <w:sz w:val="20"/>
                <w:szCs w:val="20"/>
                <w:lang w:val="en-GB" w:eastAsia="ru-RU"/>
              </w:rPr>
              <w:t>886</w:t>
            </w:r>
          </w:p>
        </w:tc>
        <w:tc>
          <w:tcPr>
            <w:tcW w:w="1560" w:type="dxa"/>
            <w:noWrap/>
          </w:tcPr>
          <w:p w14:paraId="5DB1D40F" w14:textId="77777777" w:rsidR="00987639" w:rsidRPr="00987639" w:rsidRDefault="00987639" w:rsidP="00987639">
            <w:pPr>
              <w:spacing w:after="0" w:line="256" w:lineRule="auto"/>
              <w:jc w:val="right"/>
              <w:rPr>
                <w:rFonts w:ascii="Calibri" w:eastAsia="Times New Roman" w:hAnsi="Calibri" w:cs="Calibri"/>
                <w:sz w:val="20"/>
                <w:szCs w:val="20"/>
                <w:lang w:val="en-GB" w:eastAsia="ru-RU"/>
              </w:rPr>
            </w:pPr>
            <w:r w:rsidRPr="00987639">
              <w:rPr>
                <w:rFonts w:ascii="Calibri" w:eastAsia="Times New Roman" w:hAnsi="Calibri" w:cs="Calibri"/>
                <w:sz w:val="20"/>
                <w:szCs w:val="20"/>
                <w:lang w:val="en-GB" w:eastAsia="ru-RU"/>
              </w:rPr>
              <w:t>44</w:t>
            </w:r>
          </w:p>
        </w:tc>
        <w:tc>
          <w:tcPr>
            <w:tcW w:w="1985" w:type="dxa"/>
            <w:noWrap/>
          </w:tcPr>
          <w:p w14:paraId="0A213545" w14:textId="77777777" w:rsidR="00987639" w:rsidRPr="00987639" w:rsidRDefault="00987639" w:rsidP="00987639">
            <w:pPr>
              <w:spacing w:after="0" w:line="256" w:lineRule="auto"/>
              <w:jc w:val="right"/>
              <w:rPr>
                <w:rFonts w:ascii="Calibri" w:eastAsia="Times New Roman" w:hAnsi="Calibri" w:cs="Calibri"/>
                <w:sz w:val="20"/>
                <w:szCs w:val="20"/>
                <w:lang w:val="en-GB" w:eastAsia="ru-RU"/>
              </w:rPr>
            </w:pPr>
            <w:r w:rsidRPr="00987639">
              <w:rPr>
                <w:rFonts w:ascii="Calibri" w:eastAsia="Times New Roman" w:hAnsi="Calibri" w:cs="Calibri"/>
                <w:sz w:val="20"/>
                <w:szCs w:val="20"/>
                <w:lang w:val="en-GB" w:eastAsia="ru-RU"/>
              </w:rPr>
              <w:t>211</w:t>
            </w:r>
          </w:p>
        </w:tc>
        <w:tc>
          <w:tcPr>
            <w:tcW w:w="2023" w:type="dxa"/>
            <w:noWrap/>
            <w:vAlign w:val="bottom"/>
          </w:tcPr>
          <w:p w14:paraId="3705482C" w14:textId="77777777" w:rsidR="00987639" w:rsidRPr="00987639" w:rsidRDefault="00987639" w:rsidP="00987639">
            <w:pPr>
              <w:spacing w:after="0" w:line="256" w:lineRule="auto"/>
              <w:jc w:val="right"/>
              <w:rPr>
                <w:rFonts w:ascii="Calibri" w:eastAsia="Times New Roman" w:hAnsi="Calibri" w:cs="Calibri"/>
                <w:sz w:val="20"/>
                <w:szCs w:val="20"/>
                <w:lang w:val="en-GB" w:eastAsia="ru-RU"/>
              </w:rPr>
            </w:pPr>
            <w:r w:rsidRPr="00987639">
              <w:rPr>
                <w:rFonts w:ascii="Calibri" w:eastAsia="Times New Roman" w:hAnsi="Calibri" w:cs="Calibri"/>
                <w:sz w:val="20"/>
                <w:szCs w:val="20"/>
                <w:lang w:val="en-GB" w:eastAsia="ru-RU"/>
              </w:rPr>
              <w:t>153-283</w:t>
            </w:r>
          </w:p>
        </w:tc>
      </w:tr>
      <w:tr w:rsidR="00987639" w:rsidRPr="00987639" w14:paraId="566DDF44" w14:textId="77777777" w:rsidTr="006050E4">
        <w:trPr>
          <w:trHeight w:val="300"/>
        </w:trPr>
        <w:tc>
          <w:tcPr>
            <w:tcW w:w="1088" w:type="dxa"/>
            <w:hideMark/>
          </w:tcPr>
          <w:p w14:paraId="2316DEEF" w14:textId="77777777" w:rsidR="00987639" w:rsidRPr="00987639" w:rsidRDefault="00987639" w:rsidP="00987639">
            <w:pPr>
              <w:spacing w:after="0" w:line="256" w:lineRule="auto"/>
              <w:rPr>
                <w:rFonts w:ascii="Calibri" w:eastAsia="Times New Roman" w:hAnsi="Calibri" w:cs="Calibri"/>
                <w:sz w:val="20"/>
                <w:szCs w:val="20"/>
                <w:lang w:val="en-GB" w:eastAsia="ru-RU"/>
              </w:rPr>
            </w:pPr>
            <w:r w:rsidRPr="00987639">
              <w:rPr>
                <w:rFonts w:ascii="Calibri" w:eastAsia="Times New Roman" w:hAnsi="Calibri" w:cs="Calibri"/>
                <w:sz w:val="20"/>
                <w:szCs w:val="20"/>
                <w:lang w:val="en-GB" w:eastAsia="ru-RU"/>
              </w:rPr>
              <w:t>75-79</w:t>
            </w:r>
          </w:p>
        </w:tc>
        <w:tc>
          <w:tcPr>
            <w:tcW w:w="1561" w:type="dxa"/>
          </w:tcPr>
          <w:p w14:paraId="3F733431" w14:textId="016AE48E" w:rsidR="00987639" w:rsidRPr="00987639" w:rsidRDefault="00987639" w:rsidP="00987639">
            <w:pPr>
              <w:spacing w:after="0" w:line="256" w:lineRule="auto"/>
              <w:jc w:val="right"/>
              <w:rPr>
                <w:rFonts w:ascii="Calibri" w:eastAsia="Times New Roman" w:hAnsi="Calibri" w:cs="Calibri"/>
                <w:sz w:val="20"/>
                <w:szCs w:val="20"/>
                <w:lang w:val="en-GB" w:eastAsia="ru-RU"/>
              </w:rPr>
            </w:pPr>
            <w:r w:rsidRPr="00987639">
              <w:rPr>
                <w:rFonts w:ascii="Calibri" w:eastAsia="Times New Roman" w:hAnsi="Calibri" w:cs="Calibri"/>
                <w:sz w:val="20"/>
                <w:szCs w:val="20"/>
                <w:lang w:val="en-GB" w:eastAsia="ru-RU"/>
              </w:rPr>
              <w:t>15</w:t>
            </w:r>
            <w:r w:rsidR="00902015">
              <w:rPr>
                <w:rFonts w:ascii="Calibri" w:eastAsia="Times New Roman" w:hAnsi="Calibri" w:cs="Calibri"/>
                <w:sz w:val="20"/>
                <w:szCs w:val="20"/>
                <w:lang w:val="en-GB" w:eastAsia="ru-RU"/>
              </w:rPr>
              <w:t>,</w:t>
            </w:r>
            <w:r w:rsidRPr="00987639">
              <w:rPr>
                <w:rFonts w:ascii="Calibri" w:eastAsia="Times New Roman" w:hAnsi="Calibri" w:cs="Calibri"/>
                <w:sz w:val="20"/>
                <w:szCs w:val="20"/>
                <w:lang w:val="en-GB" w:eastAsia="ru-RU"/>
              </w:rPr>
              <w:t>632</w:t>
            </w:r>
          </w:p>
        </w:tc>
        <w:tc>
          <w:tcPr>
            <w:tcW w:w="1560" w:type="dxa"/>
          </w:tcPr>
          <w:p w14:paraId="41A60C93" w14:textId="77777777" w:rsidR="00987639" w:rsidRPr="00987639" w:rsidRDefault="00987639" w:rsidP="00987639">
            <w:pPr>
              <w:spacing w:after="0" w:line="256" w:lineRule="auto"/>
              <w:jc w:val="right"/>
              <w:rPr>
                <w:rFonts w:ascii="Calibri" w:eastAsia="Times New Roman" w:hAnsi="Calibri" w:cs="Calibri"/>
                <w:sz w:val="20"/>
                <w:szCs w:val="20"/>
                <w:lang w:val="en-GB" w:eastAsia="ru-RU"/>
              </w:rPr>
            </w:pPr>
            <w:r w:rsidRPr="00987639">
              <w:rPr>
                <w:rFonts w:ascii="Calibri" w:eastAsia="Times New Roman" w:hAnsi="Calibri" w:cs="Calibri"/>
                <w:sz w:val="20"/>
                <w:szCs w:val="20"/>
                <w:lang w:val="en-GB" w:eastAsia="ru-RU"/>
              </w:rPr>
              <w:t>54</w:t>
            </w:r>
          </w:p>
        </w:tc>
        <w:tc>
          <w:tcPr>
            <w:tcW w:w="1985" w:type="dxa"/>
          </w:tcPr>
          <w:p w14:paraId="1A3D35E7" w14:textId="77777777" w:rsidR="00987639" w:rsidRPr="00987639" w:rsidRDefault="00987639" w:rsidP="00987639">
            <w:pPr>
              <w:spacing w:after="0" w:line="256" w:lineRule="auto"/>
              <w:jc w:val="right"/>
              <w:rPr>
                <w:rFonts w:ascii="Calibri" w:eastAsia="Times New Roman" w:hAnsi="Calibri" w:cs="Calibri"/>
                <w:sz w:val="20"/>
                <w:szCs w:val="20"/>
                <w:lang w:val="en-GB" w:eastAsia="ru-RU"/>
              </w:rPr>
            </w:pPr>
            <w:r w:rsidRPr="00987639">
              <w:rPr>
                <w:rFonts w:ascii="Calibri" w:eastAsia="Times New Roman" w:hAnsi="Calibri" w:cs="Calibri"/>
                <w:sz w:val="20"/>
                <w:szCs w:val="20"/>
                <w:lang w:val="en-GB" w:eastAsia="ru-RU"/>
              </w:rPr>
              <w:t>345</w:t>
            </w:r>
          </w:p>
        </w:tc>
        <w:tc>
          <w:tcPr>
            <w:tcW w:w="2023" w:type="dxa"/>
            <w:vAlign w:val="center"/>
          </w:tcPr>
          <w:p w14:paraId="394991DF" w14:textId="77777777" w:rsidR="00987639" w:rsidRPr="00987639" w:rsidRDefault="00987639" w:rsidP="00987639">
            <w:pPr>
              <w:spacing w:after="0" w:line="256" w:lineRule="auto"/>
              <w:jc w:val="right"/>
              <w:rPr>
                <w:rFonts w:ascii="Calibri" w:eastAsia="Times New Roman" w:hAnsi="Calibri" w:cs="Calibri"/>
                <w:sz w:val="20"/>
                <w:szCs w:val="20"/>
                <w:lang w:val="en-GB" w:eastAsia="ru-RU"/>
              </w:rPr>
            </w:pPr>
            <w:r w:rsidRPr="00987639">
              <w:rPr>
                <w:rFonts w:ascii="Calibri" w:eastAsia="Times New Roman" w:hAnsi="Calibri" w:cs="Calibri"/>
                <w:sz w:val="20"/>
                <w:szCs w:val="20"/>
                <w:lang w:val="en-GB" w:eastAsia="ru-RU"/>
              </w:rPr>
              <w:t>259-451</w:t>
            </w:r>
          </w:p>
        </w:tc>
      </w:tr>
      <w:tr w:rsidR="00987639" w:rsidRPr="00987639" w14:paraId="1338A03B" w14:textId="77777777" w:rsidTr="006050E4">
        <w:trPr>
          <w:trHeight w:val="300"/>
        </w:trPr>
        <w:tc>
          <w:tcPr>
            <w:tcW w:w="1088" w:type="dxa"/>
          </w:tcPr>
          <w:p w14:paraId="501B29F0" w14:textId="77777777" w:rsidR="00987639" w:rsidRPr="00987639" w:rsidRDefault="00987639" w:rsidP="00987639">
            <w:pPr>
              <w:spacing w:after="0" w:line="256" w:lineRule="auto"/>
              <w:rPr>
                <w:rFonts w:ascii="Calibri" w:eastAsia="Times New Roman" w:hAnsi="Calibri" w:cs="Calibri"/>
                <w:sz w:val="20"/>
                <w:szCs w:val="20"/>
                <w:lang w:val="en-GB" w:eastAsia="ru-RU"/>
              </w:rPr>
            </w:pPr>
            <w:r w:rsidRPr="00987639">
              <w:rPr>
                <w:rFonts w:ascii="Calibri" w:eastAsia="Times New Roman" w:hAnsi="Calibri" w:cs="Calibri"/>
                <w:sz w:val="20"/>
                <w:szCs w:val="20"/>
                <w:lang w:val="en-GB" w:eastAsia="ru-RU"/>
              </w:rPr>
              <w:t>80-84</w:t>
            </w:r>
          </w:p>
        </w:tc>
        <w:tc>
          <w:tcPr>
            <w:tcW w:w="1561" w:type="dxa"/>
          </w:tcPr>
          <w:p w14:paraId="3D24CE27" w14:textId="7CCEB9A1" w:rsidR="00987639" w:rsidRPr="00987639" w:rsidRDefault="00987639" w:rsidP="00987639">
            <w:pPr>
              <w:spacing w:after="0" w:line="256" w:lineRule="auto"/>
              <w:jc w:val="right"/>
              <w:rPr>
                <w:rFonts w:ascii="Calibri" w:eastAsia="Times New Roman" w:hAnsi="Calibri" w:cs="Calibri"/>
                <w:sz w:val="20"/>
                <w:szCs w:val="20"/>
                <w:lang w:val="en-GB" w:eastAsia="ru-RU"/>
              </w:rPr>
            </w:pPr>
            <w:r w:rsidRPr="00987639">
              <w:rPr>
                <w:rFonts w:ascii="Calibri" w:eastAsia="Times New Roman" w:hAnsi="Calibri" w:cs="Calibri"/>
                <w:sz w:val="20"/>
                <w:szCs w:val="20"/>
                <w:lang w:val="en-GB" w:eastAsia="ru-RU"/>
              </w:rPr>
              <w:t>11</w:t>
            </w:r>
            <w:r w:rsidR="00902015">
              <w:rPr>
                <w:rFonts w:ascii="Calibri" w:eastAsia="Times New Roman" w:hAnsi="Calibri" w:cs="Calibri"/>
                <w:sz w:val="20"/>
                <w:szCs w:val="20"/>
                <w:lang w:val="en-GB" w:eastAsia="ru-RU"/>
              </w:rPr>
              <w:t>,</w:t>
            </w:r>
            <w:r w:rsidRPr="00987639">
              <w:rPr>
                <w:rFonts w:ascii="Calibri" w:eastAsia="Times New Roman" w:hAnsi="Calibri" w:cs="Calibri"/>
                <w:sz w:val="20"/>
                <w:szCs w:val="20"/>
                <w:lang w:val="en-GB" w:eastAsia="ru-RU"/>
              </w:rPr>
              <w:t>131</w:t>
            </w:r>
          </w:p>
        </w:tc>
        <w:tc>
          <w:tcPr>
            <w:tcW w:w="1560" w:type="dxa"/>
          </w:tcPr>
          <w:p w14:paraId="48059292" w14:textId="77777777" w:rsidR="00987639" w:rsidRPr="00987639" w:rsidRDefault="00987639" w:rsidP="00987639">
            <w:pPr>
              <w:spacing w:after="0" w:line="256" w:lineRule="auto"/>
              <w:jc w:val="right"/>
              <w:rPr>
                <w:rFonts w:ascii="Calibri" w:eastAsia="Times New Roman" w:hAnsi="Calibri" w:cs="Calibri"/>
                <w:sz w:val="20"/>
                <w:szCs w:val="20"/>
                <w:lang w:val="en-GB" w:eastAsia="ru-RU"/>
              </w:rPr>
            </w:pPr>
            <w:r w:rsidRPr="00987639">
              <w:rPr>
                <w:rFonts w:ascii="Calibri" w:eastAsia="Times New Roman" w:hAnsi="Calibri" w:cs="Calibri"/>
                <w:sz w:val="20"/>
                <w:szCs w:val="20"/>
                <w:lang w:val="en-GB" w:eastAsia="ru-RU"/>
              </w:rPr>
              <w:t>54</w:t>
            </w:r>
          </w:p>
        </w:tc>
        <w:tc>
          <w:tcPr>
            <w:tcW w:w="1985" w:type="dxa"/>
          </w:tcPr>
          <w:p w14:paraId="18D4D42B" w14:textId="77777777" w:rsidR="00987639" w:rsidRPr="00987639" w:rsidRDefault="00987639" w:rsidP="00987639">
            <w:pPr>
              <w:spacing w:after="0" w:line="256" w:lineRule="auto"/>
              <w:jc w:val="right"/>
              <w:rPr>
                <w:rFonts w:ascii="Calibri" w:eastAsia="Times New Roman" w:hAnsi="Calibri" w:cs="Calibri"/>
                <w:sz w:val="20"/>
                <w:szCs w:val="20"/>
                <w:lang w:val="en-GB" w:eastAsia="ru-RU"/>
              </w:rPr>
            </w:pPr>
            <w:r w:rsidRPr="00987639">
              <w:rPr>
                <w:rFonts w:ascii="Calibri" w:eastAsia="Times New Roman" w:hAnsi="Calibri" w:cs="Calibri"/>
                <w:sz w:val="20"/>
                <w:szCs w:val="20"/>
                <w:lang w:val="en-GB" w:eastAsia="ru-RU"/>
              </w:rPr>
              <w:t>485</w:t>
            </w:r>
          </w:p>
        </w:tc>
        <w:tc>
          <w:tcPr>
            <w:tcW w:w="2023" w:type="dxa"/>
            <w:vAlign w:val="center"/>
          </w:tcPr>
          <w:p w14:paraId="37DC2307" w14:textId="77777777" w:rsidR="00987639" w:rsidRPr="00987639" w:rsidRDefault="00987639" w:rsidP="00987639">
            <w:pPr>
              <w:spacing w:after="0" w:line="256" w:lineRule="auto"/>
              <w:jc w:val="right"/>
              <w:rPr>
                <w:rFonts w:ascii="Calibri" w:eastAsia="Times New Roman" w:hAnsi="Calibri" w:cs="Calibri"/>
                <w:sz w:val="20"/>
                <w:szCs w:val="20"/>
                <w:lang w:val="en-GB" w:eastAsia="ru-RU"/>
              </w:rPr>
            </w:pPr>
            <w:r w:rsidRPr="00987639">
              <w:rPr>
                <w:rFonts w:ascii="Calibri" w:eastAsia="Times New Roman" w:hAnsi="Calibri" w:cs="Calibri"/>
                <w:sz w:val="20"/>
                <w:szCs w:val="20"/>
                <w:lang w:val="en-GB" w:eastAsia="ru-RU"/>
              </w:rPr>
              <w:t>364-633</w:t>
            </w:r>
          </w:p>
        </w:tc>
      </w:tr>
      <w:tr w:rsidR="00987639" w:rsidRPr="00987639" w14:paraId="1ECB46C8" w14:textId="77777777" w:rsidTr="006050E4">
        <w:trPr>
          <w:trHeight w:val="300"/>
        </w:trPr>
        <w:tc>
          <w:tcPr>
            <w:tcW w:w="1088" w:type="dxa"/>
          </w:tcPr>
          <w:p w14:paraId="7E67C55B" w14:textId="77777777" w:rsidR="00987639" w:rsidRPr="00987639" w:rsidRDefault="00987639" w:rsidP="00987639">
            <w:pPr>
              <w:spacing w:after="0" w:line="256" w:lineRule="auto"/>
              <w:rPr>
                <w:rFonts w:ascii="Calibri" w:eastAsia="Times New Roman" w:hAnsi="Calibri" w:cs="Calibri"/>
                <w:sz w:val="20"/>
                <w:szCs w:val="20"/>
                <w:lang w:val="en-GB" w:eastAsia="ru-RU"/>
              </w:rPr>
            </w:pPr>
            <w:r w:rsidRPr="00987639">
              <w:rPr>
                <w:rFonts w:ascii="Calibri" w:eastAsia="Times New Roman" w:hAnsi="Calibri" w:cs="Calibri"/>
                <w:sz w:val="20"/>
                <w:szCs w:val="20"/>
                <w:lang w:val="en-GB" w:eastAsia="ru-RU"/>
              </w:rPr>
              <w:t>85-89</w:t>
            </w:r>
          </w:p>
        </w:tc>
        <w:tc>
          <w:tcPr>
            <w:tcW w:w="1561" w:type="dxa"/>
          </w:tcPr>
          <w:p w14:paraId="6E0B30A9" w14:textId="21B44F7A" w:rsidR="00987639" w:rsidRPr="00987639" w:rsidRDefault="00987639" w:rsidP="00987639">
            <w:pPr>
              <w:spacing w:after="0" w:line="256" w:lineRule="auto"/>
              <w:jc w:val="right"/>
              <w:rPr>
                <w:rFonts w:ascii="Calibri" w:eastAsia="Times New Roman" w:hAnsi="Calibri" w:cs="Calibri"/>
                <w:sz w:val="20"/>
                <w:szCs w:val="20"/>
                <w:lang w:val="en-GB" w:eastAsia="ru-RU"/>
              </w:rPr>
            </w:pPr>
            <w:r w:rsidRPr="00987639">
              <w:rPr>
                <w:rFonts w:ascii="Calibri" w:eastAsia="Times New Roman" w:hAnsi="Calibri" w:cs="Calibri"/>
                <w:sz w:val="20"/>
                <w:szCs w:val="20"/>
                <w:lang w:val="en-GB" w:eastAsia="ru-RU"/>
              </w:rPr>
              <w:t>4</w:t>
            </w:r>
            <w:r w:rsidR="00902015">
              <w:rPr>
                <w:rFonts w:ascii="Calibri" w:eastAsia="Times New Roman" w:hAnsi="Calibri" w:cs="Calibri"/>
                <w:sz w:val="20"/>
                <w:szCs w:val="20"/>
                <w:lang w:val="en-GB" w:eastAsia="ru-RU"/>
              </w:rPr>
              <w:t>,</w:t>
            </w:r>
            <w:r w:rsidRPr="00987639">
              <w:rPr>
                <w:rFonts w:ascii="Calibri" w:eastAsia="Times New Roman" w:hAnsi="Calibri" w:cs="Calibri"/>
                <w:sz w:val="20"/>
                <w:szCs w:val="20"/>
                <w:lang w:val="en-GB" w:eastAsia="ru-RU"/>
              </w:rPr>
              <w:t>832</w:t>
            </w:r>
          </w:p>
        </w:tc>
        <w:tc>
          <w:tcPr>
            <w:tcW w:w="1560" w:type="dxa"/>
          </w:tcPr>
          <w:p w14:paraId="3E56C64B" w14:textId="77777777" w:rsidR="00987639" w:rsidRPr="00987639" w:rsidRDefault="00987639" w:rsidP="00987639">
            <w:pPr>
              <w:spacing w:after="0" w:line="256" w:lineRule="auto"/>
              <w:jc w:val="right"/>
              <w:rPr>
                <w:rFonts w:ascii="Calibri" w:eastAsia="Times New Roman" w:hAnsi="Calibri" w:cs="Calibri"/>
                <w:sz w:val="20"/>
                <w:szCs w:val="20"/>
                <w:lang w:val="en-GB" w:eastAsia="ru-RU"/>
              </w:rPr>
            </w:pPr>
            <w:r w:rsidRPr="00987639">
              <w:rPr>
                <w:rFonts w:ascii="Calibri" w:eastAsia="Times New Roman" w:hAnsi="Calibri" w:cs="Calibri"/>
                <w:sz w:val="20"/>
                <w:szCs w:val="20"/>
                <w:lang w:val="en-GB" w:eastAsia="ru-RU"/>
              </w:rPr>
              <w:t>53</w:t>
            </w:r>
          </w:p>
        </w:tc>
        <w:tc>
          <w:tcPr>
            <w:tcW w:w="1985" w:type="dxa"/>
          </w:tcPr>
          <w:p w14:paraId="220211AD" w14:textId="77777777" w:rsidR="00987639" w:rsidRPr="00987639" w:rsidRDefault="00987639" w:rsidP="00987639">
            <w:pPr>
              <w:spacing w:after="0" w:line="256" w:lineRule="auto"/>
              <w:jc w:val="right"/>
              <w:rPr>
                <w:rFonts w:ascii="Calibri" w:eastAsia="Times New Roman" w:hAnsi="Calibri" w:cs="Calibri"/>
                <w:sz w:val="20"/>
                <w:szCs w:val="20"/>
                <w:lang w:val="en-GB" w:eastAsia="ru-RU"/>
              </w:rPr>
            </w:pPr>
            <w:r w:rsidRPr="00987639">
              <w:rPr>
                <w:rFonts w:ascii="Calibri" w:eastAsia="Times New Roman" w:hAnsi="Calibri" w:cs="Calibri"/>
                <w:sz w:val="20"/>
                <w:szCs w:val="20"/>
                <w:lang w:val="en-GB" w:eastAsia="ru-RU"/>
              </w:rPr>
              <w:t>1097</w:t>
            </w:r>
          </w:p>
        </w:tc>
        <w:tc>
          <w:tcPr>
            <w:tcW w:w="2023" w:type="dxa"/>
            <w:vAlign w:val="center"/>
          </w:tcPr>
          <w:p w14:paraId="446CD8F0" w14:textId="77777777" w:rsidR="00987639" w:rsidRPr="00987639" w:rsidRDefault="00987639" w:rsidP="00987639">
            <w:pPr>
              <w:spacing w:after="0" w:line="256" w:lineRule="auto"/>
              <w:jc w:val="right"/>
              <w:rPr>
                <w:rFonts w:ascii="Calibri" w:eastAsia="Times New Roman" w:hAnsi="Calibri" w:cs="Calibri"/>
                <w:sz w:val="20"/>
                <w:szCs w:val="20"/>
                <w:lang w:val="en-GB" w:eastAsia="ru-RU"/>
              </w:rPr>
            </w:pPr>
            <w:r w:rsidRPr="00987639">
              <w:rPr>
                <w:rFonts w:ascii="Calibri" w:eastAsia="Times New Roman" w:hAnsi="Calibri" w:cs="Calibri"/>
                <w:sz w:val="20"/>
                <w:szCs w:val="20"/>
                <w:lang w:val="en-GB" w:eastAsia="ru-RU"/>
              </w:rPr>
              <w:t>822-1435</w:t>
            </w:r>
          </w:p>
        </w:tc>
      </w:tr>
      <w:tr w:rsidR="002425EA" w:rsidRPr="00987639" w14:paraId="7483A57F" w14:textId="77777777" w:rsidTr="006050E4">
        <w:trPr>
          <w:trHeight w:val="300"/>
        </w:trPr>
        <w:tc>
          <w:tcPr>
            <w:tcW w:w="1088" w:type="dxa"/>
          </w:tcPr>
          <w:p w14:paraId="77672717" w14:textId="4D5D41CA" w:rsidR="002425EA" w:rsidRPr="00987639" w:rsidRDefault="002425EA" w:rsidP="002425EA">
            <w:pPr>
              <w:spacing w:after="0" w:line="256" w:lineRule="auto"/>
              <w:rPr>
                <w:rFonts w:ascii="Calibri" w:eastAsia="Times New Roman" w:hAnsi="Calibri" w:cs="Calibri"/>
                <w:sz w:val="20"/>
                <w:szCs w:val="20"/>
                <w:lang w:val="en-GB" w:eastAsia="ru-RU"/>
              </w:rPr>
            </w:pPr>
            <w:r>
              <w:rPr>
                <w:rFonts w:ascii="Calibri" w:eastAsia="Times New Roman" w:hAnsi="Calibri" w:cs="Calibri"/>
                <w:sz w:val="20"/>
                <w:szCs w:val="20"/>
                <w:lang w:val="en-GB" w:eastAsia="ru-RU"/>
              </w:rPr>
              <w:t>90+</w:t>
            </w:r>
          </w:p>
        </w:tc>
        <w:tc>
          <w:tcPr>
            <w:tcW w:w="1561" w:type="dxa"/>
          </w:tcPr>
          <w:p w14:paraId="4B53A5A6" w14:textId="76580AD5" w:rsidR="002425EA" w:rsidRPr="00987639" w:rsidRDefault="002425EA" w:rsidP="002425EA">
            <w:pPr>
              <w:spacing w:after="0" w:line="256" w:lineRule="auto"/>
              <w:jc w:val="right"/>
              <w:rPr>
                <w:rFonts w:ascii="Calibri" w:eastAsia="Times New Roman" w:hAnsi="Calibri" w:cs="Calibri"/>
                <w:sz w:val="20"/>
                <w:szCs w:val="20"/>
                <w:lang w:val="en-GB" w:eastAsia="ru-RU"/>
              </w:rPr>
            </w:pPr>
            <w:r>
              <w:rPr>
                <w:rFonts w:ascii="Calibri" w:eastAsia="Times New Roman" w:hAnsi="Calibri" w:cs="Calibri"/>
                <w:sz w:val="20"/>
                <w:szCs w:val="20"/>
                <w:lang w:val="en-GB" w:eastAsia="ru-RU"/>
              </w:rPr>
              <w:t>1292</w:t>
            </w:r>
          </w:p>
        </w:tc>
        <w:tc>
          <w:tcPr>
            <w:tcW w:w="1560" w:type="dxa"/>
          </w:tcPr>
          <w:p w14:paraId="6306BABA" w14:textId="06037D04" w:rsidR="002425EA" w:rsidRPr="00987639" w:rsidRDefault="002425EA" w:rsidP="002425EA">
            <w:pPr>
              <w:spacing w:after="0" w:line="256" w:lineRule="auto"/>
              <w:jc w:val="right"/>
              <w:rPr>
                <w:rFonts w:ascii="Calibri" w:eastAsia="Times New Roman" w:hAnsi="Calibri" w:cs="Calibri"/>
                <w:sz w:val="20"/>
                <w:szCs w:val="20"/>
                <w:lang w:val="en-GB" w:eastAsia="ru-RU"/>
              </w:rPr>
            </w:pPr>
            <w:r>
              <w:rPr>
                <w:rFonts w:ascii="Calibri" w:eastAsia="Times New Roman" w:hAnsi="Calibri" w:cs="Calibri"/>
                <w:sz w:val="20"/>
                <w:szCs w:val="20"/>
                <w:lang w:val="en-GB" w:eastAsia="ru-RU"/>
              </w:rPr>
              <w:t>23</w:t>
            </w:r>
          </w:p>
        </w:tc>
        <w:tc>
          <w:tcPr>
            <w:tcW w:w="1985" w:type="dxa"/>
          </w:tcPr>
          <w:p w14:paraId="14366137" w14:textId="75D4EE55" w:rsidR="002425EA" w:rsidRPr="00987639" w:rsidRDefault="002425EA" w:rsidP="002425EA">
            <w:pPr>
              <w:spacing w:after="0" w:line="256" w:lineRule="auto"/>
              <w:jc w:val="right"/>
              <w:rPr>
                <w:rFonts w:ascii="Calibri" w:eastAsia="Times New Roman" w:hAnsi="Calibri" w:cs="Calibri"/>
                <w:sz w:val="20"/>
                <w:szCs w:val="20"/>
                <w:lang w:val="en-GB" w:eastAsia="ru-RU"/>
              </w:rPr>
            </w:pPr>
            <w:r>
              <w:rPr>
                <w:rFonts w:ascii="Calibri" w:eastAsia="Times New Roman" w:hAnsi="Calibri" w:cs="Calibri"/>
                <w:sz w:val="20"/>
                <w:szCs w:val="20"/>
                <w:lang w:val="en-GB" w:eastAsia="ru-RU"/>
              </w:rPr>
              <w:t>1780</w:t>
            </w:r>
          </w:p>
        </w:tc>
        <w:tc>
          <w:tcPr>
            <w:tcW w:w="2023" w:type="dxa"/>
            <w:vAlign w:val="center"/>
          </w:tcPr>
          <w:p w14:paraId="053C4730" w14:textId="0B320E49" w:rsidR="002425EA" w:rsidRPr="00987639" w:rsidRDefault="002425EA" w:rsidP="002425EA">
            <w:pPr>
              <w:spacing w:after="0" w:line="256" w:lineRule="auto"/>
              <w:jc w:val="right"/>
              <w:rPr>
                <w:rFonts w:ascii="Calibri" w:eastAsia="Times New Roman" w:hAnsi="Calibri" w:cs="Calibri"/>
                <w:sz w:val="20"/>
                <w:szCs w:val="20"/>
                <w:lang w:val="en-GB" w:eastAsia="ru-RU"/>
              </w:rPr>
            </w:pPr>
            <w:r>
              <w:rPr>
                <w:rFonts w:ascii="Calibri" w:eastAsia="Times New Roman" w:hAnsi="Calibri" w:cs="Calibri"/>
                <w:sz w:val="20"/>
                <w:szCs w:val="20"/>
                <w:lang w:val="en-GB" w:eastAsia="ru-RU"/>
              </w:rPr>
              <w:t>1128-2672</w:t>
            </w:r>
          </w:p>
        </w:tc>
      </w:tr>
      <w:tr w:rsidR="00987639" w:rsidRPr="00987639" w14:paraId="258F5683" w14:textId="77777777" w:rsidTr="006050E4">
        <w:trPr>
          <w:trHeight w:val="300"/>
        </w:trPr>
        <w:tc>
          <w:tcPr>
            <w:tcW w:w="1088" w:type="dxa"/>
          </w:tcPr>
          <w:p w14:paraId="0BDD1783" w14:textId="77777777" w:rsidR="00987639" w:rsidRPr="00987639" w:rsidRDefault="00987639" w:rsidP="00987639">
            <w:pPr>
              <w:spacing w:after="0" w:line="256" w:lineRule="auto"/>
              <w:rPr>
                <w:rFonts w:ascii="Calibri" w:eastAsia="Times New Roman" w:hAnsi="Calibri" w:cs="Calibri"/>
                <w:sz w:val="20"/>
                <w:szCs w:val="20"/>
                <w:lang w:val="en-GB" w:eastAsia="ru-RU"/>
              </w:rPr>
            </w:pPr>
            <w:r w:rsidRPr="00987639">
              <w:rPr>
                <w:rFonts w:ascii="Calibri" w:eastAsia="Times New Roman" w:hAnsi="Calibri" w:cs="Calibri"/>
                <w:sz w:val="20"/>
                <w:szCs w:val="20"/>
                <w:lang w:val="en-GB" w:eastAsia="ru-RU"/>
              </w:rPr>
              <w:t>40+</w:t>
            </w:r>
          </w:p>
        </w:tc>
        <w:tc>
          <w:tcPr>
            <w:tcW w:w="1561" w:type="dxa"/>
          </w:tcPr>
          <w:p w14:paraId="3BDBBEE7" w14:textId="175C7279" w:rsidR="00987639" w:rsidRPr="00987639" w:rsidRDefault="00987639" w:rsidP="00987639">
            <w:pPr>
              <w:spacing w:after="0" w:line="256" w:lineRule="auto"/>
              <w:jc w:val="right"/>
              <w:rPr>
                <w:rFonts w:ascii="Calibri" w:eastAsia="Times New Roman" w:hAnsi="Calibri" w:cs="Calibri"/>
                <w:sz w:val="20"/>
                <w:szCs w:val="20"/>
                <w:lang w:val="en-GB" w:eastAsia="ru-RU"/>
              </w:rPr>
            </w:pPr>
            <w:r w:rsidRPr="00987639">
              <w:rPr>
                <w:rFonts w:ascii="Calibri" w:eastAsia="Times New Roman" w:hAnsi="Calibri" w:cs="Calibri"/>
                <w:sz w:val="20"/>
                <w:szCs w:val="20"/>
                <w:lang w:val="en-GB" w:eastAsia="ru-RU"/>
              </w:rPr>
              <w:t>219</w:t>
            </w:r>
            <w:r w:rsidR="001A51EC">
              <w:rPr>
                <w:rFonts w:ascii="Calibri" w:eastAsia="Times New Roman" w:hAnsi="Calibri" w:cs="Calibri"/>
                <w:sz w:val="20"/>
                <w:szCs w:val="20"/>
                <w:lang w:val="en-GB" w:eastAsia="ru-RU"/>
              </w:rPr>
              <w:t>,</w:t>
            </w:r>
            <w:r w:rsidRPr="00987639">
              <w:rPr>
                <w:rFonts w:ascii="Calibri" w:eastAsia="Times New Roman" w:hAnsi="Calibri" w:cs="Calibri"/>
                <w:sz w:val="20"/>
                <w:szCs w:val="20"/>
                <w:lang w:val="en-GB" w:eastAsia="ru-RU"/>
              </w:rPr>
              <w:t>106</w:t>
            </w:r>
          </w:p>
        </w:tc>
        <w:tc>
          <w:tcPr>
            <w:tcW w:w="1560" w:type="dxa"/>
          </w:tcPr>
          <w:p w14:paraId="7837743D" w14:textId="77777777" w:rsidR="00987639" w:rsidRPr="00987639" w:rsidRDefault="00987639" w:rsidP="00987639">
            <w:pPr>
              <w:spacing w:after="0" w:line="256" w:lineRule="auto"/>
              <w:jc w:val="right"/>
              <w:rPr>
                <w:rFonts w:ascii="Calibri" w:eastAsia="Times New Roman" w:hAnsi="Calibri" w:cs="Calibri"/>
                <w:sz w:val="20"/>
                <w:szCs w:val="20"/>
                <w:lang w:val="en-GB" w:eastAsia="ru-RU"/>
              </w:rPr>
            </w:pPr>
            <w:r w:rsidRPr="00987639">
              <w:rPr>
                <w:rFonts w:ascii="Calibri" w:eastAsia="Times New Roman" w:hAnsi="Calibri" w:cs="Calibri"/>
                <w:sz w:val="20"/>
                <w:szCs w:val="20"/>
                <w:lang w:val="en-GB" w:eastAsia="ru-RU"/>
              </w:rPr>
              <w:t>367</w:t>
            </w:r>
          </w:p>
        </w:tc>
        <w:tc>
          <w:tcPr>
            <w:tcW w:w="1985" w:type="dxa"/>
          </w:tcPr>
          <w:p w14:paraId="02733D94" w14:textId="77777777" w:rsidR="00987639" w:rsidRPr="00987639" w:rsidRDefault="00987639" w:rsidP="00987639">
            <w:pPr>
              <w:spacing w:after="0" w:line="256" w:lineRule="auto"/>
              <w:jc w:val="right"/>
              <w:rPr>
                <w:rFonts w:ascii="Calibri" w:eastAsia="Times New Roman" w:hAnsi="Calibri" w:cs="Calibri"/>
                <w:sz w:val="20"/>
                <w:szCs w:val="20"/>
                <w:lang w:val="en-GB" w:eastAsia="ru-RU"/>
              </w:rPr>
            </w:pPr>
            <w:r w:rsidRPr="00987639">
              <w:rPr>
                <w:rFonts w:ascii="Calibri" w:eastAsia="Times New Roman" w:hAnsi="Calibri" w:cs="Calibri"/>
                <w:sz w:val="20"/>
                <w:szCs w:val="20"/>
                <w:lang w:val="en-GB" w:eastAsia="ru-RU"/>
              </w:rPr>
              <w:t>167</w:t>
            </w:r>
          </w:p>
        </w:tc>
        <w:tc>
          <w:tcPr>
            <w:tcW w:w="2023" w:type="dxa"/>
            <w:vAlign w:val="center"/>
          </w:tcPr>
          <w:p w14:paraId="1A0DFC28" w14:textId="77777777" w:rsidR="00987639" w:rsidRPr="00987639" w:rsidRDefault="00987639" w:rsidP="00987639">
            <w:pPr>
              <w:spacing w:after="0" w:line="256" w:lineRule="auto"/>
              <w:jc w:val="right"/>
              <w:rPr>
                <w:rFonts w:ascii="Calibri" w:eastAsia="Times New Roman" w:hAnsi="Calibri" w:cs="Calibri"/>
                <w:sz w:val="20"/>
                <w:szCs w:val="20"/>
                <w:lang w:val="en-GB" w:eastAsia="ru-RU"/>
              </w:rPr>
            </w:pPr>
            <w:r w:rsidRPr="00987639">
              <w:rPr>
                <w:rFonts w:ascii="Calibri" w:eastAsia="Times New Roman" w:hAnsi="Calibri" w:cs="Calibri"/>
                <w:sz w:val="20"/>
                <w:szCs w:val="20"/>
                <w:lang w:val="en-GB" w:eastAsia="ru-RU"/>
              </w:rPr>
              <w:t>151-186</w:t>
            </w:r>
          </w:p>
        </w:tc>
      </w:tr>
      <w:tr w:rsidR="00987639" w:rsidRPr="00987639" w14:paraId="125F653B" w14:textId="77777777" w:rsidTr="006050E4">
        <w:trPr>
          <w:trHeight w:val="300"/>
        </w:trPr>
        <w:tc>
          <w:tcPr>
            <w:tcW w:w="1088" w:type="dxa"/>
            <w:vAlign w:val="center"/>
            <w:hideMark/>
          </w:tcPr>
          <w:p w14:paraId="06F6B11E" w14:textId="77777777" w:rsidR="00987639" w:rsidRPr="00987639" w:rsidRDefault="00987639" w:rsidP="00987639">
            <w:pPr>
              <w:spacing w:after="0" w:line="256" w:lineRule="auto"/>
              <w:rPr>
                <w:rFonts w:ascii="Calibri" w:eastAsia="Times New Roman" w:hAnsi="Calibri" w:cs="Calibri"/>
                <w:i/>
                <w:sz w:val="20"/>
                <w:szCs w:val="20"/>
                <w:lang w:val="en-GB" w:eastAsia="ru-RU"/>
              </w:rPr>
            </w:pPr>
            <w:r w:rsidRPr="00987639">
              <w:rPr>
                <w:rFonts w:ascii="Calibri" w:eastAsia="Times New Roman" w:hAnsi="Calibri" w:cs="Calibri"/>
                <w:i/>
                <w:sz w:val="20"/>
                <w:szCs w:val="20"/>
                <w:lang w:val="en-GB" w:eastAsia="ru-RU"/>
              </w:rPr>
              <w:t>Women</w:t>
            </w:r>
          </w:p>
        </w:tc>
        <w:tc>
          <w:tcPr>
            <w:tcW w:w="1561" w:type="dxa"/>
            <w:vAlign w:val="center"/>
          </w:tcPr>
          <w:p w14:paraId="40F570FD" w14:textId="77777777" w:rsidR="00987639" w:rsidRPr="00987639" w:rsidRDefault="00987639" w:rsidP="00987639">
            <w:pPr>
              <w:spacing w:after="0" w:line="256" w:lineRule="auto"/>
              <w:jc w:val="right"/>
              <w:rPr>
                <w:rFonts w:ascii="Calibri" w:eastAsia="Times New Roman" w:hAnsi="Calibri" w:cs="Calibri"/>
                <w:sz w:val="20"/>
                <w:szCs w:val="20"/>
                <w:lang w:val="en-GB" w:eastAsia="ru-RU"/>
              </w:rPr>
            </w:pPr>
          </w:p>
        </w:tc>
        <w:tc>
          <w:tcPr>
            <w:tcW w:w="1560" w:type="dxa"/>
            <w:vAlign w:val="center"/>
          </w:tcPr>
          <w:p w14:paraId="22FC7061" w14:textId="77777777" w:rsidR="00987639" w:rsidRPr="00987639" w:rsidRDefault="00987639" w:rsidP="00987639">
            <w:pPr>
              <w:spacing w:after="0" w:line="256" w:lineRule="auto"/>
              <w:jc w:val="right"/>
              <w:rPr>
                <w:rFonts w:ascii="Calibri" w:eastAsia="Times New Roman" w:hAnsi="Calibri" w:cs="Calibri"/>
                <w:sz w:val="20"/>
                <w:szCs w:val="20"/>
                <w:lang w:val="en-GB" w:eastAsia="ru-RU"/>
              </w:rPr>
            </w:pPr>
          </w:p>
        </w:tc>
        <w:tc>
          <w:tcPr>
            <w:tcW w:w="1985" w:type="dxa"/>
            <w:vAlign w:val="bottom"/>
          </w:tcPr>
          <w:p w14:paraId="4970043E" w14:textId="77777777" w:rsidR="00987639" w:rsidRPr="00987639" w:rsidRDefault="00987639" w:rsidP="00987639">
            <w:pPr>
              <w:spacing w:after="0" w:line="256" w:lineRule="auto"/>
              <w:jc w:val="right"/>
              <w:rPr>
                <w:rFonts w:ascii="Calibri" w:eastAsia="Times New Roman" w:hAnsi="Calibri" w:cs="Calibri"/>
                <w:sz w:val="20"/>
                <w:szCs w:val="20"/>
                <w:lang w:val="en-GB" w:eastAsia="ru-RU"/>
              </w:rPr>
            </w:pPr>
          </w:p>
        </w:tc>
        <w:tc>
          <w:tcPr>
            <w:tcW w:w="2023" w:type="dxa"/>
            <w:vAlign w:val="center"/>
          </w:tcPr>
          <w:p w14:paraId="695F918B" w14:textId="77777777" w:rsidR="00987639" w:rsidRPr="00987639" w:rsidRDefault="00987639" w:rsidP="00987639">
            <w:pPr>
              <w:spacing w:after="0" w:line="256" w:lineRule="auto"/>
              <w:jc w:val="right"/>
              <w:rPr>
                <w:rFonts w:ascii="Calibri" w:eastAsia="Times New Roman" w:hAnsi="Calibri" w:cs="Calibri"/>
                <w:sz w:val="20"/>
                <w:szCs w:val="20"/>
                <w:lang w:val="en-GB" w:eastAsia="ru-RU"/>
              </w:rPr>
            </w:pPr>
          </w:p>
        </w:tc>
      </w:tr>
      <w:tr w:rsidR="00987639" w:rsidRPr="00987639" w14:paraId="6706383C" w14:textId="77777777" w:rsidTr="006050E4">
        <w:trPr>
          <w:trHeight w:val="300"/>
        </w:trPr>
        <w:tc>
          <w:tcPr>
            <w:tcW w:w="1088" w:type="dxa"/>
            <w:hideMark/>
          </w:tcPr>
          <w:p w14:paraId="70BB32D7" w14:textId="77777777" w:rsidR="00987639" w:rsidRPr="00987639" w:rsidRDefault="00987639" w:rsidP="00987639">
            <w:pPr>
              <w:spacing w:after="0" w:line="256" w:lineRule="auto"/>
              <w:rPr>
                <w:rFonts w:ascii="Calibri" w:eastAsia="Times New Roman" w:hAnsi="Calibri" w:cs="Calibri"/>
                <w:sz w:val="20"/>
                <w:szCs w:val="20"/>
                <w:lang w:val="en-GB" w:eastAsia="ru-RU"/>
              </w:rPr>
            </w:pPr>
            <w:r w:rsidRPr="00987639">
              <w:rPr>
                <w:rFonts w:ascii="Calibri" w:eastAsia="Times New Roman" w:hAnsi="Calibri" w:cs="Calibri"/>
                <w:sz w:val="20"/>
                <w:szCs w:val="20"/>
                <w:lang w:val="en-GB" w:eastAsia="ru-RU"/>
              </w:rPr>
              <w:t>40-44</w:t>
            </w:r>
          </w:p>
        </w:tc>
        <w:tc>
          <w:tcPr>
            <w:tcW w:w="1561" w:type="dxa"/>
          </w:tcPr>
          <w:p w14:paraId="589A5AF7" w14:textId="0C0C2400" w:rsidR="00987639" w:rsidRPr="00987639" w:rsidRDefault="00987639" w:rsidP="00987639">
            <w:pPr>
              <w:spacing w:after="0" w:line="256" w:lineRule="auto"/>
              <w:jc w:val="right"/>
              <w:rPr>
                <w:rFonts w:ascii="Calibri" w:eastAsia="Times New Roman" w:hAnsi="Calibri" w:cs="Calibri"/>
                <w:sz w:val="20"/>
                <w:szCs w:val="20"/>
                <w:lang w:val="en-GB" w:eastAsia="ru-RU"/>
              </w:rPr>
            </w:pPr>
            <w:r w:rsidRPr="00987639">
              <w:rPr>
                <w:rFonts w:ascii="Calibri" w:eastAsia="Times New Roman" w:hAnsi="Calibri" w:cs="Calibri"/>
                <w:sz w:val="20"/>
                <w:szCs w:val="20"/>
                <w:lang w:val="en-GB" w:eastAsia="ru-RU"/>
              </w:rPr>
              <w:t>28</w:t>
            </w:r>
            <w:r w:rsidR="001A51EC">
              <w:rPr>
                <w:rFonts w:ascii="Calibri" w:eastAsia="Times New Roman" w:hAnsi="Calibri" w:cs="Calibri"/>
                <w:sz w:val="20"/>
                <w:szCs w:val="20"/>
                <w:lang w:val="en-GB" w:eastAsia="ru-RU"/>
              </w:rPr>
              <w:t>,</w:t>
            </w:r>
            <w:r w:rsidRPr="00987639">
              <w:rPr>
                <w:rFonts w:ascii="Calibri" w:eastAsia="Times New Roman" w:hAnsi="Calibri" w:cs="Calibri"/>
                <w:sz w:val="20"/>
                <w:szCs w:val="20"/>
                <w:lang w:val="en-GB" w:eastAsia="ru-RU"/>
              </w:rPr>
              <w:t>069</w:t>
            </w:r>
          </w:p>
        </w:tc>
        <w:tc>
          <w:tcPr>
            <w:tcW w:w="1560" w:type="dxa"/>
          </w:tcPr>
          <w:p w14:paraId="34A08F1F" w14:textId="77777777" w:rsidR="00987639" w:rsidRPr="00987639" w:rsidRDefault="00987639" w:rsidP="00987639">
            <w:pPr>
              <w:spacing w:after="0" w:line="256" w:lineRule="auto"/>
              <w:jc w:val="right"/>
              <w:rPr>
                <w:rFonts w:ascii="Calibri" w:eastAsia="Times New Roman" w:hAnsi="Calibri" w:cs="Calibri"/>
                <w:sz w:val="20"/>
                <w:szCs w:val="20"/>
                <w:lang w:val="en-GB" w:eastAsia="ru-RU"/>
              </w:rPr>
            </w:pPr>
            <w:r w:rsidRPr="00987639">
              <w:rPr>
                <w:rFonts w:ascii="Calibri" w:eastAsia="Times New Roman" w:hAnsi="Calibri" w:cs="Calibri"/>
                <w:sz w:val="20"/>
                <w:szCs w:val="20"/>
                <w:lang w:val="en-GB" w:eastAsia="ru-RU"/>
              </w:rPr>
              <w:t>3</w:t>
            </w:r>
          </w:p>
        </w:tc>
        <w:tc>
          <w:tcPr>
            <w:tcW w:w="1985" w:type="dxa"/>
          </w:tcPr>
          <w:p w14:paraId="0E9F667D" w14:textId="77777777" w:rsidR="00987639" w:rsidRPr="00987639" w:rsidRDefault="00987639" w:rsidP="00987639">
            <w:pPr>
              <w:spacing w:after="0" w:line="256" w:lineRule="auto"/>
              <w:jc w:val="right"/>
              <w:rPr>
                <w:rFonts w:ascii="Calibri" w:eastAsia="Times New Roman" w:hAnsi="Calibri" w:cs="Calibri"/>
                <w:sz w:val="20"/>
                <w:szCs w:val="20"/>
                <w:lang w:val="en-GB" w:eastAsia="ru-RU"/>
              </w:rPr>
            </w:pPr>
            <w:r w:rsidRPr="00987639">
              <w:rPr>
                <w:rFonts w:ascii="Calibri" w:eastAsia="Times New Roman" w:hAnsi="Calibri" w:cs="Calibri"/>
                <w:sz w:val="20"/>
                <w:szCs w:val="20"/>
                <w:lang w:val="en-GB" w:eastAsia="ru-RU"/>
              </w:rPr>
              <w:t>11</w:t>
            </w:r>
          </w:p>
        </w:tc>
        <w:tc>
          <w:tcPr>
            <w:tcW w:w="2023" w:type="dxa"/>
            <w:vAlign w:val="center"/>
          </w:tcPr>
          <w:p w14:paraId="142B952A" w14:textId="77777777" w:rsidR="00987639" w:rsidRPr="00987639" w:rsidRDefault="00987639" w:rsidP="00987639">
            <w:pPr>
              <w:spacing w:after="0" w:line="256" w:lineRule="auto"/>
              <w:jc w:val="right"/>
              <w:rPr>
                <w:rFonts w:ascii="Calibri" w:eastAsia="Times New Roman" w:hAnsi="Calibri" w:cs="Calibri"/>
                <w:sz w:val="20"/>
                <w:szCs w:val="20"/>
                <w:lang w:val="en-GB" w:eastAsia="ru-RU"/>
              </w:rPr>
            </w:pPr>
            <w:r w:rsidRPr="00987639">
              <w:rPr>
                <w:rFonts w:ascii="Calibri" w:eastAsia="Times New Roman" w:hAnsi="Calibri" w:cs="Calibri"/>
                <w:sz w:val="20"/>
                <w:szCs w:val="20"/>
                <w:lang w:val="en-GB" w:eastAsia="ru-RU"/>
              </w:rPr>
              <w:t>2-31</w:t>
            </w:r>
          </w:p>
        </w:tc>
      </w:tr>
      <w:tr w:rsidR="00987639" w:rsidRPr="00987639" w14:paraId="27A8BE01" w14:textId="77777777" w:rsidTr="006050E4">
        <w:trPr>
          <w:trHeight w:val="300"/>
        </w:trPr>
        <w:tc>
          <w:tcPr>
            <w:tcW w:w="1088" w:type="dxa"/>
            <w:hideMark/>
          </w:tcPr>
          <w:p w14:paraId="74A836AD" w14:textId="77777777" w:rsidR="00987639" w:rsidRPr="00987639" w:rsidRDefault="00987639" w:rsidP="00987639">
            <w:pPr>
              <w:spacing w:after="0" w:line="256" w:lineRule="auto"/>
              <w:rPr>
                <w:rFonts w:ascii="Calibri" w:eastAsia="Times New Roman" w:hAnsi="Calibri" w:cs="Calibri"/>
                <w:sz w:val="20"/>
                <w:szCs w:val="20"/>
                <w:lang w:val="en-GB" w:eastAsia="ru-RU"/>
              </w:rPr>
            </w:pPr>
            <w:r w:rsidRPr="00987639">
              <w:rPr>
                <w:rFonts w:ascii="Calibri" w:eastAsia="Times New Roman" w:hAnsi="Calibri" w:cs="Calibri"/>
                <w:sz w:val="20"/>
                <w:szCs w:val="20"/>
                <w:lang w:val="en-GB" w:eastAsia="ru-RU"/>
              </w:rPr>
              <w:t>45-49</w:t>
            </w:r>
          </w:p>
        </w:tc>
        <w:tc>
          <w:tcPr>
            <w:tcW w:w="1561" w:type="dxa"/>
          </w:tcPr>
          <w:p w14:paraId="744685BA" w14:textId="48CDC0F5" w:rsidR="00987639" w:rsidRPr="00987639" w:rsidRDefault="00987639" w:rsidP="00987639">
            <w:pPr>
              <w:spacing w:after="0" w:line="256" w:lineRule="auto"/>
              <w:jc w:val="right"/>
              <w:rPr>
                <w:rFonts w:ascii="Calibri" w:eastAsia="Times New Roman" w:hAnsi="Calibri" w:cs="Calibri"/>
                <w:sz w:val="20"/>
                <w:szCs w:val="20"/>
                <w:lang w:val="en-GB" w:eastAsia="ru-RU"/>
              </w:rPr>
            </w:pPr>
            <w:r w:rsidRPr="00987639">
              <w:rPr>
                <w:rFonts w:ascii="Calibri" w:eastAsia="Times New Roman" w:hAnsi="Calibri" w:cs="Calibri"/>
                <w:sz w:val="20"/>
                <w:szCs w:val="20"/>
                <w:lang w:val="en-GB" w:eastAsia="ru-RU"/>
              </w:rPr>
              <w:t>26</w:t>
            </w:r>
            <w:r w:rsidR="001A51EC">
              <w:rPr>
                <w:rFonts w:ascii="Calibri" w:eastAsia="Times New Roman" w:hAnsi="Calibri" w:cs="Calibri"/>
                <w:sz w:val="20"/>
                <w:szCs w:val="20"/>
                <w:lang w:val="en-GB" w:eastAsia="ru-RU"/>
              </w:rPr>
              <w:t>,</w:t>
            </w:r>
            <w:r w:rsidRPr="00987639">
              <w:rPr>
                <w:rFonts w:ascii="Calibri" w:eastAsia="Times New Roman" w:hAnsi="Calibri" w:cs="Calibri"/>
                <w:sz w:val="20"/>
                <w:szCs w:val="20"/>
                <w:lang w:val="en-GB" w:eastAsia="ru-RU"/>
              </w:rPr>
              <w:t>998</w:t>
            </w:r>
          </w:p>
        </w:tc>
        <w:tc>
          <w:tcPr>
            <w:tcW w:w="1560" w:type="dxa"/>
          </w:tcPr>
          <w:p w14:paraId="50852C93" w14:textId="77777777" w:rsidR="00987639" w:rsidRPr="00987639" w:rsidRDefault="00987639" w:rsidP="00987639">
            <w:pPr>
              <w:spacing w:after="0" w:line="256" w:lineRule="auto"/>
              <w:jc w:val="right"/>
              <w:rPr>
                <w:rFonts w:ascii="Calibri" w:eastAsia="Times New Roman" w:hAnsi="Calibri" w:cs="Calibri"/>
                <w:sz w:val="20"/>
                <w:szCs w:val="20"/>
                <w:lang w:val="en-GB" w:eastAsia="ru-RU"/>
              </w:rPr>
            </w:pPr>
            <w:r w:rsidRPr="00987639">
              <w:rPr>
                <w:rFonts w:ascii="Calibri" w:eastAsia="Times New Roman" w:hAnsi="Calibri" w:cs="Calibri"/>
                <w:sz w:val="20"/>
                <w:szCs w:val="20"/>
                <w:lang w:val="en-GB" w:eastAsia="ru-RU"/>
              </w:rPr>
              <w:t>7</w:t>
            </w:r>
          </w:p>
        </w:tc>
        <w:tc>
          <w:tcPr>
            <w:tcW w:w="1985" w:type="dxa"/>
          </w:tcPr>
          <w:p w14:paraId="200BF4EC" w14:textId="77777777" w:rsidR="00987639" w:rsidRPr="00987639" w:rsidRDefault="00987639" w:rsidP="00987639">
            <w:pPr>
              <w:spacing w:after="0" w:line="256" w:lineRule="auto"/>
              <w:jc w:val="right"/>
              <w:rPr>
                <w:rFonts w:ascii="Calibri" w:eastAsia="Times New Roman" w:hAnsi="Calibri" w:cs="Calibri"/>
                <w:sz w:val="20"/>
                <w:szCs w:val="20"/>
                <w:lang w:val="en-GB" w:eastAsia="ru-RU"/>
              </w:rPr>
            </w:pPr>
            <w:r w:rsidRPr="00987639">
              <w:rPr>
                <w:rFonts w:ascii="Calibri" w:eastAsia="Times New Roman" w:hAnsi="Calibri" w:cs="Calibri"/>
                <w:sz w:val="20"/>
                <w:szCs w:val="20"/>
                <w:lang w:val="en-GB" w:eastAsia="ru-RU"/>
              </w:rPr>
              <w:t>26</w:t>
            </w:r>
          </w:p>
        </w:tc>
        <w:tc>
          <w:tcPr>
            <w:tcW w:w="2023" w:type="dxa"/>
            <w:vAlign w:val="center"/>
          </w:tcPr>
          <w:p w14:paraId="05BFBC55" w14:textId="77777777" w:rsidR="00987639" w:rsidRPr="00987639" w:rsidRDefault="00987639" w:rsidP="00987639">
            <w:pPr>
              <w:spacing w:after="0" w:line="256" w:lineRule="auto"/>
              <w:jc w:val="right"/>
              <w:rPr>
                <w:rFonts w:ascii="Calibri" w:eastAsia="Times New Roman" w:hAnsi="Calibri" w:cs="Calibri"/>
                <w:sz w:val="20"/>
                <w:szCs w:val="20"/>
                <w:lang w:val="en-GB" w:eastAsia="ru-RU"/>
              </w:rPr>
            </w:pPr>
            <w:r w:rsidRPr="00987639">
              <w:rPr>
                <w:rFonts w:ascii="Calibri" w:eastAsia="Times New Roman" w:hAnsi="Calibri" w:cs="Calibri"/>
                <w:sz w:val="20"/>
                <w:szCs w:val="20"/>
                <w:lang w:val="en-GB" w:eastAsia="ru-RU"/>
              </w:rPr>
              <w:t>10-53</w:t>
            </w:r>
          </w:p>
        </w:tc>
      </w:tr>
      <w:tr w:rsidR="00987639" w:rsidRPr="00987639" w14:paraId="1766E088" w14:textId="77777777" w:rsidTr="006050E4">
        <w:trPr>
          <w:trHeight w:val="300"/>
        </w:trPr>
        <w:tc>
          <w:tcPr>
            <w:tcW w:w="1088" w:type="dxa"/>
            <w:hideMark/>
          </w:tcPr>
          <w:p w14:paraId="0F8DFDE3" w14:textId="77777777" w:rsidR="00987639" w:rsidRPr="00987639" w:rsidRDefault="00987639" w:rsidP="00987639">
            <w:pPr>
              <w:spacing w:after="0" w:line="256" w:lineRule="auto"/>
              <w:rPr>
                <w:rFonts w:ascii="Calibri" w:eastAsia="Times New Roman" w:hAnsi="Calibri" w:cs="Calibri"/>
                <w:sz w:val="20"/>
                <w:szCs w:val="20"/>
                <w:lang w:val="en-GB" w:eastAsia="ru-RU"/>
              </w:rPr>
            </w:pPr>
            <w:r w:rsidRPr="00987639">
              <w:rPr>
                <w:rFonts w:ascii="Calibri" w:eastAsia="Times New Roman" w:hAnsi="Calibri" w:cs="Calibri"/>
                <w:sz w:val="20"/>
                <w:szCs w:val="20"/>
                <w:lang w:val="en-GB" w:eastAsia="ru-RU"/>
              </w:rPr>
              <w:t>50-54</w:t>
            </w:r>
          </w:p>
        </w:tc>
        <w:tc>
          <w:tcPr>
            <w:tcW w:w="1561" w:type="dxa"/>
          </w:tcPr>
          <w:p w14:paraId="5551B8EB" w14:textId="1870503F" w:rsidR="00987639" w:rsidRPr="00987639" w:rsidRDefault="00987639" w:rsidP="00987639">
            <w:pPr>
              <w:spacing w:after="0" w:line="256" w:lineRule="auto"/>
              <w:jc w:val="right"/>
              <w:rPr>
                <w:rFonts w:ascii="Calibri" w:eastAsia="Times New Roman" w:hAnsi="Calibri" w:cs="Calibri"/>
                <w:sz w:val="20"/>
                <w:szCs w:val="20"/>
                <w:lang w:val="en-GB" w:eastAsia="ru-RU"/>
              </w:rPr>
            </w:pPr>
            <w:r w:rsidRPr="00987639">
              <w:rPr>
                <w:rFonts w:ascii="Calibri" w:eastAsia="Times New Roman" w:hAnsi="Calibri" w:cs="Calibri"/>
                <w:sz w:val="20"/>
                <w:szCs w:val="20"/>
                <w:lang w:val="en-GB" w:eastAsia="ru-RU"/>
              </w:rPr>
              <w:t>27</w:t>
            </w:r>
            <w:r w:rsidR="001A51EC">
              <w:rPr>
                <w:rFonts w:ascii="Calibri" w:eastAsia="Times New Roman" w:hAnsi="Calibri" w:cs="Calibri"/>
                <w:sz w:val="20"/>
                <w:szCs w:val="20"/>
                <w:lang w:val="en-GB" w:eastAsia="ru-RU"/>
              </w:rPr>
              <w:t>,</w:t>
            </w:r>
            <w:r w:rsidRPr="00987639">
              <w:rPr>
                <w:rFonts w:ascii="Calibri" w:eastAsia="Times New Roman" w:hAnsi="Calibri" w:cs="Calibri"/>
                <w:sz w:val="20"/>
                <w:szCs w:val="20"/>
                <w:lang w:val="en-GB" w:eastAsia="ru-RU"/>
              </w:rPr>
              <w:t>768</w:t>
            </w:r>
          </w:p>
        </w:tc>
        <w:tc>
          <w:tcPr>
            <w:tcW w:w="1560" w:type="dxa"/>
          </w:tcPr>
          <w:p w14:paraId="3B2FE5D7" w14:textId="77777777" w:rsidR="00987639" w:rsidRPr="00987639" w:rsidRDefault="00987639" w:rsidP="00987639">
            <w:pPr>
              <w:spacing w:after="0" w:line="256" w:lineRule="auto"/>
              <w:jc w:val="right"/>
              <w:rPr>
                <w:rFonts w:ascii="Calibri" w:eastAsia="Times New Roman" w:hAnsi="Calibri" w:cs="Calibri"/>
                <w:sz w:val="20"/>
                <w:szCs w:val="20"/>
                <w:lang w:val="en-GB" w:eastAsia="ru-RU"/>
              </w:rPr>
            </w:pPr>
            <w:r w:rsidRPr="00987639">
              <w:rPr>
                <w:rFonts w:ascii="Calibri" w:eastAsia="Times New Roman" w:hAnsi="Calibri" w:cs="Calibri"/>
                <w:sz w:val="20"/>
                <w:szCs w:val="20"/>
                <w:lang w:val="en-GB" w:eastAsia="ru-RU"/>
              </w:rPr>
              <w:t>12</w:t>
            </w:r>
          </w:p>
        </w:tc>
        <w:tc>
          <w:tcPr>
            <w:tcW w:w="1985" w:type="dxa"/>
          </w:tcPr>
          <w:p w14:paraId="3791341C" w14:textId="77777777" w:rsidR="00987639" w:rsidRPr="00987639" w:rsidRDefault="00987639" w:rsidP="00987639">
            <w:pPr>
              <w:spacing w:after="0" w:line="256" w:lineRule="auto"/>
              <w:jc w:val="right"/>
              <w:rPr>
                <w:rFonts w:ascii="Calibri" w:eastAsia="Times New Roman" w:hAnsi="Calibri" w:cs="Calibri"/>
                <w:sz w:val="20"/>
                <w:szCs w:val="20"/>
                <w:lang w:val="en-GB" w:eastAsia="ru-RU"/>
              </w:rPr>
            </w:pPr>
            <w:r w:rsidRPr="00987639">
              <w:rPr>
                <w:rFonts w:ascii="Calibri" w:eastAsia="Times New Roman" w:hAnsi="Calibri" w:cs="Calibri"/>
                <w:sz w:val="20"/>
                <w:szCs w:val="20"/>
                <w:lang w:val="en-GB" w:eastAsia="ru-RU"/>
              </w:rPr>
              <w:t>43</w:t>
            </w:r>
          </w:p>
        </w:tc>
        <w:tc>
          <w:tcPr>
            <w:tcW w:w="2023" w:type="dxa"/>
            <w:vAlign w:val="center"/>
          </w:tcPr>
          <w:p w14:paraId="5888E931" w14:textId="77777777" w:rsidR="00987639" w:rsidRPr="00987639" w:rsidRDefault="00987639" w:rsidP="00987639">
            <w:pPr>
              <w:spacing w:after="0" w:line="256" w:lineRule="auto"/>
              <w:jc w:val="right"/>
              <w:rPr>
                <w:rFonts w:ascii="Calibri" w:eastAsia="Times New Roman" w:hAnsi="Calibri" w:cs="Calibri"/>
                <w:sz w:val="20"/>
                <w:szCs w:val="20"/>
                <w:lang w:val="en-GB" w:eastAsia="ru-RU"/>
              </w:rPr>
            </w:pPr>
            <w:r w:rsidRPr="00987639">
              <w:rPr>
                <w:rFonts w:ascii="Calibri" w:eastAsia="Times New Roman" w:hAnsi="Calibri" w:cs="Calibri"/>
                <w:sz w:val="20"/>
                <w:szCs w:val="20"/>
                <w:lang w:val="en-GB" w:eastAsia="ru-RU"/>
              </w:rPr>
              <w:t>22-76</w:t>
            </w:r>
          </w:p>
        </w:tc>
      </w:tr>
      <w:tr w:rsidR="00987639" w:rsidRPr="00987639" w14:paraId="2D2D3286" w14:textId="77777777" w:rsidTr="006050E4">
        <w:trPr>
          <w:trHeight w:val="300"/>
        </w:trPr>
        <w:tc>
          <w:tcPr>
            <w:tcW w:w="1088" w:type="dxa"/>
            <w:hideMark/>
          </w:tcPr>
          <w:p w14:paraId="60C0922D" w14:textId="77777777" w:rsidR="00987639" w:rsidRPr="00987639" w:rsidRDefault="00987639" w:rsidP="00987639">
            <w:pPr>
              <w:spacing w:after="0" w:line="256" w:lineRule="auto"/>
              <w:rPr>
                <w:rFonts w:ascii="Calibri" w:eastAsia="Times New Roman" w:hAnsi="Calibri" w:cs="Calibri"/>
                <w:sz w:val="20"/>
                <w:szCs w:val="20"/>
                <w:lang w:val="en-GB" w:eastAsia="ru-RU"/>
              </w:rPr>
            </w:pPr>
            <w:r w:rsidRPr="00987639">
              <w:rPr>
                <w:rFonts w:ascii="Calibri" w:eastAsia="Times New Roman" w:hAnsi="Calibri" w:cs="Calibri"/>
                <w:sz w:val="20"/>
                <w:szCs w:val="20"/>
                <w:lang w:val="en-GB" w:eastAsia="ru-RU"/>
              </w:rPr>
              <w:t>55-59</w:t>
            </w:r>
          </w:p>
        </w:tc>
        <w:tc>
          <w:tcPr>
            <w:tcW w:w="1561" w:type="dxa"/>
          </w:tcPr>
          <w:p w14:paraId="56B4C135" w14:textId="27C3412D" w:rsidR="00987639" w:rsidRPr="00987639" w:rsidRDefault="00987639" w:rsidP="00987639">
            <w:pPr>
              <w:spacing w:after="0" w:line="256" w:lineRule="auto"/>
              <w:jc w:val="right"/>
              <w:rPr>
                <w:rFonts w:ascii="Calibri" w:eastAsia="Times New Roman" w:hAnsi="Calibri" w:cs="Calibri"/>
                <w:sz w:val="20"/>
                <w:szCs w:val="20"/>
                <w:lang w:val="en-GB" w:eastAsia="ru-RU"/>
              </w:rPr>
            </w:pPr>
            <w:r w:rsidRPr="00987639">
              <w:rPr>
                <w:rFonts w:ascii="Calibri" w:eastAsia="Times New Roman" w:hAnsi="Calibri" w:cs="Calibri"/>
                <w:sz w:val="20"/>
                <w:szCs w:val="20"/>
                <w:lang w:val="en-GB" w:eastAsia="ru-RU"/>
              </w:rPr>
              <w:t>30</w:t>
            </w:r>
            <w:r w:rsidR="001A51EC">
              <w:rPr>
                <w:rFonts w:ascii="Calibri" w:eastAsia="Times New Roman" w:hAnsi="Calibri" w:cs="Calibri"/>
                <w:sz w:val="20"/>
                <w:szCs w:val="20"/>
                <w:lang w:val="en-GB" w:eastAsia="ru-RU"/>
              </w:rPr>
              <w:t>,</w:t>
            </w:r>
            <w:r w:rsidRPr="00987639">
              <w:rPr>
                <w:rFonts w:ascii="Calibri" w:eastAsia="Times New Roman" w:hAnsi="Calibri" w:cs="Calibri"/>
                <w:sz w:val="20"/>
                <w:szCs w:val="20"/>
                <w:lang w:val="en-GB" w:eastAsia="ru-RU"/>
              </w:rPr>
              <w:t>383</w:t>
            </w:r>
          </w:p>
        </w:tc>
        <w:tc>
          <w:tcPr>
            <w:tcW w:w="1560" w:type="dxa"/>
          </w:tcPr>
          <w:p w14:paraId="6F64E791" w14:textId="77777777" w:rsidR="00987639" w:rsidRPr="00987639" w:rsidRDefault="00987639" w:rsidP="00987639">
            <w:pPr>
              <w:spacing w:after="0" w:line="256" w:lineRule="auto"/>
              <w:jc w:val="right"/>
              <w:rPr>
                <w:rFonts w:ascii="Calibri" w:eastAsia="Times New Roman" w:hAnsi="Calibri" w:cs="Calibri"/>
                <w:sz w:val="20"/>
                <w:szCs w:val="20"/>
                <w:lang w:val="en-GB" w:eastAsia="ru-RU"/>
              </w:rPr>
            </w:pPr>
            <w:r w:rsidRPr="00987639">
              <w:rPr>
                <w:rFonts w:ascii="Calibri" w:eastAsia="Times New Roman" w:hAnsi="Calibri" w:cs="Calibri"/>
                <w:sz w:val="20"/>
                <w:szCs w:val="20"/>
                <w:lang w:val="en-GB" w:eastAsia="ru-RU"/>
              </w:rPr>
              <w:t>24</w:t>
            </w:r>
          </w:p>
        </w:tc>
        <w:tc>
          <w:tcPr>
            <w:tcW w:w="1985" w:type="dxa"/>
          </w:tcPr>
          <w:p w14:paraId="0D14934D" w14:textId="77777777" w:rsidR="00987639" w:rsidRPr="00987639" w:rsidRDefault="00987639" w:rsidP="00987639">
            <w:pPr>
              <w:spacing w:after="0" w:line="256" w:lineRule="auto"/>
              <w:jc w:val="right"/>
              <w:rPr>
                <w:rFonts w:ascii="Calibri" w:eastAsia="Times New Roman" w:hAnsi="Calibri" w:cs="Calibri"/>
                <w:sz w:val="20"/>
                <w:szCs w:val="20"/>
                <w:lang w:val="en-GB" w:eastAsia="ru-RU"/>
              </w:rPr>
            </w:pPr>
            <w:r w:rsidRPr="00987639">
              <w:rPr>
                <w:rFonts w:ascii="Calibri" w:eastAsia="Times New Roman" w:hAnsi="Calibri" w:cs="Calibri"/>
                <w:sz w:val="20"/>
                <w:szCs w:val="20"/>
                <w:lang w:val="en-GB" w:eastAsia="ru-RU"/>
              </w:rPr>
              <w:t>79</w:t>
            </w:r>
          </w:p>
        </w:tc>
        <w:tc>
          <w:tcPr>
            <w:tcW w:w="2023" w:type="dxa"/>
            <w:vAlign w:val="center"/>
          </w:tcPr>
          <w:p w14:paraId="69639A8E" w14:textId="77777777" w:rsidR="00987639" w:rsidRPr="00987639" w:rsidRDefault="00987639" w:rsidP="00987639">
            <w:pPr>
              <w:spacing w:after="0" w:line="256" w:lineRule="auto"/>
              <w:jc w:val="right"/>
              <w:rPr>
                <w:rFonts w:ascii="Calibri" w:eastAsia="Times New Roman" w:hAnsi="Calibri" w:cs="Calibri"/>
                <w:sz w:val="20"/>
                <w:szCs w:val="20"/>
                <w:lang w:val="en-GB" w:eastAsia="ru-RU"/>
              </w:rPr>
            </w:pPr>
            <w:r w:rsidRPr="00987639">
              <w:rPr>
                <w:rFonts w:ascii="Calibri" w:eastAsia="Times New Roman" w:hAnsi="Calibri" w:cs="Calibri"/>
                <w:sz w:val="20"/>
                <w:szCs w:val="20"/>
                <w:lang w:val="en-GB" w:eastAsia="ru-RU"/>
              </w:rPr>
              <w:t>51-118</w:t>
            </w:r>
          </w:p>
        </w:tc>
      </w:tr>
      <w:tr w:rsidR="00987639" w:rsidRPr="00987639" w14:paraId="1D8D67E2" w14:textId="77777777" w:rsidTr="006050E4">
        <w:trPr>
          <w:trHeight w:val="300"/>
        </w:trPr>
        <w:tc>
          <w:tcPr>
            <w:tcW w:w="1088" w:type="dxa"/>
            <w:hideMark/>
          </w:tcPr>
          <w:p w14:paraId="39F7F89A" w14:textId="77777777" w:rsidR="00987639" w:rsidRPr="00987639" w:rsidRDefault="00987639" w:rsidP="00987639">
            <w:pPr>
              <w:spacing w:after="0" w:line="256" w:lineRule="auto"/>
              <w:rPr>
                <w:rFonts w:ascii="Calibri" w:eastAsia="Times New Roman" w:hAnsi="Calibri" w:cs="Calibri"/>
                <w:sz w:val="20"/>
                <w:szCs w:val="20"/>
                <w:lang w:val="en-GB" w:eastAsia="ru-RU"/>
              </w:rPr>
            </w:pPr>
            <w:r w:rsidRPr="00987639">
              <w:rPr>
                <w:rFonts w:ascii="Calibri" w:eastAsia="Times New Roman" w:hAnsi="Calibri" w:cs="Calibri"/>
                <w:sz w:val="20"/>
                <w:szCs w:val="20"/>
                <w:lang w:val="en-GB" w:eastAsia="ru-RU"/>
              </w:rPr>
              <w:t>60-64</w:t>
            </w:r>
          </w:p>
        </w:tc>
        <w:tc>
          <w:tcPr>
            <w:tcW w:w="1561" w:type="dxa"/>
          </w:tcPr>
          <w:p w14:paraId="7908EF14" w14:textId="08A82F59" w:rsidR="00987639" w:rsidRPr="00987639" w:rsidRDefault="00987639" w:rsidP="00987639">
            <w:pPr>
              <w:spacing w:after="0" w:line="256" w:lineRule="auto"/>
              <w:jc w:val="right"/>
              <w:rPr>
                <w:rFonts w:ascii="Calibri" w:eastAsia="Times New Roman" w:hAnsi="Calibri" w:cs="Calibri"/>
                <w:sz w:val="20"/>
                <w:szCs w:val="20"/>
                <w:lang w:val="en-GB" w:eastAsia="ru-RU"/>
              </w:rPr>
            </w:pPr>
            <w:r w:rsidRPr="00987639">
              <w:rPr>
                <w:rFonts w:ascii="Calibri" w:eastAsia="Times New Roman" w:hAnsi="Calibri" w:cs="Calibri"/>
                <w:sz w:val="20"/>
                <w:szCs w:val="20"/>
                <w:lang w:val="en-GB" w:eastAsia="ru-RU"/>
              </w:rPr>
              <w:t>34</w:t>
            </w:r>
            <w:r w:rsidR="001A51EC">
              <w:rPr>
                <w:rFonts w:ascii="Calibri" w:eastAsia="Times New Roman" w:hAnsi="Calibri" w:cs="Calibri"/>
                <w:sz w:val="20"/>
                <w:szCs w:val="20"/>
                <w:lang w:val="en-GB" w:eastAsia="ru-RU"/>
              </w:rPr>
              <w:t>,</w:t>
            </w:r>
            <w:r w:rsidRPr="00987639">
              <w:rPr>
                <w:rFonts w:ascii="Calibri" w:eastAsia="Times New Roman" w:hAnsi="Calibri" w:cs="Calibri"/>
                <w:sz w:val="20"/>
                <w:szCs w:val="20"/>
                <w:lang w:val="en-GB" w:eastAsia="ru-RU"/>
              </w:rPr>
              <w:t>907</w:t>
            </w:r>
          </w:p>
        </w:tc>
        <w:tc>
          <w:tcPr>
            <w:tcW w:w="1560" w:type="dxa"/>
          </w:tcPr>
          <w:p w14:paraId="66C8C8E0" w14:textId="77777777" w:rsidR="00987639" w:rsidRPr="00987639" w:rsidRDefault="00987639" w:rsidP="00987639">
            <w:pPr>
              <w:spacing w:after="0" w:line="256" w:lineRule="auto"/>
              <w:jc w:val="right"/>
              <w:rPr>
                <w:rFonts w:ascii="Calibri" w:eastAsia="Times New Roman" w:hAnsi="Calibri" w:cs="Calibri"/>
                <w:sz w:val="20"/>
                <w:szCs w:val="20"/>
                <w:lang w:val="en-GB" w:eastAsia="ru-RU"/>
              </w:rPr>
            </w:pPr>
            <w:r w:rsidRPr="00987639">
              <w:rPr>
                <w:rFonts w:ascii="Calibri" w:eastAsia="Times New Roman" w:hAnsi="Calibri" w:cs="Calibri"/>
                <w:sz w:val="20"/>
                <w:szCs w:val="20"/>
                <w:lang w:val="en-GB" w:eastAsia="ru-RU"/>
              </w:rPr>
              <w:t>36</w:t>
            </w:r>
          </w:p>
        </w:tc>
        <w:tc>
          <w:tcPr>
            <w:tcW w:w="1985" w:type="dxa"/>
          </w:tcPr>
          <w:p w14:paraId="3FCF27E5" w14:textId="77777777" w:rsidR="00987639" w:rsidRPr="00987639" w:rsidRDefault="00987639" w:rsidP="00987639">
            <w:pPr>
              <w:spacing w:after="0" w:line="256" w:lineRule="auto"/>
              <w:jc w:val="right"/>
              <w:rPr>
                <w:rFonts w:ascii="Calibri" w:eastAsia="Times New Roman" w:hAnsi="Calibri" w:cs="Calibri"/>
                <w:sz w:val="20"/>
                <w:szCs w:val="20"/>
                <w:lang w:val="en-GB" w:eastAsia="ru-RU"/>
              </w:rPr>
            </w:pPr>
            <w:r w:rsidRPr="00987639">
              <w:rPr>
                <w:rFonts w:ascii="Calibri" w:eastAsia="Times New Roman" w:hAnsi="Calibri" w:cs="Calibri"/>
                <w:sz w:val="20"/>
                <w:szCs w:val="20"/>
                <w:lang w:val="en-GB" w:eastAsia="ru-RU"/>
              </w:rPr>
              <w:t>103</w:t>
            </w:r>
          </w:p>
        </w:tc>
        <w:tc>
          <w:tcPr>
            <w:tcW w:w="2023" w:type="dxa"/>
            <w:vAlign w:val="center"/>
          </w:tcPr>
          <w:p w14:paraId="093A52F6" w14:textId="77777777" w:rsidR="00987639" w:rsidRPr="00987639" w:rsidRDefault="00987639" w:rsidP="00987639">
            <w:pPr>
              <w:spacing w:after="0" w:line="256" w:lineRule="auto"/>
              <w:jc w:val="right"/>
              <w:rPr>
                <w:rFonts w:ascii="Calibri" w:eastAsia="Times New Roman" w:hAnsi="Calibri" w:cs="Calibri"/>
                <w:sz w:val="20"/>
                <w:szCs w:val="20"/>
                <w:lang w:val="en-GB" w:eastAsia="ru-RU"/>
              </w:rPr>
            </w:pPr>
            <w:r w:rsidRPr="00987639">
              <w:rPr>
                <w:rFonts w:ascii="Calibri" w:eastAsia="Times New Roman" w:hAnsi="Calibri" w:cs="Calibri"/>
                <w:sz w:val="20"/>
                <w:szCs w:val="20"/>
                <w:lang w:val="en-GB" w:eastAsia="ru-RU"/>
              </w:rPr>
              <w:t>72-143</w:t>
            </w:r>
          </w:p>
        </w:tc>
      </w:tr>
      <w:tr w:rsidR="00987639" w:rsidRPr="00987639" w14:paraId="62C30237" w14:textId="77777777" w:rsidTr="006050E4">
        <w:trPr>
          <w:trHeight w:val="300"/>
        </w:trPr>
        <w:tc>
          <w:tcPr>
            <w:tcW w:w="1088" w:type="dxa"/>
          </w:tcPr>
          <w:p w14:paraId="54D70BA3" w14:textId="77777777" w:rsidR="00987639" w:rsidRPr="00987639" w:rsidRDefault="00987639" w:rsidP="00987639">
            <w:pPr>
              <w:spacing w:after="0" w:line="256" w:lineRule="auto"/>
              <w:rPr>
                <w:rFonts w:ascii="Calibri" w:eastAsia="Times New Roman" w:hAnsi="Calibri" w:cs="Calibri"/>
                <w:sz w:val="20"/>
                <w:szCs w:val="20"/>
                <w:lang w:val="en-GB" w:eastAsia="ru-RU"/>
              </w:rPr>
            </w:pPr>
            <w:r w:rsidRPr="00987639">
              <w:rPr>
                <w:rFonts w:ascii="Calibri" w:eastAsia="Times New Roman" w:hAnsi="Calibri" w:cs="Calibri"/>
                <w:sz w:val="20"/>
                <w:szCs w:val="20"/>
                <w:lang w:val="en-GB" w:eastAsia="ru-RU"/>
              </w:rPr>
              <w:t>65-69</w:t>
            </w:r>
          </w:p>
        </w:tc>
        <w:tc>
          <w:tcPr>
            <w:tcW w:w="1561" w:type="dxa"/>
          </w:tcPr>
          <w:p w14:paraId="58E65171" w14:textId="372D0E33" w:rsidR="00987639" w:rsidRPr="00987639" w:rsidRDefault="00987639" w:rsidP="00987639">
            <w:pPr>
              <w:spacing w:after="0" w:line="256" w:lineRule="auto"/>
              <w:jc w:val="right"/>
              <w:rPr>
                <w:rFonts w:ascii="Calibri" w:eastAsia="Times New Roman" w:hAnsi="Calibri" w:cs="Calibri"/>
                <w:sz w:val="20"/>
                <w:szCs w:val="20"/>
                <w:lang w:val="en-GB" w:eastAsia="ru-RU"/>
              </w:rPr>
            </w:pPr>
            <w:r w:rsidRPr="00987639">
              <w:rPr>
                <w:rFonts w:ascii="Calibri" w:eastAsia="Times New Roman" w:hAnsi="Calibri" w:cs="Calibri"/>
                <w:sz w:val="20"/>
                <w:szCs w:val="20"/>
                <w:lang w:val="en-GB" w:eastAsia="ru-RU"/>
              </w:rPr>
              <w:t>38</w:t>
            </w:r>
            <w:r w:rsidR="001A51EC">
              <w:rPr>
                <w:rFonts w:ascii="Calibri" w:eastAsia="Times New Roman" w:hAnsi="Calibri" w:cs="Calibri"/>
                <w:sz w:val="20"/>
                <w:szCs w:val="20"/>
                <w:lang w:val="en-GB" w:eastAsia="ru-RU"/>
              </w:rPr>
              <w:t>,</w:t>
            </w:r>
            <w:r w:rsidRPr="00987639">
              <w:rPr>
                <w:rFonts w:ascii="Calibri" w:eastAsia="Times New Roman" w:hAnsi="Calibri" w:cs="Calibri"/>
                <w:sz w:val="20"/>
                <w:szCs w:val="20"/>
                <w:lang w:val="en-GB" w:eastAsia="ru-RU"/>
              </w:rPr>
              <w:t>011</w:t>
            </w:r>
          </w:p>
        </w:tc>
        <w:tc>
          <w:tcPr>
            <w:tcW w:w="1560" w:type="dxa"/>
          </w:tcPr>
          <w:p w14:paraId="16CF451A" w14:textId="77777777" w:rsidR="00987639" w:rsidRPr="00987639" w:rsidRDefault="00987639" w:rsidP="00987639">
            <w:pPr>
              <w:spacing w:after="0" w:line="256" w:lineRule="auto"/>
              <w:jc w:val="right"/>
              <w:rPr>
                <w:rFonts w:ascii="Calibri" w:eastAsia="Times New Roman" w:hAnsi="Calibri" w:cs="Calibri"/>
                <w:sz w:val="20"/>
                <w:szCs w:val="20"/>
                <w:lang w:val="en-GB" w:eastAsia="ru-RU"/>
              </w:rPr>
            </w:pPr>
            <w:r w:rsidRPr="00987639">
              <w:rPr>
                <w:rFonts w:ascii="Calibri" w:eastAsia="Times New Roman" w:hAnsi="Calibri" w:cs="Calibri"/>
                <w:sz w:val="20"/>
                <w:szCs w:val="20"/>
                <w:lang w:val="en-GB" w:eastAsia="ru-RU"/>
              </w:rPr>
              <w:t>60</w:t>
            </w:r>
          </w:p>
        </w:tc>
        <w:tc>
          <w:tcPr>
            <w:tcW w:w="1985" w:type="dxa"/>
          </w:tcPr>
          <w:p w14:paraId="289AC340" w14:textId="77777777" w:rsidR="00987639" w:rsidRPr="00987639" w:rsidRDefault="00987639" w:rsidP="00987639">
            <w:pPr>
              <w:spacing w:after="0" w:line="256" w:lineRule="auto"/>
              <w:jc w:val="right"/>
              <w:rPr>
                <w:rFonts w:ascii="Calibri" w:eastAsia="Times New Roman" w:hAnsi="Calibri" w:cs="Calibri"/>
                <w:sz w:val="20"/>
                <w:szCs w:val="20"/>
                <w:lang w:val="en-GB" w:eastAsia="ru-RU"/>
              </w:rPr>
            </w:pPr>
            <w:r w:rsidRPr="00987639">
              <w:rPr>
                <w:rFonts w:ascii="Calibri" w:eastAsia="Times New Roman" w:hAnsi="Calibri" w:cs="Calibri"/>
                <w:sz w:val="20"/>
                <w:szCs w:val="20"/>
                <w:lang w:val="en-GB" w:eastAsia="ru-RU"/>
              </w:rPr>
              <w:t>158</w:t>
            </w:r>
          </w:p>
        </w:tc>
        <w:tc>
          <w:tcPr>
            <w:tcW w:w="2023" w:type="dxa"/>
            <w:vAlign w:val="center"/>
          </w:tcPr>
          <w:p w14:paraId="544128B1" w14:textId="77777777" w:rsidR="00987639" w:rsidRPr="00987639" w:rsidRDefault="00987639" w:rsidP="00987639">
            <w:pPr>
              <w:spacing w:after="0" w:line="256" w:lineRule="auto"/>
              <w:jc w:val="right"/>
              <w:rPr>
                <w:rFonts w:ascii="Calibri" w:eastAsia="Times New Roman" w:hAnsi="Calibri" w:cs="Calibri"/>
                <w:sz w:val="20"/>
                <w:szCs w:val="20"/>
                <w:lang w:val="en-GB" w:eastAsia="ru-RU"/>
              </w:rPr>
            </w:pPr>
            <w:r w:rsidRPr="00987639">
              <w:rPr>
                <w:rFonts w:ascii="Calibri" w:eastAsia="Times New Roman" w:hAnsi="Calibri" w:cs="Calibri"/>
                <w:sz w:val="20"/>
                <w:szCs w:val="20"/>
                <w:lang w:val="en-GB" w:eastAsia="ru-RU"/>
              </w:rPr>
              <w:t>120-203</w:t>
            </w:r>
          </w:p>
        </w:tc>
      </w:tr>
      <w:tr w:rsidR="00987639" w:rsidRPr="00987639" w14:paraId="4BAE79B7" w14:textId="77777777" w:rsidTr="006050E4">
        <w:trPr>
          <w:trHeight w:val="300"/>
        </w:trPr>
        <w:tc>
          <w:tcPr>
            <w:tcW w:w="1088" w:type="dxa"/>
          </w:tcPr>
          <w:p w14:paraId="6E38D1BE" w14:textId="77777777" w:rsidR="00987639" w:rsidRPr="00987639" w:rsidRDefault="00987639" w:rsidP="00987639">
            <w:pPr>
              <w:spacing w:after="0" w:line="256" w:lineRule="auto"/>
              <w:rPr>
                <w:rFonts w:ascii="Calibri" w:eastAsia="Times New Roman" w:hAnsi="Calibri" w:cs="Calibri"/>
                <w:sz w:val="20"/>
                <w:szCs w:val="20"/>
                <w:lang w:val="en-GB" w:eastAsia="ru-RU"/>
              </w:rPr>
            </w:pPr>
            <w:r w:rsidRPr="00987639">
              <w:rPr>
                <w:rFonts w:ascii="Calibri" w:eastAsia="Times New Roman" w:hAnsi="Calibri" w:cs="Calibri"/>
                <w:sz w:val="20"/>
                <w:szCs w:val="20"/>
                <w:lang w:val="en-GB" w:eastAsia="ru-RU"/>
              </w:rPr>
              <w:t>70-74</w:t>
            </w:r>
          </w:p>
        </w:tc>
        <w:tc>
          <w:tcPr>
            <w:tcW w:w="1561" w:type="dxa"/>
          </w:tcPr>
          <w:p w14:paraId="14D35718" w14:textId="56867C17" w:rsidR="00987639" w:rsidRPr="00987639" w:rsidRDefault="00987639" w:rsidP="00987639">
            <w:pPr>
              <w:spacing w:after="0" w:line="256" w:lineRule="auto"/>
              <w:jc w:val="right"/>
              <w:rPr>
                <w:rFonts w:ascii="Calibri" w:eastAsia="Times New Roman" w:hAnsi="Calibri" w:cs="Calibri"/>
                <w:sz w:val="20"/>
                <w:szCs w:val="20"/>
                <w:lang w:val="en-GB" w:eastAsia="ru-RU"/>
              </w:rPr>
            </w:pPr>
            <w:r w:rsidRPr="00987639">
              <w:rPr>
                <w:rFonts w:ascii="Calibri" w:eastAsia="Times New Roman" w:hAnsi="Calibri" w:cs="Calibri"/>
                <w:sz w:val="20"/>
                <w:szCs w:val="20"/>
                <w:lang w:val="en-GB" w:eastAsia="ru-RU"/>
              </w:rPr>
              <w:t>30</w:t>
            </w:r>
            <w:r w:rsidR="001A51EC">
              <w:rPr>
                <w:rFonts w:ascii="Calibri" w:eastAsia="Times New Roman" w:hAnsi="Calibri" w:cs="Calibri"/>
                <w:sz w:val="20"/>
                <w:szCs w:val="20"/>
                <w:lang w:val="en-GB" w:eastAsia="ru-RU"/>
              </w:rPr>
              <w:t>,</w:t>
            </w:r>
            <w:r w:rsidRPr="00987639">
              <w:rPr>
                <w:rFonts w:ascii="Calibri" w:eastAsia="Times New Roman" w:hAnsi="Calibri" w:cs="Calibri"/>
                <w:sz w:val="20"/>
                <w:szCs w:val="20"/>
                <w:lang w:val="en-GB" w:eastAsia="ru-RU"/>
              </w:rPr>
              <w:t>842</w:t>
            </w:r>
          </w:p>
        </w:tc>
        <w:tc>
          <w:tcPr>
            <w:tcW w:w="1560" w:type="dxa"/>
          </w:tcPr>
          <w:p w14:paraId="0AC0EAF2" w14:textId="77777777" w:rsidR="00987639" w:rsidRPr="00987639" w:rsidRDefault="00987639" w:rsidP="00987639">
            <w:pPr>
              <w:spacing w:after="0" w:line="256" w:lineRule="auto"/>
              <w:jc w:val="right"/>
              <w:rPr>
                <w:rFonts w:ascii="Calibri" w:eastAsia="Times New Roman" w:hAnsi="Calibri" w:cs="Calibri"/>
                <w:sz w:val="20"/>
                <w:szCs w:val="20"/>
                <w:lang w:val="en-GB" w:eastAsia="ru-RU"/>
              </w:rPr>
            </w:pPr>
            <w:r w:rsidRPr="00987639">
              <w:rPr>
                <w:rFonts w:ascii="Calibri" w:eastAsia="Times New Roman" w:hAnsi="Calibri" w:cs="Calibri"/>
                <w:sz w:val="20"/>
                <w:szCs w:val="20"/>
                <w:lang w:val="en-GB" w:eastAsia="ru-RU"/>
              </w:rPr>
              <w:t>95</w:t>
            </w:r>
          </w:p>
        </w:tc>
        <w:tc>
          <w:tcPr>
            <w:tcW w:w="1985" w:type="dxa"/>
          </w:tcPr>
          <w:p w14:paraId="2601F45F" w14:textId="77777777" w:rsidR="00987639" w:rsidRPr="00987639" w:rsidRDefault="00987639" w:rsidP="00987639">
            <w:pPr>
              <w:spacing w:after="0" w:line="256" w:lineRule="auto"/>
              <w:jc w:val="right"/>
              <w:rPr>
                <w:rFonts w:ascii="Calibri" w:eastAsia="Times New Roman" w:hAnsi="Calibri" w:cs="Calibri"/>
                <w:sz w:val="20"/>
                <w:szCs w:val="20"/>
                <w:lang w:val="en-GB" w:eastAsia="ru-RU"/>
              </w:rPr>
            </w:pPr>
            <w:r w:rsidRPr="00987639">
              <w:rPr>
                <w:rFonts w:ascii="Calibri" w:eastAsia="Times New Roman" w:hAnsi="Calibri" w:cs="Calibri"/>
                <w:sz w:val="20"/>
                <w:szCs w:val="20"/>
                <w:lang w:val="en-GB" w:eastAsia="ru-RU"/>
              </w:rPr>
              <w:t>308</w:t>
            </w:r>
          </w:p>
        </w:tc>
        <w:tc>
          <w:tcPr>
            <w:tcW w:w="2023" w:type="dxa"/>
            <w:vAlign w:val="center"/>
          </w:tcPr>
          <w:p w14:paraId="3408ABAA" w14:textId="77777777" w:rsidR="00987639" w:rsidRPr="00987639" w:rsidRDefault="00987639" w:rsidP="00987639">
            <w:pPr>
              <w:spacing w:after="0" w:line="256" w:lineRule="auto"/>
              <w:jc w:val="right"/>
              <w:rPr>
                <w:rFonts w:ascii="Calibri" w:eastAsia="Times New Roman" w:hAnsi="Calibri" w:cs="Calibri"/>
                <w:sz w:val="20"/>
                <w:szCs w:val="20"/>
                <w:lang w:val="en-GB" w:eastAsia="ru-RU"/>
              </w:rPr>
            </w:pPr>
            <w:r w:rsidRPr="00987639">
              <w:rPr>
                <w:rFonts w:ascii="Calibri" w:eastAsia="Times New Roman" w:hAnsi="Calibri" w:cs="Calibri"/>
                <w:sz w:val="20"/>
                <w:szCs w:val="20"/>
                <w:lang w:val="en-GB" w:eastAsia="ru-RU"/>
              </w:rPr>
              <w:t>249-377</w:t>
            </w:r>
          </w:p>
        </w:tc>
      </w:tr>
      <w:tr w:rsidR="00987639" w:rsidRPr="00987639" w14:paraId="5D72219F" w14:textId="77777777" w:rsidTr="006050E4">
        <w:trPr>
          <w:trHeight w:val="300"/>
        </w:trPr>
        <w:tc>
          <w:tcPr>
            <w:tcW w:w="1088" w:type="dxa"/>
          </w:tcPr>
          <w:p w14:paraId="7F803CF7" w14:textId="77777777" w:rsidR="00987639" w:rsidRPr="00987639" w:rsidRDefault="00987639" w:rsidP="00987639">
            <w:pPr>
              <w:spacing w:after="0" w:line="256" w:lineRule="auto"/>
              <w:rPr>
                <w:rFonts w:ascii="Calibri" w:eastAsia="Times New Roman" w:hAnsi="Calibri" w:cs="Calibri"/>
                <w:sz w:val="20"/>
                <w:szCs w:val="20"/>
                <w:lang w:val="en-GB" w:eastAsia="ru-RU"/>
              </w:rPr>
            </w:pPr>
            <w:r w:rsidRPr="00987639">
              <w:rPr>
                <w:rFonts w:ascii="Calibri" w:eastAsia="Times New Roman" w:hAnsi="Calibri" w:cs="Calibri"/>
                <w:sz w:val="20"/>
                <w:szCs w:val="20"/>
                <w:lang w:val="en-GB" w:eastAsia="ru-RU"/>
              </w:rPr>
              <w:t>75-79</w:t>
            </w:r>
          </w:p>
        </w:tc>
        <w:tc>
          <w:tcPr>
            <w:tcW w:w="1561" w:type="dxa"/>
          </w:tcPr>
          <w:p w14:paraId="75AFC79D" w14:textId="005355BA" w:rsidR="00987639" w:rsidRPr="00987639" w:rsidRDefault="00987639" w:rsidP="00987639">
            <w:pPr>
              <w:spacing w:after="0" w:line="256" w:lineRule="auto"/>
              <w:jc w:val="right"/>
              <w:rPr>
                <w:rFonts w:ascii="Calibri" w:eastAsia="Times New Roman" w:hAnsi="Calibri" w:cs="Calibri"/>
                <w:sz w:val="20"/>
                <w:szCs w:val="20"/>
                <w:lang w:val="en-GB" w:eastAsia="ru-RU"/>
              </w:rPr>
            </w:pPr>
            <w:r w:rsidRPr="00987639">
              <w:rPr>
                <w:rFonts w:ascii="Calibri" w:eastAsia="Times New Roman" w:hAnsi="Calibri" w:cs="Calibri"/>
                <w:sz w:val="20"/>
                <w:szCs w:val="20"/>
                <w:lang w:val="en-GB" w:eastAsia="ru-RU"/>
              </w:rPr>
              <w:t>24</w:t>
            </w:r>
            <w:r w:rsidR="001A51EC">
              <w:rPr>
                <w:rFonts w:ascii="Calibri" w:eastAsia="Times New Roman" w:hAnsi="Calibri" w:cs="Calibri"/>
                <w:sz w:val="20"/>
                <w:szCs w:val="20"/>
                <w:lang w:val="en-GB" w:eastAsia="ru-RU"/>
              </w:rPr>
              <w:t>,</w:t>
            </w:r>
            <w:r w:rsidRPr="00987639">
              <w:rPr>
                <w:rFonts w:ascii="Calibri" w:eastAsia="Times New Roman" w:hAnsi="Calibri" w:cs="Calibri"/>
                <w:sz w:val="20"/>
                <w:szCs w:val="20"/>
                <w:lang w:val="en-GB" w:eastAsia="ru-RU"/>
              </w:rPr>
              <w:t>652</w:t>
            </w:r>
          </w:p>
        </w:tc>
        <w:tc>
          <w:tcPr>
            <w:tcW w:w="1560" w:type="dxa"/>
          </w:tcPr>
          <w:p w14:paraId="7389C3D9" w14:textId="77777777" w:rsidR="00987639" w:rsidRPr="00987639" w:rsidRDefault="00987639" w:rsidP="00987639">
            <w:pPr>
              <w:spacing w:after="0" w:line="256" w:lineRule="auto"/>
              <w:jc w:val="right"/>
              <w:rPr>
                <w:rFonts w:ascii="Calibri" w:eastAsia="Times New Roman" w:hAnsi="Calibri" w:cs="Calibri"/>
                <w:sz w:val="20"/>
                <w:szCs w:val="20"/>
                <w:lang w:val="en-GB" w:eastAsia="ru-RU"/>
              </w:rPr>
            </w:pPr>
            <w:r w:rsidRPr="00987639">
              <w:rPr>
                <w:rFonts w:ascii="Calibri" w:eastAsia="Times New Roman" w:hAnsi="Calibri" w:cs="Calibri"/>
                <w:sz w:val="20"/>
                <w:szCs w:val="20"/>
                <w:lang w:val="en-GB" w:eastAsia="ru-RU"/>
              </w:rPr>
              <w:t>189</w:t>
            </w:r>
          </w:p>
        </w:tc>
        <w:tc>
          <w:tcPr>
            <w:tcW w:w="1985" w:type="dxa"/>
          </w:tcPr>
          <w:p w14:paraId="072B58BE" w14:textId="77777777" w:rsidR="00987639" w:rsidRPr="00987639" w:rsidRDefault="00987639" w:rsidP="00987639">
            <w:pPr>
              <w:spacing w:after="0" w:line="256" w:lineRule="auto"/>
              <w:jc w:val="right"/>
              <w:rPr>
                <w:rFonts w:ascii="Calibri" w:eastAsia="Times New Roman" w:hAnsi="Calibri" w:cs="Calibri"/>
                <w:sz w:val="20"/>
                <w:szCs w:val="20"/>
                <w:lang w:val="en-GB" w:eastAsia="ru-RU"/>
              </w:rPr>
            </w:pPr>
            <w:r w:rsidRPr="00987639">
              <w:rPr>
                <w:rFonts w:ascii="Calibri" w:eastAsia="Times New Roman" w:hAnsi="Calibri" w:cs="Calibri"/>
                <w:sz w:val="20"/>
                <w:szCs w:val="20"/>
                <w:lang w:val="en-GB" w:eastAsia="ru-RU"/>
              </w:rPr>
              <w:t>767</w:t>
            </w:r>
          </w:p>
        </w:tc>
        <w:tc>
          <w:tcPr>
            <w:tcW w:w="2023" w:type="dxa"/>
            <w:vAlign w:val="center"/>
          </w:tcPr>
          <w:p w14:paraId="24F81CB5" w14:textId="77777777" w:rsidR="00987639" w:rsidRPr="00987639" w:rsidRDefault="00987639" w:rsidP="00987639">
            <w:pPr>
              <w:spacing w:after="0" w:line="256" w:lineRule="auto"/>
              <w:jc w:val="right"/>
              <w:rPr>
                <w:rFonts w:ascii="Calibri" w:eastAsia="Times New Roman" w:hAnsi="Calibri" w:cs="Calibri"/>
                <w:sz w:val="20"/>
                <w:szCs w:val="20"/>
                <w:lang w:val="en-GB" w:eastAsia="ru-RU"/>
              </w:rPr>
            </w:pPr>
            <w:r w:rsidRPr="00987639">
              <w:rPr>
                <w:rFonts w:ascii="Calibri" w:eastAsia="Times New Roman" w:hAnsi="Calibri" w:cs="Calibri"/>
                <w:sz w:val="20"/>
                <w:szCs w:val="20"/>
                <w:lang w:val="en-GB" w:eastAsia="ru-RU"/>
              </w:rPr>
              <w:t>661-884</w:t>
            </w:r>
          </w:p>
        </w:tc>
      </w:tr>
      <w:tr w:rsidR="00987639" w:rsidRPr="00987639" w14:paraId="37306BE7" w14:textId="77777777" w:rsidTr="006050E4">
        <w:trPr>
          <w:trHeight w:val="300"/>
        </w:trPr>
        <w:tc>
          <w:tcPr>
            <w:tcW w:w="1088" w:type="dxa"/>
          </w:tcPr>
          <w:p w14:paraId="7E80B0BE" w14:textId="77777777" w:rsidR="00987639" w:rsidRPr="00987639" w:rsidRDefault="00987639" w:rsidP="00987639">
            <w:pPr>
              <w:spacing w:after="0" w:line="256" w:lineRule="auto"/>
              <w:rPr>
                <w:rFonts w:ascii="Calibri" w:eastAsia="Times New Roman" w:hAnsi="Calibri" w:cs="Calibri"/>
                <w:sz w:val="20"/>
                <w:szCs w:val="20"/>
                <w:lang w:val="en-GB" w:eastAsia="ru-RU"/>
              </w:rPr>
            </w:pPr>
            <w:r w:rsidRPr="00987639">
              <w:rPr>
                <w:rFonts w:ascii="Calibri" w:eastAsia="Times New Roman" w:hAnsi="Calibri" w:cs="Calibri"/>
                <w:sz w:val="20"/>
                <w:szCs w:val="20"/>
                <w:lang w:val="en-GB" w:eastAsia="ru-RU"/>
              </w:rPr>
              <w:t>80-84</w:t>
            </w:r>
          </w:p>
        </w:tc>
        <w:tc>
          <w:tcPr>
            <w:tcW w:w="1561" w:type="dxa"/>
          </w:tcPr>
          <w:p w14:paraId="2A095D04" w14:textId="180C6C1B" w:rsidR="00987639" w:rsidRPr="00987639" w:rsidRDefault="00987639" w:rsidP="00987639">
            <w:pPr>
              <w:spacing w:after="0" w:line="256" w:lineRule="auto"/>
              <w:jc w:val="right"/>
              <w:rPr>
                <w:rFonts w:ascii="Calibri" w:eastAsia="Times New Roman" w:hAnsi="Calibri" w:cs="Calibri"/>
                <w:sz w:val="20"/>
                <w:szCs w:val="20"/>
                <w:lang w:val="en-GB" w:eastAsia="ru-RU"/>
              </w:rPr>
            </w:pPr>
            <w:r w:rsidRPr="00987639">
              <w:rPr>
                <w:rFonts w:ascii="Calibri" w:eastAsia="Times New Roman" w:hAnsi="Calibri" w:cs="Calibri"/>
                <w:sz w:val="20"/>
                <w:szCs w:val="20"/>
                <w:lang w:val="en-GB" w:eastAsia="ru-RU"/>
              </w:rPr>
              <w:t>19</w:t>
            </w:r>
            <w:r w:rsidR="001A51EC">
              <w:rPr>
                <w:rFonts w:ascii="Calibri" w:eastAsia="Times New Roman" w:hAnsi="Calibri" w:cs="Calibri"/>
                <w:sz w:val="20"/>
                <w:szCs w:val="20"/>
                <w:lang w:val="en-GB" w:eastAsia="ru-RU"/>
              </w:rPr>
              <w:t>,</w:t>
            </w:r>
            <w:r w:rsidRPr="00987639">
              <w:rPr>
                <w:rFonts w:ascii="Calibri" w:eastAsia="Times New Roman" w:hAnsi="Calibri" w:cs="Calibri"/>
                <w:sz w:val="20"/>
                <w:szCs w:val="20"/>
                <w:lang w:val="en-GB" w:eastAsia="ru-RU"/>
              </w:rPr>
              <w:t>278</w:t>
            </w:r>
          </w:p>
        </w:tc>
        <w:tc>
          <w:tcPr>
            <w:tcW w:w="1560" w:type="dxa"/>
          </w:tcPr>
          <w:p w14:paraId="44421CD3" w14:textId="77777777" w:rsidR="00987639" w:rsidRPr="00987639" w:rsidRDefault="00987639" w:rsidP="00987639">
            <w:pPr>
              <w:spacing w:after="0" w:line="256" w:lineRule="auto"/>
              <w:jc w:val="right"/>
              <w:rPr>
                <w:rFonts w:ascii="Calibri" w:eastAsia="Times New Roman" w:hAnsi="Calibri" w:cs="Calibri"/>
                <w:sz w:val="20"/>
                <w:szCs w:val="20"/>
                <w:lang w:val="en-GB" w:eastAsia="ru-RU"/>
              </w:rPr>
            </w:pPr>
            <w:r w:rsidRPr="00987639">
              <w:rPr>
                <w:rFonts w:ascii="Calibri" w:eastAsia="Times New Roman" w:hAnsi="Calibri" w:cs="Calibri"/>
                <w:sz w:val="20"/>
                <w:szCs w:val="20"/>
                <w:lang w:val="en-GB" w:eastAsia="ru-RU"/>
              </w:rPr>
              <w:t>261</w:t>
            </w:r>
          </w:p>
        </w:tc>
        <w:tc>
          <w:tcPr>
            <w:tcW w:w="1985" w:type="dxa"/>
          </w:tcPr>
          <w:p w14:paraId="3758913C" w14:textId="77777777" w:rsidR="00987639" w:rsidRPr="00987639" w:rsidRDefault="00987639" w:rsidP="00987639">
            <w:pPr>
              <w:spacing w:after="0" w:line="256" w:lineRule="auto"/>
              <w:jc w:val="right"/>
              <w:rPr>
                <w:rFonts w:ascii="Calibri" w:eastAsia="Times New Roman" w:hAnsi="Calibri" w:cs="Calibri"/>
                <w:sz w:val="20"/>
                <w:szCs w:val="20"/>
                <w:lang w:val="en-GB" w:eastAsia="ru-RU"/>
              </w:rPr>
            </w:pPr>
            <w:r w:rsidRPr="00987639">
              <w:rPr>
                <w:rFonts w:ascii="Calibri" w:eastAsia="Times New Roman" w:hAnsi="Calibri" w:cs="Calibri"/>
                <w:sz w:val="20"/>
                <w:szCs w:val="20"/>
                <w:lang w:val="en-GB" w:eastAsia="ru-RU"/>
              </w:rPr>
              <w:t>1354</w:t>
            </w:r>
          </w:p>
        </w:tc>
        <w:tc>
          <w:tcPr>
            <w:tcW w:w="2023" w:type="dxa"/>
            <w:vAlign w:val="center"/>
          </w:tcPr>
          <w:p w14:paraId="5BC888AE" w14:textId="77777777" w:rsidR="00987639" w:rsidRPr="00987639" w:rsidRDefault="00987639" w:rsidP="00987639">
            <w:pPr>
              <w:spacing w:after="0" w:line="256" w:lineRule="auto"/>
              <w:jc w:val="right"/>
              <w:rPr>
                <w:rFonts w:ascii="Calibri" w:eastAsia="Times New Roman" w:hAnsi="Calibri" w:cs="Calibri"/>
                <w:sz w:val="20"/>
                <w:szCs w:val="20"/>
                <w:lang w:val="en-GB" w:eastAsia="ru-RU"/>
              </w:rPr>
            </w:pPr>
            <w:r w:rsidRPr="00987639">
              <w:rPr>
                <w:rFonts w:ascii="Calibri" w:eastAsia="Times New Roman" w:hAnsi="Calibri" w:cs="Calibri"/>
                <w:sz w:val="20"/>
                <w:szCs w:val="20"/>
                <w:lang w:val="en-GB" w:eastAsia="ru-RU"/>
              </w:rPr>
              <w:t>1195-1529</w:t>
            </w:r>
          </w:p>
        </w:tc>
      </w:tr>
      <w:tr w:rsidR="00987639" w:rsidRPr="00987639" w14:paraId="72663F83" w14:textId="77777777" w:rsidTr="006050E4">
        <w:trPr>
          <w:trHeight w:val="300"/>
        </w:trPr>
        <w:tc>
          <w:tcPr>
            <w:tcW w:w="1088" w:type="dxa"/>
          </w:tcPr>
          <w:p w14:paraId="57A85DF3" w14:textId="77777777" w:rsidR="00987639" w:rsidRPr="00987639" w:rsidRDefault="00987639" w:rsidP="00987639">
            <w:pPr>
              <w:spacing w:after="0" w:line="256" w:lineRule="auto"/>
              <w:rPr>
                <w:rFonts w:ascii="Calibri" w:eastAsia="Times New Roman" w:hAnsi="Calibri" w:cs="Calibri"/>
                <w:sz w:val="20"/>
                <w:szCs w:val="20"/>
                <w:lang w:val="en-GB" w:eastAsia="ru-RU"/>
              </w:rPr>
            </w:pPr>
            <w:r w:rsidRPr="00987639">
              <w:rPr>
                <w:rFonts w:ascii="Calibri" w:eastAsia="Times New Roman" w:hAnsi="Calibri" w:cs="Calibri"/>
                <w:sz w:val="20"/>
                <w:szCs w:val="20"/>
                <w:lang w:val="en-GB" w:eastAsia="ru-RU"/>
              </w:rPr>
              <w:t>85-89</w:t>
            </w:r>
          </w:p>
        </w:tc>
        <w:tc>
          <w:tcPr>
            <w:tcW w:w="1561" w:type="dxa"/>
          </w:tcPr>
          <w:p w14:paraId="712915BB" w14:textId="2F9C0FBE" w:rsidR="00987639" w:rsidRPr="00987639" w:rsidRDefault="00987639" w:rsidP="00987639">
            <w:pPr>
              <w:spacing w:after="0" w:line="256" w:lineRule="auto"/>
              <w:jc w:val="right"/>
              <w:rPr>
                <w:rFonts w:ascii="Calibri" w:eastAsia="Times New Roman" w:hAnsi="Calibri" w:cs="Calibri"/>
                <w:sz w:val="20"/>
                <w:szCs w:val="20"/>
                <w:lang w:val="en-GB" w:eastAsia="ru-RU"/>
              </w:rPr>
            </w:pPr>
            <w:r w:rsidRPr="00987639">
              <w:rPr>
                <w:rFonts w:ascii="Calibri" w:eastAsia="Times New Roman" w:hAnsi="Calibri" w:cs="Calibri"/>
                <w:sz w:val="20"/>
                <w:szCs w:val="20"/>
                <w:lang w:val="en-GB" w:eastAsia="ru-RU"/>
              </w:rPr>
              <w:t>9</w:t>
            </w:r>
            <w:r w:rsidR="001A51EC">
              <w:rPr>
                <w:rFonts w:ascii="Calibri" w:eastAsia="Times New Roman" w:hAnsi="Calibri" w:cs="Calibri"/>
                <w:sz w:val="20"/>
                <w:szCs w:val="20"/>
                <w:lang w:val="en-GB" w:eastAsia="ru-RU"/>
              </w:rPr>
              <w:t>,</w:t>
            </w:r>
            <w:r w:rsidRPr="00987639">
              <w:rPr>
                <w:rFonts w:ascii="Calibri" w:eastAsia="Times New Roman" w:hAnsi="Calibri" w:cs="Calibri"/>
                <w:sz w:val="20"/>
                <w:szCs w:val="20"/>
                <w:lang w:val="en-GB" w:eastAsia="ru-RU"/>
              </w:rPr>
              <w:t>247</w:t>
            </w:r>
          </w:p>
        </w:tc>
        <w:tc>
          <w:tcPr>
            <w:tcW w:w="1560" w:type="dxa"/>
          </w:tcPr>
          <w:p w14:paraId="50339AB2" w14:textId="77777777" w:rsidR="00987639" w:rsidRPr="00987639" w:rsidRDefault="00987639" w:rsidP="00987639">
            <w:pPr>
              <w:spacing w:after="0" w:line="256" w:lineRule="auto"/>
              <w:jc w:val="right"/>
              <w:rPr>
                <w:rFonts w:ascii="Calibri" w:eastAsia="Times New Roman" w:hAnsi="Calibri" w:cs="Calibri"/>
                <w:sz w:val="20"/>
                <w:szCs w:val="20"/>
                <w:lang w:val="en-GB" w:eastAsia="ru-RU"/>
              </w:rPr>
            </w:pPr>
            <w:r w:rsidRPr="00987639">
              <w:rPr>
                <w:rFonts w:ascii="Calibri" w:eastAsia="Times New Roman" w:hAnsi="Calibri" w:cs="Calibri"/>
                <w:sz w:val="20"/>
                <w:szCs w:val="20"/>
                <w:lang w:val="en-GB" w:eastAsia="ru-RU"/>
              </w:rPr>
              <w:t>247</w:t>
            </w:r>
          </w:p>
        </w:tc>
        <w:tc>
          <w:tcPr>
            <w:tcW w:w="1985" w:type="dxa"/>
          </w:tcPr>
          <w:p w14:paraId="66C290ED" w14:textId="77777777" w:rsidR="00987639" w:rsidRPr="00987639" w:rsidRDefault="00987639" w:rsidP="00987639">
            <w:pPr>
              <w:spacing w:after="0" w:line="256" w:lineRule="auto"/>
              <w:jc w:val="right"/>
              <w:rPr>
                <w:rFonts w:ascii="Calibri" w:eastAsia="Times New Roman" w:hAnsi="Calibri" w:cs="Calibri"/>
                <w:sz w:val="20"/>
                <w:szCs w:val="20"/>
                <w:lang w:val="en-GB" w:eastAsia="ru-RU"/>
              </w:rPr>
            </w:pPr>
            <w:r w:rsidRPr="00987639">
              <w:rPr>
                <w:rFonts w:ascii="Calibri" w:eastAsia="Times New Roman" w:hAnsi="Calibri" w:cs="Calibri"/>
                <w:sz w:val="20"/>
                <w:szCs w:val="20"/>
                <w:lang w:val="en-GB" w:eastAsia="ru-RU"/>
              </w:rPr>
              <w:t>2671</w:t>
            </w:r>
          </w:p>
        </w:tc>
        <w:tc>
          <w:tcPr>
            <w:tcW w:w="2023" w:type="dxa"/>
            <w:vAlign w:val="center"/>
          </w:tcPr>
          <w:p w14:paraId="513ED460" w14:textId="77777777" w:rsidR="00987639" w:rsidRPr="00987639" w:rsidRDefault="00987639" w:rsidP="00987639">
            <w:pPr>
              <w:spacing w:after="0" w:line="256" w:lineRule="auto"/>
              <w:jc w:val="right"/>
              <w:rPr>
                <w:rFonts w:ascii="Calibri" w:eastAsia="Times New Roman" w:hAnsi="Calibri" w:cs="Calibri"/>
                <w:sz w:val="20"/>
                <w:szCs w:val="20"/>
                <w:lang w:val="en-GB" w:eastAsia="ru-RU"/>
              </w:rPr>
            </w:pPr>
            <w:r w:rsidRPr="00987639">
              <w:rPr>
                <w:rFonts w:ascii="Calibri" w:eastAsia="Times New Roman" w:hAnsi="Calibri" w:cs="Calibri"/>
                <w:sz w:val="20"/>
                <w:szCs w:val="20"/>
                <w:lang w:val="en-GB" w:eastAsia="ru-RU"/>
              </w:rPr>
              <w:t>2348-3026</w:t>
            </w:r>
          </w:p>
        </w:tc>
      </w:tr>
      <w:tr w:rsidR="001C394C" w:rsidRPr="00987639" w14:paraId="3B6CB662" w14:textId="77777777" w:rsidTr="006050E4">
        <w:trPr>
          <w:trHeight w:val="300"/>
        </w:trPr>
        <w:tc>
          <w:tcPr>
            <w:tcW w:w="1088" w:type="dxa"/>
          </w:tcPr>
          <w:p w14:paraId="579F8038" w14:textId="563380DB" w:rsidR="001C394C" w:rsidRPr="00987639" w:rsidRDefault="001C394C" w:rsidP="001C394C">
            <w:pPr>
              <w:spacing w:after="0" w:line="256" w:lineRule="auto"/>
              <w:rPr>
                <w:rFonts w:ascii="Calibri" w:eastAsia="Times New Roman" w:hAnsi="Calibri" w:cs="Calibri"/>
                <w:sz w:val="20"/>
                <w:szCs w:val="20"/>
                <w:lang w:val="en-GB" w:eastAsia="ru-RU"/>
              </w:rPr>
            </w:pPr>
            <w:r>
              <w:rPr>
                <w:rFonts w:ascii="Calibri" w:eastAsia="Times New Roman" w:hAnsi="Calibri" w:cs="Calibri"/>
                <w:sz w:val="20"/>
                <w:szCs w:val="20"/>
                <w:lang w:val="en-GB" w:eastAsia="ru-RU"/>
              </w:rPr>
              <w:t>90+</w:t>
            </w:r>
          </w:p>
        </w:tc>
        <w:tc>
          <w:tcPr>
            <w:tcW w:w="1561" w:type="dxa"/>
          </w:tcPr>
          <w:p w14:paraId="1D06D976" w14:textId="7777890A" w:rsidR="001C394C" w:rsidRPr="00987639" w:rsidRDefault="001C394C" w:rsidP="001C394C">
            <w:pPr>
              <w:spacing w:after="0" w:line="256" w:lineRule="auto"/>
              <w:jc w:val="right"/>
              <w:rPr>
                <w:rFonts w:ascii="Calibri" w:eastAsia="Times New Roman" w:hAnsi="Calibri" w:cs="Calibri"/>
                <w:sz w:val="20"/>
                <w:szCs w:val="20"/>
                <w:lang w:val="en-GB" w:eastAsia="ru-RU"/>
              </w:rPr>
            </w:pPr>
            <w:r>
              <w:rPr>
                <w:rFonts w:ascii="Calibri" w:eastAsia="Times New Roman" w:hAnsi="Calibri" w:cs="Calibri"/>
                <w:sz w:val="20"/>
                <w:szCs w:val="20"/>
                <w:lang w:val="en-GB" w:eastAsia="ru-RU"/>
              </w:rPr>
              <w:t>2862</w:t>
            </w:r>
          </w:p>
        </w:tc>
        <w:tc>
          <w:tcPr>
            <w:tcW w:w="1560" w:type="dxa"/>
          </w:tcPr>
          <w:p w14:paraId="2AD133AC" w14:textId="5B0B2EE6" w:rsidR="001C394C" w:rsidRPr="00987639" w:rsidRDefault="001C394C" w:rsidP="001C394C">
            <w:pPr>
              <w:spacing w:after="0" w:line="256" w:lineRule="auto"/>
              <w:jc w:val="right"/>
              <w:rPr>
                <w:rFonts w:ascii="Calibri" w:eastAsia="Times New Roman" w:hAnsi="Calibri" w:cs="Calibri"/>
                <w:sz w:val="20"/>
                <w:szCs w:val="20"/>
                <w:lang w:val="en-GB" w:eastAsia="ru-RU"/>
              </w:rPr>
            </w:pPr>
            <w:r>
              <w:rPr>
                <w:rFonts w:ascii="Calibri" w:eastAsia="Times New Roman" w:hAnsi="Calibri" w:cs="Calibri"/>
                <w:sz w:val="20"/>
                <w:szCs w:val="20"/>
                <w:lang w:val="en-GB" w:eastAsia="ru-RU"/>
              </w:rPr>
              <w:t>83</w:t>
            </w:r>
          </w:p>
        </w:tc>
        <w:tc>
          <w:tcPr>
            <w:tcW w:w="1985" w:type="dxa"/>
            <w:shd w:val="clear" w:color="auto" w:fill="FFFFFF"/>
            <w:vAlign w:val="bottom"/>
          </w:tcPr>
          <w:p w14:paraId="36B822FA" w14:textId="10F29526" w:rsidR="001C394C" w:rsidRPr="00987639" w:rsidRDefault="001C394C" w:rsidP="001C394C">
            <w:pPr>
              <w:spacing w:after="0" w:line="256" w:lineRule="auto"/>
              <w:jc w:val="right"/>
              <w:rPr>
                <w:rFonts w:ascii="Calibri" w:eastAsia="Times New Roman" w:hAnsi="Calibri" w:cs="Calibri"/>
                <w:sz w:val="20"/>
                <w:szCs w:val="20"/>
                <w:lang w:val="en-GB" w:eastAsia="ru-RU"/>
              </w:rPr>
            </w:pPr>
            <w:r>
              <w:rPr>
                <w:rFonts w:ascii="Calibri" w:eastAsia="Times New Roman" w:hAnsi="Calibri" w:cs="Calibri"/>
                <w:sz w:val="20"/>
                <w:szCs w:val="20"/>
                <w:lang w:val="en-GB" w:eastAsia="ru-RU"/>
              </w:rPr>
              <w:t>2900</w:t>
            </w:r>
          </w:p>
        </w:tc>
        <w:tc>
          <w:tcPr>
            <w:tcW w:w="2023" w:type="dxa"/>
            <w:shd w:val="clear" w:color="auto" w:fill="FFFFFF"/>
            <w:vAlign w:val="center"/>
          </w:tcPr>
          <w:p w14:paraId="5122B453" w14:textId="401F0897" w:rsidR="001C394C" w:rsidRPr="00987639" w:rsidRDefault="001C394C" w:rsidP="001C394C">
            <w:pPr>
              <w:spacing w:after="0" w:line="256" w:lineRule="auto"/>
              <w:jc w:val="right"/>
              <w:rPr>
                <w:rFonts w:ascii="Calibri" w:eastAsia="Times New Roman" w:hAnsi="Calibri" w:cs="Calibri"/>
                <w:sz w:val="20"/>
                <w:szCs w:val="20"/>
                <w:lang w:val="en-GB" w:eastAsia="ru-RU"/>
              </w:rPr>
            </w:pPr>
            <w:r>
              <w:rPr>
                <w:rFonts w:ascii="Calibri" w:eastAsia="Times New Roman" w:hAnsi="Calibri" w:cs="Calibri"/>
                <w:sz w:val="20"/>
                <w:szCs w:val="20"/>
                <w:lang w:val="en-GB" w:eastAsia="ru-RU"/>
              </w:rPr>
              <w:t>2310-3595</w:t>
            </w:r>
          </w:p>
        </w:tc>
      </w:tr>
      <w:tr w:rsidR="00987639" w:rsidRPr="00987639" w14:paraId="53CC41E2" w14:textId="77777777" w:rsidTr="006050E4">
        <w:trPr>
          <w:trHeight w:val="300"/>
        </w:trPr>
        <w:tc>
          <w:tcPr>
            <w:tcW w:w="1088" w:type="dxa"/>
            <w:hideMark/>
          </w:tcPr>
          <w:p w14:paraId="47677CA1" w14:textId="77777777" w:rsidR="00987639" w:rsidRPr="00987639" w:rsidRDefault="00987639" w:rsidP="00987639">
            <w:pPr>
              <w:spacing w:after="0" w:line="256" w:lineRule="auto"/>
              <w:rPr>
                <w:rFonts w:ascii="Calibri" w:eastAsia="Times New Roman" w:hAnsi="Calibri" w:cs="Calibri"/>
                <w:sz w:val="20"/>
                <w:szCs w:val="20"/>
                <w:lang w:val="en-GB" w:eastAsia="ru-RU"/>
              </w:rPr>
            </w:pPr>
            <w:r w:rsidRPr="00987639">
              <w:rPr>
                <w:rFonts w:ascii="Calibri" w:eastAsia="Times New Roman" w:hAnsi="Calibri" w:cs="Calibri"/>
                <w:sz w:val="20"/>
                <w:szCs w:val="20"/>
                <w:lang w:val="en-GB" w:eastAsia="ru-RU"/>
              </w:rPr>
              <w:t>40+</w:t>
            </w:r>
          </w:p>
        </w:tc>
        <w:tc>
          <w:tcPr>
            <w:tcW w:w="1561" w:type="dxa"/>
          </w:tcPr>
          <w:p w14:paraId="68250A85" w14:textId="6386D98F" w:rsidR="00987639" w:rsidRPr="00987639" w:rsidRDefault="00987639" w:rsidP="00987639">
            <w:pPr>
              <w:spacing w:after="0" w:line="256" w:lineRule="auto"/>
              <w:jc w:val="right"/>
              <w:rPr>
                <w:rFonts w:ascii="Calibri" w:eastAsia="Times New Roman" w:hAnsi="Calibri" w:cs="Calibri"/>
                <w:sz w:val="20"/>
                <w:szCs w:val="20"/>
                <w:lang w:val="en-GB" w:eastAsia="ru-RU"/>
              </w:rPr>
            </w:pPr>
            <w:r w:rsidRPr="00987639">
              <w:rPr>
                <w:rFonts w:ascii="Calibri" w:eastAsia="Times New Roman" w:hAnsi="Calibri" w:cs="Calibri"/>
                <w:sz w:val="20"/>
                <w:szCs w:val="20"/>
                <w:lang w:val="en-GB" w:eastAsia="ru-RU"/>
              </w:rPr>
              <w:t>273</w:t>
            </w:r>
            <w:r w:rsidR="001A51EC">
              <w:rPr>
                <w:rFonts w:ascii="Calibri" w:eastAsia="Times New Roman" w:hAnsi="Calibri" w:cs="Calibri"/>
                <w:sz w:val="20"/>
                <w:szCs w:val="20"/>
                <w:lang w:val="en-GB" w:eastAsia="ru-RU"/>
              </w:rPr>
              <w:t>,</w:t>
            </w:r>
            <w:r w:rsidRPr="00987639">
              <w:rPr>
                <w:rFonts w:ascii="Calibri" w:eastAsia="Times New Roman" w:hAnsi="Calibri" w:cs="Calibri"/>
                <w:sz w:val="20"/>
                <w:szCs w:val="20"/>
                <w:lang w:val="en-GB" w:eastAsia="ru-RU"/>
              </w:rPr>
              <w:t>018</w:t>
            </w:r>
          </w:p>
        </w:tc>
        <w:tc>
          <w:tcPr>
            <w:tcW w:w="1560" w:type="dxa"/>
          </w:tcPr>
          <w:p w14:paraId="70118EF1" w14:textId="77777777" w:rsidR="00987639" w:rsidRPr="00987639" w:rsidRDefault="00987639" w:rsidP="00987639">
            <w:pPr>
              <w:spacing w:after="0" w:line="256" w:lineRule="auto"/>
              <w:jc w:val="right"/>
              <w:rPr>
                <w:rFonts w:ascii="Calibri" w:eastAsia="Times New Roman" w:hAnsi="Calibri" w:cs="Calibri"/>
                <w:sz w:val="20"/>
                <w:szCs w:val="20"/>
                <w:lang w:val="en-GB" w:eastAsia="ru-RU"/>
              </w:rPr>
            </w:pPr>
            <w:r w:rsidRPr="00987639">
              <w:rPr>
                <w:rFonts w:ascii="Calibri" w:eastAsia="Times New Roman" w:hAnsi="Calibri" w:cs="Calibri"/>
                <w:sz w:val="20"/>
                <w:szCs w:val="20"/>
                <w:lang w:val="en-GB" w:eastAsia="ru-RU"/>
              </w:rPr>
              <w:t>1017</w:t>
            </w:r>
          </w:p>
        </w:tc>
        <w:tc>
          <w:tcPr>
            <w:tcW w:w="1985" w:type="dxa"/>
            <w:shd w:val="clear" w:color="auto" w:fill="FFFFFF"/>
            <w:vAlign w:val="bottom"/>
          </w:tcPr>
          <w:p w14:paraId="6CA5B2B4" w14:textId="77777777" w:rsidR="00987639" w:rsidRPr="00987639" w:rsidRDefault="00987639" w:rsidP="00987639">
            <w:pPr>
              <w:spacing w:after="0" w:line="256" w:lineRule="auto"/>
              <w:jc w:val="right"/>
              <w:rPr>
                <w:rFonts w:ascii="Calibri" w:eastAsia="Times New Roman" w:hAnsi="Calibri" w:cs="Calibri"/>
                <w:sz w:val="20"/>
                <w:szCs w:val="20"/>
                <w:lang w:val="en-GB" w:eastAsia="ru-RU"/>
              </w:rPr>
            </w:pPr>
            <w:r w:rsidRPr="00987639">
              <w:rPr>
                <w:rFonts w:ascii="Calibri" w:eastAsia="Times New Roman" w:hAnsi="Calibri" w:cs="Calibri"/>
                <w:sz w:val="20"/>
                <w:szCs w:val="20"/>
                <w:lang w:val="en-GB" w:eastAsia="ru-RU"/>
              </w:rPr>
              <w:t>373</w:t>
            </w:r>
          </w:p>
        </w:tc>
        <w:tc>
          <w:tcPr>
            <w:tcW w:w="2023" w:type="dxa"/>
            <w:shd w:val="clear" w:color="auto" w:fill="FFFFFF"/>
            <w:vAlign w:val="center"/>
          </w:tcPr>
          <w:p w14:paraId="2BC586AC" w14:textId="77777777" w:rsidR="00987639" w:rsidRPr="00987639" w:rsidRDefault="00987639" w:rsidP="00987639">
            <w:pPr>
              <w:spacing w:after="0" w:line="256" w:lineRule="auto"/>
              <w:jc w:val="right"/>
              <w:rPr>
                <w:rFonts w:ascii="Calibri" w:eastAsia="Times New Roman" w:hAnsi="Calibri" w:cs="Calibri"/>
                <w:sz w:val="20"/>
                <w:szCs w:val="20"/>
                <w:lang w:val="en-GB" w:eastAsia="ru-RU"/>
              </w:rPr>
            </w:pPr>
            <w:r w:rsidRPr="00987639">
              <w:rPr>
                <w:rFonts w:ascii="Calibri" w:eastAsia="Times New Roman" w:hAnsi="Calibri" w:cs="Calibri"/>
                <w:sz w:val="20"/>
                <w:szCs w:val="20"/>
                <w:lang w:val="en-GB" w:eastAsia="ru-RU"/>
              </w:rPr>
              <w:t>350-396</w:t>
            </w:r>
          </w:p>
        </w:tc>
      </w:tr>
    </w:tbl>
    <w:p w14:paraId="5E086D4A" w14:textId="77777777" w:rsidR="00987639" w:rsidRPr="00987639" w:rsidRDefault="00987639" w:rsidP="00987639">
      <w:pPr>
        <w:spacing w:after="0" w:line="240" w:lineRule="auto"/>
        <w:ind w:left="567" w:right="141"/>
        <w:rPr>
          <w:rFonts w:ascii="Calibri" w:eastAsia="MS Mincho" w:hAnsi="Calibri" w:cs="Calibri"/>
          <w:sz w:val="24"/>
          <w:szCs w:val="24"/>
          <w:highlight w:val="yellow"/>
          <w:lang w:val="en-GB" w:eastAsia="ru-RU"/>
        </w:rPr>
      </w:pPr>
    </w:p>
    <w:p w14:paraId="0455A932" w14:textId="77777777" w:rsidR="00987639" w:rsidRPr="00987639" w:rsidRDefault="00987639" w:rsidP="00987639">
      <w:pPr>
        <w:spacing w:after="0" w:line="240" w:lineRule="auto"/>
        <w:ind w:left="567" w:right="141"/>
        <w:rPr>
          <w:rFonts w:ascii="Calibri" w:eastAsia="MS Mincho" w:hAnsi="Calibri" w:cs="Calibri"/>
          <w:sz w:val="24"/>
          <w:szCs w:val="24"/>
          <w:highlight w:val="yellow"/>
          <w:lang w:val="en-GB" w:eastAsia="ru-RU"/>
        </w:rPr>
      </w:pPr>
    </w:p>
    <w:p w14:paraId="2BE72D63" w14:textId="48457B13" w:rsidR="001A51EC" w:rsidRPr="00E20371" w:rsidRDefault="001A51EC" w:rsidP="00987639">
      <w:pPr>
        <w:spacing w:after="0" w:line="276" w:lineRule="auto"/>
        <w:ind w:left="567" w:right="1275"/>
        <w:rPr>
          <w:rFonts w:ascii="Calibri" w:eastAsia="Times New Roman" w:hAnsi="Calibri" w:cs="Calibri"/>
          <w:i/>
          <w:sz w:val="20"/>
          <w:szCs w:val="20"/>
          <w:lang w:val="en-GB" w:eastAsia="ru-RU"/>
        </w:rPr>
      </w:pPr>
      <w:r w:rsidRPr="00E20371">
        <w:rPr>
          <w:rFonts w:ascii="Calibri" w:eastAsia="Times New Roman" w:hAnsi="Calibri" w:cs="Calibri"/>
          <w:i/>
          <w:sz w:val="20"/>
          <w:szCs w:val="20"/>
          <w:vertAlign w:val="superscript"/>
          <w:lang w:val="en-GB" w:eastAsia="ru-RU"/>
        </w:rPr>
        <w:t>a</w:t>
      </w:r>
      <w:r w:rsidRPr="00E20371">
        <w:rPr>
          <w:sz w:val="20"/>
          <w:szCs w:val="20"/>
          <w:vertAlign w:val="superscript"/>
        </w:rPr>
        <w:t xml:space="preserve"> </w:t>
      </w:r>
      <w:r w:rsidRPr="00E20371">
        <w:rPr>
          <w:rFonts w:ascii="Calibri" w:eastAsia="Times New Roman" w:hAnsi="Calibri" w:cs="Calibri"/>
          <w:i/>
          <w:sz w:val="20"/>
          <w:szCs w:val="20"/>
          <w:lang w:val="en-GB" w:eastAsia="ru-RU"/>
        </w:rPr>
        <w:t>Population corrected for insurance cover</w:t>
      </w:r>
    </w:p>
    <w:p w14:paraId="601484B6" w14:textId="1D12CFBB" w:rsidR="00987639" w:rsidRPr="00987639" w:rsidRDefault="00E20371" w:rsidP="00987639">
      <w:pPr>
        <w:spacing w:after="0" w:line="276" w:lineRule="auto"/>
        <w:ind w:left="567" w:right="1275"/>
        <w:rPr>
          <w:rFonts w:ascii="Calibri" w:eastAsia="Times New Roman" w:hAnsi="Calibri" w:cs="Calibri"/>
          <w:i/>
          <w:sz w:val="20"/>
          <w:szCs w:val="20"/>
          <w:lang w:val="en-GB" w:eastAsia="ru-RU"/>
        </w:rPr>
      </w:pPr>
      <w:r w:rsidRPr="00E20371">
        <w:rPr>
          <w:rFonts w:ascii="Calibri" w:eastAsia="Times New Roman" w:hAnsi="Calibri" w:cs="Calibri"/>
          <w:i/>
          <w:sz w:val="20"/>
          <w:szCs w:val="20"/>
          <w:vertAlign w:val="superscript"/>
          <w:lang w:val="en-GB" w:eastAsia="ru-RU"/>
        </w:rPr>
        <w:t>b</w:t>
      </w:r>
      <w:r w:rsidR="005975A9" w:rsidRPr="00E20371">
        <w:rPr>
          <w:rFonts w:ascii="Calibri" w:eastAsia="Times New Roman" w:hAnsi="Calibri" w:cs="Calibri"/>
          <w:i/>
          <w:sz w:val="20"/>
          <w:szCs w:val="20"/>
          <w:lang w:val="en-GB" w:eastAsia="ru-RU"/>
        </w:rPr>
        <w:t xml:space="preserve"> </w:t>
      </w:r>
      <w:r w:rsidR="002C0B07">
        <w:rPr>
          <w:rFonts w:ascii="Calibri" w:eastAsia="Times New Roman" w:hAnsi="Calibri" w:cs="Calibri"/>
          <w:i/>
          <w:sz w:val="20"/>
          <w:szCs w:val="20"/>
          <w:lang w:val="en-GB" w:eastAsia="ru-RU"/>
        </w:rPr>
        <w:t>Fracture</w:t>
      </w:r>
      <w:r w:rsidR="005E635F">
        <w:rPr>
          <w:rFonts w:ascii="Calibri" w:eastAsia="Times New Roman" w:hAnsi="Calibri" w:cs="Calibri"/>
          <w:i/>
          <w:sz w:val="20"/>
          <w:szCs w:val="20"/>
          <w:lang w:val="en-GB" w:eastAsia="ru-RU"/>
        </w:rPr>
        <w:t>s per year</w:t>
      </w:r>
      <w:r w:rsidR="0026792D">
        <w:rPr>
          <w:rFonts w:ascii="Calibri" w:eastAsia="Times New Roman" w:hAnsi="Calibri" w:cs="Calibri"/>
          <w:i/>
          <w:sz w:val="20"/>
          <w:szCs w:val="20"/>
          <w:lang w:val="en-GB" w:eastAsia="ru-RU"/>
        </w:rPr>
        <w:t xml:space="preserve"> o</w:t>
      </w:r>
      <w:r w:rsidR="005975A9" w:rsidRPr="00E20371">
        <w:rPr>
          <w:rFonts w:ascii="Calibri" w:eastAsia="Times New Roman" w:hAnsi="Calibri" w:cs="Calibri"/>
          <w:i/>
          <w:sz w:val="20"/>
          <w:szCs w:val="20"/>
          <w:lang w:val="en-GB" w:eastAsia="ru-RU"/>
        </w:rPr>
        <w:t>ver 3 years</w:t>
      </w:r>
    </w:p>
    <w:p w14:paraId="722318FE" w14:textId="77777777" w:rsidR="008C717C" w:rsidRDefault="008C717C" w:rsidP="001A0941">
      <w:pPr>
        <w:ind w:left="567"/>
        <w:rPr>
          <w:rFonts w:ascii="Arial" w:eastAsia="Times New Roman" w:hAnsi="Arial" w:cs="Arial"/>
          <w:b/>
          <w:sz w:val="20"/>
          <w:szCs w:val="20"/>
          <w:lang w:val="en-GB"/>
        </w:rPr>
      </w:pPr>
    </w:p>
    <w:p w14:paraId="4AD18CCB" w14:textId="2F9ECB94" w:rsidR="00E11425" w:rsidRPr="00E11425" w:rsidRDefault="00C6447D" w:rsidP="00E5601D">
      <w:pPr>
        <w:spacing w:after="0" w:line="240" w:lineRule="auto"/>
        <w:ind w:left="567" w:right="4"/>
        <w:jc w:val="both"/>
        <w:rPr>
          <w:rFonts w:ascii="Calibri" w:eastAsia="Times New Roman" w:hAnsi="Calibri" w:cs="Calibri"/>
          <w:i/>
          <w:sz w:val="24"/>
          <w:szCs w:val="24"/>
          <w:lang w:val="en-GB" w:eastAsia="ru-RU"/>
        </w:rPr>
      </w:pPr>
      <w:r>
        <w:rPr>
          <w:rFonts w:ascii="Calibri" w:eastAsia="Times New Roman" w:hAnsi="Calibri" w:cs="Calibri"/>
          <w:i/>
          <w:sz w:val="24"/>
          <w:szCs w:val="24"/>
          <w:lang w:val="en-GB" w:eastAsia="ru-RU"/>
        </w:rPr>
        <w:t>Hip f</w:t>
      </w:r>
      <w:r w:rsidR="00E11425" w:rsidRPr="00E11425">
        <w:rPr>
          <w:rFonts w:ascii="Calibri" w:eastAsia="Times New Roman" w:hAnsi="Calibri" w:cs="Calibri"/>
          <w:i/>
          <w:sz w:val="24"/>
          <w:szCs w:val="24"/>
          <w:lang w:val="en-GB" w:eastAsia="ru-RU"/>
        </w:rPr>
        <w:t>racture projections</w:t>
      </w:r>
    </w:p>
    <w:p w14:paraId="641330CB" w14:textId="77777777" w:rsidR="00E11425" w:rsidRPr="00E11425" w:rsidRDefault="00E11425" w:rsidP="00E5601D">
      <w:pPr>
        <w:spacing w:after="0" w:line="276" w:lineRule="auto"/>
        <w:ind w:right="4"/>
        <w:rPr>
          <w:rFonts w:ascii="Calibri" w:eastAsia="Times New Roman" w:hAnsi="Calibri" w:cs="Calibri"/>
          <w:i/>
          <w:sz w:val="24"/>
          <w:szCs w:val="24"/>
          <w:lang w:val="en-GB" w:eastAsia="ru-RU"/>
        </w:rPr>
      </w:pPr>
    </w:p>
    <w:p w14:paraId="4F43CEE9" w14:textId="2468DD6D" w:rsidR="00E11425" w:rsidRPr="00E11425" w:rsidRDefault="00E11425" w:rsidP="00E5601D">
      <w:pPr>
        <w:spacing w:after="0" w:line="276" w:lineRule="auto"/>
        <w:ind w:left="567" w:right="4"/>
        <w:rPr>
          <w:rFonts w:ascii="Calibri" w:eastAsia="Calibri" w:hAnsi="Calibri" w:cs="Calibri"/>
          <w:sz w:val="24"/>
          <w:szCs w:val="24"/>
          <w:lang w:val="en-GB" w:eastAsia="ru-RU" w:bidi="lo-LA"/>
        </w:rPr>
      </w:pPr>
      <w:r w:rsidRPr="00E11425">
        <w:rPr>
          <w:rFonts w:ascii="Calibri" w:eastAsia="Calibri" w:hAnsi="Calibri" w:cs="Calibri"/>
          <w:sz w:val="24"/>
          <w:szCs w:val="24"/>
          <w:lang w:val="en-GB" w:eastAsia="ru-RU" w:bidi="lo-LA"/>
        </w:rPr>
        <w:t>Assuming that the fracture rates in Stara Zagora</w:t>
      </w:r>
      <w:r w:rsidRPr="00E11425">
        <w:rPr>
          <w:rFonts w:ascii="Calibri" w:eastAsia="Calibri" w:hAnsi="Calibri" w:cs="Calibri"/>
          <w:sz w:val="24"/>
          <w:szCs w:val="24"/>
          <w:lang w:val="en-GB" w:eastAsia="ru-RU"/>
        </w:rPr>
        <w:t xml:space="preserve"> </w:t>
      </w:r>
      <w:r w:rsidRPr="00E11425">
        <w:rPr>
          <w:rFonts w:ascii="Calibri" w:eastAsia="Calibri" w:hAnsi="Calibri" w:cs="Calibri"/>
          <w:sz w:val="24"/>
          <w:szCs w:val="24"/>
          <w:lang w:val="en-GB" w:eastAsia="ru-RU" w:bidi="lo-LA"/>
        </w:rPr>
        <w:t>w</w:t>
      </w:r>
      <w:r w:rsidR="00670B89">
        <w:rPr>
          <w:rFonts w:ascii="Calibri" w:eastAsia="Calibri" w:hAnsi="Calibri" w:cs="Calibri"/>
          <w:sz w:val="24"/>
          <w:szCs w:val="24"/>
          <w:lang w:val="en-GB" w:eastAsia="ru-RU" w:bidi="lo-LA"/>
        </w:rPr>
        <w:t>ere</w:t>
      </w:r>
      <w:r w:rsidRPr="00E11425">
        <w:rPr>
          <w:rFonts w:ascii="Calibri" w:eastAsia="Calibri" w:hAnsi="Calibri" w:cs="Calibri"/>
          <w:sz w:val="24"/>
          <w:szCs w:val="24"/>
          <w:lang w:val="en-GB" w:eastAsia="ru-RU" w:bidi="lo-LA"/>
        </w:rPr>
        <w:t xml:space="preserve"> representative for the whole country, and based on the UN estimates of </w:t>
      </w:r>
      <w:r w:rsidR="00C45A33">
        <w:rPr>
          <w:rFonts w:ascii="Calibri" w:eastAsia="Calibri" w:hAnsi="Calibri" w:cs="Calibri"/>
          <w:sz w:val="24"/>
          <w:szCs w:val="24"/>
          <w:lang w:val="en-GB" w:eastAsia="ru-RU" w:bidi="lo-LA"/>
        </w:rPr>
        <w:t xml:space="preserve">the </w:t>
      </w:r>
      <w:r w:rsidRPr="00E11425">
        <w:rPr>
          <w:rFonts w:ascii="Calibri" w:eastAsia="Calibri" w:hAnsi="Calibri" w:cs="Calibri"/>
          <w:sz w:val="24"/>
          <w:szCs w:val="24"/>
          <w:lang w:val="en-GB" w:eastAsia="ru-RU" w:bidi="lo-LA"/>
        </w:rPr>
        <w:t xml:space="preserve">Bulgarian population </w:t>
      </w:r>
      <w:r w:rsidRPr="00E11425">
        <w:rPr>
          <w:rFonts w:ascii="Calibri" w:eastAsia="Times New Roman" w:hAnsi="Calibri" w:cs="Calibri"/>
          <w:sz w:val="24"/>
          <w:szCs w:val="24"/>
          <w:lang w:val="en-GB" w:eastAsia="ru-RU"/>
        </w:rPr>
        <w:t xml:space="preserve">for 2015, </w:t>
      </w:r>
      <w:r w:rsidRPr="00E11425">
        <w:rPr>
          <w:rFonts w:ascii="Calibri" w:eastAsia="Calibri" w:hAnsi="Calibri" w:cs="Calibri"/>
          <w:sz w:val="24"/>
          <w:szCs w:val="24"/>
          <w:lang w:val="en-GB" w:eastAsia="ru-RU" w:bidi="lo-LA"/>
        </w:rPr>
        <w:t xml:space="preserve">we estimated that the annual number of hip fractures in men and women age 50 years and older in Bulgaria in 2015 was 9322, comprising 2521 in men and 6801 fractures in women. The number of hip fractures is expected to increase progressively by calendar year with an increase of 22% by 2050 (Table </w:t>
      </w:r>
      <w:r w:rsidR="00EF15D8">
        <w:rPr>
          <w:rFonts w:ascii="Calibri" w:eastAsia="Calibri" w:hAnsi="Calibri" w:cs="Calibri"/>
          <w:sz w:val="24"/>
          <w:szCs w:val="24"/>
          <w:lang w:val="en-GB" w:eastAsia="ru-RU" w:bidi="lo-LA"/>
        </w:rPr>
        <w:t>2</w:t>
      </w:r>
      <w:r w:rsidRPr="00E11425">
        <w:rPr>
          <w:rFonts w:ascii="Calibri" w:eastAsia="Calibri" w:hAnsi="Calibri" w:cs="Calibri"/>
          <w:sz w:val="24"/>
          <w:szCs w:val="24"/>
          <w:lang w:val="en-GB" w:eastAsia="ru-RU" w:bidi="lo-LA"/>
        </w:rPr>
        <w:t xml:space="preserve">).  The increase in hip fracture numbers </w:t>
      </w:r>
      <w:r w:rsidR="00AC7F9B">
        <w:rPr>
          <w:rFonts w:ascii="Calibri" w:eastAsia="Calibri" w:hAnsi="Calibri" w:cs="Calibri"/>
          <w:sz w:val="24"/>
          <w:szCs w:val="24"/>
          <w:lang w:val="en-GB" w:eastAsia="ru-RU" w:bidi="lo-LA"/>
        </w:rPr>
        <w:t>was higher</w:t>
      </w:r>
      <w:r w:rsidRPr="00E11425">
        <w:rPr>
          <w:rFonts w:ascii="Calibri" w:eastAsia="Calibri" w:hAnsi="Calibri" w:cs="Calibri"/>
          <w:sz w:val="24"/>
          <w:szCs w:val="24"/>
          <w:lang w:val="en-GB" w:eastAsia="ru-RU" w:bidi="lo-LA"/>
        </w:rPr>
        <w:t xml:space="preserve"> in women (24% in women and 18% in men) due to the high age dependency of hip fracture incidence.</w:t>
      </w:r>
    </w:p>
    <w:p w14:paraId="6EEFEEB7" w14:textId="05A5E4EF" w:rsidR="00711405" w:rsidRDefault="00711405" w:rsidP="00E5601D">
      <w:pPr>
        <w:spacing w:after="0" w:line="240" w:lineRule="auto"/>
        <w:ind w:left="567" w:right="4"/>
        <w:rPr>
          <w:rFonts w:ascii="Calibri" w:eastAsia="Calibri" w:hAnsi="Calibri" w:cs="Times New Roman"/>
          <w:b/>
          <w:sz w:val="20"/>
          <w:szCs w:val="20"/>
          <w:lang w:val="en-GB"/>
        </w:rPr>
      </w:pPr>
    </w:p>
    <w:p w14:paraId="484C6171" w14:textId="77777777" w:rsidR="00711405" w:rsidRDefault="00711405" w:rsidP="00436BD9">
      <w:pPr>
        <w:spacing w:after="0" w:line="240" w:lineRule="auto"/>
        <w:ind w:left="567" w:right="1700"/>
        <w:rPr>
          <w:rFonts w:ascii="Calibri" w:eastAsia="Calibri" w:hAnsi="Calibri" w:cs="Times New Roman"/>
          <w:b/>
          <w:sz w:val="20"/>
          <w:szCs w:val="20"/>
          <w:lang w:val="en-GB"/>
        </w:rPr>
      </w:pPr>
    </w:p>
    <w:p w14:paraId="3D0821F1" w14:textId="66F830FD" w:rsidR="00436BD9" w:rsidRPr="00436BD9" w:rsidRDefault="00436BD9" w:rsidP="00436BD9">
      <w:pPr>
        <w:spacing w:after="0" w:line="240" w:lineRule="auto"/>
        <w:ind w:left="567" w:right="1700"/>
        <w:rPr>
          <w:rFonts w:ascii="Calibri" w:eastAsia="Calibri" w:hAnsi="Calibri" w:cs="Times New Roman"/>
          <w:sz w:val="20"/>
          <w:szCs w:val="20"/>
          <w:lang w:val="en-GB"/>
        </w:rPr>
      </w:pPr>
      <w:r w:rsidRPr="00436BD9">
        <w:rPr>
          <w:rFonts w:ascii="Calibri" w:eastAsia="Calibri" w:hAnsi="Calibri" w:cs="Times New Roman"/>
          <w:b/>
          <w:sz w:val="20"/>
          <w:szCs w:val="20"/>
          <w:lang w:val="en-GB"/>
        </w:rPr>
        <w:t xml:space="preserve">Table </w:t>
      </w:r>
      <w:r w:rsidR="00711405">
        <w:rPr>
          <w:rFonts w:ascii="Calibri" w:eastAsia="Calibri" w:hAnsi="Calibri" w:cs="Times New Roman"/>
          <w:b/>
          <w:sz w:val="20"/>
          <w:szCs w:val="20"/>
          <w:lang w:val="en-GB"/>
        </w:rPr>
        <w:t>2</w:t>
      </w:r>
      <w:r w:rsidRPr="00436BD9">
        <w:rPr>
          <w:rFonts w:ascii="Calibri" w:eastAsia="Calibri" w:hAnsi="Calibri" w:cs="Times New Roman"/>
          <w:b/>
          <w:sz w:val="20"/>
          <w:szCs w:val="20"/>
          <w:lang w:val="en-GB"/>
        </w:rPr>
        <w:t>.</w:t>
      </w:r>
      <w:r w:rsidRPr="00436BD9">
        <w:rPr>
          <w:rFonts w:ascii="Calibri" w:eastAsia="Calibri" w:hAnsi="Calibri" w:cs="Times New Roman"/>
          <w:sz w:val="20"/>
          <w:szCs w:val="20"/>
          <w:lang w:val="en-GB"/>
        </w:rPr>
        <w:t xml:space="preserve"> Estimated total number of hip fractures (ICD-10 codes S72.0, S72.1, S72.2) in men and in women age 50 years and older in 2015 projected up to 2050 in Bulgaria. </w:t>
      </w:r>
    </w:p>
    <w:tbl>
      <w:tblPr>
        <w:tblStyle w:val="TableGrid2"/>
        <w:tblW w:w="0" w:type="auto"/>
        <w:tblInd w:w="70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048"/>
        <w:gridCol w:w="1191"/>
        <w:gridCol w:w="1191"/>
        <w:gridCol w:w="1191"/>
        <w:gridCol w:w="1191"/>
      </w:tblGrid>
      <w:tr w:rsidR="00436BD9" w:rsidRPr="00436BD9" w14:paraId="03BB76E7" w14:textId="77777777" w:rsidTr="00C566CC">
        <w:tc>
          <w:tcPr>
            <w:tcW w:w="1980" w:type="dxa"/>
          </w:tcPr>
          <w:p w14:paraId="7C0AE793" w14:textId="77777777" w:rsidR="00436BD9" w:rsidRPr="00436BD9" w:rsidRDefault="00436BD9" w:rsidP="00436BD9">
            <w:pPr>
              <w:spacing w:line="360" w:lineRule="auto"/>
              <w:rPr>
                <w:lang w:val="ru-RU"/>
              </w:rPr>
            </w:pPr>
          </w:p>
        </w:tc>
        <w:tc>
          <w:tcPr>
            <w:tcW w:w="1048" w:type="dxa"/>
            <w:tcBorders>
              <w:top w:val="single" w:sz="4" w:space="0" w:color="auto"/>
              <w:bottom w:val="single" w:sz="4" w:space="0" w:color="auto"/>
            </w:tcBorders>
            <w:hideMark/>
          </w:tcPr>
          <w:p w14:paraId="4962E81D" w14:textId="77777777" w:rsidR="00436BD9" w:rsidRPr="00436BD9" w:rsidRDefault="00436BD9" w:rsidP="00436BD9">
            <w:pPr>
              <w:spacing w:line="360" w:lineRule="auto"/>
              <w:jc w:val="center"/>
              <w:rPr>
                <w:lang w:val="ru-RU"/>
              </w:rPr>
            </w:pPr>
            <w:r w:rsidRPr="00436BD9">
              <w:rPr>
                <w:lang w:val="ru-RU"/>
              </w:rPr>
              <w:t>2015</w:t>
            </w:r>
          </w:p>
        </w:tc>
        <w:tc>
          <w:tcPr>
            <w:tcW w:w="1191" w:type="dxa"/>
            <w:tcBorders>
              <w:top w:val="single" w:sz="4" w:space="0" w:color="auto"/>
              <w:bottom w:val="single" w:sz="4" w:space="0" w:color="auto"/>
            </w:tcBorders>
            <w:hideMark/>
          </w:tcPr>
          <w:p w14:paraId="726F8829" w14:textId="77777777" w:rsidR="00436BD9" w:rsidRPr="00436BD9" w:rsidRDefault="00436BD9" w:rsidP="00436BD9">
            <w:pPr>
              <w:spacing w:line="360" w:lineRule="auto"/>
              <w:jc w:val="center"/>
              <w:rPr>
                <w:lang w:val="ru-RU"/>
              </w:rPr>
            </w:pPr>
            <w:r w:rsidRPr="00436BD9">
              <w:rPr>
                <w:lang w:val="ru-RU"/>
              </w:rPr>
              <w:t>2020</w:t>
            </w:r>
          </w:p>
        </w:tc>
        <w:tc>
          <w:tcPr>
            <w:tcW w:w="1191" w:type="dxa"/>
            <w:tcBorders>
              <w:top w:val="single" w:sz="4" w:space="0" w:color="auto"/>
              <w:bottom w:val="single" w:sz="4" w:space="0" w:color="auto"/>
            </w:tcBorders>
            <w:hideMark/>
          </w:tcPr>
          <w:p w14:paraId="3BC76EC0" w14:textId="77777777" w:rsidR="00436BD9" w:rsidRPr="00436BD9" w:rsidRDefault="00436BD9" w:rsidP="00436BD9">
            <w:pPr>
              <w:spacing w:line="360" w:lineRule="auto"/>
              <w:jc w:val="center"/>
              <w:rPr>
                <w:lang w:val="ru-RU"/>
              </w:rPr>
            </w:pPr>
            <w:r w:rsidRPr="00436BD9">
              <w:rPr>
                <w:lang w:val="ru-RU"/>
              </w:rPr>
              <w:t>2030</w:t>
            </w:r>
          </w:p>
        </w:tc>
        <w:tc>
          <w:tcPr>
            <w:tcW w:w="1191" w:type="dxa"/>
            <w:tcBorders>
              <w:top w:val="single" w:sz="4" w:space="0" w:color="auto"/>
              <w:bottom w:val="single" w:sz="4" w:space="0" w:color="auto"/>
            </w:tcBorders>
            <w:hideMark/>
          </w:tcPr>
          <w:p w14:paraId="6CF09E47" w14:textId="77777777" w:rsidR="00436BD9" w:rsidRPr="00436BD9" w:rsidRDefault="00436BD9" w:rsidP="00436BD9">
            <w:pPr>
              <w:spacing w:line="360" w:lineRule="auto"/>
              <w:jc w:val="center"/>
              <w:rPr>
                <w:lang w:val="ru-RU"/>
              </w:rPr>
            </w:pPr>
            <w:r w:rsidRPr="00436BD9">
              <w:rPr>
                <w:lang w:val="ru-RU"/>
              </w:rPr>
              <w:t>2040</w:t>
            </w:r>
          </w:p>
        </w:tc>
        <w:tc>
          <w:tcPr>
            <w:tcW w:w="1191" w:type="dxa"/>
            <w:tcBorders>
              <w:top w:val="single" w:sz="4" w:space="0" w:color="auto"/>
              <w:bottom w:val="single" w:sz="4" w:space="0" w:color="auto"/>
            </w:tcBorders>
            <w:hideMark/>
          </w:tcPr>
          <w:p w14:paraId="65F50486" w14:textId="77777777" w:rsidR="00436BD9" w:rsidRPr="00436BD9" w:rsidRDefault="00436BD9" w:rsidP="00436BD9">
            <w:pPr>
              <w:spacing w:line="360" w:lineRule="auto"/>
              <w:jc w:val="center"/>
              <w:rPr>
                <w:lang w:val="ru-RU"/>
              </w:rPr>
            </w:pPr>
            <w:r w:rsidRPr="00436BD9">
              <w:rPr>
                <w:lang w:val="ru-RU"/>
              </w:rPr>
              <w:t>2050</w:t>
            </w:r>
          </w:p>
        </w:tc>
      </w:tr>
      <w:tr w:rsidR="00436BD9" w:rsidRPr="00436BD9" w14:paraId="4BDE0866" w14:textId="77777777" w:rsidTr="00C566CC">
        <w:tc>
          <w:tcPr>
            <w:tcW w:w="1980" w:type="dxa"/>
            <w:hideMark/>
          </w:tcPr>
          <w:p w14:paraId="49CD36D0" w14:textId="77777777" w:rsidR="00436BD9" w:rsidRPr="00436BD9" w:rsidRDefault="00436BD9" w:rsidP="00436BD9">
            <w:pPr>
              <w:spacing w:line="360" w:lineRule="auto"/>
              <w:rPr>
                <w:lang w:val="ru-RU"/>
              </w:rPr>
            </w:pPr>
            <w:r w:rsidRPr="00436BD9">
              <w:rPr>
                <w:lang w:val="ru-RU"/>
              </w:rPr>
              <w:t>Men</w:t>
            </w:r>
          </w:p>
        </w:tc>
        <w:tc>
          <w:tcPr>
            <w:tcW w:w="1048" w:type="dxa"/>
            <w:tcBorders>
              <w:top w:val="single" w:sz="4" w:space="0" w:color="auto"/>
            </w:tcBorders>
            <w:hideMark/>
          </w:tcPr>
          <w:p w14:paraId="60BC9A8F" w14:textId="77777777" w:rsidR="00436BD9" w:rsidRPr="00436BD9" w:rsidRDefault="00436BD9" w:rsidP="00436BD9">
            <w:pPr>
              <w:spacing w:line="360" w:lineRule="auto"/>
              <w:jc w:val="center"/>
              <w:rPr>
                <w:lang w:val="ru-RU"/>
              </w:rPr>
            </w:pPr>
            <w:r w:rsidRPr="00436BD9">
              <w:rPr>
                <w:lang w:val="ru-RU"/>
              </w:rPr>
              <w:t>2521</w:t>
            </w:r>
          </w:p>
        </w:tc>
        <w:tc>
          <w:tcPr>
            <w:tcW w:w="1191" w:type="dxa"/>
            <w:tcBorders>
              <w:top w:val="single" w:sz="4" w:space="0" w:color="auto"/>
            </w:tcBorders>
            <w:hideMark/>
          </w:tcPr>
          <w:p w14:paraId="3E82475A" w14:textId="77777777" w:rsidR="00436BD9" w:rsidRPr="00436BD9" w:rsidRDefault="00436BD9" w:rsidP="00436BD9">
            <w:pPr>
              <w:spacing w:line="360" w:lineRule="auto"/>
              <w:jc w:val="center"/>
              <w:rPr>
                <w:lang w:val="ru-RU"/>
              </w:rPr>
            </w:pPr>
            <w:r w:rsidRPr="00436BD9">
              <w:rPr>
                <w:lang w:val="ru-RU"/>
              </w:rPr>
              <w:t>2567</w:t>
            </w:r>
          </w:p>
        </w:tc>
        <w:tc>
          <w:tcPr>
            <w:tcW w:w="1191" w:type="dxa"/>
            <w:tcBorders>
              <w:top w:val="single" w:sz="4" w:space="0" w:color="auto"/>
            </w:tcBorders>
            <w:hideMark/>
          </w:tcPr>
          <w:p w14:paraId="26F814A6" w14:textId="77777777" w:rsidR="00436BD9" w:rsidRPr="00436BD9" w:rsidRDefault="00436BD9" w:rsidP="00436BD9">
            <w:pPr>
              <w:spacing w:line="360" w:lineRule="auto"/>
              <w:jc w:val="center"/>
              <w:rPr>
                <w:lang w:val="ru-RU"/>
              </w:rPr>
            </w:pPr>
            <w:r w:rsidRPr="00436BD9">
              <w:rPr>
                <w:lang w:val="ru-RU"/>
              </w:rPr>
              <w:t>2739</w:t>
            </w:r>
          </w:p>
        </w:tc>
        <w:tc>
          <w:tcPr>
            <w:tcW w:w="1191" w:type="dxa"/>
            <w:tcBorders>
              <w:top w:val="single" w:sz="4" w:space="0" w:color="auto"/>
            </w:tcBorders>
            <w:hideMark/>
          </w:tcPr>
          <w:p w14:paraId="163CECB0" w14:textId="77777777" w:rsidR="00436BD9" w:rsidRPr="00436BD9" w:rsidRDefault="00436BD9" w:rsidP="00436BD9">
            <w:pPr>
              <w:spacing w:line="360" w:lineRule="auto"/>
              <w:jc w:val="center"/>
              <w:rPr>
                <w:lang w:val="ru-RU"/>
              </w:rPr>
            </w:pPr>
            <w:r w:rsidRPr="00436BD9">
              <w:rPr>
                <w:lang w:val="ru-RU"/>
              </w:rPr>
              <w:t>2903</w:t>
            </w:r>
          </w:p>
        </w:tc>
        <w:tc>
          <w:tcPr>
            <w:tcW w:w="1191" w:type="dxa"/>
            <w:tcBorders>
              <w:top w:val="single" w:sz="4" w:space="0" w:color="auto"/>
            </w:tcBorders>
            <w:hideMark/>
          </w:tcPr>
          <w:p w14:paraId="3A50E13F" w14:textId="77777777" w:rsidR="00436BD9" w:rsidRPr="00436BD9" w:rsidRDefault="00436BD9" w:rsidP="00436BD9">
            <w:pPr>
              <w:spacing w:line="360" w:lineRule="auto"/>
              <w:jc w:val="center"/>
              <w:rPr>
                <w:lang w:val="ru-RU"/>
              </w:rPr>
            </w:pPr>
            <w:r w:rsidRPr="00436BD9">
              <w:rPr>
                <w:lang w:val="ru-RU"/>
              </w:rPr>
              <w:t>2973</w:t>
            </w:r>
          </w:p>
        </w:tc>
      </w:tr>
      <w:tr w:rsidR="00436BD9" w:rsidRPr="00436BD9" w14:paraId="621649F8" w14:textId="77777777" w:rsidTr="00C566CC">
        <w:tc>
          <w:tcPr>
            <w:tcW w:w="1980" w:type="dxa"/>
            <w:hideMark/>
          </w:tcPr>
          <w:p w14:paraId="1FF51B15" w14:textId="77777777" w:rsidR="00436BD9" w:rsidRPr="00436BD9" w:rsidRDefault="00436BD9" w:rsidP="00436BD9">
            <w:pPr>
              <w:spacing w:line="360" w:lineRule="auto"/>
              <w:rPr>
                <w:lang w:val="ru-RU"/>
              </w:rPr>
            </w:pPr>
            <w:r w:rsidRPr="00436BD9">
              <w:rPr>
                <w:lang w:val="ru-RU"/>
              </w:rPr>
              <w:t>Women</w:t>
            </w:r>
          </w:p>
        </w:tc>
        <w:tc>
          <w:tcPr>
            <w:tcW w:w="1048" w:type="dxa"/>
            <w:hideMark/>
          </w:tcPr>
          <w:p w14:paraId="191CA8EE" w14:textId="77777777" w:rsidR="00436BD9" w:rsidRPr="00436BD9" w:rsidRDefault="00436BD9" w:rsidP="00436BD9">
            <w:pPr>
              <w:spacing w:line="360" w:lineRule="auto"/>
              <w:jc w:val="center"/>
              <w:rPr>
                <w:lang w:val="ru-RU"/>
              </w:rPr>
            </w:pPr>
            <w:r w:rsidRPr="00436BD9">
              <w:rPr>
                <w:lang w:val="ru-RU"/>
              </w:rPr>
              <w:t>6801</w:t>
            </w:r>
          </w:p>
        </w:tc>
        <w:tc>
          <w:tcPr>
            <w:tcW w:w="1191" w:type="dxa"/>
            <w:hideMark/>
          </w:tcPr>
          <w:p w14:paraId="7B89840E" w14:textId="77777777" w:rsidR="00436BD9" w:rsidRPr="00436BD9" w:rsidRDefault="00436BD9" w:rsidP="00436BD9">
            <w:pPr>
              <w:spacing w:line="360" w:lineRule="auto"/>
              <w:jc w:val="center"/>
              <w:rPr>
                <w:lang w:val="ru-RU"/>
              </w:rPr>
            </w:pPr>
            <w:r w:rsidRPr="00436BD9">
              <w:rPr>
                <w:lang w:val="ru-RU"/>
              </w:rPr>
              <w:t>7136</w:t>
            </w:r>
          </w:p>
        </w:tc>
        <w:tc>
          <w:tcPr>
            <w:tcW w:w="1191" w:type="dxa"/>
            <w:hideMark/>
          </w:tcPr>
          <w:p w14:paraId="659C05DE" w14:textId="77777777" w:rsidR="00436BD9" w:rsidRPr="00436BD9" w:rsidRDefault="00436BD9" w:rsidP="00436BD9">
            <w:pPr>
              <w:spacing w:line="360" w:lineRule="auto"/>
              <w:jc w:val="center"/>
              <w:rPr>
                <w:lang w:val="ru-RU"/>
              </w:rPr>
            </w:pPr>
            <w:r w:rsidRPr="00436BD9">
              <w:rPr>
                <w:lang w:val="ru-RU"/>
              </w:rPr>
              <w:t>7923</w:t>
            </w:r>
          </w:p>
        </w:tc>
        <w:tc>
          <w:tcPr>
            <w:tcW w:w="1191" w:type="dxa"/>
            <w:hideMark/>
          </w:tcPr>
          <w:p w14:paraId="2D9A0E5C" w14:textId="77777777" w:rsidR="00436BD9" w:rsidRPr="00436BD9" w:rsidRDefault="00436BD9" w:rsidP="00436BD9">
            <w:pPr>
              <w:spacing w:line="360" w:lineRule="auto"/>
              <w:jc w:val="center"/>
              <w:rPr>
                <w:lang w:val="ru-RU"/>
              </w:rPr>
            </w:pPr>
            <w:r w:rsidRPr="00436BD9">
              <w:rPr>
                <w:lang w:val="ru-RU"/>
              </w:rPr>
              <w:t>8397</w:t>
            </w:r>
          </w:p>
        </w:tc>
        <w:tc>
          <w:tcPr>
            <w:tcW w:w="1191" w:type="dxa"/>
            <w:hideMark/>
          </w:tcPr>
          <w:p w14:paraId="0A25AACE" w14:textId="77777777" w:rsidR="00436BD9" w:rsidRPr="00436BD9" w:rsidRDefault="00436BD9" w:rsidP="00436BD9">
            <w:pPr>
              <w:spacing w:line="360" w:lineRule="auto"/>
              <w:jc w:val="center"/>
              <w:rPr>
                <w:lang w:val="ru-RU"/>
              </w:rPr>
            </w:pPr>
            <w:r w:rsidRPr="00436BD9">
              <w:rPr>
                <w:lang w:val="ru-RU"/>
              </w:rPr>
              <w:t>8425</w:t>
            </w:r>
          </w:p>
        </w:tc>
      </w:tr>
      <w:tr w:rsidR="00436BD9" w:rsidRPr="00436BD9" w14:paraId="4B569094" w14:textId="77777777" w:rsidTr="00C566CC">
        <w:tc>
          <w:tcPr>
            <w:tcW w:w="1980" w:type="dxa"/>
          </w:tcPr>
          <w:p w14:paraId="0C20A496" w14:textId="77777777" w:rsidR="00436BD9" w:rsidRPr="00436BD9" w:rsidRDefault="00436BD9" w:rsidP="00436BD9">
            <w:pPr>
              <w:spacing w:line="360" w:lineRule="auto"/>
              <w:rPr>
                <w:lang w:val="ru-RU"/>
              </w:rPr>
            </w:pPr>
            <w:r w:rsidRPr="00436BD9">
              <w:rPr>
                <w:lang w:val="ru-RU"/>
              </w:rPr>
              <w:t>Total</w:t>
            </w:r>
          </w:p>
        </w:tc>
        <w:tc>
          <w:tcPr>
            <w:tcW w:w="1048" w:type="dxa"/>
          </w:tcPr>
          <w:p w14:paraId="5B56BAC6" w14:textId="77777777" w:rsidR="00436BD9" w:rsidRPr="00436BD9" w:rsidRDefault="00436BD9" w:rsidP="00436BD9">
            <w:pPr>
              <w:spacing w:line="360" w:lineRule="auto"/>
              <w:jc w:val="center"/>
              <w:rPr>
                <w:lang w:val="ru-RU"/>
              </w:rPr>
            </w:pPr>
            <w:r w:rsidRPr="00436BD9">
              <w:rPr>
                <w:lang w:val="ru-RU"/>
              </w:rPr>
              <w:t>9322</w:t>
            </w:r>
          </w:p>
        </w:tc>
        <w:tc>
          <w:tcPr>
            <w:tcW w:w="1191" w:type="dxa"/>
          </w:tcPr>
          <w:p w14:paraId="2948252F" w14:textId="77777777" w:rsidR="00436BD9" w:rsidRPr="00436BD9" w:rsidRDefault="00436BD9" w:rsidP="00436BD9">
            <w:pPr>
              <w:spacing w:line="360" w:lineRule="auto"/>
              <w:jc w:val="center"/>
              <w:rPr>
                <w:lang w:val="ru-RU"/>
              </w:rPr>
            </w:pPr>
            <w:r w:rsidRPr="00436BD9">
              <w:rPr>
                <w:lang w:val="ru-RU"/>
              </w:rPr>
              <w:t>9703</w:t>
            </w:r>
          </w:p>
        </w:tc>
        <w:tc>
          <w:tcPr>
            <w:tcW w:w="1191" w:type="dxa"/>
          </w:tcPr>
          <w:p w14:paraId="4FC73B17" w14:textId="77777777" w:rsidR="00436BD9" w:rsidRPr="00436BD9" w:rsidRDefault="00436BD9" w:rsidP="00436BD9">
            <w:pPr>
              <w:spacing w:line="360" w:lineRule="auto"/>
              <w:jc w:val="center"/>
              <w:rPr>
                <w:lang w:val="ru-RU"/>
              </w:rPr>
            </w:pPr>
            <w:r w:rsidRPr="00436BD9">
              <w:rPr>
                <w:lang w:val="ru-RU"/>
              </w:rPr>
              <w:t>10662</w:t>
            </w:r>
          </w:p>
        </w:tc>
        <w:tc>
          <w:tcPr>
            <w:tcW w:w="1191" w:type="dxa"/>
          </w:tcPr>
          <w:p w14:paraId="2932B1FB" w14:textId="77777777" w:rsidR="00436BD9" w:rsidRPr="00436BD9" w:rsidRDefault="00436BD9" w:rsidP="00436BD9">
            <w:pPr>
              <w:spacing w:line="360" w:lineRule="auto"/>
              <w:jc w:val="center"/>
              <w:rPr>
                <w:lang w:val="ru-RU"/>
              </w:rPr>
            </w:pPr>
            <w:r w:rsidRPr="00436BD9">
              <w:rPr>
                <w:lang w:val="ru-RU"/>
              </w:rPr>
              <w:t>11300</w:t>
            </w:r>
          </w:p>
        </w:tc>
        <w:tc>
          <w:tcPr>
            <w:tcW w:w="1191" w:type="dxa"/>
          </w:tcPr>
          <w:p w14:paraId="18E2AEBF" w14:textId="77777777" w:rsidR="00436BD9" w:rsidRPr="00436BD9" w:rsidRDefault="00436BD9" w:rsidP="00436BD9">
            <w:pPr>
              <w:spacing w:line="360" w:lineRule="auto"/>
              <w:jc w:val="center"/>
              <w:rPr>
                <w:lang w:val="ru-RU"/>
              </w:rPr>
            </w:pPr>
            <w:r w:rsidRPr="00436BD9">
              <w:rPr>
                <w:lang w:val="ru-RU"/>
              </w:rPr>
              <w:t>11398</w:t>
            </w:r>
          </w:p>
        </w:tc>
      </w:tr>
      <w:tr w:rsidR="00436BD9" w:rsidRPr="00436BD9" w14:paraId="43142D9D" w14:textId="77777777" w:rsidTr="00C566CC">
        <w:tc>
          <w:tcPr>
            <w:tcW w:w="1980" w:type="dxa"/>
          </w:tcPr>
          <w:p w14:paraId="52F56AA3" w14:textId="77777777" w:rsidR="00436BD9" w:rsidRPr="00436BD9" w:rsidRDefault="00436BD9" w:rsidP="00436BD9">
            <w:pPr>
              <w:spacing w:line="360" w:lineRule="auto"/>
              <w:rPr>
                <w:lang w:val="ru-RU"/>
              </w:rPr>
            </w:pPr>
            <w:r w:rsidRPr="00436BD9">
              <w:rPr>
                <w:lang w:val="ru-RU"/>
              </w:rPr>
              <w:t>Increase (%)</w:t>
            </w:r>
          </w:p>
        </w:tc>
        <w:tc>
          <w:tcPr>
            <w:tcW w:w="1048" w:type="dxa"/>
          </w:tcPr>
          <w:p w14:paraId="2C08C622" w14:textId="77777777" w:rsidR="00436BD9" w:rsidRPr="00436BD9" w:rsidRDefault="00436BD9" w:rsidP="00436BD9">
            <w:pPr>
              <w:spacing w:line="360" w:lineRule="auto"/>
              <w:jc w:val="center"/>
              <w:rPr>
                <w:lang w:val="ru-RU"/>
              </w:rPr>
            </w:pPr>
            <w:r w:rsidRPr="00436BD9">
              <w:rPr>
                <w:lang w:val="ru-RU"/>
              </w:rPr>
              <w:t>-</w:t>
            </w:r>
          </w:p>
        </w:tc>
        <w:tc>
          <w:tcPr>
            <w:tcW w:w="1191" w:type="dxa"/>
          </w:tcPr>
          <w:p w14:paraId="67A5D4CD" w14:textId="77777777" w:rsidR="00436BD9" w:rsidRPr="00436BD9" w:rsidRDefault="00436BD9" w:rsidP="00436BD9">
            <w:pPr>
              <w:spacing w:line="360" w:lineRule="auto"/>
              <w:jc w:val="center"/>
              <w:rPr>
                <w:lang w:val="ru-RU"/>
              </w:rPr>
            </w:pPr>
            <w:r w:rsidRPr="00436BD9">
              <w:rPr>
                <w:lang w:val="ru-RU"/>
              </w:rPr>
              <w:t>4</w:t>
            </w:r>
          </w:p>
        </w:tc>
        <w:tc>
          <w:tcPr>
            <w:tcW w:w="1191" w:type="dxa"/>
          </w:tcPr>
          <w:p w14:paraId="5FE19D21" w14:textId="77777777" w:rsidR="00436BD9" w:rsidRPr="00436BD9" w:rsidRDefault="00436BD9" w:rsidP="00436BD9">
            <w:pPr>
              <w:spacing w:line="360" w:lineRule="auto"/>
              <w:jc w:val="center"/>
              <w:rPr>
                <w:lang w:val="ru-RU"/>
              </w:rPr>
            </w:pPr>
            <w:r w:rsidRPr="00436BD9">
              <w:rPr>
                <w:lang w:val="ru-RU"/>
              </w:rPr>
              <w:t>14</w:t>
            </w:r>
          </w:p>
        </w:tc>
        <w:tc>
          <w:tcPr>
            <w:tcW w:w="1191" w:type="dxa"/>
          </w:tcPr>
          <w:p w14:paraId="6D55E0F7" w14:textId="77777777" w:rsidR="00436BD9" w:rsidRPr="00436BD9" w:rsidRDefault="00436BD9" w:rsidP="00436BD9">
            <w:pPr>
              <w:spacing w:line="360" w:lineRule="auto"/>
              <w:jc w:val="center"/>
              <w:rPr>
                <w:lang w:val="ru-RU"/>
              </w:rPr>
            </w:pPr>
            <w:r w:rsidRPr="00436BD9">
              <w:rPr>
                <w:lang w:val="ru-RU"/>
              </w:rPr>
              <w:t>21</w:t>
            </w:r>
          </w:p>
        </w:tc>
        <w:tc>
          <w:tcPr>
            <w:tcW w:w="1191" w:type="dxa"/>
          </w:tcPr>
          <w:p w14:paraId="12A445BD" w14:textId="77777777" w:rsidR="00436BD9" w:rsidRPr="00436BD9" w:rsidRDefault="00436BD9" w:rsidP="00436BD9">
            <w:pPr>
              <w:spacing w:line="360" w:lineRule="auto"/>
              <w:jc w:val="center"/>
              <w:rPr>
                <w:lang w:val="ru-RU"/>
              </w:rPr>
            </w:pPr>
            <w:r w:rsidRPr="00436BD9">
              <w:rPr>
                <w:lang w:val="ru-RU"/>
              </w:rPr>
              <w:t>22</w:t>
            </w:r>
          </w:p>
        </w:tc>
      </w:tr>
    </w:tbl>
    <w:p w14:paraId="18602A57" w14:textId="77777777" w:rsidR="00436BD9" w:rsidRPr="0099220F" w:rsidRDefault="00436BD9" w:rsidP="001A0941">
      <w:pPr>
        <w:ind w:left="567"/>
        <w:rPr>
          <w:rFonts w:ascii="Arial" w:hAnsi="Arial" w:cs="Arial"/>
          <w:lang w:val="en-GB"/>
        </w:rPr>
      </w:pPr>
    </w:p>
    <w:p w14:paraId="5095B00F" w14:textId="67FCB19F" w:rsidR="003E6CB6" w:rsidRDefault="003E6CB6" w:rsidP="0003062D">
      <w:pPr>
        <w:spacing w:after="0" w:line="276" w:lineRule="auto"/>
        <w:ind w:left="567" w:right="1275"/>
        <w:rPr>
          <w:rFonts w:ascii="Calibri" w:eastAsia="Times New Roman" w:hAnsi="Calibri" w:cs="Calibri"/>
          <w:i/>
          <w:iCs/>
          <w:sz w:val="24"/>
          <w:szCs w:val="24"/>
          <w:lang w:eastAsia="ru-RU"/>
        </w:rPr>
      </w:pPr>
      <w:r w:rsidRPr="004B2E67">
        <w:rPr>
          <w:rFonts w:ascii="Calibri" w:eastAsia="Times New Roman" w:hAnsi="Calibri" w:cs="Calibri"/>
          <w:i/>
          <w:iCs/>
          <w:sz w:val="24"/>
          <w:szCs w:val="24"/>
          <w:lang w:eastAsia="ru-RU"/>
        </w:rPr>
        <w:t>Fracture probability</w:t>
      </w:r>
    </w:p>
    <w:p w14:paraId="64371F2A" w14:textId="77777777" w:rsidR="004B2E67" w:rsidRPr="004B2E67" w:rsidRDefault="004B2E67" w:rsidP="0003062D">
      <w:pPr>
        <w:spacing w:after="0" w:line="276" w:lineRule="auto"/>
        <w:ind w:left="567" w:right="1275"/>
        <w:rPr>
          <w:rFonts w:ascii="Calibri" w:eastAsia="Times New Roman" w:hAnsi="Calibri" w:cs="Calibri"/>
          <w:i/>
          <w:iCs/>
          <w:sz w:val="24"/>
          <w:szCs w:val="24"/>
          <w:lang w:eastAsia="ru-RU"/>
        </w:rPr>
      </w:pPr>
    </w:p>
    <w:p w14:paraId="497973F2" w14:textId="54BDF553" w:rsidR="0003062D" w:rsidRDefault="0003062D" w:rsidP="004B2E67">
      <w:pPr>
        <w:spacing w:after="0" w:line="276" w:lineRule="auto"/>
        <w:ind w:left="567" w:right="4"/>
        <w:rPr>
          <w:rFonts w:ascii="Calibri" w:eastAsia="Times New Roman" w:hAnsi="Calibri" w:cs="Calibri"/>
          <w:sz w:val="24"/>
          <w:szCs w:val="24"/>
          <w:lang w:eastAsia="ru-RU"/>
        </w:rPr>
      </w:pPr>
      <w:r w:rsidRPr="0003062D">
        <w:rPr>
          <w:rFonts w:ascii="Calibri" w:eastAsia="Times New Roman" w:hAnsi="Calibri" w:cs="Calibri"/>
          <w:sz w:val="24"/>
          <w:szCs w:val="24"/>
          <w:lang w:eastAsia="ru-RU"/>
        </w:rPr>
        <w:t xml:space="preserve">The 10-year probability of major osteoporotic fracture and hip fracture in </w:t>
      </w:r>
      <w:r w:rsidR="00C63575">
        <w:rPr>
          <w:rFonts w:ascii="Calibri" w:eastAsia="Times New Roman" w:hAnsi="Calibri" w:cs="Calibri"/>
          <w:sz w:val="24"/>
          <w:szCs w:val="24"/>
          <w:lang w:eastAsia="ru-RU"/>
        </w:rPr>
        <w:t>Bulgaria</w:t>
      </w:r>
      <w:r w:rsidRPr="0003062D">
        <w:rPr>
          <w:rFonts w:ascii="Calibri" w:eastAsia="Times New Roman" w:hAnsi="Calibri" w:cs="Calibri"/>
          <w:sz w:val="24"/>
          <w:szCs w:val="24"/>
          <w:lang w:eastAsia="ru-RU"/>
        </w:rPr>
        <w:t xml:space="preserve"> and neighbouring countries is shown in </w:t>
      </w:r>
      <w:r w:rsidR="00183597">
        <w:rPr>
          <w:rFonts w:ascii="Calibri" w:eastAsia="Times New Roman" w:hAnsi="Calibri" w:cs="Calibri"/>
          <w:sz w:val="24"/>
          <w:szCs w:val="24"/>
          <w:lang w:eastAsia="ru-RU"/>
        </w:rPr>
        <w:t xml:space="preserve">Table </w:t>
      </w:r>
      <w:r w:rsidR="00C6447D">
        <w:rPr>
          <w:rFonts w:ascii="Calibri" w:eastAsia="Times New Roman" w:hAnsi="Calibri" w:cs="Calibri"/>
          <w:sz w:val="24"/>
          <w:szCs w:val="24"/>
          <w:lang w:eastAsia="ru-RU"/>
        </w:rPr>
        <w:t>3</w:t>
      </w:r>
      <w:r w:rsidRPr="0003062D">
        <w:rPr>
          <w:rFonts w:ascii="Times New Roman" w:eastAsia="Times New Roman" w:hAnsi="Times New Roman" w:cs="Times New Roman"/>
          <w:sz w:val="24"/>
          <w:szCs w:val="24"/>
          <w:lang w:val="ru-RU" w:eastAsia="ru-RU"/>
        </w:rPr>
        <w:t xml:space="preserve"> </w:t>
      </w:r>
      <w:r w:rsidRPr="0003062D">
        <w:rPr>
          <w:rFonts w:ascii="Calibri" w:eastAsia="Times New Roman" w:hAnsi="Calibri" w:cs="Calibri"/>
          <w:sz w:val="24"/>
          <w:szCs w:val="24"/>
          <w:lang w:eastAsia="ru-RU"/>
        </w:rPr>
        <w:t>in women with a prior fracture by age.  Ten-year probabilities were consistently higher than in the neighbo</w:t>
      </w:r>
      <w:r w:rsidR="00E52DE5">
        <w:rPr>
          <w:rFonts w:ascii="Calibri" w:eastAsia="Times New Roman" w:hAnsi="Calibri" w:cs="Calibri"/>
          <w:sz w:val="24"/>
          <w:szCs w:val="24"/>
          <w:lang w:eastAsia="ru-RU"/>
        </w:rPr>
        <w:t>u</w:t>
      </w:r>
      <w:r w:rsidRPr="0003062D">
        <w:rPr>
          <w:rFonts w:ascii="Calibri" w:eastAsia="Times New Roman" w:hAnsi="Calibri" w:cs="Calibri"/>
          <w:sz w:val="24"/>
          <w:szCs w:val="24"/>
          <w:lang w:eastAsia="ru-RU"/>
        </w:rPr>
        <w:t xml:space="preserve">ring countries of </w:t>
      </w:r>
      <w:r w:rsidR="009931ED" w:rsidRPr="009931ED">
        <w:rPr>
          <w:rFonts w:ascii="Calibri" w:eastAsia="Times New Roman" w:hAnsi="Calibri" w:cs="Calibri"/>
          <w:sz w:val="24"/>
          <w:szCs w:val="24"/>
          <w:lang w:eastAsia="ru-RU"/>
        </w:rPr>
        <w:t xml:space="preserve">Serbia </w:t>
      </w:r>
      <w:r w:rsidR="00C451C0">
        <w:rPr>
          <w:rFonts w:ascii="Calibri" w:eastAsia="Times New Roman" w:hAnsi="Calibri" w:cs="Calibri"/>
          <w:sz w:val="24"/>
          <w:szCs w:val="24"/>
          <w:lang w:eastAsia="ru-RU"/>
        </w:rPr>
        <w:t>and</w:t>
      </w:r>
      <w:r w:rsidR="009931ED" w:rsidRPr="009931ED">
        <w:rPr>
          <w:rFonts w:ascii="Calibri" w:eastAsia="Times New Roman" w:hAnsi="Calibri" w:cs="Calibri"/>
          <w:sz w:val="24"/>
          <w:szCs w:val="24"/>
          <w:lang w:eastAsia="ru-RU"/>
        </w:rPr>
        <w:t xml:space="preserve"> </w:t>
      </w:r>
      <w:r w:rsidR="00FE2861" w:rsidRPr="009931ED">
        <w:rPr>
          <w:rFonts w:ascii="Calibri" w:eastAsia="Times New Roman" w:hAnsi="Calibri" w:cs="Calibri"/>
          <w:sz w:val="24"/>
          <w:szCs w:val="24"/>
          <w:lang w:eastAsia="ru-RU"/>
        </w:rPr>
        <w:t>Romania, lower</w:t>
      </w:r>
      <w:r w:rsidR="009931ED" w:rsidRPr="009931ED">
        <w:rPr>
          <w:rFonts w:ascii="Calibri" w:eastAsia="Times New Roman" w:hAnsi="Calibri" w:cs="Calibri"/>
          <w:sz w:val="24"/>
          <w:szCs w:val="24"/>
          <w:lang w:eastAsia="ru-RU"/>
        </w:rPr>
        <w:t xml:space="preserve"> than probabilities for Turkey and similar to those for Greece.</w:t>
      </w:r>
    </w:p>
    <w:p w14:paraId="74F3B539" w14:textId="447C39ED" w:rsidR="005333EB" w:rsidRDefault="005333EB" w:rsidP="0003062D">
      <w:pPr>
        <w:spacing w:after="0" w:line="276" w:lineRule="auto"/>
        <w:ind w:left="567" w:right="1275"/>
        <w:rPr>
          <w:rFonts w:ascii="Calibri" w:eastAsia="Times New Roman" w:hAnsi="Calibri" w:cs="Calibri"/>
          <w:sz w:val="24"/>
          <w:szCs w:val="24"/>
          <w:lang w:eastAsia="ru-RU"/>
        </w:rPr>
      </w:pPr>
    </w:p>
    <w:p w14:paraId="426AB0A6" w14:textId="77777777" w:rsidR="003F2672" w:rsidRDefault="003F2672" w:rsidP="0003062D">
      <w:pPr>
        <w:spacing w:after="0" w:line="276" w:lineRule="auto"/>
        <w:ind w:left="567" w:right="1275"/>
        <w:rPr>
          <w:rFonts w:ascii="Calibri" w:eastAsia="Times New Roman" w:hAnsi="Calibri" w:cs="Calibri"/>
          <w:b/>
          <w:bCs/>
          <w:sz w:val="24"/>
          <w:szCs w:val="24"/>
          <w:lang w:eastAsia="ru-RU"/>
        </w:rPr>
      </w:pPr>
    </w:p>
    <w:p w14:paraId="4DA231C8" w14:textId="77777777" w:rsidR="003F2672" w:rsidRDefault="003F2672" w:rsidP="0003062D">
      <w:pPr>
        <w:spacing w:after="0" w:line="276" w:lineRule="auto"/>
        <w:ind w:left="567" w:right="1275"/>
        <w:rPr>
          <w:rFonts w:ascii="Calibri" w:eastAsia="Times New Roman" w:hAnsi="Calibri" w:cs="Calibri"/>
          <w:b/>
          <w:bCs/>
          <w:sz w:val="24"/>
          <w:szCs w:val="24"/>
          <w:lang w:eastAsia="ru-RU"/>
        </w:rPr>
      </w:pPr>
    </w:p>
    <w:p w14:paraId="19A1374F" w14:textId="77777777" w:rsidR="003F2672" w:rsidRDefault="003F2672" w:rsidP="0003062D">
      <w:pPr>
        <w:spacing w:after="0" w:line="276" w:lineRule="auto"/>
        <w:ind w:left="567" w:right="1275"/>
        <w:rPr>
          <w:rFonts w:ascii="Calibri" w:eastAsia="Times New Roman" w:hAnsi="Calibri" w:cs="Calibri"/>
          <w:b/>
          <w:bCs/>
          <w:sz w:val="24"/>
          <w:szCs w:val="24"/>
          <w:lang w:eastAsia="ru-RU"/>
        </w:rPr>
      </w:pPr>
    </w:p>
    <w:p w14:paraId="44B76BE2" w14:textId="77777777" w:rsidR="003F2672" w:rsidRDefault="003F2672" w:rsidP="0003062D">
      <w:pPr>
        <w:spacing w:after="0" w:line="276" w:lineRule="auto"/>
        <w:ind w:left="567" w:right="1275"/>
        <w:rPr>
          <w:rFonts w:ascii="Calibri" w:eastAsia="Times New Roman" w:hAnsi="Calibri" w:cs="Calibri"/>
          <w:b/>
          <w:bCs/>
          <w:sz w:val="24"/>
          <w:szCs w:val="24"/>
          <w:lang w:eastAsia="ru-RU"/>
        </w:rPr>
      </w:pPr>
    </w:p>
    <w:p w14:paraId="67E8B99E" w14:textId="06A53005" w:rsidR="00AF1C12" w:rsidRDefault="005333EB" w:rsidP="0003062D">
      <w:pPr>
        <w:spacing w:after="0" w:line="276" w:lineRule="auto"/>
        <w:ind w:left="567" w:right="1275"/>
        <w:rPr>
          <w:rFonts w:ascii="Calibri" w:eastAsia="Times New Roman" w:hAnsi="Calibri" w:cs="Calibri"/>
          <w:sz w:val="24"/>
          <w:szCs w:val="24"/>
          <w:vertAlign w:val="superscript"/>
          <w:lang w:eastAsia="ru-RU"/>
        </w:rPr>
      </w:pPr>
      <w:r w:rsidRPr="00631E37">
        <w:rPr>
          <w:rFonts w:ascii="Calibri" w:eastAsia="Times New Roman" w:hAnsi="Calibri" w:cs="Calibri"/>
          <w:b/>
          <w:bCs/>
          <w:sz w:val="24"/>
          <w:szCs w:val="24"/>
          <w:lang w:eastAsia="ru-RU"/>
        </w:rPr>
        <w:t>Ta</w:t>
      </w:r>
      <w:r w:rsidR="00200DF8" w:rsidRPr="00631E37">
        <w:rPr>
          <w:rFonts w:ascii="Calibri" w:eastAsia="Times New Roman" w:hAnsi="Calibri" w:cs="Calibri"/>
          <w:b/>
          <w:bCs/>
          <w:sz w:val="24"/>
          <w:szCs w:val="24"/>
          <w:lang w:eastAsia="ru-RU"/>
        </w:rPr>
        <w:t>b</w:t>
      </w:r>
      <w:r w:rsidRPr="00631E37">
        <w:rPr>
          <w:rFonts w:ascii="Calibri" w:eastAsia="Times New Roman" w:hAnsi="Calibri" w:cs="Calibri"/>
          <w:b/>
          <w:bCs/>
          <w:sz w:val="24"/>
          <w:szCs w:val="24"/>
          <w:lang w:eastAsia="ru-RU"/>
        </w:rPr>
        <w:t xml:space="preserve">le </w:t>
      </w:r>
      <w:r w:rsidR="00003584">
        <w:rPr>
          <w:rFonts w:ascii="Calibri" w:eastAsia="Times New Roman" w:hAnsi="Calibri" w:cs="Calibri"/>
          <w:b/>
          <w:bCs/>
          <w:sz w:val="24"/>
          <w:szCs w:val="24"/>
          <w:lang w:eastAsia="ru-RU"/>
        </w:rPr>
        <w:t>3</w:t>
      </w:r>
      <w:r w:rsidR="00631E37">
        <w:rPr>
          <w:rFonts w:ascii="Calibri" w:eastAsia="Times New Roman" w:hAnsi="Calibri" w:cs="Calibri"/>
          <w:sz w:val="24"/>
          <w:szCs w:val="24"/>
          <w:lang w:eastAsia="ru-RU"/>
        </w:rPr>
        <w:t xml:space="preserve"> </w:t>
      </w:r>
      <w:r w:rsidR="00631E37" w:rsidRPr="00631E37">
        <w:rPr>
          <w:rFonts w:ascii="Calibri" w:eastAsia="Times New Roman" w:hAnsi="Calibri" w:cs="Calibri"/>
          <w:sz w:val="24"/>
          <w:szCs w:val="24"/>
          <w:lang w:eastAsia="ru-RU"/>
        </w:rPr>
        <w:t>10-year probability of a major osteoporotic fracture (</w:t>
      </w:r>
      <w:r w:rsidR="009443CA">
        <w:rPr>
          <w:rFonts w:ascii="Calibri" w:eastAsia="Times New Roman" w:hAnsi="Calibri" w:cs="Calibri"/>
          <w:sz w:val="24"/>
          <w:szCs w:val="24"/>
          <w:lang w:eastAsia="ru-RU"/>
        </w:rPr>
        <w:t>MOF</w:t>
      </w:r>
      <w:r w:rsidR="00631E37" w:rsidRPr="00631E37">
        <w:rPr>
          <w:rFonts w:ascii="Calibri" w:eastAsia="Times New Roman" w:hAnsi="Calibri" w:cs="Calibri"/>
          <w:sz w:val="24"/>
          <w:szCs w:val="24"/>
          <w:lang w:eastAsia="ru-RU"/>
        </w:rPr>
        <w:t xml:space="preserve">) and hip fracture in women with a prior fracture by age from </w:t>
      </w:r>
      <w:r w:rsidR="00F16C72" w:rsidRPr="00F16C72">
        <w:rPr>
          <w:rFonts w:ascii="Calibri" w:eastAsia="Times New Roman" w:hAnsi="Calibri" w:cs="Calibri"/>
          <w:sz w:val="24"/>
          <w:szCs w:val="24"/>
          <w:lang w:eastAsia="ru-RU"/>
        </w:rPr>
        <w:t>Bulgaria</w:t>
      </w:r>
      <w:r w:rsidR="00F16C72">
        <w:rPr>
          <w:rFonts w:ascii="Calibri" w:eastAsia="Times New Roman" w:hAnsi="Calibri" w:cs="Calibri"/>
          <w:sz w:val="24"/>
          <w:szCs w:val="24"/>
          <w:lang w:eastAsia="ru-RU"/>
        </w:rPr>
        <w:t>,</w:t>
      </w:r>
      <w:r w:rsidR="00F16C72" w:rsidRPr="00F16C72">
        <w:rPr>
          <w:rFonts w:ascii="Calibri" w:eastAsia="Times New Roman" w:hAnsi="Calibri" w:cs="Calibri"/>
          <w:sz w:val="24"/>
          <w:szCs w:val="24"/>
          <w:lang w:eastAsia="ru-RU"/>
        </w:rPr>
        <w:t xml:space="preserve"> Greece</w:t>
      </w:r>
      <w:r w:rsidR="002B7CB9">
        <w:rPr>
          <w:rFonts w:ascii="Calibri" w:eastAsia="Times New Roman" w:hAnsi="Calibri" w:cs="Calibri"/>
          <w:sz w:val="24"/>
          <w:szCs w:val="24"/>
          <w:lang w:eastAsia="ru-RU"/>
        </w:rPr>
        <w:t xml:space="preserve">, </w:t>
      </w:r>
      <w:r w:rsidR="00F16C72" w:rsidRPr="00F16C72">
        <w:rPr>
          <w:rFonts w:ascii="Calibri" w:eastAsia="Times New Roman" w:hAnsi="Calibri" w:cs="Calibri"/>
          <w:sz w:val="24"/>
          <w:szCs w:val="24"/>
          <w:lang w:eastAsia="ru-RU"/>
        </w:rPr>
        <w:t>Turkey</w:t>
      </w:r>
      <w:r w:rsidR="00722912">
        <w:rPr>
          <w:rFonts w:ascii="Calibri" w:eastAsia="Times New Roman" w:hAnsi="Calibri" w:cs="Calibri"/>
          <w:sz w:val="24"/>
          <w:szCs w:val="24"/>
          <w:lang w:eastAsia="ru-RU"/>
        </w:rPr>
        <w:t>,</w:t>
      </w:r>
      <w:r w:rsidR="00F16C72" w:rsidRPr="00F16C72">
        <w:rPr>
          <w:rFonts w:ascii="Calibri" w:eastAsia="Times New Roman" w:hAnsi="Calibri" w:cs="Calibri"/>
          <w:sz w:val="24"/>
          <w:szCs w:val="24"/>
          <w:lang w:eastAsia="ru-RU"/>
        </w:rPr>
        <w:tab/>
        <w:t>Serbia</w:t>
      </w:r>
      <w:r w:rsidR="00F16C72" w:rsidRPr="00F16C72">
        <w:rPr>
          <w:rFonts w:ascii="Calibri" w:eastAsia="Times New Roman" w:hAnsi="Calibri" w:cs="Calibri"/>
          <w:sz w:val="24"/>
          <w:szCs w:val="24"/>
          <w:lang w:eastAsia="ru-RU"/>
        </w:rPr>
        <w:tab/>
      </w:r>
      <w:r w:rsidR="00631E37" w:rsidRPr="00631E37">
        <w:rPr>
          <w:rFonts w:ascii="Calibri" w:eastAsia="Times New Roman" w:hAnsi="Calibri" w:cs="Calibri"/>
          <w:sz w:val="24"/>
          <w:szCs w:val="24"/>
          <w:lang w:eastAsia="ru-RU"/>
        </w:rPr>
        <w:t>and Romania.  Body mass index set to</w:t>
      </w:r>
      <w:r w:rsidR="00742FE6">
        <w:rPr>
          <w:rFonts w:ascii="Calibri" w:eastAsia="Times New Roman" w:hAnsi="Calibri" w:cs="Calibri"/>
          <w:sz w:val="24"/>
          <w:szCs w:val="24"/>
          <w:lang w:eastAsia="ru-RU"/>
        </w:rPr>
        <w:t xml:space="preserve"> </w:t>
      </w:r>
      <w:r w:rsidR="00631E37" w:rsidRPr="00631E37">
        <w:rPr>
          <w:rFonts w:ascii="Calibri" w:eastAsia="Times New Roman" w:hAnsi="Calibri" w:cs="Calibri"/>
          <w:sz w:val="24"/>
          <w:szCs w:val="24"/>
          <w:lang w:eastAsia="ru-RU"/>
        </w:rPr>
        <w:t>25kg/m</w:t>
      </w:r>
      <w:r w:rsidR="00DC6BC9">
        <w:rPr>
          <w:rFonts w:ascii="Calibri" w:eastAsia="Times New Roman" w:hAnsi="Calibri" w:cs="Calibri"/>
          <w:sz w:val="24"/>
          <w:szCs w:val="24"/>
          <w:vertAlign w:val="superscript"/>
          <w:lang w:eastAsia="ru-RU"/>
        </w:rPr>
        <w:t>2</w:t>
      </w:r>
    </w:p>
    <w:tbl>
      <w:tblPr>
        <w:tblStyle w:val="TableGrid"/>
        <w:tblW w:w="0" w:type="auto"/>
        <w:tblInd w:w="56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7"/>
        <w:gridCol w:w="1228"/>
        <w:gridCol w:w="1228"/>
        <w:gridCol w:w="1227"/>
        <w:gridCol w:w="1228"/>
        <w:gridCol w:w="1228"/>
      </w:tblGrid>
      <w:tr w:rsidR="00AF1C12" w:rsidRPr="006C408B" w14:paraId="0FF47D3C" w14:textId="77777777" w:rsidTr="00FE3098">
        <w:tc>
          <w:tcPr>
            <w:tcW w:w="1227" w:type="dxa"/>
            <w:tcBorders>
              <w:top w:val="single" w:sz="4" w:space="0" w:color="auto"/>
              <w:bottom w:val="single" w:sz="4" w:space="0" w:color="auto"/>
            </w:tcBorders>
          </w:tcPr>
          <w:p w14:paraId="6BCD0ADE" w14:textId="77777777" w:rsidR="00AF1C12" w:rsidRPr="006C408B" w:rsidRDefault="00AF1C12" w:rsidP="00DE4CD0">
            <w:pPr>
              <w:rPr>
                <w:rFonts w:cstheme="minorHAnsi"/>
                <w:bCs/>
                <w:lang w:val="en-GB"/>
              </w:rPr>
            </w:pPr>
          </w:p>
        </w:tc>
        <w:tc>
          <w:tcPr>
            <w:tcW w:w="1228" w:type="dxa"/>
            <w:tcBorders>
              <w:top w:val="single" w:sz="4" w:space="0" w:color="auto"/>
              <w:bottom w:val="single" w:sz="4" w:space="0" w:color="auto"/>
            </w:tcBorders>
          </w:tcPr>
          <w:p w14:paraId="3426C5E2" w14:textId="77777777" w:rsidR="00AF1C12" w:rsidRPr="006C408B" w:rsidRDefault="00AF1C12" w:rsidP="00DE4CD0">
            <w:pPr>
              <w:rPr>
                <w:rFonts w:cstheme="minorHAnsi"/>
                <w:bCs/>
                <w:lang w:val="en-GB"/>
              </w:rPr>
            </w:pPr>
            <w:r w:rsidRPr="006C408B">
              <w:rPr>
                <w:rFonts w:cstheme="minorHAnsi"/>
                <w:bCs/>
                <w:lang w:val="en-GB"/>
              </w:rPr>
              <w:t>Bulgaria</w:t>
            </w:r>
          </w:p>
        </w:tc>
        <w:tc>
          <w:tcPr>
            <w:tcW w:w="1228" w:type="dxa"/>
            <w:tcBorders>
              <w:top w:val="single" w:sz="4" w:space="0" w:color="auto"/>
              <w:bottom w:val="single" w:sz="4" w:space="0" w:color="auto"/>
            </w:tcBorders>
          </w:tcPr>
          <w:p w14:paraId="4E8243D8" w14:textId="77777777" w:rsidR="00AF1C12" w:rsidRPr="006C408B" w:rsidRDefault="00AF1C12" w:rsidP="00DE4CD0">
            <w:pPr>
              <w:rPr>
                <w:rFonts w:cstheme="minorHAnsi"/>
                <w:bCs/>
                <w:lang w:val="en-GB"/>
              </w:rPr>
            </w:pPr>
            <w:r w:rsidRPr="006C408B">
              <w:rPr>
                <w:rFonts w:cstheme="minorHAnsi"/>
                <w:bCs/>
                <w:lang w:val="en-GB"/>
              </w:rPr>
              <w:t>Greece</w:t>
            </w:r>
          </w:p>
        </w:tc>
        <w:tc>
          <w:tcPr>
            <w:tcW w:w="1227" w:type="dxa"/>
            <w:tcBorders>
              <w:top w:val="single" w:sz="4" w:space="0" w:color="auto"/>
              <w:bottom w:val="single" w:sz="4" w:space="0" w:color="auto"/>
            </w:tcBorders>
          </w:tcPr>
          <w:p w14:paraId="7671A004" w14:textId="77777777" w:rsidR="00AF1C12" w:rsidRPr="006C408B" w:rsidRDefault="00AF1C12" w:rsidP="00DE4CD0">
            <w:pPr>
              <w:rPr>
                <w:rFonts w:cstheme="minorHAnsi"/>
                <w:bCs/>
                <w:lang w:val="en-GB"/>
              </w:rPr>
            </w:pPr>
            <w:r w:rsidRPr="006C408B">
              <w:rPr>
                <w:rFonts w:cstheme="minorHAnsi"/>
                <w:bCs/>
                <w:lang w:val="en-GB"/>
              </w:rPr>
              <w:t>Turkey</w:t>
            </w:r>
          </w:p>
        </w:tc>
        <w:tc>
          <w:tcPr>
            <w:tcW w:w="1228" w:type="dxa"/>
            <w:tcBorders>
              <w:top w:val="single" w:sz="4" w:space="0" w:color="auto"/>
              <w:bottom w:val="single" w:sz="4" w:space="0" w:color="auto"/>
            </w:tcBorders>
          </w:tcPr>
          <w:p w14:paraId="00149E89" w14:textId="77777777" w:rsidR="00AF1C12" w:rsidRPr="006C408B" w:rsidRDefault="00AF1C12" w:rsidP="00DE4CD0">
            <w:pPr>
              <w:rPr>
                <w:rFonts w:cstheme="minorHAnsi"/>
                <w:bCs/>
                <w:lang w:val="en-GB"/>
              </w:rPr>
            </w:pPr>
            <w:r w:rsidRPr="006C408B">
              <w:rPr>
                <w:rFonts w:cstheme="minorHAnsi"/>
                <w:bCs/>
                <w:lang w:val="en-GB"/>
              </w:rPr>
              <w:t>Serbia</w:t>
            </w:r>
          </w:p>
        </w:tc>
        <w:tc>
          <w:tcPr>
            <w:tcW w:w="1228" w:type="dxa"/>
            <w:tcBorders>
              <w:top w:val="single" w:sz="4" w:space="0" w:color="auto"/>
              <w:bottom w:val="single" w:sz="4" w:space="0" w:color="auto"/>
            </w:tcBorders>
          </w:tcPr>
          <w:p w14:paraId="3212A298" w14:textId="77777777" w:rsidR="00AF1C12" w:rsidRPr="006C408B" w:rsidRDefault="00AF1C12" w:rsidP="00DE4CD0">
            <w:pPr>
              <w:rPr>
                <w:rFonts w:cstheme="minorHAnsi"/>
                <w:bCs/>
                <w:lang w:val="en-GB"/>
              </w:rPr>
            </w:pPr>
            <w:r w:rsidRPr="006C408B">
              <w:rPr>
                <w:rFonts w:cstheme="minorHAnsi"/>
                <w:bCs/>
                <w:lang w:val="en-GB"/>
              </w:rPr>
              <w:t>Romania</w:t>
            </w:r>
          </w:p>
        </w:tc>
      </w:tr>
      <w:tr w:rsidR="00AF1C12" w:rsidRPr="006C408B" w14:paraId="0E512977" w14:textId="77777777" w:rsidTr="00FE3098">
        <w:tc>
          <w:tcPr>
            <w:tcW w:w="1227" w:type="dxa"/>
            <w:tcBorders>
              <w:top w:val="single" w:sz="4" w:space="0" w:color="auto"/>
            </w:tcBorders>
          </w:tcPr>
          <w:p w14:paraId="31752A02" w14:textId="77777777" w:rsidR="00AF1C12" w:rsidRPr="006C408B" w:rsidRDefault="00AF1C12" w:rsidP="00DE4CD0">
            <w:pPr>
              <w:rPr>
                <w:rFonts w:cstheme="minorHAnsi"/>
                <w:bCs/>
                <w:lang w:val="en-GB"/>
              </w:rPr>
            </w:pPr>
            <w:r w:rsidRPr="006C408B">
              <w:rPr>
                <w:rFonts w:cstheme="minorHAnsi"/>
                <w:bCs/>
                <w:lang w:val="en-GB"/>
              </w:rPr>
              <w:t>MOF</w:t>
            </w:r>
          </w:p>
        </w:tc>
        <w:tc>
          <w:tcPr>
            <w:tcW w:w="1228" w:type="dxa"/>
            <w:tcBorders>
              <w:top w:val="single" w:sz="4" w:space="0" w:color="auto"/>
            </w:tcBorders>
          </w:tcPr>
          <w:p w14:paraId="76D965F1" w14:textId="77777777" w:rsidR="00AF1C12" w:rsidRPr="006C408B" w:rsidRDefault="00AF1C12" w:rsidP="00DE4CD0">
            <w:pPr>
              <w:rPr>
                <w:rFonts w:cstheme="minorHAnsi"/>
                <w:bCs/>
                <w:lang w:val="en-GB"/>
              </w:rPr>
            </w:pPr>
          </w:p>
        </w:tc>
        <w:tc>
          <w:tcPr>
            <w:tcW w:w="1228" w:type="dxa"/>
            <w:tcBorders>
              <w:top w:val="single" w:sz="4" w:space="0" w:color="auto"/>
            </w:tcBorders>
          </w:tcPr>
          <w:p w14:paraId="0D28B8E1" w14:textId="77777777" w:rsidR="00AF1C12" w:rsidRPr="006C408B" w:rsidRDefault="00AF1C12" w:rsidP="00DE4CD0">
            <w:pPr>
              <w:rPr>
                <w:rFonts w:cstheme="minorHAnsi"/>
                <w:bCs/>
                <w:lang w:val="en-GB"/>
              </w:rPr>
            </w:pPr>
          </w:p>
        </w:tc>
        <w:tc>
          <w:tcPr>
            <w:tcW w:w="1227" w:type="dxa"/>
            <w:tcBorders>
              <w:top w:val="single" w:sz="4" w:space="0" w:color="auto"/>
            </w:tcBorders>
          </w:tcPr>
          <w:p w14:paraId="6E49399F" w14:textId="77777777" w:rsidR="00AF1C12" w:rsidRPr="006C408B" w:rsidRDefault="00AF1C12" w:rsidP="00DE4CD0">
            <w:pPr>
              <w:rPr>
                <w:rFonts w:cstheme="minorHAnsi"/>
                <w:bCs/>
                <w:lang w:val="en-GB"/>
              </w:rPr>
            </w:pPr>
          </w:p>
        </w:tc>
        <w:tc>
          <w:tcPr>
            <w:tcW w:w="1228" w:type="dxa"/>
            <w:tcBorders>
              <w:top w:val="single" w:sz="4" w:space="0" w:color="auto"/>
            </w:tcBorders>
          </w:tcPr>
          <w:p w14:paraId="0A347736" w14:textId="77777777" w:rsidR="00AF1C12" w:rsidRPr="006C408B" w:rsidRDefault="00AF1C12" w:rsidP="00DE4CD0">
            <w:pPr>
              <w:rPr>
                <w:rFonts w:cstheme="minorHAnsi"/>
                <w:bCs/>
                <w:lang w:val="en-GB"/>
              </w:rPr>
            </w:pPr>
          </w:p>
        </w:tc>
        <w:tc>
          <w:tcPr>
            <w:tcW w:w="1228" w:type="dxa"/>
            <w:tcBorders>
              <w:top w:val="single" w:sz="4" w:space="0" w:color="auto"/>
            </w:tcBorders>
          </w:tcPr>
          <w:p w14:paraId="19CDFC34" w14:textId="77777777" w:rsidR="00AF1C12" w:rsidRPr="006C408B" w:rsidRDefault="00AF1C12" w:rsidP="00DE4CD0">
            <w:pPr>
              <w:rPr>
                <w:rFonts w:cstheme="minorHAnsi"/>
                <w:bCs/>
                <w:lang w:val="en-GB"/>
              </w:rPr>
            </w:pPr>
          </w:p>
        </w:tc>
      </w:tr>
      <w:tr w:rsidR="00AF1C12" w:rsidRPr="006C408B" w14:paraId="74353C13" w14:textId="77777777" w:rsidTr="00FE3098">
        <w:tc>
          <w:tcPr>
            <w:tcW w:w="1227" w:type="dxa"/>
          </w:tcPr>
          <w:p w14:paraId="5AB07426" w14:textId="77777777" w:rsidR="00AF1C12" w:rsidRPr="006C408B" w:rsidRDefault="00AF1C12" w:rsidP="00DE4CD0">
            <w:pPr>
              <w:rPr>
                <w:rFonts w:cstheme="minorHAnsi"/>
                <w:bCs/>
                <w:lang w:val="en-GB"/>
              </w:rPr>
            </w:pPr>
            <w:r w:rsidRPr="00987639">
              <w:rPr>
                <w:rFonts w:eastAsia="Times New Roman" w:cstheme="minorHAnsi"/>
                <w:bCs/>
                <w:lang w:val="en-GB" w:eastAsia="ru-RU"/>
              </w:rPr>
              <w:t>50</w:t>
            </w:r>
          </w:p>
        </w:tc>
        <w:tc>
          <w:tcPr>
            <w:tcW w:w="1228" w:type="dxa"/>
          </w:tcPr>
          <w:p w14:paraId="3E64BF4E" w14:textId="77777777" w:rsidR="00AF1C12" w:rsidRPr="006C408B" w:rsidRDefault="00AF1C12" w:rsidP="00DE4CD0">
            <w:pPr>
              <w:rPr>
                <w:rFonts w:cstheme="minorHAnsi"/>
                <w:bCs/>
                <w:lang w:val="en-GB"/>
              </w:rPr>
            </w:pPr>
            <w:r>
              <w:rPr>
                <w:rFonts w:cstheme="minorHAnsi"/>
                <w:bCs/>
                <w:lang w:val="en-GB"/>
              </w:rPr>
              <w:t>7.7</w:t>
            </w:r>
          </w:p>
        </w:tc>
        <w:tc>
          <w:tcPr>
            <w:tcW w:w="1228" w:type="dxa"/>
          </w:tcPr>
          <w:p w14:paraId="3A0BE396" w14:textId="77777777" w:rsidR="00AF1C12" w:rsidRPr="006C408B" w:rsidRDefault="00AF1C12" w:rsidP="00DE4CD0">
            <w:pPr>
              <w:rPr>
                <w:rFonts w:cstheme="minorHAnsi"/>
                <w:bCs/>
                <w:lang w:val="en-GB"/>
              </w:rPr>
            </w:pPr>
            <w:r>
              <w:rPr>
                <w:rFonts w:cstheme="minorHAnsi"/>
                <w:bCs/>
                <w:lang w:val="en-GB"/>
              </w:rPr>
              <w:t>5.2</w:t>
            </w:r>
          </w:p>
        </w:tc>
        <w:tc>
          <w:tcPr>
            <w:tcW w:w="1227" w:type="dxa"/>
          </w:tcPr>
          <w:p w14:paraId="7526B992" w14:textId="77777777" w:rsidR="00AF1C12" w:rsidRPr="006C408B" w:rsidRDefault="00AF1C12" w:rsidP="00DE4CD0">
            <w:pPr>
              <w:rPr>
                <w:rFonts w:cstheme="minorHAnsi"/>
                <w:bCs/>
                <w:lang w:val="en-GB"/>
              </w:rPr>
            </w:pPr>
            <w:r>
              <w:rPr>
                <w:rFonts w:cstheme="minorHAnsi"/>
                <w:bCs/>
                <w:lang w:val="en-GB"/>
              </w:rPr>
              <w:t>8.2</w:t>
            </w:r>
          </w:p>
        </w:tc>
        <w:tc>
          <w:tcPr>
            <w:tcW w:w="1228" w:type="dxa"/>
          </w:tcPr>
          <w:p w14:paraId="69AA0C33" w14:textId="77777777" w:rsidR="00AF1C12" w:rsidRPr="006C408B" w:rsidRDefault="00AF1C12" w:rsidP="00DE4CD0">
            <w:pPr>
              <w:rPr>
                <w:rFonts w:cstheme="minorHAnsi"/>
                <w:bCs/>
                <w:lang w:val="en-GB"/>
              </w:rPr>
            </w:pPr>
            <w:r>
              <w:rPr>
                <w:rFonts w:cstheme="minorHAnsi"/>
                <w:bCs/>
                <w:lang w:val="en-GB"/>
              </w:rPr>
              <w:t>4.5</w:t>
            </w:r>
          </w:p>
        </w:tc>
        <w:tc>
          <w:tcPr>
            <w:tcW w:w="1228" w:type="dxa"/>
          </w:tcPr>
          <w:p w14:paraId="3BA2EB9A" w14:textId="77777777" w:rsidR="00AF1C12" w:rsidRPr="006C408B" w:rsidRDefault="00AF1C12" w:rsidP="00DE4CD0">
            <w:pPr>
              <w:rPr>
                <w:rFonts w:cstheme="minorHAnsi"/>
                <w:bCs/>
                <w:lang w:val="en-GB"/>
              </w:rPr>
            </w:pPr>
            <w:r>
              <w:rPr>
                <w:rFonts w:cstheme="minorHAnsi"/>
                <w:bCs/>
                <w:lang w:val="en-GB"/>
              </w:rPr>
              <w:t>5.2</w:t>
            </w:r>
          </w:p>
        </w:tc>
      </w:tr>
      <w:tr w:rsidR="00AF1C12" w:rsidRPr="006C408B" w14:paraId="504021F3" w14:textId="77777777" w:rsidTr="00FE3098">
        <w:tc>
          <w:tcPr>
            <w:tcW w:w="1227" w:type="dxa"/>
          </w:tcPr>
          <w:p w14:paraId="394E8988" w14:textId="77777777" w:rsidR="00AF1C12" w:rsidRPr="006C408B" w:rsidRDefault="00AF1C12" w:rsidP="00DE4CD0">
            <w:pPr>
              <w:rPr>
                <w:rFonts w:cstheme="minorHAnsi"/>
                <w:bCs/>
                <w:lang w:val="en-GB"/>
              </w:rPr>
            </w:pPr>
            <w:r w:rsidRPr="00987639">
              <w:rPr>
                <w:rFonts w:eastAsia="Times New Roman" w:cstheme="minorHAnsi"/>
                <w:bCs/>
                <w:lang w:val="en-GB" w:eastAsia="ru-RU"/>
              </w:rPr>
              <w:t>55</w:t>
            </w:r>
          </w:p>
        </w:tc>
        <w:tc>
          <w:tcPr>
            <w:tcW w:w="1228" w:type="dxa"/>
          </w:tcPr>
          <w:p w14:paraId="14FEFE26" w14:textId="77777777" w:rsidR="00AF1C12" w:rsidRPr="006C408B" w:rsidRDefault="00AF1C12" w:rsidP="00DE4CD0">
            <w:pPr>
              <w:rPr>
                <w:rFonts w:cstheme="minorHAnsi"/>
                <w:bCs/>
                <w:lang w:val="en-GB"/>
              </w:rPr>
            </w:pPr>
            <w:r>
              <w:rPr>
                <w:rFonts w:cstheme="minorHAnsi"/>
                <w:bCs/>
                <w:lang w:val="en-GB"/>
              </w:rPr>
              <w:t>8.5</w:t>
            </w:r>
          </w:p>
        </w:tc>
        <w:tc>
          <w:tcPr>
            <w:tcW w:w="1228" w:type="dxa"/>
          </w:tcPr>
          <w:p w14:paraId="1568C62F" w14:textId="77777777" w:rsidR="00AF1C12" w:rsidRPr="006C408B" w:rsidRDefault="00AF1C12" w:rsidP="00DE4CD0">
            <w:pPr>
              <w:rPr>
                <w:rFonts w:cstheme="minorHAnsi"/>
                <w:bCs/>
                <w:lang w:val="en-GB"/>
              </w:rPr>
            </w:pPr>
            <w:r>
              <w:rPr>
                <w:rFonts w:cstheme="minorHAnsi"/>
                <w:bCs/>
                <w:lang w:val="en-GB"/>
              </w:rPr>
              <w:t>7.0</w:t>
            </w:r>
          </w:p>
        </w:tc>
        <w:tc>
          <w:tcPr>
            <w:tcW w:w="1227" w:type="dxa"/>
          </w:tcPr>
          <w:p w14:paraId="6F87AC66" w14:textId="77777777" w:rsidR="00AF1C12" w:rsidRPr="006C408B" w:rsidRDefault="00AF1C12" w:rsidP="00DE4CD0">
            <w:pPr>
              <w:rPr>
                <w:rFonts w:cstheme="minorHAnsi"/>
                <w:bCs/>
                <w:lang w:val="en-GB"/>
              </w:rPr>
            </w:pPr>
            <w:r>
              <w:rPr>
                <w:rFonts w:cstheme="minorHAnsi"/>
                <w:bCs/>
                <w:lang w:val="en-GB"/>
              </w:rPr>
              <w:t>8.2</w:t>
            </w:r>
          </w:p>
        </w:tc>
        <w:tc>
          <w:tcPr>
            <w:tcW w:w="1228" w:type="dxa"/>
          </w:tcPr>
          <w:p w14:paraId="42EDAF27" w14:textId="77777777" w:rsidR="00AF1C12" w:rsidRPr="006C408B" w:rsidRDefault="00AF1C12" w:rsidP="00DE4CD0">
            <w:pPr>
              <w:rPr>
                <w:rFonts w:cstheme="minorHAnsi"/>
                <w:bCs/>
                <w:lang w:val="en-GB"/>
              </w:rPr>
            </w:pPr>
            <w:r>
              <w:rPr>
                <w:rFonts w:cstheme="minorHAnsi"/>
                <w:bCs/>
                <w:lang w:val="en-GB"/>
              </w:rPr>
              <w:t>6.1</w:t>
            </w:r>
          </w:p>
        </w:tc>
        <w:tc>
          <w:tcPr>
            <w:tcW w:w="1228" w:type="dxa"/>
          </w:tcPr>
          <w:p w14:paraId="33654CCD" w14:textId="77777777" w:rsidR="00AF1C12" w:rsidRPr="006C408B" w:rsidRDefault="00AF1C12" w:rsidP="00DE4CD0">
            <w:pPr>
              <w:rPr>
                <w:rFonts w:cstheme="minorHAnsi"/>
                <w:bCs/>
                <w:lang w:val="en-GB"/>
              </w:rPr>
            </w:pPr>
            <w:r>
              <w:rPr>
                <w:rFonts w:cstheme="minorHAnsi"/>
                <w:bCs/>
                <w:lang w:val="en-GB"/>
              </w:rPr>
              <w:t>6.5</w:t>
            </w:r>
          </w:p>
        </w:tc>
      </w:tr>
      <w:tr w:rsidR="00AF1C12" w:rsidRPr="006C408B" w14:paraId="546435A8" w14:textId="77777777" w:rsidTr="00FE3098">
        <w:tc>
          <w:tcPr>
            <w:tcW w:w="1227" w:type="dxa"/>
          </w:tcPr>
          <w:p w14:paraId="47633A13" w14:textId="77777777" w:rsidR="00AF1C12" w:rsidRPr="006C408B" w:rsidRDefault="00AF1C12" w:rsidP="00DE4CD0">
            <w:pPr>
              <w:rPr>
                <w:rFonts w:cstheme="minorHAnsi"/>
                <w:bCs/>
                <w:lang w:val="en-GB"/>
              </w:rPr>
            </w:pPr>
            <w:r w:rsidRPr="00987639">
              <w:rPr>
                <w:rFonts w:eastAsia="Times New Roman" w:cstheme="minorHAnsi"/>
                <w:bCs/>
                <w:lang w:val="en-GB" w:eastAsia="ru-RU"/>
              </w:rPr>
              <w:t>60</w:t>
            </w:r>
          </w:p>
        </w:tc>
        <w:tc>
          <w:tcPr>
            <w:tcW w:w="1228" w:type="dxa"/>
          </w:tcPr>
          <w:p w14:paraId="44B7B9BA" w14:textId="77777777" w:rsidR="00AF1C12" w:rsidRPr="006C408B" w:rsidRDefault="00AF1C12" w:rsidP="00DE4CD0">
            <w:pPr>
              <w:rPr>
                <w:rFonts w:cstheme="minorHAnsi"/>
                <w:bCs/>
                <w:lang w:val="en-GB"/>
              </w:rPr>
            </w:pPr>
            <w:r>
              <w:rPr>
                <w:rFonts w:cstheme="minorHAnsi"/>
                <w:bCs/>
                <w:lang w:val="en-GB"/>
              </w:rPr>
              <w:t>9.5</w:t>
            </w:r>
          </w:p>
        </w:tc>
        <w:tc>
          <w:tcPr>
            <w:tcW w:w="1228" w:type="dxa"/>
          </w:tcPr>
          <w:p w14:paraId="575CF1B5" w14:textId="77777777" w:rsidR="00AF1C12" w:rsidRPr="006C408B" w:rsidRDefault="00AF1C12" w:rsidP="00DE4CD0">
            <w:pPr>
              <w:rPr>
                <w:rFonts w:cstheme="minorHAnsi"/>
                <w:bCs/>
                <w:lang w:val="en-GB"/>
              </w:rPr>
            </w:pPr>
            <w:r>
              <w:rPr>
                <w:rFonts w:cstheme="minorHAnsi"/>
                <w:bCs/>
                <w:lang w:val="en-GB"/>
              </w:rPr>
              <w:t>9.8</w:t>
            </w:r>
          </w:p>
        </w:tc>
        <w:tc>
          <w:tcPr>
            <w:tcW w:w="1227" w:type="dxa"/>
          </w:tcPr>
          <w:p w14:paraId="23B17E21" w14:textId="77777777" w:rsidR="00AF1C12" w:rsidRPr="006C408B" w:rsidRDefault="00AF1C12" w:rsidP="00DE4CD0">
            <w:pPr>
              <w:rPr>
                <w:rFonts w:cstheme="minorHAnsi"/>
                <w:bCs/>
                <w:lang w:val="en-GB"/>
              </w:rPr>
            </w:pPr>
            <w:r>
              <w:rPr>
                <w:rFonts w:cstheme="minorHAnsi"/>
                <w:bCs/>
                <w:lang w:val="en-GB"/>
              </w:rPr>
              <w:t>8.6</w:t>
            </w:r>
          </w:p>
        </w:tc>
        <w:tc>
          <w:tcPr>
            <w:tcW w:w="1228" w:type="dxa"/>
          </w:tcPr>
          <w:p w14:paraId="6B407581" w14:textId="77777777" w:rsidR="00AF1C12" w:rsidRPr="006C408B" w:rsidRDefault="00AF1C12" w:rsidP="00DE4CD0">
            <w:pPr>
              <w:rPr>
                <w:rFonts w:cstheme="minorHAnsi"/>
                <w:bCs/>
                <w:lang w:val="en-GB"/>
              </w:rPr>
            </w:pPr>
            <w:r>
              <w:rPr>
                <w:rFonts w:cstheme="minorHAnsi"/>
                <w:bCs/>
                <w:lang w:val="en-GB"/>
              </w:rPr>
              <w:t>8.4</w:t>
            </w:r>
          </w:p>
        </w:tc>
        <w:tc>
          <w:tcPr>
            <w:tcW w:w="1228" w:type="dxa"/>
          </w:tcPr>
          <w:p w14:paraId="22E8B493" w14:textId="77777777" w:rsidR="00AF1C12" w:rsidRPr="006C408B" w:rsidRDefault="00AF1C12" w:rsidP="00DE4CD0">
            <w:pPr>
              <w:rPr>
                <w:rFonts w:cstheme="minorHAnsi"/>
                <w:bCs/>
                <w:lang w:val="en-GB"/>
              </w:rPr>
            </w:pPr>
            <w:r>
              <w:rPr>
                <w:rFonts w:cstheme="minorHAnsi"/>
                <w:bCs/>
                <w:lang w:val="en-GB"/>
              </w:rPr>
              <w:t>7.9</w:t>
            </w:r>
          </w:p>
        </w:tc>
      </w:tr>
      <w:tr w:rsidR="00AF1C12" w:rsidRPr="006C408B" w14:paraId="47CB7D7C" w14:textId="77777777" w:rsidTr="00FE3098">
        <w:tc>
          <w:tcPr>
            <w:tcW w:w="1227" w:type="dxa"/>
          </w:tcPr>
          <w:p w14:paraId="236B4819" w14:textId="77777777" w:rsidR="00AF1C12" w:rsidRPr="006C408B" w:rsidRDefault="00AF1C12" w:rsidP="00DE4CD0">
            <w:pPr>
              <w:rPr>
                <w:rFonts w:cstheme="minorHAnsi"/>
                <w:bCs/>
                <w:lang w:val="en-GB"/>
              </w:rPr>
            </w:pPr>
            <w:r w:rsidRPr="00987639">
              <w:rPr>
                <w:rFonts w:eastAsia="Times New Roman" w:cstheme="minorHAnsi"/>
                <w:bCs/>
                <w:lang w:val="en-GB" w:eastAsia="ru-RU"/>
              </w:rPr>
              <w:t>65</w:t>
            </w:r>
          </w:p>
        </w:tc>
        <w:tc>
          <w:tcPr>
            <w:tcW w:w="1228" w:type="dxa"/>
          </w:tcPr>
          <w:p w14:paraId="65B9A74B" w14:textId="77777777" w:rsidR="00AF1C12" w:rsidRPr="006C408B" w:rsidRDefault="00AF1C12" w:rsidP="00DE4CD0">
            <w:pPr>
              <w:rPr>
                <w:rFonts w:cstheme="minorHAnsi"/>
                <w:bCs/>
                <w:lang w:val="en-GB"/>
              </w:rPr>
            </w:pPr>
            <w:r>
              <w:rPr>
                <w:rFonts w:cstheme="minorHAnsi"/>
                <w:bCs/>
                <w:lang w:val="en-GB"/>
              </w:rPr>
              <w:t>11</w:t>
            </w:r>
          </w:p>
        </w:tc>
        <w:tc>
          <w:tcPr>
            <w:tcW w:w="1228" w:type="dxa"/>
          </w:tcPr>
          <w:p w14:paraId="1E53DBA3" w14:textId="77777777" w:rsidR="00AF1C12" w:rsidRPr="006C408B" w:rsidRDefault="00AF1C12" w:rsidP="00DE4CD0">
            <w:pPr>
              <w:rPr>
                <w:rFonts w:cstheme="minorHAnsi"/>
                <w:bCs/>
                <w:lang w:val="en-GB"/>
              </w:rPr>
            </w:pPr>
            <w:r>
              <w:rPr>
                <w:rFonts w:cstheme="minorHAnsi"/>
                <w:bCs/>
                <w:lang w:val="en-GB"/>
              </w:rPr>
              <w:t>13</w:t>
            </w:r>
          </w:p>
        </w:tc>
        <w:tc>
          <w:tcPr>
            <w:tcW w:w="1227" w:type="dxa"/>
          </w:tcPr>
          <w:p w14:paraId="121DCB91" w14:textId="77777777" w:rsidR="00AF1C12" w:rsidRPr="006C408B" w:rsidRDefault="00AF1C12" w:rsidP="00DE4CD0">
            <w:pPr>
              <w:rPr>
                <w:rFonts w:cstheme="minorHAnsi"/>
                <w:bCs/>
                <w:lang w:val="en-GB"/>
              </w:rPr>
            </w:pPr>
            <w:r>
              <w:rPr>
                <w:rFonts w:cstheme="minorHAnsi"/>
                <w:bCs/>
                <w:lang w:val="en-GB"/>
              </w:rPr>
              <w:t>10</w:t>
            </w:r>
          </w:p>
        </w:tc>
        <w:tc>
          <w:tcPr>
            <w:tcW w:w="1228" w:type="dxa"/>
          </w:tcPr>
          <w:p w14:paraId="1C173ADE" w14:textId="77777777" w:rsidR="00AF1C12" w:rsidRPr="006C408B" w:rsidRDefault="00AF1C12" w:rsidP="00DE4CD0">
            <w:pPr>
              <w:rPr>
                <w:rFonts w:cstheme="minorHAnsi"/>
                <w:bCs/>
                <w:lang w:val="en-GB"/>
              </w:rPr>
            </w:pPr>
            <w:r>
              <w:rPr>
                <w:rFonts w:cstheme="minorHAnsi"/>
                <w:bCs/>
                <w:lang w:val="en-GB"/>
              </w:rPr>
              <w:t>11</w:t>
            </w:r>
          </w:p>
        </w:tc>
        <w:tc>
          <w:tcPr>
            <w:tcW w:w="1228" w:type="dxa"/>
          </w:tcPr>
          <w:p w14:paraId="423A0B2C" w14:textId="77777777" w:rsidR="00AF1C12" w:rsidRPr="006C408B" w:rsidRDefault="00AF1C12" w:rsidP="00DE4CD0">
            <w:pPr>
              <w:rPr>
                <w:rFonts w:cstheme="minorHAnsi"/>
                <w:bCs/>
                <w:lang w:val="en-GB"/>
              </w:rPr>
            </w:pPr>
            <w:r>
              <w:rPr>
                <w:rFonts w:cstheme="minorHAnsi"/>
                <w:bCs/>
                <w:lang w:val="en-GB"/>
              </w:rPr>
              <w:t>9.5</w:t>
            </w:r>
          </w:p>
        </w:tc>
      </w:tr>
      <w:tr w:rsidR="00AF1C12" w:rsidRPr="006C408B" w14:paraId="4A9703EC" w14:textId="77777777" w:rsidTr="00FE3098">
        <w:tc>
          <w:tcPr>
            <w:tcW w:w="1227" w:type="dxa"/>
          </w:tcPr>
          <w:p w14:paraId="6499EA77" w14:textId="77777777" w:rsidR="00AF1C12" w:rsidRPr="006C408B" w:rsidRDefault="00AF1C12" w:rsidP="00DE4CD0">
            <w:pPr>
              <w:rPr>
                <w:rFonts w:cstheme="minorHAnsi"/>
                <w:bCs/>
                <w:lang w:val="en-GB"/>
              </w:rPr>
            </w:pPr>
            <w:r w:rsidRPr="00987639">
              <w:rPr>
                <w:rFonts w:eastAsia="Times New Roman" w:cstheme="minorHAnsi"/>
                <w:bCs/>
                <w:lang w:val="en-GB" w:eastAsia="ru-RU"/>
              </w:rPr>
              <w:t>70</w:t>
            </w:r>
          </w:p>
        </w:tc>
        <w:tc>
          <w:tcPr>
            <w:tcW w:w="1228" w:type="dxa"/>
          </w:tcPr>
          <w:p w14:paraId="7FC4D10F" w14:textId="77777777" w:rsidR="00AF1C12" w:rsidRPr="006C408B" w:rsidRDefault="00AF1C12" w:rsidP="00DE4CD0">
            <w:pPr>
              <w:rPr>
                <w:rFonts w:cstheme="minorHAnsi"/>
                <w:bCs/>
                <w:lang w:val="en-GB"/>
              </w:rPr>
            </w:pPr>
            <w:r>
              <w:rPr>
                <w:rFonts w:cstheme="minorHAnsi"/>
                <w:bCs/>
                <w:lang w:val="en-GB"/>
              </w:rPr>
              <w:t>15</w:t>
            </w:r>
          </w:p>
        </w:tc>
        <w:tc>
          <w:tcPr>
            <w:tcW w:w="1228" w:type="dxa"/>
          </w:tcPr>
          <w:p w14:paraId="3C9539FD" w14:textId="77777777" w:rsidR="00AF1C12" w:rsidRPr="006C408B" w:rsidRDefault="00AF1C12" w:rsidP="00DE4CD0">
            <w:pPr>
              <w:rPr>
                <w:rFonts w:cstheme="minorHAnsi"/>
                <w:bCs/>
                <w:lang w:val="en-GB"/>
              </w:rPr>
            </w:pPr>
            <w:r>
              <w:rPr>
                <w:rFonts w:cstheme="minorHAnsi"/>
                <w:bCs/>
                <w:lang w:val="en-GB"/>
              </w:rPr>
              <w:t>17</w:t>
            </w:r>
          </w:p>
        </w:tc>
        <w:tc>
          <w:tcPr>
            <w:tcW w:w="1227" w:type="dxa"/>
          </w:tcPr>
          <w:p w14:paraId="43DE7D65" w14:textId="77777777" w:rsidR="00AF1C12" w:rsidRPr="006C408B" w:rsidRDefault="00AF1C12" w:rsidP="00DE4CD0">
            <w:pPr>
              <w:rPr>
                <w:rFonts w:cstheme="minorHAnsi"/>
                <w:bCs/>
                <w:lang w:val="en-GB"/>
              </w:rPr>
            </w:pPr>
            <w:r>
              <w:rPr>
                <w:rFonts w:cstheme="minorHAnsi"/>
                <w:bCs/>
                <w:lang w:val="en-GB"/>
              </w:rPr>
              <w:t>13</w:t>
            </w:r>
          </w:p>
        </w:tc>
        <w:tc>
          <w:tcPr>
            <w:tcW w:w="1228" w:type="dxa"/>
          </w:tcPr>
          <w:p w14:paraId="497D6767" w14:textId="77777777" w:rsidR="00AF1C12" w:rsidRPr="006C408B" w:rsidRDefault="00AF1C12" w:rsidP="00DE4CD0">
            <w:pPr>
              <w:rPr>
                <w:rFonts w:cstheme="minorHAnsi"/>
                <w:bCs/>
                <w:lang w:val="en-GB"/>
              </w:rPr>
            </w:pPr>
            <w:r>
              <w:rPr>
                <w:rFonts w:cstheme="minorHAnsi"/>
                <w:bCs/>
                <w:lang w:val="en-GB"/>
              </w:rPr>
              <w:t>13</w:t>
            </w:r>
          </w:p>
        </w:tc>
        <w:tc>
          <w:tcPr>
            <w:tcW w:w="1228" w:type="dxa"/>
          </w:tcPr>
          <w:p w14:paraId="6AF4C0D8" w14:textId="77777777" w:rsidR="00AF1C12" w:rsidRPr="006C408B" w:rsidRDefault="00AF1C12" w:rsidP="00DE4CD0">
            <w:pPr>
              <w:rPr>
                <w:rFonts w:cstheme="minorHAnsi"/>
                <w:bCs/>
                <w:lang w:val="en-GB"/>
              </w:rPr>
            </w:pPr>
            <w:r>
              <w:rPr>
                <w:rFonts w:cstheme="minorHAnsi"/>
                <w:bCs/>
                <w:lang w:val="en-GB"/>
              </w:rPr>
              <w:t>11</w:t>
            </w:r>
          </w:p>
        </w:tc>
      </w:tr>
      <w:tr w:rsidR="00AF1C12" w:rsidRPr="006C408B" w14:paraId="37ACDA5F" w14:textId="77777777" w:rsidTr="00FE3098">
        <w:tc>
          <w:tcPr>
            <w:tcW w:w="1227" w:type="dxa"/>
          </w:tcPr>
          <w:p w14:paraId="1E7E4C7A" w14:textId="77777777" w:rsidR="00AF1C12" w:rsidRPr="006C408B" w:rsidRDefault="00AF1C12" w:rsidP="00DE4CD0">
            <w:pPr>
              <w:rPr>
                <w:rFonts w:cstheme="minorHAnsi"/>
                <w:bCs/>
                <w:lang w:val="en-GB"/>
              </w:rPr>
            </w:pPr>
            <w:r w:rsidRPr="00987639">
              <w:rPr>
                <w:rFonts w:eastAsia="Times New Roman" w:cstheme="minorHAnsi"/>
                <w:bCs/>
                <w:lang w:val="en-GB" w:eastAsia="ru-RU"/>
              </w:rPr>
              <w:t>75</w:t>
            </w:r>
          </w:p>
        </w:tc>
        <w:tc>
          <w:tcPr>
            <w:tcW w:w="1228" w:type="dxa"/>
          </w:tcPr>
          <w:p w14:paraId="6E48B2B1" w14:textId="77777777" w:rsidR="00AF1C12" w:rsidRPr="006C408B" w:rsidRDefault="00AF1C12" w:rsidP="00DE4CD0">
            <w:pPr>
              <w:rPr>
                <w:rFonts w:cstheme="minorHAnsi"/>
                <w:bCs/>
                <w:lang w:val="en-GB"/>
              </w:rPr>
            </w:pPr>
            <w:r>
              <w:rPr>
                <w:rFonts w:cstheme="minorHAnsi"/>
                <w:bCs/>
                <w:lang w:val="en-GB"/>
              </w:rPr>
              <w:t>19</w:t>
            </w:r>
          </w:p>
        </w:tc>
        <w:tc>
          <w:tcPr>
            <w:tcW w:w="1228" w:type="dxa"/>
          </w:tcPr>
          <w:p w14:paraId="75FC305A" w14:textId="77777777" w:rsidR="00AF1C12" w:rsidRPr="006C408B" w:rsidRDefault="00AF1C12" w:rsidP="00DE4CD0">
            <w:pPr>
              <w:rPr>
                <w:rFonts w:cstheme="minorHAnsi"/>
                <w:bCs/>
                <w:lang w:val="en-GB"/>
              </w:rPr>
            </w:pPr>
            <w:r>
              <w:rPr>
                <w:rFonts w:cstheme="minorHAnsi"/>
                <w:bCs/>
                <w:lang w:val="en-GB"/>
              </w:rPr>
              <w:t>22</w:t>
            </w:r>
          </w:p>
        </w:tc>
        <w:tc>
          <w:tcPr>
            <w:tcW w:w="1227" w:type="dxa"/>
          </w:tcPr>
          <w:p w14:paraId="66D7D6DE" w14:textId="77777777" w:rsidR="00AF1C12" w:rsidRPr="006C408B" w:rsidRDefault="00AF1C12" w:rsidP="00DE4CD0">
            <w:pPr>
              <w:rPr>
                <w:rFonts w:cstheme="minorHAnsi"/>
                <w:bCs/>
                <w:lang w:val="en-GB"/>
              </w:rPr>
            </w:pPr>
            <w:r>
              <w:rPr>
                <w:rFonts w:cstheme="minorHAnsi"/>
                <w:bCs/>
                <w:lang w:val="en-GB"/>
              </w:rPr>
              <w:t>18</w:t>
            </w:r>
          </w:p>
        </w:tc>
        <w:tc>
          <w:tcPr>
            <w:tcW w:w="1228" w:type="dxa"/>
          </w:tcPr>
          <w:p w14:paraId="015AEB54" w14:textId="77777777" w:rsidR="00AF1C12" w:rsidRPr="006C408B" w:rsidRDefault="00AF1C12" w:rsidP="00DE4CD0">
            <w:pPr>
              <w:rPr>
                <w:rFonts w:cstheme="minorHAnsi"/>
                <w:bCs/>
                <w:lang w:val="en-GB"/>
              </w:rPr>
            </w:pPr>
            <w:r>
              <w:rPr>
                <w:rFonts w:cstheme="minorHAnsi"/>
                <w:bCs/>
                <w:lang w:val="en-GB"/>
              </w:rPr>
              <w:t>14</w:t>
            </w:r>
          </w:p>
        </w:tc>
        <w:tc>
          <w:tcPr>
            <w:tcW w:w="1228" w:type="dxa"/>
          </w:tcPr>
          <w:p w14:paraId="18029F7A" w14:textId="77777777" w:rsidR="00AF1C12" w:rsidRPr="006C408B" w:rsidRDefault="00AF1C12" w:rsidP="00DE4CD0">
            <w:pPr>
              <w:rPr>
                <w:rFonts w:cstheme="minorHAnsi"/>
                <w:bCs/>
                <w:lang w:val="en-GB"/>
              </w:rPr>
            </w:pPr>
            <w:r>
              <w:rPr>
                <w:rFonts w:cstheme="minorHAnsi"/>
                <w:bCs/>
                <w:lang w:val="en-GB"/>
              </w:rPr>
              <w:t>13</w:t>
            </w:r>
          </w:p>
        </w:tc>
      </w:tr>
      <w:tr w:rsidR="00AF1C12" w:rsidRPr="006C408B" w14:paraId="5E95820A" w14:textId="77777777" w:rsidTr="00FE3098">
        <w:tc>
          <w:tcPr>
            <w:tcW w:w="1227" w:type="dxa"/>
          </w:tcPr>
          <w:p w14:paraId="7D4245B0" w14:textId="77777777" w:rsidR="00AF1C12" w:rsidRPr="006C408B" w:rsidRDefault="00AF1C12" w:rsidP="00DE4CD0">
            <w:pPr>
              <w:rPr>
                <w:rFonts w:cstheme="minorHAnsi"/>
                <w:bCs/>
                <w:lang w:val="en-GB"/>
              </w:rPr>
            </w:pPr>
            <w:r w:rsidRPr="00987639">
              <w:rPr>
                <w:rFonts w:eastAsia="Times New Roman" w:cstheme="minorHAnsi"/>
                <w:bCs/>
                <w:lang w:val="en-GB" w:eastAsia="ru-RU"/>
              </w:rPr>
              <w:t>80</w:t>
            </w:r>
          </w:p>
        </w:tc>
        <w:tc>
          <w:tcPr>
            <w:tcW w:w="1228" w:type="dxa"/>
          </w:tcPr>
          <w:p w14:paraId="72786AEB" w14:textId="77777777" w:rsidR="00AF1C12" w:rsidRPr="006C408B" w:rsidRDefault="00AF1C12" w:rsidP="00DE4CD0">
            <w:pPr>
              <w:rPr>
                <w:rFonts w:cstheme="minorHAnsi"/>
                <w:bCs/>
                <w:lang w:val="en-GB"/>
              </w:rPr>
            </w:pPr>
            <w:r>
              <w:rPr>
                <w:rFonts w:cstheme="minorHAnsi"/>
                <w:bCs/>
                <w:lang w:val="en-GB"/>
              </w:rPr>
              <w:t>22</w:t>
            </w:r>
          </w:p>
        </w:tc>
        <w:tc>
          <w:tcPr>
            <w:tcW w:w="1228" w:type="dxa"/>
          </w:tcPr>
          <w:p w14:paraId="10AAAE7D" w14:textId="77777777" w:rsidR="00AF1C12" w:rsidRPr="006C408B" w:rsidRDefault="00AF1C12" w:rsidP="00DE4CD0">
            <w:pPr>
              <w:rPr>
                <w:rFonts w:cstheme="minorHAnsi"/>
                <w:bCs/>
                <w:lang w:val="en-GB"/>
              </w:rPr>
            </w:pPr>
            <w:r>
              <w:rPr>
                <w:rFonts w:cstheme="minorHAnsi"/>
                <w:bCs/>
                <w:lang w:val="en-GB"/>
              </w:rPr>
              <w:t>25</w:t>
            </w:r>
          </w:p>
        </w:tc>
        <w:tc>
          <w:tcPr>
            <w:tcW w:w="1227" w:type="dxa"/>
          </w:tcPr>
          <w:p w14:paraId="7EF4A149" w14:textId="77777777" w:rsidR="00AF1C12" w:rsidRPr="006C408B" w:rsidRDefault="00AF1C12" w:rsidP="00DE4CD0">
            <w:pPr>
              <w:rPr>
                <w:rFonts w:cstheme="minorHAnsi"/>
                <w:bCs/>
                <w:lang w:val="en-GB"/>
              </w:rPr>
            </w:pPr>
            <w:r>
              <w:rPr>
                <w:rFonts w:cstheme="minorHAnsi"/>
                <w:bCs/>
                <w:lang w:val="en-GB"/>
              </w:rPr>
              <w:t>24</w:t>
            </w:r>
          </w:p>
        </w:tc>
        <w:tc>
          <w:tcPr>
            <w:tcW w:w="1228" w:type="dxa"/>
          </w:tcPr>
          <w:p w14:paraId="09DC7059" w14:textId="77777777" w:rsidR="00AF1C12" w:rsidRPr="006C408B" w:rsidRDefault="00AF1C12" w:rsidP="00DE4CD0">
            <w:pPr>
              <w:rPr>
                <w:rFonts w:cstheme="minorHAnsi"/>
                <w:bCs/>
                <w:lang w:val="en-GB"/>
              </w:rPr>
            </w:pPr>
            <w:r>
              <w:rPr>
                <w:rFonts w:cstheme="minorHAnsi"/>
                <w:bCs/>
                <w:lang w:val="en-GB"/>
              </w:rPr>
              <w:t>15</w:t>
            </w:r>
          </w:p>
        </w:tc>
        <w:tc>
          <w:tcPr>
            <w:tcW w:w="1228" w:type="dxa"/>
          </w:tcPr>
          <w:p w14:paraId="68CEBF80" w14:textId="77777777" w:rsidR="00AF1C12" w:rsidRPr="006C408B" w:rsidRDefault="00AF1C12" w:rsidP="00DE4CD0">
            <w:pPr>
              <w:rPr>
                <w:rFonts w:cstheme="minorHAnsi"/>
                <w:bCs/>
                <w:lang w:val="en-GB"/>
              </w:rPr>
            </w:pPr>
            <w:r>
              <w:rPr>
                <w:rFonts w:cstheme="minorHAnsi"/>
                <w:bCs/>
                <w:lang w:val="en-GB"/>
              </w:rPr>
              <w:t>13</w:t>
            </w:r>
          </w:p>
        </w:tc>
      </w:tr>
      <w:tr w:rsidR="00AF1C12" w:rsidRPr="006C408B" w14:paraId="2A5F803F" w14:textId="77777777" w:rsidTr="00FE3098">
        <w:tc>
          <w:tcPr>
            <w:tcW w:w="1227" w:type="dxa"/>
          </w:tcPr>
          <w:p w14:paraId="28AAB318" w14:textId="77777777" w:rsidR="00AF1C12" w:rsidRPr="006C408B" w:rsidRDefault="00AF1C12" w:rsidP="00DE4CD0">
            <w:pPr>
              <w:rPr>
                <w:rFonts w:cstheme="minorHAnsi"/>
                <w:bCs/>
                <w:lang w:val="en-GB"/>
              </w:rPr>
            </w:pPr>
            <w:r w:rsidRPr="00987639">
              <w:rPr>
                <w:rFonts w:eastAsia="Times New Roman" w:cstheme="minorHAnsi"/>
                <w:bCs/>
                <w:lang w:val="en-GB" w:eastAsia="ru-RU"/>
              </w:rPr>
              <w:t>85</w:t>
            </w:r>
          </w:p>
        </w:tc>
        <w:tc>
          <w:tcPr>
            <w:tcW w:w="1228" w:type="dxa"/>
          </w:tcPr>
          <w:p w14:paraId="37A5640E" w14:textId="77777777" w:rsidR="00AF1C12" w:rsidRPr="006C408B" w:rsidRDefault="00AF1C12" w:rsidP="00DE4CD0">
            <w:pPr>
              <w:rPr>
                <w:rFonts w:cstheme="minorHAnsi"/>
                <w:bCs/>
                <w:lang w:val="en-GB"/>
              </w:rPr>
            </w:pPr>
            <w:r>
              <w:rPr>
                <w:rFonts w:cstheme="minorHAnsi"/>
                <w:bCs/>
                <w:lang w:val="en-GB"/>
              </w:rPr>
              <w:t>23</w:t>
            </w:r>
          </w:p>
        </w:tc>
        <w:tc>
          <w:tcPr>
            <w:tcW w:w="1228" w:type="dxa"/>
          </w:tcPr>
          <w:p w14:paraId="5EFC39BC" w14:textId="77777777" w:rsidR="00AF1C12" w:rsidRPr="006C408B" w:rsidRDefault="00AF1C12" w:rsidP="00DE4CD0">
            <w:pPr>
              <w:rPr>
                <w:rFonts w:cstheme="minorHAnsi"/>
                <w:bCs/>
                <w:lang w:val="en-GB"/>
              </w:rPr>
            </w:pPr>
            <w:r>
              <w:rPr>
                <w:rFonts w:cstheme="minorHAnsi"/>
                <w:bCs/>
                <w:lang w:val="en-GB"/>
              </w:rPr>
              <w:t>25</w:t>
            </w:r>
          </w:p>
        </w:tc>
        <w:tc>
          <w:tcPr>
            <w:tcW w:w="1227" w:type="dxa"/>
          </w:tcPr>
          <w:p w14:paraId="0D3FDA89" w14:textId="77777777" w:rsidR="00AF1C12" w:rsidRPr="006C408B" w:rsidRDefault="00AF1C12" w:rsidP="00DE4CD0">
            <w:pPr>
              <w:rPr>
                <w:rFonts w:cstheme="minorHAnsi"/>
                <w:bCs/>
                <w:lang w:val="en-GB"/>
              </w:rPr>
            </w:pPr>
            <w:r>
              <w:rPr>
                <w:rFonts w:cstheme="minorHAnsi"/>
                <w:bCs/>
                <w:lang w:val="en-GB"/>
              </w:rPr>
              <w:t>33</w:t>
            </w:r>
          </w:p>
        </w:tc>
        <w:tc>
          <w:tcPr>
            <w:tcW w:w="1228" w:type="dxa"/>
          </w:tcPr>
          <w:p w14:paraId="65AF6932" w14:textId="77777777" w:rsidR="00AF1C12" w:rsidRPr="006C408B" w:rsidRDefault="00AF1C12" w:rsidP="00DE4CD0">
            <w:pPr>
              <w:rPr>
                <w:rFonts w:cstheme="minorHAnsi"/>
                <w:bCs/>
                <w:lang w:val="en-GB"/>
              </w:rPr>
            </w:pPr>
            <w:r>
              <w:rPr>
                <w:rFonts w:cstheme="minorHAnsi"/>
                <w:bCs/>
                <w:lang w:val="en-GB"/>
              </w:rPr>
              <w:t>15</w:t>
            </w:r>
          </w:p>
        </w:tc>
        <w:tc>
          <w:tcPr>
            <w:tcW w:w="1228" w:type="dxa"/>
          </w:tcPr>
          <w:p w14:paraId="1563A28C" w14:textId="77777777" w:rsidR="00AF1C12" w:rsidRPr="006C408B" w:rsidRDefault="00AF1C12" w:rsidP="00DE4CD0">
            <w:pPr>
              <w:rPr>
                <w:rFonts w:cstheme="minorHAnsi"/>
                <w:bCs/>
                <w:lang w:val="en-GB"/>
              </w:rPr>
            </w:pPr>
            <w:r>
              <w:rPr>
                <w:rFonts w:cstheme="minorHAnsi"/>
                <w:bCs/>
                <w:lang w:val="en-GB"/>
              </w:rPr>
              <w:t>13</w:t>
            </w:r>
          </w:p>
        </w:tc>
      </w:tr>
      <w:tr w:rsidR="00AF1C12" w:rsidRPr="006C408B" w14:paraId="53ACEF33" w14:textId="77777777" w:rsidTr="00FE3098">
        <w:tc>
          <w:tcPr>
            <w:tcW w:w="1227" w:type="dxa"/>
          </w:tcPr>
          <w:p w14:paraId="2CC7AAE2" w14:textId="77777777" w:rsidR="00AF1C12" w:rsidRPr="00987639" w:rsidRDefault="00AF1C12" w:rsidP="00DE4CD0">
            <w:pPr>
              <w:rPr>
                <w:rFonts w:eastAsia="Times New Roman" w:cstheme="minorHAnsi"/>
                <w:bCs/>
                <w:lang w:val="en-GB" w:eastAsia="ru-RU"/>
              </w:rPr>
            </w:pPr>
            <w:r>
              <w:rPr>
                <w:rFonts w:eastAsia="Times New Roman" w:cstheme="minorHAnsi"/>
                <w:bCs/>
                <w:lang w:val="en-GB" w:eastAsia="ru-RU"/>
              </w:rPr>
              <w:t>90</w:t>
            </w:r>
          </w:p>
        </w:tc>
        <w:tc>
          <w:tcPr>
            <w:tcW w:w="1228" w:type="dxa"/>
          </w:tcPr>
          <w:p w14:paraId="02F36A36" w14:textId="77777777" w:rsidR="00AF1C12" w:rsidRPr="006C408B" w:rsidRDefault="00AF1C12" w:rsidP="00DE4CD0">
            <w:pPr>
              <w:rPr>
                <w:rFonts w:cstheme="minorHAnsi"/>
                <w:bCs/>
                <w:lang w:val="en-GB"/>
              </w:rPr>
            </w:pPr>
            <w:r>
              <w:rPr>
                <w:rFonts w:cstheme="minorHAnsi"/>
                <w:bCs/>
                <w:lang w:val="en-GB"/>
              </w:rPr>
              <w:t>20</w:t>
            </w:r>
          </w:p>
        </w:tc>
        <w:tc>
          <w:tcPr>
            <w:tcW w:w="1228" w:type="dxa"/>
          </w:tcPr>
          <w:p w14:paraId="4F3E3F61" w14:textId="77777777" w:rsidR="00AF1C12" w:rsidRPr="006C408B" w:rsidRDefault="00AF1C12" w:rsidP="00DE4CD0">
            <w:pPr>
              <w:rPr>
                <w:rFonts w:cstheme="minorHAnsi"/>
                <w:bCs/>
                <w:lang w:val="en-GB"/>
              </w:rPr>
            </w:pPr>
            <w:r>
              <w:rPr>
                <w:rFonts w:cstheme="minorHAnsi"/>
                <w:bCs/>
                <w:lang w:val="en-GB"/>
              </w:rPr>
              <w:t>20</w:t>
            </w:r>
          </w:p>
        </w:tc>
        <w:tc>
          <w:tcPr>
            <w:tcW w:w="1227" w:type="dxa"/>
          </w:tcPr>
          <w:p w14:paraId="22125B10" w14:textId="77777777" w:rsidR="00AF1C12" w:rsidRPr="006C408B" w:rsidRDefault="00AF1C12" w:rsidP="00DE4CD0">
            <w:pPr>
              <w:rPr>
                <w:rFonts w:cstheme="minorHAnsi"/>
                <w:bCs/>
                <w:lang w:val="en-GB"/>
              </w:rPr>
            </w:pPr>
            <w:r>
              <w:rPr>
                <w:rFonts w:cstheme="minorHAnsi"/>
                <w:bCs/>
                <w:lang w:val="en-GB"/>
              </w:rPr>
              <w:t>37</w:t>
            </w:r>
          </w:p>
        </w:tc>
        <w:tc>
          <w:tcPr>
            <w:tcW w:w="1228" w:type="dxa"/>
          </w:tcPr>
          <w:p w14:paraId="353C31BB" w14:textId="77777777" w:rsidR="00AF1C12" w:rsidRPr="006C408B" w:rsidRDefault="00AF1C12" w:rsidP="00DE4CD0">
            <w:pPr>
              <w:rPr>
                <w:rFonts w:cstheme="minorHAnsi"/>
                <w:bCs/>
                <w:lang w:val="en-GB"/>
              </w:rPr>
            </w:pPr>
            <w:r>
              <w:rPr>
                <w:rFonts w:cstheme="minorHAnsi"/>
                <w:bCs/>
                <w:lang w:val="en-GB"/>
              </w:rPr>
              <w:t>14</w:t>
            </w:r>
          </w:p>
        </w:tc>
        <w:tc>
          <w:tcPr>
            <w:tcW w:w="1228" w:type="dxa"/>
          </w:tcPr>
          <w:p w14:paraId="614CA042" w14:textId="77777777" w:rsidR="00AF1C12" w:rsidRPr="006C408B" w:rsidRDefault="00AF1C12" w:rsidP="00DE4CD0">
            <w:pPr>
              <w:rPr>
                <w:rFonts w:cstheme="minorHAnsi"/>
                <w:bCs/>
                <w:lang w:val="en-GB"/>
              </w:rPr>
            </w:pPr>
            <w:r>
              <w:rPr>
                <w:rFonts w:cstheme="minorHAnsi"/>
                <w:bCs/>
                <w:lang w:val="en-GB"/>
              </w:rPr>
              <w:t>11</w:t>
            </w:r>
          </w:p>
        </w:tc>
      </w:tr>
      <w:tr w:rsidR="00AF1C12" w:rsidRPr="006C408B" w14:paraId="774694B5" w14:textId="77777777" w:rsidTr="00FE3098">
        <w:tc>
          <w:tcPr>
            <w:tcW w:w="1227" w:type="dxa"/>
          </w:tcPr>
          <w:p w14:paraId="2C614E98" w14:textId="77777777" w:rsidR="00AF1C12" w:rsidRPr="006C408B" w:rsidRDefault="00AF1C12" w:rsidP="00DE4CD0">
            <w:pPr>
              <w:rPr>
                <w:rFonts w:cstheme="minorHAnsi"/>
                <w:bCs/>
                <w:lang w:val="en-GB"/>
              </w:rPr>
            </w:pPr>
            <w:r w:rsidRPr="006C408B">
              <w:rPr>
                <w:rFonts w:cstheme="minorHAnsi"/>
                <w:bCs/>
                <w:lang w:val="en-GB"/>
              </w:rPr>
              <w:t>Hip</w:t>
            </w:r>
          </w:p>
        </w:tc>
        <w:tc>
          <w:tcPr>
            <w:tcW w:w="1228" w:type="dxa"/>
          </w:tcPr>
          <w:p w14:paraId="2C10F99B" w14:textId="77777777" w:rsidR="00AF1C12" w:rsidRPr="006C408B" w:rsidRDefault="00AF1C12" w:rsidP="00DE4CD0">
            <w:pPr>
              <w:rPr>
                <w:rFonts w:cstheme="minorHAnsi"/>
                <w:bCs/>
                <w:lang w:val="en-GB"/>
              </w:rPr>
            </w:pPr>
          </w:p>
        </w:tc>
        <w:tc>
          <w:tcPr>
            <w:tcW w:w="1228" w:type="dxa"/>
          </w:tcPr>
          <w:p w14:paraId="224487BA" w14:textId="77777777" w:rsidR="00AF1C12" w:rsidRPr="006C408B" w:rsidRDefault="00AF1C12" w:rsidP="00DE4CD0">
            <w:pPr>
              <w:rPr>
                <w:rFonts w:cstheme="minorHAnsi"/>
                <w:bCs/>
                <w:lang w:val="en-GB"/>
              </w:rPr>
            </w:pPr>
          </w:p>
        </w:tc>
        <w:tc>
          <w:tcPr>
            <w:tcW w:w="1227" w:type="dxa"/>
          </w:tcPr>
          <w:p w14:paraId="3A17AAEF" w14:textId="77777777" w:rsidR="00AF1C12" w:rsidRPr="006C408B" w:rsidRDefault="00AF1C12" w:rsidP="00DE4CD0">
            <w:pPr>
              <w:rPr>
                <w:rFonts w:cstheme="minorHAnsi"/>
                <w:bCs/>
                <w:lang w:val="en-GB"/>
              </w:rPr>
            </w:pPr>
          </w:p>
        </w:tc>
        <w:tc>
          <w:tcPr>
            <w:tcW w:w="1228" w:type="dxa"/>
          </w:tcPr>
          <w:p w14:paraId="39056DCA" w14:textId="77777777" w:rsidR="00AF1C12" w:rsidRPr="006C408B" w:rsidRDefault="00AF1C12" w:rsidP="00DE4CD0">
            <w:pPr>
              <w:rPr>
                <w:rFonts w:cstheme="minorHAnsi"/>
                <w:bCs/>
                <w:lang w:val="en-GB"/>
              </w:rPr>
            </w:pPr>
          </w:p>
        </w:tc>
        <w:tc>
          <w:tcPr>
            <w:tcW w:w="1228" w:type="dxa"/>
          </w:tcPr>
          <w:p w14:paraId="2051A57E" w14:textId="77777777" w:rsidR="00AF1C12" w:rsidRPr="006C408B" w:rsidRDefault="00AF1C12" w:rsidP="00DE4CD0">
            <w:pPr>
              <w:rPr>
                <w:rFonts w:cstheme="minorHAnsi"/>
                <w:bCs/>
                <w:lang w:val="en-GB"/>
              </w:rPr>
            </w:pPr>
          </w:p>
        </w:tc>
      </w:tr>
      <w:tr w:rsidR="00AF1C12" w:rsidRPr="006C408B" w14:paraId="255E91B9" w14:textId="77777777" w:rsidTr="00FE3098">
        <w:tc>
          <w:tcPr>
            <w:tcW w:w="1227" w:type="dxa"/>
          </w:tcPr>
          <w:p w14:paraId="69C3DDF6" w14:textId="77777777" w:rsidR="00AF1C12" w:rsidRPr="006C408B" w:rsidRDefault="00AF1C12" w:rsidP="00DE4CD0">
            <w:pPr>
              <w:rPr>
                <w:rFonts w:cstheme="minorHAnsi"/>
                <w:bCs/>
                <w:lang w:val="en-GB"/>
              </w:rPr>
            </w:pPr>
            <w:r w:rsidRPr="00987639">
              <w:rPr>
                <w:rFonts w:eastAsia="Times New Roman" w:cstheme="minorHAnsi"/>
                <w:bCs/>
                <w:lang w:val="en-GB" w:eastAsia="ru-RU"/>
              </w:rPr>
              <w:t>50</w:t>
            </w:r>
          </w:p>
        </w:tc>
        <w:tc>
          <w:tcPr>
            <w:tcW w:w="1228" w:type="dxa"/>
          </w:tcPr>
          <w:p w14:paraId="1A270A19" w14:textId="77777777" w:rsidR="00AF1C12" w:rsidRPr="006C408B" w:rsidRDefault="00AF1C12" w:rsidP="00DE4CD0">
            <w:pPr>
              <w:rPr>
                <w:rFonts w:cstheme="minorHAnsi"/>
                <w:bCs/>
                <w:lang w:val="en-GB"/>
              </w:rPr>
            </w:pPr>
            <w:r>
              <w:rPr>
                <w:rFonts w:cstheme="minorHAnsi"/>
                <w:bCs/>
                <w:lang w:val="en-GB"/>
              </w:rPr>
              <w:t>1.2</w:t>
            </w:r>
          </w:p>
        </w:tc>
        <w:tc>
          <w:tcPr>
            <w:tcW w:w="1228" w:type="dxa"/>
          </w:tcPr>
          <w:p w14:paraId="66BB31DA" w14:textId="77777777" w:rsidR="00AF1C12" w:rsidRPr="006C408B" w:rsidRDefault="00AF1C12" w:rsidP="00DE4CD0">
            <w:pPr>
              <w:rPr>
                <w:rFonts w:cstheme="minorHAnsi"/>
                <w:bCs/>
                <w:lang w:val="en-GB"/>
              </w:rPr>
            </w:pPr>
            <w:r>
              <w:rPr>
                <w:rFonts w:cstheme="minorHAnsi"/>
                <w:bCs/>
                <w:lang w:val="en-GB"/>
              </w:rPr>
              <w:t>0.8</w:t>
            </w:r>
          </w:p>
        </w:tc>
        <w:tc>
          <w:tcPr>
            <w:tcW w:w="1227" w:type="dxa"/>
          </w:tcPr>
          <w:p w14:paraId="3674710E" w14:textId="77777777" w:rsidR="00AF1C12" w:rsidRPr="006C408B" w:rsidRDefault="00AF1C12" w:rsidP="00DE4CD0">
            <w:pPr>
              <w:rPr>
                <w:rFonts w:cstheme="minorHAnsi"/>
                <w:bCs/>
                <w:lang w:val="en-GB"/>
              </w:rPr>
            </w:pPr>
            <w:r>
              <w:rPr>
                <w:rFonts w:cstheme="minorHAnsi"/>
                <w:bCs/>
                <w:lang w:val="en-GB"/>
              </w:rPr>
              <w:t>1.3</w:t>
            </w:r>
          </w:p>
        </w:tc>
        <w:tc>
          <w:tcPr>
            <w:tcW w:w="1228" w:type="dxa"/>
          </w:tcPr>
          <w:p w14:paraId="2C21FF67" w14:textId="77777777" w:rsidR="00AF1C12" w:rsidRPr="006C408B" w:rsidRDefault="00AF1C12" w:rsidP="00DE4CD0">
            <w:pPr>
              <w:rPr>
                <w:rFonts w:cstheme="minorHAnsi"/>
                <w:bCs/>
                <w:lang w:val="en-GB"/>
              </w:rPr>
            </w:pPr>
            <w:r>
              <w:rPr>
                <w:rFonts w:cstheme="minorHAnsi"/>
                <w:bCs/>
                <w:lang w:val="en-GB"/>
              </w:rPr>
              <w:t>0.7</w:t>
            </w:r>
          </w:p>
        </w:tc>
        <w:tc>
          <w:tcPr>
            <w:tcW w:w="1228" w:type="dxa"/>
          </w:tcPr>
          <w:p w14:paraId="2F4FD9AD" w14:textId="77777777" w:rsidR="00AF1C12" w:rsidRPr="006C408B" w:rsidRDefault="00AF1C12" w:rsidP="00DE4CD0">
            <w:pPr>
              <w:rPr>
                <w:rFonts w:cstheme="minorHAnsi"/>
                <w:bCs/>
                <w:lang w:val="en-GB"/>
              </w:rPr>
            </w:pPr>
            <w:r>
              <w:rPr>
                <w:rFonts w:cstheme="minorHAnsi"/>
                <w:bCs/>
                <w:lang w:val="en-GB"/>
              </w:rPr>
              <w:t>0.8</w:t>
            </w:r>
          </w:p>
        </w:tc>
      </w:tr>
      <w:tr w:rsidR="00AF1C12" w:rsidRPr="006C408B" w14:paraId="25996C13" w14:textId="77777777" w:rsidTr="00FE3098">
        <w:tc>
          <w:tcPr>
            <w:tcW w:w="1227" w:type="dxa"/>
          </w:tcPr>
          <w:p w14:paraId="380931CF" w14:textId="77777777" w:rsidR="00AF1C12" w:rsidRPr="006C408B" w:rsidRDefault="00AF1C12" w:rsidP="00DE4CD0">
            <w:pPr>
              <w:rPr>
                <w:rFonts w:cstheme="minorHAnsi"/>
                <w:bCs/>
                <w:lang w:val="en-GB"/>
              </w:rPr>
            </w:pPr>
            <w:r w:rsidRPr="00987639">
              <w:rPr>
                <w:rFonts w:eastAsia="Times New Roman" w:cstheme="minorHAnsi"/>
                <w:bCs/>
                <w:lang w:val="en-GB" w:eastAsia="ru-RU"/>
              </w:rPr>
              <w:t>55</w:t>
            </w:r>
          </w:p>
        </w:tc>
        <w:tc>
          <w:tcPr>
            <w:tcW w:w="1228" w:type="dxa"/>
          </w:tcPr>
          <w:p w14:paraId="53C8B69A" w14:textId="77777777" w:rsidR="00AF1C12" w:rsidRPr="006C408B" w:rsidRDefault="00AF1C12" w:rsidP="00DE4CD0">
            <w:pPr>
              <w:rPr>
                <w:rFonts w:cstheme="minorHAnsi"/>
                <w:bCs/>
                <w:lang w:val="en-GB"/>
              </w:rPr>
            </w:pPr>
            <w:r>
              <w:rPr>
                <w:rFonts w:cstheme="minorHAnsi"/>
                <w:bCs/>
                <w:lang w:val="en-GB"/>
              </w:rPr>
              <w:t>1.6</w:t>
            </w:r>
          </w:p>
        </w:tc>
        <w:tc>
          <w:tcPr>
            <w:tcW w:w="1228" w:type="dxa"/>
          </w:tcPr>
          <w:p w14:paraId="56121B12" w14:textId="77777777" w:rsidR="00AF1C12" w:rsidRPr="006C408B" w:rsidRDefault="00AF1C12" w:rsidP="00DE4CD0">
            <w:pPr>
              <w:rPr>
                <w:rFonts w:cstheme="minorHAnsi"/>
                <w:bCs/>
                <w:lang w:val="en-GB"/>
              </w:rPr>
            </w:pPr>
            <w:r>
              <w:rPr>
                <w:rFonts w:cstheme="minorHAnsi"/>
                <w:bCs/>
                <w:lang w:val="en-GB"/>
              </w:rPr>
              <w:t>1.3</w:t>
            </w:r>
          </w:p>
        </w:tc>
        <w:tc>
          <w:tcPr>
            <w:tcW w:w="1227" w:type="dxa"/>
          </w:tcPr>
          <w:p w14:paraId="0FA55550" w14:textId="77777777" w:rsidR="00AF1C12" w:rsidRPr="006C408B" w:rsidRDefault="00AF1C12" w:rsidP="00DE4CD0">
            <w:pPr>
              <w:rPr>
                <w:rFonts w:cstheme="minorHAnsi"/>
                <w:bCs/>
                <w:lang w:val="en-GB"/>
              </w:rPr>
            </w:pPr>
            <w:r>
              <w:rPr>
                <w:rFonts w:cstheme="minorHAnsi"/>
                <w:bCs/>
                <w:lang w:val="en-GB"/>
              </w:rPr>
              <w:t>1.5</w:t>
            </w:r>
          </w:p>
        </w:tc>
        <w:tc>
          <w:tcPr>
            <w:tcW w:w="1228" w:type="dxa"/>
          </w:tcPr>
          <w:p w14:paraId="54C69462" w14:textId="77777777" w:rsidR="00AF1C12" w:rsidRPr="006C408B" w:rsidRDefault="00AF1C12" w:rsidP="00DE4CD0">
            <w:pPr>
              <w:rPr>
                <w:rFonts w:cstheme="minorHAnsi"/>
                <w:bCs/>
                <w:lang w:val="en-GB"/>
              </w:rPr>
            </w:pPr>
            <w:r>
              <w:rPr>
                <w:rFonts w:cstheme="minorHAnsi"/>
                <w:bCs/>
                <w:lang w:val="en-GB"/>
              </w:rPr>
              <w:t>1.2</w:t>
            </w:r>
          </w:p>
        </w:tc>
        <w:tc>
          <w:tcPr>
            <w:tcW w:w="1228" w:type="dxa"/>
          </w:tcPr>
          <w:p w14:paraId="613767E3" w14:textId="77777777" w:rsidR="00AF1C12" w:rsidRPr="006C408B" w:rsidRDefault="00AF1C12" w:rsidP="00DE4CD0">
            <w:pPr>
              <w:rPr>
                <w:rFonts w:cstheme="minorHAnsi"/>
                <w:bCs/>
                <w:lang w:val="en-GB"/>
              </w:rPr>
            </w:pPr>
            <w:r>
              <w:rPr>
                <w:rFonts w:cstheme="minorHAnsi"/>
                <w:bCs/>
                <w:lang w:val="en-GB"/>
              </w:rPr>
              <w:t>1.2</w:t>
            </w:r>
          </w:p>
        </w:tc>
      </w:tr>
      <w:tr w:rsidR="00AF1C12" w:rsidRPr="006C408B" w14:paraId="6E8BAF1F" w14:textId="77777777" w:rsidTr="00FE3098">
        <w:tc>
          <w:tcPr>
            <w:tcW w:w="1227" w:type="dxa"/>
          </w:tcPr>
          <w:p w14:paraId="09D3CB01" w14:textId="77777777" w:rsidR="00AF1C12" w:rsidRPr="006C408B" w:rsidRDefault="00AF1C12" w:rsidP="00DE4CD0">
            <w:pPr>
              <w:rPr>
                <w:rFonts w:cstheme="minorHAnsi"/>
                <w:bCs/>
                <w:lang w:val="en-GB"/>
              </w:rPr>
            </w:pPr>
            <w:r w:rsidRPr="00987639">
              <w:rPr>
                <w:rFonts w:eastAsia="Times New Roman" w:cstheme="minorHAnsi"/>
                <w:bCs/>
                <w:lang w:val="en-GB" w:eastAsia="ru-RU"/>
              </w:rPr>
              <w:t>60</w:t>
            </w:r>
          </w:p>
        </w:tc>
        <w:tc>
          <w:tcPr>
            <w:tcW w:w="1228" w:type="dxa"/>
          </w:tcPr>
          <w:p w14:paraId="1D1F9E63" w14:textId="77777777" w:rsidR="00AF1C12" w:rsidRPr="006C408B" w:rsidRDefault="00AF1C12" w:rsidP="00DE4CD0">
            <w:pPr>
              <w:rPr>
                <w:rFonts w:cstheme="minorHAnsi"/>
                <w:bCs/>
                <w:lang w:val="en-GB"/>
              </w:rPr>
            </w:pPr>
            <w:r>
              <w:rPr>
                <w:rFonts w:cstheme="minorHAnsi"/>
                <w:bCs/>
                <w:lang w:val="en-GB"/>
              </w:rPr>
              <w:t>2.1</w:t>
            </w:r>
          </w:p>
        </w:tc>
        <w:tc>
          <w:tcPr>
            <w:tcW w:w="1228" w:type="dxa"/>
          </w:tcPr>
          <w:p w14:paraId="610BF835" w14:textId="77777777" w:rsidR="00AF1C12" w:rsidRPr="006C408B" w:rsidRDefault="00AF1C12" w:rsidP="00DE4CD0">
            <w:pPr>
              <w:rPr>
                <w:rFonts w:cstheme="minorHAnsi"/>
                <w:bCs/>
                <w:lang w:val="en-GB"/>
              </w:rPr>
            </w:pPr>
            <w:r>
              <w:rPr>
                <w:rFonts w:cstheme="minorHAnsi"/>
                <w:bCs/>
                <w:lang w:val="en-GB"/>
              </w:rPr>
              <w:t>2.2</w:t>
            </w:r>
          </w:p>
        </w:tc>
        <w:tc>
          <w:tcPr>
            <w:tcW w:w="1227" w:type="dxa"/>
          </w:tcPr>
          <w:p w14:paraId="233DE498" w14:textId="77777777" w:rsidR="00AF1C12" w:rsidRPr="006C408B" w:rsidRDefault="00AF1C12" w:rsidP="00DE4CD0">
            <w:pPr>
              <w:rPr>
                <w:rFonts w:cstheme="minorHAnsi"/>
                <w:bCs/>
                <w:lang w:val="en-GB"/>
              </w:rPr>
            </w:pPr>
            <w:r>
              <w:rPr>
                <w:rFonts w:cstheme="minorHAnsi"/>
                <w:bCs/>
                <w:lang w:val="en-GB"/>
              </w:rPr>
              <w:t>1.8</w:t>
            </w:r>
          </w:p>
        </w:tc>
        <w:tc>
          <w:tcPr>
            <w:tcW w:w="1228" w:type="dxa"/>
          </w:tcPr>
          <w:p w14:paraId="18775ECF" w14:textId="77777777" w:rsidR="00AF1C12" w:rsidRPr="006C408B" w:rsidRDefault="00AF1C12" w:rsidP="00DE4CD0">
            <w:pPr>
              <w:rPr>
                <w:rFonts w:cstheme="minorHAnsi"/>
                <w:bCs/>
                <w:lang w:val="en-GB"/>
              </w:rPr>
            </w:pPr>
            <w:r>
              <w:rPr>
                <w:rFonts w:cstheme="minorHAnsi"/>
                <w:bCs/>
                <w:lang w:val="en-GB"/>
              </w:rPr>
              <w:t>1.9</w:t>
            </w:r>
          </w:p>
        </w:tc>
        <w:tc>
          <w:tcPr>
            <w:tcW w:w="1228" w:type="dxa"/>
          </w:tcPr>
          <w:p w14:paraId="367CD888" w14:textId="77777777" w:rsidR="00AF1C12" w:rsidRPr="006C408B" w:rsidRDefault="00AF1C12" w:rsidP="00DE4CD0">
            <w:pPr>
              <w:rPr>
                <w:rFonts w:cstheme="minorHAnsi"/>
                <w:bCs/>
                <w:lang w:val="en-GB"/>
              </w:rPr>
            </w:pPr>
            <w:r>
              <w:rPr>
                <w:rFonts w:cstheme="minorHAnsi"/>
                <w:bCs/>
                <w:lang w:val="en-GB"/>
              </w:rPr>
              <w:t>1.8</w:t>
            </w:r>
          </w:p>
        </w:tc>
      </w:tr>
      <w:tr w:rsidR="00AF1C12" w:rsidRPr="006C408B" w14:paraId="6CDF4613" w14:textId="77777777" w:rsidTr="00FE3098">
        <w:tc>
          <w:tcPr>
            <w:tcW w:w="1227" w:type="dxa"/>
          </w:tcPr>
          <w:p w14:paraId="7FCA30AB" w14:textId="77777777" w:rsidR="00AF1C12" w:rsidRPr="006C408B" w:rsidRDefault="00AF1C12" w:rsidP="00DE4CD0">
            <w:pPr>
              <w:rPr>
                <w:rFonts w:cstheme="minorHAnsi"/>
                <w:bCs/>
                <w:lang w:val="en-GB"/>
              </w:rPr>
            </w:pPr>
            <w:r w:rsidRPr="00987639">
              <w:rPr>
                <w:rFonts w:eastAsia="Times New Roman" w:cstheme="minorHAnsi"/>
                <w:bCs/>
                <w:lang w:val="en-GB" w:eastAsia="ru-RU"/>
              </w:rPr>
              <w:t>65</w:t>
            </w:r>
          </w:p>
        </w:tc>
        <w:tc>
          <w:tcPr>
            <w:tcW w:w="1228" w:type="dxa"/>
          </w:tcPr>
          <w:p w14:paraId="0ABA0C6E" w14:textId="77777777" w:rsidR="00AF1C12" w:rsidRPr="006C408B" w:rsidRDefault="00AF1C12" w:rsidP="00DE4CD0">
            <w:pPr>
              <w:rPr>
                <w:rFonts w:cstheme="minorHAnsi"/>
                <w:bCs/>
                <w:lang w:val="en-GB"/>
              </w:rPr>
            </w:pPr>
            <w:r>
              <w:rPr>
                <w:rFonts w:cstheme="minorHAnsi"/>
                <w:bCs/>
                <w:lang w:val="en-GB"/>
              </w:rPr>
              <w:t>2.9</w:t>
            </w:r>
          </w:p>
        </w:tc>
        <w:tc>
          <w:tcPr>
            <w:tcW w:w="1228" w:type="dxa"/>
          </w:tcPr>
          <w:p w14:paraId="1E7B98A0" w14:textId="77777777" w:rsidR="00AF1C12" w:rsidRPr="006C408B" w:rsidRDefault="00AF1C12" w:rsidP="00DE4CD0">
            <w:pPr>
              <w:rPr>
                <w:rFonts w:cstheme="minorHAnsi"/>
                <w:bCs/>
                <w:lang w:val="en-GB"/>
              </w:rPr>
            </w:pPr>
            <w:r>
              <w:rPr>
                <w:rFonts w:cstheme="minorHAnsi"/>
                <w:bCs/>
                <w:lang w:val="en-GB"/>
              </w:rPr>
              <w:t>3.4</w:t>
            </w:r>
          </w:p>
        </w:tc>
        <w:tc>
          <w:tcPr>
            <w:tcW w:w="1227" w:type="dxa"/>
          </w:tcPr>
          <w:p w14:paraId="069B029A" w14:textId="77777777" w:rsidR="00AF1C12" w:rsidRPr="006C408B" w:rsidRDefault="00AF1C12" w:rsidP="00DE4CD0">
            <w:pPr>
              <w:rPr>
                <w:rFonts w:cstheme="minorHAnsi"/>
                <w:bCs/>
                <w:lang w:val="en-GB"/>
              </w:rPr>
            </w:pPr>
            <w:r>
              <w:rPr>
                <w:rFonts w:cstheme="minorHAnsi"/>
                <w:bCs/>
                <w:lang w:val="en-GB"/>
              </w:rPr>
              <w:t>2.3</w:t>
            </w:r>
          </w:p>
        </w:tc>
        <w:tc>
          <w:tcPr>
            <w:tcW w:w="1228" w:type="dxa"/>
          </w:tcPr>
          <w:p w14:paraId="03BF8492" w14:textId="77777777" w:rsidR="00AF1C12" w:rsidRPr="006C408B" w:rsidRDefault="00AF1C12" w:rsidP="00DE4CD0">
            <w:pPr>
              <w:rPr>
                <w:rFonts w:cstheme="minorHAnsi"/>
                <w:bCs/>
                <w:lang w:val="en-GB"/>
              </w:rPr>
            </w:pPr>
            <w:r>
              <w:rPr>
                <w:rFonts w:cstheme="minorHAnsi"/>
                <w:bCs/>
                <w:lang w:val="en-GB"/>
              </w:rPr>
              <w:t>2.9</w:t>
            </w:r>
          </w:p>
        </w:tc>
        <w:tc>
          <w:tcPr>
            <w:tcW w:w="1228" w:type="dxa"/>
          </w:tcPr>
          <w:p w14:paraId="654D9879" w14:textId="77777777" w:rsidR="00AF1C12" w:rsidRPr="006C408B" w:rsidRDefault="00AF1C12" w:rsidP="00DE4CD0">
            <w:pPr>
              <w:rPr>
                <w:rFonts w:cstheme="minorHAnsi"/>
                <w:bCs/>
                <w:lang w:val="en-GB"/>
              </w:rPr>
            </w:pPr>
            <w:r>
              <w:rPr>
                <w:rFonts w:cstheme="minorHAnsi"/>
                <w:bCs/>
                <w:lang w:val="en-GB"/>
              </w:rPr>
              <w:t>2.6</w:t>
            </w:r>
          </w:p>
        </w:tc>
      </w:tr>
      <w:tr w:rsidR="00AF1C12" w:rsidRPr="006C408B" w14:paraId="56F8B830" w14:textId="77777777" w:rsidTr="00FE3098">
        <w:tc>
          <w:tcPr>
            <w:tcW w:w="1227" w:type="dxa"/>
          </w:tcPr>
          <w:p w14:paraId="4C904B3A" w14:textId="77777777" w:rsidR="00AF1C12" w:rsidRPr="006C408B" w:rsidRDefault="00AF1C12" w:rsidP="00DE4CD0">
            <w:pPr>
              <w:rPr>
                <w:rFonts w:cstheme="minorHAnsi"/>
                <w:bCs/>
                <w:lang w:val="en-GB"/>
              </w:rPr>
            </w:pPr>
            <w:r w:rsidRPr="00987639">
              <w:rPr>
                <w:rFonts w:eastAsia="Times New Roman" w:cstheme="minorHAnsi"/>
                <w:bCs/>
                <w:lang w:val="en-GB" w:eastAsia="ru-RU"/>
              </w:rPr>
              <w:t>70</w:t>
            </w:r>
          </w:p>
        </w:tc>
        <w:tc>
          <w:tcPr>
            <w:tcW w:w="1228" w:type="dxa"/>
          </w:tcPr>
          <w:p w14:paraId="56A2C184" w14:textId="77777777" w:rsidR="00AF1C12" w:rsidRPr="006C408B" w:rsidRDefault="00AF1C12" w:rsidP="00DE4CD0">
            <w:pPr>
              <w:rPr>
                <w:rFonts w:cstheme="minorHAnsi"/>
                <w:bCs/>
                <w:lang w:val="en-GB"/>
              </w:rPr>
            </w:pPr>
            <w:r>
              <w:rPr>
                <w:rFonts w:cstheme="minorHAnsi"/>
                <w:bCs/>
                <w:lang w:val="en-GB"/>
              </w:rPr>
              <w:t>4.5</w:t>
            </w:r>
          </w:p>
        </w:tc>
        <w:tc>
          <w:tcPr>
            <w:tcW w:w="1228" w:type="dxa"/>
          </w:tcPr>
          <w:p w14:paraId="3CE6CFCD" w14:textId="77777777" w:rsidR="00AF1C12" w:rsidRPr="006C408B" w:rsidRDefault="00AF1C12" w:rsidP="00DE4CD0">
            <w:pPr>
              <w:rPr>
                <w:rFonts w:cstheme="minorHAnsi"/>
                <w:bCs/>
                <w:lang w:val="en-GB"/>
              </w:rPr>
            </w:pPr>
            <w:r>
              <w:rPr>
                <w:rFonts w:cstheme="minorHAnsi"/>
                <w:bCs/>
                <w:lang w:val="en-GB"/>
              </w:rPr>
              <w:t>5.4</w:t>
            </w:r>
          </w:p>
        </w:tc>
        <w:tc>
          <w:tcPr>
            <w:tcW w:w="1227" w:type="dxa"/>
          </w:tcPr>
          <w:p w14:paraId="7DBEC60F" w14:textId="77777777" w:rsidR="00AF1C12" w:rsidRPr="006C408B" w:rsidRDefault="00AF1C12" w:rsidP="00DE4CD0">
            <w:pPr>
              <w:rPr>
                <w:rFonts w:cstheme="minorHAnsi"/>
                <w:bCs/>
                <w:lang w:val="en-GB"/>
              </w:rPr>
            </w:pPr>
            <w:r>
              <w:rPr>
                <w:rFonts w:cstheme="minorHAnsi"/>
                <w:bCs/>
                <w:lang w:val="en-GB"/>
              </w:rPr>
              <w:t>4.1</w:t>
            </w:r>
          </w:p>
        </w:tc>
        <w:tc>
          <w:tcPr>
            <w:tcW w:w="1228" w:type="dxa"/>
          </w:tcPr>
          <w:p w14:paraId="1AC11E72" w14:textId="77777777" w:rsidR="00AF1C12" w:rsidRPr="006C408B" w:rsidRDefault="00AF1C12" w:rsidP="00DE4CD0">
            <w:pPr>
              <w:rPr>
                <w:rFonts w:cstheme="minorHAnsi"/>
                <w:bCs/>
                <w:lang w:val="en-GB"/>
              </w:rPr>
            </w:pPr>
            <w:r>
              <w:rPr>
                <w:rFonts w:cstheme="minorHAnsi"/>
                <w:bCs/>
                <w:lang w:val="en-GB"/>
              </w:rPr>
              <w:t>4.2</w:t>
            </w:r>
          </w:p>
        </w:tc>
        <w:tc>
          <w:tcPr>
            <w:tcW w:w="1228" w:type="dxa"/>
          </w:tcPr>
          <w:p w14:paraId="7DB9AB97" w14:textId="77777777" w:rsidR="00AF1C12" w:rsidRPr="006C408B" w:rsidRDefault="00AF1C12" w:rsidP="00DE4CD0">
            <w:pPr>
              <w:rPr>
                <w:rFonts w:cstheme="minorHAnsi"/>
                <w:bCs/>
                <w:lang w:val="en-GB"/>
              </w:rPr>
            </w:pPr>
            <w:r>
              <w:rPr>
                <w:rFonts w:cstheme="minorHAnsi"/>
                <w:bCs/>
                <w:lang w:val="en-GB"/>
              </w:rPr>
              <w:t>3.5</w:t>
            </w:r>
          </w:p>
        </w:tc>
      </w:tr>
      <w:tr w:rsidR="00AF1C12" w:rsidRPr="006C408B" w14:paraId="5ADB02E4" w14:textId="77777777" w:rsidTr="00FE3098">
        <w:tc>
          <w:tcPr>
            <w:tcW w:w="1227" w:type="dxa"/>
          </w:tcPr>
          <w:p w14:paraId="1EBEFEDA" w14:textId="77777777" w:rsidR="00AF1C12" w:rsidRPr="006C408B" w:rsidRDefault="00AF1C12" w:rsidP="00DE4CD0">
            <w:pPr>
              <w:rPr>
                <w:rFonts w:cstheme="minorHAnsi"/>
                <w:bCs/>
                <w:lang w:val="en-GB"/>
              </w:rPr>
            </w:pPr>
            <w:r w:rsidRPr="00987639">
              <w:rPr>
                <w:rFonts w:eastAsia="Times New Roman" w:cstheme="minorHAnsi"/>
                <w:bCs/>
                <w:lang w:val="en-GB" w:eastAsia="ru-RU"/>
              </w:rPr>
              <w:t>75</w:t>
            </w:r>
          </w:p>
        </w:tc>
        <w:tc>
          <w:tcPr>
            <w:tcW w:w="1228" w:type="dxa"/>
          </w:tcPr>
          <w:p w14:paraId="2043BCE0" w14:textId="77777777" w:rsidR="00AF1C12" w:rsidRPr="006C408B" w:rsidRDefault="00AF1C12" w:rsidP="00DE4CD0">
            <w:pPr>
              <w:rPr>
                <w:rFonts w:cstheme="minorHAnsi"/>
                <w:bCs/>
                <w:lang w:val="en-GB"/>
              </w:rPr>
            </w:pPr>
            <w:r>
              <w:rPr>
                <w:rFonts w:cstheme="minorHAnsi"/>
                <w:bCs/>
                <w:lang w:val="en-GB"/>
              </w:rPr>
              <w:t>7.0</w:t>
            </w:r>
          </w:p>
        </w:tc>
        <w:tc>
          <w:tcPr>
            <w:tcW w:w="1228" w:type="dxa"/>
          </w:tcPr>
          <w:p w14:paraId="61B1A262" w14:textId="77777777" w:rsidR="00AF1C12" w:rsidRPr="006C408B" w:rsidRDefault="00AF1C12" w:rsidP="00DE4CD0">
            <w:pPr>
              <w:rPr>
                <w:rFonts w:cstheme="minorHAnsi"/>
                <w:bCs/>
                <w:lang w:val="en-GB"/>
              </w:rPr>
            </w:pPr>
            <w:r>
              <w:rPr>
                <w:rFonts w:cstheme="minorHAnsi"/>
                <w:bCs/>
                <w:lang w:val="en-GB"/>
              </w:rPr>
              <w:t>8.3</w:t>
            </w:r>
          </w:p>
        </w:tc>
        <w:tc>
          <w:tcPr>
            <w:tcW w:w="1227" w:type="dxa"/>
          </w:tcPr>
          <w:p w14:paraId="76AF6E9A" w14:textId="77777777" w:rsidR="00AF1C12" w:rsidRPr="006C408B" w:rsidRDefault="00AF1C12" w:rsidP="00DE4CD0">
            <w:pPr>
              <w:rPr>
                <w:rFonts w:cstheme="minorHAnsi"/>
                <w:bCs/>
                <w:lang w:val="en-GB"/>
              </w:rPr>
            </w:pPr>
            <w:r>
              <w:rPr>
                <w:rFonts w:cstheme="minorHAnsi"/>
                <w:bCs/>
                <w:lang w:val="en-GB"/>
              </w:rPr>
              <w:t>7.5</w:t>
            </w:r>
          </w:p>
        </w:tc>
        <w:tc>
          <w:tcPr>
            <w:tcW w:w="1228" w:type="dxa"/>
          </w:tcPr>
          <w:p w14:paraId="43330474" w14:textId="77777777" w:rsidR="00AF1C12" w:rsidRPr="006C408B" w:rsidRDefault="00AF1C12" w:rsidP="00DE4CD0">
            <w:pPr>
              <w:rPr>
                <w:rFonts w:cstheme="minorHAnsi"/>
                <w:bCs/>
                <w:lang w:val="en-GB"/>
              </w:rPr>
            </w:pPr>
            <w:r>
              <w:rPr>
                <w:rFonts w:cstheme="minorHAnsi"/>
                <w:bCs/>
                <w:lang w:val="en-GB"/>
              </w:rPr>
              <w:t>5.3</w:t>
            </w:r>
          </w:p>
        </w:tc>
        <w:tc>
          <w:tcPr>
            <w:tcW w:w="1228" w:type="dxa"/>
          </w:tcPr>
          <w:p w14:paraId="173EAF62" w14:textId="77777777" w:rsidR="00AF1C12" w:rsidRPr="006C408B" w:rsidRDefault="00AF1C12" w:rsidP="00DE4CD0">
            <w:pPr>
              <w:rPr>
                <w:rFonts w:cstheme="minorHAnsi"/>
                <w:bCs/>
                <w:lang w:val="en-GB"/>
              </w:rPr>
            </w:pPr>
            <w:r>
              <w:rPr>
                <w:rFonts w:cstheme="minorHAnsi"/>
                <w:bCs/>
                <w:lang w:val="en-GB"/>
              </w:rPr>
              <w:t>4.6</w:t>
            </w:r>
          </w:p>
        </w:tc>
      </w:tr>
      <w:tr w:rsidR="00AF1C12" w:rsidRPr="006C408B" w14:paraId="449B68D0" w14:textId="77777777" w:rsidTr="00FE3098">
        <w:tc>
          <w:tcPr>
            <w:tcW w:w="1227" w:type="dxa"/>
          </w:tcPr>
          <w:p w14:paraId="1F0AB8D3" w14:textId="77777777" w:rsidR="00AF1C12" w:rsidRPr="006C408B" w:rsidRDefault="00AF1C12" w:rsidP="00DE4CD0">
            <w:pPr>
              <w:rPr>
                <w:rFonts w:cstheme="minorHAnsi"/>
                <w:bCs/>
                <w:lang w:val="en-GB"/>
              </w:rPr>
            </w:pPr>
            <w:r w:rsidRPr="00987639">
              <w:rPr>
                <w:rFonts w:eastAsia="Times New Roman" w:cstheme="minorHAnsi"/>
                <w:bCs/>
                <w:lang w:val="en-GB" w:eastAsia="ru-RU"/>
              </w:rPr>
              <w:t>80</w:t>
            </w:r>
          </w:p>
        </w:tc>
        <w:tc>
          <w:tcPr>
            <w:tcW w:w="1228" w:type="dxa"/>
          </w:tcPr>
          <w:p w14:paraId="796141E1" w14:textId="77777777" w:rsidR="00AF1C12" w:rsidRPr="006C408B" w:rsidRDefault="00AF1C12" w:rsidP="00DE4CD0">
            <w:pPr>
              <w:rPr>
                <w:rFonts w:cstheme="minorHAnsi"/>
                <w:bCs/>
                <w:lang w:val="en-GB"/>
              </w:rPr>
            </w:pPr>
            <w:r>
              <w:rPr>
                <w:rFonts w:cstheme="minorHAnsi"/>
                <w:bCs/>
                <w:lang w:val="en-GB"/>
              </w:rPr>
              <w:t>9.6</w:t>
            </w:r>
          </w:p>
        </w:tc>
        <w:tc>
          <w:tcPr>
            <w:tcW w:w="1228" w:type="dxa"/>
          </w:tcPr>
          <w:p w14:paraId="23293CAA" w14:textId="77777777" w:rsidR="00AF1C12" w:rsidRPr="006C408B" w:rsidRDefault="00AF1C12" w:rsidP="00DE4CD0">
            <w:pPr>
              <w:rPr>
                <w:rFonts w:cstheme="minorHAnsi"/>
                <w:bCs/>
                <w:lang w:val="en-GB"/>
              </w:rPr>
            </w:pPr>
            <w:r>
              <w:rPr>
                <w:rFonts w:cstheme="minorHAnsi"/>
                <w:bCs/>
                <w:lang w:val="en-GB"/>
              </w:rPr>
              <w:t>11</w:t>
            </w:r>
          </w:p>
        </w:tc>
        <w:tc>
          <w:tcPr>
            <w:tcW w:w="1227" w:type="dxa"/>
          </w:tcPr>
          <w:p w14:paraId="00091D34" w14:textId="77777777" w:rsidR="00AF1C12" w:rsidRPr="006C408B" w:rsidRDefault="00AF1C12" w:rsidP="00DE4CD0">
            <w:pPr>
              <w:rPr>
                <w:rFonts w:cstheme="minorHAnsi"/>
                <w:bCs/>
                <w:lang w:val="en-GB"/>
              </w:rPr>
            </w:pPr>
            <w:r>
              <w:rPr>
                <w:rFonts w:cstheme="minorHAnsi"/>
                <w:bCs/>
                <w:lang w:val="en-GB"/>
              </w:rPr>
              <w:t>11</w:t>
            </w:r>
          </w:p>
        </w:tc>
        <w:tc>
          <w:tcPr>
            <w:tcW w:w="1228" w:type="dxa"/>
          </w:tcPr>
          <w:p w14:paraId="78B20664" w14:textId="77777777" w:rsidR="00AF1C12" w:rsidRPr="006C408B" w:rsidRDefault="00AF1C12" w:rsidP="00DE4CD0">
            <w:pPr>
              <w:rPr>
                <w:rFonts w:cstheme="minorHAnsi"/>
                <w:bCs/>
                <w:lang w:val="en-GB"/>
              </w:rPr>
            </w:pPr>
            <w:r>
              <w:rPr>
                <w:rFonts w:cstheme="minorHAnsi"/>
                <w:bCs/>
                <w:lang w:val="en-GB"/>
              </w:rPr>
              <w:t>5.8</w:t>
            </w:r>
          </w:p>
        </w:tc>
        <w:tc>
          <w:tcPr>
            <w:tcW w:w="1228" w:type="dxa"/>
          </w:tcPr>
          <w:p w14:paraId="60AC1480" w14:textId="77777777" w:rsidR="00AF1C12" w:rsidRPr="006C408B" w:rsidRDefault="00AF1C12" w:rsidP="00DE4CD0">
            <w:pPr>
              <w:rPr>
                <w:rFonts w:cstheme="minorHAnsi"/>
                <w:bCs/>
                <w:lang w:val="en-GB"/>
              </w:rPr>
            </w:pPr>
            <w:r>
              <w:rPr>
                <w:rFonts w:cstheme="minorHAnsi"/>
                <w:bCs/>
                <w:lang w:val="en-GB"/>
              </w:rPr>
              <w:t>5.4</w:t>
            </w:r>
          </w:p>
        </w:tc>
      </w:tr>
      <w:tr w:rsidR="00AF1C12" w:rsidRPr="006C408B" w14:paraId="6D00F852" w14:textId="77777777" w:rsidTr="00FE3098">
        <w:tc>
          <w:tcPr>
            <w:tcW w:w="1227" w:type="dxa"/>
          </w:tcPr>
          <w:p w14:paraId="1910C623" w14:textId="77777777" w:rsidR="00AF1C12" w:rsidRPr="006C408B" w:rsidRDefault="00AF1C12" w:rsidP="00DE4CD0">
            <w:pPr>
              <w:rPr>
                <w:rFonts w:cstheme="minorHAnsi"/>
                <w:bCs/>
                <w:lang w:val="en-GB"/>
              </w:rPr>
            </w:pPr>
            <w:r w:rsidRPr="00987639">
              <w:rPr>
                <w:rFonts w:eastAsia="Times New Roman" w:cstheme="minorHAnsi"/>
                <w:bCs/>
                <w:lang w:val="en-GB" w:eastAsia="ru-RU"/>
              </w:rPr>
              <w:t>85</w:t>
            </w:r>
          </w:p>
        </w:tc>
        <w:tc>
          <w:tcPr>
            <w:tcW w:w="1228" w:type="dxa"/>
          </w:tcPr>
          <w:p w14:paraId="338DE6A3" w14:textId="77777777" w:rsidR="00AF1C12" w:rsidRPr="006C408B" w:rsidRDefault="00AF1C12" w:rsidP="00DE4CD0">
            <w:pPr>
              <w:rPr>
                <w:rFonts w:cstheme="minorHAnsi"/>
                <w:bCs/>
                <w:lang w:val="en-GB"/>
              </w:rPr>
            </w:pPr>
            <w:r>
              <w:rPr>
                <w:rFonts w:cstheme="minorHAnsi"/>
                <w:bCs/>
                <w:lang w:val="en-GB"/>
              </w:rPr>
              <w:t>11</w:t>
            </w:r>
          </w:p>
        </w:tc>
        <w:tc>
          <w:tcPr>
            <w:tcW w:w="1228" w:type="dxa"/>
          </w:tcPr>
          <w:p w14:paraId="65D5BE59" w14:textId="77777777" w:rsidR="00AF1C12" w:rsidRPr="006C408B" w:rsidRDefault="00AF1C12" w:rsidP="00DE4CD0">
            <w:pPr>
              <w:rPr>
                <w:rFonts w:cstheme="minorHAnsi"/>
                <w:bCs/>
                <w:lang w:val="en-GB"/>
              </w:rPr>
            </w:pPr>
            <w:r>
              <w:rPr>
                <w:rFonts w:cstheme="minorHAnsi"/>
                <w:bCs/>
                <w:lang w:val="en-GB"/>
              </w:rPr>
              <w:t>12</w:t>
            </w:r>
          </w:p>
        </w:tc>
        <w:tc>
          <w:tcPr>
            <w:tcW w:w="1227" w:type="dxa"/>
          </w:tcPr>
          <w:p w14:paraId="53F452F1" w14:textId="77777777" w:rsidR="00AF1C12" w:rsidRPr="006C408B" w:rsidRDefault="00AF1C12" w:rsidP="00DE4CD0">
            <w:pPr>
              <w:rPr>
                <w:rFonts w:cstheme="minorHAnsi"/>
                <w:bCs/>
                <w:lang w:val="en-GB"/>
              </w:rPr>
            </w:pPr>
            <w:r>
              <w:rPr>
                <w:rFonts w:cstheme="minorHAnsi"/>
                <w:bCs/>
                <w:lang w:val="en-GB"/>
              </w:rPr>
              <w:t>16</w:t>
            </w:r>
          </w:p>
        </w:tc>
        <w:tc>
          <w:tcPr>
            <w:tcW w:w="1228" w:type="dxa"/>
          </w:tcPr>
          <w:p w14:paraId="5F1ED5FE" w14:textId="77777777" w:rsidR="00AF1C12" w:rsidRPr="006C408B" w:rsidRDefault="00AF1C12" w:rsidP="00DE4CD0">
            <w:pPr>
              <w:rPr>
                <w:rFonts w:cstheme="minorHAnsi"/>
                <w:bCs/>
                <w:lang w:val="en-GB"/>
              </w:rPr>
            </w:pPr>
            <w:r>
              <w:rPr>
                <w:rFonts w:cstheme="minorHAnsi"/>
                <w:bCs/>
                <w:lang w:val="en-GB"/>
              </w:rPr>
              <w:t>6.7</w:t>
            </w:r>
          </w:p>
        </w:tc>
        <w:tc>
          <w:tcPr>
            <w:tcW w:w="1228" w:type="dxa"/>
          </w:tcPr>
          <w:p w14:paraId="3D046770" w14:textId="77777777" w:rsidR="00AF1C12" w:rsidRPr="006C408B" w:rsidRDefault="00AF1C12" w:rsidP="00DE4CD0">
            <w:pPr>
              <w:rPr>
                <w:rFonts w:cstheme="minorHAnsi"/>
                <w:bCs/>
                <w:lang w:val="en-GB"/>
              </w:rPr>
            </w:pPr>
            <w:r>
              <w:rPr>
                <w:rFonts w:cstheme="minorHAnsi"/>
                <w:bCs/>
                <w:lang w:val="en-GB"/>
              </w:rPr>
              <w:t>5.8</w:t>
            </w:r>
          </w:p>
        </w:tc>
      </w:tr>
      <w:tr w:rsidR="00AF1C12" w:rsidRPr="006C408B" w14:paraId="4EC50C26" w14:textId="77777777" w:rsidTr="00FE3098">
        <w:tc>
          <w:tcPr>
            <w:tcW w:w="1227" w:type="dxa"/>
          </w:tcPr>
          <w:p w14:paraId="59434A50" w14:textId="77777777" w:rsidR="00AF1C12" w:rsidRPr="006C408B" w:rsidRDefault="00AF1C12" w:rsidP="00DE4CD0">
            <w:pPr>
              <w:rPr>
                <w:rFonts w:cstheme="minorHAnsi"/>
                <w:bCs/>
                <w:lang w:val="en-GB"/>
              </w:rPr>
            </w:pPr>
            <w:r>
              <w:rPr>
                <w:rFonts w:eastAsia="Times New Roman" w:cstheme="minorHAnsi"/>
                <w:bCs/>
                <w:lang w:val="en-GB" w:eastAsia="ru-RU"/>
              </w:rPr>
              <w:t>90</w:t>
            </w:r>
          </w:p>
        </w:tc>
        <w:tc>
          <w:tcPr>
            <w:tcW w:w="1228" w:type="dxa"/>
          </w:tcPr>
          <w:p w14:paraId="0586C7E4" w14:textId="77777777" w:rsidR="00AF1C12" w:rsidRPr="006C408B" w:rsidRDefault="00AF1C12" w:rsidP="00DE4CD0">
            <w:pPr>
              <w:rPr>
                <w:rFonts w:cstheme="minorHAnsi"/>
                <w:bCs/>
                <w:lang w:val="en-GB"/>
              </w:rPr>
            </w:pPr>
            <w:r>
              <w:rPr>
                <w:rFonts w:cstheme="minorHAnsi"/>
                <w:bCs/>
                <w:lang w:val="en-GB"/>
              </w:rPr>
              <w:t>9.4</w:t>
            </w:r>
          </w:p>
        </w:tc>
        <w:tc>
          <w:tcPr>
            <w:tcW w:w="1228" w:type="dxa"/>
          </w:tcPr>
          <w:p w14:paraId="1EAF2DBA" w14:textId="77777777" w:rsidR="00AF1C12" w:rsidRPr="006C408B" w:rsidRDefault="00AF1C12" w:rsidP="00DE4CD0">
            <w:pPr>
              <w:rPr>
                <w:rFonts w:cstheme="minorHAnsi"/>
                <w:bCs/>
                <w:lang w:val="en-GB"/>
              </w:rPr>
            </w:pPr>
            <w:r>
              <w:rPr>
                <w:rFonts w:cstheme="minorHAnsi"/>
                <w:bCs/>
                <w:lang w:val="en-GB"/>
              </w:rPr>
              <w:t>9.3</w:t>
            </w:r>
          </w:p>
        </w:tc>
        <w:tc>
          <w:tcPr>
            <w:tcW w:w="1227" w:type="dxa"/>
          </w:tcPr>
          <w:p w14:paraId="4179FF61" w14:textId="77777777" w:rsidR="00AF1C12" w:rsidRPr="006C408B" w:rsidRDefault="00AF1C12" w:rsidP="00DE4CD0">
            <w:pPr>
              <w:rPr>
                <w:rFonts w:cstheme="minorHAnsi"/>
                <w:bCs/>
                <w:lang w:val="en-GB"/>
              </w:rPr>
            </w:pPr>
            <w:r>
              <w:rPr>
                <w:rFonts w:cstheme="minorHAnsi"/>
                <w:bCs/>
                <w:lang w:val="en-GB"/>
              </w:rPr>
              <w:t>17</w:t>
            </w:r>
          </w:p>
        </w:tc>
        <w:tc>
          <w:tcPr>
            <w:tcW w:w="1228" w:type="dxa"/>
          </w:tcPr>
          <w:p w14:paraId="0046F8AB" w14:textId="77777777" w:rsidR="00AF1C12" w:rsidRPr="006C408B" w:rsidRDefault="00AF1C12" w:rsidP="00DE4CD0">
            <w:pPr>
              <w:rPr>
                <w:rFonts w:cstheme="minorHAnsi"/>
                <w:bCs/>
                <w:lang w:val="en-GB"/>
              </w:rPr>
            </w:pPr>
            <w:r>
              <w:rPr>
                <w:rFonts w:cstheme="minorHAnsi"/>
                <w:bCs/>
                <w:lang w:val="en-GB"/>
              </w:rPr>
              <w:t>7.3</w:t>
            </w:r>
          </w:p>
        </w:tc>
        <w:tc>
          <w:tcPr>
            <w:tcW w:w="1228" w:type="dxa"/>
          </w:tcPr>
          <w:p w14:paraId="3DBE7616" w14:textId="77777777" w:rsidR="00AF1C12" w:rsidRPr="006C408B" w:rsidRDefault="00AF1C12" w:rsidP="00DE4CD0">
            <w:pPr>
              <w:rPr>
                <w:rFonts w:cstheme="minorHAnsi"/>
                <w:bCs/>
                <w:lang w:val="en-GB"/>
              </w:rPr>
            </w:pPr>
            <w:r>
              <w:rPr>
                <w:rFonts w:cstheme="minorHAnsi"/>
                <w:bCs/>
                <w:lang w:val="en-GB"/>
              </w:rPr>
              <w:t>4.5</w:t>
            </w:r>
          </w:p>
        </w:tc>
      </w:tr>
    </w:tbl>
    <w:p w14:paraId="536802AA" w14:textId="77777777" w:rsidR="00AF1C12" w:rsidRDefault="00AF1C12" w:rsidP="0003062D">
      <w:pPr>
        <w:spacing w:after="0" w:line="276" w:lineRule="auto"/>
        <w:ind w:left="567" w:right="1275"/>
        <w:rPr>
          <w:rFonts w:ascii="Calibri" w:eastAsia="Times New Roman" w:hAnsi="Calibri" w:cs="Calibri"/>
          <w:sz w:val="24"/>
          <w:szCs w:val="24"/>
          <w:lang w:eastAsia="ru-RU"/>
        </w:rPr>
      </w:pPr>
    </w:p>
    <w:p w14:paraId="6CC71A6D" w14:textId="4A2A7C60" w:rsidR="005333EB" w:rsidRPr="0003062D" w:rsidRDefault="001A2BA1" w:rsidP="004B2E67">
      <w:pPr>
        <w:spacing w:after="0" w:line="276" w:lineRule="auto"/>
        <w:ind w:left="567" w:right="4"/>
        <w:rPr>
          <w:rFonts w:ascii="Calibri" w:eastAsia="Times New Roman" w:hAnsi="Calibri" w:cs="Calibri"/>
          <w:sz w:val="24"/>
          <w:szCs w:val="24"/>
          <w:lang w:eastAsia="ru-RU"/>
        </w:rPr>
      </w:pPr>
      <w:r>
        <w:rPr>
          <w:rFonts w:ascii="Calibri" w:eastAsia="Times New Roman" w:hAnsi="Calibri" w:cs="Calibri"/>
          <w:sz w:val="24"/>
          <w:szCs w:val="24"/>
          <w:lang w:eastAsia="ru-RU"/>
        </w:rPr>
        <w:t>For remaining lifetime probabilit</w:t>
      </w:r>
      <w:r w:rsidR="004442A0">
        <w:rPr>
          <w:rFonts w:ascii="Calibri" w:eastAsia="Times New Roman" w:hAnsi="Calibri" w:cs="Calibri"/>
          <w:sz w:val="24"/>
          <w:szCs w:val="24"/>
          <w:lang w:eastAsia="ru-RU"/>
        </w:rPr>
        <w:t xml:space="preserve">y of a </w:t>
      </w:r>
      <w:r w:rsidR="00723313">
        <w:rPr>
          <w:rFonts w:ascii="Calibri" w:eastAsia="Times New Roman" w:hAnsi="Calibri" w:cs="Calibri"/>
          <w:sz w:val="24"/>
          <w:szCs w:val="24"/>
          <w:lang w:eastAsia="ru-RU"/>
        </w:rPr>
        <w:t>hip</w:t>
      </w:r>
      <w:r w:rsidR="005A4282">
        <w:rPr>
          <w:rFonts w:ascii="Calibri" w:eastAsia="Times New Roman" w:hAnsi="Calibri" w:cs="Calibri"/>
          <w:sz w:val="24"/>
          <w:szCs w:val="24"/>
          <w:lang w:eastAsia="ru-RU"/>
        </w:rPr>
        <w:t xml:space="preserve"> </w:t>
      </w:r>
      <w:r w:rsidR="00104819">
        <w:rPr>
          <w:rFonts w:ascii="Calibri" w:eastAsia="Times New Roman" w:hAnsi="Calibri" w:cs="Calibri"/>
          <w:sz w:val="24"/>
          <w:szCs w:val="24"/>
          <w:lang w:eastAsia="ru-RU"/>
        </w:rPr>
        <w:t>fracture in</w:t>
      </w:r>
      <w:r w:rsidR="00FC12E1">
        <w:rPr>
          <w:rFonts w:ascii="Calibri" w:eastAsia="Times New Roman" w:hAnsi="Calibri" w:cs="Calibri"/>
          <w:sz w:val="24"/>
          <w:szCs w:val="24"/>
          <w:lang w:eastAsia="ru-RU"/>
        </w:rPr>
        <w:t xml:space="preserve"> </w:t>
      </w:r>
      <w:r w:rsidR="003B3C10">
        <w:rPr>
          <w:rFonts w:ascii="Calibri" w:eastAsia="Times New Roman" w:hAnsi="Calibri" w:cs="Calibri"/>
          <w:sz w:val="24"/>
          <w:szCs w:val="24"/>
          <w:lang w:eastAsia="ru-RU"/>
        </w:rPr>
        <w:t>Bulgaria</w:t>
      </w:r>
      <w:r w:rsidR="00FC12E1">
        <w:rPr>
          <w:rFonts w:ascii="Calibri" w:eastAsia="Times New Roman" w:hAnsi="Calibri" w:cs="Calibri"/>
          <w:sz w:val="24"/>
          <w:szCs w:val="24"/>
          <w:lang w:eastAsia="ru-RU"/>
        </w:rPr>
        <w:t xml:space="preserve">n women from the age of 50 years </w:t>
      </w:r>
      <w:r w:rsidR="004B2E67">
        <w:rPr>
          <w:rFonts w:ascii="Calibri" w:eastAsia="Times New Roman" w:hAnsi="Calibri" w:cs="Calibri"/>
          <w:sz w:val="24"/>
          <w:szCs w:val="24"/>
          <w:lang w:eastAsia="ru-RU"/>
        </w:rPr>
        <w:t>was 11.2</w:t>
      </w:r>
      <w:r w:rsidR="007A6482">
        <w:rPr>
          <w:rFonts w:ascii="Calibri" w:eastAsia="Times New Roman" w:hAnsi="Calibri" w:cs="Calibri"/>
          <w:sz w:val="24"/>
          <w:szCs w:val="24"/>
          <w:lang w:eastAsia="ru-RU"/>
        </w:rPr>
        <w:t xml:space="preserve">% </w:t>
      </w:r>
      <w:r w:rsidR="006C44A2">
        <w:rPr>
          <w:rFonts w:ascii="Calibri" w:eastAsia="Times New Roman" w:hAnsi="Calibri" w:cs="Calibri"/>
          <w:sz w:val="24"/>
          <w:szCs w:val="24"/>
          <w:lang w:eastAsia="ru-RU"/>
        </w:rPr>
        <w:t xml:space="preserve">which lay </w:t>
      </w:r>
      <w:r w:rsidR="003B3C10">
        <w:rPr>
          <w:rFonts w:ascii="Calibri" w:eastAsia="Times New Roman" w:hAnsi="Calibri" w:cs="Calibri"/>
          <w:sz w:val="24"/>
          <w:szCs w:val="24"/>
          <w:lang w:eastAsia="ru-RU"/>
        </w:rPr>
        <w:t>midway between</w:t>
      </w:r>
      <w:r w:rsidR="006C44A2">
        <w:rPr>
          <w:rFonts w:ascii="Calibri" w:eastAsia="Times New Roman" w:hAnsi="Calibri" w:cs="Calibri"/>
          <w:sz w:val="24"/>
          <w:szCs w:val="24"/>
          <w:lang w:eastAsia="ru-RU"/>
        </w:rPr>
        <w:t xml:space="preserve"> Romani</w:t>
      </w:r>
      <w:r w:rsidR="00BF711E">
        <w:rPr>
          <w:rFonts w:ascii="Calibri" w:eastAsia="Times New Roman" w:hAnsi="Calibri" w:cs="Calibri"/>
          <w:sz w:val="24"/>
          <w:szCs w:val="24"/>
          <w:lang w:eastAsia="ru-RU"/>
        </w:rPr>
        <w:t>a and Serbia (7.1 and 7.7%, respectively an</w:t>
      </w:r>
      <w:r w:rsidR="0075771B">
        <w:rPr>
          <w:rFonts w:ascii="Calibri" w:eastAsia="Times New Roman" w:hAnsi="Calibri" w:cs="Calibri"/>
          <w:sz w:val="24"/>
          <w:szCs w:val="24"/>
          <w:lang w:eastAsia="ru-RU"/>
        </w:rPr>
        <w:t>d those of Greece and Turkey (15</w:t>
      </w:r>
      <w:r w:rsidR="00AF07FC">
        <w:rPr>
          <w:rFonts w:ascii="Calibri" w:eastAsia="Times New Roman" w:hAnsi="Calibri" w:cs="Calibri"/>
          <w:sz w:val="24"/>
          <w:szCs w:val="24"/>
          <w:lang w:eastAsia="ru-RU"/>
        </w:rPr>
        <w:t>.</w:t>
      </w:r>
      <w:r w:rsidR="0075771B">
        <w:rPr>
          <w:rFonts w:ascii="Calibri" w:eastAsia="Times New Roman" w:hAnsi="Calibri" w:cs="Calibri"/>
          <w:sz w:val="24"/>
          <w:szCs w:val="24"/>
          <w:lang w:eastAsia="ru-RU"/>
        </w:rPr>
        <w:t>4 and</w:t>
      </w:r>
      <w:r w:rsidR="00AF07FC">
        <w:rPr>
          <w:rFonts w:ascii="Calibri" w:eastAsia="Times New Roman" w:hAnsi="Calibri" w:cs="Calibri"/>
          <w:sz w:val="24"/>
          <w:szCs w:val="24"/>
          <w:lang w:eastAsia="ru-RU"/>
        </w:rPr>
        <w:t xml:space="preserve"> 15.9%, respectively)</w:t>
      </w:r>
      <w:r w:rsidR="00631E37" w:rsidRPr="00631E37">
        <w:rPr>
          <w:rFonts w:ascii="Calibri" w:eastAsia="Times New Roman" w:hAnsi="Calibri" w:cs="Calibri"/>
          <w:sz w:val="24"/>
          <w:szCs w:val="24"/>
          <w:lang w:eastAsia="ru-RU"/>
        </w:rPr>
        <w:t>.</w:t>
      </w:r>
    </w:p>
    <w:p w14:paraId="7514ECF8" w14:textId="77777777" w:rsidR="0003062D" w:rsidRDefault="0003062D" w:rsidP="001A0941">
      <w:pPr>
        <w:ind w:left="567"/>
        <w:rPr>
          <w:rFonts w:ascii="Arial" w:hAnsi="Arial" w:cs="Arial"/>
          <w:b/>
          <w:lang w:val="en-GB"/>
        </w:rPr>
      </w:pPr>
    </w:p>
    <w:p w14:paraId="077BE72E" w14:textId="12B14D0D" w:rsidR="001F64B0" w:rsidRDefault="001F64B0" w:rsidP="005066DA">
      <w:pPr>
        <w:autoSpaceDE w:val="0"/>
        <w:autoSpaceDN w:val="0"/>
        <w:adjustRightInd w:val="0"/>
        <w:spacing w:after="120" w:line="276" w:lineRule="auto"/>
        <w:ind w:left="567"/>
        <w:rPr>
          <w:rFonts w:ascii="Calibri" w:eastAsia="MS Mincho" w:hAnsi="Calibri" w:cs="Calibri"/>
          <w:color w:val="000000"/>
          <w:lang w:val="en-GB" w:eastAsia="ja-JP"/>
        </w:rPr>
      </w:pPr>
      <w:r w:rsidRPr="001F64B0">
        <w:rPr>
          <w:rFonts w:ascii="Calibri" w:eastAsia="MS Mincho" w:hAnsi="Calibri" w:cs="Calibri"/>
          <w:b/>
          <w:color w:val="000000"/>
          <w:lang w:val="en-GB" w:eastAsia="ja-JP"/>
        </w:rPr>
        <w:t xml:space="preserve">Table </w:t>
      </w:r>
      <w:r w:rsidR="00003584">
        <w:rPr>
          <w:rFonts w:ascii="Calibri" w:eastAsia="MS Mincho" w:hAnsi="Calibri" w:cs="Calibri"/>
          <w:b/>
          <w:color w:val="000000"/>
          <w:lang w:val="en-GB" w:eastAsia="ja-JP"/>
        </w:rPr>
        <w:t>4</w:t>
      </w:r>
      <w:r w:rsidRPr="001F64B0">
        <w:rPr>
          <w:rFonts w:ascii="Calibri" w:eastAsia="MS Mincho" w:hAnsi="Calibri" w:cs="Calibri"/>
          <w:b/>
          <w:color w:val="000000"/>
          <w:lang w:val="en-GB" w:eastAsia="ja-JP"/>
        </w:rPr>
        <w:t>.</w:t>
      </w:r>
      <w:r w:rsidRPr="001F64B0">
        <w:rPr>
          <w:rFonts w:ascii="Calibri" w:eastAsia="MS Mincho" w:hAnsi="Calibri" w:cs="Calibri"/>
          <w:color w:val="000000"/>
          <w:lang w:val="en-GB" w:eastAsia="ja-JP"/>
        </w:rPr>
        <w:t xml:space="preserve"> Life-time probability of hip fracture in the </w:t>
      </w:r>
      <w:r w:rsidR="003935B3">
        <w:rPr>
          <w:rFonts w:ascii="Calibri" w:eastAsia="MS Mincho" w:hAnsi="Calibri" w:cs="Calibri"/>
          <w:color w:val="000000"/>
          <w:lang w:val="en-GB" w:eastAsia="ja-JP"/>
        </w:rPr>
        <w:t>Bulgarian</w:t>
      </w:r>
      <w:r w:rsidRPr="001F64B0">
        <w:rPr>
          <w:rFonts w:ascii="Calibri" w:eastAsia="MS Mincho" w:hAnsi="Calibri" w:cs="Calibri"/>
          <w:color w:val="000000"/>
          <w:lang w:val="en-GB" w:eastAsia="ja-JP"/>
        </w:rPr>
        <w:t xml:space="preserve"> population from the age of 50 years compared with selected countries. </w:t>
      </w:r>
    </w:p>
    <w:tbl>
      <w:tblPr>
        <w:tblStyle w:val="TableGrid1"/>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52"/>
        <w:gridCol w:w="2562"/>
        <w:gridCol w:w="2841"/>
      </w:tblGrid>
      <w:tr w:rsidR="00B51262" w:rsidRPr="00735D40" w14:paraId="6B6EBF5B" w14:textId="77777777" w:rsidTr="004E1289">
        <w:tc>
          <w:tcPr>
            <w:tcW w:w="2552" w:type="dxa"/>
            <w:tcBorders>
              <w:top w:val="single" w:sz="12" w:space="0" w:color="auto"/>
            </w:tcBorders>
          </w:tcPr>
          <w:p w14:paraId="62839CE6" w14:textId="77777777" w:rsidR="00B51262" w:rsidRPr="00735D40" w:rsidRDefault="00B51262" w:rsidP="005066DA">
            <w:pPr>
              <w:spacing w:before="60" w:after="60"/>
              <w:ind w:left="567"/>
              <w:rPr>
                <w:rFonts w:asciiTheme="minorHAnsi" w:eastAsia="MS Mincho" w:hAnsiTheme="minorHAnsi" w:cstheme="minorHAnsi"/>
                <w:lang w:val="ru-RU" w:eastAsia="ja-JP"/>
              </w:rPr>
            </w:pPr>
            <w:r w:rsidRPr="00735D40">
              <w:rPr>
                <w:rFonts w:asciiTheme="minorHAnsi" w:eastAsia="MS Mincho" w:hAnsiTheme="minorHAnsi" w:cstheme="minorHAnsi"/>
                <w:color w:val="000000"/>
                <w:lang w:val="ru-RU" w:eastAsia="ja-JP"/>
              </w:rPr>
              <w:t>Country</w:t>
            </w:r>
          </w:p>
        </w:tc>
        <w:tc>
          <w:tcPr>
            <w:tcW w:w="5403" w:type="dxa"/>
            <w:gridSpan w:val="2"/>
            <w:tcBorders>
              <w:top w:val="single" w:sz="12" w:space="0" w:color="auto"/>
              <w:bottom w:val="single" w:sz="12" w:space="0" w:color="auto"/>
            </w:tcBorders>
          </w:tcPr>
          <w:p w14:paraId="6E270EC6" w14:textId="1FB2913B" w:rsidR="00B51262" w:rsidRPr="00735D40" w:rsidRDefault="00B51262" w:rsidP="005066DA">
            <w:pPr>
              <w:spacing w:before="60" w:after="60"/>
              <w:ind w:left="567"/>
              <w:jc w:val="center"/>
              <w:rPr>
                <w:rFonts w:asciiTheme="minorHAnsi" w:eastAsia="MS Mincho" w:hAnsiTheme="minorHAnsi" w:cstheme="minorHAnsi"/>
                <w:lang w:eastAsia="ja-JP"/>
              </w:rPr>
            </w:pPr>
            <w:r w:rsidRPr="00735D40">
              <w:rPr>
                <w:rFonts w:asciiTheme="minorHAnsi" w:eastAsia="MS Mincho" w:hAnsiTheme="minorHAnsi" w:cstheme="minorHAnsi"/>
                <w:color w:val="000000"/>
                <w:lang w:val="ru-RU" w:eastAsia="ja-JP"/>
              </w:rPr>
              <w:t>Life-time risk at 50 years %</w:t>
            </w:r>
            <w:r w:rsidR="00B96B43" w:rsidRPr="00735D40">
              <w:rPr>
                <w:rFonts w:asciiTheme="minorHAnsi" w:eastAsia="MS Mincho" w:hAnsiTheme="minorHAnsi" w:cstheme="minorHAnsi"/>
                <w:color w:val="000000"/>
                <w:lang w:eastAsia="ja-JP"/>
              </w:rPr>
              <w:t xml:space="preserve"> </w:t>
            </w:r>
            <w:r w:rsidR="00B96B43" w:rsidRPr="00735D40">
              <w:rPr>
                <w:rFonts w:asciiTheme="minorHAnsi" w:eastAsia="MS Mincho" w:hAnsiTheme="minorHAnsi" w:cstheme="minorHAnsi"/>
                <w:color w:val="000000"/>
                <w:vertAlign w:val="superscript"/>
                <w:lang w:eastAsia="ja-JP"/>
              </w:rPr>
              <w:t>a</w:t>
            </w:r>
          </w:p>
        </w:tc>
      </w:tr>
      <w:tr w:rsidR="00B51262" w:rsidRPr="00735D40" w14:paraId="6ABC6419" w14:textId="77777777" w:rsidTr="004E1289">
        <w:tc>
          <w:tcPr>
            <w:tcW w:w="2552" w:type="dxa"/>
            <w:tcBorders>
              <w:bottom w:val="single" w:sz="12" w:space="0" w:color="auto"/>
            </w:tcBorders>
          </w:tcPr>
          <w:p w14:paraId="12B008F6" w14:textId="77777777" w:rsidR="00B51262" w:rsidRPr="00735D40" w:rsidRDefault="00B51262" w:rsidP="005066DA">
            <w:pPr>
              <w:spacing w:before="60" w:after="60"/>
              <w:ind w:left="567"/>
              <w:rPr>
                <w:rFonts w:asciiTheme="minorHAnsi" w:eastAsia="MS Mincho" w:hAnsiTheme="minorHAnsi" w:cstheme="minorHAnsi"/>
                <w:lang w:val="ru-RU" w:eastAsia="ja-JP"/>
              </w:rPr>
            </w:pPr>
          </w:p>
        </w:tc>
        <w:tc>
          <w:tcPr>
            <w:tcW w:w="2562" w:type="dxa"/>
            <w:tcBorders>
              <w:top w:val="single" w:sz="12" w:space="0" w:color="auto"/>
              <w:bottom w:val="single" w:sz="12" w:space="0" w:color="auto"/>
            </w:tcBorders>
          </w:tcPr>
          <w:p w14:paraId="0654856F" w14:textId="77777777" w:rsidR="00B51262" w:rsidRPr="00735D40" w:rsidRDefault="00B51262" w:rsidP="005066DA">
            <w:pPr>
              <w:spacing w:before="60" w:after="60"/>
              <w:ind w:left="567"/>
              <w:jc w:val="center"/>
              <w:rPr>
                <w:rFonts w:asciiTheme="minorHAnsi" w:eastAsia="MS Mincho" w:hAnsiTheme="minorHAnsi" w:cstheme="minorHAnsi"/>
                <w:lang w:val="ru-RU" w:eastAsia="ja-JP"/>
              </w:rPr>
            </w:pPr>
            <w:r w:rsidRPr="00735D40">
              <w:rPr>
                <w:rFonts w:asciiTheme="minorHAnsi" w:eastAsia="MS Mincho" w:hAnsiTheme="minorHAnsi" w:cstheme="minorHAnsi"/>
                <w:color w:val="000000"/>
                <w:lang w:val="ru-RU" w:eastAsia="ja-JP"/>
              </w:rPr>
              <w:t>Women</w:t>
            </w:r>
          </w:p>
        </w:tc>
        <w:tc>
          <w:tcPr>
            <w:tcW w:w="2841" w:type="dxa"/>
            <w:tcBorders>
              <w:top w:val="single" w:sz="12" w:space="0" w:color="auto"/>
              <w:bottom w:val="single" w:sz="12" w:space="0" w:color="auto"/>
            </w:tcBorders>
          </w:tcPr>
          <w:p w14:paraId="738FB269" w14:textId="77777777" w:rsidR="00B51262" w:rsidRPr="00735D40" w:rsidRDefault="00B51262" w:rsidP="005066DA">
            <w:pPr>
              <w:spacing w:before="60" w:after="60"/>
              <w:ind w:left="567"/>
              <w:jc w:val="center"/>
              <w:rPr>
                <w:rFonts w:asciiTheme="minorHAnsi" w:eastAsia="MS Mincho" w:hAnsiTheme="minorHAnsi" w:cstheme="minorHAnsi"/>
                <w:lang w:val="ru-RU" w:eastAsia="ja-JP"/>
              </w:rPr>
            </w:pPr>
            <w:r w:rsidRPr="00735D40">
              <w:rPr>
                <w:rFonts w:asciiTheme="minorHAnsi" w:eastAsia="MS Mincho" w:hAnsiTheme="minorHAnsi" w:cstheme="minorHAnsi"/>
                <w:color w:val="000000"/>
                <w:lang w:val="ru-RU" w:eastAsia="ja-JP"/>
              </w:rPr>
              <w:t>Men</w:t>
            </w:r>
          </w:p>
        </w:tc>
      </w:tr>
      <w:tr w:rsidR="00B51262" w:rsidRPr="00735D40" w14:paraId="1D64BF7E" w14:textId="77777777" w:rsidTr="004E1289">
        <w:tc>
          <w:tcPr>
            <w:tcW w:w="2552" w:type="dxa"/>
            <w:tcBorders>
              <w:top w:val="single" w:sz="12" w:space="0" w:color="auto"/>
            </w:tcBorders>
          </w:tcPr>
          <w:p w14:paraId="5858F9F5" w14:textId="77777777" w:rsidR="00B51262" w:rsidRPr="00735D40" w:rsidRDefault="00B51262" w:rsidP="005066DA">
            <w:pPr>
              <w:spacing w:before="60" w:after="60"/>
              <w:ind w:left="567"/>
              <w:rPr>
                <w:rFonts w:asciiTheme="minorHAnsi" w:eastAsia="MS Mincho" w:hAnsiTheme="minorHAnsi" w:cstheme="minorHAnsi"/>
                <w:lang w:val="ru-RU" w:eastAsia="ja-JP"/>
              </w:rPr>
            </w:pPr>
            <w:r w:rsidRPr="00735D40">
              <w:rPr>
                <w:rFonts w:asciiTheme="minorHAnsi" w:eastAsia="MS Mincho" w:hAnsiTheme="minorHAnsi" w:cstheme="minorHAnsi"/>
                <w:lang w:val="ru-RU" w:eastAsia="ja-JP"/>
              </w:rPr>
              <w:t>Sweden</w:t>
            </w:r>
          </w:p>
        </w:tc>
        <w:tc>
          <w:tcPr>
            <w:tcW w:w="2562" w:type="dxa"/>
            <w:tcBorders>
              <w:top w:val="single" w:sz="12" w:space="0" w:color="auto"/>
            </w:tcBorders>
          </w:tcPr>
          <w:p w14:paraId="687A14E7" w14:textId="77777777" w:rsidR="00B51262" w:rsidRPr="00735D40" w:rsidRDefault="00B51262" w:rsidP="005066DA">
            <w:pPr>
              <w:spacing w:before="60" w:after="60"/>
              <w:ind w:left="567"/>
              <w:jc w:val="center"/>
              <w:rPr>
                <w:rFonts w:asciiTheme="minorHAnsi" w:eastAsia="MS Mincho" w:hAnsiTheme="minorHAnsi" w:cstheme="minorHAnsi"/>
                <w:lang w:val="ru-RU" w:eastAsia="ja-JP"/>
              </w:rPr>
            </w:pPr>
            <w:r w:rsidRPr="00735D40">
              <w:rPr>
                <w:rFonts w:asciiTheme="minorHAnsi" w:eastAsia="MS Mincho" w:hAnsiTheme="minorHAnsi" w:cstheme="minorHAnsi"/>
                <w:color w:val="000000"/>
                <w:lang w:val="ru-RU" w:eastAsia="ja-JP"/>
              </w:rPr>
              <w:t>2</w:t>
            </w:r>
            <w:r w:rsidRPr="00735D40">
              <w:rPr>
                <w:rFonts w:asciiTheme="minorHAnsi" w:eastAsia="MS Mincho" w:hAnsiTheme="minorHAnsi" w:cstheme="minorHAnsi"/>
                <w:color w:val="000000"/>
                <w:lang w:val="sv-SE" w:eastAsia="ja-JP"/>
              </w:rPr>
              <w:t>5</w:t>
            </w:r>
            <w:r w:rsidRPr="00735D40">
              <w:rPr>
                <w:rFonts w:asciiTheme="minorHAnsi" w:eastAsia="MS Mincho" w:hAnsiTheme="minorHAnsi" w:cstheme="minorHAnsi"/>
                <w:color w:val="000000"/>
                <w:lang w:val="ru-RU" w:eastAsia="ja-JP"/>
              </w:rPr>
              <w:t>.</w:t>
            </w:r>
            <w:r w:rsidRPr="00735D40">
              <w:rPr>
                <w:rFonts w:asciiTheme="minorHAnsi" w:eastAsia="MS Mincho" w:hAnsiTheme="minorHAnsi" w:cstheme="minorHAnsi"/>
                <w:color w:val="000000"/>
                <w:lang w:val="sv-SE" w:eastAsia="ja-JP"/>
              </w:rPr>
              <w:t>6</w:t>
            </w:r>
          </w:p>
        </w:tc>
        <w:tc>
          <w:tcPr>
            <w:tcW w:w="2841" w:type="dxa"/>
            <w:tcBorders>
              <w:top w:val="single" w:sz="12" w:space="0" w:color="auto"/>
            </w:tcBorders>
          </w:tcPr>
          <w:p w14:paraId="2E80C726" w14:textId="77777777" w:rsidR="00B51262" w:rsidRPr="00735D40" w:rsidRDefault="00B51262" w:rsidP="005066DA">
            <w:pPr>
              <w:spacing w:before="60" w:after="60"/>
              <w:ind w:left="567"/>
              <w:jc w:val="center"/>
              <w:rPr>
                <w:rFonts w:asciiTheme="minorHAnsi" w:eastAsia="MS Mincho" w:hAnsiTheme="minorHAnsi" w:cstheme="minorHAnsi"/>
                <w:lang w:val="ru-RU" w:eastAsia="ja-JP"/>
              </w:rPr>
            </w:pPr>
            <w:r w:rsidRPr="00735D40">
              <w:rPr>
                <w:rFonts w:asciiTheme="minorHAnsi" w:eastAsia="MS Mincho" w:hAnsiTheme="minorHAnsi" w:cstheme="minorHAnsi"/>
                <w:color w:val="000000"/>
                <w:lang w:val="sv-SE" w:eastAsia="ja-JP"/>
              </w:rPr>
              <w:t>11</w:t>
            </w:r>
            <w:r w:rsidRPr="00735D40">
              <w:rPr>
                <w:rFonts w:asciiTheme="minorHAnsi" w:eastAsia="MS Mincho" w:hAnsiTheme="minorHAnsi" w:cstheme="minorHAnsi"/>
                <w:color w:val="000000"/>
                <w:lang w:val="ru-RU" w:eastAsia="ja-JP"/>
              </w:rPr>
              <w:t>.</w:t>
            </w:r>
            <w:r w:rsidRPr="00735D40">
              <w:rPr>
                <w:rFonts w:asciiTheme="minorHAnsi" w:eastAsia="MS Mincho" w:hAnsiTheme="minorHAnsi" w:cstheme="minorHAnsi"/>
                <w:color w:val="000000"/>
                <w:lang w:val="sv-SE" w:eastAsia="ja-JP"/>
              </w:rPr>
              <w:t>0</w:t>
            </w:r>
          </w:p>
        </w:tc>
      </w:tr>
      <w:tr w:rsidR="00B51262" w:rsidRPr="00735D40" w14:paraId="50FFF962" w14:textId="77777777" w:rsidTr="004E1289">
        <w:tc>
          <w:tcPr>
            <w:tcW w:w="2552" w:type="dxa"/>
          </w:tcPr>
          <w:p w14:paraId="3D131193" w14:textId="77777777" w:rsidR="00B51262" w:rsidRPr="00735D40" w:rsidRDefault="00B51262" w:rsidP="005066DA">
            <w:pPr>
              <w:spacing w:before="60" w:after="60"/>
              <w:ind w:left="567"/>
              <w:rPr>
                <w:rFonts w:asciiTheme="minorHAnsi" w:hAnsiTheme="minorHAnsi" w:cstheme="minorHAnsi"/>
                <w:lang w:val="ru-RU"/>
              </w:rPr>
            </w:pPr>
            <w:r w:rsidRPr="00735D40">
              <w:rPr>
                <w:rFonts w:asciiTheme="minorHAnsi" w:hAnsiTheme="minorHAnsi" w:cstheme="minorHAnsi"/>
                <w:lang w:val="ru-RU"/>
              </w:rPr>
              <w:t>Denmark</w:t>
            </w:r>
          </w:p>
        </w:tc>
        <w:tc>
          <w:tcPr>
            <w:tcW w:w="2562" w:type="dxa"/>
          </w:tcPr>
          <w:p w14:paraId="1F961536" w14:textId="77777777" w:rsidR="00B51262" w:rsidRPr="00735D40" w:rsidRDefault="00B51262" w:rsidP="005066DA">
            <w:pPr>
              <w:spacing w:before="60" w:after="60"/>
              <w:ind w:left="567"/>
              <w:jc w:val="center"/>
              <w:rPr>
                <w:rFonts w:asciiTheme="minorHAnsi" w:hAnsiTheme="minorHAnsi" w:cstheme="minorHAnsi"/>
                <w:color w:val="000000"/>
                <w:lang w:val="ru-RU"/>
              </w:rPr>
            </w:pPr>
            <w:r w:rsidRPr="00735D40">
              <w:rPr>
                <w:rFonts w:asciiTheme="minorHAnsi" w:hAnsiTheme="minorHAnsi" w:cstheme="minorHAnsi"/>
                <w:color w:val="000000"/>
                <w:lang w:val="sv-SE"/>
              </w:rPr>
              <w:t>23</w:t>
            </w:r>
            <w:r w:rsidRPr="00735D40">
              <w:rPr>
                <w:rFonts w:asciiTheme="minorHAnsi" w:hAnsiTheme="minorHAnsi" w:cstheme="minorHAnsi"/>
                <w:color w:val="000000"/>
                <w:lang w:val="ru-RU"/>
              </w:rPr>
              <w:t>.</w:t>
            </w:r>
            <w:r w:rsidRPr="00735D40">
              <w:rPr>
                <w:rFonts w:asciiTheme="minorHAnsi" w:hAnsiTheme="minorHAnsi" w:cstheme="minorHAnsi"/>
                <w:color w:val="000000"/>
                <w:lang w:val="sv-SE"/>
              </w:rPr>
              <w:t>0</w:t>
            </w:r>
          </w:p>
        </w:tc>
        <w:tc>
          <w:tcPr>
            <w:tcW w:w="2841" w:type="dxa"/>
          </w:tcPr>
          <w:p w14:paraId="5BB8862B" w14:textId="77777777" w:rsidR="00B51262" w:rsidRPr="00735D40" w:rsidRDefault="00B51262" w:rsidP="005066DA">
            <w:pPr>
              <w:spacing w:before="60" w:after="60"/>
              <w:ind w:left="567"/>
              <w:jc w:val="center"/>
              <w:rPr>
                <w:rFonts w:asciiTheme="minorHAnsi" w:hAnsiTheme="minorHAnsi" w:cstheme="minorHAnsi"/>
                <w:color w:val="000000"/>
                <w:lang w:val="ru-RU"/>
              </w:rPr>
            </w:pPr>
            <w:r w:rsidRPr="00735D40">
              <w:rPr>
                <w:rFonts w:asciiTheme="minorHAnsi" w:hAnsiTheme="minorHAnsi" w:cstheme="minorHAnsi"/>
                <w:color w:val="000000"/>
                <w:lang w:val="sv-SE"/>
              </w:rPr>
              <w:t>11</w:t>
            </w:r>
            <w:r w:rsidRPr="00735D40">
              <w:rPr>
                <w:rFonts w:asciiTheme="minorHAnsi" w:hAnsiTheme="minorHAnsi" w:cstheme="minorHAnsi"/>
                <w:color w:val="000000"/>
                <w:lang w:val="ru-RU"/>
              </w:rPr>
              <w:t>.</w:t>
            </w:r>
            <w:r w:rsidRPr="00735D40">
              <w:rPr>
                <w:rFonts w:asciiTheme="minorHAnsi" w:hAnsiTheme="minorHAnsi" w:cstheme="minorHAnsi"/>
                <w:color w:val="000000"/>
                <w:lang w:val="sv-SE"/>
              </w:rPr>
              <w:t>3</w:t>
            </w:r>
          </w:p>
        </w:tc>
      </w:tr>
      <w:tr w:rsidR="00F05EDC" w:rsidRPr="00735D40" w14:paraId="1BE69E86" w14:textId="77777777" w:rsidTr="004E1289">
        <w:tc>
          <w:tcPr>
            <w:tcW w:w="2552" w:type="dxa"/>
          </w:tcPr>
          <w:p w14:paraId="6CBD450D" w14:textId="29154375" w:rsidR="00F05EDC" w:rsidRPr="00735D40" w:rsidRDefault="00F05EDC" w:rsidP="005066DA">
            <w:pPr>
              <w:spacing w:before="60" w:after="60"/>
              <w:ind w:left="567"/>
              <w:rPr>
                <w:rFonts w:asciiTheme="minorHAnsi" w:hAnsiTheme="minorHAnsi" w:cstheme="minorHAnsi"/>
                <w:lang w:val="ru-RU"/>
              </w:rPr>
            </w:pPr>
            <w:r w:rsidRPr="00735D40">
              <w:rPr>
                <w:rFonts w:asciiTheme="minorHAnsi" w:eastAsia="MS Mincho" w:hAnsiTheme="minorHAnsi" w:cstheme="minorHAnsi"/>
                <w:lang w:val="ru-RU" w:eastAsia="ja-JP"/>
              </w:rPr>
              <w:t>France</w:t>
            </w:r>
          </w:p>
        </w:tc>
        <w:tc>
          <w:tcPr>
            <w:tcW w:w="2562" w:type="dxa"/>
          </w:tcPr>
          <w:p w14:paraId="340EECEC" w14:textId="2FC9A08B" w:rsidR="00F05EDC" w:rsidRPr="00735D40" w:rsidRDefault="00F05EDC" w:rsidP="005066DA">
            <w:pPr>
              <w:spacing w:before="60" w:after="60"/>
              <w:ind w:left="567"/>
              <w:jc w:val="center"/>
              <w:rPr>
                <w:rFonts w:asciiTheme="minorHAnsi" w:hAnsiTheme="minorHAnsi" w:cstheme="minorHAnsi"/>
                <w:color w:val="000000"/>
                <w:lang w:val="sv-SE"/>
              </w:rPr>
            </w:pPr>
            <w:r w:rsidRPr="00735D40">
              <w:rPr>
                <w:rFonts w:asciiTheme="minorHAnsi" w:eastAsia="MS Mincho" w:hAnsiTheme="minorHAnsi" w:cstheme="minorHAnsi"/>
                <w:color w:val="000000"/>
                <w:lang w:val="ru-RU" w:eastAsia="ja-JP"/>
              </w:rPr>
              <w:t>1</w:t>
            </w:r>
            <w:r w:rsidRPr="00735D40">
              <w:rPr>
                <w:rFonts w:asciiTheme="minorHAnsi" w:eastAsia="MS Mincho" w:hAnsiTheme="minorHAnsi" w:cstheme="minorHAnsi"/>
                <w:color w:val="000000"/>
                <w:lang w:val="sv-SE" w:eastAsia="ja-JP"/>
              </w:rPr>
              <w:t>9</w:t>
            </w:r>
            <w:r w:rsidRPr="00735D40">
              <w:rPr>
                <w:rFonts w:asciiTheme="minorHAnsi" w:eastAsia="MS Mincho" w:hAnsiTheme="minorHAnsi" w:cstheme="minorHAnsi"/>
                <w:color w:val="000000"/>
                <w:lang w:val="ru-RU" w:eastAsia="ja-JP"/>
              </w:rPr>
              <w:t>.</w:t>
            </w:r>
            <w:r w:rsidRPr="00735D40">
              <w:rPr>
                <w:rFonts w:asciiTheme="minorHAnsi" w:eastAsia="MS Mincho" w:hAnsiTheme="minorHAnsi" w:cstheme="minorHAnsi"/>
                <w:color w:val="000000"/>
                <w:lang w:val="sv-SE" w:eastAsia="ja-JP"/>
              </w:rPr>
              <w:t>3</w:t>
            </w:r>
          </w:p>
        </w:tc>
        <w:tc>
          <w:tcPr>
            <w:tcW w:w="2841" w:type="dxa"/>
          </w:tcPr>
          <w:p w14:paraId="3BA3F479" w14:textId="6520C172" w:rsidR="00F05EDC" w:rsidRPr="00735D40" w:rsidRDefault="00F05EDC" w:rsidP="005066DA">
            <w:pPr>
              <w:spacing w:before="60" w:after="60"/>
              <w:ind w:left="567"/>
              <w:jc w:val="center"/>
              <w:rPr>
                <w:rFonts w:asciiTheme="minorHAnsi" w:hAnsiTheme="minorHAnsi" w:cstheme="minorHAnsi"/>
                <w:color w:val="000000"/>
                <w:lang w:val="sv-SE"/>
              </w:rPr>
            </w:pPr>
            <w:r w:rsidRPr="00735D40">
              <w:rPr>
                <w:rFonts w:asciiTheme="minorHAnsi" w:eastAsia="MS Mincho" w:hAnsiTheme="minorHAnsi" w:cstheme="minorHAnsi"/>
                <w:color w:val="000000"/>
                <w:lang w:val="sv-SE" w:eastAsia="ja-JP"/>
              </w:rPr>
              <w:t>5</w:t>
            </w:r>
            <w:r w:rsidRPr="00735D40">
              <w:rPr>
                <w:rFonts w:asciiTheme="minorHAnsi" w:eastAsia="MS Mincho" w:hAnsiTheme="minorHAnsi" w:cstheme="minorHAnsi"/>
                <w:color w:val="000000"/>
                <w:lang w:val="ru-RU" w:eastAsia="ja-JP"/>
              </w:rPr>
              <w:t>.</w:t>
            </w:r>
            <w:r w:rsidRPr="00735D40">
              <w:rPr>
                <w:rFonts w:asciiTheme="minorHAnsi" w:eastAsia="MS Mincho" w:hAnsiTheme="minorHAnsi" w:cstheme="minorHAnsi"/>
                <w:color w:val="000000"/>
                <w:lang w:val="sv-SE" w:eastAsia="ja-JP"/>
              </w:rPr>
              <w:t>9</w:t>
            </w:r>
          </w:p>
        </w:tc>
      </w:tr>
      <w:tr w:rsidR="00F05EDC" w:rsidRPr="00735D40" w14:paraId="20F7FB6C" w14:textId="77777777" w:rsidTr="004E1289">
        <w:tc>
          <w:tcPr>
            <w:tcW w:w="2552" w:type="dxa"/>
          </w:tcPr>
          <w:p w14:paraId="6EC01429" w14:textId="6F4085E6" w:rsidR="00F05EDC" w:rsidRPr="00735D40" w:rsidRDefault="00F05EDC" w:rsidP="005066DA">
            <w:pPr>
              <w:spacing w:before="60" w:after="60"/>
              <w:ind w:left="567"/>
              <w:rPr>
                <w:rFonts w:asciiTheme="minorHAnsi" w:eastAsia="MS Mincho" w:hAnsiTheme="minorHAnsi" w:cstheme="minorHAnsi"/>
                <w:lang w:val="ru-RU" w:eastAsia="ja-JP"/>
              </w:rPr>
            </w:pPr>
            <w:r w:rsidRPr="00735D40">
              <w:rPr>
                <w:rFonts w:asciiTheme="minorHAnsi" w:eastAsia="MS Mincho" w:hAnsiTheme="minorHAnsi" w:cstheme="minorHAnsi"/>
                <w:lang w:val="ru-RU" w:eastAsia="ja-JP"/>
              </w:rPr>
              <w:t>China (Hong Kong)</w:t>
            </w:r>
          </w:p>
        </w:tc>
        <w:tc>
          <w:tcPr>
            <w:tcW w:w="2562" w:type="dxa"/>
          </w:tcPr>
          <w:p w14:paraId="59D24A3A" w14:textId="195DBD12" w:rsidR="00F05EDC" w:rsidRPr="00735D40" w:rsidRDefault="00F05EDC" w:rsidP="005066DA">
            <w:pPr>
              <w:spacing w:before="60" w:after="60"/>
              <w:ind w:left="567"/>
              <w:jc w:val="center"/>
              <w:rPr>
                <w:rFonts w:asciiTheme="minorHAnsi" w:eastAsia="MS Mincho" w:hAnsiTheme="minorHAnsi" w:cstheme="minorHAnsi"/>
                <w:color w:val="000000"/>
                <w:lang w:val="ru-RU" w:eastAsia="ja-JP"/>
              </w:rPr>
            </w:pPr>
            <w:r w:rsidRPr="00735D40">
              <w:rPr>
                <w:rFonts w:asciiTheme="minorHAnsi" w:eastAsia="MS Mincho" w:hAnsiTheme="minorHAnsi" w:cstheme="minorHAnsi"/>
                <w:color w:val="000000"/>
                <w:lang w:val="sv-SE" w:eastAsia="ja-JP"/>
              </w:rPr>
              <w:t>17</w:t>
            </w:r>
            <w:r w:rsidRPr="00735D40">
              <w:rPr>
                <w:rFonts w:asciiTheme="minorHAnsi" w:eastAsia="MS Mincho" w:hAnsiTheme="minorHAnsi" w:cstheme="minorHAnsi"/>
                <w:color w:val="000000"/>
                <w:lang w:val="ru-RU" w:eastAsia="ja-JP"/>
              </w:rPr>
              <w:t>.</w:t>
            </w:r>
            <w:r w:rsidRPr="00735D40">
              <w:rPr>
                <w:rFonts w:asciiTheme="minorHAnsi" w:eastAsia="MS Mincho" w:hAnsiTheme="minorHAnsi" w:cstheme="minorHAnsi"/>
                <w:color w:val="000000"/>
                <w:lang w:val="sv-SE" w:eastAsia="ja-JP"/>
              </w:rPr>
              <w:t>7</w:t>
            </w:r>
          </w:p>
        </w:tc>
        <w:tc>
          <w:tcPr>
            <w:tcW w:w="2841" w:type="dxa"/>
          </w:tcPr>
          <w:p w14:paraId="73766B1C" w14:textId="3C2B2066" w:rsidR="00F05EDC" w:rsidRPr="00735D40" w:rsidRDefault="00F05EDC" w:rsidP="005066DA">
            <w:pPr>
              <w:spacing w:before="60" w:after="60"/>
              <w:ind w:left="567"/>
              <w:jc w:val="center"/>
              <w:rPr>
                <w:rFonts w:asciiTheme="minorHAnsi" w:eastAsia="MS Mincho" w:hAnsiTheme="minorHAnsi" w:cstheme="minorHAnsi"/>
                <w:color w:val="000000"/>
                <w:lang w:val="sv-SE" w:eastAsia="ja-JP"/>
              </w:rPr>
            </w:pPr>
            <w:r w:rsidRPr="00735D40">
              <w:rPr>
                <w:rFonts w:asciiTheme="minorHAnsi" w:eastAsia="MS Mincho" w:hAnsiTheme="minorHAnsi" w:cstheme="minorHAnsi"/>
                <w:color w:val="000000"/>
                <w:lang w:val="sv-SE" w:eastAsia="ja-JP"/>
              </w:rPr>
              <w:t>7</w:t>
            </w:r>
            <w:r w:rsidRPr="00735D40">
              <w:rPr>
                <w:rFonts w:asciiTheme="minorHAnsi" w:eastAsia="MS Mincho" w:hAnsiTheme="minorHAnsi" w:cstheme="minorHAnsi"/>
                <w:color w:val="000000"/>
                <w:lang w:val="ru-RU" w:eastAsia="ja-JP"/>
              </w:rPr>
              <w:t>.</w:t>
            </w:r>
            <w:r w:rsidRPr="00735D40">
              <w:rPr>
                <w:rFonts w:asciiTheme="minorHAnsi" w:eastAsia="MS Mincho" w:hAnsiTheme="minorHAnsi" w:cstheme="minorHAnsi"/>
                <w:color w:val="000000"/>
                <w:lang w:val="sv-SE" w:eastAsia="ja-JP"/>
              </w:rPr>
              <w:t>6</w:t>
            </w:r>
          </w:p>
        </w:tc>
      </w:tr>
      <w:tr w:rsidR="00B51262" w:rsidRPr="00735D40" w14:paraId="31CC9AAA" w14:textId="77777777" w:rsidTr="004E1289">
        <w:tc>
          <w:tcPr>
            <w:tcW w:w="2552" w:type="dxa"/>
          </w:tcPr>
          <w:p w14:paraId="070F15AC" w14:textId="77777777" w:rsidR="00B51262" w:rsidRPr="00735D40" w:rsidRDefault="00B51262" w:rsidP="005066DA">
            <w:pPr>
              <w:spacing w:before="60" w:after="60"/>
              <w:ind w:left="567"/>
              <w:rPr>
                <w:rFonts w:asciiTheme="minorHAnsi" w:eastAsia="MS Mincho" w:hAnsiTheme="minorHAnsi" w:cstheme="minorHAnsi"/>
                <w:lang w:val="ru-RU" w:eastAsia="ja-JP"/>
              </w:rPr>
            </w:pPr>
            <w:r w:rsidRPr="00735D40">
              <w:rPr>
                <w:rFonts w:asciiTheme="minorHAnsi" w:eastAsia="MS Mincho" w:hAnsiTheme="minorHAnsi" w:cstheme="minorHAnsi"/>
                <w:lang w:val="ru-RU" w:eastAsia="ja-JP"/>
              </w:rPr>
              <w:t>US (Caucasian)</w:t>
            </w:r>
          </w:p>
        </w:tc>
        <w:tc>
          <w:tcPr>
            <w:tcW w:w="2562" w:type="dxa"/>
          </w:tcPr>
          <w:p w14:paraId="68BF1EA1" w14:textId="77777777" w:rsidR="00B51262" w:rsidRPr="00735D40" w:rsidRDefault="00B51262" w:rsidP="005066DA">
            <w:pPr>
              <w:spacing w:before="60" w:after="60"/>
              <w:ind w:left="567"/>
              <w:jc w:val="center"/>
              <w:rPr>
                <w:rFonts w:asciiTheme="minorHAnsi" w:eastAsia="MS Mincho" w:hAnsiTheme="minorHAnsi" w:cstheme="minorHAnsi"/>
                <w:lang w:val="ru-RU" w:eastAsia="ja-JP"/>
              </w:rPr>
            </w:pPr>
            <w:r w:rsidRPr="00735D40">
              <w:rPr>
                <w:rFonts w:asciiTheme="minorHAnsi" w:eastAsia="MS Mincho" w:hAnsiTheme="minorHAnsi" w:cstheme="minorHAnsi"/>
                <w:color w:val="000000"/>
                <w:lang w:val="ru-RU" w:eastAsia="ja-JP"/>
              </w:rPr>
              <w:t>1</w:t>
            </w:r>
            <w:r w:rsidRPr="00735D40">
              <w:rPr>
                <w:rFonts w:asciiTheme="minorHAnsi" w:eastAsia="MS Mincho" w:hAnsiTheme="minorHAnsi" w:cstheme="minorHAnsi"/>
                <w:color w:val="000000"/>
                <w:lang w:val="sv-SE" w:eastAsia="ja-JP"/>
              </w:rPr>
              <w:t>6</w:t>
            </w:r>
            <w:r w:rsidRPr="00735D40">
              <w:rPr>
                <w:rFonts w:asciiTheme="minorHAnsi" w:eastAsia="MS Mincho" w:hAnsiTheme="minorHAnsi" w:cstheme="minorHAnsi"/>
                <w:color w:val="000000"/>
                <w:lang w:val="ru-RU" w:eastAsia="ja-JP"/>
              </w:rPr>
              <w:t>.</w:t>
            </w:r>
            <w:r w:rsidRPr="00735D40">
              <w:rPr>
                <w:rFonts w:asciiTheme="minorHAnsi" w:eastAsia="MS Mincho" w:hAnsiTheme="minorHAnsi" w:cstheme="minorHAnsi"/>
                <w:color w:val="000000"/>
                <w:lang w:val="sv-SE" w:eastAsia="ja-JP"/>
              </w:rPr>
              <w:t>1</w:t>
            </w:r>
          </w:p>
        </w:tc>
        <w:tc>
          <w:tcPr>
            <w:tcW w:w="2841" w:type="dxa"/>
          </w:tcPr>
          <w:p w14:paraId="0706FAB5" w14:textId="77777777" w:rsidR="00B51262" w:rsidRPr="00735D40" w:rsidRDefault="00B51262" w:rsidP="005066DA">
            <w:pPr>
              <w:spacing w:before="60" w:after="60"/>
              <w:ind w:left="567"/>
              <w:jc w:val="center"/>
              <w:rPr>
                <w:rFonts w:asciiTheme="minorHAnsi" w:eastAsia="MS Mincho" w:hAnsiTheme="minorHAnsi" w:cstheme="minorHAnsi"/>
                <w:lang w:val="sv-SE" w:eastAsia="ja-JP"/>
              </w:rPr>
            </w:pPr>
            <w:r w:rsidRPr="00735D40">
              <w:rPr>
                <w:rFonts w:asciiTheme="minorHAnsi" w:eastAsia="MS Mincho" w:hAnsiTheme="minorHAnsi" w:cstheme="minorHAnsi"/>
                <w:color w:val="000000"/>
                <w:lang w:val="sv-SE" w:eastAsia="ja-JP"/>
              </w:rPr>
              <w:t>7.5</w:t>
            </w:r>
          </w:p>
        </w:tc>
      </w:tr>
      <w:tr w:rsidR="00F05EDC" w:rsidRPr="00735D40" w14:paraId="692D611A" w14:textId="77777777" w:rsidTr="004E1289">
        <w:tc>
          <w:tcPr>
            <w:tcW w:w="2552" w:type="dxa"/>
          </w:tcPr>
          <w:p w14:paraId="179F7D2E" w14:textId="5BE3CF1B" w:rsidR="00F05EDC" w:rsidRPr="00735D40" w:rsidRDefault="00F05EDC" w:rsidP="005066DA">
            <w:pPr>
              <w:spacing w:before="60" w:after="60"/>
              <w:ind w:left="567"/>
              <w:rPr>
                <w:rFonts w:asciiTheme="minorHAnsi" w:eastAsia="MS Mincho" w:hAnsiTheme="minorHAnsi" w:cstheme="minorHAnsi"/>
                <w:lang w:val="ru-RU" w:eastAsia="ja-JP"/>
              </w:rPr>
            </w:pPr>
            <w:r w:rsidRPr="00735D40">
              <w:rPr>
                <w:rFonts w:asciiTheme="minorHAnsi" w:eastAsia="MS Mincho" w:hAnsiTheme="minorHAnsi" w:cstheme="minorHAnsi"/>
                <w:lang w:val="ru-RU" w:eastAsia="ja-JP"/>
              </w:rPr>
              <w:t xml:space="preserve">Turkey </w:t>
            </w:r>
          </w:p>
        </w:tc>
        <w:tc>
          <w:tcPr>
            <w:tcW w:w="2562" w:type="dxa"/>
          </w:tcPr>
          <w:p w14:paraId="5C91FC04" w14:textId="4D8D2862" w:rsidR="00F05EDC" w:rsidRPr="00735D40" w:rsidRDefault="00F05EDC" w:rsidP="005066DA">
            <w:pPr>
              <w:spacing w:before="60" w:after="60"/>
              <w:ind w:left="567"/>
              <w:jc w:val="center"/>
              <w:rPr>
                <w:rFonts w:asciiTheme="minorHAnsi" w:eastAsia="MS Mincho" w:hAnsiTheme="minorHAnsi" w:cstheme="minorHAnsi"/>
                <w:color w:val="000000"/>
                <w:lang w:val="ru-RU" w:eastAsia="ja-JP"/>
              </w:rPr>
            </w:pPr>
            <w:r w:rsidRPr="00735D40">
              <w:rPr>
                <w:rFonts w:asciiTheme="minorHAnsi" w:eastAsia="MS Mincho" w:hAnsiTheme="minorHAnsi" w:cstheme="minorHAnsi"/>
                <w:lang w:val="sv-SE" w:eastAsia="ja-JP"/>
              </w:rPr>
              <w:t>15</w:t>
            </w:r>
            <w:r w:rsidRPr="00735D40">
              <w:rPr>
                <w:rFonts w:asciiTheme="minorHAnsi" w:eastAsia="MS Mincho" w:hAnsiTheme="minorHAnsi" w:cstheme="minorHAnsi"/>
                <w:lang w:val="ru-RU" w:eastAsia="ja-JP"/>
              </w:rPr>
              <w:t>.</w:t>
            </w:r>
            <w:r w:rsidRPr="00735D40">
              <w:rPr>
                <w:rFonts w:asciiTheme="minorHAnsi" w:eastAsia="MS Mincho" w:hAnsiTheme="minorHAnsi" w:cstheme="minorHAnsi"/>
                <w:lang w:val="sv-SE" w:eastAsia="ja-JP"/>
              </w:rPr>
              <w:t>9</w:t>
            </w:r>
          </w:p>
        </w:tc>
        <w:tc>
          <w:tcPr>
            <w:tcW w:w="2841" w:type="dxa"/>
          </w:tcPr>
          <w:p w14:paraId="677E0908" w14:textId="3B530ED2" w:rsidR="00F05EDC" w:rsidRPr="00735D40" w:rsidRDefault="00F05EDC" w:rsidP="005066DA">
            <w:pPr>
              <w:spacing w:before="60" w:after="60"/>
              <w:ind w:left="567"/>
              <w:jc w:val="center"/>
              <w:rPr>
                <w:rFonts w:asciiTheme="minorHAnsi" w:eastAsia="MS Mincho" w:hAnsiTheme="minorHAnsi" w:cstheme="minorHAnsi"/>
                <w:color w:val="000000"/>
                <w:lang w:val="sv-SE" w:eastAsia="ja-JP"/>
              </w:rPr>
            </w:pPr>
            <w:r w:rsidRPr="00735D40">
              <w:rPr>
                <w:rFonts w:asciiTheme="minorHAnsi" w:eastAsia="MS Mincho" w:hAnsiTheme="minorHAnsi" w:cstheme="minorHAnsi"/>
                <w:lang w:val="ru-RU" w:eastAsia="ja-JP"/>
              </w:rPr>
              <w:t>3.</w:t>
            </w:r>
            <w:r w:rsidRPr="00735D40">
              <w:rPr>
                <w:rFonts w:asciiTheme="minorHAnsi" w:eastAsia="MS Mincho" w:hAnsiTheme="minorHAnsi" w:cstheme="minorHAnsi"/>
                <w:lang w:val="sv-SE" w:eastAsia="ja-JP"/>
              </w:rPr>
              <w:t>6</w:t>
            </w:r>
          </w:p>
        </w:tc>
      </w:tr>
      <w:tr w:rsidR="005D3234" w:rsidRPr="00735D40" w14:paraId="3E5FED21" w14:textId="77777777" w:rsidTr="004E1289">
        <w:tc>
          <w:tcPr>
            <w:tcW w:w="2552" w:type="dxa"/>
          </w:tcPr>
          <w:p w14:paraId="16505BD9" w14:textId="614F2B0A" w:rsidR="005D3234" w:rsidRPr="00735D40" w:rsidRDefault="005D3234" w:rsidP="005066DA">
            <w:pPr>
              <w:spacing w:before="60" w:after="60"/>
              <w:ind w:left="567"/>
              <w:rPr>
                <w:rFonts w:asciiTheme="minorHAnsi" w:eastAsia="MS Mincho" w:hAnsiTheme="minorHAnsi" w:cstheme="minorHAnsi"/>
                <w:lang w:val="ru-RU" w:eastAsia="ja-JP"/>
              </w:rPr>
            </w:pPr>
            <w:r w:rsidRPr="00735D40">
              <w:rPr>
                <w:rFonts w:asciiTheme="minorHAnsi" w:hAnsiTheme="minorHAnsi" w:cstheme="minorHAnsi"/>
                <w:lang w:val="ru-RU"/>
              </w:rPr>
              <w:t>Canada</w:t>
            </w:r>
          </w:p>
        </w:tc>
        <w:tc>
          <w:tcPr>
            <w:tcW w:w="2562" w:type="dxa"/>
          </w:tcPr>
          <w:p w14:paraId="23E05A57" w14:textId="3532F660" w:rsidR="005D3234" w:rsidRPr="00735D40" w:rsidRDefault="005D3234" w:rsidP="005066DA">
            <w:pPr>
              <w:spacing w:before="60" w:after="60"/>
              <w:ind w:left="567"/>
              <w:jc w:val="center"/>
              <w:rPr>
                <w:rFonts w:asciiTheme="minorHAnsi" w:eastAsia="MS Mincho" w:hAnsiTheme="minorHAnsi" w:cstheme="minorHAnsi"/>
                <w:lang w:val="sv-SE" w:eastAsia="ja-JP"/>
              </w:rPr>
            </w:pPr>
            <w:r w:rsidRPr="00735D40">
              <w:rPr>
                <w:rFonts w:asciiTheme="minorHAnsi" w:hAnsiTheme="minorHAnsi" w:cstheme="minorHAnsi"/>
                <w:color w:val="000000"/>
                <w:lang w:val="ru-RU"/>
              </w:rPr>
              <w:t>1</w:t>
            </w:r>
            <w:r w:rsidRPr="00735D40">
              <w:rPr>
                <w:rFonts w:asciiTheme="minorHAnsi" w:hAnsiTheme="minorHAnsi" w:cstheme="minorHAnsi"/>
                <w:color w:val="000000"/>
                <w:lang w:val="sv-SE"/>
              </w:rPr>
              <w:t>5</w:t>
            </w:r>
            <w:r w:rsidRPr="00735D40">
              <w:rPr>
                <w:rFonts w:asciiTheme="minorHAnsi" w:hAnsiTheme="minorHAnsi" w:cstheme="minorHAnsi"/>
                <w:color w:val="000000"/>
                <w:lang w:val="ru-RU"/>
              </w:rPr>
              <w:t>.</w:t>
            </w:r>
            <w:r w:rsidRPr="00735D40">
              <w:rPr>
                <w:rFonts w:asciiTheme="minorHAnsi" w:hAnsiTheme="minorHAnsi" w:cstheme="minorHAnsi"/>
                <w:color w:val="000000"/>
                <w:lang w:val="sv-SE"/>
              </w:rPr>
              <w:t>5</w:t>
            </w:r>
          </w:p>
        </w:tc>
        <w:tc>
          <w:tcPr>
            <w:tcW w:w="2841" w:type="dxa"/>
          </w:tcPr>
          <w:p w14:paraId="70F69285" w14:textId="7F228F3F" w:rsidR="005D3234" w:rsidRPr="00735D40" w:rsidRDefault="005D3234" w:rsidP="005066DA">
            <w:pPr>
              <w:spacing w:before="60" w:after="60"/>
              <w:ind w:left="567"/>
              <w:jc w:val="center"/>
              <w:rPr>
                <w:rFonts w:asciiTheme="minorHAnsi" w:eastAsia="MS Mincho" w:hAnsiTheme="minorHAnsi" w:cstheme="minorHAnsi"/>
                <w:lang w:val="ru-RU" w:eastAsia="ja-JP"/>
              </w:rPr>
            </w:pPr>
            <w:r w:rsidRPr="00735D40">
              <w:rPr>
                <w:rFonts w:asciiTheme="minorHAnsi" w:hAnsiTheme="minorHAnsi" w:cstheme="minorHAnsi"/>
                <w:color w:val="000000"/>
                <w:lang w:val="ru-RU"/>
              </w:rPr>
              <w:t>5.</w:t>
            </w:r>
            <w:r w:rsidRPr="00735D40">
              <w:rPr>
                <w:rFonts w:asciiTheme="minorHAnsi" w:hAnsiTheme="minorHAnsi" w:cstheme="minorHAnsi"/>
                <w:color w:val="000000"/>
                <w:lang w:val="sv-SE"/>
              </w:rPr>
              <w:t>8</w:t>
            </w:r>
          </w:p>
        </w:tc>
      </w:tr>
      <w:tr w:rsidR="005D3234" w:rsidRPr="00735D40" w14:paraId="47BD74EE" w14:textId="77777777" w:rsidTr="004E1289">
        <w:tc>
          <w:tcPr>
            <w:tcW w:w="2552" w:type="dxa"/>
          </w:tcPr>
          <w:p w14:paraId="6C84F962" w14:textId="5740A14F" w:rsidR="005D3234" w:rsidRPr="00735D40" w:rsidRDefault="005D3234" w:rsidP="005066DA">
            <w:pPr>
              <w:spacing w:before="60" w:after="60"/>
              <w:ind w:left="567"/>
              <w:rPr>
                <w:rFonts w:asciiTheme="minorHAnsi" w:eastAsia="MS Mincho" w:hAnsiTheme="minorHAnsi" w:cstheme="minorHAnsi"/>
                <w:lang w:eastAsia="ja-JP"/>
              </w:rPr>
            </w:pPr>
            <w:r w:rsidRPr="00735D40">
              <w:rPr>
                <w:rFonts w:asciiTheme="minorHAnsi" w:eastAsia="MS Mincho" w:hAnsiTheme="minorHAnsi" w:cstheme="minorHAnsi"/>
                <w:lang w:eastAsia="ja-JP"/>
              </w:rPr>
              <w:t>Greece</w:t>
            </w:r>
          </w:p>
        </w:tc>
        <w:tc>
          <w:tcPr>
            <w:tcW w:w="2562" w:type="dxa"/>
          </w:tcPr>
          <w:p w14:paraId="446007CF" w14:textId="65794B5C" w:rsidR="005D3234" w:rsidRPr="00735D40" w:rsidRDefault="005D3234" w:rsidP="005066DA">
            <w:pPr>
              <w:spacing w:before="60" w:after="60"/>
              <w:ind w:left="567"/>
              <w:jc w:val="center"/>
              <w:rPr>
                <w:rFonts w:asciiTheme="minorHAnsi" w:eastAsia="MS Mincho" w:hAnsiTheme="minorHAnsi" w:cstheme="minorHAnsi"/>
                <w:color w:val="000000"/>
                <w:lang w:val="sv-SE" w:eastAsia="ja-JP"/>
              </w:rPr>
            </w:pPr>
            <w:r w:rsidRPr="00735D40">
              <w:rPr>
                <w:rFonts w:asciiTheme="minorHAnsi" w:eastAsia="MS Mincho" w:hAnsiTheme="minorHAnsi" w:cstheme="minorHAnsi"/>
                <w:color w:val="000000"/>
                <w:lang w:val="sv-SE" w:eastAsia="ja-JP"/>
              </w:rPr>
              <w:t>15.4</w:t>
            </w:r>
          </w:p>
        </w:tc>
        <w:tc>
          <w:tcPr>
            <w:tcW w:w="2841" w:type="dxa"/>
          </w:tcPr>
          <w:p w14:paraId="3318568F" w14:textId="25E385D6" w:rsidR="005D3234" w:rsidRPr="00735D40" w:rsidRDefault="005D3234" w:rsidP="005066DA">
            <w:pPr>
              <w:spacing w:before="60" w:after="60"/>
              <w:ind w:left="567"/>
              <w:jc w:val="center"/>
              <w:rPr>
                <w:rFonts w:asciiTheme="minorHAnsi" w:eastAsia="MS Mincho" w:hAnsiTheme="minorHAnsi" w:cstheme="minorHAnsi"/>
                <w:color w:val="000000"/>
                <w:lang w:val="sv-SE" w:eastAsia="ja-JP"/>
              </w:rPr>
            </w:pPr>
            <w:r w:rsidRPr="00735D40">
              <w:rPr>
                <w:rFonts w:asciiTheme="minorHAnsi" w:eastAsia="MS Mincho" w:hAnsiTheme="minorHAnsi" w:cstheme="minorHAnsi"/>
                <w:color w:val="000000"/>
                <w:lang w:val="sv-SE" w:eastAsia="ja-JP"/>
              </w:rPr>
              <w:t>6</w:t>
            </w:r>
            <w:r w:rsidR="00202E9F" w:rsidRPr="00735D40">
              <w:rPr>
                <w:rFonts w:asciiTheme="minorHAnsi" w:eastAsia="MS Mincho" w:hAnsiTheme="minorHAnsi" w:cstheme="minorHAnsi"/>
                <w:color w:val="000000"/>
                <w:lang w:val="sv-SE" w:eastAsia="ja-JP"/>
              </w:rPr>
              <w:t>.</w:t>
            </w:r>
            <w:r w:rsidRPr="00735D40">
              <w:rPr>
                <w:rFonts w:asciiTheme="minorHAnsi" w:eastAsia="MS Mincho" w:hAnsiTheme="minorHAnsi" w:cstheme="minorHAnsi"/>
                <w:color w:val="000000"/>
                <w:lang w:val="sv-SE" w:eastAsia="ja-JP"/>
              </w:rPr>
              <w:t>8</w:t>
            </w:r>
          </w:p>
        </w:tc>
      </w:tr>
      <w:tr w:rsidR="00B51262" w:rsidRPr="00735D40" w14:paraId="1680E50A" w14:textId="77777777" w:rsidTr="004E1289">
        <w:tc>
          <w:tcPr>
            <w:tcW w:w="2552" w:type="dxa"/>
          </w:tcPr>
          <w:p w14:paraId="29EF66D2" w14:textId="77777777" w:rsidR="00B51262" w:rsidRPr="00735D40" w:rsidRDefault="00B51262" w:rsidP="005066DA">
            <w:pPr>
              <w:spacing w:before="60" w:after="60"/>
              <w:ind w:left="567"/>
              <w:rPr>
                <w:rFonts w:asciiTheme="minorHAnsi" w:eastAsia="MS Mincho" w:hAnsiTheme="minorHAnsi" w:cstheme="minorHAnsi"/>
                <w:lang w:val="ru-RU" w:eastAsia="ja-JP"/>
              </w:rPr>
            </w:pPr>
            <w:r w:rsidRPr="00735D40">
              <w:rPr>
                <w:rFonts w:asciiTheme="minorHAnsi" w:eastAsia="MS Mincho" w:hAnsiTheme="minorHAnsi" w:cstheme="minorHAnsi"/>
                <w:lang w:val="ru-RU" w:eastAsia="ja-JP"/>
              </w:rPr>
              <w:t>UK</w:t>
            </w:r>
          </w:p>
        </w:tc>
        <w:tc>
          <w:tcPr>
            <w:tcW w:w="2562" w:type="dxa"/>
          </w:tcPr>
          <w:p w14:paraId="6048453A" w14:textId="77777777" w:rsidR="00B51262" w:rsidRPr="00735D40" w:rsidRDefault="00B51262" w:rsidP="005066DA">
            <w:pPr>
              <w:spacing w:before="60" w:after="60"/>
              <w:ind w:left="567"/>
              <w:jc w:val="center"/>
              <w:rPr>
                <w:rFonts w:asciiTheme="minorHAnsi" w:eastAsia="MS Mincho" w:hAnsiTheme="minorHAnsi" w:cstheme="minorHAnsi"/>
                <w:lang w:val="ru-RU" w:eastAsia="ja-JP"/>
              </w:rPr>
            </w:pPr>
            <w:r w:rsidRPr="00735D40">
              <w:rPr>
                <w:rFonts w:asciiTheme="minorHAnsi" w:eastAsia="MS Mincho" w:hAnsiTheme="minorHAnsi" w:cstheme="minorHAnsi"/>
                <w:color w:val="000000"/>
                <w:lang w:val="ru-RU" w:eastAsia="ja-JP"/>
              </w:rPr>
              <w:t>1</w:t>
            </w:r>
            <w:r w:rsidRPr="00735D40">
              <w:rPr>
                <w:rFonts w:asciiTheme="minorHAnsi" w:eastAsia="MS Mincho" w:hAnsiTheme="minorHAnsi" w:cstheme="minorHAnsi"/>
                <w:color w:val="000000"/>
                <w:lang w:val="sv-SE" w:eastAsia="ja-JP"/>
              </w:rPr>
              <w:t>4</w:t>
            </w:r>
            <w:r w:rsidRPr="00735D40">
              <w:rPr>
                <w:rFonts w:asciiTheme="minorHAnsi" w:eastAsia="MS Mincho" w:hAnsiTheme="minorHAnsi" w:cstheme="minorHAnsi"/>
                <w:color w:val="000000"/>
                <w:lang w:val="ru-RU" w:eastAsia="ja-JP"/>
              </w:rPr>
              <w:t>.</w:t>
            </w:r>
            <w:r w:rsidRPr="00735D40">
              <w:rPr>
                <w:rFonts w:asciiTheme="minorHAnsi" w:eastAsia="MS Mincho" w:hAnsiTheme="minorHAnsi" w:cstheme="minorHAnsi"/>
                <w:color w:val="000000"/>
                <w:lang w:val="sv-SE" w:eastAsia="ja-JP"/>
              </w:rPr>
              <w:t>4</w:t>
            </w:r>
          </w:p>
        </w:tc>
        <w:tc>
          <w:tcPr>
            <w:tcW w:w="2841" w:type="dxa"/>
          </w:tcPr>
          <w:p w14:paraId="4F94B216" w14:textId="77777777" w:rsidR="00B51262" w:rsidRPr="00735D40" w:rsidRDefault="00B51262" w:rsidP="005066DA">
            <w:pPr>
              <w:spacing w:before="60" w:after="60"/>
              <w:ind w:left="567"/>
              <w:jc w:val="center"/>
              <w:rPr>
                <w:rFonts w:asciiTheme="minorHAnsi" w:eastAsia="MS Mincho" w:hAnsiTheme="minorHAnsi" w:cstheme="minorHAnsi"/>
                <w:lang w:val="ru-RU" w:eastAsia="ja-JP"/>
              </w:rPr>
            </w:pPr>
            <w:r w:rsidRPr="00735D40">
              <w:rPr>
                <w:rFonts w:asciiTheme="minorHAnsi" w:eastAsia="MS Mincho" w:hAnsiTheme="minorHAnsi" w:cstheme="minorHAnsi"/>
                <w:color w:val="000000"/>
                <w:lang w:val="sv-SE" w:eastAsia="ja-JP"/>
              </w:rPr>
              <w:t>5</w:t>
            </w:r>
            <w:r w:rsidRPr="00735D40">
              <w:rPr>
                <w:rFonts w:asciiTheme="minorHAnsi" w:eastAsia="MS Mincho" w:hAnsiTheme="minorHAnsi" w:cstheme="minorHAnsi"/>
                <w:color w:val="000000"/>
                <w:lang w:val="ru-RU" w:eastAsia="ja-JP"/>
              </w:rPr>
              <w:t>.</w:t>
            </w:r>
            <w:r w:rsidRPr="00735D40">
              <w:rPr>
                <w:rFonts w:asciiTheme="minorHAnsi" w:eastAsia="MS Mincho" w:hAnsiTheme="minorHAnsi" w:cstheme="minorHAnsi"/>
                <w:color w:val="000000"/>
                <w:lang w:val="sv-SE" w:eastAsia="ja-JP"/>
              </w:rPr>
              <w:t>0</w:t>
            </w:r>
          </w:p>
        </w:tc>
      </w:tr>
      <w:tr w:rsidR="00F05EDC" w:rsidRPr="00735D40" w14:paraId="51FAF55F" w14:textId="77777777" w:rsidTr="004E1289">
        <w:tc>
          <w:tcPr>
            <w:tcW w:w="2552" w:type="dxa"/>
          </w:tcPr>
          <w:p w14:paraId="31083B93" w14:textId="47A63DC7" w:rsidR="00F05EDC" w:rsidRPr="00735D40" w:rsidRDefault="00F05EDC" w:rsidP="005066DA">
            <w:pPr>
              <w:spacing w:before="60" w:after="60"/>
              <w:ind w:left="567"/>
              <w:rPr>
                <w:rFonts w:asciiTheme="minorHAnsi" w:eastAsia="MS Mincho" w:hAnsiTheme="minorHAnsi" w:cstheme="minorHAnsi"/>
                <w:lang w:val="ru-RU" w:eastAsia="ja-JP"/>
              </w:rPr>
            </w:pPr>
            <w:r w:rsidRPr="00735D40">
              <w:rPr>
                <w:rFonts w:asciiTheme="minorHAnsi" w:eastAsia="MS Mincho" w:hAnsiTheme="minorHAnsi" w:cstheme="minorHAnsi"/>
                <w:lang w:val="ru-RU" w:eastAsia="ja-JP"/>
              </w:rPr>
              <w:t>Portugal</w:t>
            </w:r>
          </w:p>
        </w:tc>
        <w:tc>
          <w:tcPr>
            <w:tcW w:w="2562" w:type="dxa"/>
          </w:tcPr>
          <w:p w14:paraId="23E23A70" w14:textId="4F9CD415" w:rsidR="00F05EDC" w:rsidRPr="00735D40" w:rsidRDefault="00F05EDC" w:rsidP="005066DA">
            <w:pPr>
              <w:spacing w:before="60" w:after="60"/>
              <w:ind w:left="567"/>
              <w:jc w:val="center"/>
              <w:rPr>
                <w:rFonts w:asciiTheme="minorHAnsi" w:eastAsia="MS Mincho" w:hAnsiTheme="minorHAnsi" w:cstheme="minorHAnsi"/>
                <w:color w:val="000000"/>
                <w:lang w:val="ru-RU" w:eastAsia="ja-JP"/>
              </w:rPr>
            </w:pPr>
            <w:r w:rsidRPr="00735D40">
              <w:rPr>
                <w:rFonts w:asciiTheme="minorHAnsi" w:eastAsia="MS Mincho" w:hAnsiTheme="minorHAnsi" w:cstheme="minorHAnsi"/>
                <w:color w:val="000000"/>
                <w:lang w:val="ru-RU" w:eastAsia="ja-JP"/>
              </w:rPr>
              <w:t>1</w:t>
            </w:r>
            <w:r w:rsidRPr="00735D40">
              <w:rPr>
                <w:rFonts w:asciiTheme="minorHAnsi" w:eastAsia="MS Mincho" w:hAnsiTheme="minorHAnsi" w:cstheme="minorHAnsi"/>
                <w:color w:val="000000"/>
                <w:lang w:val="sv-SE" w:eastAsia="ja-JP"/>
              </w:rPr>
              <w:t>3</w:t>
            </w:r>
            <w:r w:rsidRPr="00735D40">
              <w:rPr>
                <w:rFonts w:asciiTheme="minorHAnsi" w:eastAsia="MS Mincho" w:hAnsiTheme="minorHAnsi" w:cstheme="minorHAnsi"/>
                <w:color w:val="000000"/>
                <w:lang w:val="ru-RU" w:eastAsia="ja-JP"/>
              </w:rPr>
              <w:t>.</w:t>
            </w:r>
            <w:r w:rsidRPr="00735D40">
              <w:rPr>
                <w:rFonts w:asciiTheme="minorHAnsi" w:eastAsia="MS Mincho" w:hAnsiTheme="minorHAnsi" w:cstheme="minorHAnsi"/>
                <w:color w:val="000000"/>
                <w:lang w:val="sv-SE" w:eastAsia="ja-JP"/>
              </w:rPr>
              <w:t>7</w:t>
            </w:r>
          </w:p>
        </w:tc>
        <w:tc>
          <w:tcPr>
            <w:tcW w:w="2841" w:type="dxa"/>
          </w:tcPr>
          <w:p w14:paraId="38E8B1D4" w14:textId="4E810CD5" w:rsidR="00F05EDC" w:rsidRPr="00735D40" w:rsidRDefault="00F05EDC" w:rsidP="005066DA">
            <w:pPr>
              <w:spacing w:before="60" w:after="60"/>
              <w:ind w:left="567"/>
              <w:jc w:val="center"/>
              <w:rPr>
                <w:rFonts w:asciiTheme="minorHAnsi" w:eastAsia="MS Mincho" w:hAnsiTheme="minorHAnsi" w:cstheme="minorHAnsi"/>
                <w:color w:val="000000"/>
                <w:lang w:val="sv-SE" w:eastAsia="ja-JP"/>
              </w:rPr>
            </w:pPr>
            <w:r w:rsidRPr="00735D40">
              <w:rPr>
                <w:rFonts w:asciiTheme="minorHAnsi" w:eastAsia="MS Mincho" w:hAnsiTheme="minorHAnsi" w:cstheme="minorHAnsi"/>
                <w:color w:val="000000"/>
                <w:lang w:val="sv-SE" w:eastAsia="ja-JP"/>
              </w:rPr>
              <w:t>4</w:t>
            </w:r>
            <w:r w:rsidRPr="00735D40">
              <w:rPr>
                <w:rFonts w:asciiTheme="minorHAnsi" w:eastAsia="MS Mincho" w:hAnsiTheme="minorHAnsi" w:cstheme="minorHAnsi"/>
                <w:color w:val="000000"/>
                <w:lang w:val="ru-RU" w:eastAsia="ja-JP"/>
              </w:rPr>
              <w:t>.</w:t>
            </w:r>
            <w:r w:rsidRPr="00735D40">
              <w:rPr>
                <w:rFonts w:asciiTheme="minorHAnsi" w:eastAsia="MS Mincho" w:hAnsiTheme="minorHAnsi" w:cstheme="minorHAnsi"/>
                <w:color w:val="000000"/>
                <w:lang w:val="sv-SE" w:eastAsia="ja-JP"/>
              </w:rPr>
              <w:t>8</w:t>
            </w:r>
          </w:p>
        </w:tc>
      </w:tr>
      <w:tr w:rsidR="00B51262" w:rsidRPr="00735D40" w14:paraId="040AC406" w14:textId="77777777" w:rsidTr="004E1289">
        <w:tc>
          <w:tcPr>
            <w:tcW w:w="2552" w:type="dxa"/>
          </w:tcPr>
          <w:p w14:paraId="69DF6B73" w14:textId="77777777" w:rsidR="00B51262" w:rsidRPr="00735D40" w:rsidRDefault="00B51262" w:rsidP="005066DA">
            <w:pPr>
              <w:spacing w:before="60" w:after="60"/>
              <w:ind w:left="567"/>
              <w:rPr>
                <w:rFonts w:asciiTheme="minorHAnsi" w:hAnsiTheme="minorHAnsi" w:cstheme="minorHAnsi"/>
                <w:lang w:val="ru-RU"/>
              </w:rPr>
            </w:pPr>
            <w:r w:rsidRPr="00735D40">
              <w:rPr>
                <w:rFonts w:asciiTheme="minorHAnsi" w:hAnsiTheme="minorHAnsi" w:cstheme="minorHAnsi"/>
                <w:lang w:val="ru-RU"/>
              </w:rPr>
              <w:t>Finland</w:t>
            </w:r>
          </w:p>
        </w:tc>
        <w:tc>
          <w:tcPr>
            <w:tcW w:w="2562" w:type="dxa"/>
          </w:tcPr>
          <w:p w14:paraId="3B2A0B2C" w14:textId="77777777" w:rsidR="00B51262" w:rsidRPr="00735D40" w:rsidRDefault="00B51262" w:rsidP="005066DA">
            <w:pPr>
              <w:spacing w:before="60" w:after="60"/>
              <w:ind w:left="567"/>
              <w:jc w:val="center"/>
              <w:rPr>
                <w:rFonts w:asciiTheme="minorHAnsi" w:hAnsiTheme="minorHAnsi" w:cstheme="minorHAnsi"/>
                <w:color w:val="000000"/>
                <w:lang w:val="ru-RU"/>
              </w:rPr>
            </w:pPr>
            <w:r w:rsidRPr="00735D40">
              <w:rPr>
                <w:rFonts w:asciiTheme="minorHAnsi" w:hAnsiTheme="minorHAnsi" w:cstheme="minorHAnsi"/>
                <w:color w:val="000000"/>
                <w:lang w:val="ru-RU"/>
              </w:rPr>
              <w:t>12.</w:t>
            </w:r>
            <w:r w:rsidRPr="00735D40">
              <w:rPr>
                <w:rFonts w:asciiTheme="minorHAnsi" w:hAnsiTheme="minorHAnsi" w:cstheme="minorHAnsi"/>
                <w:color w:val="000000"/>
                <w:lang w:val="sv-SE"/>
              </w:rPr>
              <w:t>9</w:t>
            </w:r>
          </w:p>
        </w:tc>
        <w:tc>
          <w:tcPr>
            <w:tcW w:w="2841" w:type="dxa"/>
          </w:tcPr>
          <w:p w14:paraId="56FB5C24" w14:textId="77777777" w:rsidR="00B51262" w:rsidRPr="00735D40" w:rsidRDefault="00B51262" w:rsidP="005066DA">
            <w:pPr>
              <w:spacing w:before="60" w:after="60"/>
              <w:ind w:left="567"/>
              <w:jc w:val="center"/>
              <w:rPr>
                <w:rFonts w:asciiTheme="minorHAnsi" w:hAnsiTheme="minorHAnsi" w:cstheme="minorHAnsi"/>
                <w:color w:val="000000"/>
                <w:lang w:val="ru-RU"/>
              </w:rPr>
            </w:pPr>
            <w:r w:rsidRPr="00735D40">
              <w:rPr>
                <w:rFonts w:asciiTheme="minorHAnsi" w:hAnsiTheme="minorHAnsi" w:cstheme="minorHAnsi"/>
                <w:color w:val="000000"/>
                <w:lang w:val="sv-SE"/>
              </w:rPr>
              <w:t>6</w:t>
            </w:r>
            <w:r w:rsidRPr="00735D40">
              <w:rPr>
                <w:rFonts w:asciiTheme="minorHAnsi" w:hAnsiTheme="minorHAnsi" w:cstheme="minorHAnsi"/>
                <w:color w:val="000000"/>
                <w:lang w:val="ru-RU"/>
              </w:rPr>
              <w:t>.</w:t>
            </w:r>
            <w:r w:rsidRPr="00735D40">
              <w:rPr>
                <w:rFonts w:asciiTheme="minorHAnsi" w:hAnsiTheme="minorHAnsi" w:cstheme="minorHAnsi"/>
                <w:color w:val="000000"/>
                <w:lang w:val="sv-SE"/>
              </w:rPr>
              <w:t>0</w:t>
            </w:r>
          </w:p>
        </w:tc>
      </w:tr>
      <w:tr w:rsidR="00B51262" w:rsidRPr="00735D40" w14:paraId="41D2E0E5" w14:textId="77777777" w:rsidTr="004E1289">
        <w:tc>
          <w:tcPr>
            <w:tcW w:w="2552" w:type="dxa"/>
          </w:tcPr>
          <w:p w14:paraId="054C5260" w14:textId="77777777" w:rsidR="00B51262" w:rsidRPr="00735D40" w:rsidRDefault="00B51262" w:rsidP="005066DA">
            <w:pPr>
              <w:spacing w:before="60" w:after="60"/>
              <w:ind w:left="567"/>
              <w:rPr>
                <w:rFonts w:asciiTheme="minorHAnsi" w:eastAsia="MS Mincho" w:hAnsiTheme="minorHAnsi" w:cstheme="minorHAnsi"/>
                <w:lang w:val="ru-RU" w:eastAsia="ja-JP"/>
              </w:rPr>
            </w:pPr>
            <w:r w:rsidRPr="00735D40">
              <w:rPr>
                <w:rFonts w:asciiTheme="minorHAnsi" w:eastAsia="MS Mincho" w:hAnsiTheme="minorHAnsi" w:cstheme="minorHAnsi"/>
                <w:lang w:val="ru-RU" w:eastAsia="ja-JP"/>
              </w:rPr>
              <w:t>Spain</w:t>
            </w:r>
          </w:p>
        </w:tc>
        <w:tc>
          <w:tcPr>
            <w:tcW w:w="2562" w:type="dxa"/>
          </w:tcPr>
          <w:p w14:paraId="5C00DCAE" w14:textId="77777777" w:rsidR="00B51262" w:rsidRPr="00735D40" w:rsidRDefault="00B51262" w:rsidP="005066DA">
            <w:pPr>
              <w:spacing w:before="60" w:after="60"/>
              <w:ind w:left="567"/>
              <w:jc w:val="center"/>
              <w:rPr>
                <w:rFonts w:asciiTheme="minorHAnsi" w:eastAsia="MS Mincho" w:hAnsiTheme="minorHAnsi" w:cstheme="minorHAnsi"/>
                <w:lang w:val="ru-RU" w:eastAsia="ja-JP"/>
              </w:rPr>
            </w:pPr>
            <w:r w:rsidRPr="00735D40">
              <w:rPr>
                <w:rFonts w:asciiTheme="minorHAnsi" w:eastAsia="MS Mincho" w:hAnsiTheme="minorHAnsi" w:cstheme="minorHAnsi"/>
                <w:color w:val="000000"/>
                <w:lang w:val="ru-RU" w:eastAsia="ja-JP"/>
              </w:rPr>
              <w:t>12.</w:t>
            </w:r>
            <w:r w:rsidRPr="00735D40">
              <w:rPr>
                <w:rFonts w:asciiTheme="minorHAnsi" w:eastAsia="MS Mincho" w:hAnsiTheme="minorHAnsi" w:cstheme="minorHAnsi"/>
                <w:color w:val="000000"/>
                <w:lang w:val="sv-SE" w:eastAsia="ja-JP"/>
              </w:rPr>
              <w:t>6</w:t>
            </w:r>
          </w:p>
        </w:tc>
        <w:tc>
          <w:tcPr>
            <w:tcW w:w="2841" w:type="dxa"/>
          </w:tcPr>
          <w:p w14:paraId="281ED4B5" w14:textId="77777777" w:rsidR="00B51262" w:rsidRPr="00735D40" w:rsidRDefault="00B51262" w:rsidP="005066DA">
            <w:pPr>
              <w:spacing w:before="60" w:after="60"/>
              <w:ind w:left="567"/>
              <w:jc w:val="center"/>
              <w:rPr>
                <w:rFonts w:asciiTheme="minorHAnsi" w:eastAsia="MS Mincho" w:hAnsiTheme="minorHAnsi" w:cstheme="minorHAnsi"/>
                <w:lang w:val="ru-RU" w:eastAsia="ja-JP"/>
              </w:rPr>
            </w:pPr>
            <w:r w:rsidRPr="00735D40">
              <w:rPr>
                <w:rFonts w:asciiTheme="minorHAnsi" w:eastAsia="MS Mincho" w:hAnsiTheme="minorHAnsi" w:cstheme="minorHAnsi"/>
                <w:color w:val="000000"/>
                <w:lang w:val="ru-RU" w:eastAsia="ja-JP"/>
              </w:rPr>
              <w:t>4.2</w:t>
            </w:r>
          </w:p>
        </w:tc>
      </w:tr>
      <w:tr w:rsidR="00F05EDC" w:rsidRPr="00735D40" w14:paraId="7F318BD1" w14:textId="77777777" w:rsidTr="004E1289">
        <w:tc>
          <w:tcPr>
            <w:tcW w:w="2552" w:type="dxa"/>
          </w:tcPr>
          <w:p w14:paraId="6441216D" w14:textId="34D839B6" w:rsidR="00F05EDC" w:rsidRPr="00735D40" w:rsidRDefault="00F05EDC" w:rsidP="005066DA">
            <w:pPr>
              <w:spacing w:before="60" w:after="60"/>
              <w:ind w:left="567"/>
              <w:rPr>
                <w:rFonts w:asciiTheme="minorHAnsi" w:eastAsia="MS Mincho" w:hAnsiTheme="minorHAnsi" w:cstheme="minorHAnsi"/>
                <w:lang w:val="ru-RU" w:eastAsia="ja-JP"/>
              </w:rPr>
            </w:pPr>
            <w:r w:rsidRPr="00735D40">
              <w:rPr>
                <w:rFonts w:asciiTheme="minorHAnsi" w:eastAsia="MS Mincho" w:hAnsiTheme="minorHAnsi" w:cstheme="minorHAnsi"/>
                <w:lang w:eastAsia="ja-JP"/>
              </w:rPr>
              <w:t>Bulgaria</w:t>
            </w:r>
            <w:r w:rsidR="00BA63AD" w:rsidRPr="00735D40">
              <w:rPr>
                <w:rFonts w:asciiTheme="minorHAnsi" w:eastAsia="MS Mincho" w:hAnsiTheme="minorHAnsi" w:cstheme="minorHAnsi"/>
                <w:lang w:eastAsia="ja-JP"/>
              </w:rPr>
              <w:t xml:space="preserve"> </w:t>
            </w:r>
            <w:r w:rsidR="00BA63AD" w:rsidRPr="00735D40">
              <w:rPr>
                <w:rFonts w:asciiTheme="minorHAnsi" w:eastAsia="MS Mincho" w:hAnsiTheme="minorHAnsi" w:cstheme="minorHAnsi"/>
                <w:vertAlign w:val="superscript"/>
                <w:lang w:eastAsia="ja-JP"/>
              </w:rPr>
              <w:t>b</w:t>
            </w:r>
          </w:p>
        </w:tc>
        <w:tc>
          <w:tcPr>
            <w:tcW w:w="2562" w:type="dxa"/>
          </w:tcPr>
          <w:p w14:paraId="31AC3AD3" w14:textId="6E701E75" w:rsidR="00F05EDC" w:rsidRPr="00735D40" w:rsidRDefault="00F05EDC" w:rsidP="005066DA">
            <w:pPr>
              <w:spacing w:before="60" w:after="60"/>
              <w:ind w:left="567"/>
              <w:jc w:val="center"/>
              <w:rPr>
                <w:rFonts w:asciiTheme="minorHAnsi" w:eastAsia="MS Mincho" w:hAnsiTheme="minorHAnsi" w:cstheme="minorHAnsi"/>
                <w:lang w:val="ru-RU" w:eastAsia="ja-JP"/>
              </w:rPr>
            </w:pPr>
            <w:r w:rsidRPr="00735D40">
              <w:rPr>
                <w:rFonts w:asciiTheme="minorHAnsi" w:eastAsia="MS Mincho" w:hAnsiTheme="minorHAnsi" w:cstheme="minorHAnsi"/>
                <w:color w:val="000000"/>
                <w:lang w:val="sv-SE" w:eastAsia="ja-JP"/>
              </w:rPr>
              <w:t>11.2</w:t>
            </w:r>
          </w:p>
        </w:tc>
        <w:tc>
          <w:tcPr>
            <w:tcW w:w="2841" w:type="dxa"/>
          </w:tcPr>
          <w:p w14:paraId="37597D88" w14:textId="5E4D7260" w:rsidR="00F05EDC" w:rsidRPr="00735D40" w:rsidRDefault="00F05EDC" w:rsidP="005066DA">
            <w:pPr>
              <w:spacing w:before="60" w:after="60"/>
              <w:ind w:left="567"/>
              <w:jc w:val="center"/>
              <w:rPr>
                <w:rFonts w:asciiTheme="minorHAnsi" w:eastAsia="MS Mincho" w:hAnsiTheme="minorHAnsi" w:cstheme="minorHAnsi"/>
                <w:lang w:val="ru-RU" w:eastAsia="ja-JP"/>
              </w:rPr>
            </w:pPr>
            <w:r w:rsidRPr="00735D40">
              <w:rPr>
                <w:rFonts w:asciiTheme="minorHAnsi" w:eastAsia="MS Mincho" w:hAnsiTheme="minorHAnsi" w:cstheme="minorHAnsi"/>
                <w:color w:val="000000"/>
                <w:lang w:val="sv-SE" w:eastAsia="ja-JP"/>
              </w:rPr>
              <w:t>4.4</w:t>
            </w:r>
          </w:p>
        </w:tc>
      </w:tr>
      <w:tr w:rsidR="00F05EDC" w:rsidRPr="00735D40" w14:paraId="0F7E7CD8" w14:textId="77777777" w:rsidTr="004E1289">
        <w:tc>
          <w:tcPr>
            <w:tcW w:w="2552" w:type="dxa"/>
          </w:tcPr>
          <w:p w14:paraId="2ACDC0B8" w14:textId="485E2A12" w:rsidR="00F05EDC" w:rsidRPr="00735D40" w:rsidRDefault="00F05EDC" w:rsidP="005066DA">
            <w:pPr>
              <w:spacing w:before="60" w:after="60"/>
              <w:ind w:left="567"/>
              <w:rPr>
                <w:rFonts w:asciiTheme="minorHAnsi" w:eastAsia="MS Mincho" w:hAnsiTheme="minorHAnsi" w:cstheme="minorHAnsi"/>
                <w:lang w:val="ru-RU" w:eastAsia="ja-JP"/>
              </w:rPr>
            </w:pPr>
            <w:r w:rsidRPr="00735D40">
              <w:rPr>
                <w:rFonts w:asciiTheme="minorHAnsi" w:eastAsia="MS Mincho" w:hAnsiTheme="minorHAnsi" w:cstheme="minorHAnsi"/>
                <w:lang w:val="ru-RU" w:eastAsia="ja-JP"/>
              </w:rPr>
              <w:t>Hungary</w:t>
            </w:r>
          </w:p>
        </w:tc>
        <w:tc>
          <w:tcPr>
            <w:tcW w:w="2562" w:type="dxa"/>
          </w:tcPr>
          <w:p w14:paraId="32672CFC" w14:textId="5F80DEDC" w:rsidR="00F05EDC" w:rsidRPr="00735D40" w:rsidRDefault="00F05EDC" w:rsidP="005066DA">
            <w:pPr>
              <w:spacing w:before="60" w:after="60"/>
              <w:ind w:left="567"/>
              <w:jc w:val="center"/>
              <w:rPr>
                <w:rFonts w:asciiTheme="minorHAnsi" w:eastAsia="MS Mincho" w:hAnsiTheme="minorHAnsi" w:cstheme="minorHAnsi"/>
                <w:lang w:val="ru-RU" w:eastAsia="ja-JP"/>
              </w:rPr>
            </w:pPr>
            <w:r w:rsidRPr="00735D40">
              <w:rPr>
                <w:rFonts w:asciiTheme="minorHAnsi" w:eastAsia="MS Mincho" w:hAnsiTheme="minorHAnsi" w:cstheme="minorHAnsi"/>
                <w:color w:val="000000"/>
                <w:lang w:val="sv-SE" w:eastAsia="ja-JP"/>
              </w:rPr>
              <w:t>10</w:t>
            </w:r>
            <w:r w:rsidRPr="00735D40">
              <w:rPr>
                <w:rFonts w:asciiTheme="minorHAnsi" w:eastAsia="MS Mincho" w:hAnsiTheme="minorHAnsi" w:cstheme="minorHAnsi"/>
                <w:color w:val="000000"/>
                <w:lang w:val="ru-RU" w:eastAsia="ja-JP"/>
              </w:rPr>
              <w:t>.</w:t>
            </w:r>
            <w:r w:rsidRPr="00735D40">
              <w:rPr>
                <w:rFonts w:asciiTheme="minorHAnsi" w:eastAsia="MS Mincho" w:hAnsiTheme="minorHAnsi" w:cstheme="minorHAnsi"/>
                <w:color w:val="000000"/>
                <w:lang w:val="sv-SE" w:eastAsia="ja-JP"/>
              </w:rPr>
              <w:t>8</w:t>
            </w:r>
          </w:p>
        </w:tc>
        <w:tc>
          <w:tcPr>
            <w:tcW w:w="2841" w:type="dxa"/>
          </w:tcPr>
          <w:p w14:paraId="3B3586BB" w14:textId="6DF29475" w:rsidR="00F05EDC" w:rsidRPr="00735D40" w:rsidRDefault="00F05EDC" w:rsidP="005066DA">
            <w:pPr>
              <w:spacing w:before="60" w:after="60"/>
              <w:ind w:left="567"/>
              <w:jc w:val="center"/>
              <w:rPr>
                <w:rFonts w:asciiTheme="minorHAnsi" w:eastAsia="MS Mincho" w:hAnsiTheme="minorHAnsi" w:cstheme="minorHAnsi"/>
                <w:lang w:val="ru-RU" w:eastAsia="ja-JP"/>
              </w:rPr>
            </w:pPr>
            <w:r w:rsidRPr="00735D40">
              <w:rPr>
                <w:rFonts w:asciiTheme="minorHAnsi" w:eastAsia="MS Mincho" w:hAnsiTheme="minorHAnsi" w:cstheme="minorHAnsi"/>
                <w:color w:val="000000"/>
                <w:lang w:val="sv-SE" w:eastAsia="ja-JP"/>
              </w:rPr>
              <w:t>4</w:t>
            </w:r>
            <w:r w:rsidRPr="00735D40">
              <w:rPr>
                <w:rFonts w:asciiTheme="minorHAnsi" w:eastAsia="MS Mincho" w:hAnsiTheme="minorHAnsi" w:cstheme="minorHAnsi"/>
                <w:color w:val="000000"/>
                <w:lang w:val="ru-RU" w:eastAsia="ja-JP"/>
              </w:rPr>
              <w:t>.</w:t>
            </w:r>
            <w:r w:rsidRPr="00735D40">
              <w:rPr>
                <w:rFonts w:asciiTheme="minorHAnsi" w:eastAsia="MS Mincho" w:hAnsiTheme="minorHAnsi" w:cstheme="minorHAnsi"/>
                <w:color w:val="000000"/>
                <w:lang w:val="sv-SE" w:eastAsia="ja-JP"/>
              </w:rPr>
              <w:t>2</w:t>
            </w:r>
          </w:p>
        </w:tc>
      </w:tr>
      <w:tr w:rsidR="00B51262" w:rsidRPr="00735D40" w14:paraId="0372ACF6" w14:textId="77777777" w:rsidTr="004E1289">
        <w:tc>
          <w:tcPr>
            <w:tcW w:w="2552" w:type="dxa"/>
          </w:tcPr>
          <w:p w14:paraId="028813D5" w14:textId="77777777" w:rsidR="00B51262" w:rsidRPr="00735D40" w:rsidRDefault="00B51262" w:rsidP="005066DA">
            <w:pPr>
              <w:spacing w:before="60" w:after="60"/>
              <w:ind w:left="567"/>
              <w:rPr>
                <w:rFonts w:asciiTheme="minorHAnsi" w:eastAsia="MS Mincho" w:hAnsiTheme="minorHAnsi" w:cstheme="minorHAnsi"/>
                <w:lang w:val="ru-RU" w:eastAsia="ja-JP"/>
              </w:rPr>
            </w:pPr>
            <w:r w:rsidRPr="00735D40">
              <w:rPr>
                <w:rFonts w:asciiTheme="minorHAnsi" w:eastAsia="MS Mincho" w:hAnsiTheme="minorHAnsi" w:cstheme="minorHAnsi"/>
                <w:lang w:val="ru-RU" w:eastAsia="ja-JP"/>
              </w:rPr>
              <w:t>Mexico</w:t>
            </w:r>
          </w:p>
        </w:tc>
        <w:tc>
          <w:tcPr>
            <w:tcW w:w="2562" w:type="dxa"/>
          </w:tcPr>
          <w:p w14:paraId="396D900C" w14:textId="77777777" w:rsidR="00B51262" w:rsidRPr="00735D40" w:rsidRDefault="00B51262" w:rsidP="005066DA">
            <w:pPr>
              <w:spacing w:before="60" w:after="60"/>
              <w:ind w:left="567"/>
              <w:jc w:val="center"/>
              <w:rPr>
                <w:rFonts w:asciiTheme="minorHAnsi" w:eastAsia="MS Mincho" w:hAnsiTheme="minorHAnsi" w:cstheme="minorHAnsi"/>
                <w:lang w:val="ru-RU" w:eastAsia="ja-JP"/>
              </w:rPr>
            </w:pPr>
            <w:r w:rsidRPr="00735D40">
              <w:rPr>
                <w:rFonts w:asciiTheme="minorHAnsi" w:eastAsia="MS Mincho" w:hAnsiTheme="minorHAnsi" w:cstheme="minorHAnsi"/>
                <w:color w:val="000000"/>
                <w:lang w:val="sv-SE" w:eastAsia="ja-JP"/>
              </w:rPr>
              <w:t>10</w:t>
            </w:r>
            <w:r w:rsidRPr="00735D40">
              <w:rPr>
                <w:rFonts w:asciiTheme="minorHAnsi" w:eastAsia="MS Mincho" w:hAnsiTheme="minorHAnsi" w:cstheme="minorHAnsi"/>
                <w:color w:val="000000"/>
                <w:lang w:val="ru-RU" w:eastAsia="ja-JP"/>
              </w:rPr>
              <w:t>.</w:t>
            </w:r>
            <w:r w:rsidRPr="00735D40">
              <w:rPr>
                <w:rFonts w:asciiTheme="minorHAnsi" w:eastAsia="MS Mincho" w:hAnsiTheme="minorHAnsi" w:cstheme="minorHAnsi"/>
                <w:color w:val="000000"/>
                <w:lang w:val="sv-SE" w:eastAsia="ja-JP"/>
              </w:rPr>
              <w:t>6</w:t>
            </w:r>
          </w:p>
        </w:tc>
        <w:tc>
          <w:tcPr>
            <w:tcW w:w="2841" w:type="dxa"/>
          </w:tcPr>
          <w:p w14:paraId="3B3BE2A5" w14:textId="77777777" w:rsidR="00B51262" w:rsidRPr="00735D40" w:rsidRDefault="00B51262" w:rsidP="005066DA">
            <w:pPr>
              <w:spacing w:before="60" w:after="60"/>
              <w:ind w:left="567"/>
              <w:jc w:val="center"/>
              <w:rPr>
                <w:rFonts w:asciiTheme="minorHAnsi" w:eastAsia="MS Mincho" w:hAnsiTheme="minorHAnsi" w:cstheme="minorHAnsi"/>
                <w:lang w:val="ru-RU" w:eastAsia="ja-JP"/>
              </w:rPr>
            </w:pPr>
            <w:r w:rsidRPr="00735D40">
              <w:rPr>
                <w:rFonts w:asciiTheme="minorHAnsi" w:eastAsia="MS Mincho" w:hAnsiTheme="minorHAnsi" w:cstheme="minorHAnsi"/>
                <w:color w:val="000000"/>
                <w:lang w:val="sv-SE" w:eastAsia="ja-JP"/>
              </w:rPr>
              <w:t>5</w:t>
            </w:r>
            <w:r w:rsidRPr="00735D40">
              <w:rPr>
                <w:rFonts w:asciiTheme="minorHAnsi" w:eastAsia="MS Mincho" w:hAnsiTheme="minorHAnsi" w:cstheme="minorHAnsi"/>
                <w:color w:val="000000"/>
                <w:lang w:val="ru-RU" w:eastAsia="ja-JP"/>
              </w:rPr>
              <w:t>.</w:t>
            </w:r>
            <w:r w:rsidRPr="00735D40">
              <w:rPr>
                <w:rFonts w:asciiTheme="minorHAnsi" w:eastAsia="MS Mincho" w:hAnsiTheme="minorHAnsi" w:cstheme="minorHAnsi"/>
                <w:color w:val="000000"/>
                <w:lang w:val="sv-SE" w:eastAsia="ja-JP"/>
              </w:rPr>
              <w:t>0</w:t>
            </w:r>
          </w:p>
        </w:tc>
      </w:tr>
      <w:tr w:rsidR="00863EF5" w:rsidRPr="00735D40" w14:paraId="28F665EC" w14:textId="77777777" w:rsidTr="004E1289">
        <w:tc>
          <w:tcPr>
            <w:tcW w:w="2552" w:type="dxa"/>
          </w:tcPr>
          <w:p w14:paraId="616204C0" w14:textId="707C0DD8" w:rsidR="00863EF5" w:rsidRPr="00735D40" w:rsidRDefault="00863EF5" w:rsidP="005066DA">
            <w:pPr>
              <w:spacing w:before="60" w:after="60"/>
              <w:ind w:left="567"/>
              <w:rPr>
                <w:rFonts w:asciiTheme="minorHAnsi" w:eastAsia="MS Mincho" w:hAnsiTheme="minorHAnsi" w:cstheme="minorHAnsi"/>
                <w:lang w:val="ru-RU" w:eastAsia="ja-JP"/>
              </w:rPr>
            </w:pPr>
            <w:r w:rsidRPr="00735D40">
              <w:rPr>
                <w:rFonts w:asciiTheme="minorHAnsi" w:eastAsia="MS Mincho" w:hAnsiTheme="minorHAnsi" w:cstheme="minorHAnsi"/>
                <w:lang w:val="ru-RU" w:eastAsia="ja-JP"/>
              </w:rPr>
              <w:t xml:space="preserve">Poland </w:t>
            </w:r>
          </w:p>
        </w:tc>
        <w:tc>
          <w:tcPr>
            <w:tcW w:w="2562" w:type="dxa"/>
          </w:tcPr>
          <w:p w14:paraId="085D1A1D" w14:textId="622C17BF" w:rsidR="00863EF5" w:rsidRPr="00735D40" w:rsidRDefault="00863EF5" w:rsidP="005066DA">
            <w:pPr>
              <w:spacing w:before="60" w:after="60"/>
              <w:ind w:left="567"/>
              <w:jc w:val="center"/>
              <w:rPr>
                <w:rFonts w:asciiTheme="minorHAnsi" w:eastAsia="MS Mincho" w:hAnsiTheme="minorHAnsi" w:cstheme="minorHAnsi"/>
                <w:color w:val="000000"/>
                <w:lang w:val="ru-RU" w:eastAsia="ja-JP"/>
              </w:rPr>
            </w:pPr>
            <w:r w:rsidRPr="00735D40">
              <w:rPr>
                <w:rFonts w:asciiTheme="minorHAnsi" w:eastAsia="MS Mincho" w:hAnsiTheme="minorHAnsi" w:cstheme="minorHAnsi"/>
                <w:color w:val="000000"/>
                <w:lang w:val="sv-SE" w:eastAsia="ja-JP"/>
              </w:rPr>
              <w:t>10</w:t>
            </w:r>
            <w:r w:rsidRPr="00735D40">
              <w:rPr>
                <w:rFonts w:asciiTheme="minorHAnsi" w:eastAsia="MS Mincho" w:hAnsiTheme="minorHAnsi" w:cstheme="minorHAnsi"/>
                <w:color w:val="000000"/>
                <w:lang w:val="ru-RU" w:eastAsia="ja-JP"/>
              </w:rPr>
              <w:t>.</w:t>
            </w:r>
            <w:r w:rsidRPr="00735D40">
              <w:rPr>
                <w:rFonts w:asciiTheme="minorHAnsi" w:eastAsia="MS Mincho" w:hAnsiTheme="minorHAnsi" w:cstheme="minorHAnsi"/>
                <w:color w:val="000000"/>
                <w:lang w:val="sv-SE" w:eastAsia="ja-JP"/>
              </w:rPr>
              <w:t>1</w:t>
            </w:r>
          </w:p>
        </w:tc>
        <w:tc>
          <w:tcPr>
            <w:tcW w:w="2841" w:type="dxa"/>
          </w:tcPr>
          <w:p w14:paraId="76BF6E46" w14:textId="5097D307" w:rsidR="00863EF5" w:rsidRPr="00735D40" w:rsidRDefault="00863EF5" w:rsidP="005066DA">
            <w:pPr>
              <w:spacing w:before="60" w:after="60"/>
              <w:ind w:left="567"/>
              <w:jc w:val="center"/>
              <w:rPr>
                <w:rFonts w:asciiTheme="minorHAnsi" w:eastAsia="MS Mincho" w:hAnsiTheme="minorHAnsi" w:cstheme="minorHAnsi"/>
                <w:color w:val="000000"/>
                <w:lang w:val="ru-RU" w:eastAsia="ja-JP"/>
              </w:rPr>
            </w:pPr>
            <w:r w:rsidRPr="00735D40">
              <w:rPr>
                <w:rFonts w:asciiTheme="minorHAnsi" w:eastAsia="MS Mincho" w:hAnsiTheme="minorHAnsi" w:cstheme="minorHAnsi"/>
                <w:color w:val="000000"/>
                <w:lang w:val="sv-SE" w:eastAsia="ja-JP"/>
              </w:rPr>
              <w:t>4</w:t>
            </w:r>
            <w:r w:rsidRPr="00735D40">
              <w:rPr>
                <w:rFonts w:asciiTheme="minorHAnsi" w:eastAsia="MS Mincho" w:hAnsiTheme="minorHAnsi" w:cstheme="minorHAnsi"/>
                <w:color w:val="000000"/>
                <w:lang w:val="ru-RU" w:eastAsia="ja-JP"/>
              </w:rPr>
              <w:t>.</w:t>
            </w:r>
            <w:r w:rsidRPr="00735D40">
              <w:rPr>
                <w:rFonts w:asciiTheme="minorHAnsi" w:eastAsia="MS Mincho" w:hAnsiTheme="minorHAnsi" w:cstheme="minorHAnsi"/>
                <w:color w:val="000000"/>
                <w:lang w:val="sv-SE" w:eastAsia="ja-JP"/>
              </w:rPr>
              <w:t>2</w:t>
            </w:r>
          </w:p>
        </w:tc>
      </w:tr>
      <w:tr w:rsidR="00DD54CF" w:rsidRPr="00735D40" w14:paraId="354BBC24" w14:textId="77777777" w:rsidTr="004E1289">
        <w:tc>
          <w:tcPr>
            <w:tcW w:w="2552" w:type="dxa"/>
          </w:tcPr>
          <w:p w14:paraId="4038842C" w14:textId="454E6379" w:rsidR="00DD54CF" w:rsidRPr="00735D40" w:rsidRDefault="00DD54CF" w:rsidP="005066DA">
            <w:pPr>
              <w:spacing w:before="60" w:after="60"/>
              <w:ind w:left="567"/>
              <w:rPr>
                <w:rFonts w:asciiTheme="minorHAnsi" w:eastAsia="MS Mincho" w:hAnsiTheme="minorHAnsi" w:cstheme="minorHAnsi"/>
                <w:lang w:val="ru-RU" w:eastAsia="ja-JP"/>
              </w:rPr>
            </w:pPr>
            <w:r w:rsidRPr="00735D40">
              <w:rPr>
                <w:rFonts w:asciiTheme="minorHAnsi" w:eastAsia="MS Mincho" w:hAnsiTheme="minorHAnsi" w:cstheme="minorHAnsi"/>
                <w:lang w:val="ru-RU" w:eastAsia="ja-JP"/>
              </w:rPr>
              <w:t xml:space="preserve">Moldova </w:t>
            </w:r>
          </w:p>
        </w:tc>
        <w:tc>
          <w:tcPr>
            <w:tcW w:w="2562" w:type="dxa"/>
          </w:tcPr>
          <w:p w14:paraId="5333502B" w14:textId="6B4AE96D" w:rsidR="00DD54CF" w:rsidRPr="00735D40" w:rsidRDefault="00DD54CF" w:rsidP="005066DA">
            <w:pPr>
              <w:spacing w:before="60" w:after="60"/>
              <w:ind w:left="567"/>
              <w:jc w:val="center"/>
              <w:rPr>
                <w:rFonts w:asciiTheme="minorHAnsi" w:eastAsia="MS Mincho" w:hAnsiTheme="minorHAnsi" w:cstheme="minorHAnsi"/>
                <w:color w:val="000000"/>
                <w:lang w:val="sv-SE" w:eastAsia="ja-JP"/>
              </w:rPr>
            </w:pPr>
            <w:r w:rsidRPr="00735D40">
              <w:rPr>
                <w:rFonts w:asciiTheme="minorHAnsi" w:eastAsia="MS Mincho" w:hAnsiTheme="minorHAnsi" w:cstheme="minorHAnsi"/>
                <w:color w:val="000000"/>
                <w:lang w:val="sv-SE" w:eastAsia="ja-JP"/>
              </w:rPr>
              <w:t>9</w:t>
            </w:r>
            <w:r w:rsidRPr="00735D40">
              <w:rPr>
                <w:rFonts w:asciiTheme="minorHAnsi" w:eastAsia="MS Mincho" w:hAnsiTheme="minorHAnsi" w:cstheme="minorHAnsi"/>
                <w:color w:val="000000"/>
                <w:lang w:val="ru-RU" w:eastAsia="ja-JP"/>
              </w:rPr>
              <w:t>.</w:t>
            </w:r>
            <w:r w:rsidRPr="00735D40">
              <w:rPr>
                <w:rFonts w:asciiTheme="minorHAnsi" w:eastAsia="MS Mincho" w:hAnsiTheme="minorHAnsi" w:cstheme="minorHAnsi"/>
                <w:color w:val="000000"/>
                <w:lang w:val="sv-SE" w:eastAsia="ja-JP"/>
              </w:rPr>
              <w:t>3</w:t>
            </w:r>
          </w:p>
        </w:tc>
        <w:tc>
          <w:tcPr>
            <w:tcW w:w="2841" w:type="dxa"/>
          </w:tcPr>
          <w:p w14:paraId="729766B2" w14:textId="33E9FDF3" w:rsidR="00DD54CF" w:rsidRPr="00735D40" w:rsidRDefault="00DD54CF" w:rsidP="005066DA">
            <w:pPr>
              <w:spacing w:before="60" w:after="60"/>
              <w:ind w:left="567"/>
              <w:jc w:val="center"/>
              <w:rPr>
                <w:rFonts w:asciiTheme="minorHAnsi" w:eastAsia="MS Mincho" w:hAnsiTheme="minorHAnsi" w:cstheme="minorHAnsi"/>
                <w:color w:val="000000"/>
                <w:lang w:val="sv-SE" w:eastAsia="ja-JP"/>
              </w:rPr>
            </w:pPr>
            <w:r w:rsidRPr="00735D40">
              <w:rPr>
                <w:rFonts w:asciiTheme="minorHAnsi" w:eastAsia="MS Mincho" w:hAnsiTheme="minorHAnsi" w:cstheme="minorHAnsi"/>
                <w:color w:val="000000"/>
                <w:lang w:val="sv-SE" w:eastAsia="ja-JP"/>
              </w:rPr>
              <w:t>5</w:t>
            </w:r>
            <w:r w:rsidRPr="00735D40">
              <w:rPr>
                <w:rFonts w:asciiTheme="minorHAnsi" w:eastAsia="MS Mincho" w:hAnsiTheme="minorHAnsi" w:cstheme="minorHAnsi"/>
                <w:color w:val="000000"/>
                <w:lang w:val="ru-RU" w:eastAsia="ja-JP"/>
              </w:rPr>
              <w:t>.</w:t>
            </w:r>
            <w:r w:rsidRPr="00735D40">
              <w:rPr>
                <w:rFonts w:asciiTheme="minorHAnsi" w:eastAsia="MS Mincho" w:hAnsiTheme="minorHAnsi" w:cstheme="minorHAnsi"/>
                <w:color w:val="000000"/>
                <w:lang w:val="sv-SE" w:eastAsia="ja-JP"/>
              </w:rPr>
              <w:t>7</w:t>
            </w:r>
          </w:p>
        </w:tc>
      </w:tr>
      <w:tr w:rsidR="00B51262" w:rsidRPr="00735D40" w14:paraId="7254EF6D" w14:textId="77777777" w:rsidTr="004E1289">
        <w:tc>
          <w:tcPr>
            <w:tcW w:w="2552" w:type="dxa"/>
          </w:tcPr>
          <w:p w14:paraId="0FB0D731" w14:textId="77777777" w:rsidR="00B51262" w:rsidRPr="00735D40" w:rsidRDefault="00B51262" w:rsidP="005066DA">
            <w:pPr>
              <w:spacing w:before="60" w:after="60"/>
              <w:ind w:left="567"/>
              <w:rPr>
                <w:rFonts w:asciiTheme="minorHAnsi" w:eastAsia="MS Mincho" w:hAnsiTheme="minorHAnsi" w:cstheme="minorHAnsi"/>
                <w:lang w:val="ru-RU" w:eastAsia="ja-JP"/>
              </w:rPr>
            </w:pPr>
            <w:r w:rsidRPr="00735D40">
              <w:rPr>
                <w:rFonts w:asciiTheme="minorHAnsi" w:eastAsia="MS Mincho" w:hAnsiTheme="minorHAnsi" w:cstheme="minorHAnsi"/>
                <w:lang w:val="ru-RU" w:eastAsia="ja-JP"/>
              </w:rPr>
              <w:t>Russia</w:t>
            </w:r>
          </w:p>
        </w:tc>
        <w:tc>
          <w:tcPr>
            <w:tcW w:w="2562" w:type="dxa"/>
          </w:tcPr>
          <w:p w14:paraId="0E3C3F15" w14:textId="77777777" w:rsidR="00B51262" w:rsidRPr="00735D40" w:rsidRDefault="00B51262" w:rsidP="005066DA">
            <w:pPr>
              <w:spacing w:before="60" w:after="60"/>
              <w:ind w:left="567"/>
              <w:jc w:val="center"/>
              <w:rPr>
                <w:rFonts w:asciiTheme="minorHAnsi" w:eastAsia="MS Mincho" w:hAnsiTheme="minorHAnsi" w:cstheme="minorHAnsi"/>
                <w:color w:val="000000"/>
                <w:lang w:val="ru-RU" w:eastAsia="ja-JP"/>
              </w:rPr>
            </w:pPr>
            <w:r w:rsidRPr="00735D40">
              <w:rPr>
                <w:rFonts w:asciiTheme="minorHAnsi" w:eastAsia="MS Mincho" w:hAnsiTheme="minorHAnsi" w:cstheme="minorHAnsi"/>
                <w:color w:val="000000"/>
                <w:lang w:val="ru-RU" w:eastAsia="ja-JP"/>
              </w:rPr>
              <w:t>7.</w:t>
            </w:r>
            <w:r w:rsidRPr="00735D40">
              <w:rPr>
                <w:rFonts w:asciiTheme="minorHAnsi" w:eastAsia="MS Mincho" w:hAnsiTheme="minorHAnsi" w:cstheme="minorHAnsi"/>
                <w:color w:val="000000"/>
                <w:lang w:val="sv-SE" w:eastAsia="ja-JP"/>
              </w:rPr>
              <w:t>7</w:t>
            </w:r>
          </w:p>
        </w:tc>
        <w:tc>
          <w:tcPr>
            <w:tcW w:w="2841" w:type="dxa"/>
          </w:tcPr>
          <w:p w14:paraId="384CB8A9" w14:textId="77777777" w:rsidR="00B51262" w:rsidRPr="00735D40" w:rsidRDefault="00B51262" w:rsidP="005066DA">
            <w:pPr>
              <w:spacing w:before="60" w:after="60"/>
              <w:ind w:left="567"/>
              <w:jc w:val="center"/>
              <w:rPr>
                <w:rFonts w:asciiTheme="minorHAnsi" w:eastAsia="MS Mincho" w:hAnsiTheme="minorHAnsi" w:cstheme="minorHAnsi"/>
                <w:color w:val="000000"/>
                <w:lang w:val="ru-RU" w:eastAsia="ja-JP"/>
              </w:rPr>
            </w:pPr>
            <w:r w:rsidRPr="00735D40">
              <w:rPr>
                <w:rFonts w:asciiTheme="minorHAnsi" w:eastAsia="MS Mincho" w:hAnsiTheme="minorHAnsi" w:cstheme="minorHAnsi"/>
                <w:color w:val="000000"/>
                <w:lang w:val="ru-RU" w:eastAsia="ja-JP"/>
              </w:rPr>
              <w:t>3.</w:t>
            </w:r>
            <w:r w:rsidRPr="00735D40">
              <w:rPr>
                <w:rFonts w:asciiTheme="minorHAnsi" w:eastAsia="MS Mincho" w:hAnsiTheme="minorHAnsi" w:cstheme="minorHAnsi"/>
                <w:color w:val="000000"/>
                <w:lang w:val="sv-SE" w:eastAsia="ja-JP"/>
              </w:rPr>
              <w:t>8</w:t>
            </w:r>
          </w:p>
        </w:tc>
      </w:tr>
      <w:tr w:rsidR="00DB6E77" w:rsidRPr="00735D40" w14:paraId="3BB25A95" w14:textId="77777777" w:rsidTr="004E1289">
        <w:tc>
          <w:tcPr>
            <w:tcW w:w="2552" w:type="dxa"/>
          </w:tcPr>
          <w:p w14:paraId="0C5EA24F" w14:textId="597B86FA" w:rsidR="00DB6E77" w:rsidRPr="00735D40" w:rsidRDefault="00DB6E77" w:rsidP="005066DA">
            <w:pPr>
              <w:spacing w:before="60" w:after="60"/>
              <w:ind w:left="567"/>
              <w:rPr>
                <w:rFonts w:asciiTheme="minorHAnsi" w:eastAsia="MS Mincho" w:hAnsiTheme="minorHAnsi" w:cstheme="minorHAnsi"/>
                <w:lang w:val="ru-RU" w:eastAsia="ja-JP"/>
              </w:rPr>
            </w:pPr>
            <w:r w:rsidRPr="00735D40">
              <w:rPr>
                <w:rFonts w:asciiTheme="minorHAnsi" w:eastAsia="MS Mincho" w:hAnsiTheme="minorHAnsi" w:cstheme="minorHAnsi"/>
                <w:lang w:eastAsia="ja-JP"/>
              </w:rPr>
              <w:t>Serbia</w:t>
            </w:r>
          </w:p>
        </w:tc>
        <w:tc>
          <w:tcPr>
            <w:tcW w:w="2562" w:type="dxa"/>
          </w:tcPr>
          <w:p w14:paraId="258565FA" w14:textId="72F60686" w:rsidR="00DB6E77" w:rsidRPr="00735D40" w:rsidRDefault="00DB6E77" w:rsidP="005066DA">
            <w:pPr>
              <w:spacing w:before="60" w:after="60"/>
              <w:ind w:left="567"/>
              <w:jc w:val="center"/>
              <w:rPr>
                <w:rFonts w:asciiTheme="minorHAnsi" w:eastAsia="MS Mincho" w:hAnsiTheme="minorHAnsi" w:cstheme="minorHAnsi"/>
                <w:color w:val="000000"/>
                <w:lang w:val="ru-RU" w:eastAsia="ja-JP"/>
              </w:rPr>
            </w:pPr>
            <w:r w:rsidRPr="00735D40">
              <w:rPr>
                <w:rFonts w:asciiTheme="minorHAnsi" w:eastAsia="MS Mincho" w:hAnsiTheme="minorHAnsi" w:cstheme="minorHAnsi"/>
                <w:color w:val="000000"/>
                <w:lang w:val="sv-SE" w:eastAsia="ja-JP"/>
              </w:rPr>
              <w:t>7.7</w:t>
            </w:r>
          </w:p>
        </w:tc>
        <w:tc>
          <w:tcPr>
            <w:tcW w:w="2841" w:type="dxa"/>
          </w:tcPr>
          <w:p w14:paraId="09A5E0EB" w14:textId="63653D7C" w:rsidR="00DB6E77" w:rsidRPr="00735D40" w:rsidRDefault="00DB6E77" w:rsidP="005066DA">
            <w:pPr>
              <w:spacing w:before="60" w:after="60"/>
              <w:ind w:left="567"/>
              <w:jc w:val="center"/>
              <w:rPr>
                <w:rFonts w:asciiTheme="minorHAnsi" w:eastAsia="MS Mincho" w:hAnsiTheme="minorHAnsi" w:cstheme="minorHAnsi"/>
                <w:color w:val="000000"/>
                <w:lang w:val="ru-RU" w:eastAsia="ja-JP"/>
              </w:rPr>
            </w:pPr>
            <w:r w:rsidRPr="00735D40">
              <w:rPr>
                <w:rFonts w:asciiTheme="minorHAnsi" w:eastAsia="MS Mincho" w:hAnsiTheme="minorHAnsi" w:cstheme="minorHAnsi"/>
                <w:color w:val="000000"/>
                <w:lang w:val="sv-SE" w:eastAsia="ja-JP"/>
              </w:rPr>
              <w:t>3.7</w:t>
            </w:r>
          </w:p>
        </w:tc>
      </w:tr>
      <w:tr w:rsidR="00B51262" w:rsidRPr="00735D40" w14:paraId="77CA5231" w14:textId="77777777" w:rsidTr="004E1289">
        <w:tc>
          <w:tcPr>
            <w:tcW w:w="2552" w:type="dxa"/>
          </w:tcPr>
          <w:p w14:paraId="3F72261A" w14:textId="77777777" w:rsidR="00B51262" w:rsidRPr="00735D40" w:rsidRDefault="00B51262" w:rsidP="005066DA">
            <w:pPr>
              <w:spacing w:before="60" w:after="60"/>
              <w:ind w:left="567"/>
              <w:rPr>
                <w:rFonts w:asciiTheme="minorHAnsi" w:eastAsia="MS Mincho" w:hAnsiTheme="minorHAnsi" w:cstheme="minorHAnsi"/>
                <w:lang w:val="ru-RU" w:eastAsia="ja-JP"/>
              </w:rPr>
            </w:pPr>
            <w:r w:rsidRPr="00735D40">
              <w:rPr>
                <w:rFonts w:asciiTheme="minorHAnsi" w:eastAsia="MS Mincho" w:hAnsiTheme="minorHAnsi" w:cstheme="minorHAnsi"/>
                <w:lang w:val="ru-RU" w:eastAsia="ja-JP"/>
              </w:rPr>
              <w:t xml:space="preserve">Romania </w:t>
            </w:r>
          </w:p>
        </w:tc>
        <w:tc>
          <w:tcPr>
            <w:tcW w:w="2562" w:type="dxa"/>
          </w:tcPr>
          <w:p w14:paraId="192C96E1" w14:textId="77777777" w:rsidR="00B51262" w:rsidRPr="00735D40" w:rsidRDefault="00B51262" w:rsidP="005066DA">
            <w:pPr>
              <w:spacing w:before="60" w:after="60"/>
              <w:ind w:left="567"/>
              <w:jc w:val="center"/>
              <w:rPr>
                <w:rFonts w:asciiTheme="minorHAnsi" w:eastAsia="MS Mincho" w:hAnsiTheme="minorHAnsi" w:cstheme="minorHAnsi"/>
                <w:color w:val="000000"/>
                <w:lang w:val="ru-RU" w:eastAsia="ja-JP"/>
              </w:rPr>
            </w:pPr>
            <w:r w:rsidRPr="00735D40">
              <w:rPr>
                <w:rFonts w:asciiTheme="minorHAnsi" w:eastAsia="MS Mincho" w:hAnsiTheme="minorHAnsi" w:cstheme="minorHAnsi"/>
                <w:color w:val="000000"/>
                <w:lang w:val="ru-RU" w:eastAsia="ja-JP"/>
              </w:rPr>
              <w:t>7.</w:t>
            </w:r>
            <w:r w:rsidRPr="00735D40">
              <w:rPr>
                <w:rFonts w:asciiTheme="minorHAnsi" w:eastAsia="MS Mincho" w:hAnsiTheme="minorHAnsi" w:cstheme="minorHAnsi"/>
                <w:color w:val="000000"/>
                <w:lang w:val="sv-SE" w:eastAsia="ja-JP"/>
              </w:rPr>
              <w:t>1</w:t>
            </w:r>
          </w:p>
        </w:tc>
        <w:tc>
          <w:tcPr>
            <w:tcW w:w="2841" w:type="dxa"/>
          </w:tcPr>
          <w:p w14:paraId="5EA4EAA3" w14:textId="77777777" w:rsidR="00B51262" w:rsidRPr="00735D40" w:rsidRDefault="00B51262" w:rsidP="005066DA">
            <w:pPr>
              <w:spacing w:before="60" w:after="60"/>
              <w:ind w:left="567"/>
              <w:jc w:val="center"/>
              <w:rPr>
                <w:rFonts w:asciiTheme="minorHAnsi" w:eastAsia="MS Mincho" w:hAnsiTheme="minorHAnsi" w:cstheme="minorHAnsi"/>
                <w:color w:val="000000"/>
                <w:lang w:val="ru-RU" w:eastAsia="ja-JP"/>
              </w:rPr>
            </w:pPr>
            <w:r w:rsidRPr="00735D40">
              <w:rPr>
                <w:rFonts w:asciiTheme="minorHAnsi" w:eastAsia="MS Mincho" w:hAnsiTheme="minorHAnsi" w:cstheme="minorHAnsi"/>
                <w:color w:val="000000"/>
                <w:lang w:val="ru-RU" w:eastAsia="ja-JP"/>
              </w:rPr>
              <w:t>3.8</w:t>
            </w:r>
          </w:p>
        </w:tc>
      </w:tr>
      <w:tr w:rsidR="00DB6E77" w:rsidRPr="00735D40" w14:paraId="71453824" w14:textId="77777777" w:rsidTr="004E1289">
        <w:tc>
          <w:tcPr>
            <w:tcW w:w="2552" w:type="dxa"/>
          </w:tcPr>
          <w:p w14:paraId="27C01FFB" w14:textId="4C04CA44" w:rsidR="00DB6E77" w:rsidRPr="00735D40" w:rsidRDefault="00DB6E77" w:rsidP="005066DA">
            <w:pPr>
              <w:spacing w:before="60" w:after="60"/>
              <w:ind w:left="567"/>
              <w:rPr>
                <w:rFonts w:asciiTheme="minorHAnsi" w:eastAsia="MS Mincho" w:hAnsiTheme="minorHAnsi" w:cstheme="minorHAnsi"/>
                <w:lang w:val="ru-RU" w:eastAsia="ja-JP"/>
              </w:rPr>
            </w:pPr>
            <w:r w:rsidRPr="00735D40">
              <w:rPr>
                <w:rFonts w:asciiTheme="minorHAnsi" w:eastAsia="MS Mincho" w:hAnsiTheme="minorHAnsi" w:cstheme="minorHAnsi"/>
                <w:lang w:val="ru-RU" w:eastAsia="ja-JP"/>
              </w:rPr>
              <w:t>China</w:t>
            </w:r>
          </w:p>
        </w:tc>
        <w:tc>
          <w:tcPr>
            <w:tcW w:w="2562" w:type="dxa"/>
          </w:tcPr>
          <w:p w14:paraId="1097B588" w14:textId="6ED07B87" w:rsidR="00DB6E77" w:rsidRPr="00735D40" w:rsidRDefault="00DB6E77" w:rsidP="005066DA">
            <w:pPr>
              <w:spacing w:before="60" w:after="60"/>
              <w:ind w:left="567"/>
              <w:jc w:val="center"/>
              <w:rPr>
                <w:rFonts w:asciiTheme="minorHAnsi" w:eastAsia="MS Mincho" w:hAnsiTheme="minorHAnsi" w:cstheme="minorHAnsi"/>
                <w:color w:val="000000"/>
                <w:lang w:val="ru-RU" w:eastAsia="ja-JP"/>
              </w:rPr>
            </w:pPr>
            <w:r w:rsidRPr="00735D40">
              <w:rPr>
                <w:rFonts w:asciiTheme="minorHAnsi" w:eastAsia="MS Mincho" w:hAnsiTheme="minorHAnsi" w:cstheme="minorHAnsi"/>
                <w:color w:val="000000"/>
                <w:lang w:val="sv-SE" w:eastAsia="ja-JP"/>
              </w:rPr>
              <w:t>5</w:t>
            </w:r>
            <w:r w:rsidRPr="00735D40">
              <w:rPr>
                <w:rFonts w:asciiTheme="minorHAnsi" w:eastAsia="MS Mincho" w:hAnsiTheme="minorHAnsi" w:cstheme="minorHAnsi"/>
                <w:color w:val="000000"/>
                <w:lang w:val="ru-RU" w:eastAsia="ja-JP"/>
              </w:rPr>
              <w:t>.</w:t>
            </w:r>
            <w:r w:rsidRPr="00735D40">
              <w:rPr>
                <w:rFonts w:asciiTheme="minorHAnsi" w:eastAsia="MS Mincho" w:hAnsiTheme="minorHAnsi" w:cstheme="minorHAnsi"/>
                <w:color w:val="000000"/>
                <w:lang w:val="sv-SE" w:eastAsia="ja-JP"/>
              </w:rPr>
              <w:t>9</w:t>
            </w:r>
          </w:p>
        </w:tc>
        <w:tc>
          <w:tcPr>
            <w:tcW w:w="2841" w:type="dxa"/>
          </w:tcPr>
          <w:p w14:paraId="271BD19D" w14:textId="4F1FD6B0" w:rsidR="00DB6E77" w:rsidRPr="00735D40" w:rsidRDefault="00DB6E77" w:rsidP="005066DA">
            <w:pPr>
              <w:spacing w:before="60" w:after="60"/>
              <w:ind w:left="567"/>
              <w:jc w:val="center"/>
              <w:rPr>
                <w:rFonts w:asciiTheme="minorHAnsi" w:eastAsia="MS Mincho" w:hAnsiTheme="minorHAnsi" w:cstheme="minorHAnsi"/>
                <w:color w:val="000000"/>
                <w:lang w:val="ru-RU" w:eastAsia="ja-JP"/>
              </w:rPr>
            </w:pPr>
            <w:r w:rsidRPr="00735D40">
              <w:rPr>
                <w:rFonts w:asciiTheme="minorHAnsi" w:eastAsia="MS Mincho" w:hAnsiTheme="minorHAnsi" w:cstheme="minorHAnsi"/>
                <w:color w:val="000000"/>
                <w:lang w:val="sv-SE" w:eastAsia="ja-JP"/>
              </w:rPr>
              <w:t>3</w:t>
            </w:r>
            <w:r w:rsidRPr="00735D40">
              <w:rPr>
                <w:rFonts w:asciiTheme="minorHAnsi" w:eastAsia="MS Mincho" w:hAnsiTheme="minorHAnsi" w:cstheme="minorHAnsi"/>
                <w:color w:val="000000"/>
                <w:lang w:val="ru-RU" w:eastAsia="ja-JP"/>
              </w:rPr>
              <w:t>.</w:t>
            </w:r>
            <w:r w:rsidRPr="00735D40">
              <w:rPr>
                <w:rFonts w:asciiTheme="minorHAnsi" w:eastAsia="MS Mincho" w:hAnsiTheme="minorHAnsi" w:cstheme="minorHAnsi"/>
                <w:color w:val="000000"/>
                <w:lang w:val="sv-SE" w:eastAsia="ja-JP"/>
              </w:rPr>
              <w:t>3</w:t>
            </w:r>
          </w:p>
        </w:tc>
      </w:tr>
      <w:tr w:rsidR="00B51262" w:rsidRPr="00735D40" w14:paraId="57702D70" w14:textId="77777777" w:rsidTr="004E1289">
        <w:tc>
          <w:tcPr>
            <w:tcW w:w="2552" w:type="dxa"/>
            <w:tcBorders>
              <w:bottom w:val="single" w:sz="12" w:space="0" w:color="auto"/>
            </w:tcBorders>
          </w:tcPr>
          <w:p w14:paraId="35A13EFF" w14:textId="77777777" w:rsidR="00B51262" w:rsidRPr="00735D40" w:rsidRDefault="00B51262" w:rsidP="005066DA">
            <w:pPr>
              <w:spacing w:before="60" w:after="60"/>
              <w:ind w:left="567"/>
              <w:rPr>
                <w:rFonts w:asciiTheme="minorHAnsi" w:eastAsia="MS Mincho" w:hAnsiTheme="minorHAnsi" w:cstheme="minorHAnsi"/>
                <w:lang w:val="ru-RU" w:eastAsia="ja-JP"/>
              </w:rPr>
            </w:pPr>
            <w:r w:rsidRPr="00735D40">
              <w:rPr>
                <w:rFonts w:asciiTheme="minorHAnsi" w:eastAsia="MS Mincho" w:hAnsiTheme="minorHAnsi" w:cstheme="minorHAnsi"/>
                <w:lang w:val="ru-RU" w:eastAsia="ja-JP"/>
              </w:rPr>
              <w:t xml:space="preserve">Ukraine </w:t>
            </w:r>
          </w:p>
        </w:tc>
        <w:tc>
          <w:tcPr>
            <w:tcW w:w="2562" w:type="dxa"/>
            <w:tcBorders>
              <w:bottom w:val="single" w:sz="12" w:space="0" w:color="auto"/>
            </w:tcBorders>
          </w:tcPr>
          <w:p w14:paraId="05FA883E" w14:textId="77777777" w:rsidR="00B51262" w:rsidRPr="00735D40" w:rsidRDefault="00B51262" w:rsidP="005066DA">
            <w:pPr>
              <w:spacing w:before="60" w:after="60"/>
              <w:ind w:left="567"/>
              <w:jc w:val="center"/>
              <w:rPr>
                <w:rFonts w:asciiTheme="minorHAnsi" w:eastAsia="MS Mincho" w:hAnsiTheme="minorHAnsi" w:cstheme="minorHAnsi"/>
                <w:color w:val="000000"/>
                <w:lang w:val="ru-RU" w:eastAsia="ja-JP"/>
              </w:rPr>
            </w:pPr>
            <w:r w:rsidRPr="00735D40">
              <w:rPr>
                <w:rFonts w:asciiTheme="minorHAnsi" w:eastAsia="MS Mincho" w:hAnsiTheme="minorHAnsi" w:cstheme="minorHAnsi"/>
                <w:color w:val="000000"/>
                <w:lang w:val="sv-SE" w:eastAsia="ja-JP"/>
              </w:rPr>
              <w:t>5</w:t>
            </w:r>
            <w:r w:rsidRPr="00735D40">
              <w:rPr>
                <w:rFonts w:asciiTheme="minorHAnsi" w:eastAsia="MS Mincho" w:hAnsiTheme="minorHAnsi" w:cstheme="minorHAnsi"/>
                <w:color w:val="000000"/>
                <w:lang w:val="ru-RU" w:eastAsia="ja-JP"/>
              </w:rPr>
              <w:t>.</w:t>
            </w:r>
            <w:r w:rsidRPr="00735D40">
              <w:rPr>
                <w:rFonts w:asciiTheme="minorHAnsi" w:eastAsia="MS Mincho" w:hAnsiTheme="minorHAnsi" w:cstheme="minorHAnsi"/>
                <w:color w:val="000000"/>
                <w:lang w:val="sv-SE" w:eastAsia="ja-JP"/>
              </w:rPr>
              <w:t>6</w:t>
            </w:r>
          </w:p>
        </w:tc>
        <w:tc>
          <w:tcPr>
            <w:tcW w:w="2841" w:type="dxa"/>
            <w:tcBorders>
              <w:bottom w:val="single" w:sz="12" w:space="0" w:color="auto"/>
            </w:tcBorders>
          </w:tcPr>
          <w:p w14:paraId="77497090" w14:textId="77777777" w:rsidR="00B51262" w:rsidRPr="00735D40" w:rsidRDefault="00B51262" w:rsidP="005066DA">
            <w:pPr>
              <w:spacing w:before="60" w:after="60"/>
              <w:ind w:left="567"/>
              <w:jc w:val="center"/>
              <w:rPr>
                <w:rFonts w:asciiTheme="minorHAnsi" w:eastAsia="MS Mincho" w:hAnsiTheme="minorHAnsi" w:cstheme="minorHAnsi"/>
                <w:color w:val="000000"/>
                <w:lang w:val="ru-RU" w:eastAsia="ja-JP"/>
              </w:rPr>
            </w:pPr>
            <w:r w:rsidRPr="00735D40">
              <w:rPr>
                <w:rFonts w:asciiTheme="minorHAnsi" w:eastAsia="MS Mincho" w:hAnsiTheme="minorHAnsi" w:cstheme="minorHAnsi"/>
                <w:color w:val="000000"/>
                <w:lang w:val="ru-RU" w:eastAsia="ja-JP"/>
              </w:rPr>
              <w:t>2.</w:t>
            </w:r>
            <w:r w:rsidRPr="00735D40">
              <w:rPr>
                <w:rFonts w:asciiTheme="minorHAnsi" w:eastAsia="MS Mincho" w:hAnsiTheme="minorHAnsi" w:cstheme="minorHAnsi"/>
                <w:color w:val="000000"/>
                <w:lang w:val="sv-SE" w:eastAsia="ja-JP"/>
              </w:rPr>
              <w:t>9</w:t>
            </w:r>
          </w:p>
        </w:tc>
      </w:tr>
      <w:tr w:rsidR="00FA277F" w:rsidRPr="00735D40" w14:paraId="52069EA7" w14:textId="77777777" w:rsidTr="009B66D9">
        <w:tc>
          <w:tcPr>
            <w:tcW w:w="7955" w:type="dxa"/>
            <w:gridSpan w:val="3"/>
            <w:tcBorders>
              <w:top w:val="single" w:sz="12" w:space="0" w:color="auto"/>
            </w:tcBorders>
            <w:shd w:val="clear" w:color="auto" w:fill="auto"/>
          </w:tcPr>
          <w:p w14:paraId="4502CA67" w14:textId="0DC30D4F" w:rsidR="00FA277F" w:rsidRPr="00735D40" w:rsidRDefault="00DC1FAF" w:rsidP="005066DA">
            <w:pPr>
              <w:spacing w:before="60" w:after="60"/>
              <w:ind w:left="567"/>
              <w:rPr>
                <w:rFonts w:asciiTheme="minorHAnsi" w:eastAsia="MS Mincho" w:hAnsiTheme="minorHAnsi" w:cstheme="minorHAnsi"/>
                <w:lang w:val="fr-FR" w:eastAsia="ja-JP"/>
              </w:rPr>
            </w:pPr>
            <w:bookmarkStart w:id="18" w:name="_Hlk21017586"/>
            <w:r w:rsidRPr="00735D40">
              <w:rPr>
                <w:rFonts w:asciiTheme="minorHAnsi" w:eastAsia="MS Mincho" w:hAnsiTheme="minorHAnsi" w:cstheme="minorHAnsi"/>
                <w:vertAlign w:val="superscript"/>
                <w:lang w:val="fr-FR" w:eastAsia="ja-JP"/>
              </w:rPr>
              <w:t>a</w:t>
            </w:r>
            <w:r w:rsidRPr="00735D40">
              <w:rPr>
                <w:rFonts w:asciiTheme="minorHAnsi" w:eastAsia="MS Mincho" w:hAnsiTheme="minorHAnsi" w:cstheme="minorHAnsi"/>
                <w:lang w:val="fr-FR" w:eastAsia="ja-JP"/>
              </w:rPr>
              <w:t xml:space="preserve"> </w:t>
            </w:r>
            <w:r w:rsidR="00222F0C" w:rsidRPr="00735D40">
              <w:rPr>
                <w:rFonts w:asciiTheme="minorHAnsi" w:eastAsia="MS Mincho" w:hAnsiTheme="minorHAnsi" w:cstheme="minorHAnsi"/>
                <w:lang w:val="fr-FR" w:eastAsia="ja-JP"/>
              </w:rPr>
              <w:t>Probabilities derived</w:t>
            </w:r>
            <w:r w:rsidR="00E10C82" w:rsidRPr="00735D40">
              <w:rPr>
                <w:rFonts w:asciiTheme="minorHAnsi" w:eastAsia="MS Mincho" w:hAnsiTheme="minorHAnsi" w:cstheme="minorHAnsi"/>
                <w:lang w:val="fr-FR" w:eastAsia="ja-JP"/>
              </w:rPr>
              <w:t xml:space="preserve"> from</w:t>
            </w:r>
            <w:r w:rsidR="00E10C82" w:rsidRPr="00735D40">
              <w:rPr>
                <w:rFonts w:asciiTheme="minorHAnsi" w:hAnsiTheme="minorHAnsi" w:cstheme="minorHAnsi"/>
              </w:rPr>
              <w:t xml:space="preserve"> </w:t>
            </w:r>
            <w:r w:rsidR="00E10C82" w:rsidRPr="00735D40">
              <w:rPr>
                <w:rFonts w:asciiTheme="minorHAnsi" w:eastAsia="MS Mincho" w:hAnsiTheme="minorHAnsi" w:cstheme="minorHAnsi"/>
                <w:lang w:val="fr-FR" w:eastAsia="ja-JP"/>
              </w:rPr>
              <w:t xml:space="preserve">fracture as given in FRAX </w:t>
            </w:r>
            <w:r w:rsidR="00A8409A" w:rsidRPr="00735D40">
              <w:rPr>
                <w:rFonts w:asciiTheme="minorHAnsi" w:eastAsia="MS Mincho" w:hAnsiTheme="minorHAnsi" w:cstheme="minorHAnsi"/>
                <w:lang w:val="fr-FR" w:eastAsia="ja-JP"/>
              </w:rPr>
              <w:t>v</w:t>
            </w:r>
            <w:r w:rsidR="00E10C82" w:rsidRPr="00735D40">
              <w:rPr>
                <w:rFonts w:asciiTheme="minorHAnsi" w:eastAsia="MS Mincho" w:hAnsiTheme="minorHAnsi" w:cstheme="minorHAnsi"/>
                <w:lang w:val="fr-FR" w:eastAsia="ja-JP"/>
              </w:rPr>
              <w:t>4.1</w:t>
            </w:r>
            <w:r w:rsidR="00255956">
              <w:t xml:space="preserve"> </w:t>
            </w:r>
            <w:r w:rsidR="00255956" w:rsidRPr="00255956">
              <w:rPr>
                <w:rFonts w:asciiTheme="minorHAnsi" w:eastAsia="MS Mincho" w:hAnsiTheme="minorHAnsi" w:cstheme="minorHAnsi"/>
                <w:lang w:val="fr-FR" w:eastAsia="ja-JP"/>
              </w:rPr>
              <w:t xml:space="preserve">and </w:t>
            </w:r>
            <w:r w:rsidR="00B71A1D">
              <w:rPr>
                <w:rFonts w:asciiTheme="minorHAnsi" w:eastAsia="MS Mincho" w:hAnsiTheme="minorHAnsi" w:cstheme="minorHAnsi"/>
                <w:lang w:val="fr-FR" w:eastAsia="ja-JP"/>
              </w:rPr>
              <w:t xml:space="preserve">updated </w:t>
            </w:r>
            <w:r w:rsidR="00255956" w:rsidRPr="00255956">
              <w:rPr>
                <w:rFonts w:asciiTheme="minorHAnsi" w:eastAsia="MS Mincho" w:hAnsiTheme="minorHAnsi" w:cstheme="minorHAnsi"/>
                <w:lang w:val="fr-FR" w:eastAsia="ja-JP"/>
              </w:rPr>
              <w:t>death risks</w:t>
            </w:r>
          </w:p>
          <w:p w14:paraId="6026F80B" w14:textId="76649000" w:rsidR="00DC1FAF" w:rsidRPr="00735D40" w:rsidRDefault="00DC1FAF" w:rsidP="005066DA">
            <w:pPr>
              <w:spacing w:before="60" w:after="60"/>
              <w:ind w:left="567"/>
              <w:rPr>
                <w:rFonts w:asciiTheme="minorHAnsi" w:eastAsia="MS Mincho" w:hAnsiTheme="minorHAnsi" w:cstheme="minorHAnsi"/>
                <w:highlight w:val="yellow"/>
                <w:lang w:val="fr-FR" w:eastAsia="ja-JP"/>
              </w:rPr>
            </w:pPr>
            <w:r w:rsidRPr="00735D40">
              <w:rPr>
                <w:rFonts w:asciiTheme="minorHAnsi" w:eastAsia="MS Mincho" w:hAnsiTheme="minorHAnsi" w:cstheme="minorHAnsi"/>
                <w:vertAlign w:val="superscript"/>
                <w:lang w:val="fr-FR" w:eastAsia="ja-JP"/>
              </w:rPr>
              <w:t>b</w:t>
            </w:r>
            <w:r w:rsidRPr="00735D40">
              <w:rPr>
                <w:rFonts w:asciiTheme="minorHAnsi" w:eastAsia="MS Mincho" w:hAnsiTheme="minorHAnsi" w:cstheme="minorHAnsi"/>
                <w:lang w:val="fr-FR" w:eastAsia="ja-JP"/>
              </w:rPr>
              <w:t xml:space="preserve"> present study</w:t>
            </w:r>
          </w:p>
        </w:tc>
      </w:tr>
      <w:bookmarkEnd w:id="18"/>
      <w:tr w:rsidR="001F64B0" w:rsidRPr="00735D40" w14:paraId="7E8AF681" w14:textId="77777777" w:rsidTr="009B66D9">
        <w:tc>
          <w:tcPr>
            <w:tcW w:w="7955" w:type="dxa"/>
            <w:gridSpan w:val="3"/>
            <w:shd w:val="clear" w:color="auto" w:fill="auto"/>
          </w:tcPr>
          <w:p w14:paraId="44DA1CAD" w14:textId="305B7AA2" w:rsidR="001F64B0" w:rsidRPr="00735D40" w:rsidRDefault="001F64B0" w:rsidP="005066DA">
            <w:pPr>
              <w:spacing w:before="60" w:after="60"/>
              <w:ind w:left="567"/>
              <w:rPr>
                <w:rFonts w:asciiTheme="minorHAnsi" w:eastAsia="MS Mincho" w:hAnsiTheme="minorHAnsi" w:cstheme="minorHAnsi"/>
                <w:lang w:val="fr-FR" w:eastAsia="ja-JP"/>
              </w:rPr>
            </w:pPr>
          </w:p>
        </w:tc>
      </w:tr>
    </w:tbl>
    <w:p w14:paraId="341FB504" w14:textId="77777777" w:rsidR="001F64B0" w:rsidRPr="001F64B0" w:rsidRDefault="001F64B0" w:rsidP="001F64B0">
      <w:pPr>
        <w:spacing w:after="0" w:line="276" w:lineRule="auto"/>
        <w:ind w:right="1275"/>
        <w:rPr>
          <w:rFonts w:ascii="Calibri" w:eastAsia="Calibri" w:hAnsi="Calibri" w:cs="Calibri"/>
          <w:sz w:val="24"/>
          <w:szCs w:val="24"/>
          <w:lang w:val="fr-FR"/>
        </w:rPr>
      </w:pPr>
    </w:p>
    <w:p w14:paraId="1FB8CBC7" w14:textId="77777777" w:rsidR="001F64B0" w:rsidRDefault="001F64B0" w:rsidP="001A0941">
      <w:pPr>
        <w:ind w:left="567"/>
        <w:rPr>
          <w:rFonts w:ascii="Arial" w:hAnsi="Arial" w:cs="Arial"/>
          <w:b/>
          <w:lang w:val="en-GB"/>
        </w:rPr>
      </w:pPr>
    </w:p>
    <w:p w14:paraId="6AB3C5C5" w14:textId="7DA38479" w:rsidR="00AA3B3F" w:rsidRPr="0068208C" w:rsidRDefault="00AA3B3F" w:rsidP="001A0941">
      <w:pPr>
        <w:ind w:left="567"/>
        <w:rPr>
          <w:rFonts w:cstheme="minorHAnsi"/>
          <w:b/>
          <w:sz w:val="32"/>
          <w:szCs w:val="32"/>
          <w:lang w:val="en-GB"/>
        </w:rPr>
      </w:pPr>
      <w:r w:rsidRPr="0068208C">
        <w:rPr>
          <w:rFonts w:cstheme="minorHAnsi"/>
          <w:b/>
          <w:sz w:val="32"/>
          <w:szCs w:val="32"/>
          <w:lang w:val="en-GB"/>
        </w:rPr>
        <w:t>Discussion</w:t>
      </w:r>
      <w:r w:rsidR="004212E5" w:rsidRPr="0068208C">
        <w:rPr>
          <w:rFonts w:cstheme="minorHAnsi"/>
          <w:b/>
          <w:sz w:val="32"/>
          <w:szCs w:val="32"/>
          <w:lang w:val="en-GB"/>
        </w:rPr>
        <w:t xml:space="preserve"> </w:t>
      </w:r>
    </w:p>
    <w:p w14:paraId="73CBDA47" w14:textId="6E81CAFA" w:rsidR="00C321EF" w:rsidRDefault="00C321EF" w:rsidP="001A0941">
      <w:pPr>
        <w:ind w:left="567"/>
        <w:rPr>
          <w:rFonts w:ascii="Arial" w:hAnsi="Arial" w:cs="Arial"/>
          <w:b/>
          <w:lang w:val="en-GB"/>
        </w:rPr>
      </w:pPr>
    </w:p>
    <w:p w14:paraId="1EDB56BA" w14:textId="0102CC44" w:rsidR="0058153A" w:rsidRPr="00996A1D" w:rsidRDefault="005C40BB" w:rsidP="00356648">
      <w:pPr>
        <w:spacing w:line="276" w:lineRule="auto"/>
        <w:ind w:left="567"/>
        <w:rPr>
          <w:rFonts w:cstheme="minorHAnsi"/>
          <w:bCs/>
          <w:sz w:val="24"/>
          <w:szCs w:val="24"/>
          <w:lang w:val="en-GB"/>
        </w:rPr>
      </w:pPr>
      <w:r w:rsidRPr="00996A1D">
        <w:rPr>
          <w:rFonts w:cstheme="minorHAnsi"/>
          <w:bCs/>
          <w:sz w:val="24"/>
          <w:szCs w:val="24"/>
          <w:lang w:val="en-GB"/>
        </w:rPr>
        <w:t>T</w:t>
      </w:r>
      <w:r w:rsidR="00C321EF" w:rsidRPr="00996A1D">
        <w:rPr>
          <w:rFonts w:cstheme="minorHAnsi"/>
          <w:bCs/>
          <w:sz w:val="24"/>
          <w:szCs w:val="24"/>
          <w:lang w:val="en-GB"/>
        </w:rPr>
        <w:t xml:space="preserve">he present study </w:t>
      </w:r>
      <w:r w:rsidRPr="00996A1D">
        <w:rPr>
          <w:rFonts w:cstheme="minorHAnsi"/>
          <w:bCs/>
          <w:sz w:val="24"/>
          <w:szCs w:val="24"/>
          <w:lang w:val="en-GB"/>
        </w:rPr>
        <w:t xml:space="preserve">characterised </w:t>
      </w:r>
      <w:r w:rsidR="00C321EF" w:rsidRPr="00996A1D">
        <w:rPr>
          <w:rFonts w:cstheme="minorHAnsi"/>
          <w:bCs/>
          <w:sz w:val="24"/>
          <w:szCs w:val="24"/>
          <w:lang w:val="en-GB"/>
        </w:rPr>
        <w:t xml:space="preserve">the </w:t>
      </w:r>
      <w:r w:rsidR="000D68C1" w:rsidRPr="00996A1D">
        <w:rPr>
          <w:rFonts w:cstheme="minorHAnsi"/>
          <w:bCs/>
          <w:sz w:val="24"/>
          <w:szCs w:val="24"/>
          <w:lang w:val="en-GB"/>
        </w:rPr>
        <w:t xml:space="preserve">regional </w:t>
      </w:r>
      <w:r w:rsidRPr="00996A1D">
        <w:rPr>
          <w:rFonts w:cstheme="minorHAnsi"/>
          <w:bCs/>
          <w:sz w:val="24"/>
          <w:szCs w:val="24"/>
          <w:lang w:val="en-GB"/>
        </w:rPr>
        <w:t xml:space="preserve">incidence of hip fracture </w:t>
      </w:r>
      <w:r w:rsidR="003A1E02" w:rsidRPr="00996A1D">
        <w:rPr>
          <w:rFonts w:cstheme="minorHAnsi"/>
          <w:bCs/>
          <w:sz w:val="24"/>
          <w:szCs w:val="24"/>
          <w:lang w:val="en-GB"/>
        </w:rPr>
        <w:t xml:space="preserve">in a </w:t>
      </w:r>
      <w:r w:rsidR="00BE5D1F" w:rsidRPr="00996A1D">
        <w:rPr>
          <w:rFonts w:cstheme="minorHAnsi"/>
          <w:bCs/>
          <w:sz w:val="24"/>
          <w:szCs w:val="24"/>
          <w:lang w:val="en-GB"/>
        </w:rPr>
        <w:t>well-</w:t>
      </w:r>
      <w:r w:rsidR="00BE5D1F">
        <w:rPr>
          <w:rFonts w:cstheme="minorHAnsi"/>
          <w:bCs/>
          <w:sz w:val="24"/>
          <w:szCs w:val="24"/>
          <w:lang w:val="en-GB"/>
        </w:rPr>
        <w:t>defined</w:t>
      </w:r>
      <w:r w:rsidR="003A1E02" w:rsidRPr="00996A1D">
        <w:rPr>
          <w:rFonts w:cstheme="minorHAnsi"/>
          <w:bCs/>
          <w:sz w:val="24"/>
          <w:szCs w:val="24"/>
          <w:lang w:val="en-GB"/>
        </w:rPr>
        <w:t xml:space="preserve"> catc</w:t>
      </w:r>
      <w:r w:rsidR="000D68C1" w:rsidRPr="00996A1D">
        <w:rPr>
          <w:rFonts w:cstheme="minorHAnsi"/>
          <w:bCs/>
          <w:sz w:val="24"/>
          <w:szCs w:val="24"/>
          <w:lang w:val="en-GB"/>
        </w:rPr>
        <w:t>h</w:t>
      </w:r>
      <w:r w:rsidR="003A1E02" w:rsidRPr="00996A1D">
        <w:rPr>
          <w:rFonts w:cstheme="minorHAnsi"/>
          <w:bCs/>
          <w:sz w:val="24"/>
          <w:szCs w:val="24"/>
          <w:lang w:val="en-GB"/>
        </w:rPr>
        <w:t xml:space="preserve">ment </w:t>
      </w:r>
      <w:r w:rsidR="000D68C1" w:rsidRPr="00996A1D">
        <w:rPr>
          <w:rFonts w:cstheme="minorHAnsi"/>
          <w:bCs/>
          <w:sz w:val="24"/>
          <w:szCs w:val="24"/>
          <w:lang w:val="en-GB"/>
        </w:rPr>
        <w:t xml:space="preserve">area.  The </w:t>
      </w:r>
      <w:r w:rsidR="00C321EF" w:rsidRPr="00996A1D">
        <w:rPr>
          <w:rFonts w:cstheme="minorHAnsi"/>
          <w:bCs/>
          <w:sz w:val="24"/>
          <w:szCs w:val="24"/>
          <w:lang w:val="en-GB"/>
        </w:rPr>
        <w:t>hip fracture incidence increased with age in both sexes</w:t>
      </w:r>
      <w:r w:rsidR="00790B0A" w:rsidRPr="00996A1D">
        <w:rPr>
          <w:rFonts w:cstheme="minorHAnsi"/>
          <w:bCs/>
          <w:sz w:val="24"/>
          <w:szCs w:val="24"/>
          <w:lang w:val="en-GB"/>
        </w:rPr>
        <w:t xml:space="preserve"> but below the age of 65 years </w:t>
      </w:r>
      <w:r w:rsidR="0058153A" w:rsidRPr="00996A1D">
        <w:rPr>
          <w:rFonts w:cstheme="minorHAnsi"/>
          <w:bCs/>
          <w:sz w:val="24"/>
          <w:szCs w:val="24"/>
          <w:lang w:val="en-GB"/>
        </w:rPr>
        <w:t>was higher</w:t>
      </w:r>
      <w:r w:rsidR="00C321EF" w:rsidRPr="00996A1D">
        <w:rPr>
          <w:rFonts w:cstheme="minorHAnsi"/>
          <w:bCs/>
          <w:sz w:val="24"/>
          <w:szCs w:val="24"/>
          <w:lang w:val="en-GB"/>
        </w:rPr>
        <w:t xml:space="preserve"> in men than in women</w:t>
      </w:r>
      <w:r w:rsidR="0058153A" w:rsidRPr="00996A1D">
        <w:rPr>
          <w:rFonts w:cstheme="minorHAnsi"/>
          <w:bCs/>
          <w:sz w:val="24"/>
          <w:szCs w:val="24"/>
          <w:lang w:val="en-GB"/>
        </w:rPr>
        <w:t>.</w:t>
      </w:r>
      <w:r w:rsidR="00E35CFB" w:rsidRPr="00996A1D">
        <w:rPr>
          <w:rFonts w:cstheme="minorHAnsi"/>
          <w:sz w:val="24"/>
          <w:szCs w:val="24"/>
        </w:rPr>
        <w:t xml:space="preserve"> </w:t>
      </w:r>
      <w:r w:rsidR="00E35CFB" w:rsidRPr="00996A1D">
        <w:rPr>
          <w:rFonts w:cstheme="minorHAnsi"/>
          <w:bCs/>
          <w:sz w:val="24"/>
          <w:szCs w:val="24"/>
          <w:lang w:val="en-GB"/>
        </w:rPr>
        <w:t xml:space="preserve">Thereafter incidence was higher in women.  Similar results have been reported in many studies including other countries </w:t>
      </w:r>
      <w:r w:rsidR="007B73C3" w:rsidRPr="00996A1D">
        <w:rPr>
          <w:rFonts w:cstheme="minorHAnsi"/>
          <w:bCs/>
          <w:sz w:val="24"/>
          <w:szCs w:val="24"/>
          <w:lang w:val="en-GB"/>
        </w:rPr>
        <w:t xml:space="preserve">in eastern </w:t>
      </w:r>
      <w:r w:rsidR="00FB341E" w:rsidRPr="00996A1D">
        <w:rPr>
          <w:rFonts w:cstheme="minorHAnsi"/>
          <w:bCs/>
          <w:sz w:val="24"/>
          <w:szCs w:val="24"/>
          <w:lang w:val="en-GB"/>
        </w:rPr>
        <w:t>Europe</w:t>
      </w:r>
      <w:r w:rsidR="00E35CFB" w:rsidRPr="00996A1D">
        <w:rPr>
          <w:rFonts w:cstheme="minorHAnsi"/>
          <w:bCs/>
          <w:sz w:val="24"/>
          <w:szCs w:val="24"/>
          <w:lang w:val="en-GB"/>
        </w:rPr>
        <w:t>, namely Russia</w:t>
      </w:r>
      <w:r w:rsidR="0051445A" w:rsidRPr="00996A1D">
        <w:rPr>
          <w:rFonts w:cstheme="minorHAnsi"/>
          <w:bCs/>
          <w:sz w:val="24"/>
          <w:szCs w:val="24"/>
          <w:lang w:val="en-GB"/>
        </w:rPr>
        <w:t xml:space="preserve"> </w:t>
      </w:r>
      <w:r w:rsidR="00D47FC9" w:rsidRPr="00996A1D">
        <w:rPr>
          <w:rFonts w:cstheme="minorHAnsi"/>
          <w:bCs/>
          <w:sz w:val="24"/>
          <w:szCs w:val="24"/>
          <w:lang w:val="en-GB"/>
        </w:rPr>
        <w:t>[</w:t>
      </w:r>
      <w:r w:rsidR="00196259" w:rsidRPr="00996A1D">
        <w:rPr>
          <w:rFonts w:cstheme="minorHAnsi"/>
          <w:bCs/>
          <w:sz w:val="24"/>
          <w:szCs w:val="24"/>
          <w:lang w:val="en-GB"/>
        </w:rPr>
        <w:t>12</w:t>
      </w:r>
      <w:r w:rsidR="00580D9A" w:rsidRPr="00996A1D">
        <w:rPr>
          <w:rFonts w:cstheme="minorHAnsi"/>
          <w:bCs/>
          <w:sz w:val="24"/>
          <w:szCs w:val="24"/>
          <w:lang w:val="en-GB"/>
        </w:rPr>
        <w:t>]</w:t>
      </w:r>
      <w:r w:rsidR="00E35CFB" w:rsidRPr="00996A1D">
        <w:rPr>
          <w:rFonts w:cstheme="minorHAnsi"/>
          <w:bCs/>
          <w:sz w:val="24"/>
          <w:szCs w:val="24"/>
          <w:lang w:val="en-GB"/>
        </w:rPr>
        <w:t>, Armenia</w:t>
      </w:r>
      <w:r w:rsidR="00580D9A" w:rsidRPr="00996A1D">
        <w:rPr>
          <w:rFonts w:cstheme="minorHAnsi"/>
          <w:bCs/>
          <w:sz w:val="24"/>
          <w:szCs w:val="24"/>
          <w:lang w:val="en-GB"/>
        </w:rPr>
        <w:t xml:space="preserve"> [</w:t>
      </w:r>
      <w:r w:rsidR="00196259" w:rsidRPr="00996A1D">
        <w:rPr>
          <w:rFonts w:cstheme="minorHAnsi"/>
          <w:bCs/>
          <w:sz w:val="24"/>
          <w:szCs w:val="24"/>
          <w:lang w:val="en-GB"/>
        </w:rPr>
        <w:t>1</w:t>
      </w:r>
      <w:r w:rsidR="00A35EAD" w:rsidRPr="00996A1D">
        <w:rPr>
          <w:rFonts w:cstheme="minorHAnsi"/>
          <w:bCs/>
          <w:sz w:val="24"/>
          <w:szCs w:val="24"/>
          <w:lang w:val="en-GB"/>
        </w:rPr>
        <w:t>1</w:t>
      </w:r>
      <w:r w:rsidR="002203C4" w:rsidRPr="00996A1D">
        <w:rPr>
          <w:rFonts w:cstheme="minorHAnsi"/>
          <w:bCs/>
          <w:sz w:val="24"/>
          <w:szCs w:val="24"/>
          <w:lang w:val="en-GB"/>
        </w:rPr>
        <w:t xml:space="preserve">], Moldova </w:t>
      </w:r>
      <w:r w:rsidR="001562BC" w:rsidRPr="00996A1D">
        <w:rPr>
          <w:rFonts w:cstheme="minorHAnsi"/>
          <w:bCs/>
          <w:sz w:val="24"/>
          <w:szCs w:val="24"/>
          <w:lang w:val="en-GB"/>
        </w:rPr>
        <w:t>[</w:t>
      </w:r>
      <w:r w:rsidR="00B6636C" w:rsidRPr="00996A1D">
        <w:rPr>
          <w:rFonts w:cstheme="minorHAnsi"/>
          <w:bCs/>
          <w:sz w:val="24"/>
          <w:szCs w:val="24"/>
          <w:lang w:val="en-GB"/>
        </w:rPr>
        <w:t>1</w:t>
      </w:r>
      <w:r w:rsidR="00A35EAD" w:rsidRPr="00996A1D">
        <w:rPr>
          <w:rFonts w:cstheme="minorHAnsi"/>
          <w:bCs/>
          <w:sz w:val="24"/>
          <w:szCs w:val="24"/>
          <w:lang w:val="en-GB"/>
        </w:rPr>
        <w:t>4</w:t>
      </w:r>
      <w:r w:rsidR="001562BC" w:rsidRPr="00996A1D">
        <w:rPr>
          <w:rFonts w:cstheme="minorHAnsi"/>
          <w:bCs/>
          <w:sz w:val="24"/>
          <w:szCs w:val="24"/>
          <w:lang w:val="en-GB"/>
        </w:rPr>
        <w:t>]</w:t>
      </w:r>
      <w:r w:rsidR="00E35CFB" w:rsidRPr="00996A1D">
        <w:rPr>
          <w:rFonts w:cstheme="minorHAnsi"/>
          <w:bCs/>
          <w:sz w:val="24"/>
          <w:szCs w:val="24"/>
          <w:lang w:val="en-GB"/>
        </w:rPr>
        <w:t xml:space="preserve"> and Belarus, [</w:t>
      </w:r>
      <w:r w:rsidR="001562BC" w:rsidRPr="00996A1D">
        <w:rPr>
          <w:rFonts w:cstheme="minorHAnsi"/>
          <w:bCs/>
          <w:sz w:val="24"/>
          <w:szCs w:val="24"/>
          <w:lang w:val="en-GB"/>
        </w:rPr>
        <w:t>1</w:t>
      </w:r>
      <w:r w:rsidR="00A35EAD" w:rsidRPr="00996A1D">
        <w:rPr>
          <w:rFonts w:cstheme="minorHAnsi"/>
          <w:bCs/>
          <w:sz w:val="24"/>
          <w:szCs w:val="24"/>
          <w:lang w:val="en-GB"/>
        </w:rPr>
        <w:t>3</w:t>
      </w:r>
      <w:r w:rsidR="00E35CFB" w:rsidRPr="00996A1D">
        <w:rPr>
          <w:rFonts w:cstheme="minorHAnsi"/>
          <w:bCs/>
          <w:sz w:val="24"/>
          <w:szCs w:val="24"/>
          <w:lang w:val="en-GB"/>
        </w:rPr>
        <w:t xml:space="preserve">]. From these results, </w:t>
      </w:r>
      <w:r w:rsidR="00353F24" w:rsidRPr="00996A1D">
        <w:rPr>
          <w:rFonts w:cstheme="minorHAnsi"/>
          <w:bCs/>
          <w:sz w:val="24"/>
          <w:szCs w:val="24"/>
          <w:lang w:val="en-GB"/>
        </w:rPr>
        <w:t>Bulgaria</w:t>
      </w:r>
      <w:r w:rsidR="00E35CFB" w:rsidRPr="00996A1D">
        <w:rPr>
          <w:rFonts w:cstheme="minorHAnsi"/>
          <w:bCs/>
          <w:sz w:val="24"/>
          <w:szCs w:val="24"/>
          <w:lang w:val="en-GB"/>
        </w:rPr>
        <w:t xml:space="preserve"> belongs to the moderate-risk countries for osteoporotic hip fracture for men and women [</w:t>
      </w:r>
      <w:r w:rsidR="00267EDA" w:rsidRPr="00996A1D">
        <w:rPr>
          <w:rFonts w:cstheme="minorHAnsi"/>
          <w:bCs/>
          <w:sz w:val="24"/>
          <w:szCs w:val="24"/>
          <w:lang w:val="en-GB"/>
        </w:rPr>
        <w:t>28</w:t>
      </w:r>
      <w:r w:rsidR="00E35CFB" w:rsidRPr="00996A1D">
        <w:rPr>
          <w:rFonts w:cstheme="minorHAnsi"/>
          <w:bCs/>
          <w:sz w:val="24"/>
          <w:szCs w:val="24"/>
          <w:lang w:val="en-GB"/>
        </w:rPr>
        <w:t>].</w:t>
      </w:r>
    </w:p>
    <w:p w14:paraId="11A9AFA1" w14:textId="28E8B8B1" w:rsidR="0036298F" w:rsidRPr="0068208C" w:rsidRDefault="0036298F" w:rsidP="00356648">
      <w:pPr>
        <w:spacing w:line="276" w:lineRule="auto"/>
        <w:ind w:left="567"/>
        <w:rPr>
          <w:rFonts w:cstheme="minorHAnsi"/>
          <w:bCs/>
          <w:sz w:val="24"/>
          <w:szCs w:val="24"/>
          <w:lang w:val="en-GB"/>
        </w:rPr>
      </w:pPr>
      <w:r w:rsidRPr="00996A1D">
        <w:rPr>
          <w:rFonts w:cstheme="minorHAnsi"/>
          <w:bCs/>
          <w:sz w:val="24"/>
          <w:szCs w:val="24"/>
          <w:lang w:val="en-GB"/>
        </w:rPr>
        <w:t xml:space="preserve">Based on the regional incidence, the number of hip fractures in 2015 was estimated at </w:t>
      </w:r>
      <w:r w:rsidR="00502067" w:rsidRPr="00996A1D">
        <w:rPr>
          <w:rFonts w:cstheme="minorHAnsi"/>
          <w:bCs/>
          <w:sz w:val="24"/>
          <w:szCs w:val="24"/>
          <w:lang w:val="en-GB"/>
        </w:rPr>
        <w:t>9322</w:t>
      </w:r>
      <w:r w:rsidRPr="00996A1D">
        <w:rPr>
          <w:rFonts w:cstheme="minorHAnsi"/>
          <w:bCs/>
          <w:sz w:val="24"/>
          <w:szCs w:val="24"/>
          <w:lang w:val="en-GB"/>
        </w:rPr>
        <w:t xml:space="preserve"> </w:t>
      </w:r>
      <w:r w:rsidR="00650965" w:rsidRPr="00996A1D">
        <w:rPr>
          <w:rFonts w:cstheme="minorHAnsi"/>
          <w:bCs/>
          <w:sz w:val="24"/>
          <w:szCs w:val="24"/>
          <w:lang w:val="en-GB"/>
        </w:rPr>
        <w:t xml:space="preserve">for the whole country </w:t>
      </w:r>
      <w:r w:rsidRPr="00996A1D">
        <w:rPr>
          <w:rFonts w:cstheme="minorHAnsi"/>
          <w:bCs/>
          <w:sz w:val="24"/>
          <w:szCs w:val="24"/>
          <w:lang w:val="en-GB"/>
        </w:rPr>
        <w:t xml:space="preserve">and is expected to increase by </w:t>
      </w:r>
      <w:r w:rsidR="00DC45CA" w:rsidRPr="00996A1D">
        <w:rPr>
          <w:rFonts w:cstheme="minorHAnsi"/>
          <w:bCs/>
          <w:sz w:val="24"/>
          <w:szCs w:val="24"/>
          <w:lang w:val="en-GB"/>
        </w:rPr>
        <w:t>22</w:t>
      </w:r>
      <w:r w:rsidRPr="00996A1D">
        <w:rPr>
          <w:rFonts w:cstheme="minorHAnsi"/>
          <w:bCs/>
          <w:sz w:val="24"/>
          <w:szCs w:val="24"/>
          <w:lang w:val="en-GB"/>
        </w:rPr>
        <w:t xml:space="preserve">% to </w:t>
      </w:r>
      <w:r w:rsidR="00DC45CA" w:rsidRPr="00996A1D">
        <w:rPr>
          <w:rFonts w:cstheme="minorHAnsi"/>
          <w:bCs/>
          <w:sz w:val="24"/>
          <w:szCs w:val="24"/>
          <w:lang w:val="en-GB"/>
        </w:rPr>
        <w:t>11</w:t>
      </w:r>
      <w:r w:rsidRPr="00996A1D">
        <w:rPr>
          <w:rFonts w:cstheme="minorHAnsi"/>
          <w:bCs/>
          <w:sz w:val="24"/>
          <w:szCs w:val="24"/>
          <w:lang w:val="en-GB"/>
        </w:rPr>
        <w:t>,</w:t>
      </w:r>
      <w:r w:rsidR="00DC45CA" w:rsidRPr="00996A1D">
        <w:rPr>
          <w:rFonts w:cstheme="minorHAnsi"/>
          <w:bCs/>
          <w:sz w:val="24"/>
          <w:szCs w:val="24"/>
          <w:lang w:val="en-GB"/>
        </w:rPr>
        <w:t>398</w:t>
      </w:r>
      <w:r w:rsidRPr="00996A1D">
        <w:rPr>
          <w:rFonts w:cstheme="minorHAnsi"/>
          <w:bCs/>
          <w:sz w:val="24"/>
          <w:szCs w:val="24"/>
          <w:lang w:val="en-GB"/>
        </w:rPr>
        <w:t xml:space="preserve"> in 2050. These estimates are relatively robust in that all individuals who will be aged 60 years or more in 2050 are currently adults. However, these estimates may be conservative since they assume that the age- and sex-specific risk of hip fracture remains unchanged over this period. Decreases in age-specific rates have occurred in those countries with the higher hip fracture risks [</w:t>
      </w:r>
      <w:r w:rsidR="004F0CF4" w:rsidRPr="00996A1D">
        <w:rPr>
          <w:rFonts w:cstheme="minorHAnsi"/>
          <w:bCs/>
          <w:sz w:val="24"/>
          <w:szCs w:val="24"/>
          <w:lang w:val="en-GB"/>
        </w:rPr>
        <w:t>29</w:t>
      </w:r>
      <w:r w:rsidRPr="00996A1D">
        <w:rPr>
          <w:rFonts w:cstheme="minorHAnsi"/>
          <w:bCs/>
          <w:sz w:val="24"/>
          <w:szCs w:val="24"/>
          <w:lang w:val="en-GB"/>
        </w:rPr>
        <w:t>], whereas increases in incidence with</w:t>
      </w:r>
      <w:r w:rsidRPr="0068208C">
        <w:rPr>
          <w:rFonts w:cstheme="minorHAnsi"/>
          <w:bCs/>
          <w:sz w:val="24"/>
          <w:szCs w:val="24"/>
          <w:lang w:val="en-GB"/>
        </w:rPr>
        <w:t xml:space="preserve"> time are commonly found in those countries with the lower risks.  It is estimated that modest increases in secular trends (e.g. 1% per year) as seen for example in Mexico [</w:t>
      </w:r>
      <w:r w:rsidR="00916477" w:rsidRPr="0068208C">
        <w:rPr>
          <w:rFonts w:cstheme="minorHAnsi"/>
          <w:bCs/>
          <w:sz w:val="24"/>
          <w:szCs w:val="24"/>
          <w:lang w:val="en-GB"/>
        </w:rPr>
        <w:t>9</w:t>
      </w:r>
      <w:r w:rsidRPr="0068208C">
        <w:rPr>
          <w:rFonts w:cstheme="minorHAnsi"/>
          <w:bCs/>
          <w:sz w:val="24"/>
          <w:szCs w:val="24"/>
          <w:lang w:val="en-GB"/>
        </w:rPr>
        <w:t>] together with demographic changes would double the number of hip fractures over 20 years [</w:t>
      </w:r>
      <w:r w:rsidR="00FC11D3" w:rsidRPr="0068208C">
        <w:rPr>
          <w:rFonts w:cstheme="minorHAnsi"/>
          <w:bCs/>
          <w:sz w:val="24"/>
          <w:szCs w:val="24"/>
          <w:lang w:val="en-GB"/>
        </w:rPr>
        <w:t>30</w:t>
      </w:r>
      <w:r w:rsidRPr="0068208C">
        <w:rPr>
          <w:rFonts w:cstheme="minorHAnsi"/>
          <w:bCs/>
          <w:sz w:val="24"/>
          <w:szCs w:val="24"/>
          <w:lang w:val="en-GB"/>
        </w:rPr>
        <w:t>].  Such projections are important for healthcare planning.</w:t>
      </w:r>
    </w:p>
    <w:p w14:paraId="47FEDD1F" w14:textId="539191A4" w:rsidR="006F41C3" w:rsidRPr="0068208C" w:rsidRDefault="006F41C3" w:rsidP="00356648">
      <w:pPr>
        <w:spacing w:line="276" w:lineRule="auto"/>
        <w:ind w:left="567"/>
        <w:rPr>
          <w:rFonts w:cstheme="minorHAnsi"/>
          <w:bCs/>
          <w:sz w:val="24"/>
          <w:szCs w:val="24"/>
          <w:lang w:val="en-GB"/>
        </w:rPr>
      </w:pPr>
      <w:r w:rsidRPr="0068208C">
        <w:rPr>
          <w:rFonts w:cstheme="minorHAnsi"/>
          <w:bCs/>
          <w:sz w:val="24"/>
          <w:szCs w:val="24"/>
          <w:lang w:val="en-GB"/>
        </w:rPr>
        <w:t>The incidence o</w:t>
      </w:r>
      <w:r w:rsidR="000C10C2">
        <w:rPr>
          <w:rFonts w:cstheme="minorHAnsi"/>
          <w:bCs/>
          <w:sz w:val="24"/>
          <w:szCs w:val="24"/>
          <w:lang w:val="en-GB"/>
        </w:rPr>
        <w:t>f</w:t>
      </w:r>
      <w:r w:rsidRPr="0068208C">
        <w:rPr>
          <w:rFonts w:cstheme="minorHAnsi"/>
          <w:bCs/>
          <w:sz w:val="24"/>
          <w:szCs w:val="24"/>
          <w:lang w:val="en-GB"/>
        </w:rPr>
        <w:t xml:space="preserve"> hip fracture and of death w</w:t>
      </w:r>
      <w:r w:rsidR="00FE4F74">
        <w:rPr>
          <w:rFonts w:cstheme="minorHAnsi"/>
          <w:bCs/>
          <w:sz w:val="24"/>
          <w:szCs w:val="24"/>
          <w:lang w:val="en-GB"/>
        </w:rPr>
        <w:t>ere</w:t>
      </w:r>
      <w:r w:rsidRPr="0068208C">
        <w:rPr>
          <w:rFonts w:cstheme="minorHAnsi"/>
          <w:bCs/>
          <w:sz w:val="24"/>
          <w:szCs w:val="24"/>
          <w:lang w:val="en-GB"/>
        </w:rPr>
        <w:t xml:space="preserve"> used to </w:t>
      </w:r>
      <w:r w:rsidR="00C927F1" w:rsidRPr="0068208C">
        <w:rPr>
          <w:rFonts w:cstheme="minorHAnsi"/>
          <w:bCs/>
          <w:sz w:val="24"/>
          <w:szCs w:val="24"/>
          <w:lang w:val="en-GB"/>
        </w:rPr>
        <w:t>create a country specific FRAX model for Bulgaria</w:t>
      </w:r>
      <w:r w:rsidR="00EA1696" w:rsidRPr="0068208C">
        <w:rPr>
          <w:rFonts w:cstheme="minorHAnsi"/>
          <w:bCs/>
          <w:sz w:val="24"/>
          <w:szCs w:val="24"/>
          <w:lang w:val="en-GB"/>
        </w:rPr>
        <w:t xml:space="preserve">.  </w:t>
      </w:r>
      <w:r w:rsidR="00C40A8E" w:rsidRPr="0068208C">
        <w:rPr>
          <w:rFonts w:cstheme="minorHAnsi"/>
          <w:bCs/>
          <w:sz w:val="24"/>
          <w:szCs w:val="24"/>
          <w:lang w:val="en-GB"/>
        </w:rPr>
        <w:t xml:space="preserve">Ten-year probabilities </w:t>
      </w:r>
      <w:r w:rsidR="00622108" w:rsidRPr="0068208C">
        <w:rPr>
          <w:rFonts w:cstheme="minorHAnsi"/>
          <w:bCs/>
          <w:sz w:val="24"/>
          <w:szCs w:val="24"/>
          <w:lang w:val="en-GB"/>
        </w:rPr>
        <w:t xml:space="preserve">of fracture </w:t>
      </w:r>
      <w:r w:rsidR="00C40A8E" w:rsidRPr="0068208C">
        <w:rPr>
          <w:rFonts w:cstheme="minorHAnsi"/>
          <w:bCs/>
          <w:sz w:val="24"/>
          <w:szCs w:val="24"/>
          <w:lang w:val="en-GB"/>
        </w:rPr>
        <w:t xml:space="preserve">were consistently higher than in the neighbouring countries of </w:t>
      </w:r>
      <w:r w:rsidR="00622108" w:rsidRPr="0068208C">
        <w:rPr>
          <w:rFonts w:cstheme="minorHAnsi"/>
          <w:bCs/>
          <w:sz w:val="24"/>
          <w:szCs w:val="24"/>
          <w:lang w:val="en-GB"/>
        </w:rPr>
        <w:t>Serbia and Romania, lower than probabilities for Turkey and similar to those for Greece.</w:t>
      </w:r>
      <w:r w:rsidR="00C40A8E" w:rsidRPr="0068208C">
        <w:rPr>
          <w:rFonts w:cstheme="minorHAnsi"/>
          <w:bCs/>
          <w:sz w:val="24"/>
          <w:szCs w:val="24"/>
          <w:lang w:val="en-GB"/>
        </w:rPr>
        <w:t xml:space="preserve">  These differences in fracture probability cannot be accounted for by differences in mortality but rather, reflect differences in the risk of hip fracture.  Reasons for the heterogeneity in hip fracture risk are speculative [</w:t>
      </w:r>
      <w:r w:rsidR="00764B6F" w:rsidRPr="0068208C">
        <w:rPr>
          <w:rFonts w:cstheme="minorHAnsi"/>
          <w:bCs/>
          <w:sz w:val="24"/>
          <w:szCs w:val="24"/>
          <w:lang w:val="en-GB"/>
        </w:rPr>
        <w:t>9</w:t>
      </w:r>
      <w:r w:rsidR="00C40A8E" w:rsidRPr="0068208C">
        <w:rPr>
          <w:rFonts w:cstheme="minorHAnsi"/>
          <w:bCs/>
          <w:sz w:val="24"/>
          <w:szCs w:val="24"/>
          <w:lang w:val="en-GB"/>
        </w:rPr>
        <w:t>]. The factor which best predicts the heterogeneity in hip fracture risk is socioeconomic prosperity that in turn may be related to low levels of physical activity [</w:t>
      </w:r>
      <w:r w:rsidR="00C64AAD" w:rsidRPr="0068208C">
        <w:rPr>
          <w:rFonts w:cstheme="minorHAnsi"/>
          <w:bCs/>
          <w:sz w:val="24"/>
          <w:szCs w:val="24"/>
          <w:lang w:val="en-GB"/>
        </w:rPr>
        <w:t>31</w:t>
      </w:r>
      <w:r w:rsidR="00C40A8E" w:rsidRPr="0068208C">
        <w:rPr>
          <w:rFonts w:cstheme="minorHAnsi"/>
          <w:bCs/>
          <w:sz w:val="24"/>
          <w:szCs w:val="24"/>
          <w:lang w:val="en-GB"/>
        </w:rPr>
        <w:t>].  The fact that there are differences in adjacent countries emphasizes the importance of the use of country</w:t>
      </w:r>
      <w:r w:rsidR="00996A1D">
        <w:rPr>
          <w:rFonts w:cstheme="minorHAnsi"/>
          <w:bCs/>
          <w:sz w:val="24"/>
          <w:szCs w:val="24"/>
          <w:lang w:val="en-GB"/>
        </w:rPr>
        <w:t xml:space="preserve"> </w:t>
      </w:r>
      <w:r w:rsidR="00C40A8E" w:rsidRPr="0068208C">
        <w:rPr>
          <w:rFonts w:cstheme="minorHAnsi"/>
          <w:bCs/>
          <w:sz w:val="24"/>
          <w:szCs w:val="24"/>
          <w:lang w:val="en-GB"/>
        </w:rPr>
        <w:t>specific FRAX models rather than surrogate models [</w:t>
      </w:r>
      <w:r w:rsidR="00C64AAD" w:rsidRPr="0068208C">
        <w:rPr>
          <w:rFonts w:cstheme="minorHAnsi"/>
          <w:bCs/>
          <w:sz w:val="24"/>
          <w:szCs w:val="24"/>
          <w:lang w:val="en-GB"/>
        </w:rPr>
        <w:t>32</w:t>
      </w:r>
      <w:r w:rsidR="00C40A8E" w:rsidRPr="0068208C">
        <w:rPr>
          <w:rFonts w:cstheme="minorHAnsi"/>
          <w:bCs/>
          <w:sz w:val="24"/>
          <w:szCs w:val="24"/>
          <w:lang w:val="en-GB"/>
        </w:rPr>
        <w:t>].</w:t>
      </w:r>
    </w:p>
    <w:p w14:paraId="0C5C5893" w14:textId="62F669C7" w:rsidR="000440DC" w:rsidRPr="0068208C" w:rsidRDefault="000440DC" w:rsidP="00356648">
      <w:pPr>
        <w:spacing w:line="276" w:lineRule="auto"/>
        <w:ind w:left="567"/>
        <w:rPr>
          <w:rFonts w:cstheme="minorHAnsi"/>
          <w:bCs/>
          <w:sz w:val="24"/>
          <w:szCs w:val="24"/>
          <w:lang w:val="en-GB"/>
        </w:rPr>
      </w:pPr>
      <w:r w:rsidRPr="0068208C">
        <w:rPr>
          <w:rFonts w:cstheme="minorHAnsi"/>
          <w:bCs/>
          <w:sz w:val="24"/>
          <w:szCs w:val="24"/>
          <w:lang w:val="en-GB"/>
        </w:rPr>
        <w:t>A minority of countries that have a FRAX model also have robust information on the risk of other major osteoporotic fractures. In the absence of such information, FRAX models are based on the assumption that the age- and sex-specific pattern of these fractures is similar to that observed in Malmo</w:t>
      </w:r>
      <w:r w:rsidR="00B044D0">
        <w:rPr>
          <w:rFonts w:cstheme="minorHAnsi"/>
          <w:bCs/>
          <w:sz w:val="24"/>
          <w:szCs w:val="24"/>
          <w:lang w:val="en-GB"/>
        </w:rPr>
        <w:t>, Sweden</w:t>
      </w:r>
      <w:r w:rsidRPr="0068208C">
        <w:rPr>
          <w:rFonts w:cstheme="minorHAnsi"/>
          <w:bCs/>
          <w:sz w:val="24"/>
          <w:szCs w:val="24"/>
          <w:lang w:val="en-GB"/>
        </w:rPr>
        <w:t xml:space="preserve"> [</w:t>
      </w:r>
      <w:r w:rsidR="00103FB0" w:rsidRPr="0068208C">
        <w:rPr>
          <w:rFonts w:cstheme="minorHAnsi"/>
          <w:bCs/>
          <w:sz w:val="24"/>
          <w:szCs w:val="24"/>
          <w:lang w:val="en-GB"/>
        </w:rPr>
        <w:t>33</w:t>
      </w:r>
      <w:r w:rsidRPr="0068208C">
        <w:rPr>
          <w:rFonts w:cstheme="minorHAnsi"/>
          <w:bCs/>
          <w:sz w:val="24"/>
          <w:szCs w:val="24"/>
          <w:lang w:val="en-GB"/>
        </w:rPr>
        <w:t>]. The acquisition of data on the incidence of forearm and humerus fractures in a manner identical to that for hip fracture permitted the adequacy of this assumption to be tested, at least for forearm and humeral fractures. Our findings suggest that the incidence of forearm and humerus fractures can be reasonably predicted from the incidence of hip fracture.  Very similar findings have been reported from Canada [</w:t>
      </w:r>
      <w:r w:rsidR="00103FB0" w:rsidRPr="0068208C">
        <w:rPr>
          <w:rFonts w:cstheme="minorHAnsi"/>
          <w:bCs/>
          <w:sz w:val="24"/>
          <w:szCs w:val="24"/>
          <w:lang w:val="en-GB"/>
        </w:rPr>
        <w:t>20</w:t>
      </w:r>
      <w:r w:rsidRPr="0068208C">
        <w:rPr>
          <w:rFonts w:cstheme="minorHAnsi"/>
          <w:bCs/>
          <w:sz w:val="24"/>
          <w:szCs w:val="24"/>
          <w:lang w:val="en-GB"/>
        </w:rPr>
        <w:t>], Iceland [</w:t>
      </w:r>
      <w:r w:rsidR="00471075" w:rsidRPr="0068208C">
        <w:rPr>
          <w:rFonts w:cstheme="minorHAnsi"/>
          <w:bCs/>
          <w:sz w:val="24"/>
          <w:szCs w:val="24"/>
          <w:lang w:val="en-GB"/>
        </w:rPr>
        <w:t>19</w:t>
      </w:r>
      <w:r w:rsidRPr="0068208C">
        <w:rPr>
          <w:rFonts w:cstheme="minorHAnsi"/>
          <w:bCs/>
          <w:sz w:val="24"/>
          <w:szCs w:val="24"/>
          <w:lang w:val="en-GB"/>
        </w:rPr>
        <w:t>], US [</w:t>
      </w:r>
      <w:r w:rsidR="006F2C49" w:rsidRPr="0068208C">
        <w:rPr>
          <w:rFonts w:cstheme="minorHAnsi"/>
          <w:bCs/>
          <w:sz w:val="24"/>
          <w:szCs w:val="24"/>
          <w:lang w:val="en-GB"/>
        </w:rPr>
        <w:t>34</w:t>
      </w:r>
      <w:r w:rsidRPr="0068208C">
        <w:rPr>
          <w:rFonts w:cstheme="minorHAnsi"/>
          <w:bCs/>
          <w:sz w:val="24"/>
          <w:szCs w:val="24"/>
          <w:lang w:val="en-GB"/>
        </w:rPr>
        <w:t>], UK [</w:t>
      </w:r>
      <w:r w:rsidR="00B33F2B" w:rsidRPr="0068208C">
        <w:rPr>
          <w:rFonts w:cstheme="minorHAnsi"/>
          <w:bCs/>
          <w:sz w:val="24"/>
          <w:szCs w:val="24"/>
          <w:lang w:val="en-GB"/>
        </w:rPr>
        <w:t>35</w:t>
      </w:r>
      <w:r w:rsidRPr="0068208C">
        <w:rPr>
          <w:rFonts w:cstheme="minorHAnsi"/>
          <w:bCs/>
          <w:sz w:val="24"/>
          <w:szCs w:val="24"/>
          <w:lang w:val="en-GB"/>
        </w:rPr>
        <w:t>], Australia [</w:t>
      </w:r>
      <w:r w:rsidR="003C0A84" w:rsidRPr="0068208C">
        <w:rPr>
          <w:rFonts w:cstheme="minorHAnsi"/>
          <w:bCs/>
          <w:sz w:val="24"/>
          <w:szCs w:val="24"/>
          <w:lang w:val="en-GB"/>
        </w:rPr>
        <w:t>36</w:t>
      </w:r>
      <w:r w:rsidRPr="0068208C">
        <w:rPr>
          <w:rFonts w:cstheme="minorHAnsi"/>
          <w:bCs/>
          <w:sz w:val="24"/>
          <w:szCs w:val="24"/>
          <w:lang w:val="en-GB"/>
        </w:rPr>
        <w:t>] and several additional counties of the Western world and Australia, despite differences in incidence [</w:t>
      </w:r>
      <w:r w:rsidR="0012374C" w:rsidRPr="0068208C">
        <w:rPr>
          <w:rFonts w:cstheme="minorHAnsi"/>
          <w:bCs/>
          <w:sz w:val="24"/>
          <w:szCs w:val="24"/>
          <w:lang w:val="en-GB"/>
        </w:rPr>
        <w:t>28</w:t>
      </w:r>
      <w:r w:rsidRPr="0068208C">
        <w:rPr>
          <w:rFonts w:cstheme="minorHAnsi"/>
          <w:bCs/>
          <w:sz w:val="24"/>
          <w:szCs w:val="24"/>
          <w:lang w:val="en-GB"/>
        </w:rPr>
        <w:t>]. This commonality of pattern is supported by register studies, which indicate that in those regions where hip fracture rates are high, so too is the risk of forearm fracture and spine fractures (requiring hospital admission) [</w:t>
      </w:r>
      <w:r w:rsidR="0045372D" w:rsidRPr="0068208C">
        <w:rPr>
          <w:rFonts w:cstheme="minorHAnsi"/>
          <w:bCs/>
          <w:sz w:val="24"/>
          <w:szCs w:val="24"/>
          <w:lang w:val="en-GB"/>
        </w:rPr>
        <w:t>37, 38</w:t>
      </w:r>
      <w:r w:rsidRPr="0068208C">
        <w:rPr>
          <w:rFonts w:cstheme="minorHAnsi"/>
          <w:bCs/>
          <w:sz w:val="24"/>
          <w:szCs w:val="24"/>
          <w:lang w:val="en-GB"/>
        </w:rPr>
        <w:t>].</w:t>
      </w:r>
    </w:p>
    <w:p w14:paraId="2DB06246" w14:textId="47A1FC68" w:rsidR="0091334F" w:rsidRPr="0068208C" w:rsidRDefault="0091334F" w:rsidP="00356648">
      <w:pPr>
        <w:spacing w:line="276" w:lineRule="auto"/>
        <w:ind w:left="567"/>
        <w:rPr>
          <w:rFonts w:cstheme="minorHAnsi"/>
          <w:bCs/>
          <w:sz w:val="24"/>
          <w:szCs w:val="24"/>
          <w:lang w:val="en-GB"/>
        </w:rPr>
      </w:pPr>
      <w:r w:rsidRPr="0068208C">
        <w:rPr>
          <w:rFonts w:cstheme="minorHAnsi"/>
          <w:bCs/>
          <w:sz w:val="24"/>
          <w:szCs w:val="24"/>
          <w:lang w:val="en-GB"/>
        </w:rPr>
        <w:t xml:space="preserve">In most countries, </w:t>
      </w:r>
      <w:r w:rsidR="008004E8" w:rsidRPr="0068208C">
        <w:rPr>
          <w:rFonts w:cstheme="minorHAnsi"/>
          <w:bCs/>
          <w:sz w:val="24"/>
          <w:szCs w:val="24"/>
          <w:lang w:val="en-GB"/>
        </w:rPr>
        <w:t xml:space="preserve">a case </w:t>
      </w:r>
      <w:r w:rsidR="00290984" w:rsidRPr="0068208C">
        <w:rPr>
          <w:rFonts w:cstheme="minorHAnsi"/>
          <w:bCs/>
          <w:sz w:val="24"/>
          <w:szCs w:val="24"/>
          <w:lang w:val="en-GB"/>
        </w:rPr>
        <w:t xml:space="preserve">finding </w:t>
      </w:r>
      <w:r w:rsidRPr="0068208C">
        <w:rPr>
          <w:rFonts w:cstheme="minorHAnsi"/>
          <w:bCs/>
          <w:sz w:val="24"/>
          <w:szCs w:val="24"/>
          <w:lang w:val="en-GB"/>
        </w:rPr>
        <w:t xml:space="preserve">approach is used for the management of osteoporosis, where certain clinical risk factors </w:t>
      </w:r>
      <w:r w:rsidR="00EF0A28" w:rsidRPr="0068208C">
        <w:rPr>
          <w:rFonts w:cstheme="minorHAnsi"/>
          <w:bCs/>
          <w:sz w:val="24"/>
          <w:szCs w:val="24"/>
          <w:lang w:val="en-GB"/>
        </w:rPr>
        <w:t xml:space="preserve">(CRFs) </w:t>
      </w:r>
      <w:r w:rsidRPr="0068208C">
        <w:rPr>
          <w:rFonts w:cstheme="minorHAnsi"/>
          <w:bCs/>
          <w:sz w:val="24"/>
          <w:szCs w:val="24"/>
          <w:lang w:val="en-GB"/>
        </w:rPr>
        <w:t>for fracture suggest the possible diagnosis of osteoporosis</w:t>
      </w:r>
      <w:r w:rsidR="00B12B6F" w:rsidRPr="0068208C">
        <w:rPr>
          <w:rFonts w:cstheme="minorHAnsi"/>
          <w:bCs/>
          <w:sz w:val="24"/>
          <w:szCs w:val="24"/>
          <w:lang w:val="en-GB"/>
        </w:rPr>
        <w:t xml:space="preserve"> and trigger a more detailed asse</w:t>
      </w:r>
      <w:r w:rsidR="006647B3" w:rsidRPr="0068208C">
        <w:rPr>
          <w:rFonts w:cstheme="minorHAnsi"/>
          <w:bCs/>
          <w:sz w:val="24"/>
          <w:szCs w:val="24"/>
          <w:lang w:val="en-GB"/>
        </w:rPr>
        <w:t xml:space="preserve">ssment of the need for intervention.  Many </w:t>
      </w:r>
      <w:r w:rsidR="008004CC" w:rsidRPr="0068208C">
        <w:rPr>
          <w:rFonts w:cstheme="minorHAnsi"/>
          <w:bCs/>
          <w:sz w:val="24"/>
          <w:szCs w:val="24"/>
          <w:lang w:val="en-GB"/>
        </w:rPr>
        <w:t xml:space="preserve">assessment guidelines recommend that women with a </w:t>
      </w:r>
      <w:r w:rsidR="009D3335" w:rsidRPr="0068208C">
        <w:rPr>
          <w:rFonts w:cstheme="minorHAnsi"/>
          <w:bCs/>
          <w:sz w:val="24"/>
          <w:szCs w:val="24"/>
          <w:lang w:val="en-GB"/>
        </w:rPr>
        <w:t>p</w:t>
      </w:r>
      <w:r w:rsidR="008004CC" w:rsidRPr="0068208C">
        <w:rPr>
          <w:rFonts w:cstheme="minorHAnsi"/>
          <w:bCs/>
          <w:sz w:val="24"/>
          <w:szCs w:val="24"/>
          <w:lang w:val="en-GB"/>
        </w:rPr>
        <w:t>rior fractu</w:t>
      </w:r>
      <w:r w:rsidR="00894B83" w:rsidRPr="0068208C">
        <w:rPr>
          <w:rFonts w:cstheme="minorHAnsi"/>
          <w:bCs/>
          <w:sz w:val="24"/>
          <w:szCs w:val="24"/>
          <w:lang w:val="en-GB"/>
        </w:rPr>
        <w:t>re are eligible for treatment.  By the same to</w:t>
      </w:r>
      <w:r w:rsidR="00F71D08" w:rsidRPr="0068208C">
        <w:rPr>
          <w:rFonts w:cstheme="minorHAnsi"/>
          <w:bCs/>
          <w:sz w:val="24"/>
          <w:szCs w:val="24"/>
          <w:lang w:val="en-GB"/>
        </w:rPr>
        <w:t>ken, individuals with a fracture probability that is equivalent to or greater than that</w:t>
      </w:r>
      <w:r w:rsidR="009D3335" w:rsidRPr="0068208C">
        <w:rPr>
          <w:rFonts w:cstheme="minorHAnsi"/>
          <w:sz w:val="24"/>
          <w:szCs w:val="24"/>
        </w:rPr>
        <w:t xml:space="preserve"> o</w:t>
      </w:r>
      <w:r w:rsidR="007952CE" w:rsidRPr="0068208C">
        <w:rPr>
          <w:rFonts w:cstheme="minorHAnsi"/>
          <w:sz w:val="24"/>
          <w:szCs w:val="24"/>
        </w:rPr>
        <w:t xml:space="preserve">f </w:t>
      </w:r>
      <w:r w:rsidR="009D3335" w:rsidRPr="0068208C">
        <w:rPr>
          <w:rFonts w:cstheme="minorHAnsi"/>
          <w:bCs/>
          <w:sz w:val="24"/>
          <w:szCs w:val="24"/>
          <w:lang w:val="en-GB"/>
        </w:rPr>
        <w:t>women with a prior fracture</w:t>
      </w:r>
      <w:r w:rsidR="007952CE" w:rsidRPr="0068208C">
        <w:rPr>
          <w:rFonts w:cstheme="minorHAnsi"/>
          <w:bCs/>
          <w:sz w:val="24"/>
          <w:szCs w:val="24"/>
          <w:lang w:val="en-GB"/>
        </w:rPr>
        <w:t xml:space="preserve"> should also be eligible</w:t>
      </w:r>
      <w:r w:rsidRPr="0068208C">
        <w:rPr>
          <w:rFonts w:cstheme="minorHAnsi"/>
          <w:bCs/>
          <w:sz w:val="24"/>
          <w:szCs w:val="24"/>
          <w:lang w:val="en-GB"/>
        </w:rPr>
        <w:t xml:space="preserve">. </w:t>
      </w:r>
      <w:r w:rsidR="007952CE" w:rsidRPr="0068208C">
        <w:rPr>
          <w:rFonts w:cstheme="minorHAnsi"/>
          <w:bCs/>
          <w:sz w:val="24"/>
          <w:szCs w:val="24"/>
          <w:lang w:val="en-GB"/>
        </w:rPr>
        <w:t xml:space="preserve"> </w:t>
      </w:r>
      <w:r w:rsidR="000E6D6A" w:rsidRPr="0068208C">
        <w:rPr>
          <w:rFonts w:cstheme="minorHAnsi"/>
          <w:bCs/>
          <w:sz w:val="24"/>
          <w:szCs w:val="24"/>
          <w:lang w:val="en-GB"/>
        </w:rPr>
        <w:t>Age specific intervention threshol</w:t>
      </w:r>
      <w:r w:rsidR="00AC43FF" w:rsidRPr="0068208C">
        <w:rPr>
          <w:rFonts w:cstheme="minorHAnsi"/>
          <w:bCs/>
          <w:sz w:val="24"/>
          <w:szCs w:val="24"/>
          <w:lang w:val="en-GB"/>
        </w:rPr>
        <w:t>d</w:t>
      </w:r>
      <w:r w:rsidR="00FB7ED0" w:rsidRPr="0068208C">
        <w:rPr>
          <w:rFonts w:cstheme="minorHAnsi"/>
          <w:bCs/>
          <w:sz w:val="24"/>
          <w:szCs w:val="24"/>
          <w:lang w:val="en-GB"/>
        </w:rPr>
        <w:t xml:space="preserve">s have been widely used in Europe and South America </w:t>
      </w:r>
      <w:r w:rsidR="0048102D" w:rsidRPr="0068208C">
        <w:rPr>
          <w:rFonts w:cstheme="minorHAnsi"/>
          <w:bCs/>
          <w:sz w:val="24"/>
          <w:szCs w:val="24"/>
          <w:lang w:val="en-GB"/>
        </w:rPr>
        <w:t>[</w:t>
      </w:r>
      <w:r w:rsidR="00027B38" w:rsidRPr="0068208C">
        <w:rPr>
          <w:rFonts w:cstheme="minorHAnsi"/>
          <w:bCs/>
          <w:sz w:val="24"/>
          <w:szCs w:val="24"/>
          <w:lang w:val="en-GB"/>
        </w:rPr>
        <w:t>7</w:t>
      </w:r>
      <w:r w:rsidR="006932FE" w:rsidRPr="0068208C">
        <w:rPr>
          <w:rFonts w:cstheme="minorHAnsi"/>
          <w:bCs/>
          <w:sz w:val="24"/>
          <w:szCs w:val="24"/>
          <w:lang w:val="en-GB"/>
        </w:rPr>
        <w:t>].  If the same strategy were used in Bul</w:t>
      </w:r>
      <w:r w:rsidR="008F5705" w:rsidRPr="0068208C">
        <w:rPr>
          <w:rFonts w:cstheme="minorHAnsi"/>
          <w:bCs/>
          <w:sz w:val="24"/>
          <w:szCs w:val="24"/>
          <w:lang w:val="en-GB"/>
        </w:rPr>
        <w:t>garia, th</w:t>
      </w:r>
      <w:r w:rsidR="00AC43FF" w:rsidRPr="0068208C">
        <w:rPr>
          <w:rFonts w:cstheme="minorHAnsi"/>
          <w:bCs/>
          <w:sz w:val="24"/>
          <w:szCs w:val="24"/>
          <w:lang w:val="en-GB"/>
        </w:rPr>
        <w:t>e</w:t>
      </w:r>
      <w:r w:rsidR="008F5705" w:rsidRPr="0068208C">
        <w:rPr>
          <w:rFonts w:cstheme="minorHAnsi"/>
          <w:bCs/>
          <w:sz w:val="24"/>
          <w:szCs w:val="24"/>
          <w:lang w:val="en-GB"/>
        </w:rPr>
        <w:t xml:space="preserve"> intervention would be recommended i</w:t>
      </w:r>
      <w:r w:rsidR="0044589E" w:rsidRPr="0068208C">
        <w:rPr>
          <w:rFonts w:cstheme="minorHAnsi"/>
          <w:bCs/>
          <w:sz w:val="24"/>
          <w:szCs w:val="24"/>
          <w:lang w:val="en-GB"/>
        </w:rPr>
        <w:t xml:space="preserve">n individuals with a </w:t>
      </w:r>
      <w:r w:rsidR="006F039E" w:rsidRPr="0068208C">
        <w:rPr>
          <w:rFonts w:cstheme="minorHAnsi"/>
          <w:bCs/>
          <w:sz w:val="24"/>
          <w:szCs w:val="24"/>
          <w:lang w:val="en-GB"/>
        </w:rPr>
        <w:t xml:space="preserve">10- year </w:t>
      </w:r>
      <w:r w:rsidR="0044589E" w:rsidRPr="0068208C">
        <w:rPr>
          <w:rFonts w:cstheme="minorHAnsi"/>
          <w:bCs/>
          <w:sz w:val="24"/>
          <w:szCs w:val="24"/>
          <w:lang w:val="en-GB"/>
        </w:rPr>
        <w:t>probability</w:t>
      </w:r>
      <w:r w:rsidR="006F039E" w:rsidRPr="0068208C">
        <w:rPr>
          <w:rFonts w:cstheme="minorHAnsi"/>
          <w:bCs/>
          <w:sz w:val="24"/>
          <w:szCs w:val="24"/>
          <w:lang w:val="en-GB"/>
        </w:rPr>
        <w:t xml:space="preserve"> of a major osteoporotic fracture that ranged </w:t>
      </w:r>
      <w:r w:rsidR="00323A83" w:rsidRPr="0068208C">
        <w:rPr>
          <w:rFonts w:cstheme="minorHAnsi"/>
          <w:bCs/>
          <w:sz w:val="24"/>
          <w:szCs w:val="24"/>
          <w:lang w:val="en-GB"/>
        </w:rPr>
        <w:t>from 7</w:t>
      </w:r>
      <w:r w:rsidR="00AC43FF" w:rsidRPr="0068208C">
        <w:rPr>
          <w:rFonts w:cstheme="minorHAnsi"/>
          <w:bCs/>
          <w:sz w:val="24"/>
          <w:szCs w:val="24"/>
          <w:lang w:val="en-GB"/>
        </w:rPr>
        <w:t>.</w:t>
      </w:r>
      <w:r w:rsidR="00323A83" w:rsidRPr="0068208C">
        <w:rPr>
          <w:rFonts w:cstheme="minorHAnsi"/>
          <w:bCs/>
          <w:sz w:val="24"/>
          <w:szCs w:val="24"/>
          <w:lang w:val="en-GB"/>
        </w:rPr>
        <w:t>7% to 23%, depending on age (see</w:t>
      </w:r>
      <w:r w:rsidR="00744FBC" w:rsidRPr="0068208C">
        <w:rPr>
          <w:rFonts w:cstheme="minorHAnsi"/>
          <w:bCs/>
          <w:sz w:val="24"/>
          <w:szCs w:val="24"/>
          <w:lang w:val="en-GB"/>
        </w:rPr>
        <w:t xml:space="preserve"> Table 3).</w:t>
      </w:r>
      <w:r w:rsidR="0044589E" w:rsidRPr="0068208C">
        <w:rPr>
          <w:rFonts w:cstheme="minorHAnsi"/>
          <w:bCs/>
          <w:sz w:val="24"/>
          <w:szCs w:val="24"/>
          <w:lang w:val="en-GB"/>
        </w:rPr>
        <w:t xml:space="preserve"> </w:t>
      </w:r>
    </w:p>
    <w:p w14:paraId="51735E83" w14:textId="1D906BE5" w:rsidR="00E300F8" w:rsidRPr="0068208C" w:rsidRDefault="00E300F8" w:rsidP="00356648">
      <w:pPr>
        <w:spacing w:line="276" w:lineRule="auto"/>
        <w:ind w:left="567"/>
        <w:rPr>
          <w:rFonts w:cstheme="minorHAnsi"/>
          <w:bCs/>
          <w:sz w:val="24"/>
          <w:szCs w:val="24"/>
          <w:lang w:val="en-GB"/>
        </w:rPr>
      </w:pPr>
      <w:r w:rsidRPr="0068208C">
        <w:rPr>
          <w:rFonts w:cstheme="minorHAnsi"/>
          <w:bCs/>
          <w:sz w:val="24"/>
          <w:szCs w:val="24"/>
          <w:lang w:val="en-GB"/>
        </w:rPr>
        <w:t>There are a number of limitations to this study.</w:t>
      </w:r>
      <w:r w:rsidR="000066C9">
        <w:rPr>
          <w:rFonts w:cstheme="minorHAnsi"/>
          <w:bCs/>
          <w:sz w:val="24"/>
          <w:szCs w:val="24"/>
          <w:lang w:val="en-GB"/>
        </w:rPr>
        <w:t xml:space="preserve"> The accuracy of the register</w:t>
      </w:r>
      <w:r w:rsidR="00596307">
        <w:rPr>
          <w:rFonts w:cstheme="minorHAnsi"/>
          <w:bCs/>
          <w:sz w:val="24"/>
          <w:szCs w:val="24"/>
          <w:lang w:val="en-GB"/>
        </w:rPr>
        <w:t xml:space="preserve"> is not known.</w:t>
      </w:r>
      <w:r w:rsidRPr="0068208C">
        <w:rPr>
          <w:rFonts w:cstheme="minorHAnsi"/>
          <w:bCs/>
          <w:sz w:val="24"/>
          <w:szCs w:val="24"/>
          <w:lang w:val="en-GB"/>
        </w:rPr>
        <w:t xml:space="preserve"> With regard to fracture incidence, we examined </w:t>
      </w:r>
      <w:r w:rsidR="006F16A5" w:rsidRPr="0068208C">
        <w:rPr>
          <w:rFonts w:cstheme="minorHAnsi"/>
          <w:bCs/>
          <w:sz w:val="24"/>
          <w:szCs w:val="24"/>
          <w:lang w:val="en-GB"/>
        </w:rPr>
        <w:t>somewhat less than</w:t>
      </w:r>
      <w:r w:rsidRPr="0068208C">
        <w:rPr>
          <w:rFonts w:cstheme="minorHAnsi"/>
          <w:bCs/>
          <w:sz w:val="24"/>
          <w:szCs w:val="24"/>
          <w:lang w:val="en-GB"/>
        </w:rPr>
        <w:t xml:space="preserve"> 5% of the </w:t>
      </w:r>
      <w:r w:rsidR="00496BAA" w:rsidRPr="0068208C">
        <w:rPr>
          <w:rFonts w:cstheme="minorHAnsi"/>
          <w:bCs/>
          <w:sz w:val="24"/>
          <w:szCs w:val="24"/>
          <w:lang w:val="en-GB"/>
        </w:rPr>
        <w:t>Bulgarian</w:t>
      </w:r>
      <w:r w:rsidRPr="0068208C">
        <w:rPr>
          <w:rFonts w:cstheme="minorHAnsi"/>
          <w:bCs/>
          <w:sz w:val="24"/>
          <w:szCs w:val="24"/>
          <w:lang w:val="en-GB"/>
        </w:rPr>
        <w:t xml:space="preserve"> population. Therefore, the extrapolation of these regional estimations to the entire country is an assumption that we </w:t>
      </w:r>
      <w:r w:rsidRPr="004E4262">
        <w:rPr>
          <w:rFonts w:cstheme="minorHAnsi"/>
          <w:bCs/>
          <w:sz w:val="24"/>
          <w:szCs w:val="24"/>
          <w:lang w:val="en-GB"/>
        </w:rPr>
        <w:t xml:space="preserve">were unable to test.  </w:t>
      </w:r>
      <w:r w:rsidR="00141D7A" w:rsidRPr="004E4262">
        <w:rPr>
          <w:rFonts w:cstheme="minorHAnsi"/>
          <w:bCs/>
          <w:sz w:val="24"/>
          <w:szCs w:val="24"/>
          <w:lang w:val="en-GB"/>
        </w:rPr>
        <w:t>This would require</w:t>
      </w:r>
      <w:r w:rsidR="00803C0C" w:rsidRPr="004E4262">
        <w:rPr>
          <w:rFonts w:cstheme="minorHAnsi"/>
          <w:bCs/>
          <w:sz w:val="24"/>
          <w:szCs w:val="24"/>
          <w:lang w:val="en-GB"/>
        </w:rPr>
        <w:t xml:space="preserve"> </w:t>
      </w:r>
      <w:r w:rsidR="00F7467F" w:rsidRPr="004E4262">
        <w:rPr>
          <w:rFonts w:cstheme="minorHAnsi"/>
          <w:bCs/>
          <w:sz w:val="24"/>
          <w:szCs w:val="24"/>
          <w:lang w:val="en-GB"/>
        </w:rPr>
        <w:t xml:space="preserve">a </w:t>
      </w:r>
      <w:r w:rsidR="005A5242" w:rsidRPr="004E4262">
        <w:rPr>
          <w:rFonts w:cstheme="minorHAnsi"/>
          <w:bCs/>
          <w:sz w:val="24"/>
          <w:szCs w:val="24"/>
          <w:lang w:val="en-GB"/>
        </w:rPr>
        <w:t xml:space="preserve">national </w:t>
      </w:r>
      <w:r w:rsidR="00707C68" w:rsidRPr="004E4262">
        <w:rPr>
          <w:rFonts w:cstheme="minorHAnsi"/>
          <w:bCs/>
          <w:sz w:val="24"/>
          <w:szCs w:val="24"/>
          <w:lang w:val="en-GB"/>
        </w:rPr>
        <w:t>survey</w:t>
      </w:r>
      <w:r w:rsidR="00CC7ED9" w:rsidRPr="004E4262">
        <w:rPr>
          <w:rFonts w:cstheme="minorHAnsi"/>
          <w:bCs/>
          <w:sz w:val="24"/>
          <w:szCs w:val="24"/>
          <w:lang w:val="en-GB"/>
        </w:rPr>
        <w:t xml:space="preserve"> </w:t>
      </w:r>
      <w:r w:rsidR="007E2BB4" w:rsidRPr="004E4262">
        <w:rPr>
          <w:rFonts w:cstheme="minorHAnsi"/>
          <w:bCs/>
          <w:sz w:val="24"/>
          <w:szCs w:val="24"/>
          <w:lang w:val="en-GB"/>
        </w:rPr>
        <w:t>and its validity tested</w:t>
      </w:r>
      <w:r w:rsidR="005451B7" w:rsidRPr="004E4262">
        <w:rPr>
          <w:rFonts w:cstheme="minorHAnsi"/>
          <w:bCs/>
          <w:sz w:val="24"/>
          <w:szCs w:val="24"/>
          <w:lang w:val="en-GB"/>
        </w:rPr>
        <w:t xml:space="preserve"> in </w:t>
      </w:r>
      <w:r w:rsidR="00F7467F" w:rsidRPr="004E4262">
        <w:rPr>
          <w:rFonts w:cstheme="minorHAnsi"/>
          <w:bCs/>
          <w:sz w:val="24"/>
          <w:szCs w:val="24"/>
          <w:lang w:val="en-GB"/>
        </w:rPr>
        <w:t>prospective</w:t>
      </w:r>
      <w:r w:rsidR="00803C0C" w:rsidRPr="004E4262">
        <w:rPr>
          <w:rFonts w:cstheme="minorHAnsi"/>
          <w:bCs/>
          <w:sz w:val="24"/>
          <w:szCs w:val="24"/>
          <w:lang w:val="en-GB"/>
        </w:rPr>
        <w:t xml:space="preserve"> study</w:t>
      </w:r>
      <w:r w:rsidR="00FD6AE7" w:rsidRPr="004E4262">
        <w:rPr>
          <w:rFonts w:cstheme="minorHAnsi"/>
          <w:bCs/>
          <w:sz w:val="24"/>
          <w:szCs w:val="24"/>
          <w:lang w:val="en-GB"/>
        </w:rPr>
        <w:t xml:space="preserve"> of a population-based cohort</w:t>
      </w:r>
      <w:r w:rsidR="00693ED9" w:rsidRPr="004E4262">
        <w:rPr>
          <w:rFonts w:cstheme="minorHAnsi"/>
          <w:bCs/>
          <w:sz w:val="24"/>
          <w:szCs w:val="24"/>
          <w:lang w:val="en-GB"/>
        </w:rPr>
        <w:t>.</w:t>
      </w:r>
      <w:r w:rsidR="00693ED9">
        <w:rPr>
          <w:rFonts w:cstheme="minorHAnsi"/>
          <w:bCs/>
          <w:sz w:val="24"/>
          <w:szCs w:val="24"/>
          <w:lang w:val="en-GB"/>
        </w:rPr>
        <w:t xml:space="preserve"> </w:t>
      </w:r>
      <w:r w:rsidR="00C1125C" w:rsidRPr="0068208C">
        <w:rPr>
          <w:rFonts w:cstheme="minorHAnsi"/>
          <w:bCs/>
          <w:sz w:val="24"/>
          <w:szCs w:val="24"/>
          <w:lang w:val="en-GB"/>
        </w:rPr>
        <w:t xml:space="preserve">Moreover, </w:t>
      </w:r>
      <w:r w:rsidR="00E41415" w:rsidRPr="0068208C">
        <w:rPr>
          <w:rFonts w:cstheme="minorHAnsi"/>
          <w:bCs/>
          <w:sz w:val="24"/>
          <w:szCs w:val="24"/>
          <w:lang w:val="en-GB"/>
        </w:rPr>
        <w:t>a minority of the population w</w:t>
      </w:r>
      <w:r w:rsidR="00544FEF">
        <w:rPr>
          <w:rFonts w:cstheme="minorHAnsi"/>
          <w:bCs/>
          <w:sz w:val="24"/>
          <w:szCs w:val="24"/>
          <w:lang w:val="en-GB"/>
        </w:rPr>
        <w:t>as</w:t>
      </w:r>
      <w:r w:rsidR="00E41415" w:rsidRPr="0068208C">
        <w:rPr>
          <w:rFonts w:cstheme="minorHAnsi"/>
          <w:bCs/>
          <w:sz w:val="24"/>
          <w:szCs w:val="24"/>
          <w:lang w:val="en-GB"/>
        </w:rPr>
        <w:t xml:space="preserve"> not included in the</w:t>
      </w:r>
      <w:r w:rsidR="00C06245" w:rsidRPr="0068208C">
        <w:rPr>
          <w:rFonts w:cstheme="minorHAnsi"/>
          <w:sz w:val="24"/>
          <w:szCs w:val="24"/>
        </w:rPr>
        <w:t xml:space="preserve"> </w:t>
      </w:r>
      <w:r w:rsidR="00C06245" w:rsidRPr="0068208C">
        <w:rPr>
          <w:rFonts w:cstheme="minorHAnsi"/>
          <w:bCs/>
          <w:sz w:val="24"/>
          <w:szCs w:val="24"/>
          <w:lang w:val="en-GB"/>
        </w:rPr>
        <w:t xml:space="preserve">regional health insurance fund and </w:t>
      </w:r>
      <w:r w:rsidR="003832A3" w:rsidRPr="0068208C">
        <w:rPr>
          <w:rFonts w:cstheme="minorHAnsi"/>
          <w:bCs/>
          <w:sz w:val="24"/>
          <w:szCs w:val="24"/>
          <w:lang w:val="en-GB"/>
        </w:rPr>
        <w:t xml:space="preserve">an imbalance in health status may </w:t>
      </w:r>
      <w:r w:rsidR="00CF0F47" w:rsidRPr="0068208C">
        <w:rPr>
          <w:rFonts w:cstheme="minorHAnsi"/>
          <w:bCs/>
          <w:sz w:val="24"/>
          <w:szCs w:val="24"/>
          <w:lang w:val="en-GB"/>
        </w:rPr>
        <w:t>have skewed</w:t>
      </w:r>
      <w:r w:rsidR="00467238" w:rsidRPr="0068208C">
        <w:rPr>
          <w:rFonts w:cstheme="minorHAnsi"/>
          <w:bCs/>
          <w:sz w:val="24"/>
          <w:szCs w:val="24"/>
          <w:lang w:val="en-GB"/>
        </w:rPr>
        <w:t xml:space="preserve"> our estimates.</w:t>
      </w:r>
      <w:r w:rsidR="00CF0F47" w:rsidRPr="0068208C">
        <w:rPr>
          <w:rFonts w:cstheme="minorHAnsi"/>
          <w:bCs/>
          <w:sz w:val="24"/>
          <w:szCs w:val="24"/>
          <w:lang w:val="en-GB"/>
        </w:rPr>
        <w:t xml:space="preserve"> </w:t>
      </w:r>
      <w:r w:rsidRPr="0068208C">
        <w:rPr>
          <w:rFonts w:cstheme="minorHAnsi"/>
          <w:bCs/>
          <w:sz w:val="24"/>
          <w:szCs w:val="24"/>
          <w:lang w:val="en-GB"/>
        </w:rPr>
        <w:t>In addition to large variations in fracture rates around the world, fracture rates may vary within countries. In addition to ethnic-specific differences [</w:t>
      </w:r>
      <w:r w:rsidR="005E7E38" w:rsidRPr="0068208C">
        <w:rPr>
          <w:rFonts w:cstheme="minorHAnsi"/>
          <w:bCs/>
          <w:sz w:val="24"/>
          <w:szCs w:val="24"/>
          <w:lang w:val="en-GB"/>
        </w:rPr>
        <w:t>39</w:t>
      </w:r>
      <w:r w:rsidRPr="0068208C">
        <w:rPr>
          <w:rFonts w:cstheme="minorHAnsi"/>
          <w:bCs/>
          <w:sz w:val="24"/>
          <w:szCs w:val="24"/>
          <w:lang w:val="en-GB"/>
        </w:rPr>
        <w:t>], up to two-fold differences in hip fracture incidence have been reported using common methodology with the higher rates in urban communities including Croatia [</w:t>
      </w:r>
      <w:r w:rsidR="005E7E38" w:rsidRPr="0068208C">
        <w:rPr>
          <w:rFonts w:cstheme="minorHAnsi"/>
          <w:bCs/>
          <w:sz w:val="24"/>
          <w:szCs w:val="24"/>
          <w:lang w:val="en-GB"/>
        </w:rPr>
        <w:t>40</w:t>
      </w:r>
      <w:r w:rsidRPr="0068208C">
        <w:rPr>
          <w:rFonts w:cstheme="minorHAnsi"/>
          <w:bCs/>
          <w:sz w:val="24"/>
          <w:szCs w:val="24"/>
          <w:lang w:val="en-GB"/>
        </w:rPr>
        <w:t>], Switzerland [</w:t>
      </w:r>
      <w:r w:rsidR="00C76FCA" w:rsidRPr="0068208C">
        <w:rPr>
          <w:rFonts w:cstheme="minorHAnsi"/>
          <w:bCs/>
          <w:sz w:val="24"/>
          <w:szCs w:val="24"/>
          <w:lang w:val="en-GB"/>
        </w:rPr>
        <w:t>41</w:t>
      </w:r>
      <w:r w:rsidRPr="0068208C">
        <w:rPr>
          <w:rFonts w:cstheme="minorHAnsi"/>
          <w:bCs/>
          <w:sz w:val="24"/>
          <w:szCs w:val="24"/>
          <w:lang w:val="en-GB"/>
        </w:rPr>
        <w:t>], Norway [</w:t>
      </w:r>
      <w:r w:rsidR="00C76FCA" w:rsidRPr="0068208C">
        <w:rPr>
          <w:rFonts w:cstheme="minorHAnsi"/>
          <w:bCs/>
          <w:sz w:val="24"/>
          <w:szCs w:val="24"/>
          <w:lang w:val="en-GB"/>
        </w:rPr>
        <w:t>42</w:t>
      </w:r>
      <w:r w:rsidRPr="0068208C">
        <w:rPr>
          <w:rFonts w:cstheme="minorHAnsi"/>
          <w:bCs/>
          <w:sz w:val="24"/>
          <w:szCs w:val="24"/>
          <w:lang w:val="en-GB"/>
        </w:rPr>
        <w:t>], Argentina [</w:t>
      </w:r>
      <w:r w:rsidR="00C76FCA" w:rsidRPr="0068208C">
        <w:rPr>
          <w:rFonts w:cstheme="minorHAnsi"/>
          <w:bCs/>
          <w:sz w:val="24"/>
          <w:szCs w:val="24"/>
          <w:lang w:val="en-GB"/>
        </w:rPr>
        <w:t>43</w:t>
      </w:r>
      <w:r w:rsidRPr="0068208C">
        <w:rPr>
          <w:rFonts w:cstheme="minorHAnsi"/>
          <w:bCs/>
          <w:sz w:val="24"/>
          <w:szCs w:val="24"/>
          <w:lang w:val="en-GB"/>
        </w:rPr>
        <w:t>] and Turkey [</w:t>
      </w:r>
      <w:r w:rsidR="00C76FCA" w:rsidRPr="0068208C">
        <w:rPr>
          <w:rFonts w:cstheme="minorHAnsi"/>
          <w:bCs/>
          <w:sz w:val="24"/>
          <w:szCs w:val="24"/>
          <w:lang w:val="en-GB"/>
        </w:rPr>
        <w:t>44</w:t>
      </w:r>
      <w:r w:rsidRPr="0068208C">
        <w:rPr>
          <w:rFonts w:cstheme="minorHAnsi"/>
          <w:bCs/>
          <w:sz w:val="24"/>
          <w:szCs w:val="24"/>
          <w:lang w:val="en-GB"/>
        </w:rPr>
        <w:t xml:space="preserve">].  </w:t>
      </w:r>
    </w:p>
    <w:p w14:paraId="39707118" w14:textId="3BE0E2E4" w:rsidR="00C73996" w:rsidRPr="0068208C" w:rsidRDefault="00E300F8" w:rsidP="00356648">
      <w:pPr>
        <w:spacing w:line="276" w:lineRule="auto"/>
        <w:ind w:left="567"/>
        <w:rPr>
          <w:rFonts w:cstheme="minorHAnsi"/>
          <w:bCs/>
          <w:sz w:val="24"/>
          <w:szCs w:val="24"/>
          <w:lang w:val="en-GB"/>
        </w:rPr>
      </w:pPr>
      <w:r w:rsidRPr="0068208C">
        <w:rPr>
          <w:rFonts w:cstheme="minorHAnsi"/>
          <w:bCs/>
          <w:sz w:val="24"/>
          <w:szCs w:val="24"/>
          <w:lang w:val="en-GB"/>
        </w:rPr>
        <w:t xml:space="preserve">Despite the well-defined catchment population, it is possible that not all hip fractures were captured.  </w:t>
      </w:r>
      <w:r w:rsidR="00ED1481" w:rsidRPr="0068208C">
        <w:rPr>
          <w:rFonts w:cstheme="minorHAnsi"/>
          <w:bCs/>
          <w:sz w:val="24"/>
          <w:szCs w:val="24"/>
          <w:lang w:val="en-GB"/>
        </w:rPr>
        <w:t xml:space="preserve">Indeed, </w:t>
      </w:r>
      <w:r w:rsidR="007268EB" w:rsidRPr="0068208C">
        <w:rPr>
          <w:rFonts w:cstheme="minorHAnsi"/>
          <w:bCs/>
          <w:sz w:val="24"/>
          <w:szCs w:val="24"/>
          <w:lang w:val="en-GB"/>
        </w:rPr>
        <w:t xml:space="preserve">many patients in Eastern Europe are not hospitalized because facilities for surgical management are limited so that hospital admission is not </w:t>
      </w:r>
      <w:r w:rsidR="00850F26">
        <w:rPr>
          <w:rFonts w:cstheme="minorHAnsi"/>
          <w:bCs/>
          <w:sz w:val="24"/>
          <w:szCs w:val="24"/>
          <w:lang w:val="en-GB"/>
        </w:rPr>
        <w:t xml:space="preserve">always </w:t>
      </w:r>
      <w:r w:rsidR="007268EB" w:rsidRPr="0068208C">
        <w:rPr>
          <w:rFonts w:cstheme="minorHAnsi"/>
          <w:bCs/>
          <w:sz w:val="24"/>
          <w:szCs w:val="24"/>
          <w:lang w:val="en-GB"/>
        </w:rPr>
        <w:t>feasible.  In Belarus, for example, 29% cases of hip fracture did not come to hospital attention [</w:t>
      </w:r>
      <w:r w:rsidR="009B2A58" w:rsidRPr="0068208C">
        <w:rPr>
          <w:rFonts w:cstheme="minorHAnsi"/>
          <w:bCs/>
          <w:sz w:val="24"/>
          <w:szCs w:val="24"/>
          <w:lang w:val="en-GB"/>
        </w:rPr>
        <w:t>1</w:t>
      </w:r>
      <w:r w:rsidR="006C1C12" w:rsidRPr="0068208C">
        <w:rPr>
          <w:rFonts w:cstheme="minorHAnsi"/>
          <w:bCs/>
          <w:sz w:val="24"/>
          <w:szCs w:val="24"/>
          <w:lang w:val="en-GB"/>
        </w:rPr>
        <w:t>3</w:t>
      </w:r>
      <w:r w:rsidR="007268EB" w:rsidRPr="0068208C">
        <w:rPr>
          <w:rFonts w:cstheme="minorHAnsi"/>
          <w:bCs/>
          <w:sz w:val="24"/>
          <w:szCs w:val="24"/>
          <w:lang w:val="en-GB"/>
        </w:rPr>
        <w:t>].  High rates of non-admittance have been reported in Armenia (44%) [</w:t>
      </w:r>
      <w:r w:rsidR="006C1C12" w:rsidRPr="0068208C">
        <w:rPr>
          <w:rFonts w:cstheme="minorHAnsi"/>
          <w:bCs/>
          <w:sz w:val="24"/>
          <w:szCs w:val="24"/>
          <w:lang w:val="en-GB"/>
        </w:rPr>
        <w:t>11</w:t>
      </w:r>
      <w:r w:rsidR="007268EB" w:rsidRPr="0068208C">
        <w:rPr>
          <w:rFonts w:cstheme="minorHAnsi"/>
          <w:bCs/>
          <w:sz w:val="24"/>
          <w:szCs w:val="24"/>
          <w:lang w:val="en-GB"/>
        </w:rPr>
        <w:t>] Pervouralsk in Russia (27%) [</w:t>
      </w:r>
      <w:r w:rsidR="00EC66C7" w:rsidRPr="0068208C">
        <w:rPr>
          <w:rFonts w:cstheme="minorHAnsi"/>
          <w:bCs/>
          <w:sz w:val="24"/>
          <w:szCs w:val="24"/>
          <w:lang w:val="en-GB"/>
        </w:rPr>
        <w:t>12</w:t>
      </w:r>
      <w:r w:rsidR="007268EB" w:rsidRPr="0068208C">
        <w:rPr>
          <w:rFonts w:cstheme="minorHAnsi"/>
          <w:bCs/>
          <w:sz w:val="24"/>
          <w:szCs w:val="24"/>
          <w:lang w:val="en-GB"/>
        </w:rPr>
        <w:t xml:space="preserve">], Georgia (75%) and Kyrgyzstan (50%) </w:t>
      </w:r>
      <w:r w:rsidR="00250457" w:rsidRPr="0068208C">
        <w:rPr>
          <w:rFonts w:cstheme="minorHAnsi"/>
          <w:bCs/>
          <w:sz w:val="24"/>
          <w:szCs w:val="24"/>
          <w:lang w:val="en-GB"/>
        </w:rPr>
        <w:t>[</w:t>
      </w:r>
      <w:r w:rsidR="005B5FF9" w:rsidRPr="0068208C">
        <w:rPr>
          <w:rFonts w:cstheme="minorHAnsi"/>
          <w:bCs/>
          <w:sz w:val="24"/>
          <w:szCs w:val="24"/>
          <w:lang w:val="en-GB"/>
        </w:rPr>
        <w:t>45</w:t>
      </w:r>
      <w:r w:rsidR="007268EB" w:rsidRPr="0068208C">
        <w:rPr>
          <w:rFonts w:cstheme="minorHAnsi"/>
          <w:bCs/>
          <w:sz w:val="24"/>
          <w:szCs w:val="24"/>
          <w:lang w:val="en-GB"/>
        </w:rPr>
        <w:t>].</w:t>
      </w:r>
    </w:p>
    <w:p w14:paraId="51FDA985" w14:textId="39E650C5" w:rsidR="00E300F8" w:rsidRPr="0068208C" w:rsidRDefault="00E300F8" w:rsidP="00356648">
      <w:pPr>
        <w:spacing w:line="276" w:lineRule="auto"/>
        <w:ind w:left="567"/>
        <w:rPr>
          <w:rFonts w:cstheme="minorHAnsi"/>
          <w:bCs/>
          <w:sz w:val="24"/>
          <w:szCs w:val="24"/>
          <w:lang w:val="en-GB"/>
        </w:rPr>
      </w:pPr>
      <w:r w:rsidRPr="0068208C">
        <w:rPr>
          <w:rFonts w:cstheme="minorHAnsi"/>
          <w:bCs/>
          <w:sz w:val="24"/>
          <w:szCs w:val="24"/>
          <w:lang w:val="en-GB"/>
        </w:rPr>
        <w:t>It is relevant, however,  that, accuracy errors have little impact on the rank order with which the FRAX tool categorizes risk in a given population [</w:t>
      </w:r>
      <w:r w:rsidR="00A50E22" w:rsidRPr="0068208C">
        <w:rPr>
          <w:rFonts w:cstheme="minorHAnsi"/>
          <w:bCs/>
          <w:sz w:val="24"/>
          <w:szCs w:val="24"/>
          <w:lang w:val="en-GB"/>
        </w:rPr>
        <w:t>11</w:t>
      </w:r>
      <w:r w:rsidRPr="0068208C">
        <w:rPr>
          <w:rFonts w:cstheme="minorHAnsi"/>
          <w:bCs/>
          <w:sz w:val="24"/>
          <w:szCs w:val="24"/>
          <w:lang w:val="en-GB"/>
        </w:rPr>
        <w:t xml:space="preserve">, </w:t>
      </w:r>
      <w:r w:rsidR="005B5FF9" w:rsidRPr="0068208C">
        <w:rPr>
          <w:rFonts w:cstheme="minorHAnsi"/>
          <w:bCs/>
          <w:sz w:val="24"/>
          <w:szCs w:val="24"/>
          <w:lang w:val="en-GB"/>
        </w:rPr>
        <w:t>46</w:t>
      </w:r>
      <w:r w:rsidRPr="0068208C">
        <w:rPr>
          <w:rFonts w:cstheme="minorHAnsi"/>
          <w:bCs/>
          <w:sz w:val="24"/>
          <w:szCs w:val="24"/>
          <w:lang w:val="en-GB"/>
        </w:rPr>
        <w:t>] but they do change the absolute number generated and thus have implications where treatment guidelines are based on cost-effectiveness or the economic burden of disease.  In order to address these limitations, populations representative of the general population at risk would need to be studied prospectively, preferably over a 10-year time horizon.</w:t>
      </w:r>
    </w:p>
    <w:p w14:paraId="0B5D3CAB" w14:textId="52E6376B" w:rsidR="00E300F8" w:rsidRPr="0068208C" w:rsidRDefault="00E300F8" w:rsidP="00356648">
      <w:pPr>
        <w:spacing w:line="276" w:lineRule="auto"/>
        <w:ind w:left="567"/>
        <w:rPr>
          <w:rFonts w:cstheme="minorHAnsi"/>
          <w:bCs/>
          <w:sz w:val="24"/>
          <w:szCs w:val="24"/>
          <w:lang w:val="en-GB"/>
        </w:rPr>
      </w:pPr>
      <w:r w:rsidRPr="0068208C">
        <w:rPr>
          <w:rFonts w:cstheme="minorHAnsi"/>
          <w:bCs/>
          <w:sz w:val="24"/>
          <w:szCs w:val="24"/>
          <w:lang w:val="en-GB"/>
        </w:rPr>
        <w:t xml:space="preserve">In summary, a FRAX model has been created for </w:t>
      </w:r>
      <w:r w:rsidR="00D045A1" w:rsidRPr="0068208C">
        <w:rPr>
          <w:rFonts w:cstheme="minorHAnsi"/>
          <w:bCs/>
          <w:sz w:val="24"/>
          <w:szCs w:val="24"/>
          <w:lang w:val="en-GB"/>
        </w:rPr>
        <w:t>Bulgaria</w:t>
      </w:r>
      <w:r w:rsidRPr="0068208C">
        <w:rPr>
          <w:rFonts w:cstheme="minorHAnsi"/>
          <w:bCs/>
          <w:sz w:val="24"/>
          <w:szCs w:val="24"/>
          <w:lang w:val="en-GB"/>
        </w:rPr>
        <w:t xml:space="preserve"> based on a regional population-based estimates of the incidence of low energy hip fractures. The model should enhance accuracy of determining fracture probability among the </w:t>
      </w:r>
      <w:r w:rsidR="00D045A1" w:rsidRPr="0068208C">
        <w:rPr>
          <w:rFonts w:cstheme="minorHAnsi"/>
          <w:bCs/>
          <w:sz w:val="24"/>
          <w:szCs w:val="24"/>
          <w:lang w:val="en-GB"/>
        </w:rPr>
        <w:t>Bulgarian</w:t>
      </w:r>
      <w:r w:rsidRPr="0068208C">
        <w:rPr>
          <w:rFonts w:cstheme="minorHAnsi"/>
          <w:bCs/>
          <w:sz w:val="24"/>
          <w:szCs w:val="24"/>
          <w:lang w:val="en-GB"/>
        </w:rPr>
        <w:t xml:space="preserve"> population and help to guide decisions about treatment. </w:t>
      </w:r>
    </w:p>
    <w:p w14:paraId="5446DF2A" w14:textId="1AFC0ADA" w:rsidR="00EA6E76" w:rsidRPr="0068208C" w:rsidRDefault="00D7621E" w:rsidP="00356648">
      <w:pPr>
        <w:spacing w:line="276" w:lineRule="auto"/>
        <w:ind w:left="567"/>
        <w:rPr>
          <w:rFonts w:cstheme="minorHAnsi"/>
          <w:b/>
          <w:sz w:val="24"/>
          <w:szCs w:val="24"/>
          <w:lang w:val="en-GB"/>
        </w:rPr>
      </w:pPr>
      <w:r w:rsidRPr="0068208C">
        <w:rPr>
          <w:rFonts w:cstheme="minorHAnsi"/>
          <w:b/>
          <w:sz w:val="24"/>
          <w:szCs w:val="24"/>
          <w:lang w:val="en-GB"/>
        </w:rPr>
        <w:t>Competing Interests</w:t>
      </w:r>
    </w:p>
    <w:bookmarkEnd w:id="14"/>
    <w:bookmarkEnd w:id="15"/>
    <w:p w14:paraId="143FE441" w14:textId="4EBE5704" w:rsidR="00CA2B38" w:rsidRDefault="004F5855" w:rsidP="004D1D7C">
      <w:pPr>
        <w:spacing w:line="276" w:lineRule="auto"/>
        <w:ind w:left="567"/>
        <w:rPr>
          <w:rFonts w:cstheme="minorHAnsi"/>
          <w:bCs/>
        </w:rPr>
      </w:pPr>
      <w:r w:rsidRPr="00CB694E">
        <w:rPr>
          <w:rFonts w:cstheme="minorHAnsi"/>
          <w:bCs/>
          <w:lang w:val="en-GB"/>
        </w:rPr>
        <w:t xml:space="preserve">E Kirilova, </w:t>
      </w:r>
      <w:r w:rsidR="00CB694E" w:rsidRPr="00CB694E">
        <w:rPr>
          <w:rFonts w:cstheme="minorHAnsi"/>
          <w:bCs/>
          <w:lang w:val="en-GB"/>
        </w:rPr>
        <w:t xml:space="preserve">H Johansson, </w:t>
      </w:r>
      <w:r w:rsidRPr="00CB694E">
        <w:rPr>
          <w:rFonts w:cstheme="minorHAnsi"/>
          <w:bCs/>
          <w:lang w:val="en-GB"/>
        </w:rPr>
        <w:t>N Kirilov, S Vladeva,T Petranova</w:t>
      </w:r>
      <w:r w:rsidR="00251682">
        <w:rPr>
          <w:rFonts w:cstheme="minorHAnsi"/>
          <w:bCs/>
          <w:lang w:val="en-GB"/>
        </w:rPr>
        <w:t>, E</w:t>
      </w:r>
      <w:r w:rsidR="00704F55">
        <w:rPr>
          <w:rFonts w:cstheme="minorHAnsi"/>
          <w:bCs/>
          <w:lang w:val="en-GB"/>
        </w:rPr>
        <w:t xml:space="preserve"> Liu</w:t>
      </w:r>
      <w:r w:rsidRPr="00CB694E">
        <w:rPr>
          <w:rFonts w:cstheme="minorHAnsi"/>
          <w:bCs/>
          <w:lang w:val="en-GB"/>
        </w:rPr>
        <w:t xml:space="preserve"> </w:t>
      </w:r>
      <w:r w:rsidR="00433398">
        <w:rPr>
          <w:rFonts w:cstheme="minorHAnsi"/>
          <w:bCs/>
          <w:lang w:val="en-GB"/>
        </w:rPr>
        <w:t>L Vanderput</w:t>
      </w:r>
      <w:r w:rsidR="00D57A4E">
        <w:rPr>
          <w:rFonts w:cstheme="minorHAnsi"/>
          <w:bCs/>
          <w:lang w:val="en-GB"/>
        </w:rPr>
        <w:t xml:space="preserve"> </w:t>
      </w:r>
      <w:r w:rsidRPr="00CB694E">
        <w:rPr>
          <w:rFonts w:cstheme="minorHAnsi"/>
          <w:bCs/>
          <w:lang w:val="en-GB"/>
        </w:rPr>
        <w:t>and Z Kolarov declare that they have no competing interests.</w:t>
      </w:r>
      <w:r w:rsidR="004D1D7C" w:rsidRPr="00CB694E">
        <w:rPr>
          <w:rFonts w:cstheme="minorHAnsi"/>
          <w:bCs/>
        </w:rPr>
        <w:t xml:space="preserve"> </w:t>
      </w:r>
    </w:p>
    <w:p w14:paraId="2F9E615C" w14:textId="10DCA763" w:rsidR="002C1BC8" w:rsidRPr="00CB694E" w:rsidRDefault="002C1BC8" w:rsidP="004D1D7C">
      <w:pPr>
        <w:spacing w:line="276" w:lineRule="auto"/>
        <w:ind w:left="567"/>
        <w:rPr>
          <w:rFonts w:cstheme="minorHAnsi"/>
          <w:bCs/>
        </w:rPr>
      </w:pPr>
      <w:r w:rsidRPr="002C1BC8">
        <w:rPr>
          <w:rFonts w:cstheme="minorHAnsi"/>
          <w:bCs/>
        </w:rPr>
        <w:t>M</w:t>
      </w:r>
      <w:r w:rsidR="000104DA">
        <w:rPr>
          <w:rFonts w:cstheme="minorHAnsi"/>
          <w:bCs/>
        </w:rPr>
        <w:t xml:space="preserve"> </w:t>
      </w:r>
      <w:r w:rsidRPr="002C1BC8">
        <w:rPr>
          <w:rFonts w:cstheme="minorHAnsi"/>
          <w:bCs/>
        </w:rPr>
        <w:t>L</w:t>
      </w:r>
      <w:r w:rsidR="000104DA">
        <w:rPr>
          <w:rFonts w:cstheme="minorHAnsi"/>
          <w:bCs/>
        </w:rPr>
        <w:t>orentzon</w:t>
      </w:r>
      <w:r w:rsidR="006137D8">
        <w:rPr>
          <w:rFonts w:cstheme="minorHAnsi"/>
          <w:bCs/>
        </w:rPr>
        <w:t xml:space="preserve"> </w:t>
      </w:r>
      <w:r w:rsidRPr="002C1BC8">
        <w:rPr>
          <w:rFonts w:cstheme="minorHAnsi"/>
          <w:bCs/>
        </w:rPr>
        <w:t>has received lecture or consulting fees from Amgen, Lilly, UCB Pharma, Radius Health, Renapharma, Meda, GE-Lunar, Consilient Health and Tromp Medical.</w:t>
      </w:r>
    </w:p>
    <w:p w14:paraId="4A35819F" w14:textId="2C111963" w:rsidR="004D1D7C" w:rsidRDefault="004D1D7C" w:rsidP="004D1D7C">
      <w:pPr>
        <w:spacing w:line="276" w:lineRule="auto"/>
        <w:ind w:left="567"/>
        <w:rPr>
          <w:rFonts w:cstheme="minorHAnsi"/>
          <w:bCs/>
        </w:rPr>
      </w:pPr>
      <w:r w:rsidRPr="004943F6">
        <w:rPr>
          <w:rFonts w:cstheme="minorHAnsi"/>
          <w:bCs/>
        </w:rPr>
        <w:t>NC</w:t>
      </w:r>
      <w:r w:rsidR="00B55E20">
        <w:rPr>
          <w:rFonts w:cstheme="minorHAnsi"/>
          <w:bCs/>
        </w:rPr>
        <w:t xml:space="preserve"> </w:t>
      </w:r>
      <w:r w:rsidRPr="004943F6">
        <w:rPr>
          <w:rFonts w:cstheme="minorHAnsi"/>
          <w:bCs/>
        </w:rPr>
        <w:t>H</w:t>
      </w:r>
      <w:r w:rsidR="004F5F53">
        <w:rPr>
          <w:rFonts w:cstheme="minorHAnsi"/>
          <w:bCs/>
        </w:rPr>
        <w:t>arvey</w:t>
      </w:r>
      <w:r w:rsidRPr="004943F6">
        <w:rPr>
          <w:rFonts w:cstheme="minorHAnsi"/>
          <w:bCs/>
        </w:rPr>
        <w:t xml:space="preserve"> reports personal fees, consultancy, lecture fees and honoraria from Alliance for Better Bone Health, AMGEN, MSD, Eli Lilly, Servier, Shire, UCB, Kyowa Kirin, Consilient Healthcare, Radius Health and Internis Pharma, outside the submitted work.</w:t>
      </w:r>
    </w:p>
    <w:p w14:paraId="7624C1E2" w14:textId="33F972EB" w:rsidR="00CA2B38" w:rsidRDefault="00CA2B38" w:rsidP="004D1D7C">
      <w:pPr>
        <w:spacing w:line="276" w:lineRule="auto"/>
        <w:ind w:left="567"/>
        <w:rPr>
          <w:rFonts w:cstheme="minorHAnsi"/>
          <w:bCs/>
        </w:rPr>
      </w:pPr>
      <w:bookmarkStart w:id="19" w:name="_Hlk23374946"/>
      <w:r w:rsidRPr="00CA2B38">
        <w:rPr>
          <w:rFonts w:cstheme="minorHAnsi"/>
          <w:bCs/>
        </w:rPr>
        <w:t>EV</w:t>
      </w:r>
      <w:r w:rsidR="00B55E20">
        <w:rPr>
          <w:rFonts w:cstheme="minorHAnsi"/>
          <w:bCs/>
        </w:rPr>
        <w:t xml:space="preserve"> </w:t>
      </w:r>
      <w:r w:rsidRPr="00CA2B38">
        <w:rPr>
          <w:rFonts w:cstheme="minorHAnsi"/>
          <w:bCs/>
        </w:rPr>
        <w:t>M</w:t>
      </w:r>
      <w:r w:rsidR="00DA6B13">
        <w:rPr>
          <w:rFonts w:cstheme="minorHAnsi"/>
          <w:bCs/>
        </w:rPr>
        <w:t>cCloskey</w:t>
      </w:r>
      <w:r w:rsidRPr="00CA2B38">
        <w:rPr>
          <w:rFonts w:cstheme="minorHAnsi"/>
          <w:bCs/>
        </w:rPr>
        <w:t xml:space="preserve"> reports personal fees, consultancy, lecture fees, research support and/or honoraria from Amgen, AstraZeneca, Consilient Healthcare, Fresenius Kabi, GSK, Hologic, Internis, Lilly, Merck, Novartis, Pfizer, Roche, Sanofi-Aventis, Servier, Synexus, UCB, Warner Chilcott outside the submitted work.</w:t>
      </w:r>
      <w:bookmarkEnd w:id="19"/>
      <w:r w:rsidRPr="00CA2B38">
        <w:rPr>
          <w:rFonts w:cstheme="minorHAnsi"/>
          <w:bCs/>
        </w:rPr>
        <w:t xml:space="preserve">  He also reports research support from Versus Arthritis, I3 Innovus, MRC and IOF, outside the submitted work.</w:t>
      </w:r>
    </w:p>
    <w:p w14:paraId="4A960D22" w14:textId="360419FE" w:rsidR="00142C73" w:rsidRPr="004943F6" w:rsidRDefault="00142C73" w:rsidP="004D1D7C">
      <w:pPr>
        <w:spacing w:line="276" w:lineRule="auto"/>
        <w:ind w:left="567"/>
        <w:rPr>
          <w:rFonts w:cstheme="minorHAnsi"/>
          <w:bCs/>
        </w:rPr>
      </w:pPr>
      <w:r>
        <w:rPr>
          <w:rFonts w:cstheme="minorHAnsi"/>
          <w:bCs/>
        </w:rPr>
        <w:t xml:space="preserve">JA Kanis </w:t>
      </w:r>
      <w:r w:rsidRPr="00142C73">
        <w:rPr>
          <w:rFonts w:cstheme="minorHAnsi"/>
          <w:bCs/>
        </w:rPr>
        <w:t xml:space="preserve">reports </w:t>
      </w:r>
      <w:r>
        <w:rPr>
          <w:rFonts w:cstheme="minorHAnsi"/>
          <w:bCs/>
        </w:rPr>
        <w:t>grant support</w:t>
      </w:r>
      <w:r w:rsidRPr="00142C73">
        <w:rPr>
          <w:rFonts w:cstheme="minorHAnsi"/>
          <w:bCs/>
        </w:rPr>
        <w:t xml:space="preserve"> from Amgen, </w:t>
      </w:r>
      <w:r>
        <w:rPr>
          <w:rFonts w:cstheme="minorHAnsi"/>
          <w:bCs/>
        </w:rPr>
        <w:t>Li</w:t>
      </w:r>
      <w:r w:rsidR="00B52B10">
        <w:rPr>
          <w:rFonts w:cstheme="minorHAnsi"/>
          <w:bCs/>
        </w:rPr>
        <w:t>lly</w:t>
      </w:r>
      <w:r w:rsidR="00DA6B13">
        <w:rPr>
          <w:rFonts w:cstheme="minorHAnsi"/>
          <w:bCs/>
        </w:rPr>
        <w:t xml:space="preserve"> and R</w:t>
      </w:r>
      <w:r w:rsidR="00D27BB2">
        <w:rPr>
          <w:rFonts w:cstheme="minorHAnsi"/>
          <w:bCs/>
        </w:rPr>
        <w:t>adius Health</w:t>
      </w:r>
      <w:r w:rsidRPr="00142C73">
        <w:rPr>
          <w:rFonts w:cstheme="minorHAnsi"/>
          <w:bCs/>
        </w:rPr>
        <w:t>.</w:t>
      </w:r>
    </w:p>
    <w:p w14:paraId="61264DB7" w14:textId="77777777" w:rsidR="004F5855" w:rsidRPr="004F5855" w:rsidRDefault="004F5855" w:rsidP="001A0941">
      <w:pPr>
        <w:pStyle w:val="Heading1"/>
        <w:shd w:val="clear" w:color="auto" w:fill="FFFFFF"/>
        <w:spacing w:before="120" w:beforeAutospacing="0" w:after="120" w:afterAutospacing="0" w:line="300" w:lineRule="atLeast"/>
        <w:ind w:left="567"/>
        <w:rPr>
          <w:rFonts w:asciiTheme="minorHAnsi" w:eastAsiaTheme="minorHAnsi" w:hAnsiTheme="minorHAnsi" w:cstheme="minorHAnsi"/>
          <w:b w:val="0"/>
          <w:kern w:val="0"/>
          <w:sz w:val="22"/>
          <w:szCs w:val="22"/>
          <w:lang w:val="en-GB"/>
        </w:rPr>
      </w:pPr>
    </w:p>
    <w:p w14:paraId="6D8629E6" w14:textId="7332063D" w:rsidR="00DD415D" w:rsidRPr="0068208C" w:rsidRDefault="00DD415D" w:rsidP="001A0941">
      <w:pPr>
        <w:pStyle w:val="Heading1"/>
        <w:shd w:val="clear" w:color="auto" w:fill="FFFFFF"/>
        <w:spacing w:before="120" w:beforeAutospacing="0" w:after="120" w:afterAutospacing="0" w:line="300" w:lineRule="atLeast"/>
        <w:ind w:left="567"/>
        <w:rPr>
          <w:rFonts w:asciiTheme="minorHAnsi" w:hAnsiTheme="minorHAnsi" w:cstheme="minorHAnsi"/>
          <w:sz w:val="32"/>
          <w:szCs w:val="32"/>
          <w:lang w:val="en-GB"/>
        </w:rPr>
      </w:pPr>
      <w:r w:rsidRPr="0068208C">
        <w:rPr>
          <w:rFonts w:asciiTheme="minorHAnsi" w:hAnsiTheme="minorHAnsi" w:cstheme="minorHAnsi"/>
          <w:sz w:val="32"/>
          <w:szCs w:val="32"/>
          <w:lang w:val="en-GB"/>
        </w:rPr>
        <w:t>References</w:t>
      </w:r>
      <w:r w:rsidR="00D72E63" w:rsidRPr="0068208C">
        <w:rPr>
          <w:rFonts w:asciiTheme="minorHAnsi" w:hAnsiTheme="minorHAnsi" w:cstheme="minorHAnsi"/>
          <w:sz w:val="32"/>
          <w:szCs w:val="32"/>
          <w:lang w:val="en-GB"/>
        </w:rPr>
        <w:t xml:space="preserve"> </w:t>
      </w:r>
    </w:p>
    <w:p w14:paraId="04C149FF" w14:textId="06406B98" w:rsidR="001F3D48" w:rsidRDefault="001F3D48" w:rsidP="001A0941">
      <w:pPr>
        <w:pStyle w:val="Heading1"/>
        <w:shd w:val="clear" w:color="auto" w:fill="FFFFFF"/>
        <w:spacing w:before="120" w:beforeAutospacing="0" w:after="120" w:afterAutospacing="0" w:line="300" w:lineRule="atLeast"/>
        <w:ind w:left="567"/>
        <w:rPr>
          <w:rFonts w:ascii="Arial" w:hAnsi="Arial" w:cs="Arial"/>
          <w:sz w:val="22"/>
          <w:szCs w:val="22"/>
          <w:lang w:val="en-GB"/>
        </w:rPr>
      </w:pPr>
    </w:p>
    <w:tbl>
      <w:tblPr>
        <w:tblStyle w:val="TableGrid"/>
        <w:tblW w:w="8783"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
        <w:gridCol w:w="8245"/>
      </w:tblGrid>
      <w:tr w:rsidR="004215C3" w:rsidRPr="00066D52" w14:paraId="4678A1D0" w14:textId="77777777" w:rsidTr="00C70D59">
        <w:tc>
          <w:tcPr>
            <w:tcW w:w="538" w:type="dxa"/>
          </w:tcPr>
          <w:p w14:paraId="3CBA49C0" w14:textId="6A050323" w:rsidR="004215C3" w:rsidRPr="00066D52" w:rsidRDefault="004215C3" w:rsidP="004215C3">
            <w:pPr>
              <w:pStyle w:val="Heading1"/>
              <w:spacing w:before="0" w:beforeAutospacing="0" w:after="120" w:afterAutospacing="0"/>
              <w:jc w:val="right"/>
              <w:outlineLvl w:val="0"/>
              <w:rPr>
                <w:rFonts w:asciiTheme="minorHAnsi" w:hAnsiTheme="minorHAnsi" w:cstheme="minorHAnsi"/>
                <w:b w:val="0"/>
                <w:bCs w:val="0"/>
                <w:sz w:val="20"/>
                <w:szCs w:val="20"/>
                <w:lang w:val="en-GB"/>
              </w:rPr>
            </w:pPr>
            <w:r w:rsidRPr="00066D52">
              <w:rPr>
                <w:rFonts w:asciiTheme="minorHAnsi" w:hAnsiTheme="minorHAnsi" w:cstheme="minorHAnsi"/>
                <w:b w:val="0"/>
                <w:bCs w:val="0"/>
                <w:sz w:val="20"/>
                <w:szCs w:val="20"/>
                <w:lang w:val="en-GB"/>
              </w:rPr>
              <w:t>1.</w:t>
            </w:r>
          </w:p>
        </w:tc>
        <w:tc>
          <w:tcPr>
            <w:tcW w:w="8245" w:type="dxa"/>
          </w:tcPr>
          <w:p w14:paraId="55B972DE" w14:textId="77777777" w:rsidR="004215C3" w:rsidRPr="00066D52" w:rsidRDefault="004215C3" w:rsidP="007E40C7">
            <w:pPr>
              <w:pStyle w:val="Heading1"/>
              <w:spacing w:before="0" w:beforeAutospacing="0" w:after="120" w:afterAutospacing="0"/>
              <w:outlineLvl w:val="0"/>
              <w:rPr>
                <w:rFonts w:asciiTheme="minorHAnsi" w:hAnsiTheme="minorHAnsi" w:cstheme="minorHAnsi"/>
                <w:b w:val="0"/>
                <w:bCs w:val="0"/>
                <w:sz w:val="20"/>
                <w:szCs w:val="20"/>
                <w:lang w:val="en-GB"/>
              </w:rPr>
            </w:pPr>
            <w:r w:rsidRPr="00066D52">
              <w:rPr>
                <w:rFonts w:asciiTheme="minorHAnsi" w:eastAsia="Calibri" w:hAnsiTheme="minorHAnsi" w:cstheme="minorHAnsi"/>
                <w:b w:val="0"/>
                <w:bCs w:val="0"/>
                <w:sz w:val="20"/>
                <w:szCs w:val="20"/>
              </w:rPr>
              <w:t>Hernlund E, Svedbom A, Ivergård M Compston J, Cooper C, Stenmark J, McCloskey EV, Jönsson B, Kanis JA (2013) Osteoporosis in the European Union: Medical Management, Epidemiology and Economic Burden. A report prepared in collaboration with the International Osteoporosis Foundation (IOF) and the European Federation of Pharmaceutical Industry Associations (EFPIA). Archives of Osteoporosis 8:136.</w:t>
            </w:r>
          </w:p>
        </w:tc>
      </w:tr>
      <w:tr w:rsidR="004215C3" w:rsidRPr="00066D52" w14:paraId="6E226277" w14:textId="77777777" w:rsidTr="00C70D59">
        <w:tc>
          <w:tcPr>
            <w:tcW w:w="538" w:type="dxa"/>
          </w:tcPr>
          <w:p w14:paraId="1CE4895F" w14:textId="5D564C7A" w:rsidR="004215C3" w:rsidRPr="00066D52" w:rsidRDefault="004215C3" w:rsidP="004215C3">
            <w:pPr>
              <w:pStyle w:val="Heading1"/>
              <w:spacing w:before="0" w:beforeAutospacing="0" w:after="120" w:afterAutospacing="0"/>
              <w:jc w:val="right"/>
              <w:outlineLvl w:val="0"/>
              <w:rPr>
                <w:rFonts w:asciiTheme="minorHAnsi" w:hAnsiTheme="minorHAnsi" w:cstheme="minorHAnsi"/>
                <w:b w:val="0"/>
                <w:bCs w:val="0"/>
                <w:sz w:val="20"/>
                <w:szCs w:val="20"/>
                <w:lang w:val="en-GB"/>
              </w:rPr>
            </w:pPr>
            <w:r w:rsidRPr="00066D52">
              <w:rPr>
                <w:rFonts w:asciiTheme="minorHAnsi" w:hAnsiTheme="minorHAnsi" w:cstheme="minorHAnsi"/>
                <w:b w:val="0"/>
                <w:bCs w:val="0"/>
                <w:sz w:val="20"/>
                <w:szCs w:val="20"/>
                <w:lang w:val="en-GB"/>
              </w:rPr>
              <w:t>2.</w:t>
            </w:r>
          </w:p>
        </w:tc>
        <w:tc>
          <w:tcPr>
            <w:tcW w:w="8245" w:type="dxa"/>
          </w:tcPr>
          <w:p w14:paraId="16F27294" w14:textId="77777777" w:rsidR="004215C3" w:rsidRPr="00066D52" w:rsidRDefault="004215C3" w:rsidP="007E40C7">
            <w:pPr>
              <w:pStyle w:val="Heading1"/>
              <w:spacing w:before="0" w:beforeAutospacing="0" w:after="120" w:afterAutospacing="0"/>
              <w:outlineLvl w:val="0"/>
              <w:rPr>
                <w:rFonts w:asciiTheme="minorHAnsi" w:hAnsiTheme="minorHAnsi" w:cstheme="minorHAnsi"/>
                <w:b w:val="0"/>
                <w:bCs w:val="0"/>
                <w:sz w:val="20"/>
                <w:szCs w:val="20"/>
                <w:lang w:val="en-GB"/>
              </w:rPr>
            </w:pPr>
            <w:r w:rsidRPr="00066D52">
              <w:rPr>
                <w:rFonts w:asciiTheme="minorHAnsi" w:eastAsia="Calibri" w:hAnsiTheme="minorHAnsi" w:cstheme="minorHAnsi"/>
                <w:b w:val="0"/>
                <w:bCs w:val="0"/>
                <w:sz w:val="20"/>
                <w:szCs w:val="20"/>
              </w:rPr>
              <w:t>Johnell O and Kanis JA (2006) An estimate of the worldwide prevalence and disability associated with osteoporotic fractures. Osteoporos Int 17:1726-33.</w:t>
            </w:r>
          </w:p>
        </w:tc>
      </w:tr>
      <w:tr w:rsidR="004215C3" w:rsidRPr="00066D52" w14:paraId="341E7AB5" w14:textId="77777777" w:rsidTr="00C70D59">
        <w:tc>
          <w:tcPr>
            <w:tcW w:w="538" w:type="dxa"/>
          </w:tcPr>
          <w:p w14:paraId="3828731B" w14:textId="52C0BA56" w:rsidR="004215C3" w:rsidRPr="00066D52" w:rsidRDefault="004215C3" w:rsidP="004215C3">
            <w:pPr>
              <w:pStyle w:val="Heading1"/>
              <w:spacing w:before="0" w:beforeAutospacing="0" w:after="120" w:afterAutospacing="0"/>
              <w:jc w:val="right"/>
              <w:outlineLvl w:val="0"/>
              <w:rPr>
                <w:rFonts w:asciiTheme="minorHAnsi" w:hAnsiTheme="minorHAnsi" w:cstheme="minorHAnsi"/>
                <w:b w:val="0"/>
                <w:bCs w:val="0"/>
                <w:sz w:val="20"/>
                <w:szCs w:val="20"/>
                <w:lang w:val="en-GB"/>
              </w:rPr>
            </w:pPr>
            <w:r w:rsidRPr="00066D52">
              <w:rPr>
                <w:rFonts w:asciiTheme="minorHAnsi" w:hAnsiTheme="minorHAnsi" w:cstheme="minorHAnsi"/>
                <w:b w:val="0"/>
                <w:bCs w:val="0"/>
                <w:sz w:val="20"/>
                <w:szCs w:val="20"/>
                <w:lang w:val="en-GB"/>
              </w:rPr>
              <w:t>3.</w:t>
            </w:r>
          </w:p>
        </w:tc>
        <w:tc>
          <w:tcPr>
            <w:tcW w:w="8245" w:type="dxa"/>
          </w:tcPr>
          <w:p w14:paraId="322442AB" w14:textId="77777777" w:rsidR="004215C3" w:rsidRPr="00066D52" w:rsidRDefault="004215C3" w:rsidP="007E40C7">
            <w:pPr>
              <w:pStyle w:val="Heading1"/>
              <w:spacing w:before="0" w:beforeAutospacing="0" w:after="120" w:afterAutospacing="0"/>
              <w:outlineLvl w:val="0"/>
              <w:rPr>
                <w:rFonts w:asciiTheme="minorHAnsi" w:hAnsiTheme="minorHAnsi" w:cstheme="minorHAnsi"/>
                <w:b w:val="0"/>
                <w:bCs w:val="0"/>
                <w:sz w:val="20"/>
                <w:szCs w:val="20"/>
                <w:lang w:val="en-GB"/>
              </w:rPr>
            </w:pPr>
            <w:r w:rsidRPr="00066D52">
              <w:rPr>
                <w:rFonts w:asciiTheme="minorHAnsi" w:eastAsia="Calibri" w:hAnsiTheme="minorHAnsi" w:cstheme="minorHAnsi"/>
                <w:b w:val="0"/>
                <w:bCs w:val="0"/>
                <w:sz w:val="20"/>
                <w:szCs w:val="20"/>
              </w:rPr>
              <w:t xml:space="preserve">Kanis JA, Cooper C, Rizzoli R, Reginster J-Y; Scientific Advisory Board of the European Society for Clinical and Economic Aspects of Osteoporosis (ESCEO) and the Committees of Scientific Advisors and National Societies of the International Osteoporosis Foundation (IOF) (2019) European guidance for the diagnosis and management of osteoporosis in postmenopausal women.  Osteoporos Int 30: 3-44.   </w:t>
            </w:r>
          </w:p>
        </w:tc>
      </w:tr>
      <w:tr w:rsidR="004215C3" w:rsidRPr="00066D52" w14:paraId="40A8D9FE" w14:textId="77777777" w:rsidTr="00C70D59">
        <w:tc>
          <w:tcPr>
            <w:tcW w:w="538" w:type="dxa"/>
          </w:tcPr>
          <w:p w14:paraId="10564168" w14:textId="46B96329" w:rsidR="004215C3" w:rsidRPr="00066D52" w:rsidRDefault="004215C3" w:rsidP="004215C3">
            <w:pPr>
              <w:pStyle w:val="Heading1"/>
              <w:spacing w:before="0" w:beforeAutospacing="0" w:after="120" w:afterAutospacing="0"/>
              <w:jc w:val="right"/>
              <w:outlineLvl w:val="0"/>
              <w:rPr>
                <w:rFonts w:asciiTheme="minorHAnsi" w:hAnsiTheme="minorHAnsi" w:cstheme="minorHAnsi"/>
                <w:b w:val="0"/>
                <w:bCs w:val="0"/>
                <w:sz w:val="20"/>
                <w:szCs w:val="20"/>
                <w:lang w:val="en-GB"/>
              </w:rPr>
            </w:pPr>
            <w:r w:rsidRPr="00066D52">
              <w:rPr>
                <w:rFonts w:asciiTheme="minorHAnsi" w:hAnsiTheme="minorHAnsi" w:cstheme="minorHAnsi"/>
                <w:b w:val="0"/>
                <w:bCs w:val="0"/>
                <w:sz w:val="20"/>
                <w:szCs w:val="20"/>
                <w:lang w:val="en-GB"/>
              </w:rPr>
              <w:t>4.</w:t>
            </w:r>
          </w:p>
        </w:tc>
        <w:tc>
          <w:tcPr>
            <w:tcW w:w="8245" w:type="dxa"/>
          </w:tcPr>
          <w:p w14:paraId="2864DE17" w14:textId="5488A66C" w:rsidR="004215C3" w:rsidRPr="00066D52" w:rsidRDefault="004215C3" w:rsidP="007E40C7">
            <w:pPr>
              <w:pStyle w:val="Heading1"/>
              <w:spacing w:before="0" w:beforeAutospacing="0" w:after="120" w:afterAutospacing="0"/>
              <w:outlineLvl w:val="0"/>
              <w:rPr>
                <w:rFonts w:asciiTheme="minorHAnsi" w:hAnsiTheme="minorHAnsi" w:cstheme="minorHAnsi"/>
                <w:b w:val="0"/>
                <w:bCs w:val="0"/>
                <w:sz w:val="20"/>
                <w:szCs w:val="20"/>
                <w:lang w:val="en-GB"/>
              </w:rPr>
            </w:pPr>
            <w:r w:rsidRPr="00066D52">
              <w:rPr>
                <w:rFonts w:asciiTheme="minorHAnsi" w:eastAsia="Calibri" w:hAnsiTheme="minorHAnsi" w:cstheme="minorHAnsi"/>
                <w:b w:val="0"/>
                <w:bCs w:val="0"/>
                <w:sz w:val="20"/>
                <w:szCs w:val="20"/>
              </w:rPr>
              <w:t xml:space="preserve">Kanis JA on behalf of the World Health Organization Scientific Group (2008a) Assessment of osteoporosis at the primary healthcare level. Technical Report. WHO Collaborating Centre, University of Sheffield, UK. Available at . </w:t>
            </w:r>
            <w:hyperlink r:id="rId9" w:history="1">
              <w:r w:rsidRPr="00FE1DC0">
                <w:rPr>
                  <w:rStyle w:val="Hyperlink"/>
                  <w:rFonts w:asciiTheme="minorHAnsi" w:eastAsia="Calibri" w:hAnsiTheme="minorHAnsi" w:cstheme="minorHAnsi"/>
                  <w:b w:val="0"/>
                  <w:bCs w:val="0"/>
                  <w:sz w:val="20"/>
                  <w:szCs w:val="20"/>
                </w:rPr>
                <w:t>http://www.shef.ac.uk/FRAX/pdfs/WHO_Technical_Report.pdf. Accessed 26 Feb 2019</w:t>
              </w:r>
            </w:hyperlink>
          </w:p>
        </w:tc>
      </w:tr>
      <w:tr w:rsidR="004215C3" w:rsidRPr="00066D52" w14:paraId="16046B56" w14:textId="77777777" w:rsidTr="00C70D59">
        <w:tc>
          <w:tcPr>
            <w:tcW w:w="538" w:type="dxa"/>
          </w:tcPr>
          <w:p w14:paraId="28BFC39C" w14:textId="511E07A4" w:rsidR="004215C3" w:rsidRPr="00066D52" w:rsidRDefault="004215C3" w:rsidP="004215C3">
            <w:pPr>
              <w:pStyle w:val="Heading1"/>
              <w:spacing w:before="0" w:beforeAutospacing="0" w:after="120" w:afterAutospacing="0"/>
              <w:jc w:val="right"/>
              <w:outlineLvl w:val="0"/>
              <w:rPr>
                <w:rFonts w:asciiTheme="minorHAnsi" w:hAnsiTheme="minorHAnsi" w:cstheme="minorHAnsi"/>
                <w:b w:val="0"/>
                <w:bCs w:val="0"/>
                <w:sz w:val="20"/>
                <w:szCs w:val="20"/>
                <w:lang w:val="en-GB"/>
              </w:rPr>
            </w:pPr>
            <w:r w:rsidRPr="00066D52">
              <w:rPr>
                <w:rFonts w:asciiTheme="minorHAnsi" w:hAnsiTheme="minorHAnsi" w:cstheme="minorHAnsi"/>
                <w:b w:val="0"/>
                <w:bCs w:val="0"/>
                <w:sz w:val="20"/>
                <w:szCs w:val="20"/>
                <w:lang w:val="en-GB"/>
              </w:rPr>
              <w:t>5.</w:t>
            </w:r>
          </w:p>
        </w:tc>
        <w:tc>
          <w:tcPr>
            <w:tcW w:w="8245" w:type="dxa"/>
          </w:tcPr>
          <w:p w14:paraId="649DD515" w14:textId="77777777" w:rsidR="004215C3" w:rsidRPr="00066D52" w:rsidRDefault="004215C3" w:rsidP="007E40C7">
            <w:pPr>
              <w:pStyle w:val="Heading1"/>
              <w:spacing w:before="0" w:beforeAutospacing="0" w:after="120" w:afterAutospacing="0"/>
              <w:outlineLvl w:val="0"/>
              <w:rPr>
                <w:rFonts w:asciiTheme="minorHAnsi" w:hAnsiTheme="minorHAnsi" w:cstheme="minorHAnsi"/>
                <w:b w:val="0"/>
                <w:bCs w:val="0"/>
                <w:sz w:val="20"/>
                <w:szCs w:val="20"/>
                <w:lang w:val="en-GB"/>
              </w:rPr>
            </w:pPr>
            <w:r w:rsidRPr="00066D52">
              <w:rPr>
                <w:rFonts w:asciiTheme="minorHAnsi" w:eastAsia="Calibri" w:hAnsiTheme="minorHAnsi" w:cstheme="minorHAnsi"/>
                <w:b w:val="0"/>
                <w:bCs w:val="0"/>
                <w:sz w:val="20"/>
                <w:szCs w:val="20"/>
              </w:rPr>
              <w:t>Kanis JA, Johnell O, Oden A, Johansson H, McCloskey E (2008b) FRAX™ and the assessment of fracture probability in men and women from the UK. Osteoporos Int 19: 385-397</w:t>
            </w:r>
          </w:p>
        </w:tc>
      </w:tr>
      <w:tr w:rsidR="004215C3" w:rsidRPr="00066D52" w14:paraId="28D1552C" w14:textId="77777777" w:rsidTr="00C70D59">
        <w:tc>
          <w:tcPr>
            <w:tcW w:w="538" w:type="dxa"/>
          </w:tcPr>
          <w:p w14:paraId="42967A83" w14:textId="08180010" w:rsidR="004215C3" w:rsidRPr="00066D52" w:rsidRDefault="004215C3" w:rsidP="004215C3">
            <w:pPr>
              <w:pStyle w:val="Heading1"/>
              <w:spacing w:before="0" w:beforeAutospacing="0" w:after="120" w:afterAutospacing="0"/>
              <w:jc w:val="right"/>
              <w:outlineLvl w:val="0"/>
              <w:rPr>
                <w:rFonts w:asciiTheme="minorHAnsi" w:hAnsiTheme="minorHAnsi" w:cstheme="minorHAnsi"/>
                <w:b w:val="0"/>
                <w:bCs w:val="0"/>
                <w:sz w:val="20"/>
                <w:szCs w:val="20"/>
                <w:lang w:val="en-GB"/>
              </w:rPr>
            </w:pPr>
            <w:r w:rsidRPr="00066D52">
              <w:rPr>
                <w:rFonts w:asciiTheme="minorHAnsi" w:hAnsiTheme="minorHAnsi" w:cstheme="minorHAnsi"/>
                <w:b w:val="0"/>
                <w:bCs w:val="0"/>
                <w:sz w:val="20"/>
                <w:szCs w:val="20"/>
                <w:lang w:val="en-GB"/>
              </w:rPr>
              <w:t>6.</w:t>
            </w:r>
          </w:p>
        </w:tc>
        <w:tc>
          <w:tcPr>
            <w:tcW w:w="8245" w:type="dxa"/>
          </w:tcPr>
          <w:p w14:paraId="30C24B59" w14:textId="77777777" w:rsidR="004215C3" w:rsidRPr="00066D52" w:rsidRDefault="004215C3" w:rsidP="007E40C7">
            <w:pPr>
              <w:pStyle w:val="Heading1"/>
              <w:spacing w:before="0" w:beforeAutospacing="0" w:after="120" w:afterAutospacing="0"/>
              <w:outlineLvl w:val="0"/>
              <w:rPr>
                <w:rFonts w:asciiTheme="minorHAnsi" w:hAnsiTheme="minorHAnsi" w:cstheme="minorHAnsi"/>
                <w:b w:val="0"/>
                <w:bCs w:val="0"/>
                <w:sz w:val="20"/>
                <w:szCs w:val="20"/>
                <w:lang w:val="en-GB"/>
              </w:rPr>
            </w:pPr>
            <w:r w:rsidRPr="00457648">
              <w:rPr>
                <w:rFonts w:asciiTheme="minorHAnsi" w:hAnsiTheme="minorHAnsi" w:cstheme="minorHAnsi"/>
                <w:b w:val="0"/>
                <w:bCs w:val="0"/>
                <w:sz w:val="20"/>
                <w:szCs w:val="20"/>
                <w:lang w:val="en-GB"/>
              </w:rPr>
              <w:t>Odén A, EV McCloskey EV, Kanis JA, Harvey N, Johansson H (2015) Burden of high fracture probability. Osteoporosis International 26: 2243-2248</w:t>
            </w:r>
          </w:p>
        </w:tc>
      </w:tr>
      <w:tr w:rsidR="004215C3" w:rsidRPr="00066D52" w14:paraId="5686EF95" w14:textId="77777777" w:rsidTr="00C70D59">
        <w:tc>
          <w:tcPr>
            <w:tcW w:w="538" w:type="dxa"/>
          </w:tcPr>
          <w:p w14:paraId="01BD4989" w14:textId="1BC7255B" w:rsidR="004215C3" w:rsidRPr="00066D52" w:rsidRDefault="004215C3" w:rsidP="004215C3">
            <w:pPr>
              <w:pStyle w:val="Heading1"/>
              <w:spacing w:before="0" w:beforeAutospacing="0" w:after="120" w:afterAutospacing="0"/>
              <w:jc w:val="right"/>
              <w:outlineLvl w:val="0"/>
              <w:rPr>
                <w:rFonts w:asciiTheme="minorHAnsi" w:hAnsiTheme="minorHAnsi" w:cstheme="minorHAnsi"/>
                <w:b w:val="0"/>
                <w:bCs w:val="0"/>
                <w:sz w:val="20"/>
                <w:szCs w:val="20"/>
                <w:lang w:val="en-GB"/>
              </w:rPr>
            </w:pPr>
            <w:r w:rsidRPr="00066D52">
              <w:rPr>
                <w:rFonts w:asciiTheme="minorHAnsi" w:hAnsiTheme="minorHAnsi" w:cstheme="minorHAnsi"/>
                <w:b w:val="0"/>
                <w:bCs w:val="0"/>
                <w:sz w:val="20"/>
                <w:szCs w:val="20"/>
                <w:lang w:val="en-GB"/>
              </w:rPr>
              <w:t>7.</w:t>
            </w:r>
          </w:p>
        </w:tc>
        <w:tc>
          <w:tcPr>
            <w:tcW w:w="8245" w:type="dxa"/>
          </w:tcPr>
          <w:p w14:paraId="79F21119" w14:textId="77777777" w:rsidR="004215C3" w:rsidRPr="00066D52" w:rsidRDefault="004215C3" w:rsidP="007E40C7">
            <w:pPr>
              <w:pStyle w:val="Heading1"/>
              <w:spacing w:before="0" w:beforeAutospacing="0" w:after="120" w:afterAutospacing="0"/>
              <w:outlineLvl w:val="0"/>
              <w:rPr>
                <w:rFonts w:asciiTheme="minorHAnsi" w:hAnsiTheme="minorHAnsi" w:cstheme="minorHAnsi"/>
                <w:b w:val="0"/>
                <w:bCs w:val="0"/>
                <w:sz w:val="20"/>
                <w:szCs w:val="20"/>
                <w:lang w:val="en-GB"/>
              </w:rPr>
            </w:pPr>
            <w:r w:rsidRPr="002F41AF">
              <w:rPr>
                <w:rFonts w:asciiTheme="minorHAnsi" w:hAnsiTheme="minorHAnsi" w:cstheme="minorHAnsi"/>
                <w:b w:val="0"/>
                <w:bCs w:val="0"/>
                <w:sz w:val="20"/>
                <w:szCs w:val="20"/>
                <w:lang w:val="en-GB"/>
              </w:rPr>
              <w:t>Kanis JA, Harvey NC, Cyrus Cooper C, Johansson H, Odén A, McCloskey EV, the Advisory Board of the National Osteoporosis Guideline Group (2016) A systematic review of intervention thresholds based on FRAX. A report prepared for the National Osteoporosis Guideline Group and the International Osteoporosis Foundation.  Archives of Osteoporosis, Dec;11(1):25.</w:t>
            </w:r>
          </w:p>
        </w:tc>
      </w:tr>
      <w:tr w:rsidR="004215C3" w:rsidRPr="00066D52" w14:paraId="27AB225D" w14:textId="77777777" w:rsidTr="00C70D59">
        <w:tc>
          <w:tcPr>
            <w:tcW w:w="538" w:type="dxa"/>
          </w:tcPr>
          <w:p w14:paraId="289CA7D7" w14:textId="2DD6FCEF" w:rsidR="004215C3" w:rsidRPr="00066D52" w:rsidRDefault="004215C3" w:rsidP="004215C3">
            <w:pPr>
              <w:pStyle w:val="Heading1"/>
              <w:spacing w:before="0" w:beforeAutospacing="0" w:after="120" w:afterAutospacing="0"/>
              <w:jc w:val="right"/>
              <w:outlineLvl w:val="0"/>
              <w:rPr>
                <w:rFonts w:asciiTheme="minorHAnsi" w:hAnsiTheme="minorHAnsi" w:cstheme="minorHAnsi"/>
                <w:b w:val="0"/>
                <w:bCs w:val="0"/>
                <w:sz w:val="20"/>
                <w:szCs w:val="20"/>
                <w:lang w:val="en-GB"/>
              </w:rPr>
            </w:pPr>
            <w:r w:rsidRPr="00066D52">
              <w:rPr>
                <w:rFonts w:asciiTheme="minorHAnsi" w:hAnsiTheme="minorHAnsi" w:cstheme="minorHAnsi"/>
                <w:b w:val="0"/>
                <w:bCs w:val="0"/>
                <w:sz w:val="20"/>
                <w:szCs w:val="20"/>
                <w:lang w:val="en-GB"/>
              </w:rPr>
              <w:t>8.</w:t>
            </w:r>
          </w:p>
        </w:tc>
        <w:tc>
          <w:tcPr>
            <w:tcW w:w="8245" w:type="dxa"/>
          </w:tcPr>
          <w:p w14:paraId="4D328F2A" w14:textId="77777777" w:rsidR="004215C3" w:rsidRPr="00066D52" w:rsidRDefault="004215C3" w:rsidP="00F13CE2">
            <w:pPr>
              <w:pStyle w:val="Heading1"/>
              <w:spacing w:before="0" w:beforeAutospacing="0" w:after="120" w:afterAutospacing="0"/>
              <w:outlineLvl w:val="0"/>
              <w:rPr>
                <w:rFonts w:asciiTheme="minorHAnsi" w:hAnsiTheme="minorHAnsi" w:cstheme="minorHAnsi"/>
                <w:b w:val="0"/>
                <w:bCs w:val="0"/>
                <w:sz w:val="20"/>
                <w:szCs w:val="20"/>
                <w:lang w:val="en-GB"/>
              </w:rPr>
            </w:pPr>
            <w:r w:rsidRPr="00066D52">
              <w:rPr>
                <w:rFonts w:asciiTheme="minorHAnsi" w:hAnsiTheme="minorHAnsi" w:cstheme="minorHAnsi"/>
                <w:b w:val="0"/>
                <w:bCs w:val="0"/>
                <w:sz w:val="20"/>
                <w:szCs w:val="20"/>
                <w:lang w:val="en-GB"/>
              </w:rPr>
              <w:t>Zerbini CAF, Szejnfeld VL, Abergaria BH, McCloskey EV, Johansson H, Kanis JA (2015) Incidence of hip fracture in Brazil and the development of a FRAX model.  Archives of Osteoporosis 10(1):224.</w:t>
            </w:r>
          </w:p>
        </w:tc>
      </w:tr>
      <w:tr w:rsidR="004215C3" w:rsidRPr="00066D52" w14:paraId="4D6E0B67" w14:textId="77777777" w:rsidTr="00C70D59">
        <w:tc>
          <w:tcPr>
            <w:tcW w:w="538" w:type="dxa"/>
          </w:tcPr>
          <w:p w14:paraId="6B521709" w14:textId="2BB22AE7" w:rsidR="004215C3" w:rsidRPr="00066D52" w:rsidRDefault="004215C3" w:rsidP="004215C3">
            <w:pPr>
              <w:pStyle w:val="Heading1"/>
              <w:spacing w:before="0" w:beforeAutospacing="0" w:after="120" w:afterAutospacing="0"/>
              <w:jc w:val="right"/>
              <w:outlineLvl w:val="0"/>
              <w:rPr>
                <w:rFonts w:asciiTheme="minorHAnsi" w:hAnsiTheme="minorHAnsi" w:cstheme="minorHAnsi"/>
                <w:b w:val="0"/>
                <w:bCs w:val="0"/>
                <w:sz w:val="20"/>
                <w:szCs w:val="20"/>
                <w:lang w:val="en-GB"/>
              </w:rPr>
            </w:pPr>
            <w:r w:rsidRPr="00066D52">
              <w:rPr>
                <w:rFonts w:asciiTheme="minorHAnsi" w:hAnsiTheme="minorHAnsi" w:cstheme="minorHAnsi"/>
                <w:b w:val="0"/>
                <w:bCs w:val="0"/>
                <w:sz w:val="20"/>
                <w:szCs w:val="20"/>
                <w:lang w:val="en-GB"/>
              </w:rPr>
              <w:t>9.</w:t>
            </w:r>
          </w:p>
        </w:tc>
        <w:tc>
          <w:tcPr>
            <w:tcW w:w="8245" w:type="dxa"/>
          </w:tcPr>
          <w:p w14:paraId="13CA2805" w14:textId="77777777" w:rsidR="004215C3" w:rsidRPr="00066D52" w:rsidRDefault="004215C3" w:rsidP="00F13CE2">
            <w:pPr>
              <w:pStyle w:val="Heading1"/>
              <w:spacing w:before="0" w:beforeAutospacing="0" w:after="120" w:afterAutospacing="0"/>
              <w:outlineLvl w:val="0"/>
              <w:rPr>
                <w:rFonts w:asciiTheme="minorHAnsi" w:hAnsiTheme="minorHAnsi" w:cstheme="minorHAnsi"/>
                <w:b w:val="0"/>
                <w:bCs w:val="0"/>
                <w:sz w:val="20"/>
                <w:szCs w:val="20"/>
                <w:lang w:val="en-GB"/>
              </w:rPr>
            </w:pPr>
            <w:r w:rsidRPr="00066D52">
              <w:rPr>
                <w:rFonts w:asciiTheme="minorHAnsi" w:hAnsiTheme="minorHAnsi" w:cstheme="minorHAnsi"/>
                <w:b w:val="0"/>
                <w:bCs w:val="0"/>
                <w:sz w:val="20"/>
                <w:szCs w:val="20"/>
                <w:lang w:val="en-GB"/>
              </w:rPr>
              <w:t>Johansson H, Clark P, Carlos F, Oden A, McCloskey EV, Kanis JA (2011) Increasing age- and sex-specific rates of hip fracture in Mexico: a survey of the Mexican institute of social security. Osteoporosis International 22: 2359-64.</w:t>
            </w:r>
          </w:p>
        </w:tc>
      </w:tr>
      <w:tr w:rsidR="004215C3" w:rsidRPr="00066D52" w14:paraId="3F2E8443" w14:textId="77777777" w:rsidTr="00C70D59">
        <w:tc>
          <w:tcPr>
            <w:tcW w:w="538" w:type="dxa"/>
          </w:tcPr>
          <w:p w14:paraId="11B8421E" w14:textId="6D249DBB" w:rsidR="004215C3" w:rsidRPr="00066D52" w:rsidRDefault="004215C3" w:rsidP="004215C3">
            <w:pPr>
              <w:pStyle w:val="Heading1"/>
              <w:spacing w:before="0" w:beforeAutospacing="0" w:after="120" w:afterAutospacing="0"/>
              <w:jc w:val="right"/>
              <w:outlineLvl w:val="0"/>
              <w:rPr>
                <w:rFonts w:asciiTheme="minorHAnsi" w:hAnsiTheme="minorHAnsi" w:cstheme="minorHAnsi"/>
                <w:b w:val="0"/>
                <w:bCs w:val="0"/>
                <w:sz w:val="20"/>
                <w:szCs w:val="20"/>
                <w:lang w:val="en-GB"/>
              </w:rPr>
            </w:pPr>
            <w:r w:rsidRPr="00066D52">
              <w:rPr>
                <w:rFonts w:asciiTheme="minorHAnsi" w:hAnsiTheme="minorHAnsi" w:cstheme="minorHAnsi"/>
                <w:b w:val="0"/>
                <w:bCs w:val="0"/>
                <w:sz w:val="20"/>
                <w:szCs w:val="20"/>
                <w:lang w:val="en-GB"/>
              </w:rPr>
              <w:t>10.</w:t>
            </w:r>
          </w:p>
        </w:tc>
        <w:tc>
          <w:tcPr>
            <w:tcW w:w="8245" w:type="dxa"/>
          </w:tcPr>
          <w:p w14:paraId="2D8E17A9" w14:textId="77777777" w:rsidR="004215C3" w:rsidRPr="00066D52" w:rsidRDefault="004215C3" w:rsidP="00F13CE2">
            <w:pPr>
              <w:pStyle w:val="Heading1"/>
              <w:spacing w:before="0" w:beforeAutospacing="0" w:after="120" w:afterAutospacing="0"/>
              <w:outlineLvl w:val="0"/>
              <w:rPr>
                <w:rFonts w:asciiTheme="minorHAnsi" w:hAnsiTheme="minorHAnsi" w:cstheme="minorHAnsi"/>
                <w:b w:val="0"/>
                <w:bCs w:val="0"/>
                <w:sz w:val="20"/>
                <w:szCs w:val="20"/>
                <w:lang w:val="en-GB"/>
              </w:rPr>
            </w:pPr>
            <w:r w:rsidRPr="00066D52">
              <w:rPr>
                <w:rFonts w:asciiTheme="minorHAnsi" w:hAnsiTheme="minorHAnsi" w:cstheme="minorHAnsi"/>
                <w:b w:val="0"/>
                <w:bCs w:val="0"/>
                <w:kern w:val="0"/>
                <w:sz w:val="20"/>
                <w:szCs w:val="20"/>
                <w:lang w:val="en-GB"/>
              </w:rPr>
              <w:t xml:space="preserve">Tuzun S, Eskiyurt N, Akarırmak U, Sarıdoğan M, Johansson H, </w:t>
            </w:r>
            <w:r w:rsidRPr="00066D52">
              <w:rPr>
                <w:rFonts w:asciiTheme="minorHAnsi" w:hAnsiTheme="minorHAnsi" w:cstheme="minorHAnsi"/>
                <w:bCs w:val="0"/>
                <w:kern w:val="0"/>
                <w:sz w:val="20"/>
                <w:szCs w:val="20"/>
                <w:lang w:val="en-GB"/>
              </w:rPr>
              <w:t>Kanis JA</w:t>
            </w:r>
            <w:r w:rsidRPr="00066D52">
              <w:rPr>
                <w:rFonts w:asciiTheme="minorHAnsi" w:hAnsiTheme="minorHAnsi" w:cstheme="minorHAnsi"/>
                <w:b w:val="0"/>
                <w:bCs w:val="0"/>
                <w:kern w:val="0"/>
                <w:sz w:val="20"/>
                <w:szCs w:val="20"/>
                <w:lang w:val="en-GB"/>
              </w:rPr>
              <w:t xml:space="preserve"> and the Turkish Osteoporosis Society (2012) The impact of FRAX-based intervention thresholds in Turkey: The FRAX-TURK Study.  Archives of Osteoporos 7:229-35.</w:t>
            </w:r>
          </w:p>
        </w:tc>
      </w:tr>
      <w:tr w:rsidR="004215C3" w:rsidRPr="00066D52" w14:paraId="54551520" w14:textId="77777777" w:rsidTr="00C70D59">
        <w:tc>
          <w:tcPr>
            <w:tcW w:w="538" w:type="dxa"/>
          </w:tcPr>
          <w:p w14:paraId="7694DE52" w14:textId="4FD3BBBD" w:rsidR="004215C3" w:rsidRPr="00066D52" w:rsidRDefault="004215C3" w:rsidP="004215C3">
            <w:pPr>
              <w:pStyle w:val="Heading1"/>
              <w:spacing w:before="0" w:beforeAutospacing="0" w:after="120" w:afterAutospacing="0"/>
              <w:jc w:val="right"/>
              <w:outlineLvl w:val="0"/>
              <w:rPr>
                <w:rFonts w:asciiTheme="minorHAnsi" w:hAnsiTheme="minorHAnsi" w:cstheme="minorHAnsi"/>
                <w:b w:val="0"/>
                <w:bCs w:val="0"/>
                <w:sz w:val="20"/>
                <w:szCs w:val="20"/>
                <w:lang w:val="en-GB"/>
              </w:rPr>
            </w:pPr>
            <w:r>
              <w:rPr>
                <w:rFonts w:asciiTheme="minorHAnsi" w:hAnsiTheme="minorHAnsi" w:cstheme="minorHAnsi"/>
                <w:b w:val="0"/>
                <w:bCs w:val="0"/>
                <w:sz w:val="20"/>
                <w:szCs w:val="20"/>
                <w:lang w:val="en-GB"/>
              </w:rPr>
              <w:t>11.</w:t>
            </w:r>
          </w:p>
        </w:tc>
        <w:tc>
          <w:tcPr>
            <w:tcW w:w="8245" w:type="dxa"/>
          </w:tcPr>
          <w:p w14:paraId="572C2A06" w14:textId="60851D2B" w:rsidR="004215C3" w:rsidRPr="00B7488C" w:rsidRDefault="004215C3" w:rsidP="00B7488C">
            <w:pPr>
              <w:pStyle w:val="Heading1"/>
              <w:spacing w:before="0" w:beforeAutospacing="0" w:after="120" w:afterAutospacing="0"/>
              <w:outlineLvl w:val="0"/>
              <w:rPr>
                <w:rFonts w:asciiTheme="minorHAnsi" w:hAnsiTheme="minorHAnsi" w:cstheme="minorHAnsi"/>
                <w:b w:val="0"/>
                <w:bCs w:val="0"/>
                <w:sz w:val="20"/>
                <w:szCs w:val="20"/>
                <w:lang w:val="en-GB"/>
              </w:rPr>
            </w:pPr>
            <w:r w:rsidRPr="00B7488C">
              <w:rPr>
                <w:rFonts w:ascii="Calibri" w:eastAsia="Calibri" w:hAnsi="Calibri"/>
                <w:b w:val="0"/>
                <w:bCs w:val="0"/>
                <w:sz w:val="22"/>
                <w:szCs w:val="22"/>
              </w:rPr>
              <w:t>Lesnyak O, Sahakyan S, Zakroyeva A, Bilezikian JP, Hutchings N, Galstyan R, Lebedev A, Johansson H, Harvey NC, McCloskey E, Kanis JA (2017) Epidemiology of fractures in Armenia: Development of a country-specific FRAX model and comparison to its surrogate. Archives of Osteoporosis 12(1): 98. Doi: 10.1007/s11657-017-0392-6</w:t>
            </w:r>
          </w:p>
        </w:tc>
      </w:tr>
      <w:tr w:rsidR="004215C3" w:rsidRPr="00066D52" w14:paraId="02E17EE1" w14:textId="77777777" w:rsidTr="00C70D59">
        <w:tc>
          <w:tcPr>
            <w:tcW w:w="538" w:type="dxa"/>
          </w:tcPr>
          <w:p w14:paraId="5F184A82" w14:textId="19096DC1" w:rsidR="004215C3" w:rsidRPr="00066D52" w:rsidRDefault="004215C3" w:rsidP="004215C3">
            <w:pPr>
              <w:pStyle w:val="Heading1"/>
              <w:spacing w:before="0" w:beforeAutospacing="0" w:after="120" w:afterAutospacing="0"/>
              <w:jc w:val="right"/>
              <w:outlineLvl w:val="0"/>
              <w:rPr>
                <w:rFonts w:asciiTheme="minorHAnsi" w:hAnsiTheme="minorHAnsi" w:cstheme="minorHAnsi"/>
                <w:b w:val="0"/>
                <w:bCs w:val="0"/>
                <w:sz w:val="20"/>
                <w:szCs w:val="20"/>
                <w:lang w:val="en-GB"/>
              </w:rPr>
            </w:pPr>
            <w:r>
              <w:rPr>
                <w:rFonts w:asciiTheme="minorHAnsi" w:hAnsiTheme="minorHAnsi" w:cstheme="minorHAnsi"/>
                <w:b w:val="0"/>
                <w:bCs w:val="0"/>
                <w:sz w:val="20"/>
                <w:szCs w:val="20"/>
                <w:lang w:val="en-GB"/>
              </w:rPr>
              <w:t>12.</w:t>
            </w:r>
          </w:p>
        </w:tc>
        <w:tc>
          <w:tcPr>
            <w:tcW w:w="8245" w:type="dxa"/>
          </w:tcPr>
          <w:p w14:paraId="148D1168" w14:textId="77777777" w:rsidR="004215C3" w:rsidRPr="00066D52" w:rsidRDefault="004215C3" w:rsidP="00B7488C">
            <w:pPr>
              <w:pStyle w:val="Heading1"/>
              <w:spacing w:before="0" w:beforeAutospacing="0" w:after="120" w:afterAutospacing="0"/>
              <w:outlineLvl w:val="0"/>
              <w:rPr>
                <w:rFonts w:asciiTheme="minorHAnsi" w:hAnsiTheme="minorHAnsi" w:cstheme="minorHAnsi"/>
                <w:b w:val="0"/>
                <w:bCs w:val="0"/>
                <w:sz w:val="20"/>
                <w:szCs w:val="20"/>
                <w:lang w:val="en-GB"/>
              </w:rPr>
            </w:pPr>
            <w:r w:rsidRPr="00066D52">
              <w:rPr>
                <w:rFonts w:asciiTheme="minorHAnsi" w:hAnsiTheme="minorHAnsi" w:cstheme="minorHAnsi"/>
                <w:b w:val="0"/>
                <w:bCs w:val="0"/>
                <w:sz w:val="20"/>
                <w:szCs w:val="20"/>
                <w:lang w:val="en-GB"/>
              </w:rPr>
              <w:t xml:space="preserve">Lesnyak O, Ershova O, Belova K, Gladkova E, Sinitsina O, Ganert O, Romanova M, Khodirev V, Johansson H, McCloskey E, Kanis JA (2012) Epidemiology of fracture in the Russian Federation and the development of a FRAX model. Arch Osteoporos 7: 67-73. </w:t>
            </w:r>
          </w:p>
        </w:tc>
      </w:tr>
      <w:tr w:rsidR="004215C3" w:rsidRPr="00066D52" w14:paraId="58ED6209" w14:textId="77777777" w:rsidTr="00C70D59">
        <w:tc>
          <w:tcPr>
            <w:tcW w:w="538" w:type="dxa"/>
          </w:tcPr>
          <w:p w14:paraId="022BF2C9" w14:textId="4486DF0C" w:rsidR="004215C3" w:rsidRPr="00066D52" w:rsidRDefault="004215C3" w:rsidP="004215C3">
            <w:pPr>
              <w:pStyle w:val="Heading1"/>
              <w:spacing w:before="0" w:beforeAutospacing="0" w:after="120" w:afterAutospacing="0"/>
              <w:jc w:val="right"/>
              <w:outlineLvl w:val="0"/>
              <w:rPr>
                <w:rFonts w:asciiTheme="minorHAnsi" w:hAnsiTheme="minorHAnsi" w:cstheme="minorHAnsi"/>
                <w:b w:val="0"/>
                <w:bCs w:val="0"/>
                <w:sz w:val="20"/>
                <w:szCs w:val="20"/>
                <w:lang w:val="en-GB"/>
              </w:rPr>
            </w:pPr>
            <w:r>
              <w:rPr>
                <w:rFonts w:asciiTheme="minorHAnsi" w:hAnsiTheme="minorHAnsi" w:cstheme="minorHAnsi"/>
                <w:b w:val="0"/>
                <w:bCs w:val="0"/>
                <w:sz w:val="20"/>
                <w:szCs w:val="20"/>
                <w:lang w:val="en-GB"/>
              </w:rPr>
              <w:t>13.</w:t>
            </w:r>
          </w:p>
        </w:tc>
        <w:tc>
          <w:tcPr>
            <w:tcW w:w="8245" w:type="dxa"/>
          </w:tcPr>
          <w:p w14:paraId="07DA3344" w14:textId="77777777" w:rsidR="004215C3" w:rsidRPr="00066D52" w:rsidRDefault="004215C3" w:rsidP="00B7488C">
            <w:pPr>
              <w:pStyle w:val="Heading1"/>
              <w:spacing w:before="0" w:beforeAutospacing="0" w:after="120" w:afterAutospacing="0"/>
              <w:outlineLvl w:val="0"/>
              <w:rPr>
                <w:rFonts w:asciiTheme="minorHAnsi" w:hAnsiTheme="minorHAnsi" w:cstheme="minorHAnsi"/>
                <w:b w:val="0"/>
                <w:bCs w:val="0"/>
                <w:sz w:val="20"/>
                <w:szCs w:val="20"/>
                <w:lang w:val="en-GB"/>
              </w:rPr>
            </w:pPr>
            <w:r w:rsidRPr="00066D52">
              <w:rPr>
                <w:rFonts w:asciiTheme="minorHAnsi" w:hAnsiTheme="minorHAnsi" w:cstheme="minorHAnsi"/>
                <w:b w:val="0"/>
                <w:bCs w:val="0"/>
                <w:sz w:val="20"/>
                <w:szCs w:val="20"/>
                <w:lang w:val="en-GB"/>
              </w:rPr>
              <w:t>Ramanau H Chernyanin I, Rudenka E, Lesnyak O, Zakroyeva A, Bilezikian JP, Johansson H, Harvey NC, McCloskey EV, Kanis JA (2018) Epidemiology of hip fracture in Belarus: development of a country-specific FRAX model and its comparison to neighboring country models. Arch Osteoporos 13: 42.</w:t>
            </w:r>
          </w:p>
        </w:tc>
      </w:tr>
      <w:tr w:rsidR="004215C3" w:rsidRPr="00066D52" w14:paraId="6461AE3C" w14:textId="77777777" w:rsidTr="00C70D59">
        <w:tc>
          <w:tcPr>
            <w:tcW w:w="538" w:type="dxa"/>
          </w:tcPr>
          <w:p w14:paraId="25D6E52A" w14:textId="642845F5" w:rsidR="004215C3" w:rsidRPr="00066D52" w:rsidRDefault="004215C3" w:rsidP="004215C3">
            <w:pPr>
              <w:pStyle w:val="Heading1"/>
              <w:spacing w:before="0" w:beforeAutospacing="0" w:after="120" w:afterAutospacing="0"/>
              <w:jc w:val="right"/>
              <w:outlineLvl w:val="0"/>
              <w:rPr>
                <w:rFonts w:asciiTheme="minorHAnsi" w:hAnsiTheme="minorHAnsi" w:cstheme="minorHAnsi"/>
                <w:b w:val="0"/>
                <w:bCs w:val="0"/>
                <w:sz w:val="20"/>
                <w:szCs w:val="20"/>
                <w:lang w:val="en-GB"/>
              </w:rPr>
            </w:pPr>
            <w:r>
              <w:rPr>
                <w:rFonts w:asciiTheme="minorHAnsi" w:hAnsiTheme="minorHAnsi" w:cstheme="minorHAnsi"/>
                <w:b w:val="0"/>
                <w:bCs w:val="0"/>
                <w:sz w:val="20"/>
                <w:szCs w:val="20"/>
                <w:lang w:val="en-GB"/>
              </w:rPr>
              <w:t>14.</w:t>
            </w:r>
          </w:p>
        </w:tc>
        <w:tc>
          <w:tcPr>
            <w:tcW w:w="8245" w:type="dxa"/>
          </w:tcPr>
          <w:p w14:paraId="7B180AC2" w14:textId="77777777" w:rsidR="004215C3" w:rsidRPr="00066D52" w:rsidRDefault="004215C3" w:rsidP="00B7488C">
            <w:pPr>
              <w:pStyle w:val="Heading1"/>
              <w:spacing w:before="0" w:beforeAutospacing="0" w:after="120" w:afterAutospacing="0"/>
              <w:outlineLvl w:val="0"/>
              <w:rPr>
                <w:rFonts w:asciiTheme="minorHAnsi" w:hAnsiTheme="minorHAnsi" w:cstheme="minorHAnsi"/>
                <w:b w:val="0"/>
                <w:bCs w:val="0"/>
                <w:sz w:val="20"/>
                <w:szCs w:val="20"/>
                <w:lang w:val="en-GB"/>
              </w:rPr>
            </w:pPr>
            <w:bookmarkStart w:id="20" w:name="_Hlk21019239"/>
            <w:r w:rsidRPr="00066D52">
              <w:rPr>
                <w:rFonts w:asciiTheme="minorHAnsi" w:hAnsiTheme="minorHAnsi" w:cstheme="minorHAnsi"/>
                <w:b w:val="0"/>
                <w:bCs w:val="0"/>
                <w:sz w:val="20"/>
                <w:szCs w:val="20"/>
                <w:lang w:val="en-GB"/>
              </w:rPr>
              <w:t xml:space="preserve">Zakroyeva </w:t>
            </w:r>
            <w:bookmarkEnd w:id="20"/>
            <w:r w:rsidRPr="00066D52">
              <w:rPr>
                <w:rFonts w:asciiTheme="minorHAnsi" w:hAnsiTheme="minorHAnsi" w:cstheme="minorHAnsi"/>
                <w:b w:val="0"/>
                <w:bCs w:val="0"/>
                <w:sz w:val="20"/>
                <w:szCs w:val="20"/>
                <w:lang w:val="en-GB"/>
              </w:rPr>
              <w:t>A, Lesnyak O, Cazac V, Groppa L, Russu E, Chislari L, Rotaru L, Johansson H, Harvey NC, McCloskey E, Kanis JA (2019) Epidemiology of osteoporotic fracture in Moldova and development of a country specific FRAX model.  Submitted to Archives June 2019 Minor revisions and resubmitted (Sept 2019)</w:t>
            </w:r>
          </w:p>
        </w:tc>
      </w:tr>
      <w:tr w:rsidR="004215C3" w:rsidRPr="00066D52" w14:paraId="69CEC94B" w14:textId="77777777" w:rsidTr="00C70D59">
        <w:tc>
          <w:tcPr>
            <w:tcW w:w="538" w:type="dxa"/>
          </w:tcPr>
          <w:p w14:paraId="12661415" w14:textId="314FB833" w:rsidR="004215C3" w:rsidRPr="00066D52" w:rsidRDefault="004215C3" w:rsidP="004215C3">
            <w:pPr>
              <w:pStyle w:val="Heading1"/>
              <w:spacing w:before="0" w:beforeAutospacing="0" w:after="120" w:afterAutospacing="0"/>
              <w:jc w:val="right"/>
              <w:outlineLvl w:val="0"/>
              <w:rPr>
                <w:rFonts w:asciiTheme="minorHAnsi" w:hAnsiTheme="minorHAnsi" w:cstheme="minorHAnsi"/>
                <w:b w:val="0"/>
                <w:bCs w:val="0"/>
                <w:sz w:val="20"/>
                <w:szCs w:val="20"/>
                <w:lang w:val="en-GB"/>
              </w:rPr>
            </w:pPr>
            <w:r>
              <w:rPr>
                <w:rFonts w:asciiTheme="minorHAnsi" w:hAnsiTheme="minorHAnsi" w:cstheme="minorHAnsi"/>
                <w:b w:val="0"/>
                <w:bCs w:val="0"/>
                <w:sz w:val="20"/>
                <w:szCs w:val="20"/>
                <w:lang w:val="en-GB"/>
              </w:rPr>
              <w:t>15.</w:t>
            </w:r>
          </w:p>
        </w:tc>
        <w:tc>
          <w:tcPr>
            <w:tcW w:w="8245" w:type="dxa"/>
          </w:tcPr>
          <w:p w14:paraId="074B2B75" w14:textId="05FBC443" w:rsidR="004215C3" w:rsidRPr="00066D52" w:rsidRDefault="004215C3" w:rsidP="00B7488C">
            <w:pPr>
              <w:pStyle w:val="Heading1"/>
              <w:spacing w:before="0" w:beforeAutospacing="0" w:after="120" w:afterAutospacing="0"/>
              <w:outlineLvl w:val="0"/>
              <w:rPr>
                <w:rFonts w:asciiTheme="minorHAnsi" w:hAnsiTheme="minorHAnsi" w:cstheme="minorHAnsi"/>
                <w:b w:val="0"/>
                <w:bCs w:val="0"/>
                <w:sz w:val="20"/>
                <w:szCs w:val="20"/>
                <w:lang w:val="en-GB"/>
              </w:rPr>
            </w:pPr>
            <w:r w:rsidRPr="00066D52">
              <w:rPr>
                <w:rFonts w:asciiTheme="minorHAnsi" w:hAnsiTheme="minorHAnsi" w:cstheme="minorHAnsi"/>
                <w:b w:val="0"/>
                <w:bCs w:val="0"/>
                <w:sz w:val="20"/>
                <w:szCs w:val="20"/>
                <w:lang w:val="en-GB"/>
              </w:rPr>
              <w:t>Bulgaria doing Business for everyone guide-Practical Information and Contacts, 2013 Edition Updated Reprint International Business Publication, USA ISBN 1-4387-7175-4 8-9.</w:t>
            </w:r>
          </w:p>
        </w:tc>
      </w:tr>
      <w:tr w:rsidR="004215C3" w:rsidRPr="00066D52" w14:paraId="04E98789" w14:textId="77777777" w:rsidTr="00C70D59">
        <w:tc>
          <w:tcPr>
            <w:tcW w:w="538" w:type="dxa"/>
          </w:tcPr>
          <w:p w14:paraId="3D0D3F60" w14:textId="6FBC1123" w:rsidR="004215C3" w:rsidRPr="00066D52" w:rsidRDefault="004215C3" w:rsidP="004215C3">
            <w:pPr>
              <w:pStyle w:val="Heading1"/>
              <w:spacing w:before="0" w:beforeAutospacing="0" w:after="120" w:afterAutospacing="0"/>
              <w:jc w:val="right"/>
              <w:outlineLvl w:val="0"/>
              <w:rPr>
                <w:rFonts w:asciiTheme="minorHAnsi" w:hAnsiTheme="minorHAnsi" w:cstheme="minorHAnsi"/>
                <w:b w:val="0"/>
                <w:bCs w:val="0"/>
                <w:sz w:val="20"/>
                <w:szCs w:val="20"/>
                <w:lang w:val="en-GB"/>
              </w:rPr>
            </w:pPr>
            <w:r>
              <w:rPr>
                <w:rFonts w:asciiTheme="minorHAnsi" w:hAnsiTheme="minorHAnsi" w:cstheme="minorHAnsi"/>
                <w:b w:val="0"/>
                <w:bCs w:val="0"/>
                <w:sz w:val="20"/>
                <w:szCs w:val="20"/>
                <w:lang w:val="en-GB"/>
              </w:rPr>
              <w:t>16.</w:t>
            </w:r>
          </w:p>
        </w:tc>
        <w:tc>
          <w:tcPr>
            <w:tcW w:w="8245" w:type="dxa"/>
          </w:tcPr>
          <w:p w14:paraId="38D2AAA6" w14:textId="3857DA50" w:rsidR="004215C3" w:rsidRPr="00066D52" w:rsidRDefault="004215C3" w:rsidP="00B7488C">
            <w:pPr>
              <w:pStyle w:val="Heading1"/>
              <w:spacing w:before="0" w:beforeAutospacing="0" w:after="120" w:afterAutospacing="0"/>
              <w:outlineLvl w:val="0"/>
              <w:rPr>
                <w:rFonts w:asciiTheme="minorHAnsi" w:hAnsiTheme="minorHAnsi" w:cstheme="minorHAnsi"/>
                <w:b w:val="0"/>
                <w:bCs w:val="0"/>
                <w:sz w:val="20"/>
                <w:szCs w:val="20"/>
                <w:lang w:val="en-GB"/>
              </w:rPr>
            </w:pPr>
            <w:r w:rsidRPr="00066D52">
              <w:rPr>
                <w:rFonts w:asciiTheme="minorHAnsi" w:hAnsiTheme="minorHAnsi" w:cstheme="minorHAnsi"/>
                <w:b w:val="0"/>
                <w:bCs w:val="0"/>
                <w:sz w:val="20"/>
                <w:szCs w:val="20"/>
                <w:lang w:val="en-GB"/>
              </w:rPr>
              <w:t xml:space="preserve">National statistical institute republic Bulgaria census2011/PDOCS2/Census2011. </w:t>
            </w:r>
            <w:hyperlink r:id="rId10" w:history="1">
              <w:r w:rsidRPr="00066D52">
                <w:rPr>
                  <w:rStyle w:val="Hyperlink"/>
                  <w:rFonts w:asciiTheme="minorHAnsi" w:hAnsiTheme="minorHAnsi" w:cstheme="minorHAnsi"/>
                  <w:b w:val="0"/>
                  <w:bCs w:val="0"/>
                  <w:sz w:val="20"/>
                  <w:szCs w:val="20"/>
                  <w:lang w:val="en-GB"/>
                </w:rPr>
                <w:t>http://www.nsi.bg/census2011/PDOCS2/Census2011final_en.pdf</w:t>
              </w:r>
            </w:hyperlink>
            <w:r w:rsidRPr="00066D52">
              <w:rPr>
                <w:rFonts w:asciiTheme="minorHAnsi" w:hAnsiTheme="minorHAnsi" w:cstheme="minorHAnsi"/>
                <w:b w:val="0"/>
                <w:bCs w:val="0"/>
                <w:sz w:val="20"/>
                <w:szCs w:val="20"/>
                <w:lang w:val="en-GB"/>
              </w:rPr>
              <w:t xml:space="preserve">. </w:t>
            </w:r>
          </w:p>
        </w:tc>
      </w:tr>
      <w:tr w:rsidR="004215C3" w:rsidRPr="00066D52" w14:paraId="12856BFF" w14:textId="77777777" w:rsidTr="00C70D59">
        <w:tc>
          <w:tcPr>
            <w:tcW w:w="538" w:type="dxa"/>
          </w:tcPr>
          <w:p w14:paraId="0E015576" w14:textId="5274C45C" w:rsidR="004215C3" w:rsidRPr="00066D52" w:rsidRDefault="004215C3" w:rsidP="004215C3">
            <w:pPr>
              <w:pStyle w:val="Heading1"/>
              <w:spacing w:before="0" w:beforeAutospacing="0" w:after="120" w:afterAutospacing="0"/>
              <w:jc w:val="right"/>
              <w:outlineLvl w:val="0"/>
              <w:rPr>
                <w:rFonts w:asciiTheme="minorHAnsi" w:eastAsia="Calibri" w:hAnsiTheme="minorHAnsi" w:cstheme="minorHAnsi"/>
                <w:b w:val="0"/>
                <w:bCs w:val="0"/>
                <w:sz w:val="20"/>
                <w:szCs w:val="20"/>
              </w:rPr>
            </w:pPr>
            <w:r>
              <w:rPr>
                <w:rFonts w:asciiTheme="minorHAnsi" w:eastAsia="Calibri" w:hAnsiTheme="minorHAnsi" w:cstheme="minorHAnsi"/>
                <w:b w:val="0"/>
                <w:bCs w:val="0"/>
                <w:sz w:val="20"/>
                <w:szCs w:val="20"/>
              </w:rPr>
              <w:t>17.</w:t>
            </w:r>
          </w:p>
        </w:tc>
        <w:tc>
          <w:tcPr>
            <w:tcW w:w="8245" w:type="dxa"/>
          </w:tcPr>
          <w:p w14:paraId="5B882F24" w14:textId="77777777" w:rsidR="004215C3" w:rsidRPr="00066D52" w:rsidRDefault="004215C3" w:rsidP="00B7488C">
            <w:pPr>
              <w:pStyle w:val="Heading1"/>
              <w:spacing w:before="0" w:beforeAutospacing="0" w:after="120" w:afterAutospacing="0"/>
              <w:outlineLvl w:val="0"/>
              <w:rPr>
                <w:rFonts w:asciiTheme="minorHAnsi" w:hAnsiTheme="minorHAnsi" w:cstheme="minorHAnsi"/>
                <w:b w:val="0"/>
                <w:bCs w:val="0"/>
                <w:sz w:val="20"/>
                <w:szCs w:val="20"/>
                <w:lang w:val="en-GB"/>
              </w:rPr>
            </w:pPr>
            <w:r w:rsidRPr="00066D52">
              <w:rPr>
                <w:rFonts w:asciiTheme="minorHAnsi" w:eastAsia="Calibri" w:hAnsiTheme="minorHAnsi" w:cstheme="minorHAnsi"/>
                <w:b w:val="0"/>
                <w:bCs w:val="0"/>
                <w:sz w:val="20"/>
                <w:szCs w:val="20"/>
              </w:rPr>
              <w:t xml:space="preserve">United Nations (2017) DESA / Population Division. World Population Prospects 2017 </w:t>
            </w:r>
            <w:hyperlink r:id="rId11" w:history="1">
              <w:r w:rsidRPr="00066D52">
                <w:rPr>
                  <w:rFonts w:asciiTheme="minorHAnsi" w:eastAsia="Calibri" w:hAnsiTheme="minorHAnsi" w:cstheme="minorHAnsi"/>
                  <w:b w:val="0"/>
                  <w:bCs w:val="0"/>
                  <w:color w:val="0563C1"/>
                  <w:sz w:val="20"/>
                  <w:szCs w:val="20"/>
                  <w:u w:val="single"/>
                </w:rPr>
                <w:t>https://population.un.org/wpp/Download/Standard/Population/</w:t>
              </w:r>
            </w:hyperlink>
            <w:r w:rsidRPr="00066D52">
              <w:rPr>
                <w:rFonts w:asciiTheme="minorHAnsi" w:eastAsia="Calibri" w:hAnsiTheme="minorHAnsi" w:cstheme="minorHAnsi"/>
                <w:b w:val="0"/>
                <w:bCs w:val="0"/>
                <w:sz w:val="20"/>
                <w:szCs w:val="20"/>
              </w:rPr>
              <w:t>.   Accessed 15 Feb 2019</w:t>
            </w:r>
          </w:p>
        </w:tc>
      </w:tr>
      <w:tr w:rsidR="004215C3" w:rsidRPr="00066D52" w14:paraId="20A680F7" w14:textId="77777777" w:rsidTr="00C70D59">
        <w:tc>
          <w:tcPr>
            <w:tcW w:w="538" w:type="dxa"/>
          </w:tcPr>
          <w:p w14:paraId="238CC90A" w14:textId="3601F53A" w:rsidR="004215C3" w:rsidRPr="00066D52" w:rsidRDefault="004215C3" w:rsidP="004215C3">
            <w:pPr>
              <w:pStyle w:val="Heading1"/>
              <w:spacing w:before="0" w:beforeAutospacing="0" w:after="120" w:afterAutospacing="0"/>
              <w:jc w:val="right"/>
              <w:outlineLvl w:val="0"/>
              <w:rPr>
                <w:rFonts w:asciiTheme="minorHAnsi" w:eastAsia="Calibri" w:hAnsiTheme="minorHAnsi" w:cstheme="minorHAnsi"/>
                <w:b w:val="0"/>
                <w:bCs w:val="0"/>
                <w:sz w:val="20"/>
                <w:szCs w:val="20"/>
              </w:rPr>
            </w:pPr>
            <w:r>
              <w:rPr>
                <w:rFonts w:asciiTheme="minorHAnsi" w:eastAsia="Calibri" w:hAnsiTheme="minorHAnsi" w:cstheme="minorHAnsi"/>
                <w:b w:val="0"/>
                <w:bCs w:val="0"/>
                <w:sz w:val="20"/>
                <w:szCs w:val="20"/>
              </w:rPr>
              <w:t>18.</w:t>
            </w:r>
          </w:p>
        </w:tc>
        <w:tc>
          <w:tcPr>
            <w:tcW w:w="8245" w:type="dxa"/>
          </w:tcPr>
          <w:p w14:paraId="5F3573C0" w14:textId="77777777" w:rsidR="004215C3" w:rsidRPr="00066D52" w:rsidRDefault="004215C3" w:rsidP="00B7488C">
            <w:pPr>
              <w:pStyle w:val="Heading1"/>
              <w:spacing w:before="0" w:beforeAutospacing="0" w:after="120" w:afterAutospacing="0"/>
              <w:outlineLvl w:val="0"/>
              <w:rPr>
                <w:rFonts w:asciiTheme="minorHAnsi" w:hAnsiTheme="minorHAnsi" w:cstheme="minorHAnsi"/>
                <w:b w:val="0"/>
                <w:bCs w:val="0"/>
                <w:sz w:val="20"/>
                <w:szCs w:val="20"/>
                <w:lang w:val="en-GB"/>
              </w:rPr>
            </w:pPr>
            <w:r w:rsidRPr="00066D52">
              <w:rPr>
                <w:rFonts w:asciiTheme="minorHAnsi" w:eastAsia="Calibri" w:hAnsiTheme="minorHAnsi" w:cstheme="minorHAnsi"/>
                <w:b w:val="0"/>
                <w:bCs w:val="0"/>
                <w:sz w:val="20"/>
                <w:szCs w:val="20"/>
              </w:rPr>
              <w:t>Kanis JA, Oden A, Johnell O, Jonsson B, de Laet C, Dawson A (2001) The burden of osteoporotic fractures: a method for setting intervention thresholds. Osteoporos Int 12:417–427</w:t>
            </w:r>
          </w:p>
        </w:tc>
      </w:tr>
      <w:tr w:rsidR="004215C3" w:rsidRPr="00066D52" w14:paraId="1EFCF2DD" w14:textId="77777777" w:rsidTr="00C70D59">
        <w:tc>
          <w:tcPr>
            <w:tcW w:w="538" w:type="dxa"/>
          </w:tcPr>
          <w:p w14:paraId="2EAE5302" w14:textId="0C25927C" w:rsidR="004215C3" w:rsidRPr="00066D52" w:rsidRDefault="004215C3" w:rsidP="004215C3">
            <w:pPr>
              <w:pStyle w:val="Heading1"/>
              <w:spacing w:before="0" w:beforeAutospacing="0" w:after="120" w:afterAutospacing="0"/>
              <w:jc w:val="right"/>
              <w:outlineLvl w:val="0"/>
              <w:rPr>
                <w:rFonts w:asciiTheme="minorHAnsi" w:eastAsia="Calibri" w:hAnsiTheme="minorHAnsi" w:cstheme="minorHAnsi"/>
                <w:b w:val="0"/>
                <w:bCs w:val="0"/>
                <w:sz w:val="20"/>
                <w:szCs w:val="20"/>
              </w:rPr>
            </w:pPr>
            <w:r>
              <w:rPr>
                <w:rFonts w:asciiTheme="minorHAnsi" w:eastAsia="Calibri" w:hAnsiTheme="minorHAnsi" w:cstheme="minorHAnsi"/>
                <w:b w:val="0"/>
                <w:bCs w:val="0"/>
                <w:sz w:val="20"/>
                <w:szCs w:val="20"/>
              </w:rPr>
              <w:t>19.</w:t>
            </w:r>
          </w:p>
        </w:tc>
        <w:tc>
          <w:tcPr>
            <w:tcW w:w="8245" w:type="dxa"/>
          </w:tcPr>
          <w:p w14:paraId="24F67BED" w14:textId="77777777" w:rsidR="004215C3" w:rsidRPr="00066D52" w:rsidRDefault="004215C3" w:rsidP="00B7488C">
            <w:pPr>
              <w:pStyle w:val="Heading1"/>
              <w:spacing w:before="0" w:beforeAutospacing="0" w:after="120" w:afterAutospacing="0"/>
              <w:outlineLvl w:val="0"/>
              <w:rPr>
                <w:rFonts w:asciiTheme="minorHAnsi" w:hAnsiTheme="minorHAnsi" w:cstheme="minorHAnsi"/>
                <w:b w:val="0"/>
                <w:bCs w:val="0"/>
                <w:sz w:val="20"/>
                <w:szCs w:val="20"/>
                <w:lang w:val="en-GB"/>
              </w:rPr>
            </w:pPr>
            <w:bookmarkStart w:id="21" w:name="_Hlk21015368"/>
            <w:r w:rsidRPr="00066D52">
              <w:rPr>
                <w:rFonts w:asciiTheme="minorHAnsi" w:eastAsia="Calibri" w:hAnsiTheme="minorHAnsi" w:cstheme="minorHAnsi"/>
                <w:b w:val="0"/>
                <w:bCs w:val="0"/>
                <w:sz w:val="20"/>
                <w:szCs w:val="20"/>
              </w:rPr>
              <w:t>Siggeirsdottir K</w:t>
            </w:r>
            <w:bookmarkEnd w:id="21"/>
            <w:r w:rsidRPr="00066D52">
              <w:rPr>
                <w:rFonts w:asciiTheme="minorHAnsi" w:eastAsia="Calibri" w:hAnsiTheme="minorHAnsi" w:cstheme="minorHAnsi"/>
                <w:b w:val="0"/>
                <w:bCs w:val="0"/>
                <w:sz w:val="20"/>
                <w:szCs w:val="20"/>
              </w:rPr>
              <w:t>, Aspelund T, Johansson H, Gudmundsson EF, Mogensen B, Jonsson BY, Gudnason V, McCloskey E, Oden A, Sigurdsson G, Kanis JA (2014) The incidence of a first major osteoporotic fracture in Iceland and implications for FRAX. Osteoporos Int 25:2445–2451</w:t>
            </w:r>
          </w:p>
        </w:tc>
      </w:tr>
      <w:tr w:rsidR="004215C3" w:rsidRPr="00066D52" w14:paraId="7F3CA591" w14:textId="77777777" w:rsidTr="00C70D59">
        <w:tc>
          <w:tcPr>
            <w:tcW w:w="538" w:type="dxa"/>
          </w:tcPr>
          <w:p w14:paraId="2A0680E7" w14:textId="7DC2D765" w:rsidR="004215C3" w:rsidRDefault="004215C3" w:rsidP="004215C3">
            <w:pPr>
              <w:pStyle w:val="Heading1"/>
              <w:spacing w:before="0" w:beforeAutospacing="0" w:after="120" w:afterAutospacing="0"/>
              <w:jc w:val="right"/>
              <w:outlineLvl w:val="0"/>
              <w:rPr>
                <w:rFonts w:asciiTheme="minorHAnsi" w:eastAsia="Calibri" w:hAnsiTheme="minorHAnsi" w:cstheme="minorHAnsi"/>
                <w:b w:val="0"/>
                <w:bCs w:val="0"/>
                <w:sz w:val="20"/>
                <w:szCs w:val="20"/>
              </w:rPr>
            </w:pPr>
            <w:r>
              <w:rPr>
                <w:rFonts w:asciiTheme="minorHAnsi" w:eastAsia="Calibri" w:hAnsiTheme="minorHAnsi" w:cstheme="minorHAnsi"/>
                <w:b w:val="0"/>
                <w:bCs w:val="0"/>
                <w:sz w:val="20"/>
                <w:szCs w:val="20"/>
              </w:rPr>
              <w:t>20.</w:t>
            </w:r>
          </w:p>
        </w:tc>
        <w:tc>
          <w:tcPr>
            <w:tcW w:w="8245" w:type="dxa"/>
          </w:tcPr>
          <w:p w14:paraId="4E03B4D1" w14:textId="0BFEF045" w:rsidR="004215C3" w:rsidRPr="00066D52" w:rsidRDefault="004215C3" w:rsidP="00B7488C">
            <w:pPr>
              <w:pStyle w:val="Heading1"/>
              <w:spacing w:before="0" w:beforeAutospacing="0" w:after="120" w:afterAutospacing="0"/>
              <w:outlineLvl w:val="0"/>
              <w:rPr>
                <w:rFonts w:asciiTheme="minorHAnsi" w:eastAsia="Calibri" w:hAnsiTheme="minorHAnsi" w:cstheme="minorHAnsi"/>
                <w:b w:val="0"/>
                <w:bCs w:val="0"/>
                <w:sz w:val="20"/>
                <w:szCs w:val="20"/>
              </w:rPr>
            </w:pPr>
            <w:r w:rsidRPr="00076C82">
              <w:rPr>
                <w:rFonts w:asciiTheme="minorHAnsi" w:eastAsia="Calibri" w:hAnsiTheme="minorHAnsi" w:cstheme="minorHAnsi"/>
                <w:b w:val="0"/>
                <w:bCs w:val="0"/>
                <w:sz w:val="20"/>
                <w:szCs w:val="20"/>
              </w:rPr>
              <w:t>Lam A, LeslieWD, Lix LM, Yogendran M, Morin SN, Majumdar SR (2014) Major osteoporotic to hip fracture ratios in Canadian men and women with Swedish comparisons: a population-based analysis. J Bone Miner Res 29:1067–1073</w:t>
            </w:r>
          </w:p>
        </w:tc>
      </w:tr>
      <w:tr w:rsidR="004215C3" w:rsidRPr="00066D52" w14:paraId="507BAA39" w14:textId="77777777" w:rsidTr="00C70D59">
        <w:tc>
          <w:tcPr>
            <w:tcW w:w="538" w:type="dxa"/>
          </w:tcPr>
          <w:p w14:paraId="68FDD1DD" w14:textId="765226BF" w:rsidR="004215C3" w:rsidRPr="00066D52" w:rsidRDefault="004215C3" w:rsidP="009C155D">
            <w:pPr>
              <w:pStyle w:val="Heading1"/>
              <w:spacing w:before="240" w:beforeAutospacing="0" w:after="120" w:afterAutospacing="0"/>
              <w:jc w:val="right"/>
              <w:outlineLvl w:val="0"/>
              <w:rPr>
                <w:rFonts w:asciiTheme="minorHAnsi" w:hAnsiTheme="minorHAnsi" w:cstheme="minorHAnsi"/>
                <w:b w:val="0"/>
                <w:bCs w:val="0"/>
                <w:sz w:val="20"/>
                <w:szCs w:val="20"/>
                <w:lang w:val="en-GB"/>
              </w:rPr>
            </w:pPr>
            <w:r>
              <w:rPr>
                <w:rFonts w:asciiTheme="minorHAnsi" w:hAnsiTheme="minorHAnsi" w:cstheme="minorHAnsi"/>
                <w:b w:val="0"/>
                <w:bCs w:val="0"/>
                <w:sz w:val="20"/>
                <w:szCs w:val="20"/>
                <w:lang w:val="en-GB"/>
              </w:rPr>
              <w:t>21.</w:t>
            </w:r>
          </w:p>
        </w:tc>
        <w:tc>
          <w:tcPr>
            <w:tcW w:w="8245" w:type="dxa"/>
          </w:tcPr>
          <w:p w14:paraId="114CF5BA" w14:textId="77777777" w:rsidR="004215C3" w:rsidRPr="00066D52" w:rsidRDefault="004215C3" w:rsidP="009C155D">
            <w:pPr>
              <w:pStyle w:val="CommentText"/>
              <w:spacing w:before="240"/>
              <w:rPr>
                <w:rFonts w:cstheme="minorHAnsi"/>
                <w:b/>
                <w:bCs/>
                <w:lang w:val="en-GB"/>
              </w:rPr>
            </w:pPr>
            <w:r w:rsidRPr="00066D52">
              <w:rPr>
                <w:rFonts w:cstheme="minorHAnsi"/>
              </w:rPr>
              <w:t>United Nations (2010) Population Division of the Department of Economic and Social Affairs of the United Nations Secretariat, World Population Prospects: http://esa.un.org/unpd/wpp/unpp/panel_indicators.htm  Accessed November 2011</w:t>
            </w:r>
          </w:p>
        </w:tc>
      </w:tr>
      <w:tr w:rsidR="004215C3" w:rsidRPr="00066D52" w14:paraId="5F4205B7" w14:textId="77777777" w:rsidTr="00C70D59">
        <w:tc>
          <w:tcPr>
            <w:tcW w:w="538" w:type="dxa"/>
          </w:tcPr>
          <w:p w14:paraId="333E3BC0" w14:textId="30CD2B24" w:rsidR="004215C3" w:rsidRPr="00066D52" w:rsidRDefault="004215C3" w:rsidP="009C155D">
            <w:pPr>
              <w:pStyle w:val="Heading1"/>
              <w:spacing w:before="240" w:beforeAutospacing="0" w:after="120" w:afterAutospacing="0"/>
              <w:jc w:val="right"/>
              <w:outlineLvl w:val="0"/>
              <w:rPr>
                <w:rFonts w:asciiTheme="minorHAnsi" w:hAnsiTheme="minorHAnsi" w:cstheme="minorHAnsi"/>
                <w:b w:val="0"/>
                <w:bCs w:val="0"/>
                <w:sz w:val="20"/>
                <w:szCs w:val="20"/>
                <w:lang w:val="en-GB"/>
              </w:rPr>
            </w:pPr>
            <w:r>
              <w:rPr>
                <w:rFonts w:asciiTheme="minorHAnsi" w:hAnsiTheme="minorHAnsi" w:cstheme="minorHAnsi"/>
                <w:b w:val="0"/>
                <w:bCs w:val="0"/>
                <w:sz w:val="20"/>
                <w:szCs w:val="20"/>
                <w:lang w:val="en-GB"/>
              </w:rPr>
              <w:t>22.</w:t>
            </w:r>
          </w:p>
        </w:tc>
        <w:tc>
          <w:tcPr>
            <w:tcW w:w="8245" w:type="dxa"/>
          </w:tcPr>
          <w:p w14:paraId="5A613BDA" w14:textId="77777777" w:rsidR="004215C3" w:rsidRPr="00066D52" w:rsidRDefault="004215C3" w:rsidP="009C155D">
            <w:pPr>
              <w:pStyle w:val="CommentText"/>
              <w:spacing w:before="240"/>
              <w:rPr>
                <w:rFonts w:cstheme="minorHAnsi"/>
              </w:rPr>
            </w:pPr>
            <w:r w:rsidRPr="00066D52">
              <w:rPr>
                <w:rFonts w:cstheme="minorHAnsi"/>
              </w:rPr>
              <w:t>Kanis JA, Johnell O, De Laet C, Jonsson B, Oden A, Ogelsby AK (2002) International variations in hip fracture probabilities: implications for risk assessment. J Bone Miner Res 17:1237–1244</w:t>
            </w:r>
          </w:p>
        </w:tc>
      </w:tr>
      <w:tr w:rsidR="004215C3" w:rsidRPr="00066D52" w14:paraId="6842CB21" w14:textId="77777777" w:rsidTr="00C70D59">
        <w:tc>
          <w:tcPr>
            <w:tcW w:w="538" w:type="dxa"/>
          </w:tcPr>
          <w:p w14:paraId="02E2306D" w14:textId="1B4E440F" w:rsidR="004215C3" w:rsidRPr="00066D52" w:rsidRDefault="004215C3" w:rsidP="009C155D">
            <w:pPr>
              <w:pStyle w:val="Heading1"/>
              <w:spacing w:before="240" w:beforeAutospacing="0" w:after="120" w:afterAutospacing="0"/>
              <w:jc w:val="right"/>
              <w:outlineLvl w:val="0"/>
              <w:rPr>
                <w:rFonts w:asciiTheme="minorHAnsi" w:hAnsiTheme="minorHAnsi" w:cstheme="minorHAnsi"/>
                <w:b w:val="0"/>
                <w:bCs w:val="0"/>
                <w:sz w:val="20"/>
                <w:szCs w:val="20"/>
                <w:lang w:val="en-GB"/>
              </w:rPr>
            </w:pPr>
            <w:r>
              <w:rPr>
                <w:rFonts w:asciiTheme="minorHAnsi" w:hAnsiTheme="minorHAnsi" w:cstheme="minorHAnsi"/>
                <w:b w:val="0"/>
                <w:bCs w:val="0"/>
                <w:sz w:val="20"/>
                <w:szCs w:val="20"/>
                <w:lang w:val="en-GB"/>
              </w:rPr>
              <w:t>23.</w:t>
            </w:r>
          </w:p>
        </w:tc>
        <w:tc>
          <w:tcPr>
            <w:tcW w:w="8245" w:type="dxa"/>
          </w:tcPr>
          <w:p w14:paraId="52E2F7A1" w14:textId="77777777" w:rsidR="004215C3" w:rsidRPr="00066D52" w:rsidRDefault="004215C3" w:rsidP="009C155D">
            <w:pPr>
              <w:pStyle w:val="CommentText"/>
              <w:spacing w:before="240"/>
              <w:rPr>
                <w:rFonts w:cstheme="minorHAnsi"/>
              </w:rPr>
            </w:pPr>
            <w:r w:rsidRPr="00066D52">
              <w:rPr>
                <w:rFonts w:eastAsia="Calibri" w:cstheme="minorHAnsi"/>
              </w:rPr>
              <w:t>Clark P, Lavielle P, Franco-Morina F, Ramirez E, Salmeron J, Kanis JA, Cummings SR (2005) Incidence rates and life-time risk of hip fractures in Mexicans over 50 years of age: a population-based study. Osteoporos Int. 16: 2025-30</w:t>
            </w:r>
          </w:p>
        </w:tc>
      </w:tr>
      <w:tr w:rsidR="004215C3" w:rsidRPr="00066D52" w14:paraId="5313F4A7" w14:textId="77777777" w:rsidTr="00C70D59">
        <w:tc>
          <w:tcPr>
            <w:tcW w:w="538" w:type="dxa"/>
          </w:tcPr>
          <w:p w14:paraId="6577A38D" w14:textId="0C36BC61" w:rsidR="004215C3" w:rsidRPr="00066D52" w:rsidRDefault="004215C3" w:rsidP="009C155D">
            <w:pPr>
              <w:pStyle w:val="Heading1"/>
              <w:spacing w:before="240" w:beforeAutospacing="0" w:after="120" w:afterAutospacing="0"/>
              <w:jc w:val="right"/>
              <w:outlineLvl w:val="0"/>
              <w:rPr>
                <w:rFonts w:asciiTheme="minorHAnsi" w:hAnsiTheme="minorHAnsi" w:cstheme="minorHAnsi"/>
                <w:b w:val="0"/>
                <w:bCs w:val="0"/>
                <w:sz w:val="20"/>
                <w:szCs w:val="20"/>
                <w:lang w:val="en-GB"/>
              </w:rPr>
            </w:pPr>
            <w:r>
              <w:rPr>
                <w:rFonts w:asciiTheme="minorHAnsi" w:hAnsiTheme="minorHAnsi" w:cstheme="minorHAnsi"/>
                <w:b w:val="0"/>
                <w:bCs w:val="0"/>
                <w:sz w:val="20"/>
                <w:szCs w:val="20"/>
                <w:lang w:val="en-GB"/>
              </w:rPr>
              <w:t>24.</w:t>
            </w:r>
          </w:p>
        </w:tc>
        <w:tc>
          <w:tcPr>
            <w:tcW w:w="8245" w:type="dxa"/>
          </w:tcPr>
          <w:p w14:paraId="211F913F" w14:textId="77777777" w:rsidR="004215C3" w:rsidRPr="00066D52" w:rsidRDefault="004215C3" w:rsidP="009C155D">
            <w:pPr>
              <w:pStyle w:val="CommentText"/>
              <w:spacing w:before="240"/>
              <w:rPr>
                <w:rFonts w:cstheme="minorHAnsi"/>
              </w:rPr>
            </w:pPr>
            <w:bookmarkStart w:id="22" w:name="_Hlk21018852"/>
            <w:r w:rsidRPr="00066D52">
              <w:rPr>
                <w:rFonts w:eastAsia="Calibri" w:cstheme="minorHAnsi"/>
              </w:rPr>
              <w:t>Grigorie</w:t>
            </w:r>
            <w:bookmarkEnd w:id="22"/>
            <w:r w:rsidRPr="00066D52">
              <w:rPr>
                <w:rFonts w:eastAsia="Calibri" w:cstheme="minorHAnsi"/>
              </w:rPr>
              <w:t xml:space="preserve"> D, Sucaliuc A, , Johansson H,  Kanis JA, McCloskey E (2013) Incidence of hip fracture in Romania and the development of a Romanian FRAX model.  Calcif Tiss Int 92:429-436</w:t>
            </w:r>
          </w:p>
        </w:tc>
      </w:tr>
      <w:tr w:rsidR="004215C3" w:rsidRPr="00066D52" w14:paraId="30CAE56C" w14:textId="77777777" w:rsidTr="00C70D59">
        <w:tc>
          <w:tcPr>
            <w:tcW w:w="538" w:type="dxa"/>
          </w:tcPr>
          <w:p w14:paraId="3F9D918B" w14:textId="7DD16A9E" w:rsidR="004215C3" w:rsidRPr="00066D52" w:rsidRDefault="004215C3" w:rsidP="009C155D">
            <w:pPr>
              <w:pStyle w:val="Heading1"/>
              <w:spacing w:before="240" w:beforeAutospacing="0" w:after="120" w:afterAutospacing="0"/>
              <w:jc w:val="right"/>
              <w:outlineLvl w:val="0"/>
              <w:rPr>
                <w:rFonts w:asciiTheme="minorHAnsi" w:hAnsiTheme="minorHAnsi" w:cstheme="minorHAnsi"/>
                <w:b w:val="0"/>
                <w:bCs w:val="0"/>
                <w:sz w:val="20"/>
                <w:szCs w:val="20"/>
                <w:lang w:val="en-GB"/>
              </w:rPr>
            </w:pPr>
            <w:r>
              <w:rPr>
                <w:rFonts w:asciiTheme="minorHAnsi" w:hAnsiTheme="minorHAnsi" w:cstheme="minorHAnsi"/>
                <w:b w:val="0"/>
                <w:bCs w:val="0"/>
                <w:sz w:val="20"/>
                <w:szCs w:val="20"/>
                <w:lang w:val="en-GB"/>
              </w:rPr>
              <w:t>25.</w:t>
            </w:r>
          </w:p>
        </w:tc>
        <w:tc>
          <w:tcPr>
            <w:tcW w:w="8245" w:type="dxa"/>
          </w:tcPr>
          <w:p w14:paraId="6E2F89EB" w14:textId="77777777" w:rsidR="004215C3" w:rsidRPr="00066D52" w:rsidRDefault="004215C3" w:rsidP="009C155D">
            <w:pPr>
              <w:pStyle w:val="CommentText"/>
              <w:spacing w:before="240"/>
              <w:rPr>
                <w:rFonts w:cstheme="minorHAnsi"/>
              </w:rPr>
            </w:pPr>
            <w:r w:rsidRPr="00066D52">
              <w:rPr>
                <w:rFonts w:eastAsia="Calibri" w:cstheme="minorHAnsi"/>
              </w:rPr>
              <w:t>Czerwinski E, Kanis JA, Trybulec B, Johansson H, Borowy P, Osieleniec J (2009) The incidence and risk of hip fracture in Poland. Osteoporos Int 20:1363-1367</w:t>
            </w:r>
          </w:p>
        </w:tc>
      </w:tr>
      <w:tr w:rsidR="004215C3" w:rsidRPr="00066D52" w14:paraId="4C0612D6" w14:textId="77777777" w:rsidTr="00C70D59">
        <w:tc>
          <w:tcPr>
            <w:tcW w:w="538" w:type="dxa"/>
          </w:tcPr>
          <w:p w14:paraId="72D02D2F" w14:textId="1C74990B" w:rsidR="004215C3" w:rsidRPr="00066D52" w:rsidRDefault="004215C3" w:rsidP="009C155D">
            <w:pPr>
              <w:pStyle w:val="Heading1"/>
              <w:spacing w:before="240" w:beforeAutospacing="0" w:after="120" w:afterAutospacing="0"/>
              <w:jc w:val="right"/>
              <w:outlineLvl w:val="0"/>
              <w:rPr>
                <w:rFonts w:asciiTheme="minorHAnsi" w:hAnsiTheme="minorHAnsi" w:cstheme="minorHAnsi"/>
                <w:b w:val="0"/>
                <w:bCs w:val="0"/>
                <w:sz w:val="20"/>
                <w:szCs w:val="20"/>
                <w:lang w:val="en-GB"/>
              </w:rPr>
            </w:pPr>
            <w:r>
              <w:rPr>
                <w:rFonts w:asciiTheme="minorHAnsi" w:hAnsiTheme="minorHAnsi" w:cstheme="minorHAnsi"/>
                <w:b w:val="0"/>
                <w:bCs w:val="0"/>
                <w:sz w:val="20"/>
                <w:szCs w:val="20"/>
                <w:lang w:val="en-GB"/>
              </w:rPr>
              <w:t>26.</w:t>
            </w:r>
          </w:p>
        </w:tc>
        <w:tc>
          <w:tcPr>
            <w:tcW w:w="8245" w:type="dxa"/>
          </w:tcPr>
          <w:p w14:paraId="521007BF" w14:textId="77777777" w:rsidR="004215C3" w:rsidRPr="00066D52" w:rsidRDefault="004215C3" w:rsidP="009C155D">
            <w:pPr>
              <w:pStyle w:val="CommentText"/>
              <w:spacing w:before="240"/>
              <w:rPr>
                <w:rFonts w:cstheme="minorHAnsi"/>
              </w:rPr>
            </w:pPr>
            <w:r w:rsidRPr="00066D52">
              <w:rPr>
                <w:rFonts w:cstheme="minorHAnsi"/>
              </w:rPr>
              <w:t>Povoroznyuk VV, Grygorieva NV, Kanis JA, McCloskey EV, Johansson H, Harvey NC, Korzh MO, Strafun SS, Vaida VM, Klymovytsky FV, Vlasenko RO, Forosenko VS (2017) Epidemiology of hip fracture and the development of FRAX in Ukraine. Arch Osteoporos 12: 53.</w:t>
            </w:r>
          </w:p>
        </w:tc>
      </w:tr>
      <w:tr w:rsidR="004215C3" w:rsidRPr="00066D52" w14:paraId="3DB52501" w14:textId="77777777" w:rsidTr="00C70D59">
        <w:tc>
          <w:tcPr>
            <w:tcW w:w="538" w:type="dxa"/>
          </w:tcPr>
          <w:p w14:paraId="200D7D87" w14:textId="0D760023" w:rsidR="004215C3" w:rsidRPr="00066D52" w:rsidRDefault="004215C3" w:rsidP="009C155D">
            <w:pPr>
              <w:pStyle w:val="Heading1"/>
              <w:spacing w:before="240" w:beforeAutospacing="0" w:after="120" w:afterAutospacing="0"/>
              <w:jc w:val="right"/>
              <w:outlineLvl w:val="0"/>
              <w:rPr>
                <w:rFonts w:asciiTheme="minorHAnsi" w:hAnsiTheme="minorHAnsi" w:cstheme="minorHAnsi"/>
                <w:b w:val="0"/>
                <w:bCs w:val="0"/>
                <w:sz w:val="20"/>
                <w:szCs w:val="20"/>
                <w:lang w:val="en-GB"/>
              </w:rPr>
            </w:pPr>
            <w:r>
              <w:rPr>
                <w:rFonts w:asciiTheme="minorHAnsi" w:hAnsiTheme="minorHAnsi" w:cstheme="minorHAnsi"/>
                <w:b w:val="0"/>
                <w:bCs w:val="0"/>
                <w:sz w:val="20"/>
                <w:szCs w:val="20"/>
                <w:lang w:val="en-GB"/>
              </w:rPr>
              <w:t>27.</w:t>
            </w:r>
          </w:p>
        </w:tc>
        <w:tc>
          <w:tcPr>
            <w:tcW w:w="8245" w:type="dxa"/>
          </w:tcPr>
          <w:p w14:paraId="3C87B846" w14:textId="77777777" w:rsidR="004215C3" w:rsidRPr="00066D52" w:rsidRDefault="004215C3" w:rsidP="009C155D">
            <w:pPr>
              <w:pStyle w:val="CommentText"/>
              <w:spacing w:before="240"/>
              <w:rPr>
                <w:rFonts w:cstheme="minorHAnsi"/>
              </w:rPr>
            </w:pPr>
            <w:r w:rsidRPr="00066D52">
              <w:rPr>
                <w:rFonts w:cstheme="minorHAnsi"/>
              </w:rPr>
              <w:t>Johansson H, Matijevic R, Harhaji V, McCloskey EV, Harvey NC, Lorentzon M, Liu E, Kanis JA (2019) Ten-year fracture probability in Serbia according to age and other FRAX models in the region. Osteoporosis International 30 (Suppl 1): P591</w:t>
            </w:r>
          </w:p>
        </w:tc>
      </w:tr>
      <w:tr w:rsidR="004215C3" w:rsidRPr="00066D52" w14:paraId="07586F92" w14:textId="77777777" w:rsidTr="00C70D59">
        <w:tc>
          <w:tcPr>
            <w:tcW w:w="538" w:type="dxa"/>
          </w:tcPr>
          <w:p w14:paraId="6C9464AF" w14:textId="44ED4940" w:rsidR="004215C3" w:rsidRDefault="004215C3" w:rsidP="009C155D">
            <w:pPr>
              <w:pStyle w:val="Heading1"/>
              <w:spacing w:before="240" w:beforeAutospacing="0" w:after="120" w:afterAutospacing="0"/>
              <w:jc w:val="right"/>
              <w:outlineLvl w:val="0"/>
              <w:rPr>
                <w:rFonts w:asciiTheme="minorHAnsi" w:hAnsiTheme="minorHAnsi" w:cstheme="minorHAnsi"/>
                <w:b w:val="0"/>
                <w:bCs w:val="0"/>
                <w:sz w:val="20"/>
                <w:szCs w:val="20"/>
                <w:lang w:val="en-GB"/>
              </w:rPr>
            </w:pPr>
            <w:r>
              <w:rPr>
                <w:rFonts w:asciiTheme="minorHAnsi" w:hAnsiTheme="minorHAnsi" w:cstheme="minorHAnsi"/>
                <w:b w:val="0"/>
                <w:bCs w:val="0"/>
                <w:sz w:val="20"/>
                <w:szCs w:val="20"/>
                <w:lang w:val="en-GB"/>
              </w:rPr>
              <w:t>28.</w:t>
            </w:r>
          </w:p>
        </w:tc>
        <w:tc>
          <w:tcPr>
            <w:tcW w:w="8245" w:type="dxa"/>
          </w:tcPr>
          <w:p w14:paraId="331D5526" w14:textId="7A8DB7D7" w:rsidR="004215C3" w:rsidRPr="00066D52" w:rsidRDefault="004215C3" w:rsidP="009C155D">
            <w:pPr>
              <w:pStyle w:val="CommentText"/>
              <w:spacing w:before="240"/>
              <w:rPr>
                <w:rFonts w:cstheme="minorHAnsi"/>
              </w:rPr>
            </w:pPr>
            <w:r w:rsidRPr="00267EDA">
              <w:rPr>
                <w:rFonts w:cstheme="minorHAnsi"/>
              </w:rPr>
              <w:t>Kanis JA., Oden A, McCloskey EV, Johansson HD, Wahl A, Cooper C (2012) A systematic review of hip fracture incidence and probability of fracture worldwide. Osteoporos Int 23 (9): 2239-56.</w:t>
            </w:r>
          </w:p>
        </w:tc>
      </w:tr>
      <w:tr w:rsidR="004215C3" w:rsidRPr="00066D52" w14:paraId="7B2BFDB4" w14:textId="77777777" w:rsidTr="00C70D59">
        <w:tc>
          <w:tcPr>
            <w:tcW w:w="538" w:type="dxa"/>
          </w:tcPr>
          <w:p w14:paraId="3A94A493" w14:textId="383B0FA8" w:rsidR="004215C3" w:rsidRDefault="004215C3" w:rsidP="009C155D">
            <w:pPr>
              <w:pStyle w:val="Heading1"/>
              <w:spacing w:before="240" w:beforeAutospacing="0" w:after="120" w:afterAutospacing="0"/>
              <w:jc w:val="right"/>
              <w:outlineLvl w:val="0"/>
              <w:rPr>
                <w:rFonts w:asciiTheme="minorHAnsi" w:hAnsiTheme="minorHAnsi" w:cstheme="minorHAnsi"/>
                <w:b w:val="0"/>
                <w:bCs w:val="0"/>
                <w:sz w:val="20"/>
                <w:szCs w:val="20"/>
                <w:lang w:val="en-GB"/>
              </w:rPr>
            </w:pPr>
            <w:r>
              <w:rPr>
                <w:rFonts w:asciiTheme="minorHAnsi" w:hAnsiTheme="minorHAnsi" w:cstheme="minorHAnsi"/>
                <w:b w:val="0"/>
                <w:bCs w:val="0"/>
                <w:sz w:val="20"/>
                <w:szCs w:val="20"/>
                <w:lang w:val="en-GB"/>
              </w:rPr>
              <w:t>29.</w:t>
            </w:r>
          </w:p>
        </w:tc>
        <w:tc>
          <w:tcPr>
            <w:tcW w:w="8245" w:type="dxa"/>
          </w:tcPr>
          <w:p w14:paraId="3C71F760" w14:textId="0A19E83B" w:rsidR="004215C3" w:rsidRPr="00267EDA" w:rsidRDefault="004215C3" w:rsidP="009C155D">
            <w:pPr>
              <w:pStyle w:val="CommentText"/>
              <w:spacing w:before="240"/>
              <w:rPr>
                <w:rFonts w:cstheme="minorHAnsi"/>
              </w:rPr>
            </w:pPr>
            <w:r w:rsidRPr="00A70DB1">
              <w:rPr>
                <w:rFonts w:ascii="Calibri" w:eastAsia="Calibri" w:hAnsi="Calibri" w:cs="Times New Roman"/>
                <w:sz w:val="22"/>
                <w:szCs w:val="22"/>
                <w:lang w:val="ru-RU"/>
              </w:rPr>
              <w:t>Cooper C, Cole ZA, Holroyd CR, Earl SC, Harvey NC, Dennison EM Melton LJ3, Cummings SR, Kanis JA and the IOF CSA Working Group on Fracture Epidemiology (2011) Secular trends in the incidence of hip and other osteoporotic fractures. Osteoporos Int 22:1277–1288</w:t>
            </w:r>
          </w:p>
        </w:tc>
      </w:tr>
      <w:tr w:rsidR="004215C3" w:rsidRPr="00066D52" w14:paraId="26D35F9F" w14:textId="77777777" w:rsidTr="00C70D59">
        <w:tc>
          <w:tcPr>
            <w:tcW w:w="538" w:type="dxa"/>
          </w:tcPr>
          <w:p w14:paraId="4B88688A" w14:textId="324C650A" w:rsidR="004215C3" w:rsidRDefault="004215C3" w:rsidP="009C155D">
            <w:pPr>
              <w:pStyle w:val="Heading1"/>
              <w:spacing w:before="240" w:beforeAutospacing="0" w:after="120" w:afterAutospacing="0"/>
              <w:jc w:val="right"/>
              <w:outlineLvl w:val="0"/>
              <w:rPr>
                <w:rFonts w:asciiTheme="minorHAnsi" w:hAnsiTheme="minorHAnsi" w:cstheme="minorHAnsi"/>
                <w:b w:val="0"/>
                <w:bCs w:val="0"/>
                <w:sz w:val="20"/>
                <w:szCs w:val="20"/>
                <w:lang w:val="en-GB"/>
              </w:rPr>
            </w:pPr>
            <w:r>
              <w:rPr>
                <w:rFonts w:asciiTheme="minorHAnsi" w:hAnsiTheme="minorHAnsi" w:cstheme="minorHAnsi"/>
                <w:b w:val="0"/>
                <w:bCs w:val="0"/>
                <w:sz w:val="20"/>
                <w:szCs w:val="20"/>
                <w:lang w:val="en-GB"/>
              </w:rPr>
              <w:t>30.</w:t>
            </w:r>
          </w:p>
        </w:tc>
        <w:tc>
          <w:tcPr>
            <w:tcW w:w="8245" w:type="dxa"/>
          </w:tcPr>
          <w:p w14:paraId="0951EBE5" w14:textId="1EEEDEE6" w:rsidR="004215C3" w:rsidRPr="00267EDA" w:rsidRDefault="004215C3" w:rsidP="009C155D">
            <w:pPr>
              <w:pStyle w:val="CommentText"/>
              <w:spacing w:before="240"/>
              <w:rPr>
                <w:rFonts w:cstheme="minorHAnsi"/>
              </w:rPr>
            </w:pPr>
            <w:r w:rsidRPr="00A70DB1">
              <w:rPr>
                <w:rFonts w:ascii="Calibri" w:eastAsia="Calibri" w:hAnsi="Calibri" w:cs="Times New Roman"/>
                <w:sz w:val="22"/>
                <w:szCs w:val="22"/>
                <w:lang w:val="ru-RU"/>
              </w:rPr>
              <w:t>Gullberg B, Johnell O, Kanis JA (1997) World-wide projections for hip fracture. Osteoporos Int 7:407–413</w:t>
            </w:r>
          </w:p>
        </w:tc>
      </w:tr>
      <w:tr w:rsidR="004215C3" w:rsidRPr="00066D52" w14:paraId="74B9467E" w14:textId="77777777" w:rsidTr="00C70D59">
        <w:tc>
          <w:tcPr>
            <w:tcW w:w="538" w:type="dxa"/>
          </w:tcPr>
          <w:p w14:paraId="3B9312C2" w14:textId="1CD69760" w:rsidR="004215C3" w:rsidRDefault="004215C3" w:rsidP="009C155D">
            <w:pPr>
              <w:pStyle w:val="Heading1"/>
              <w:spacing w:before="240" w:beforeAutospacing="0" w:after="120" w:afterAutospacing="0"/>
              <w:jc w:val="right"/>
              <w:outlineLvl w:val="0"/>
              <w:rPr>
                <w:rFonts w:asciiTheme="minorHAnsi" w:hAnsiTheme="minorHAnsi" w:cstheme="minorHAnsi"/>
                <w:b w:val="0"/>
                <w:bCs w:val="0"/>
                <w:sz w:val="20"/>
                <w:szCs w:val="20"/>
                <w:lang w:val="en-GB"/>
              </w:rPr>
            </w:pPr>
            <w:r>
              <w:rPr>
                <w:rFonts w:asciiTheme="minorHAnsi" w:hAnsiTheme="minorHAnsi" w:cstheme="minorHAnsi"/>
                <w:b w:val="0"/>
                <w:bCs w:val="0"/>
                <w:sz w:val="20"/>
                <w:szCs w:val="20"/>
                <w:lang w:val="en-GB"/>
              </w:rPr>
              <w:t>31.</w:t>
            </w:r>
          </w:p>
        </w:tc>
        <w:tc>
          <w:tcPr>
            <w:tcW w:w="8245" w:type="dxa"/>
          </w:tcPr>
          <w:p w14:paraId="792AA999" w14:textId="1F59926B" w:rsidR="004215C3" w:rsidRPr="00A70DB1" w:rsidRDefault="004215C3" w:rsidP="009C155D">
            <w:pPr>
              <w:pStyle w:val="CommentText"/>
              <w:spacing w:before="240"/>
              <w:rPr>
                <w:rFonts w:ascii="Calibri" w:eastAsia="Calibri" w:hAnsi="Calibri" w:cs="Times New Roman"/>
                <w:sz w:val="22"/>
                <w:szCs w:val="22"/>
                <w:lang w:val="ru-RU"/>
              </w:rPr>
            </w:pPr>
            <w:r w:rsidRPr="00CF7F5A">
              <w:rPr>
                <w:rFonts w:ascii="Calibri" w:eastAsia="Calibri" w:hAnsi="Calibri" w:cs="Times New Roman"/>
                <w:sz w:val="22"/>
                <w:szCs w:val="22"/>
                <w:lang w:val="ru-RU"/>
              </w:rPr>
              <w:t>Johnell O, Borgstrom F, Jonsson B, Kanis J (2007) Latitude, socioeconomic prosperity, mobile phones and hip fracture risk. Osteoporos Int 18:333–337</w:t>
            </w:r>
          </w:p>
        </w:tc>
      </w:tr>
      <w:tr w:rsidR="004215C3" w:rsidRPr="00066D52" w14:paraId="552468F7" w14:textId="77777777" w:rsidTr="00C70D59">
        <w:tc>
          <w:tcPr>
            <w:tcW w:w="538" w:type="dxa"/>
          </w:tcPr>
          <w:p w14:paraId="44189C60" w14:textId="614E914F" w:rsidR="004215C3" w:rsidRDefault="004215C3" w:rsidP="009C155D">
            <w:pPr>
              <w:pStyle w:val="Heading1"/>
              <w:spacing w:before="240" w:beforeAutospacing="0" w:after="120" w:afterAutospacing="0"/>
              <w:jc w:val="right"/>
              <w:outlineLvl w:val="0"/>
              <w:rPr>
                <w:rFonts w:asciiTheme="minorHAnsi" w:hAnsiTheme="minorHAnsi" w:cstheme="minorHAnsi"/>
                <w:b w:val="0"/>
                <w:bCs w:val="0"/>
                <w:sz w:val="20"/>
                <w:szCs w:val="20"/>
                <w:lang w:val="en-GB"/>
              </w:rPr>
            </w:pPr>
            <w:r>
              <w:rPr>
                <w:rFonts w:asciiTheme="minorHAnsi" w:hAnsiTheme="minorHAnsi" w:cstheme="minorHAnsi"/>
                <w:b w:val="0"/>
                <w:bCs w:val="0"/>
                <w:sz w:val="20"/>
                <w:szCs w:val="20"/>
                <w:lang w:val="en-GB"/>
              </w:rPr>
              <w:t>32.</w:t>
            </w:r>
          </w:p>
        </w:tc>
        <w:tc>
          <w:tcPr>
            <w:tcW w:w="8245" w:type="dxa"/>
          </w:tcPr>
          <w:p w14:paraId="07C96B42" w14:textId="057361CB" w:rsidR="004215C3" w:rsidRPr="00A70DB1" w:rsidRDefault="004215C3" w:rsidP="009C155D">
            <w:pPr>
              <w:pStyle w:val="CommentText"/>
              <w:spacing w:before="240"/>
              <w:rPr>
                <w:rFonts w:ascii="Calibri" w:eastAsia="Calibri" w:hAnsi="Calibri" w:cs="Times New Roman"/>
                <w:sz w:val="22"/>
                <w:szCs w:val="22"/>
                <w:lang w:val="ru-RU"/>
              </w:rPr>
            </w:pPr>
            <w:r w:rsidRPr="00C64AAD">
              <w:rPr>
                <w:rFonts w:ascii="Calibri" w:eastAsia="Calibri" w:hAnsi="Calibri" w:cs="Times New Roman"/>
                <w:sz w:val="22"/>
                <w:szCs w:val="22"/>
                <w:lang w:val="ru-RU"/>
              </w:rPr>
              <w:t>Cauley JA, El-Hajj Fuleihan G, Arabi A, Fujiwara S, Ragi-Eis S, Calderon A, Chionh SB, Chen Z, Curtis JR, Danielson ME, Hanley DA, Kroger H, Kung AW, Lesnyak O, Nieves J, Pluskiewicz W, El Rassi R, Silverman S, Schott AM, Rizzoli R, Luckey M; FRAX® Position Conference Members (2011) Official positions for FRAX clinical regarding international differences from Joint Official Positions Development Conference of the International Society for Clinical Densitometry and International Osteoporosis Foundation on FRAX. J Clin Densitom 14(3): 240e262</w:t>
            </w:r>
          </w:p>
        </w:tc>
      </w:tr>
      <w:tr w:rsidR="004215C3" w:rsidRPr="00066D52" w14:paraId="5E51677A" w14:textId="77777777" w:rsidTr="00C70D59">
        <w:tc>
          <w:tcPr>
            <w:tcW w:w="538" w:type="dxa"/>
          </w:tcPr>
          <w:p w14:paraId="69596D74" w14:textId="59CA66A4" w:rsidR="004215C3" w:rsidRPr="00103FB0" w:rsidRDefault="004215C3" w:rsidP="009C155D">
            <w:pPr>
              <w:pStyle w:val="Heading1"/>
              <w:spacing w:before="240" w:beforeAutospacing="0" w:after="120" w:afterAutospacing="0"/>
              <w:jc w:val="right"/>
              <w:outlineLvl w:val="0"/>
              <w:rPr>
                <w:rFonts w:ascii="Calibri" w:eastAsia="Calibri" w:hAnsi="Calibri"/>
                <w:b w:val="0"/>
                <w:bCs w:val="0"/>
                <w:sz w:val="22"/>
                <w:szCs w:val="22"/>
              </w:rPr>
            </w:pPr>
            <w:r w:rsidRPr="00103FB0">
              <w:rPr>
                <w:rFonts w:ascii="Calibri" w:eastAsia="Calibri" w:hAnsi="Calibri"/>
                <w:b w:val="0"/>
                <w:bCs w:val="0"/>
                <w:sz w:val="22"/>
                <w:szCs w:val="22"/>
              </w:rPr>
              <w:t>33.</w:t>
            </w:r>
          </w:p>
        </w:tc>
        <w:tc>
          <w:tcPr>
            <w:tcW w:w="8245" w:type="dxa"/>
          </w:tcPr>
          <w:p w14:paraId="05AD242C" w14:textId="77777777" w:rsidR="004215C3" w:rsidRPr="00A2696C" w:rsidRDefault="004215C3" w:rsidP="009C155D">
            <w:pPr>
              <w:pStyle w:val="CommentText"/>
              <w:spacing w:before="240"/>
              <w:rPr>
                <w:rFonts w:ascii="Calibri" w:eastAsia="Calibri" w:hAnsi="Calibri"/>
                <w:sz w:val="22"/>
                <w:szCs w:val="22"/>
              </w:rPr>
            </w:pPr>
            <w:r w:rsidRPr="00A2696C">
              <w:rPr>
                <w:rFonts w:ascii="Calibri" w:eastAsia="Calibri" w:hAnsi="Calibri"/>
                <w:sz w:val="22"/>
                <w:szCs w:val="22"/>
              </w:rPr>
              <w:t>Kanis JA, Hans D, Cooper C, Baim S, Bilezikian JP, Binkley N, Compston J, Dawson-Hughes B, El-Hajj Fuleihan G, Johansson H, Leslie WD, Lewiecki EM, Luckey MM, Oden A, Papapoulos SE, Poiana C, Wahl DA, McCloskey E, and the Task Force of the FRAX Initiative (2011) Interpretation and use of FRAX in clinical practice. Osteoporos Int 22:395–411</w:t>
            </w:r>
          </w:p>
        </w:tc>
      </w:tr>
      <w:tr w:rsidR="004215C3" w:rsidRPr="00066D52" w14:paraId="5D25BC84" w14:textId="77777777" w:rsidTr="00C70D59">
        <w:tc>
          <w:tcPr>
            <w:tcW w:w="538" w:type="dxa"/>
          </w:tcPr>
          <w:p w14:paraId="73FB95B3" w14:textId="3CF8B3C9" w:rsidR="004215C3" w:rsidRPr="003E4CE2" w:rsidRDefault="004215C3" w:rsidP="009C155D">
            <w:pPr>
              <w:pStyle w:val="Heading1"/>
              <w:spacing w:before="240" w:beforeAutospacing="0" w:after="120" w:afterAutospacing="0"/>
              <w:jc w:val="right"/>
              <w:outlineLvl w:val="0"/>
              <w:rPr>
                <w:rFonts w:ascii="Calibri" w:eastAsia="Calibri" w:hAnsi="Calibri"/>
                <w:b w:val="0"/>
                <w:bCs w:val="0"/>
                <w:sz w:val="22"/>
                <w:szCs w:val="22"/>
              </w:rPr>
            </w:pPr>
            <w:r w:rsidRPr="003E4CE2">
              <w:rPr>
                <w:rFonts w:ascii="Calibri" w:eastAsia="Calibri" w:hAnsi="Calibri"/>
                <w:b w:val="0"/>
                <w:bCs w:val="0"/>
                <w:sz w:val="22"/>
                <w:szCs w:val="22"/>
              </w:rPr>
              <w:t>34.</w:t>
            </w:r>
          </w:p>
        </w:tc>
        <w:tc>
          <w:tcPr>
            <w:tcW w:w="8245" w:type="dxa"/>
          </w:tcPr>
          <w:p w14:paraId="577FCE9A" w14:textId="77777777" w:rsidR="004215C3" w:rsidRPr="00A2696C" w:rsidRDefault="004215C3" w:rsidP="009C155D">
            <w:pPr>
              <w:pStyle w:val="CommentText"/>
              <w:spacing w:before="240"/>
              <w:rPr>
                <w:rFonts w:ascii="Calibri" w:eastAsia="Calibri" w:hAnsi="Calibri"/>
                <w:sz w:val="22"/>
                <w:szCs w:val="22"/>
              </w:rPr>
            </w:pPr>
            <w:r w:rsidRPr="00A2696C">
              <w:rPr>
                <w:rFonts w:ascii="Calibri" w:eastAsia="Calibri" w:hAnsi="Calibri"/>
                <w:sz w:val="22"/>
                <w:szCs w:val="22"/>
              </w:rPr>
              <w:t>Melton LJ, Crowson CS, O’Fallon WM (1999) Fracture incidence in Olmsted County, Minnesota: comparison of urban and with rural rates and changes in urban rates over time. Osteoporos Int 9: 29–37.</w:t>
            </w:r>
          </w:p>
        </w:tc>
      </w:tr>
      <w:tr w:rsidR="004215C3" w:rsidRPr="00066D52" w14:paraId="0A43FAEB" w14:textId="77777777" w:rsidTr="00C70D59">
        <w:tc>
          <w:tcPr>
            <w:tcW w:w="538" w:type="dxa"/>
          </w:tcPr>
          <w:p w14:paraId="29EAC42C" w14:textId="7AD63120" w:rsidR="004215C3" w:rsidRPr="003E4CE2" w:rsidRDefault="004215C3" w:rsidP="009C155D">
            <w:pPr>
              <w:pStyle w:val="Heading1"/>
              <w:spacing w:before="240" w:beforeAutospacing="0" w:after="120" w:afterAutospacing="0"/>
              <w:jc w:val="right"/>
              <w:outlineLvl w:val="0"/>
              <w:rPr>
                <w:rFonts w:ascii="Calibri" w:eastAsia="Calibri" w:hAnsi="Calibri"/>
                <w:b w:val="0"/>
                <w:bCs w:val="0"/>
                <w:sz w:val="22"/>
                <w:szCs w:val="22"/>
              </w:rPr>
            </w:pPr>
            <w:r w:rsidRPr="003E4CE2">
              <w:rPr>
                <w:rFonts w:ascii="Calibri" w:eastAsia="Calibri" w:hAnsi="Calibri"/>
                <w:b w:val="0"/>
                <w:bCs w:val="0"/>
                <w:sz w:val="22"/>
                <w:szCs w:val="22"/>
              </w:rPr>
              <w:t>35.</w:t>
            </w:r>
          </w:p>
        </w:tc>
        <w:tc>
          <w:tcPr>
            <w:tcW w:w="8245" w:type="dxa"/>
          </w:tcPr>
          <w:p w14:paraId="4B97667F" w14:textId="1D5605F5" w:rsidR="004215C3" w:rsidRPr="00A2696C" w:rsidRDefault="004215C3" w:rsidP="009C155D">
            <w:pPr>
              <w:pStyle w:val="CommentText"/>
              <w:spacing w:before="240"/>
              <w:rPr>
                <w:rFonts w:ascii="Calibri" w:eastAsia="Calibri" w:hAnsi="Calibri"/>
                <w:sz w:val="22"/>
                <w:szCs w:val="22"/>
              </w:rPr>
            </w:pPr>
            <w:r w:rsidRPr="00B33F2B">
              <w:rPr>
                <w:rFonts w:ascii="Calibri" w:eastAsia="Calibri" w:hAnsi="Calibri"/>
                <w:sz w:val="22"/>
                <w:szCs w:val="22"/>
              </w:rPr>
              <w:t>Singer BR, McLauchlan CJ, Robinson CM, Christie J (1998) Epidemiology of fracture in 15.000 adults. The influence of age and gender. J Bone Joint Surg 80B: 234–8</w:t>
            </w:r>
          </w:p>
        </w:tc>
      </w:tr>
      <w:tr w:rsidR="004215C3" w:rsidRPr="00066D52" w14:paraId="76D07BA5" w14:textId="77777777" w:rsidTr="00C70D59">
        <w:tc>
          <w:tcPr>
            <w:tcW w:w="538" w:type="dxa"/>
          </w:tcPr>
          <w:p w14:paraId="718FB169" w14:textId="7E2B822D" w:rsidR="004215C3" w:rsidRPr="003E4CE2" w:rsidRDefault="004215C3" w:rsidP="009C155D">
            <w:pPr>
              <w:pStyle w:val="Heading1"/>
              <w:spacing w:before="240" w:beforeAutospacing="0" w:after="120" w:afterAutospacing="0"/>
              <w:jc w:val="right"/>
              <w:outlineLvl w:val="0"/>
              <w:rPr>
                <w:rFonts w:ascii="Calibri" w:eastAsia="Calibri" w:hAnsi="Calibri"/>
                <w:b w:val="0"/>
                <w:bCs w:val="0"/>
                <w:sz w:val="22"/>
                <w:szCs w:val="22"/>
              </w:rPr>
            </w:pPr>
            <w:r w:rsidRPr="003E4CE2">
              <w:rPr>
                <w:rFonts w:ascii="Calibri" w:eastAsia="Calibri" w:hAnsi="Calibri"/>
                <w:b w:val="0"/>
                <w:bCs w:val="0"/>
                <w:sz w:val="22"/>
                <w:szCs w:val="22"/>
              </w:rPr>
              <w:t>36.</w:t>
            </w:r>
          </w:p>
        </w:tc>
        <w:tc>
          <w:tcPr>
            <w:tcW w:w="8245" w:type="dxa"/>
          </w:tcPr>
          <w:p w14:paraId="07AC449A" w14:textId="226D8E0E" w:rsidR="004215C3" w:rsidRPr="00B33F2B" w:rsidRDefault="004215C3" w:rsidP="009C155D">
            <w:pPr>
              <w:pStyle w:val="CommentText"/>
              <w:spacing w:before="240"/>
              <w:rPr>
                <w:rFonts w:ascii="Calibri" w:eastAsia="Calibri" w:hAnsi="Calibri"/>
                <w:sz w:val="22"/>
                <w:szCs w:val="22"/>
              </w:rPr>
            </w:pPr>
            <w:r w:rsidRPr="00B33F2B">
              <w:rPr>
                <w:rFonts w:ascii="Calibri" w:eastAsia="Calibri" w:hAnsi="Calibri"/>
                <w:sz w:val="22"/>
                <w:szCs w:val="22"/>
              </w:rPr>
              <w:t>Sanders KM, Seeman E, Ugoni AM, Pasco JA, Martin TJ, Skoric B, Nicholson GC, Kotowicz MA (1999) Age- and gender speciﬁc rate of fractures in Australia: a population-based study. Osteoporos Int 10:2 40–7.</w:t>
            </w:r>
          </w:p>
        </w:tc>
      </w:tr>
      <w:tr w:rsidR="004215C3" w:rsidRPr="00066D52" w14:paraId="109D6A02" w14:textId="77777777" w:rsidTr="00C70D59">
        <w:tc>
          <w:tcPr>
            <w:tcW w:w="538" w:type="dxa"/>
          </w:tcPr>
          <w:p w14:paraId="0BBDF43D" w14:textId="63836086" w:rsidR="004215C3" w:rsidRPr="003E4CE2" w:rsidRDefault="004215C3" w:rsidP="009C155D">
            <w:pPr>
              <w:pStyle w:val="Heading1"/>
              <w:spacing w:before="240" w:beforeAutospacing="0" w:after="120" w:afterAutospacing="0"/>
              <w:jc w:val="right"/>
              <w:outlineLvl w:val="0"/>
              <w:rPr>
                <w:rFonts w:ascii="Calibri" w:eastAsia="Calibri" w:hAnsi="Calibri"/>
                <w:b w:val="0"/>
                <w:bCs w:val="0"/>
                <w:sz w:val="22"/>
                <w:szCs w:val="22"/>
              </w:rPr>
            </w:pPr>
            <w:r w:rsidRPr="003E4CE2">
              <w:rPr>
                <w:rFonts w:ascii="Calibri" w:eastAsia="Calibri" w:hAnsi="Calibri"/>
                <w:b w:val="0"/>
                <w:bCs w:val="0"/>
                <w:sz w:val="22"/>
                <w:szCs w:val="22"/>
              </w:rPr>
              <w:t>37.</w:t>
            </w:r>
          </w:p>
        </w:tc>
        <w:tc>
          <w:tcPr>
            <w:tcW w:w="8245" w:type="dxa"/>
          </w:tcPr>
          <w:p w14:paraId="339FB2DC" w14:textId="77777777" w:rsidR="004215C3" w:rsidRPr="00A2696C" w:rsidRDefault="004215C3" w:rsidP="009C155D">
            <w:pPr>
              <w:pStyle w:val="CommentText"/>
              <w:spacing w:before="240"/>
              <w:rPr>
                <w:rFonts w:ascii="Calibri" w:eastAsia="Calibri" w:hAnsi="Calibri"/>
                <w:sz w:val="22"/>
                <w:szCs w:val="22"/>
              </w:rPr>
            </w:pPr>
            <w:r w:rsidRPr="00A2696C">
              <w:rPr>
                <w:rFonts w:ascii="Calibri" w:eastAsia="Calibri" w:hAnsi="Calibri"/>
                <w:sz w:val="22"/>
                <w:szCs w:val="22"/>
              </w:rPr>
              <w:t>Johnell O, Gullberg B, Kanis JA (1997) The hospital burden of vertebral fracture in Europe: a study of national register sources.  Osteoporos Int 7: 138-144</w:t>
            </w:r>
          </w:p>
        </w:tc>
      </w:tr>
      <w:tr w:rsidR="004215C3" w:rsidRPr="00066D52" w14:paraId="0CAA8274" w14:textId="77777777" w:rsidTr="00C70D59">
        <w:tc>
          <w:tcPr>
            <w:tcW w:w="538" w:type="dxa"/>
          </w:tcPr>
          <w:p w14:paraId="01F8782B" w14:textId="0A46ED9E" w:rsidR="004215C3" w:rsidRPr="003E4CE2" w:rsidRDefault="004215C3" w:rsidP="009C155D">
            <w:pPr>
              <w:pStyle w:val="Heading1"/>
              <w:spacing w:before="240" w:beforeAutospacing="0" w:after="120" w:afterAutospacing="0"/>
              <w:jc w:val="right"/>
              <w:outlineLvl w:val="0"/>
              <w:rPr>
                <w:rFonts w:ascii="Calibri" w:eastAsia="Calibri" w:hAnsi="Calibri"/>
                <w:b w:val="0"/>
                <w:bCs w:val="0"/>
                <w:sz w:val="22"/>
                <w:szCs w:val="22"/>
              </w:rPr>
            </w:pPr>
            <w:r w:rsidRPr="003E4CE2">
              <w:rPr>
                <w:rFonts w:ascii="Calibri" w:eastAsia="Calibri" w:hAnsi="Calibri"/>
                <w:b w:val="0"/>
                <w:bCs w:val="0"/>
                <w:sz w:val="22"/>
                <w:szCs w:val="22"/>
              </w:rPr>
              <w:t>38.</w:t>
            </w:r>
          </w:p>
        </w:tc>
        <w:tc>
          <w:tcPr>
            <w:tcW w:w="8245" w:type="dxa"/>
          </w:tcPr>
          <w:p w14:paraId="4A03BE5B" w14:textId="77777777" w:rsidR="004215C3" w:rsidRPr="00A2696C" w:rsidRDefault="004215C3" w:rsidP="009C155D">
            <w:pPr>
              <w:pStyle w:val="CommentText"/>
              <w:spacing w:before="240"/>
              <w:rPr>
                <w:rFonts w:ascii="Calibri" w:eastAsia="Calibri" w:hAnsi="Calibri"/>
                <w:sz w:val="22"/>
                <w:szCs w:val="22"/>
              </w:rPr>
            </w:pPr>
            <w:r w:rsidRPr="00A2696C">
              <w:rPr>
                <w:rFonts w:ascii="Calibri" w:eastAsia="Calibri" w:hAnsi="Calibri"/>
                <w:sz w:val="22"/>
                <w:szCs w:val="22"/>
              </w:rPr>
              <w:t>Melton LJ (1995) Epidemiology of fractures. In: Riggs BL, Melton LJ (eds) Osteoporosis: etiology, diagnosis and management, 2ndedn. Lippincott-Raven, Philadelphia, pp 225–227</w:t>
            </w:r>
          </w:p>
        </w:tc>
      </w:tr>
      <w:tr w:rsidR="004215C3" w:rsidRPr="00066D52" w14:paraId="7B467A7E" w14:textId="77777777" w:rsidTr="00C70D59">
        <w:tc>
          <w:tcPr>
            <w:tcW w:w="538" w:type="dxa"/>
          </w:tcPr>
          <w:p w14:paraId="045B4402" w14:textId="15B14450" w:rsidR="004215C3" w:rsidRPr="003E4CE2" w:rsidRDefault="004215C3" w:rsidP="009C155D">
            <w:pPr>
              <w:pStyle w:val="Heading1"/>
              <w:spacing w:before="240" w:beforeAutospacing="0" w:after="120" w:afterAutospacing="0"/>
              <w:jc w:val="right"/>
              <w:outlineLvl w:val="0"/>
              <w:rPr>
                <w:rFonts w:ascii="Calibri" w:eastAsia="Calibri" w:hAnsi="Calibri"/>
                <w:b w:val="0"/>
                <w:bCs w:val="0"/>
                <w:sz w:val="22"/>
                <w:szCs w:val="22"/>
              </w:rPr>
            </w:pPr>
            <w:r w:rsidRPr="003E4CE2">
              <w:rPr>
                <w:rFonts w:ascii="Calibri" w:eastAsia="Calibri" w:hAnsi="Calibri"/>
                <w:b w:val="0"/>
                <w:bCs w:val="0"/>
                <w:sz w:val="22"/>
                <w:szCs w:val="22"/>
              </w:rPr>
              <w:t>39.</w:t>
            </w:r>
          </w:p>
        </w:tc>
        <w:tc>
          <w:tcPr>
            <w:tcW w:w="8245" w:type="dxa"/>
          </w:tcPr>
          <w:p w14:paraId="4A2EAA42" w14:textId="77777777" w:rsidR="004215C3" w:rsidRPr="00A2696C" w:rsidRDefault="004215C3" w:rsidP="009C155D">
            <w:pPr>
              <w:pStyle w:val="CommentText"/>
              <w:spacing w:before="240"/>
              <w:rPr>
                <w:rFonts w:ascii="Calibri" w:eastAsia="Calibri" w:hAnsi="Calibri"/>
                <w:sz w:val="22"/>
                <w:szCs w:val="22"/>
              </w:rPr>
            </w:pPr>
            <w:r w:rsidRPr="00A2696C">
              <w:rPr>
                <w:rFonts w:ascii="Calibri" w:eastAsia="Calibri" w:hAnsi="Calibri"/>
                <w:sz w:val="22"/>
                <w:szCs w:val="22"/>
              </w:rPr>
              <w:t>Cauley JA, Chalhoub D, Kassem AM, Fuleihan G el-H (2014) Geographic and ethnic disparities in osteoporotic fractures. Nat Rev Endocrinol 10: 338-51</w:t>
            </w:r>
          </w:p>
        </w:tc>
      </w:tr>
      <w:tr w:rsidR="004215C3" w:rsidRPr="00066D52" w14:paraId="349A6E05" w14:textId="77777777" w:rsidTr="00C70D59">
        <w:tc>
          <w:tcPr>
            <w:tcW w:w="538" w:type="dxa"/>
          </w:tcPr>
          <w:p w14:paraId="59D62FC7" w14:textId="6892DAB7" w:rsidR="004215C3" w:rsidRPr="003E4CE2" w:rsidRDefault="004215C3" w:rsidP="009C155D">
            <w:pPr>
              <w:pStyle w:val="Heading1"/>
              <w:spacing w:before="240" w:beforeAutospacing="0" w:after="120" w:afterAutospacing="0"/>
              <w:jc w:val="right"/>
              <w:outlineLvl w:val="0"/>
              <w:rPr>
                <w:rFonts w:ascii="Calibri" w:eastAsia="Calibri" w:hAnsi="Calibri"/>
                <w:b w:val="0"/>
                <w:bCs w:val="0"/>
                <w:sz w:val="22"/>
                <w:szCs w:val="22"/>
              </w:rPr>
            </w:pPr>
            <w:r w:rsidRPr="003E4CE2">
              <w:rPr>
                <w:rFonts w:ascii="Calibri" w:eastAsia="Calibri" w:hAnsi="Calibri"/>
                <w:b w:val="0"/>
                <w:bCs w:val="0"/>
                <w:sz w:val="22"/>
                <w:szCs w:val="22"/>
              </w:rPr>
              <w:t>40.</w:t>
            </w:r>
          </w:p>
        </w:tc>
        <w:tc>
          <w:tcPr>
            <w:tcW w:w="8245" w:type="dxa"/>
          </w:tcPr>
          <w:p w14:paraId="0D84A429" w14:textId="77777777" w:rsidR="004215C3" w:rsidRPr="00A2696C" w:rsidRDefault="004215C3" w:rsidP="009C155D">
            <w:pPr>
              <w:pStyle w:val="CommentText"/>
              <w:spacing w:before="240"/>
              <w:rPr>
                <w:rFonts w:ascii="Calibri" w:eastAsia="Calibri" w:hAnsi="Calibri"/>
                <w:sz w:val="22"/>
                <w:szCs w:val="22"/>
              </w:rPr>
            </w:pPr>
            <w:r w:rsidRPr="00A2696C">
              <w:rPr>
                <w:rFonts w:ascii="Calibri" w:eastAsia="Calibri" w:hAnsi="Calibri"/>
                <w:sz w:val="22"/>
                <w:szCs w:val="22"/>
              </w:rPr>
              <w:t>Karacić TP, Kopjar B (2009). Hip fracture incidence in Croatia in patients aged 65 years and more. Lijec Vjesn 131: 9-13</w:t>
            </w:r>
          </w:p>
        </w:tc>
      </w:tr>
      <w:tr w:rsidR="004215C3" w:rsidRPr="00066D52" w14:paraId="6933835F" w14:textId="77777777" w:rsidTr="00C70D59">
        <w:tc>
          <w:tcPr>
            <w:tcW w:w="538" w:type="dxa"/>
          </w:tcPr>
          <w:p w14:paraId="237B8757" w14:textId="6AC7CA94" w:rsidR="004215C3" w:rsidRPr="003E4CE2" w:rsidRDefault="004215C3" w:rsidP="009C155D">
            <w:pPr>
              <w:pStyle w:val="Heading1"/>
              <w:spacing w:before="240" w:beforeAutospacing="0" w:after="120" w:afterAutospacing="0"/>
              <w:jc w:val="right"/>
              <w:outlineLvl w:val="0"/>
              <w:rPr>
                <w:rFonts w:ascii="Calibri" w:eastAsia="Calibri" w:hAnsi="Calibri"/>
                <w:b w:val="0"/>
                <w:bCs w:val="0"/>
                <w:sz w:val="22"/>
                <w:szCs w:val="22"/>
              </w:rPr>
            </w:pPr>
            <w:r w:rsidRPr="003E4CE2">
              <w:rPr>
                <w:rFonts w:ascii="Calibri" w:eastAsia="Calibri" w:hAnsi="Calibri"/>
                <w:b w:val="0"/>
                <w:bCs w:val="0"/>
                <w:sz w:val="22"/>
                <w:szCs w:val="22"/>
              </w:rPr>
              <w:t>41.</w:t>
            </w:r>
          </w:p>
        </w:tc>
        <w:tc>
          <w:tcPr>
            <w:tcW w:w="8245" w:type="dxa"/>
          </w:tcPr>
          <w:p w14:paraId="10B775EB" w14:textId="77777777" w:rsidR="004215C3" w:rsidRPr="00A2696C" w:rsidRDefault="004215C3" w:rsidP="009C155D">
            <w:pPr>
              <w:pStyle w:val="CommentText"/>
              <w:spacing w:before="240"/>
              <w:rPr>
                <w:rFonts w:ascii="Calibri" w:eastAsia="Calibri" w:hAnsi="Calibri"/>
                <w:sz w:val="22"/>
                <w:szCs w:val="22"/>
              </w:rPr>
            </w:pPr>
            <w:r w:rsidRPr="00A2696C">
              <w:rPr>
                <w:rFonts w:ascii="Calibri" w:eastAsia="Calibri" w:hAnsi="Calibri"/>
                <w:sz w:val="22"/>
                <w:szCs w:val="22"/>
              </w:rPr>
              <w:t>Lippuner K, Johansson H, Kanis JA, Rizzoli R (2010) FRAX assessment of osteoporotic fracture probability in Switzerland. Osteoporos Int 21: 381-9</w:t>
            </w:r>
          </w:p>
        </w:tc>
      </w:tr>
      <w:tr w:rsidR="004215C3" w:rsidRPr="00066D52" w14:paraId="149EB399" w14:textId="77777777" w:rsidTr="00C70D59">
        <w:tc>
          <w:tcPr>
            <w:tcW w:w="538" w:type="dxa"/>
          </w:tcPr>
          <w:p w14:paraId="7843CCE4" w14:textId="247D703E" w:rsidR="004215C3" w:rsidRPr="003E4CE2" w:rsidRDefault="004215C3" w:rsidP="009C155D">
            <w:pPr>
              <w:pStyle w:val="Heading1"/>
              <w:spacing w:before="240" w:beforeAutospacing="0" w:after="120" w:afterAutospacing="0"/>
              <w:jc w:val="right"/>
              <w:outlineLvl w:val="0"/>
              <w:rPr>
                <w:rFonts w:ascii="Calibri" w:eastAsia="Calibri" w:hAnsi="Calibri"/>
                <w:b w:val="0"/>
                <w:bCs w:val="0"/>
                <w:sz w:val="22"/>
                <w:szCs w:val="22"/>
              </w:rPr>
            </w:pPr>
            <w:r w:rsidRPr="003E4CE2">
              <w:rPr>
                <w:rFonts w:ascii="Calibri" w:eastAsia="Calibri" w:hAnsi="Calibri"/>
                <w:b w:val="0"/>
                <w:bCs w:val="0"/>
                <w:sz w:val="22"/>
                <w:szCs w:val="22"/>
              </w:rPr>
              <w:t>42.</w:t>
            </w:r>
          </w:p>
        </w:tc>
        <w:tc>
          <w:tcPr>
            <w:tcW w:w="8245" w:type="dxa"/>
          </w:tcPr>
          <w:p w14:paraId="2BE53E95" w14:textId="77777777" w:rsidR="004215C3" w:rsidRPr="00A2696C" w:rsidRDefault="004215C3" w:rsidP="009C155D">
            <w:pPr>
              <w:pStyle w:val="CommentText"/>
              <w:spacing w:before="240"/>
              <w:rPr>
                <w:rFonts w:ascii="Calibri" w:eastAsia="Calibri" w:hAnsi="Calibri"/>
                <w:sz w:val="22"/>
                <w:szCs w:val="22"/>
              </w:rPr>
            </w:pPr>
            <w:r w:rsidRPr="00A2696C">
              <w:rPr>
                <w:rFonts w:ascii="Calibri" w:eastAsia="Calibri" w:hAnsi="Calibri"/>
                <w:sz w:val="22"/>
                <w:szCs w:val="22"/>
              </w:rPr>
              <w:t>Emaus N, Olsen LR, Ahmed LA, Balteskard L, Jacobsen BK, Magnus T, Ytterstad B (2011) Hip fractures in a city in Northern Norway over 15 years: time trends, seasonal variation and mortality: the Harstad Injury Prevention Study. Osteoporos Int 22: 2603–2610</w:t>
            </w:r>
          </w:p>
        </w:tc>
      </w:tr>
      <w:tr w:rsidR="004215C3" w:rsidRPr="00066D52" w14:paraId="6A29CF52" w14:textId="77777777" w:rsidTr="00C70D59">
        <w:tc>
          <w:tcPr>
            <w:tcW w:w="538" w:type="dxa"/>
          </w:tcPr>
          <w:p w14:paraId="275CA36A" w14:textId="212E46E8" w:rsidR="004215C3" w:rsidRPr="003E4CE2" w:rsidRDefault="004215C3" w:rsidP="009C155D">
            <w:pPr>
              <w:pStyle w:val="Heading1"/>
              <w:spacing w:before="240" w:beforeAutospacing="0" w:after="120" w:afterAutospacing="0"/>
              <w:jc w:val="right"/>
              <w:outlineLvl w:val="0"/>
              <w:rPr>
                <w:rFonts w:ascii="Calibri" w:eastAsia="Calibri" w:hAnsi="Calibri"/>
                <w:b w:val="0"/>
                <w:bCs w:val="0"/>
                <w:sz w:val="22"/>
                <w:szCs w:val="22"/>
              </w:rPr>
            </w:pPr>
            <w:r w:rsidRPr="003E4CE2">
              <w:rPr>
                <w:rFonts w:ascii="Calibri" w:eastAsia="Calibri" w:hAnsi="Calibri"/>
                <w:b w:val="0"/>
                <w:bCs w:val="0"/>
                <w:sz w:val="22"/>
                <w:szCs w:val="22"/>
              </w:rPr>
              <w:t>43.</w:t>
            </w:r>
          </w:p>
        </w:tc>
        <w:tc>
          <w:tcPr>
            <w:tcW w:w="8245" w:type="dxa"/>
          </w:tcPr>
          <w:p w14:paraId="1ECAEE6F" w14:textId="77777777" w:rsidR="004215C3" w:rsidRPr="00A2696C" w:rsidRDefault="004215C3" w:rsidP="009C155D">
            <w:pPr>
              <w:pStyle w:val="CommentText"/>
              <w:spacing w:before="240"/>
              <w:rPr>
                <w:rFonts w:ascii="Calibri" w:eastAsia="Calibri" w:hAnsi="Calibri"/>
                <w:sz w:val="22"/>
                <w:szCs w:val="22"/>
              </w:rPr>
            </w:pPr>
            <w:r w:rsidRPr="00A2696C">
              <w:rPr>
                <w:rFonts w:ascii="Calibri" w:eastAsia="Calibri" w:hAnsi="Calibri"/>
                <w:sz w:val="22"/>
                <w:szCs w:val="22"/>
              </w:rPr>
              <w:t>Morosano M, Masoni A, Sánchez A (2005) Incidence of hip fractures in the city of Rosario, Argentina: Osteoporos Int 16: 1339–1344</w:t>
            </w:r>
          </w:p>
        </w:tc>
      </w:tr>
      <w:tr w:rsidR="004215C3" w:rsidRPr="00066D52" w14:paraId="6D1AB667" w14:textId="77777777" w:rsidTr="00C70D59">
        <w:tc>
          <w:tcPr>
            <w:tcW w:w="538" w:type="dxa"/>
          </w:tcPr>
          <w:p w14:paraId="61036311" w14:textId="1C8D0179" w:rsidR="004215C3" w:rsidRPr="003E4CE2" w:rsidRDefault="004215C3" w:rsidP="009C155D">
            <w:pPr>
              <w:pStyle w:val="Heading1"/>
              <w:spacing w:before="240" w:beforeAutospacing="0" w:after="120" w:afterAutospacing="0"/>
              <w:jc w:val="right"/>
              <w:outlineLvl w:val="0"/>
              <w:rPr>
                <w:rFonts w:ascii="Calibri" w:eastAsia="Calibri" w:hAnsi="Calibri"/>
                <w:b w:val="0"/>
                <w:bCs w:val="0"/>
                <w:sz w:val="22"/>
                <w:szCs w:val="22"/>
              </w:rPr>
            </w:pPr>
            <w:r w:rsidRPr="003E4CE2">
              <w:rPr>
                <w:rFonts w:ascii="Calibri" w:eastAsia="Calibri" w:hAnsi="Calibri"/>
                <w:b w:val="0"/>
                <w:bCs w:val="0"/>
                <w:sz w:val="22"/>
                <w:szCs w:val="22"/>
              </w:rPr>
              <w:t>44.</w:t>
            </w:r>
          </w:p>
        </w:tc>
        <w:tc>
          <w:tcPr>
            <w:tcW w:w="8245" w:type="dxa"/>
          </w:tcPr>
          <w:p w14:paraId="41301822" w14:textId="77777777" w:rsidR="004215C3" w:rsidRPr="00A2696C" w:rsidRDefault="004215C3" w:rsidP="009C155D">
            <w:pPr>
              <w:pStyle w:val="CommentText"/>
              <w:spacing w:before="240"/>
              <w:rPr>
                <w:rFonts w:ascii="Calibri" w:eastAsia="Calibri" w:hAnsi="Calibri"/>
                <w:sz w:val="22"/>
                <w:szCs w:val="22"/>
              </w:rPr>
            </w:pPr>
            <w:r w:rsidRPr="00A2696C">
              <w:rPr>
                <w:rFonts w:ascii="Calibri" w:eastAsia="Calibri" w:hAnsi="Calibri"/>
                <w:sz w:val="22"/>
                <w:szCs w:val="22"/>
              </w:rPr>
              <w:t>Elffors L, Allander E, Kanis JA, Gullberg B, Johnell O, Dequeker J, Dilzen G, Gennari C, Lopez-Vaz AA, Lyritis G, Mazzuoli GF, Miravet L, Passeri M, Perez Cano R, Rapado A, Ribot C (1994) The variable incidence of hip fracture in Southern Europe.  The MEDOS Study. Osteoporos Int 4: 253-263</w:t>
            </w:r>
          </w:p>
        </w:tc>
      </w:tr>
      <w:tr w:rsidR="004215C3" w:rsidRPr="00066D52" w14:paraId="76585F2A" w14:textId="77777777" w:rsidTr="00C70D59">
        <w:tc>
          <w:tcPr>
            <w:tcW w:w="538" w:type="dxa"/>
          </w:tcPr>
          <w:p w14:paraId="691FB7B6" w14:textId="4C0D2095" w:rsidR="004215C3" w:rsidRPr="003E4CE2" w:rsidRDefault="004215C3" w:rsidP="009C155D">
            <w:pPr>
              <w:pStyle w:val="Heading1"/>
              <w:spacing w:before="240" w:beforeAutospacing="0" w:after="120" w:afterAutospacing="0"/>
              <w:jc w:val="right"/>
              <w:outlineLvl w:val="0"/>
              <w:rPr>
                <w:rFonts w:ascii="Calibri" w:eastAsia="Calibri" w:hAnsi="Calibri"/>
                <w:b w:val="0"/>
                <w:bCs w:val="0"/>
                <w:sz w:val="22"/>
                <w:szCs w:val="22"/>
              </w:rPr>
            </w:pPr>
            <w:r w:rsidRPr="003E4CE2">
              <w:rPr>
                <w:rFonts w:ascii="Calibri" w:eastAsia="Calibri" w:hAnsi="Calibri"/>
                <w:b w:val="0"/>
                <w:bCs w:val="0"/>
                <w:sz w:val="22"/>
                <w:szCs w:val="22"/>
              </w:rPr>
              <w:t>45.</w:t>
            </w:r>
          </w:p>
        </w:tc>
        <w:tc>
          <w:tcPr>
            <w:tcW w:w="8245" w:type="dxa"/>
          </w:tcPr>
          <w:p w14:paraId="6CBEFF63" w14:textId="62FEFB5B" w:rsidR="004215C3" w:rsidRPr="00A2696C" w:rsidRDefault="004215C3" w:rsidP="009C155D">
            <w:pPr>
              <w:pStyle w:val="CommentText"/>
              <w:spacing w:before="240"/>
              <w:rPr>
                <w:rFonts w:ascii="Calibri" w:eastAsia="Calibri" w:hAnsi="Calibri"/>
                <w:sz w:val="22"/>
                <w:szCs w:val="22"/>
              </w:rPr>
            </w:pPr>
            <w:r w:rsidRPr="005B5FF9">
              <w:rPr>
                <w:rFonts w:ascii="Calibri" w:eastAsia="Calibri" w:hAnsi="Calibri"/>
                <w:sz w:val="22"/>
                <w:szCs w:val="22"/>
              </w:rPr>
              <w:t xml:space="preserve">International Osteoporosis Foundation (2011) The Eastern European &amp; Central Asian Regional Audit. Epidemiology, costs &amp; burden of osteoporosis in 2010. Naturaprint, France. Available at </w:t>
            </w:r>
            <w:hyperlink r:id="rId12" w:history="1">
              <w:r w:rsidR="002D4CC8" w:rsidRPr="002C2C1A">
                <w:rPr>
                  <w:rStyle w:val="Hyperlink"/>
                  <w:rFonts w:ascii="Calibri" w:eastAsia="Calibri" w:hAnsi="Calibri"/>
                  <w:sz w:val="22"/>
                  <w:szCs w:val="22"/>
                </w:rPr>
                <w:t>www.iofbonehealth.org/sites/default/files/PDFs/Audit%20Eastern%20Europe_Central%20Asia/Eastern_European_Central_Asian_Audit_2010.pdf</w:t>
              </w:r>
            </w:hyperlink>
            <w:r w:rsidR="002D4CC8">
              <w:rPr>
                <w:rFonts w:ascii="Calibri" w:eastAsia="Calibri" w:hAnsi="Calibri"/>
                <w:sz w:val="22"/>
                <w:szCs w:val="22"/>
              </w:rPr>
              <w:t xml:space="preserve"> </w:t>
            </w:r>
            <w:r w:rsidRPr="005B5FF9">
              <w:rPr>
                <w:rFonts w:ascii="Calibri" w:eastAsia="Calibri" w:hAnsi="Calibri"/>
                <w:sz w:val="22"/>
                <w:szCs w:val="22"/>
              </w:rPr>
              <w:t>.  Accessed 11 Dec 2018</w:t>
            </w:r>
          </w:p>
        </w:tc>
      </w:tr>
      <w:tr w:rsidR="004215C3" w:rsidRPr="00066D52" w14:paraId="0AE282BE" w14:textId="77777777" w:rsidTr="00C70D59">
        <w:tc>
          <w:tcPr>
            <w:tcW w:w="538" w:type="dxa"/>
          </w:tcPr>
          <w:p w14:paraId="34D47665" w14:textId="5E0DC45B" w:rsidR="004215C3" w:rsidRPr="003E4CE2" w:rsidRDefault="004215C3" w:rsidP="009C155D">
            <w:pPr>
              <w:pStyle w:val="Heading1"/>
              <w:spacing w:before="240" w:beforeAutospacing="0" w:after="120" w:afterAutospacing="0"/>
              <w:jc w:val="right"/>
              <w:outlineLvl w:val="0"/>
              <w:rPr>
                <w:rFonts w:ascii="Calibri" w:eastAsia="Calibri" w:hAnsi="Calibri"/>
                <w:b w:val="0"/>
                <w:bCs w:val="0"/>
                <w:sz w:val="22"/>
                <w:szCs w:val="22"/>
              </w:rPr>
            </w:pPr>
            <w:r w:rsidRPr="003E4CE2">
              <w:rPr>
                <w:rFonts w:ascii="Calibri" w:eastAsia="Calibri" w:hAnsi="Calibri"/>
                <w:b w:val="0"/>
                <w:bCs w:val="0"/>
                <w:sz w:val="22"/>
                <w:szCs w:val="22"/>
              </w:rPr>
              <w:t>46.</w:t>
            </w:r>
          </w:p>
        </w:tc>
        <w:tc>
          <w:tcPr>
            <w:tcW w:w="8245" w:type="dxa"/>
          </w:tcPr>
          <w:p w14:paraId="4C7E5A4F" w14:textId="77777777" w:rsidR="004215C3" w:rsidRDefault="004215C3" w:rsidP="009C155D">
            <w:pPr>
              <w:pStyle w:val="CommentText"/>
              <w:spacing w:before="240"/>
              <w:rPr>
                <w:rFonts w:ascii="Calibri" w:eastAsia="Calibri" w:hAnsi="Calibri"/>
                <w:sz w:val="22"/>
                <w:szCs w:val="22"/>
              </w:rPr>
            </w:pPr>
            <w:r w:rsidRPr="00A2696C">
              <w:rPr>
                <w:rFonts w:ascii="Calibri" w:eastAsia="Calibri" w:hAnsi="Calibri"/>
                <w:sz w:val="22"/>
                <w:szCs w:val="22"/>
              </w:rPr>
              <w:t>Kanis JA, Johansson H, Oden A, Dawson-Hughes B, Melton LJ 3rd, McCloskey EV (2010) The effects of a FRAX</w:t>
            </w:r>
            <w:r w:rsidRPr="00A2696C">
              <w:rPr>
                <w:rFonts w:ascii="Calibri" w:eastAsia="Calibri" w:hAnsi="Calibri" w:cs="Calibri"/>
                <w:sz w:val="22"/>
                <w:szCs w:val="22"/>
              </w:rPr>
              <w:t>®</w:t>
            </w:r>
            <w:r w:rsidRPr="00A2696C">
              <w:rPr>
                <w:rFonts w:ascii="Calibri" w:eastAsia="Calibri" w:hAnsi="Calibri"/>
                <w:sz w:val="22"/>
                <w:szCs w:val="22"/>
              </w:rPr>
              <w:t xml:space="preserve"> revision for the USA. Osteoporos Int 21:35–40</w:t>
            </w:r>
          </w:p>
          <w:p w14:paraId="78A5C77A" w14:textId="719DC43D" w:rsidR="00C70D59" w:rsidRPr="00A2696C" w:rsidRDefault="00C70D59" w:rsidP="009C155D">
            <w:pPr>
              <w:pStyle w:val="CommentText"/>
              <w:spacing w:before="240"/>
              <w:rPr>
                <w:rFonts w:ascii="Calibri" w:eastAsia="Calibri" w:hAnsi="Calibri"/>
                <w:sz w:val="22"/>
                <w:szCs w:val="22"/>
              </w:rPr>
            </w:pPr>
          </w:p>
        </w:tc>
      </w:tr>
      <w:tr w:rsidR="00C70D59" w:rsidRPr="00066D52" w14:paraId="67B04D99" w14:textId="77777777" w:rsidTr="00C70D59">
        <w:tc>
          <w:tcPr>
            <w:tcW w:w="538" w:type="dxa"/>
          </w:tcPr>
          <w:p w14:paraId="086E7896" w14:textId="77777777" w:rsidR="00C70D59" w:rsidRPr="003E4CE2" w:rsidRDefault="00C70D59" w:rsidP="009C155D">
            <w:pPr>
              <w:pStyle w:val="Heading1"/>
              <w:spacing w:before="240" w:beforeAutospacing="0" w:after="120" w:afterAutospacing="0"/>
              <w:jc w:val="right"/>
              <w:outlineLvl w:val="0"/>
              <w:rPr>
                <w:rFonts w:ascii="Calibri" w:eastAsia="Calibri" w:hAnsi="Calibri"/>
                <w:b w:val="0"/>
                <w:bCs w:val="0"/>
                <w:sz w:val="22"/>
                <w:szCs w:val="22"/>
              </w:rPr>
            </w:pPr>
          </w:p>
        </w:tc>
        <w:tc>
          <w:tcPr>
            <w:tcW w:w="8245" w:type="dxa"/>
          </w:tcPr>
          <w:p w14:paraId="1114D807" w14:textId="77777777" w:rsidR="00C70D59" w:rsidRPr="00A2696C" w:rsidRDefault="00C70D59" w:rsidP="009C155D">
            <w:pPr>
              <w:pStyle w:val="CommentText"/>
              <w:spacing w:before="240"/>
              <w:rPr>
                <w:rFonts w:ascii="Calibri" w:eastAsia="Calibri" w:hAnsi="Calibri"/>
                <w:sz w:val="22"/>
                <w:szCs w:val="22"/>
              </w:rPr>
            </w:pPr>
          </w:p>
        </w:tc>
      </w:tr>
      <w:tr w:rsidR="00D140C2" w:rsidRPr="00066D52" w14:paraId="3A6E5C91" w14:textId="77777777" w:rsidTr="00C70D59">
        <w:tc>
          <w:tcPr>
            <w:tcW w:w="538" w:type="dxa"/>
          </w:tcPr>
          <w:p w14:paraId="71C0EA18" w14:textId="77777777" w:rsidR="00D140C2" w:rsidRPr="003E4CE2" w:rsidRDefault="00D140C2" w:rsidP="009C155D">
            <w:pPr>
              <w:pStyle w:val="Heading1"/>
              <w:spacing w:before="240" w:beforeAutospacing="0" w:after="120" w:afterAutospacing="0"/>
              <w:jc w:val="right"/>
              <w:outlineLvl w:val="0"/>
              <w:rPr>
                <w:rFonts w:ascii="Calibri" w:eastAsia="Calibri" w:hAnsi="Calibri"/>
                <w:b w:val="0"/>
                <w:bCs w:val="0"/>
                <w:sz w:val="22"/>
                <w:szCs w:val="22"/>
              </w:rPr>
            </w:pPr>
          </w:p>
        </w:tc>
        <w:tc>
          <w:tcPr>
            <w:tcW w:w="8245" w:type="dxa"/>
          </w:tcPr>
          <w:p w14:paraId="10E19DC6" w14:textId="77777777" w:rsidR="00D140C2" w:rsidRPr="00A2696C" w:rsidRDefault="00D140C2" w:rsidP="009C155D">
            <w:pPr>
              <w:pStyle w:val="CommentText"/>
              <w:spacing w:before="240"/>
              <w:rPr>
                <w:rFonts w:ascii="Calibri" w:eastAsia="Calibri" w:hAnsi="Calibri"/>
                <w:sz w:val="22"/>
                <w:szCs w:val="22"/>
              </w:rPr>
            </w:pPr>
          </w:p>
        </w:tc>
      </w:tr>
    </w:tbl>
    <w:p w14:paraId="4F0243E1" w14:textId="77777777" w:rsidR="00853F80" w:rsidRPr="0099220F" w:rsidRDefault="00853F80" w:rsidP="00962133">
      <w:pPr>
        <w:pStyle w:val="Heading1"/>
        <w:shd w:val="clear" w:color="auto" w:fill="FFFFFF"/>
        <w:spacing w:before="120" w:beforeAutospacing="0" w:after="120" w:afterAutospacing="0" w:line="300" w:lineRule="atLeast"/>
        <w:ind w:left="567"/>
        <w:rPr>
          <w:rFonts w:ascii="Arial" w:hAnsi="Arial" w:cs="Arial"/>
          <w:sz w:val="22"/>
          <w:szCs w:val="22"/>
          <w:lang w:val="en-GB"/>
        </w:rPr>
      </w:pPr>
    </w:p>
    <w:sectPr w:rsidR="00853F80" w:rsidRPr="0099220F">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A2B972" w14:textId="77777777" w:rsidR="0069079E" w:rsidRDefault="0069079E" w:rsidP="00230EAB">
      <w:pPr>
        <w:spacing w:after="0" w:line="240" w:lineRule="auto"/>
      </w:pPr>
      <w:r>
        <w:separator/>
      </w:r>
    </w:p>
  </w:endnote>
  <w:endnote w:type="continuationSeparator" w:id="0">
    <w:p w14:paraId="058CF40B" w14:textId="77777777" w:rsidR="0069079E" w:rsidRDefault="0069079E" w:rsidP="00230E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00"/>
    <w:family w:val="auto"/>
    <w:pitch w:val="default"/>
  </w:font>
  <w:font w:name="Noto Sans CJK SC Regular">
    <w:charset w:val="00"/>
    <w:family w:val="auto"/>
    <w:pitch w:val="variable"/>
  </w:font>
  <w:font w:name="FreeSans">
    <w:altName w:val="Times New Roman"/>
    <w:charset w:val="00"/>
    <w:family w:val="auto"/>
    <w:pitch w:val="variable"/>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112740"/>
      <w:docPartObj>
        <w:docPartGallery w:val="Page Numbers (Bottom of Page)"/>
        <w:docPartUnique/>
      </w:docPartObj>
    </w:sdtPr>
    <w:sdtEndPr>
      <w:rPr>
        <w:noProof/>
      </w:rPr>
    </w:sdtEndPr>
    <w:sdtContent>
      <w:p w14:paraId="0972DD21" w14:textId="4670009A" w:rsidR="00230EAB" w:rsidRDefault="00230EAB">
        <w:pPr>
          <w:pStyle w:val="Footer"/>
          <w:jc w:val="right"/>
        </w:pPr>
        <w:r>
          <w:fldChar w:fldCharType="begin"/>
        </w:r>
        <w:r>
          <w:instrText xml:space="preserve"> PAGE   \* MERGEFORMAT </w:instrText>
        </w:r>
        <w:r>
          <w:fldChar w:fldCharType="separate"/>
        </w:r>
        <w:r w:rsidR="00FC7632">
          <w:rPr>
            <w:noProof/>
          </w:rPr>
          <w:t>1</w:t>
        </w:r>
        <w:r>
          <w:rPr>
            <w:noProof/>
          </w:rPr>
          <w:fldChar w:fldCharType="end"/>
        </w:r>
      </w:p>
    </w:sdtContent>
  </w:sdt>
  <w:p w14:paraId="0CB86E38" w14:textId="77777777" w:rsidR="00230EAB" w:rsidRDefault="00230EA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A49F1C" w14:textId="77777777" w:rsidR="0069079E" w:rsidRDefault="0069079E" w:rsidP="00230EAB">
      <w:pPr>
        <w:spacing w:after="0" w:line="240" w:lineRule="auto"/>
      </w:pPr>
      <w:r>
        <w:separator/>
      </w:r>
    </w:p>
  </w:footnote>
  <w:footnote w:type="continuationSeparator" w:id="0">
    <w:p w14:paraId="0508FC7A" w14:textId="77777777" w:rsidR="0069079E" w:rsidRDefault="0069079E" w:rsidP="00230E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544A0"/>
    <w:multiLevelType w:val="hybridMultilevel"/>
    <w:tmpl w:val="E18A09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909"/>
    <w:rsid w:val="0000080E"/>
    <w:rsid w:val="00001DB0"/>
    <w:rsid w:val="00003584"/>
    <w:rsid w:val="00004BD7"/>
    <w:rsid w:val="000066C9"/>
    <w:rsid w:val="000104DA"/>
    <w:rsid w:val="00017884"/>
    <w:rsid w:val="00022813"/>
    <w:rsid w:val="000254C4"/>
    <w:rsid w:val="00027B38"/>
    <w:rsid w:val="0003062D"/>
    <w:rsid w:val="00030CD2"/>
    <w:rsid w:val="00034B05"/>
    <w:rsid w:val="00034FDB"/>
    <w:rsid w:val="00035B24"/>
    <w:rsid w:val="000362DD"/>
    <w:rsid w:val="000375D2"/>
    <w:rsid w:val="00037B92"/>
    <w:rsid w:val="000440DC"/>
    <w:rsid w:val="0004528C"/>
    <w:rsid w:val="00047213"/>
    <w:rsid w:val="00050458"/>
    <w:rsid w:val="000559D8"/>
    <w:rsid w:val="00061627"/>
    <w:rsid w:val="00061DA3"/>
    <w:rsid w:val="00061E1B"/>
    <w:rsid w:val="000625DA"/>
    <w:rsid w:val="000648E0"/>
    <w:rsid w:val="00065994"/>
    <w:rsid w:val="00066D52"/>
    <w:rsid w:val="000715E9"/>
    <w:rsid w:val="00073DAC"/>
    <w:rsid w:val="00073FD4"/>
    <w:rsid w:val="00076C82"/>
    <w:rsid w:val="00080BED"/>
    <w:rsid w:val="00084490"/>
    <w:rsid w:val="000856C2"/>
    <w:rsid w:val="0009083A"/>
    <w:rsid w:val="00093874"/>
    <w:rsid w:val="00094DFA"/>
    <w:rsid w:val="00095A2B"/>
    <w:rsid w:val="00096187"/>
    <w:rsid w:val="00097BEC"/>
    <w:rsid w:val="000A275A"/>
    <w:rsid w:val="000A3940"/>
    <w:rsid w:val="000A3F64"/>
    <w:rsid w:val="000A4DD4"/>
    <w:rsid w:val="000A6284"/>
    <w:rsid w:val="000A7D78"/>
    <w:rsid w:val="000C10C2"/>
    <w:rsid w:val="000C1A06"/>
    <w:rsid w:val="000C1A9A"/>
    <w:rsid w:val="000C4A52"/>
    <w:rsid w:val="000C5DAD"/>
    <w:rsid w:val="000D1462"/>
    <w:rsid w:val="000D1FB8"/>
    <w:rsid w:val="000D2774"/>
    <w:rsid w:val="000D4A66"/>
    <w:rsid w:val="000D4AED"/>
    <w:rsid w:val="000D50F2"/>
    <w:rsid w:val="000D54B1"/>
    <w:rsid w:val="000D5C05"/>
    <w:rsid w:val="000D68C1"/>
    <w:rsid w:val="000E3F57"/>
    <w:rsid w:val="000E42E9"/>
    <w:rsid w:val="000E6D6A"/>
    <w:rsid w:val="000E7267"/>
    <w:rsid w:val="000F5EEB"/>
    <w:rsid w:val="000F7ABB"/>
    <w:rsid w:val="00100543"/>
    <w:rsid w:val="00103FB0"/>
    <w:rsid w:val="00104393"/>
    <w:rsid w:val="00104819"/>
    <w:rsid w:val="001100D3"/>
    <w:rsid w:val="00110ABD"/>
    <w:rsid w:val="001156CD"/>
    <w:rsid w:val="001216B6"/>
    <w:rsid w:val="00123200"/>
    <w:rsid w:val="00123663"/>
    <w:rsid w:val="0012374C"/>
    <w:rsid w:val="001239F0"/>
    <w:rsid w:val="00123B22"/>
    <w:rsid w:val="00127627"/>
    <w:rsid w:val="0013571C"/>
    <w:rsid w:val="001418B1"/>
    <w:rsid w:val="00141D7A"/>
    <w:rsid w:val="00142C73"/>
    <w:rsid w:val="00147283"/>
    <w:rsid w:val="0014746A"/>
    <w:rsid w:val="00151C25"/>
    <w:rsid w:val="001522BF"/>
    <w:rsid w:val="001522D5"/>
    <w:rsid w:val="00152613"/>
    <w:rsid w:val="001526E0"/>
    <w:rsid w:val="001553D6"/>
    <w:rsid w:val="001562BC"/>
    <w:rsid w:val="0015690D"/>
    <w:rsid w:val="00162547"/>
    <w:rsid w:val="001646F6"/>
    <w:rsid w:val="0016556F"/>
    <w:rsid w:val="00166A8E"/>
    <w:rsid w:val="00167390"/>
    <w:rsid w:val="0016777D"/>
    <w:rsid w:val="0017247B"/>
    <w:rsid w:val="00174DCD"/>
    <w:rsid w:val="00176B88"/>
    <w:rsid w:val="00180914"/>
    <w:rsid w:val="00182C07"/>
    <w:rsid w:val="00183597"/>
    <w:rsid w:val="00185944"/>
    <w:rsid w:val="00192DEA"/>
    <w:rsid w:val="00193209"/>
    <w:rsid w:val="00193672"/>
    <w:rsid w:val="00196259"/>
    <w:rsid w:val="001A0941"/>
    <w:rsid w:val="001A0EB1"/>
    <w:rsid w:val="001A1749"/>
    <w:rsid w:val="001A2BA1"/>
    <w:rsid w:val="001A31CB"/>
    <w:rsid w:val="001A50A5"/>
    <w:rsid w:val="001A51EC"/>
    <w:rsid w:val="001B1A70"/>
    <w:rsid w:val="001B3C7C"/>
    <w:rsid w:val="001B42F2"/>
    <w:rsid w:val="001B50A0"/>
    <w:rsid w:val="001B5202"/>
    <w:rsid w:val="001B6E09"/>
    <w:rsid w:val="001B6F9D"/>
    <w:rsid w:val="001C394C"/>
    <w:rsid w:val="001C4C28"/>
    <w:rsid w:val="001C6E63"/>
    <w:rsid w:val="001C6FAB"/>
    <w:rsid w:val="001D0F7C"/>
    <w:rsid w:val="001D1CE0"/>
    <w:rsid w:val="001D2427"/>
    <w:rsid w:val="001D42EA"/>
    <w:rsid w:val="001D6D7A"/>
    <w:rsid w:val="001E1F3F"/>
    <w:rsid w:val="001E2E3A"/>
    <w:rsid w:val="001E4DC2"/>
    <w:rsid w:val="001E68F5"/>
    <w:rsid w:val="001E6BEC"/>
    <w:rsid w:val="001F25D1"/>
    <w:rsid w:val="001F2C7E"/>
    <w:rsid w:val="001F30AD"/>
    <w:rsid w:val="001F3D48"/>
    <w:rsid w:val="001F6313"/>
    <w:rsid w:val="001F64B0"/>
    <w:rsid w:val="001F728F"/>
    <w:rsid w:val="002000FE"/>
    <w:rsid w:val="00200DF8"/>
    <w:rsid w:val="00202DCD"/>
    <w:rsid w:val="00202E9F"/>
    <w:rsid w:val="0020530B"/>
    <w:rsid w:val="002138E9"/>
    <w:rsid w:val="00215717"/>
    <w:rsid w:val="00215740"/>
    <w:rsid w:val="0021710A"/>
    <w:rsid w:val="002179CC"/>
    <w:rsid w:val="002203C4"/>
    <w:rsid w:val="00220860"/>
    <w:rsid w:val="00222A67"/>
    <w:rsid w:val="00222F0C"/>
    <w:rsid w:val="00226C65"/>
    <w:rsid w:val="0022750A"/>
    <w:rsid w:val="0023029B"/>
    <w:rsid w:val="00230EAB"/>
    <w:rsid w:val="00232C03"/>
    <w:rsid w:val="00233CB9"/>
    <w:rsid w:val="00236A02"/>
    <w:rsid w:val="002425EA"/>
    <w:rsid w:val="00244C9F"/>
    <w:rsid w:val="0024545E"/>
    <w:rsid w:val="00247C63"/>
    <w:rsid w:val="00247CF2"/>
    <w:rsid w:val="00247D5A"/>
    <w:rsid w:val="00250457"/>
    <w:rsid w:val="00251682"/>
    <w:rsid w:val="002547B7"/>
    <w:rsid w:val="00255956"/>
    <w:rsid w:val="00255FE9"/>
    <w:rsid w:val="00260BBA"/>
    <w:rsid w:val="0026113B"/>
    <w:rsid w:val="002621EC"/>
    <w:rsid w:val="0026792D"/>
    <w:rsid w:val="00267EDA"/>
    <w:rsid w:val="0027180B"/>
    <w:rsid w:val="00272F6B"/>
    <w:rsid w:val="00273B72"/>
    <w:rsid w:val="00273D3F"/>
    <w:rsid w:val="00275E19"/>
    <w:rsid w:val="00280FEF"/>
    <w:rsid w:val="00283AED"/>
    <w:rsid w:val="0028461B"/>
    <w:rsid w:val="00284E55"/>
    <w:rsid w:val="00284E56"/>
    <w:rsid w:val="00286AED"/>
    <w:rsid w:val="0028769F"/>
    <w:rsid w:val="00287E9E"/>
    <w:rsid w:val="00290984"/>
    <w:rsid w:val="002928E6"/>
    <w:rsid w:val="00293EFA"/>
    <w:rsid w:val="0029610D"/>
    <w:rsid w:val="0029784B"/>
    <w:rsid w:val="002A14C5"/>
    <w:rsid w:val="002A34C0"/>
    <w:rsid w:val="002A599F"/>
    <w:rsid w:val="002A7815"/>
    <w:rsid w:val="002B2192"/>
    <w:rsid w:val="002B354F"/>
    <w:rsid w:val="002B4AC1"/>
    <w:rsid w:val="002B5F53"/>
    <w:rsid w:val="002B65AF"/>
    <w:rsid w:val="002B65C5"/>
    <w:rsid w:val="002B6863"/>
    <w:rsid w:val="002B7CB9"/>
    <w:rsid w:val="002C0B07"/>
    <w:rsid w:val="002C14F9"/>
    <w:rsid w:val="002C1778"/>
    <w:rsid w:val="002C1BC8"/>
    <w:rsid w:val="002C3948"/>
    <w:rsid w:val="002C6F43"/>
    <w:rsid w:val="002C7B45"/>
    <w:rsid w:val="002D01FA"/>
    <w:rsid w:val="002D0F37"/>
    <w:rsid w:val="002D4CC8"/>
    <w:rsid w:val="002D6993"/>
    <w:rsid w:val="002E1461"/>
    <w:rsid w:val="002E5312"/>
    <w:rsid w:val="002E5964"/>
    <w:rsid w:val="002E66B7"/>
    <w:rsid w:val="002E6D7B"/>
    <w:rsid w:val="002F12EF"/>
    <w:rsid w:val="002F1558"/>
    <w:rsid w:val="002F1B76"/>
    <w:rsid w:val="002F41AF"/>
    <w:rsid w:val="002F524E"/>
    <w:rsid w:val="002F729B"/>
    <w:rsid w:val="00302B87"/>
    <w:rsid w:val="0030354E"/>
    <w:rsid w:val="00303744"/>
    <w:rsid w:val="003072C9"/>
    <w:rsid w:val="0030797E"/>
    <w:rsid w:val="00311AB8"/>
    <w:rsid w:val="00311DF5"/>
    <w:rsid w:val="003127E4"/>
    <w:rsid w:val="00312CA4"/>
    <w:rsid w:val="00313C67"/>
    <w:rsid w:val="00314731"/>
    <w:rsid w:val="0031597B"/>
    <w:rsid w:val="0031639F"/>
    <w:rsid w:val="00317A69"/>
    <w:rsid w:val="00323A83"/>
    <w:rsid w:val="00325BA9"/>
    <w:rsid w:val="003269C3"/>
    <w:rsid w:val="003270A1"/>
    <w:rsid w:val="003271E0"/>
    <w:rsid w:val="00331070"/>
    <w:rsid w:val="00332004"/>
    <w:rsid w:val="00332633"/>
    <w:rsid w:val="00334A14"/>
    <w:rsid w:val="0033557D"/>
    <w:rsid w:val="00335ECA"/>
    <w:rsid w:val="00337D78"/>
    <w:rsid w:val="00342CD3"/>
    <w:rsid w:val="00343026"/>
    <w:rsid w:val="00344D30"/>
    <w:rsid w:val="00346333"/>
    <w:rsid w:val="00351C11"/>
    <w:rsid w:val="00351DCE"/>
    <w:rsid w:val="0035265F"/>
    <w:rsid w:val="00353F24"/>
    <w:rsid w:val="003555A4"/>
    <w:rsid w:val="00356060"/>
    <w:rsid w:val="0035640F"/>
    <w:rsid w:val="00356648"/>
    <w:rsid w:val="003574DF"/>
    <w:rsid w:val="00357725"/>
    <w:rsid w:val="00361F9C"/>
    <w:rsid w:val="0036298F"/>
    <w:rsid w:val="003635D2"/>
    <w:rsid w:val="00365B9C"/>
    <w:rsid w:val="003723D2"/>
    <w:rsid w:val="00377FB4"/>
    <w:rsid w:val="0038088F"/>
    <w:rsid w:val="003815DE"/>
    <w:rsid w:val="003826EF"/>
    <w:rsid w:val="003832A3"/>
    <w:rsid w:val="00383D13"/>
    <w:rsid w:val="00384050"/>
    <w:rsid w:val="003865FF"/>
    <w:rsid w:val="00390987"/>
    <w:rsid w:val="00390AC9"/>
    <w:rsid w:val="003935B3"/>
    <w:rsid w:val="0039609E"/>
    <w:rsid w:val="0039770F"/>
    <w:rsid w:val="00397AD9"/>
    <w:rsid w:val="003A1E02"/>
    <w:rsid w:val="003A42D9"/>
    <w:rsid w:val="003A4326"/>
    <w:rsid w:val="003A4912"/>
    <w:rsid w:val="003A794C"/>
    <w:rsid w:val="003B3C10"/>
    <w:rsid w:val="003C0924"/>
    <w:rsid w:val="003C0A84"/>
    <w:rsid w:val="003C0E87"/>
    <w:rsid w:val="003C2002"/>
    <w:rsid w:val="003C2E3F"/>
    <w:rsid w:val="003C6068"/>
    <w:rsid w:val="003C6326"/>
    <w:rsid w:val="003C7D0B"/>
    <w:rsid w:val="003D3FD9"/>
    <w:rsid w:val="003D71D9"/>
    <w:rsid w:val="003E0985"/>
    <w:rsid w:val="003E146A"/>
    <w:rsid w:val="003E1DAE"/>
    <w:rsid w:val="003E3772"/>
    <w:rsid w:val="003E3BAB"/>
    <w:rsid w:val="003E4B9A"/>
    <w:rsid w:val="003E4CE2"/>
    <w:rsid w:val="003E6CB6"/>
    <w:rsid w:val="003F00EA"/>
    <w:rsid w:val="003F217C"/>
    <w:rsid w:val="003F2672"/>
    <w:rsid w:val="003F3B3D"/>
    <w:rsid w:val="00400A28"/>
    <w:rsid w:val="00401249"/>
    <w:rsid w:val="00404682"/>
    <w:rsid w:val="00405BD8"/>
    <w:rsid w:val="004112EF"/>
    <w:rsid w:val="004120D5"/>
    <w:rsid w:val="00417004"/>
    <w:rsid w:val="004212E5"/>
    <w:rsid w:val="004215C3"/>
    <w:rsid w:val="0043111C"/>
    <w:rsid w:val="00433108"/>
    <w:rsid w:val="00433398"/>
    <w:rsid w:val="004349CD"/>
    <w:rsid w:val="00434F06"/>
    <w:rsid w:val="00436705"/>
    <w:rsid w:val="00436B4B"/>
    <w:rsid w:val="00436BD9"/>
    <w:rsid w:val="00437141"/>
    <w:rsid w:val="00440EDD"/>
    <w:rsid w:val="004442A0"/>
    <w:rsid w:val="0044589E"/>
    <w:rsid w:val="00447825"/>
    <w:rsid w:val="00447D36"/>
    <w:rsid w:val="004518FE"/>
    <w:rsid w:val="0045372D"/>
    <w:rsid w:val="0045555F"/>
    <w:rsid w:val="004570E7"/>
    <w:rsid w:val="00457648"/>
    <w:rsid w:val="004614EB"/>
    <w:rsid w:val="00462908"/>
    <w:rsid w:val="00462B25"/>
    <w:rsid w:val="0046488E"/>
    <w:rsid w:val="00467238"/>
    <w:rsid w:val="00471075"/>
    <w:rsid w:val="00476072"/>
    <w:rsid w:val="0047764C"/>
    <w:rsid w:val="0048102D"/>
    <w:rsid w:val="00481710"/>
    <w:rsid w:val="00484FB5"/>
    <w:rsid w:val="00485025"/>
    <w:rsid w:val="00485786"/>
    <w:rsid w:val="00485CAB"/>
    <w:rsid w:val="00491AEC"/>
    <w:rsid w:val="004934D3"/>
    <w:rsid w:val="00495819"/>
    <w:rsid w:val="004960AE"/>
    <w:rsid w:val="00496BAA"/>
    <w:rsid w:val="004A373C"/>
    <w:rsid w:val="004B0C9D"/>
    <w:rsid w:val="004B2E67"/>
    <w:rsid w:val="004B2E83"/>
    <w:rsid w:val="004B395B"/>
    <w:rsid w:val="004B41E3"/>
    <w:rsid w:val="004B474E"/>
    <w:rsid w:val="004B7942"/>
    <w:rsid w:val="004C0291"/>
    <w:rsid w:val="004C36DD"/>
    <w:rsid w:val="004C71C1"/>
    <w:rsid w:val="004D0E44"/>
    <w:rsid w:val="004D1D7C"/>
    <w:rsid w:val="004D4373"/>
    <w:rsid w:val="004D4B2C"/>
    <w:rsid w:val="004E07B6"/>
    <w:rsid w:val="004E1289"/>
    <w:rsid w:val="004E2260"/>
    <w:rsid w:val="004E3248"/>
    <w:rsid w:val="004E38AA"/>
    <w:rsid w:val="004E4262"/>
    <w:rsid w:val="004E5B73"/>
    <w:rsid w:val="004E608C"/>
    <w:rsid w:val="004E7F0A"/>
    <w:rsid w:val="004F0CF4"/>
    <w:rsid w:val="004F0D9A"/>
    <w:rsid w:val="004F230D"/>
    <w:rsid w:val="004F283D"/>
    <w:rsid w:val="004F4702"/>
    <w:rsid w:val="004F54B8"/>
    <w:rsid w:val="004F5855"/>
    <w:rsid w:val="004F5F53"/>
    <w:rsid w:val="004F639B"/>
    <w:rsid w:val="004F6E1C"/>
    <w:rsid w:val="005018FF"/>
    <w:rsid w:val="00502067"/>
    <w:rsid w:val="005066DA"/>
    <w:rsid w:val="00510F89"/>
    <w:rsid w:val="0051260D"/>
    <w:rsid w:val="005136EA"/>
    <w:rsid w:val="005139B2"/>
    <w:rsid w:val="0051445A"/>
    <w:rsid w:val="0051718B"/>
    <w:rsid w:val="00521561"/>
    <w:rsid w:val="0052267F"/>
    <w:rsid w:val="00524621"/>
    <w:rsid w:val="00524F78"/>
    <w:rsid w:val="00525171"/>
    <w:rsid w:val="00525EFB"/>
    <w:rsid w:val="00530554"/>
    <w:rsid w:val="00530800"/>
    <w:rsid w:val="00532D8E"/>
    <w:rsid w:val="005333EB"/>
    <w:rsid w:val="0053723B"/>
    <w:rsid w:val="00542B55"/>
    <w:rsid w:val="00542BB4"/>
    <w:rsid w:val="005437E1"/>
    <w:rsid w:val="00544FEF"/>
    <w:rsid w:val="005451B7"/>
    <w:rsid w:val="00550148"/>
    <w:rsid w:val="0055029F"/>
    <w:rsid w:val="00550D94"/>
    <w:rsid w:val="0055245F"/>
    <w:rsid w:val="00556D8A"/>
    <w:rsid w:val="005612FE"/>
    <w:rsid w:val="00562326"/>
    <w:rsid w:val="00562692"/>
    <w:rsid w:val="005641BC"/>
    <w:rsid w:val="00567AF6"/>
    <w:rsid w:val="00571A1B"/>
    <w:rsid w:val="0057556E"/>
    <w:rsid w:val="0057677E"/>
    <w:rsid w:val="00577309"/>
    <w:rsid w:val="00580791"/>
    <w:rsid w:val="00580D9A"/>
    <w:rsid w:val="0058153A"/>
    <w:rsid w:val="00581CA9"/>
    <w:rsid w:val="00585D63"/>
    <w:rsid w:val="00586CEE"/>
    <w:rsid w:val="0058778E"/>
    <w:rsid w:val="00590F25"/>
    <w:rsid w:val="00593522"/>
    <w:rsid w:val="00596307"/>
    <w:rsid w:val="00596688"/>
    <w:rsid w:val="00596880"/>
    <w:rsid w:val="00596A9D"/>
    <w:rsid w:val="005975A9"/>
    <w:rsid w:val="005A0E9D"/>
    <w:rsid w:val="005A1D36"/>
    <w:rsid w:val="005A3DBE"/>
    <w:rsid w:val="005A4282"/>
    <w:rsid w:val="005A4D87"/>
    <w:rsid w:val="005A5242"/>
    <w:rsid w:val="005A526E"/>
    <w:rsid w:val="005A5617"/>
    <w:rsid w:val="005A56E2"/>
    <w:rsid w:val="005A655F"/>
    <w:rsid w:val="005B16C7"/>
    <w:rsid w:val="005B1B96"/>
    <w:rsid w:val="005B2CB6"/>
    <w:rsid w:val="005B3100"/>
    <w:rsid w:val="005B49CB"/>
    <w:rsid w:val="005B5FF9"/>
    <w:rsid w:val="005C40BB"/>
    <w:rsid w:val="005C5E53"/>
    <w:rsid w:val="005C686C"/>
    <w:rsid w:val="005C6A11"/>
    <w:rsid w:val="005C73C0"/>
    <w:rsid w:val="005D1FF7"/>
    <w:rsid w:val="005D3234"/>
    <w:rsid w:val="005E0AAB"/>
    <w:rsid w:val="005E3399"/>
    <w:rsid w:val="005E5F2F"/>
    <w:rsid w:val="005E635F"/>
    <w:rsid w:val="005E7E38"/>
    <w:rsid w:val="005E7F84"/>
    <w:rsid w:val="005F154E"/>
    <w:rsid w:val="005F1D33"/>
    <w:rsid w:val="005F20D0"/>
    <w:rsid w:val="005F2F33"/>
    <w:rsid w:val="005F3D0D"/>
    <w:rsid w:val="005F4BE8"/>
    <w:rsid w:val="005F65DA"/>
    <w:rsid w:val="005F6E8D"/>
    <w:rsid w:val="0060298E"/>
    <w:rsid w:val="00604153"/>
    <w:rsid w:val="006050E4"/>
    <w:rsid w:val="006067DC"/>
    <w:rsid w:val="00606857"/>
    <w:rsid w:val="00606CA7"/>
    <w:rsid w:val="00610D90"/>
    <w:rsid w:val="00611497"/>
    <w:rsid w:val="006137D8"/>
    <w:rsid w:val="006138CC"/>
    <w:rsid w:val="00615615"/>
    <w:rsid w:val="006177DE"/>
    <w:rsid w:val="00620A83"/>
    <w:rsid w:val="00622108"/>
    <w:rsid w:val="0062457F"/>
    <w:rsid w:val="00624DD3"/>
    <w:rsid w:val="006266E1"/>
    <w:rsid w:val="00630F17"/>
    <w:rsid w:val="00631E37"/>
    <w:rsid w:val="00633EA4"/>
    <w:rsid w:val="00635754"/>
    <w:rsid w:val="00640169"/>
    <w:rsid w:val="00641DBD"/>
    <w:rsid w:val="006422B5"/>
    <w:rsid w:val="00643140"/>
    <w:rsid w:val="0064597E"/>
    <w:rsid w:val="00645ECA"/>
    <w:rsid w:val="0064656D"/>
    <w:rsid w:val="006476A8"/>
    <w:rsid w:val="00650965"/>
    <w:rsid w:val="00653276"/>
    <w:rsid w:val="00653769"/>
    <w:rsid w:val="006550E2"/>
    <w:rsid w:val="00655C74"/>
    <w:rsid w:val="006571CC"/>
    <w:rsid w:val="00660070"/>
    <w:rsid w:val="0066007A"/>
    <w:rsid w:val="006647B3"/>
    <w:rsid w:val="006660EC"/>
    <w:rsid w:val="00667477"/>
    <w:rsid w:val="00670B89"/>
    <w:rsid w:val="00672772"/>
    <w:rsid w:val="0067277F"/>
    <w:rsid w:val="006739D5"/>
    <w:rsid w:val="00673ECE"/>
    <w:rsid w:val="00674167"/>
    <w:rsid w:val="0067486F"/>
    <w:rsid w:val="006770F8"/>
    <w:rsid w:val="00677A8F"/>
    <w:rsid w:val="00677BEB"/>
    <w:rsid w:val="0068208C"/>
    <w:rsid w:val="00683EED"/>
    <w:rsid w:val="006842DF"/>
    <w:rsid w:val="00687A11"/>
    <w:rsid w:val="0069079E"/>
    <w:rsid w:val="006932FE"/>
    <w:rsid w:val="00693ED9"/>
    <w:rsid w:val="00696140"/>
    <w:rsid w:val="0069731C"/>
    <w:rsid w:val="0069766E"/>
    <w:rsid w:val="006A2809"/>
    <w:rsid w:val="006A313B"/>
    <w:rsid w:val="006A6B0B"/>
    <w:rsid w:val="006B341C"/>
    <w:rsid w:val="006B3872"/>
    <w:rsid w:val="006B4933"/>
    <w:rsid w:val="006B5C56"/>
    <w:rsid w:val="006B707A"/>
    <w:rsid w:val="006B758B"/>
    <w:rsid w:val="006B7FB1"/>
    <w:rsid w:val="006C1C12"/>
    <w:rsid w:val="006C2429"/>
    <w:rsid w:val="006C278B"/>
    <w:rsid w:val="006C33B2"/>
    <w:rsid w:val="006C408B"/>
    <w:rsid w:val="006C44A2"/>
    <w:rsid w:val="006C5DCE"/>
    <w:rsid w:val="006D0EE5"/>
    <w:rsid w:val="006D227D"/>
    <w:rsid w:val="006D5658"/>
    <w:rsid w:val="006D67B3"/>
    <w:rsid w:val="006D6A0D"/>
    <w:rsid w:val="006D75F9"/>
    <w:rsid w:val="006E19ED"/>
    <w:rsid w:val="006E1EF1"/>
    <w:rsid w:val="006E273D"/>
    <w:rsid w:val="006E3760"/>
    <w:rsid w:val="006E44FA"/>
    <w:rsid w:val="006E5422"/>
    <w:rsid w:val="006E7B7D"/>
    <w:rsid w:val="006F02F9"/>
    <w:rsid w:val="006F039E"/>
    <w:rsid w:val="006F16A5"/>
    <w:rsid w:val="006F2C49"/>
    <w:rsid w:val="006F2F04"/>
    <w:rsid w:val="006F41C3"/>
    <w:rsid w:val="006F4226"/>
    <w:rsid w:val="006F76F2"/>
    <w:rsid w:val="0070244A"/>
    <w:rsid w:val="00702FA9"/>
    <w:rsid w:val="007045AD"/>
    <w:rsid w:val="00704F55"/>
    <w:rsid w:val="00707A7F"/>
    <w:rsid w:val="00707C68"/>
    <w:rsid w:val="00711405"/>
    <w:rsid w:val="00711414"/>
    <w:rsid w:val="00712425"/>
    <w:rsid w:val="00713D44"/>
    <w:rsid w:val="00714060"/>
    <w:rsid w:val="00722912"/>
    <w:rsid w:val="00723313"/>
    <w:rsid w:val="00724694"/>
    <w:rsid w:val="007268EB"/>
    <w:rsid w:val="00730D94"/>
    <w:rsid w:val="00734833"/>
    <w:rsid w:val="00735D40"/>
    <w:rsid w:val="007365D4"/>
    <w:rsid w:val="00737FD3"/>
    <w:rsid w:val="00740556"/>
    <w:rsid w:val="00742CC0"/>
    <w:rsid w:val="00742FE6"/>
    <w:rsid w:val="007437C1"/>
    <w:rsid w:val="0074455B"/>
    <w:rsid w:val="007447D4"/>
    <w:rsid w:val="00744FBC"/>
    <w:rsid w:val="00753CAB"/>
    <w:rsid w:val="00754065"/>
    <w:rsid w:val="0075771B"/>
    <w:rsid w:val="00757BDB"/>
    <w:rsid w:val="00760B0C"/>
    <w:rsid w:val="00762D4D"/>
    <w:rsid w:val="00764B6F"/>
    <w:rsid w:val="00770BC5"/>
    <w:rsid w:val="007713FA"/>
    <w:rsid w:val="007714AE"/>
    <w:rsid w:val="00771CA2"/>
    <w:rsid w:val="00775F2F"/>
    <w:rsid w:val="007775FD"/>
    <w:rsid w:val="00790B0A"/>
    <w:rsid w:val="0079220D"/>
    <w:rsid w:val="00792BD0"/>
    <w:rsid w:val="007952CE"/>
    <w:rsid w:val="007971F8"/>
    <w:rsid w:val="007A3978"/>
    <w:rsid w:val="007A3F65"/>
    <w:rsid w:val="007A5984"/>
    <w:rsid w:val="007A5F63"/>
    <w:rsid w:val="007A6482"/>
    <w:rsid w:val="007B0ED4"/>
    <w:rsid w:val="007B13A4"/>
    <w:rsid w:val="007B4959"/>
    <w:rsid w:val="007B6327"/>
    <w:rsid w:val="007B73C3"/>
    <w:rsid w:val="007C223C"/>
    <w:rsid w:val="007C393F"/>
    <w:rsid w:val="007C417E"/>
    <w:rsid w:val="007C47C7"/>
    <w:rsid w:val="007C6AC3"/>
    <w:rsid w:val="007C6FB6"/>
    <w:rsid w:val="007D112A"/>
    <w:rsid w:val="007D3848"/>
    <w:rsid w:val="007E0127"/>
    <w:rsid w:val="007E2BB4"/>
    <w:rsid w:val="007E3FA3"/>
    <w:rsid w:val="007E40C7"/>
    <w:rsid w:val="007E4BC0"/>
    <w:rsid w:val="007E5D4F"/>
    <w:rsid w:val="007E63B3"/>
    <w:rsid w:val="007F0738"/>
    <w:rsid w:val="007F0850"/>
    <w:rsid w:val="007F2233"/>
    <w:rsid w:val="007F5061"/>
    <w:rsid w:val="007F7CAF"/>
    <w:rsid w:val="008004CC"/>
    <w:rsid w:val="008004E8"/>
    <w:rsid w:val="00803C0C"/>
    <w:rsid w:val="00804578"/>
    <w:rsid w:val="00805EF0"/>
    <w:rsid w:val="008076D4"/>
    <w:rsid w:val="00812A11"/>
    <w:rsid w:val="008149C5"/>
    <w:rsid w:val="00814FCA"/>
    <w:rsid w:val="00820610"/>
    <w:rsid w:val="00824371"/>
    <w:rsid w:val="00824C37"/>
    <w:rsid w:val="00831967"/>
    <w:rsid w:val="008353B4"/>
    <w:rsid w:val="00835DC9"/>
    <w:rsid w:val="0083742C"/>
    <w:rsid w:val="0084127E"/>
    <w:rsid w:val="0084469E"/>
    <w:rsid w:val="008472F8"/>
    <w:rsid w:val="00847560"/>
    <w:rsid w:val="00847B9C"/>
    <w:rsid w:val="00847FAC"/>
    <w:rsid w:val="00850672"/>
    <w:rsid w:val="00850F26"/>
    <w:rsid w:val="008515F0"/>
    <w:rsid w:val="00852576"/>
    <w:rsid w:val="00853F80"/>
    <w:rsid w:val="0085433E"/>
    <w:rsid w:val="008544E3"/>
    <w:rsid w:val="00855EB0"/>
    <w:rsid w:val="00861601"/>
    <w:rsid w:val="00862A48"/>
    <w:rsid w:val="00863EF5"/>
    <w:rsid w:val="00866319"/>
    <w:rsid w:val="0086667D"/>
    <w:rsid w:val="00870028"/>
    <w:rsid w:val="00874378"/>
    <w:rsid w:val="008759AA"/>
    <w:rsid w:val="008767E2"/>
    <w:rsid w:val="008816FC"/>
    <w:rsid w:val="00884D5F"/>
    <w:rsid w:val="008871E9"/>
    <w:rsid w:val="008924BA"/>
    <w:rsid w:val="008933A5"/>
    <w:rsid w:val="00894B83"/>
    <w:rsid w:val="008968CD"/>
    <w:rsid w:val="008A28A7"/>
    <w:rsid w:val="008A5718"/>
    <w:rsid w:val="008A7009"/>
    <w:rsid w:val="008A709D"/>
    <w:rsid w:val="008B42D2"/>
    <w:rsid w:val="008B59DF"/>
    <w:rsid w:val="008B6010"/>
    <w:rsid w:val="008B6684"/>
    <w:rsid w:val="008B7A65"/>
    <w:rsid w:val="008B7F16"/>
    <w:rsid w:val="008C220C"/>
    <w:rsid w:val="008C3367"/>
    <w:rsid w:val="008C717C"/>
    <w:rsid w:val="008D0052"/>
    <w:rsid w:val="008D21F3"/>
    <w:rsid w:val="008D47A7"/>
    <w:rsid w:val="008D47D2"/>
    <w:rsid w:val="008D4E89"/>
    <w:rsid w:val="008D4FA0"/>
    <w:rsid w:val="008E3D30"/>
    <w:rsid w:val="008F095E"/>
    <w:rsid w:val="008F0EE1"/>
    <w:rsid w:val="008F42C9"/>
    <w:rsid w:val="008F5705"/>
    <w:rsid w:val="008F7787"/>
    <w:rsid w:val="00902015"/>
    <w:rsid w:val="00902679"/>
    <w:rsid w:val="0091334F"/>
    <w:rsid w:val="00913C29"/>
    <w:rsid w:val="00914042"/>
    <w:rsid w:val="00914217"/>
    <w:rsid w:val="00915E60"/>
    <w:rsid w:val="00916477"/>
    <w:rsid w:val="009278B1"/>
    <w:rsid w:val="0093176A"/>
    <w:rsid w:val="00932828"/>
    <w:rsid w:val="00933490"/>
    <w:rsid w:val="0094175F"/>
    <w:rsid w:val="009441C0"/>
    <w:rsid w:val="009443CA"/>
    <w:rsid w:val="009501C3"/>
    <w:rsid w:val="009506A4"/>
    <w:rsid w:val="0095224B"/>
    <w:rsid w:val="00955C15"/>
    <w:rsid w:val="00956A1F"/>
    <w:rsid w:val="00962133"/>
    <w:rsid w:val="00962319"/>
    <w:rsid w:val="009630E1"/>
    <w:rsid w:val="009637BB"/>
    <w:rsid w:val="00963FFB"/>
    <w:rsid w:val="00970A22"/>
    <w:rsid w:val="00970AA8"/>
    <w:rsid w:val="0097365E"/>
    <w:rsid w:val="00973DFF"/>
    <w:rsid w:val="00974883"/>
    <w:rsid w:val="0097688C"/>
    <w:rsid w:val="00981859"/>
    <w:rsid w:val="0098426A"/>
    <w:rsid w:val="00984B5A"/>
    <w:rsid w:val="0098593A"/>
    <w:rsid w:val="00987639"/>
    <w:rsid w:val="00987A67"/>
    <w:rsid w:val="009919FB"/>
    <w:rsid w:val="0099220F"/>
    <w:rsid w:val="009931ED"/>
    <w:rsid w:val="0099435B"/>
    <w:rsid w:val="00996A1D"/>
    <w:rsid w:val="00997EA3"/>
    <w:rsid w:val="00997F94"/>
    <w:rsid w:val="009A21E3"/>
    <w:rsid w:val="009A32CA"/>
    <w:rsid w:val="009A372B"/>
    <w:rsid w:val="009A4719"/>
    <w:rsid w:val="009A4E84"/>
    <w:rsid w:val="009A502E"/>
    <w:rsid w:val="009B0C1B"/>
    <w:rsid w:val="009B2A58"/>
    <w:rsid w:val="009B2B02"/>
    <w:rsid w:val="009B5E78"/>
    <w:rsid w:val="009B66D9"/>
    <w:rsid w:val="009B71F0"/>
    <w:rsid w:val="009C155D"/>
    <w:rsid w:val="009C22B6"/>
    <w:rsid w:val="009D3335"/>
    <w:rsid w:val="009D4E08"/>
    <w:rsid w:val="009D63DA"/>
    <w:rsid w:val="009E0430"/>
    <w:rsid w:val="009E1719"/>
    <w:rsid w:val="009E20EE"/>
    <w:rsid w:val="009E444D"/>
    <w:rsid w:val="009E4F9D"/>
    <w:rsid w:val="009F78E3"/>
    <w:rsid w:val="00A0524D"/>
    <w:rsid w:val="00A10D6D"/>
    <w:rsid w:val="00A12B81"/>
    <w:rsid w:val="00A15887"/>
    <w:rsid w:val="00A21B7C"/>
    <w:rsid w:val="00A310D6"/>
    <w:rsid w:val="00A31C49"/>
    <w:rsid w:val="00A321FC"/>
    <w:rsid w:val="00A32FF0"/>
    <w:rsid w:val="00A336F8"/>
    <w:rsid w:val="00A341E5"/>
    <w:rsid w:val="00A34716"/>
    <w:rsid w:val="00A358F4"/>
    <w:rsid w:val="00A35EAD"/>
    <w:rsid w:val="00A367E8"/>
    <w:rsid w:val="00A36DFF"/>
    <w:rsid w:val="00A40032"/>
    <w:rsid w:val="00A407C2"/>
    <w:rsid w:val="00A44655"/>
    <w:rsid w:val="00A46346"/>
    <w:rsid w:val="00A47F88"/>
    <w:rsid w:val="00A50E22"/>
    <w:rsid w:val="00A5108B"/>
    <w:rsid w:val="00A51D9D"/>
    <w:rsid w:val="00A52D39"/>
    <w:rsid w:val="00A548C0"/>
    <w:rsid w:val="00A572C4"/>
    <w:rsid w:val="00A60A68"/>
    <w:rsid w:val="00A60E83"/>
    <w:rsid w:val="00A62440"/>
    <w:rsid w:val="00A62887"/>
    <w:rsid w:val="00A6613F"/>
    <w:rsid w:val="00A66245"/>
    <w:rsid w:val="00A70DB1"/>
    <w:rsid w:val="00A71AAC"/>
    <w:rsid w:val="00A71F95"/>
    <w:rsid w:val="00A73CA6"/>
    <w:rsid w:val="00A74661"/>
    <w:rsid w:val="00A7482D"/>
    <w:rsid w:val="00A756AB"/>
    <w:rsid w:val="00A756D5"/>
    <w:rsid w:val="00A77698"/>
    <w:rsid w:val="00A77C0D"/>
    <w:rsid w:val="00A80504"/>
    <w:rsid w:val="00A8151F"/>
    <w:rsid w:val="00A81917"/>
    <w:rsid w:val="00A81F74"/>
    <w:rsid w:val="00A82A42"/>
    <w:rsid w:val="00A8409A"/>
    <w:rsid w:val="00A85575"/>
    <w:rsid w:val="00A863A4"/>
    <w:rsid w:val="00A91F5E"/>
    <w:rsid w:val="00A939A2"/>
    <w:rsid w:val="00A93C64"/>
    <w:rsid w:val="00A93FB8"/>
    <w:rsid w:val="00AA03D1"/>
    <w:rsid w:val="00AA2AF3"/>
    <w:rsid w:val="00AA3B3F"/>
    <w:rsid w:val="00AA44D1"/>
    <w:rsid w:val="00AA6479"/>
    <w:rsid w:val="00AA6CF3"/>
    <w:rsid w:val="00AB01BF"/>
    <w:rsid w:val="00AB0539"/>
    <w:rsid w:val="00AB1444"/>
    <w:rsid w:val="00AB1CC2"/>
    <w:rsid w:val="00AB208A"/>
    <w:rsid w:val="00AB225B"/>
    <w:rsid w:val="00AB64C9"/>
    <w:rsid w:val="00AB72FF"/>
    <w:rsid w:val="00AC0305"/>
    <w:rsid w:val="00AC0F4B"/>
    <w:rsid w:val="00AC1B74"/>
    <w:rsid w:val="00AC43FF"/>
    <w:rsid w:val="00AC465F"/>
    <w:rsid w:val="00AC552D"/>
    <w:rsid w:val="00AC6614"/>
    <w:rsid w:val="00AC7F9B"/>
    <w:rsid w:val="00AD0279"/>
    <w:rsid w:val="00AD26EB"/>
    <w:rsid w:val="00AD59AC"/>
    <w:rsid w:val="00AD5B75"/>
    <w:rsid w:val="00AD5E19"/>
    <w:rsid w:val="00AD647F"/>
    <w:rsid w:val="00AD7AEE"/>
    <w:rsid w:val="00AE0594"/>
    <w:rsid w:val="00AE7FE0"/>
    <w:rsid w:val="00AF07FC"/>
    <w:rsid w:val="00AF107D"/>
    <w:rsid w:val="00AF1C12"/>
    <w:rsid w:val="00AF297E"/>
    <w:rsid w:val="00AF31ED"/>
    <w:rsid w:val="00AF40DC"/>
    <w:rsid w:val="00AF4F53"/>
    <w:rsid w:val="00AF6873"/>
    <w:rsid w:val="00B004B0"/>
    <w:rsid w:val="00B018DA"/>
    <w:rsid w:val="00B044D0"/>
    <w:rsid w:val="00B04BC0"/>
    <w:rsid w:val="00B04FE7"/>
    <w:rsid w:val="00B1097F"/>
    <w:rsid w:val="00B10D78"/>
    <w:rsid w:val="00B129B8"/>
    <w:rsid w:val="00B12B6F"/>
    <w:rsid w:val="00B12BD7"/>
    <w:rsid w:val="00B13266"/>
    <w:rsid w:val="00B15271"/>
    <w:rsid w:val="00B22240"/>
    <w:rsid w:val="00B24537"/>
    <w:rsid w:val="00B24F66"/>
    <w:rsid w:val="00B2758E"/>
    <w:rsid w:val="00B3180A"/>
    <w:rsid w:val="00B33C1F"/>
    <w:rsid w:val="00B33F2B"/>
    <w:rsid w:val="00B40565"/>
    <w:rsid w:val="00B406E5"/>
    <w:rsid w:val="00B40A1F"/>
    <w:rsid w:val="00B4136C"/>
    <w:rsid w:val="00B41ED5"/>
    <w:rsid w:val="00B439E2"/>
    <w:rsid w:val="00B449AA"/>
    <w:rsid w:val="00B458A6"/>
    <w:rsid w:val="00B473FB"/>
    <w:rsid w:val="00B51262"/>
    <w:rsid w:val="00B51973"/>
    <w:rsid w:val="00B52B10"/>
    <w:rsid w:val="00B53DE4"/>
    <w:rsid w:val="00B55E20"/>
    <w:rsid w:val="00B56C34"/>
    <w:rsid w:val="00B603A8"/>
    <w:rsid w:val="00B60E0A"/>
    <w:rsid w:val="00B60E90"/>
    <w:rsid w:val="00B60F42"/>
    <w:rsid w:val="00B61199"/>
    <w:rsid w:val="00B6330B"/>
    <w:rsid w:val="00B66322"/>
    <w:rsid w:val="00B6636C"/>
    <w:rsid w:val="00B71A1D"/>
    <w:rsid w:val="00B7488C"/>
    <w:rsid w:val="00B75A9B"/>
    <w:rsid w:val="00B77591"/>
    <w:rsid w:val="00B822B2"/>
    <w:rsid w:val="00B848CD"/>
    <w:rsid w:val="00B850BC"/>
    <w:rsid w:val="00B85562"/>
    <w:rsid w:val="00B90137"/>
    <w:rsid w:val="00B90E89"/>
    <w:rsid w:val="00B928C8"/>
    <w:rsid w:val="00B9301C"/>
    <w:rsid w:val="00B942E2"/>
    <w:rsid w:val="00B96B43"/>
    <w:rsid w:val="00B96D4C"/>
    <w:rsid w:val="00BA028F"/>
    <w:rsid w:val="00BA3438"/>
    <w:rsid w:val="00BA63AD"/>
    <w:rsid w:val="00BB078F"/>
    <w:rsid w:val="00BB498F"/>
    <w:rsid w:val="00BB4C47"/>
    <w:rsid w:val="00BB4C7C"/>
    <w:rsid w:val="00BB6609"/>
    <w:rsid w:val="00BC2DDD"/>
    <w:rsid w:val="00BC3C01"/>
    <w:rsid w:val="00BC3E90"/>
    <w:rsid w:val="00BC74A5"/>
    <w:rsid w:val="00BC7C2F"/>
    <w:rsid w:val="00BD14D5"/>
    <w:rsid w:val="00BD618A"/>
    <w:rsid w:val="00BD6E48"/>
    <w:rsid w:val="00BD7FD3"/>
    <w:rsid w:val="00BE0BCD"/>
    <w:rsid w:val="00BE3955"/>
    <w:rsid w:val="00BE5D1F"/>
    <w:rsid w:val="00BE6628"/>
    <w:rsid w:val="00BF06ED"/>
    <w:rsid w:val="00BF080E"/>
    <w:rsid w:val="00BF5F32"/>
    <w:rsid w:val="00BF711E"/>
    <w:rsid w:val="00C0421B"/>
    <w:rsid w:val="00C05B8A"/>
    <w:rsid w:val="00C060D4"/>
    <w:rsid w:val="00C06245"/>
    <w:rsid w:val="00C06F31"/>
    <w:rsid w:val="00C06F3E"/>
    <w:rsid w:val="00C077CE"/>
    <w:rsid w:val="00C1125C"/>
    <w:rsid w:val="00C120B2"/>
    <w:rsid w:val="00C13063"/>
    <w:rsid w:val="00C1455B"/>
    <w:rsid w:val="00C149E9"/>
    <w:rsid w:val="00C176B4"/>
    <w:rsid w:val="00C2047C"/>
    <w:rsid w:val="00C2213A"/>
    <w:rsid w:val="00C25592"/>
    <w:rsid w:val="00C25AAD"/>
    <w:rsid w:val="00C263D8"/>
    <w:rsid w:val="00C31AE8"/>
    <w:rsid w:val="00C321EF"/>
    <w:rsid w:val="00C36D9B"/>
    <w:rsid w:val="00C372B7"/>
    <w:rsid w:val="00C40A8E"/>
    <w:rsid w:val="00C434C3"/>
    <w:rsid w:val="00C43C62"/>
    <w:rsid w:val="00C451C0"/>
    <w:rsid w:val="00C45A33"/>
    <w:rsid w:val="00C4685C"/>
    <w:rsid w:val="00C5091E"/>
    <w:rsid w:val="00C5122D"/>
    <w:rsid w:val="00C54961"/>
    <w:rsid w:val="00C54B3B"/>
    <w:rsid w:val="00C55DBC"/>
    <w:rsid w:val="00C56DF4"/>
    <w:rsid w:val="00C6115D"/>
    <w:rsid w:val="00C6143A"/>
    <w:rsid w:val="00C61BF5"/>
    <w:rsid w:val="00C61DEB"/>
    <w:rsid w:val="00C63575"/>
    <w:rsid w:val="00C6447D"/>
    <w:rsid w:val="00C64991"/>
    <w:rsid w:val="00C64AAD"/>
    <w:rsid w:val="00C67869"/>
    <w:rsid w:val="00C70D59"/>
    <w:rsid w:val="00C715C7"/>
    <w:rsid w:val="00C71C2C"/>
    <w:rsid w:val="00C73996"/>
    <w:rsid w:val="00C75274"/>
    <w:rsid w:val="00C75F4C"/>
    <w:rsid w:val="00C76EF3"/>
    <w:rsid w:val="00C76FCA"/>
    <w:rsid w:val="00C803DC"/>
    <w:rsid w:val="00C807C0"/>
    <w:rsid w:val="00C8202C"/>
    <w:rsid w:val="00C82D0D"/>
    <w:rsid w:val="00C83560"/>
    <w:rsid w:val="00C841BD"/>
    <w:rsid w:val="00C85B50"/>
    <w:rsid w:val="00C87000"/>
    <w:rsid w:val="00C8738D"/>
    <w:rsid w:val="00C90AB5"/>
    <w:rsid w:val="00C927F1"/>
    <w:rsid w:val="00C92F33"/>
    <w:rsid w:val="00C95376"/>
    <w:rsid w:val="00C964FC"/>
    <w:rsid w:val="00CA1628"/>
    <w:rsid w:val="00CA2B38"/>
    <w:rsid w:val="00CA306E"/>
    <w:rsid w:val="00CA33E2"/>
    <w:rsid w:val="00CA469F"/>
    <w:rsid w:val="00CA7D7B"/>
    <w:rsid w:val="00CB19E9"/>
    <w:rsid w:val="00CB1C15"/>
    <w:rsid w:val="00CB2DAB"/>
    <w:rsid w:val="00CB35F4"/>
    <w:rsid w:val="00CB587A"/>
    <w:rsid w:val="00CB5927"/>
    <w:rsid w:val="00CB5AC2"/>
    <w:rsid w:val="00CB694E"/>
    <w:rsid w:val="00CB73E3"/>
    <w:rsid w:val="00CB7992"/>
    <w:rsid w:val="00CC0EA6"/>
    <w:rsid w:val="00CC39A0"/>
    <w:rsid w:val="00CC7ED9"/>
    <w:rsid w:val="00CD0EED"/>
    <w:rsid w:val="00CD1E5B"/>
    <w:rsid w:val="00CD4190"/>
    <w:rsid w:val="00CD5190"/>
    <w:rsid w:val="00CD5B7D"/>
    <w:rsid w:val="00CD6BCD"/>
    <w:rsid w:val="00CD76A1"/>
    <w:rsid w:val="00CD7915"/>
    <w:rsid w:val="00CE0C1D"/>
    <w:rsid w:val="00CE1B20"/>
    <w:rsid w:val="00CF0F47"/>
    <w:rsid w:val="00CF1724"/>
    <w:rsid w:val="00CF1F52"/>
    <w:rsid w:val="00CF30AB"/>
    <w:rsid w:val="00CF3C17"/>
    <w:rsid w:val="00CF631D"/>
    <w:rsid w:val="00CF7F5A"/>
    <w:rsid w:val="00D00ACA"/>
    <w:rsid w:val="00D0387D"/>
    <w:rsid w:val="00D045A1"/>
    <w:rsid w:val="00D112E4"/>
    <w:rsid w:val="00D126FC"/>
    <w:rsid w:val="00D13105"/>
    <w:rsid w:val="00D1346D"/>
    <w:rsid w:val="00D13E97"/>
    <w:rsid w:val="00D140C2"/>
    <w:rsid w:val="00D148A4"/>
    <w:rsid w:val="00D17AB6"/>
    <w:rsid w:val="00D22A95"/>
    <w:rsid w:val="00D27BB2"/>
    <w:rsid w:val="00D35101"/>
    <w:rsid w:val="00D359E5"/>
    <w:rsid w:val="00D35E7B"/>
    <w:rsid w:val="00D40186"/>
    <w:rsid w:val="00D415E5"/>
    <w:rsid w:val="00D41C07"/>
    <w:rsid w:val="00D42183"/>
    <w:rsid w:val="00D44E15"/>
    <w:rsid w:val="00D44F54"/>
    <w:rsid w:val="00D45893"/>
    <w:rsid w:val="00D46160"/>
    <w:rsid w:val="00D46F52"/>
    <w:rsid w:val="00D47FC9"/>
    <w:rsid w:val="00D55273"/>
    <w:rsid w:val="00D5706C"/>
    <w:rsid w:val="00D57A4E"/>
    <w:rsid w:val="00D610A4"/>
    <w:rsid w:val="00D61A81"/>
    <w:rsid w:val="00D622F1"/>
    <w:rsid w:val="00D62ACA"/>
    <w:rsid w:val="00D7105A"/>
    <w:rsid w:val="00D7159F"/>
    <w:rsid w:val="00D72DAE"/>
    <w:rsid w:val="00D72E63"/>
    <w:rsid w:val="00D7621E"/>
    <w:rsid w:val="00D76AC5"/>
    <w:rsid w:val="00D80E1A"/>
    <w:rsid w:val="00D80FB8"/>
    <w:rsid w:val="00D81184"/>
    <w:rsid w:val="00D825E0"/>
    <w:rsid w:val="00D840CF"/>
    <w:rsid w:val="00D8439C"/>
    <w:rsid w:val="00D84759"/>
    <w:rsid w:val="00D902BD"/>
    <w:rsid w:val="00D90D1A"/>
    <w:rsid w:val="00D92D26"/>
    <w:rsid w:val="00D94BAD"/>
    <w:rsid w:val="00DA0453"/>
    <w:rsid w:val="00DA04C3"/>
    <w:rsid w:val="00DA2040"/>
    <w:rsid w:val="00DA28A7"/>
    <w:rsid w:val="00DA6B13"/>
    <w:rsid w:val="00DA7A43"/>
    <w:rsid w:val="00DB08B1"/>
    <w:rsid w:val="00DB0C39"/>
    <w:rsid w:val="00DB4567"/>
    <w:rsid w:val="00DB6B96"/>
    <w:rsid w:val="00DB6E77"/>
    <w:rsid w:val="00DC1B95"/>
    <w:rsid w:val="00DC1FAF"/>
    <w:rsid w:val="00DC403E"/>
    <w:rsid w:val="00DC4094"/>
    <w:rsid w:val="00DC45CA"/>
    <w:rsid w:val="00DC5C41"/>
    <w:rsid w:val="00DC6BC9"/>
    <w:rsid w:val="00DD1773"/>
    <w:rsid w:val="00DD25E1"/>
    <w:rsid w:val="00DD415D"/>
    <w:rsid w:val="00DD4D10"/>
    <w:rsid w:val="00DD54CF"/>
    <w:rsid w:val="00DD5A80"/>
    <w:rsid w:val="00DD5E83"/>
    <w:rsid w:val="00DD6437"/>
    <w:rsid w:val="00DD66FC"/>
    <w:rsid w:val="00DD7717"/>
    <w:rsid w:val="00DE1766"/>
    <w:rsid w:val="00DE1F49"/>
    <w:rsid w:val="00DE209F"/>
    <w:rsid w:val="00DE31D5"/>
    <w:rsid w:val="00DE4396"/>
    <w:rsid w:val="00DE6B21"/>
    <w:rsid w:val="00DE759F"/>
    <w:rsid w:val="00DF0B00"/>
    <w:rsid w:val="00DF17A1"/>
    <w:rsid w:val="00DF1FA0"/>
    <w:rsid w:val="00DF3374"/>
    <w:rsid w:val="00DF7703"/>
    <w:rsid w:val="00E00110"/>
    <w:rsid w:val="00E02FF0"/>
    <w:rsid w:val="00E03898"/>
    <w:rsid w:val="00E10C82"/>
    <w:rsid w:val="00E11425"/>
    <w:rsid w:val="00E1505A"/>
    <w:rsid w:val="00E17DAA"/>
    <w:rsid w:val="00E20371"/>
    <w:rsid w:val="00E300F8"/>
    <w:rsid w:val="00E315DC"/>
    <w:rsid w:val="00E335B3"/>
    <w:rsid w:val="00E35CFB"/>
    <w:rsid w:val="00E3635A"/>
    <w:rsid w:val="00E40C83"/>
    <w:rsid w:val="00E41415"/>
    <w:rsid w:val="00E41EB2"/>
    <w:rsid w:val="00E43CA4"/>
    <w:rsid w:val="00E50187"/>
    <w:rsid w:val="00E52788"/>
    <w:rsid w:val="00E529D1"/>
    <w:rsid w:val="00E52DE5"/>
    <w:rsid w:val="00E53C25"/>
    <w:rsid w:val="00E55598"/>
    <w:rsid w:val="00E5601D"/>
    <w:rsid w:val="00E5634D"/>
    <w:rsid w:val="00E61165"/>
    <w:rsid w:val="00E611D3"/>
    <w:rsid w:val="00E639F8"/>
    <w:rsid w:val="00E66B5D"/>
    <w:rsid w:val="00E7025B"/>
    <w:rsid w:val="00E75672"/>
    <w:rsid w:val="00E7590C"/>
    <w:rsid w:val="00E76AF0"/>
    <w:rsid w:val="00E80959"/>
    <w:rsid w:val="00E82A89"/>
    <w:rsid w:val="00E834E0"/>
    <w:rsid w:val="00E839C7"/>
    <w:rsid w:val="00E851EE"/>
    <w:rsid w:val="00E86535"/>
    <w:rsid w:val="00E8686A"/>
    <w:rsid w:val="00E92A09"/>
    <w:rsid w:val="00E97C56"/>
    <w:rsid w:val="00EA0393"/>
    <w:rsid w:val="00EA1696"/>
    <w:rsid w:val="00EA29C0"/>
    <w:rsid w:val="00EA6E76"/>
    <w:rsid w:val="00EA7503"/>
    <w:rsid w:val="00EA7976"/>
    <w:rsid w:val="00EA7ACA"/>
    <w:rsid w:val="00EA7F29"/>
    <w:rsid w:val="00EA7FC8"/>
    <w:rsid w:val="00EB106E"/>
    <w:rsid w:val="00EB1EC9"/>
    <w:rsid w:val="00EB26F6"/>
    <w:rsid w:val="00EB4FDE"/>
    <w:rsid w:val="00EB52C6"/>
    <w:rsid w:val="00EC1244"/>
    <w:rsid w:val="00EC29DC"/>
    <w:rsid w:val="00EC3C9D"/>
    <w:rsid w:val="00EC66C7"/>
    <w:rsid w:val="00ED0702"/>
    <w:rsid w:val="00ED1481"/>
    <w:rsid w:val="00ED2002"/>
    <w:rsid w:val="00ED2CB6"/>
    <w:rsid w:val="00ED3B1F"/>
    <w:rsid w:val="00ED49F2"/>
    <w:rsid w:val="00ED4A00"/>
    <w:rsid w:val="00ED542A"/>
    <w:rsid w:val="00ED5AC0"/>
    <w:rsid w:val="00ED6DEE"/>
    <w:rsid w:val="00EE0093"/>
    <w:rsid w:val="00EE103D"/>
    <w:rsid w:val="00EE1C8B"/>
    <w:rsid w:val="00EE300C"/>
    <w:rsid w:val="00EE4A41"/>
    <w:rsid w:val="00EE57D2"/>
    <w:rsid w:val="00EF0A28"/>
    <w:rsid w:val="00EF15D8"/>
    <w:rsid w:val="00EF28A5"/>
    <w:rsid w:val="00EF29B7"/>
    <w:rsid w:val="00EF4DC3"/>
    <w:rsid w:val="00F01340"/>
    <w:rsid w:val="00F04753"/>
    <w:rsid w:val="00F05EDC"/>
    <w:rsid w:val="00F061E6"/>
    <w:rsid w:val="00F13CE2"/>
    <w:rsid w:val="00F16C72"/>
    <w:rsid w:val="00F16EBA"/>
    <w:rsid w:val="00F221BA"/>
    <w:rsid w:val="00F23CD9"/>
    <w:rsid w:val="00F25888"/>
    <w:rsid w:val="00F27B18"/>
    <w:rsid w:val="00F27D7C"/>
    <w:rsid w:val="00F3012C"/>
    <w:rsid w:val="00F31081"/>
    <w:rsid w:val="00F345BD"/>
    <w:rsid w:val="00F35457"/>
    <w:rsid w:val="00F37705"/>
    <w:rsid w:val="00F408AD"/>
    <w:rsid w:val="00F40CC7"/>
    <w:rsid w:val="00F40E20"/>
    <w:rsid w:val="00F4354D"/>
    <w:rsid w:val="00F438D4"/>
    <w:rsid w:val="00F44C15"/>
    <w:rsid w:val="00F4554A"/>
    <w:rsid w:val="00F50980"/>
    <w:rsid w:val="00F5142C"/>
    <w:rsid w:val="00F60909"/>
    <w:rsid w:val="00F6226F"/>
    <w:rsid w:val="00F65881"/>
    <w:rsid w:val="00F670BE"/>
    <w:rsid w:val="00F71491"/>
    <w:rsid w:val="00F71D08"/>
    <w:rsid w:val="00F71F46"/>
    <w:rsid w:val="00F73CB0"/>
    <w:rsid w:val="00F7449A"/>
    <w:rsid w:val="00F7467F"/>
    <w:rsid w:val="00F82DD9"/>
    <w:rsid w:val="00F8475B"/>
    <w:rsid w:val="00F848D1"/>
    <w:rsid w:val="00F91390"/>
    <w:rsid w:val="00F93736"/>
    <w:rsid w:val="00F938B4"/>
    <w:rsid w:val="00F94886"/>
    <w:rsid w:val="00F969A8"/>
    <w:rsid w:val="00FA08B3"/>
    <w:rsid w:val="00FA1B63"/>
    <w:rsid w:val="00FA277F"/>
    <w:rsid w:val="00FA58A9"/>
    <w:rsid w:val="00FB0070"/>
    <w:rsid w:val="00FB0CDF"/>
    <w:rsid w:val="00FB2568"/>
    <w:rsid w:val="00FB341E"/>
    <w:rsid w:val="00FB797B"/>
    <w:rsid w:val="00FB7E0A"/>
    <w:rsid w:val="00FB7ED0"/>
    <w:rsid w:val="00FC0E6B"/>
    <w:rsid w:val="00FC11D3"/>
    <w:rsid w:val="00FC12E1"/>
    <w:rsid w:val="00FC1F23"/>
    <w:rsid w:val="00FC28B1"/>
    <w:rsid w:val="00FC42CD"/>
    <w:rsid w:val="00FC4939"/>
    <w:rsid w:val="00FC50D7"/>
    <w:rsid w:val="00FC69E8"/>
    <w:rsid w:val="00FC7632"/>
    <w:rsid w:val="00FD42E2"/>
    <w:rsid w:val="00FD5A11"/>
    <w:rsid w:val="00FD6AE7"/>
    <w:rsid w:val="00FD7DB6"/>
    <w:rsid w:val="00FE1478"/>
    <w:rsid w:val="00FE226B"/>
    <w:rsid w:val="00FE2861"/>
    <w:rsid w:val="00FE3098"/>
    <w:rsid w:val="00FE4584"/>
    <w:rsid w:val="00FE4D02"/>
    <w:rsid w:val="00FE4F07"/>
    <w:rsid w:val="00FE4F74"/>
    <w:rsid w:val="00FF2F6A"/>
    <w:rsid w:val="00FF3623"/>
    <w:rsid w:val="00FF362B"/>
    <w:rsid w:val="00FF3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C3D51"/>
  <w15:chartTrackingRefBased/>
  <w15:docId w15:val="{F8B2BD63-C704-42C1-8826-F75E0A5F3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28A5"/>
  </w:style>
  <w:style w:type="paragraph" w:styleId="Heading1">
    <w:name w:val="heading 1"/>
    <w:basedOn w:val="Normal"/>
    <w:link w:val="Heading1Char"/>
    <w:uiPriority w:val="9"/>
    <w:qFormat/>
    <w:rsid w:val="00CA7D7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5E339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E339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47C6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047C"/>
    <w:rPr>
      <w:color w:val="0000FF"/>
      <w:u w:val="single"/>
    </w:rPr>
  </w:style>
  <w:style w:type="character" w:styleId="Emphasis">
    <w:name w:val="Emphasis"/>
    <w:basedOn w:val="DefaultParagraphFont"/>
    <w:uiPriority w:val="20"/>
    <w:qFormat/>
    <w:rsid w:val="00805EF0"/>
    <w:rPr>
      <w:i/>
      <w:iCs/>
    </w:rPr>
  </w:style>
  <w:style w:type="table" w:styleId="TableGrid">
    <w:name w:val="Table Grid"/>
    <w:basedOn w:val="TableNormal"/>
    <w:uiPriority w:val="59"/>
    <w:rsid w:val="00D902B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A7D7B"/>
    <w:rPr>
      <w:rFonts w:ascii="Times New Roman" w:eastAsia="Times New Roman" w:hAnsi="Times New Roman" w:cs="Times New Roman"/>
      <w:b/>
      <w:bCs/>
      <w:kern w:val="36"/>
      <w:sz w:val="48"/>
      <w:szCs w:val="48"/>
    </w:rPr>
  </w:style>
  <w:style w:type="character" w:customStyle="1" w:styleId="element-citation">
    <w:name w:val="element-citation"/>
    <w:basedOn w:val="DefaultParagraphFont"/>
    <w:rsid w:val="00AD647F"/>
  </w:style>
  <w:style w:type="character" w:customStyle="1" w:styleId="ref-journal">
    <w:name w:val="ref-journal"/>
    <w:basedOn w:val="DefaultParagraphFont"/>
    <w:rsid w:val="00AD647F"/>
  </w:style>
  <w:style w:type="character" w:customStyle="1" w:styleId="ref-vol">
    <w:name w:val="ref-vol"/>
    <w:basedOn w:val="DefaultParagraphFont"/>
    <w:rsid w:val="00AD647F"/>
  </w:style>
  <w:style w:type="character" w:customStyle="1" w:styleId="nowrap">
    <w:name w:val="nowrap"/>
    <w:basedOn w:val="DefaultParagraphFont"/>
    <w:rsid w:val="00AD647F"/>
  </w:style>
  <w:style w:type="paragraph" w:customStyle="1" w:styleId="Standard">
    <w:name w:val="Standard"/>
    <w:rsid w:val="006067DC"/>
    <w:pPr>
      <w:suppressAutoHyphens/>
      <w:autoSpaceDN w:val="0"/>
      <w:spacing w:after="0" w:line="240" w:lineRule="auto"/>
      <w:textAlignment w:val="baseline"/>
    </w:pPr>
    <w:rPr>
      <w:rFonts w:ascii="Liberation Serif" w:eastAsia="Noto Sans CJK SC Regular" w:hAnsi="Liberation Serif" w:cs="FreeSans"/>
      <w:kern w:val="3"/>
      <w:sz w:val="24"/>
      <w:szCs w:val="24"/>
      <w:lang w:eastAsia="zh-CN" w:bidi="hi-IN"/>
    </w:rPr>
  </w:style>
  <w:style w:type="paragraph" w:styleId="HTMLPreformatted">
    <w:name w:val="HTML Preformatted"/>
    <w:basedOn w:val="Normal"/>
    <w:link w:val="HTMLPreformattedChar"/>
    <w:uiPriority w:val="99"/>
    <w:unhideWhenUsed/>
    <w:rsid w:val="001236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23663"/>
    <w:rPr>
      <w:rFonts w:ascii="Courier New" w:eastAsia="Times New Roman" w:hAnsi="Courier New" w:cs="Courier New"/>
      <w:sz w:val="20"/>
      <w:szCs w:val="20"/>
    </w:rPr>
  </w:style>
  <w:style w:type="paragraph" w:styleId="ListParagraph">
    <w:name w:val="List Paragraph"/>
    <w:basedOn w:val="Normal"/>
    <w:uiPriority w:val="34"/>
    <w:qFormat/>
    <w:rsid w:val="00635754"/>
    <w:pPr>
      <w:ind w:left="720"/>
      <w:contextualSpacing/>
    </w:pPr>
  </w:style>
  <w:style w:type="character" w:customStyle="1" w:styleId="Heading2Char">
    <w:name w:val="Heading 2 Char"/>
    <w:basedOn w:val="DefaultParagraphFont"/>
    <w:link w:val="Heading2"/>
    <w:uiPriority w:val="9"/>
    <w:semiHidden/>
    <w:rsid w:val="005E339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5E3399"/>
    <w:rPr>
      <w:rFonts w:asciiTheme="majorHAnsi" w:eastAsiaTheme="majorEastAsia" w:hAnsiTheme="majorHAnsi" w:cstheme="majorBidi"/>
      <w:color w:val="1F4D78" w:themeColor="accent1" w:themeShade="7F"/>
      <w:sz w:val="24"/>
      <w:szCs w:val="24"/>
    </w:rPr>
  </w:style>
  <w:style w:type="paragraph" w:customStyle="1" w:styleId="p">
    <w:name w:val="p"/>
    <w:basedOn w:val="Normal"/>
    <w:rsid w:val="005E3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publication-date">
    <w:name w:val="citation-publication-date"/>
    <w:basedOn w:val="DefaultParagraphFont"/>
    <w:rsid w:val="00162547"/>
  </w:style>
  <w:style w:type="character" w:customStyle="1" w:styleId="Heading4Char">
    <w:name w:val="Heading 4 Char"/>
    <w:basedOn w:val="DefaultParagraphFont"/>
    <w:link w:val="Heading4"/>
    <w:uiPriority w:val="9"/>
    <w:rsid w:val="00247C63"/>
    <w:rPr>
      <w:rFonts w:asciiTheme="majorHAnsi" w:eastAsiaTheme="majorEastAsia" w:hAnsiTheme="majorHAnsi" w:cstheme="majorBidi"/>
      <w:i/>
      <w:iCs/>
      <w:color w:val="2E74B5" w:themeColor="accent1" w:themeShade="BF"/>
    </w:rPr>
  </w:style>
  <w:style w:type="paragraph" w:customStyle="1" w:styleId="para">
    <w:name w:val="para"/>
    <w:basedOn w:val="Normal"/>
    <w:rsid w:val="00A80504"/>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473FB"/>
    <w:rPr>
      <w:sz w:val="16"/>
      <w:szCs w:val="16"/>
    </w:rPr>
  </w:style>
  <w:style w:type="paragraph" w:styleId="CommentText">
    <w:name w:val="annotation text"/>
    <w:basedOn w:val="Normal"/>
    <w:link w:val="CommentTextChar"/>
    <w:uiPriority w:val="99"/>
    <w:unhideWhenUsed/>
    <w:rsid w:val="00B473FB"/>
    <w:pPr>
      <w:spacing w:line="240" w:lineRule="auto"/>
    </w:pPr>
    <w:rPr>
      <w:sz w:val="20"/>
      <w:szCs w:val="20"/>
    </w:rPr>
  </w:style>
  <w:style w:type="character" w:customStyle="1" w:styleId="CommentTextChar">
    <w:name w:val="Comment Text Char"/>
    <w:basedOn w:val="DefaultParagraphFont"/>
    <w:link w:val="CommentText"/>
    <w:uiPriority w:val="99"/>
    <w:rsid w:val="00B473FB"/>
    <w:rPr>
      <w:sz w:val="20"/>
      <w:szCs w:val="20"/>
    </w:rPr>
  </w:style>
  <w:style w:type="paragraph" w:styleId="CommentSubject">
    <w:name w:val="annotation subject"/>
    <w:basedOn w:val="CommentText"/>
    <w:next w:val="CommentText"/>
    <w:link w:val="CommentSubjectChar"/>
    <w:uiPriority w:val="99"/>
    <w:semiHidden/>
    <w:unhideWhenUsed/>
    <w:rsid w:val="00B473FB"/>
    <w:rPr>
      <w:b/>
      <w:bCs/>
    </w:rPr>
  </w:style>
  <w:style w:type="character" w:customStyle="1" w:styleId="CommentSubjectChar">
    <w:name w:val="Comment Subject Char"/>
    <w:basedOn w:val="CommentTextChar"/>
    <w:link w:val="CommentSubject"/>
    <w:uiPriority w:val="99"/>
    <w:semiHidden/>
    <w:rsid w:val="00B473FB"/>
    <w:rPr>
      <w:b/>
      <w:bCs/>
      <w:sz w:val="20"/>
      <w:szCs w:val="20"/>
    </w:rPr>
  </w:style>
  <w:style w:type="paragraph" w:styleId="BalloonText">
    <w:name w:val="Balloon Text"/>
    <w:basedOn w:val="Normal"/>
    <w:link w:val="BalloonTextChar"/>
    <w:uiPriority w:val="99"/>
    <w:semiHidden/>
    <w:unhideWhenUsed/>
    <w:rsid w:val="00B473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73FB"/>
    <w:rPr>
      <w:rFonts w:ascii="Segoe UI" w:hAnsi="Segoe UI" w:cs="Segoe UI"/>
      <w:sz w:val="18"/>
      <w:szCs w:val="18"/>
    </w:rPr>
  </w:style>
  <w:style w:type="table" w:customStyle="1" w:styleId="TableGrid2">
    <w:name w:val="Table Grid2"/>
    <w:basedOn w:val="TableNormal"/>
    <w:next w:val="TableGrid"/>
    <w:uiPriority w:val="39"/>
    <w:rsid w:val="00436BD9"/>
    <w:pPr>
      <w:spacing w:after="0" w:line="240" w:lineRule="auto"/>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F73CB0"/>
    <w:rPr>
      <w:color w:val="605E5C"/>
      <w:shd w:val="clear" w:color="auto" w:fill="E1DFDD"/>
    </w:rPr>
  </w:style>
  <w:style w:type="table" w:customStyle="1" w:styleId="TableGrid1">
    <w:name w:val="Table Grid1"/>
    <w:basedOn w:val="TableNormal"/>
    <w:next w:val="TableGrid"/>
    <w:uiPriority w:val="59"/>
    <w:rsid w:val="001F64B0"/>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0E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0EAB"/>
  </w:style>
  <w:style w:type="paragraph" w:styleId="Footer">
    <w:name w:val="footer"/>
    <w:basedOn w:val="Normal"/>
    <w:link w:val="FooterChar"/>
    <w:uiPriority w:val="99"/>
    <w:unhideWhenUsed/>
    <w:rsid w:val="00230E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0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44179">
      <w:bodyDiv w:val="1"/>
      <w:marLeft w:val="0"/>
      <w:marRight w:val="0"/>
      <w:marTop w:val="0"/>
      <w:marBottom w:val="0"/>
      <w:divBdr>
        <w:top w:val="none" w:sz="0" w:space="0" w:color="auto"/>
        <w:left w:val="none" w:sz="0" w:space="0" w:color="auto"/>
        <w:bottom w:val="none" w:sz="0" w:space="0" w:color="auto"/>
        <w:right w:val="none" w:sz="0" w:space="0" w:color="auto"/>
      </w:divBdr>
    </w:div>
    <w:div w:id="122236521">
      <w:bodyDiv w:val="1"/>
      <w:marLeft w:val="0"/>
      <w:marRight w:val="0"/>
      <w:marTop w:val="0"/>
      <w:marBottom w:val="0"/>
      <w:divBdr>
        <w:top w:val="none" w:sz="0" w:space="0" w:color="auto"/>
        <w:left w:val="none" w:sz="0" w:space="0" w:color="auto"/>
        <w:bottom w:val="none" w:sz="0" w:space="0" w:color="auto"/>
        <w:right w:val="none" w:sz="0" w:space="0" w:color="auto"/>
      </w:divBdr>
    </w:div>
    <w:div w:id="201091194">
      <w:bodyDiv w:val="1"/>
      <w:marLeft w:val="0"/>
      <w:marRight w:val="0"/>
      <w:marTop w:val="0"/>
      <w:marBottom w:val="0"/>
      <w:divBdr>
        <w:top w:val="none" w:sz="0" w:space="0" w:color="auto"/>
        <w:left w:val="none" w:sz="0" w:space="0" w:color="auto"/>
        <w:bottom w:val="none" w:sz="0" w:space="0" w:color="auto"/>
        <w:right w:val="none" w:sz="0" w:space="0" w:color="auto"/>
      </w:divBdr>
    </w:div>
    <w:div w:id="365764431">
      <w:bodyDiv w:val="1"/>
      <w:marLeft w:val="0"/>
      <w:marRight w:val="0"/>
      <w:marTop w:val="0"/>
      <w:marBottom w:val="0"/>
      <w:divBdr>
        <w:top w:val="none" w:sz="0" w:space="0" w:color="auto"/>
        <w:left w:val="none" w:sz="0" w:space="0" w:color="auto"/>
        <w:bottom w:val="none" w:sz="0" w:space="0" w:color="auto"/>
        <w:right w:val="none" w:sz="0" w:space="0" w:color="auto"/>
      </w:divBdr>
      <w:divsChild>
        <w:div w:id="1091046906">
          <w:marLeft w:val="0"/>
          <w:marRight w:val="0"/>
          <w:marTop w:val="0"/>
          <w:marBottom w:val="0"/>
          <w:divBdr>
            <w:top w:val="none" w:sz="0" w:space="0" w:color="auto"/>
            <w:left w:val="none" w:sz="0" w:space="0" w:color="auto"/>
            <w:bottom w:val="none" w:sz="0" w:space="0" w:color="auto"/>
            <w:right w:val="none" w:sz="0" w:space="0" w:color="auto"/>
          </w:divBdr>
          <w:divsChild>
            <w:div w:id="148362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872953">
      <w:bodyDiv w:val="1"/>
      <w:marLeft w:val="0"/>
      <w:marRight w:val="0"/>
      <w:marTop w:val="0"/>
      <w:marBottom w:val="0"/>
      <w:divBdr>
        <w:top w:val="none" w:sz="0" w:space="0" w:color="auto"/>
        <w:left w:val="none" w:sz="0" w:space="0" w:color="auto"/>
        <w:bottom w:val="none" w:sz="0" w:space="0" w:color="auto"/>
        <w:right w:val="none" w:sz="0" w:space="0" w:color="auto"/>
      </w:divBdr>
    </w:div>
    <w:div w:id="506092714">
      <w:bodyDiv w:val="1"/>
      <w:marLeft w:val="0"/>
      <w:marRight w:val="0"/>
      <w:marTop w:val="0"/>
      <w:marBottom w:val="0"/>
      <w:divBdr>
        <w:top w:val="none" w:sz="0" w:space="0" w:color="auto"/>
        <w:left w:val="none" w:sz="0" w:space="0" w:color="auto"/>
        <w:bottom w:val="none" w:sz="0" w:space="0" w:color="auto"/>
        <w:right w:val="none" w:sz="0" w:space="0" w:color="auto"/>
      </w:divBdr>
    </w:div>
    <w:div w:id="716928950">
      <w:bodyDiv w:val="1"/>
      <w:marLeft w:val="0"/>
      <w:marRight w:val="0"/>
      <w:marTop w:val="0"/>
      <w:marBottom w:val="0"/>
      <w:divBdr>
        <w:top w:val="none" w:sz="0" w:space="0" w:color="auto"/>
        <w:left w:val="none" w:sz="0" w:space="0" w:color="auto"/>
        <w:bottom w:val="none" w:sz="0" w:space="0" w:color="auto"/>
        <w:right w:val="none" w:sz="0" w:space="0" w:color="auto"/>
      </w:divBdr>
      <w:divsChild>
        <w:div w:id="854659855">
          <w:marLeft w:val="0"/>
          <w:marRight w:val="0"/>
          <w:marTop w:val="34"/>
          <w:marBottom w:val="34"/>
          <w:divBdr>
            <w:top w:val="none" w:sz="0" w:space="0" w:color="auto"/>
            <w:left w:val="none" w:sz="0" w:space="0" w:color="auto"/>
            <w:bottom w:val="none" w:sz="0" w:space="0" w:color="auto"/>
            <w:right w:val="none" w:sz="0" w:space="0" w:color="auto"/>
          </w:divBdr>
          <w:divsChild>
            <w:div w:id="320935182">
              <w:marLeft w:val="0"/>
              <w:marRight w:val="0"/>
              <w:marTop w:val="0"/>
              <w:marBottom w:val="0"/>
              <w:divBdr>
                <w:top w:val="none" w:sz="0" w:space="0" w:color="auto"/>
                <w:left w:val="none" w:sz="0" w:space="0" w:color="auto"/>
                <w:bottom w:val="none" w:sz="0" w:space="0" w:color="auto"/>
                <w:right w:val="none" w:sz="0" w:space="0" w:color="auto"/>
              </w:divBdr>
            </w:div>
            <w:div w:id="96365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262398">
      <w:bodyDiv w:val="1"/>
      <w:marLeft w:val="0"/>
      <w:marRight w:val="0"/>
      <w:marTop w:val="0"/>
      <w:marBottom w:val="0"/>
      <w:divBdr>
        <w:top w:val="none" w:sz="0" w:space="0" w:color="auto"/>
        <w:left w:val="none" w:sz="0" w:space="0" w:color="auto"/>
        <w:bottom w:val="none" w:sz="0" w:space="0" w:color="auto"/>
        <w:right w:val="none" w:sz="0" w:space="0" w:color="auto"/>
      </w:divBdr>
    </w:div>
    <w:div w:id="1429689320">
      <w:bodyDiv w:val="1"/>
      <w:marLeft w:val="0"/>
      <w:marRight w:val="0"/>
      <w:marTop w:val="0"/>
      <w:marBottom w:val="0"/>
      <w:divBdr>
        <w:top w:val="none" w:sz="0" w:space="0" w:color="auto"/>
        <w:left w:val="none" w:sz="0" w:space="0" w:color="auto"/>
        <w:bottom w:val="none" w:sz="0" w:space="0" w:color="auto"/>
        <w:right w:val="none" w:sz="0" w:space="0" w:color="auto"/>
      </w:divBdr>
    </w:div>
    <w:div w:id="1652176202">
      <w:bodyDiv w:val="1"/>
      <w:marLeft w:val="0"/>
      <w:marRight w:val="0"/>
      <w:marTop w:val="0"/>
      <w:marBottom w:val="0"/>
      <w:divBdr>
        <w:top w:val="none" w:sz="0" w:space="0" w:color="auto"/>
        <w:left w:val="none" w:sz="0" w:space="0" w:color="auto"/>
        <w:bottom w:val="none" w:sz="0" w:space="0" w:color="auto"/>
        <w:right w:val="none" w:sz="0" w:space="0" w:color="auto"/>
      </w:divBdr>
      <w:divsChild>
        <w:div w:id="1213227545">
          <w:marLeft w:val="0"/>
          <w:marRight w:val="0"/>
          <w:marTop w:val="0"/>
          <w:marBottom w:val="0"/>
          <w:divBdr>
            <w:top w:val="none" w:sz="0" w:space="0" w:color="auto"/>
            <w:left w:val="none" w:sz="0" w:space="0" w:color="auto"/>
            <w:bottom w:val="none" w:sz="0" w:space="0" w:color="auto"/>
            <w:right w:val="none" w:sz="0" w:space="0" w:color="auto"/>
          </w:divBdr>
        </w:div>
        <w:div w:id="168176543">
          <w:marLeft w:val="0"/>
          <w:marRight w:val="0"/>
          <w:marTop w:val="0"/>
          <w:marBottom w:val="0"/>
          <w:divBdr>
            <w:top w:val="none" w:sz="0" w:space="0" w:color="auto"/>
            <w:left w:val="none" w:sz="0" w:space="0" w:color="auto"/>
            <w:bottom w:val="none" w:sz="0" w:space="0" w:color="auto"/>
            <w:right w:val="none" w:sz="0" w:space="0" w:color="auto"/>
          </w:divBdr>
        </w:div>
        <w:div w:id="1674143395">
          <w:marLeft w:val="0"/>
          <w:marRight w:val="0"/>
          <w:marTop w:val="0"/>
          <w:marBottom w:val="0"/>
          <w:divBdr>
            <w:top w:val="none" w:sz="0" w:space="0" w:color="auto"/>
            <w:left w:val="none" w:sz="0" w:space="0" w:color="auto"/>
            <w:bottom w:val="none" w:sz="0" w:space="0" w:color="auto"/>
            <w:right w:val="none" w:sz="0" w:space="0" w:color="auto"/>
          </w:divBdr>
          <w:divsChild>
            <w:div w:id="717820517">
              <w:marLeft w:val="0"/>
              <w:marRight w:val="0"/>
              <w:marTop w:val="0"/>
              <w:marBottom w:val="0"/>
              <w:divBdr>
                <w:top w:val="none" w:sz="0" w:space="0" w:color="auto"/>
                <w:left w:val="none" w:sz="0" w:space="0" w:color="auto"/>
                <w:bottom w:val="none" w:sz="0" w:space="0" w:color="auto"/>
                <w:right w:val="none" w:sz="0" w:space="0" w:color="auto"/>
              </w:divBdr>
              <w:divsChild>
                <w:div w:id="317074872">
                  <w:marLeft w:val="0"/>
                  <w:marRight w:val="0"/>
                  <w:marTop w:val="0"/>
                  <w:marBottom w:val="0"/>
                  <w:divBdr>
                    <w:top w:val="none" w:sz="0" w:space="0" w:color="auto"/>
                    <w:left w:val="none" w:sz="0" w:space="0" w:color="auto"/>
                    <w:bottom w:val="none" w:sz="0" w:space="0" w:color="auto"/>
                    <w:right w:val="none" w:sz="0" w:space="0" w:color="auto"/>
                  </w:divBdr>
                </w:div>
                <w:div w:id="2084182919">
                  <w:marLeft w:val="0"/>
                  <w:marRight w:val="0"/>
                  <w:marTop w:val="0"/>
                  <w:marBottom w:val="0"/>
                  <w:divBdr>
                    <w:top w:val="none" w:sz="0" w:space="0" w:color="auto"/>
                    <w:left w:val="none" w:sz="0" w:space="0" w:color="auto"/>
                    <w:bottom w:val="none" w:sz="0" w:space="0" w:color="auto"/>
                    <w:right w:val="none" w:sz="0" w:space="0" w:color="auto"/>
                  </w:divBdr>
                </w:div>
              </w:divsChild>
            </w:div>
            <w:div w:id="271060568">
              <w:marLeft w:val="0"/>
              <w:marRight w:val="0"/>
              <w:marTop w:val="0"/>
              <w:marBottom w:val="0"/>
              <w:divBdr>
                <w:top w:val="none" w:sz="0" w:space="0" w:color="auto"/>
                <w:left w:val="none" w:sz="0" w:space="0" w:color="auto"/>
                <w:bottom w:val="none" w:sz="0" w:space="0" w:color="auto"/>
                <w:right w:val="none" w:sz="0" w:space="0" w:color="auto"/>
              </w:divBdr>
              <w:divsChild>
                <w:div w:id="774595155">
                  <w:marLeft w:val="0"/>
                  <w:marRight w:val="0"/>
                  <w:marTop w:val="0"/>
                  <w:marBottom w:val="0"/>
                  <w:divBdr>
                    <w:top w:val="none" w:sz="0" w:space="0" w:color="auto"/>
                    <w:left w:val="none" w:sz="0" w:space="0" w:color="auto"/>
                    <w:bottom w:val="none" w:sz="0" w:space="0" w:color="auto"/>
                    <w:right w:val="none" w:sz="0" w:space="0" w:color="auto"/>
                  </w:divBdr>
                </w:div>
                <w:div w:id="96531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48157">
          <w:marLeft w:val="0"/>
          <w:marRight w:val="0"/>
          <w:marTop w:val="0"/>
          <w:marBottom w:val="0"/>
          <w:divBdr>
            <w:top w:val="none" w:sz="0" w:space="0" w:color="auto"/>
            <w:left w:val="none" w:sz="0" w:space="0" w:color="auto"/>
            <w:bottom w:val="none" w:sz="0" w:space="0" w:color="auto"/>
            <w:right w:val="none" w:sz="0" w:space="0" w:color="auto"/>
          </w:divBdr>
          <w:divsChild>
            <w:div w:id="1596327306">
              <w:marLeft w:val="0"/>
              <w:marRight w:val="0"/>
              <w:marTop w:val="0"/>
              <w:marBottom w:val="0"/>
              <w:divBdr>
                <w:top w:val="none" w:sz="0" w:space="0" w:color="auto"/>
                <w:left w:val="none" w:sz="0" w:space="0" w:color="auto"/>
                <w:bottom w:val="none" w:sz="0" w:space="0" w:color="auto"/>
                <w:right w:val="none" w:sz="0" w:space="0" w:color="auto"/>
              </w:divBdr>
            </w:div>
          </w:divsChild>
        </w:div>
        <w:div w:id="1613827090">
          <w:marLeft w:val="0"/>
          <w:marRight w:val="0"/>
          <w:marTop w:val="0"/>
          <w:marBottom w:val="0"/>
          <w:divBdr>
            <w:top w:val="none" w:sz="0" w:space="0" w:color="auto"/>
            <w:left w:val="none" w:sz="0" w:space="0" w:color="auto"/>
            <w:bottom w:val="none" w:sz="0" w:space="0" w:color="auto"/>
            <w:right w:val="none" w:sz="0" w:space="0" w:color="auto"/>
          </w:divBdr>
          <w:divsChild>
            <w:div w:id="1335380369">
              <w:marLeft w:val="0"/>
              <w:marRight w:val="0"/>
              <w:marTop w:val="0"/>
              <w:marBottom w:val="0"/>
              <w:divBdr>
                <w:top w:val="none" w:sz="0" w:space="0" w:color="auto"/>
                <w:left w:val="none" w:sz="0" w:space="0" w:color="auto"/>
                <w:bottom w:val="none" w:sz="0" w:space="0" w:color="auto"/>
                <w:right w:val="none" w:sz="0" w:space="0" w:color="auto"/>
              </w:divBdr>
              <w:divsChild>
                <w:div w:id="633605216">
                  <w:marLeft w:val="0"/>
                  <w:marRight w:val="0"/>
                  <w:marTop w:val="0"/>
                  <w:marBottom w:val="0"/>
                  <w:divBdr>
                    <w:top w:val="none" w:sz="0" w:space="0" w:color="auto"/>
                    <w:left w:val="none" w:sz="0" w:space="0" w:color="auto"/>
                    <w:bottom w:val="none" w:sz="0" w:space="0" w:color="auto"/>
                    <w:right w:val="none" w:sz="0" w:space="0" w:color="auto"/>
                  </w:divBdr>
                  <w:divsChild>
                    <w:div w:id="1518960504">
                      <w:marLeft w:val="0"/>
                      <w:marRight w:val="0"/>
                      <w:marTop w:val="0"/>
                      <w:marBottom w:val="0"/>
                      <w:divBdr>
                        <w:top w:val="none" w:sz="0" w:space="0" w:color="auto"/>
                        <w:left w:val="none" w:sz="0" w:space="0" w:color="auto"/>
                        <w:bottom w:val="none" w:sz="0" w:space="0" w:color="auto"/>
                        <w:right w:val="none" w:sz="0" w:space="0" w:color="auto"/>
                      </w:divBdr>
                      <w:divsChild>
                        <w:div w:id="1864592264">
                          <w:marLeft w:val="0"/>
                          <w:marRight w:val="0"/>
                          <w:marTop w:val="0"/>
                          <w:marBottom w:val="0"/>
                          <w:divBdr>
                            <w:top w:val="none" w:sz="0" w:space="0" w:color="auto"/>
                            <w:left w:val="none" w:sz="0" w:space="0" w:color="auto"/>
                            <w:bottom w:val="none" w:sz="0" w:space="0" w:color="auto"/>
                            <w:right w:val="none" w:sz="0" w:space="0" w:color="auto"/>
                          </w:divBdr>
                        </w:div>
                      </w:divsChild>
                    </w:div>
                    <w:div w:id="808207522">
                      <w:marLeft w:val="0"/>
                      <w:marRight w:val="0"/>
                      <w:marTop w:val="0"/>
                      <w:marBottom w:val="0"/>
                      <w:divBdr>
                        <w:top w:val="none" w:sz="0" w:space="2" w:color="auto"/>
                        <w:left w:val="single" w:sz="6" w:space="5" w:color="C8C8C8"/>
                        <w:bottom w:val="single" w:sz="6" w:space="0" w:color="C8C8C8"/>
                        <w:right w:val="none" w:sz="0" w:space="0" w:color="auto"/>
                      </w:divBdr>
                      <w:divsChild>
                        <w:div w:id="114674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319061">
          <w:marLeft w:val="0"/>
          <w:marRight w:val="0"/>
          <w:marTop w:val="0"/>
          <w:marBottom w:val="0"/>
          <w:divBdr>
            <w:top w:val="none" w:sz="0" w:space="0" w:color="auto"/>
            <w:left w:val="none" w:sz="0" w:space="0" w:color="auto"/>
            <w:bottom w:val="none" w:sz="0" w:space="0" w:color="auto"/>
            <w:right w:val="none" w:sz="0" w:space="0" w:color="auto"/>
          </w:divBdr>
        </w:div>
        <w:div w:id="1617560165">
          <w:marLeft w:val="0"/>
          <w:marRight w:val="0"/>
          <w:marTop w:val="0"/>
          <w:marBottom w:val="0"/>
          <w:divBdr>
            <w:top w:val="none" w:sz="0" w:space="0" w:color="auto"/>
            <w:left w:val="none" w:sz="0" w:space="0" w:color="auto"/>
            <w:bottom w:val="none" w:sz="0" w:space="0" w:color="auto"/>
            <w:right w:val="none" w:sz="0" w:space="0" w:color="auto"/>
          </w:divBdr>
        </w:div>
        <w:div w:id="1432700405">
          <w:marLeft w:val="0"/>
          <w:marRight w:val="0"/>
          <w:marTop w:val="0"/>
          <w:marBottom w:val="0"/>
          <w:divBdr>
            <w:top w:val="none" w:sz="0" w:space="0" w:color="auto"/>
            <w:left w:val="none" w:sz="0" w:space="0" w:color="auto"/>
            <w:bottom w:val="none" w:sz="0" w:space="0" w:color="auto"/>
            <w:right w:val="none" w:sz="0" w:space="0" w:color="auto"/>
          </w:divBdr>
        </w:div>
        <w:div w:id="1758625503">
          <w:marLeft w:val="288"/>
          <w:marRight w:val="0"/>
          <w:marTop w:val="0"/>
          <w:marBottom w:val="0"/>
          <w:divBdr>
            <w:top w:val="none" w:sz="0" w:space="0" w:color="auto"/>
            <w:left w:val="none" w:sz="0" w:space="0" w:color="auto"/>
            <w:bottom w:val="none" w:sz="0" w:space="0" w:color="auto"/>
            <w:right w:val="none" w:sz="0" w:space="0" w:color="auto"/>
          </w:divBdr>
        </w:div>
        <w:div w:id="1562591764">
          <w:marLeft w:val="288"/>
          <w:marRight w:val="0"/>
          <w:marTop w:val="0"/>
          <w:marBottom w:val="0"/>
          <w:divBdr>
            <w:top w:val="none" w:sz="0" w:space="0" w:color="auto"/>
            <w:left w:val="none" w:sz="0" w:space="0" w:color="auto"/>
            <w:bottom w:val="none" w:sz="0" w:space="0" w:color="auto"/>
            <w:right w:val="none" w:sz="0" w:space="0" w:color="auto"/>
          </w:divBdr>
        </w:div>
        <w:div w:id="102001612">
          <w:marLeft w:val="288"/>
          <w:marRight w:val="0"/>
          <w:marTop w:val="0"/>
          <w:marBottom w:val="0"/>
          <w:divBdr>
            <w:top w:val="none" w:sz="0" w:space="0" w:color="auto"/>
            <w:left w:val="none" w:sz="0" w:space="0" w:color="auto"/>
            <w:bottom w:val="none" w:sz="0" w:space="0" w:color="auto"/>
            <w:right w:val="none" w:sz="0" w:space="0" w:color="auto"/>
          </w:divBdr>
        </w:div>
        <w:div w:id="297027359">
          <w:marLeft w:val="288"/>
          <w:marRight w:val="0"/>
          <w:marTop w:val="0"/>
          <w:marBottom w:val="0"/>
          <w:divBdr>
            <w:top w:val="none" w:sz="0" w:space="0" w:color="auto"/>
            <w:left w:val="none" w:sz="0" w:space="0" w:color="auto"/>
            <w:bottom w:val="none" w:sz="0" w:space="0" w:color="auto"/>
            <w:right w:val="none" w:sz="0" w:space="0" w:color="auto"/>
          </w:divBdr>
        </w:div>
        <w:div w:id="58216182">
          <w:marLeft w:val="288"/>
          <w:marRight w:val="0"/>
          <w:marTop w:val="0"/>
          <w:marBottom w:val="0"/>
          <w:divBdr>
            <w:top w:val="none" w:sz="0" w:space="0" w:color="auto"/>
            <w:left w:val="none" w:sz="0" w:space="0" w:color="auto"/>
            <w:bottom w:val="none" w:sz="0" w:space="0" w:color="auto"/>
            <w:right w:val="none" w:sz="0" w:space="0" w:color="auto"/>
          </w:divBdr>
        </w:div>
        <w:div w:id="1339768240">
          <w:marLeft w:val="288"/>
          <w:marRight w:val="0"/>
          <w:marTop w:val="0"/>
          <w:marBottom w:val="0"/>
          <w:divBdr>
            <w:top w:val="none" w:sz="0" w:space="0" w:color="auto"/>
            <w:left w:val="none" w:sz="0" w:space="0" w:color="auto"/>
            <w:bottom w:val="none" w:sz="0" w:space="0" w:color="auto"/>
            <w:right w:val="none" w:sz="0" w:space="0" w:color="auto"/>
          </w:divBdr>
        </w:div>
        <w:div w:id="583414860">
          <w:marLeft w:val="288"/>
          <w:marRight w:val="0"/>
          <w:marTop w:val="0"/>
          <w:marBottom w:val="0"/>
          <w:divBdr>
            <w:top w:val="none" w:sz="0" w:space="0" w:color="auto"/>
            <w:left w:val="none" w:sz="0" w:space="0" w:color="auto"/>
            <w:bottom w:val="none" w:sz="0" w:space="0" w:color="auto"/>
            <w:right w:val="none" w:sz="0" w:space="0" w:color="auto"/>
          </w:divBdr>
        </w:div>
        <w:div w:id="1753889157">
          <w:marLeft w:val="288"/>
          <w:marRight w:val="0"/>
          <w:marTop w:val="0"/>
          <w:marBottom w:val="0"/>
          <w:divBdr>
            <w:top w:val="none" w:sz="0" w:space="0" w:color="auto"/>
            <w:left w:val="none" w:sz="0" w:space="0" w:color="auto"/>
            <w:bottom w:val="none" w:sz="0" w:space="0" w:color="auto"/>
            <w:right w:val="none" w:sz="0" w:space="0" w:color="auto"/>
          </w:divBdr>
        </w:div>
        <w:div w:id="756831902">
          <w:marLeft w:val="288"/>
          <w:marRight w:val="0"/>
          <w:marTop w:val="0"/>
          <w:marBottom w:val="0"/>
          <w:divBdr>
            <w:top w:val="none" w:sz="0" w:space="0" w:color="auto"/>
            <w:left w:val="none" w:sz="0" w:space="0" w:color="auto"/>
            <w:bottom w:val="none" w:sz="0" w:space="0" w:color="auto"/>
            <w:right w:val="none" w:sz="0" w:space="0" w:color="auto"/>
          </w:divBdr>
        </w:div>
        <w:div w:id="113254842">
          <w:marLeft w:val="288"/>
          <w:marRight w:val="0"/>
          <w:marTop w:val="0"/>
          <w:marBottom w:val="0"/>
          <w:divBdr>
            <w:top w:val="none" w:sz="0" w:space="0" w:color="auto"/>
            <w:left w:val="none" w:sz="0" w:space="0" w:color="auto"/>
            <w:bottom w:val="none" w:sz="0" w:space="0" w:color="auto"/>
            <w:right w:val="none" w:sz="0" w:space="0" w:color="auto"/>
          </w:divBdr>
        </w:div>
        <w:div w:id="1836147040">
          <w:marLeft w:val="288"/>
          <w:marRight w:val="0"/>
          <w:marTop w:val="0"/>
          <w:marBottom w:val="0"/>
          <w:divBdr>
            <w:top w:val="none" w:sz="0" w:space="0" w:color="auto"/>
            <w:left w:val="none" w:sz="0" w:space="0" w:color="auto"/>
            <w:bottom w:val="none" w:sz="0" w:space="0" w:color="auto"/>
            <w:right w:val="none" w:sz="0" w:space="0" w:color="auto"/>
          </w:divBdr>
        </w:div>
        <w:div w:id="1233078870">
          <w:marLeft w:val="288"/>
          <w:marRight w:val="0"/>
          <w:marTop w:val="0"/>
          <w:marBottom w:val="0"/>
          <w:divBdr>
            <w:top w:val="none" w:sz="0" w:space="0" w:color="auto"/>
            <w:left w:val="none" w:sz="0" w:space="0" w:color="auto"/>
            <w:bottom w:val="none" w:sz="0" w:space="0" w:color="auto"/>
            <w:right w:val="none" w:sz="0" w:space="0" w:color="auto"/>
          </w:divBdr>
        </w:div>
        <w:div w:id="1849710251">
          <w:marLeft w:val="288"/>
          <w:marRight w:val="0"/>
          <w:marTop w:val="0"/>
          <w:marBottom w:val="0"/>
          <w:divBdr>
            <w:top w:val="none" w:sz="0" w:space="0" w:color="auto"/>
            <w:left w:val="none" w:sz="0" w:space="0" w:color="auto"/>
            <w:bottom w:val="none" w:sz="0" w:space="0" w:color="auto"/>
            <w:right w:val="none" w:sz="0" w:space="0" w:color="auto"/>
          </w:divBdr>
        </w:div>
        <w:div w:id="236479968">
          <w:marLeft w:val="288"/>
          <w:marRight w:val="0"/>
          <w:marTop w:val="0"/>
          <w:marBottom w:val="0"/>
          <w:divBdr>
            <w:top w:val="none" w:sz="0" w:space="0" w:color="auto"/>
            <w:left w:val="none" w:sz="0" w:space="0" w:color="auto"/>
            <w:bottom w:val="none" w:sz="0" w:space="0" w:color="auto"/>
            <w:right w:val="none" w:sz="0" w:space="0" w:color="auto"/>
          </w:divBdr>
        </w:div>
        <w:div w:id="1835994931">
          <w:marLeft w:val="288"/>
          <w:marRight w:val="0"/>
          <w:marTop w:val="0"/>
          <w:marBottom w:val="0"/>
          <w:divBdr>
            <w:top w:val="none" w:sz="0" w:space="0" w:color="auto"/>
            <w:left w:val="none" w:sz="0" w:space="0" w:color="auto"/>
            <w:bottom w:val="none" w:sz="0" w:space="0" w:color="auto"/>
            <w:right w:val="none" w:sz="0" w:space="0" w:color="auto"/>
          </w:divBdr>
        </w:div>
      </w:divsChild>
    </w:div>
    <w:div w:id="1660579188">
      <w:bodyDiv w:val="1"/>
      <w:marLeft w:val="0"/>
      <w:marRight w:val="0"/>
      <w:marTop w:val="0"/>
      <w:marBottom w:val="0"/>
      <w:divBdr>
        <w:top w:val="none" w:sz="0" w:space="0" w:color="auto"/>
        <w:left w:val="none" w:sz="0" w:space="0" w:color="auto"/>
        <w:bottom w:val="none" w:sz="0" w:space="0" w:color="auto"/>
        <w:right w:val="none" w:sz="0" w:space="0" w:color="auto"/>
      </w:divBdr>
    </w:div>
    <w:div w:id="1829326616">
      <w:bodyDiv w:val="1"/>
      <w:marLeft w:val="0"/>
      <w:marRight w:val="0"/>
      <w:marTop w:val="0"/>
      <w:marBottom w:val="0"/>
      <w:divBdr>
        <w:top w:val="none" w:sz="0" w:space="0" w:color="auto"/>
        <w:left w:val="none" w:sz="0" w:space="0" w:color="auto"/>
        <w:bottom w:val="none" w:sz="0" w:space="0" w:color="auto"/>
        <w:right w:val="none" w:sz="0" w:space="0" w:color="auto"/>
      </w:divBdr>
      <w:divsChild>
        <w:div w:id="384137648">
          <w:marLeft w:val="0"/>
          <w:marRight w:val="0"/>
          <w:marTop w:val="0"/>
          <w:marBottom w:val="0"/>
          <w:divBdr>
            <w:top w:val="none" w:sz="0" w:space="0" w:color="auto"/>
            <w:left w:val="none" w:sz="0" w:space="0" w:color="auto"/>
            <w:bottom w:val="none" w:sz="0" w:space="0" w:color="auto"/>
            <w:right w:val="none" w:sz="0" w:space="0" w:color="auto"/>
          </w:divBdr>
        </w:div>
        <w:div w:id="64957376">
          <w:marLeft w:val="0"/>
          <w:marRight w:val="0"/>
          <w:marTop w:val="0"/>
          <w:marBottom w:val="0"/>
          <w:divBdr>
            <w:top w:val="none" w:sz="0" w:space="0" w:color="auto"/>
            <w:left w:val="none" w:sz="0" w:space="0" w:color="auto"/>
            <w:bottom w:val="none" w:sz="0" w:space="0" w:color="auto"/>
            <w:right w:val="none" w:sz="0" w:space="0" w:color="auto"/>
          </w:divBdr>
        </w:div>
      </w:divsChild>
    </w:div>
    <w:div w:id="1843082796">
      <w:bodyDiv w:val="1"/>
      <w:marLeft w:val="0"/>
      <w:marRight w:val="0"/>
      <w:marTop w:val="0"/>
      <w:marBottom w:val="0"/>
      <w:divBdr>
        <w:top w:val="none" w:sz="0" w:space="0" w:color="auto"/>
        <w:left w:val="none" w:sz="0" w:space="0" w:color="auto"/>
        <w:bottom w:val="none" w:sz="0" w:space="0" w:color="auto"/>
        <w:right w:val="none" w:sz="0" w:space="0" w:color="auto"/>
      </w:divBdr>
      <w:divsChild>
        <w:div w:id="584343286">
          <w:marLeft w:val="0"/>
          <w:marRight w:val="0"/>
          <w:marTop w:val="0"/>
          <w:marBottom w:val="0"/>
          <w:divBdr>
            <w:top w:val="none" w:sz="0" w:space="0" w:color="auto"/>
            <w:left w:val="none" w:sz="0" w:space="0" w:color="auto"/>
            <w:bottom w:val="none" w:sz="0" w:space="0" w:color="auto"/>
            <w:right w:val="none" w:sz="0" w:space="0" w:color="auto"/>
          </w:divBdr>
        </w:div>
        <w:div w:id="907811836">
          <w:marLeft w:val="0"/>
          <w:marRight w:val="0"/>
          <w:marTop w:val="0"/>
          <w:marBottom w:val="0"/>
          <w:divBdr>
            <w:top w:val="none" w:sz="0" w:space="0" w:color="auto"/>
            <w:left w:val="none" w:sz="0" w:space="0" w:color="auto"/>
            <w:bottom w:val="none" w:sz="0" w:space="0" w:color="auto"/>
            <w:right w:val="none" w:sz="0" w:space="0" w:color="auto"/>
          </w:divBdr>
        </w:div>
        <w:div w:id="528421431">
          <w:marLeft w:val="0"/>
          <w:marRight w:val="0"/>
          <w:marTop w:val="0"/>
          <w:marBottom w:val="0"/>
          <w:divBdr>
            <w:top w:val="none" w:sz="0" w:space="0" w:color="auto"/>
            <w:left w:val="none" w:sz="0" w:space="0" w:color="auto"/>
            <w:bottom w:val="none" w:sz="0" w:space="0" w:color="auto"/>
            <w:right w:val="none" w:sz="0" w:space="0" w:color="auto"/>
          </w:divBdr>
        </w:div>
        <w:div w:id="1404135765">
          <w:marLeft w:val="0"/>
          <w:marRight w:val="0"/>
          <w:marTop w:val="0"/>
          <w:marBottom w:val="0"/>
          <w:divBdr>
            <w:top w:val="none" w:sz="0" w:space="0" w:color="auto"/>
            <w:left w:val="none" w:sz="0" w:space="0" w:color="auto"/>
            <w:bottom w:val="none" w:sz="0" w:space="0" w:color="auto"/>
            <w:right w:val="none" w:sz="0" w:space="0" w:color="auto"/>
          </w:divBdr>
        </w:div>
        <w:div w:id="2087989681">
          <w:marLeft w:val="0"/>
          <w:marRight w:val="0"/>
          <w:marTop w:val="0"/>
          <w:marBottom w:val="0"/>
          <w:divBdr>
            <w:top w:val="none" w:sz="0" w:space="0" w:color="auto"/>
            <w:left w:val="none" w:sz="0" w:space="0" w:color="auto"/>
            <w:bottom w:val="none" w:sz="0" w:space="0" w:color="auto"/>
            <w:right w:val="none" w:sz="0" w:space="0" w:color="auto"/>
          </w:divBdr>
        </w:div>
      </w:divsChild>
    </w:div>
    <w:div w:id="1963462268">
      <w:bodyDiv w:val="1"/>
      <w:marLeft w:val="0"/>
      <w:marRight w:val="0"/>
      <w:marTop w:val="0"/>
      <w:marBottom w:val="0"/>
      <w:divBdr>
        <w:top w:val="none" w:sz="0" w:space="0" w:color="auto"/>
        <w:left w:val="none" w:sz="0" w:space="0" w:color="auto"/>
        <w:bottom w:val="none" w:sz="0" w:space="0" w:color="auto"/>
        <w:right w:val="none" w:sz="0" w:space="0" w:color="auto"/>
      </w:divBdr>
    </w:div>
    <w:div w:id="2020112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j.pontefract@sheffield.ac.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ofbonehealth.org/sites/default/files/PDFs/Audit%20Eastern%20Europe_Central%20Asia/Eastern_European_Central_Asian_Audit_2010.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pulation.un.org/wpp/Download/Standard/Populatio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si.bg/census2011/PDOCS2/Census2011final_en.pdf" TargetMode="External"/><Relationship Id="rId4" Type="http://schemas.openxmlformats.org/officeDocument/2006/relationships/settings" Target="settings.xml"/><Relationship Id="rId9" Type="http://schemas.openxmlformats.org/officeDocument/2006/relationships/hyperlink" Target="http://www.shef.ac.uk/FRAX/pdfs/WHO_Technical_Report.pdf.%20Accessed%2026%20Feb%20201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22B4FF-246E-4C9C-9F24-CB4CEE234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4691</Words>
  <Characters>26744</Characters>
  <Application>Microsoft Office Word</Application>
  <DocSecurity>4</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dc:creator>
  <cp:keywords/>
  <dc:description/>
  <cp:lastModifiedBy>Karen Drake</cp:lastModifiedBy>
  <cp:revision>2</cp:revision>
  <cp:lastPrinted>2020-03-03T14:32:00Z</cp:lastPrinted>
  <dcterms:created xsi:type="dcterms:W3CDTF">2020-03-03T14:47:00Z</dcterms:created>
  <dcterms:modified xsi:type="dcterms:W3CDTF">2020-03-03T14:47:00Z</dcterms:modified>
</cp:coreProperties>
</file>