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5DA" w:rsidRDefault="000305DA" w:rsidP="001A286D">
      <w:pPr>
        <w:spacing w:line="360" w:lineRule="auto"/>
        <w:jc w:val="center"/>
        <w:rPr>
          <w:rFonts w:eastAsia="Cambria"/>
          <w:sz w:val="20"/>
          <w:szCs w:val="20"/>
          <w:lang w:eastAsia="en-US"/>
        </w:rPr>
      </w:pPr>
      <w:r w:rsidRPr="00963ACA">
        <w:rPr>
          <w:rFonts w:eastAsia="Cambria"/>
          <w:b/>
          <w:bCs/>
          <w:sz w:val="20"/>
          <w:szCs w:val="20"/>
          <w:lang w:eastAsia="en-US"/>
        </w:rPr>
        <w:t xml:space="preserve">Author note: </w:t>
      </w:r>
      <w:r w:rsidRPr="00963ACA">
        <w:rPr>
          <w:rFonts w:eastAsia="Cambria"/>
          <w:sz w:val="20"/>
          <w:szCs w:val="20"/>
          <w:lang w:eastAsia="en-US"/>
        </w:rPr>
        <w:t xml:space="preserve">This version of the manuscript contains minor differences to the final version </w:t>
      </w:r>
      <w:r>
        <w:rPr>
          <w:rFonts w:eastAsia="Cambria"/>
          <w:sz w:val="20"/>
          <w:szCs w:val="20"/>
          <w:lang w:eastAsia="en-US"/>
        </w:rPr>
        <w:t xml:space="preserve">that has been accepted </w:t>
      </w:r>
      <w:r w:rsidRPr="00963ACA">
        <w:rPr>
          <w:rFonts w:eastAsia="Cambria"/>
          <w:sz w:val="20"/>
          <w:szCs w:val="20"/>
          <w:lang w:eastAsia="en-US"/>
        </w:rPr>
        <w:t>for publication in</w:t>
      </w:r>
      <w:r>
        <w:rPr>
          <w:rFonts w:eastAsia="Cambria"/>
          <w:sz w:val="20"/>
          <w:szCs w:val="20"/>
          <w:lang w:eastAsia="en-US"/>
        </w:rPr>
        <w:t xml:space="preserve"> Production Planning and Control</w:t>
      </w:r>
    </w:p>
    <w:p w:rsidR="000305DA" w:rsidRDefault="000305DA" w:rsidP="001A286D">
      <w:pPr>
        <w:spacing w:line="360" w:lineRule="auto"/>
        <w:jc w:val="center"/>
        <w:rPr>
          <w:rFonts w:eastAsia="Cambria"/>
          <w:sz w:val="20"/>
          <w:szCs w:val="20"/>
          <w:lang w:eastAsia="en-US"/>
        </w:rPr>
      </w:pPr>
    </w:p>
    <w:p w:rsidR="000305DA" w:rsidRDefault="000305DA" w:rsidP="001A286D">
      <w:pPr>
        <w:spacing w:line="360" w:lineRule="auto"/>
        <w:jc w:val="center"/>
        <w:rPr>
          <w:b/>
          <w:sz w:val="32"/>
          <w:szCs w:val="32"/>
        </w:rPr>
      </w:pPr>
    </w:p>
    <w:p w:rsidR="000305DA" w:rsidRDefault="000305DA" w:rsidP="001A286D">
      <w:pPr>
        <w:spacing w:line="360" w:lineRule="auto"/>
        <w:jc w:val="center"/>
        <w:rPr>
          <w:b/>
          <w:sz w:val="32"/>
          <w:szCs w:val="32"/>
        </w:rPr>
      </w:pPr>
      <w:bookmarkStart w:id="0" w:name="_GoBack"/>
      <w:bookmarkEnd w:id="0"/>
    </w:p>
    <w:p w:rsidR="001A286D" w:rsidRPr="00C34D98" w:rsidRDefault="00E14E5C" w:rsidP="001A286D">
      <w:pPr>
        <w:spacing w:line="360" w:lineRule="auto"/>
        <w:jc w:val="center"/>
      </w:pPr>
      <w:r>
        <w:rPr>
          <w:b/>
          <w:sz w:val="32"/>
          <w:szCs w:val="32"/>
        </w:rPr>
        <w:t>The a</w:t>
      </w:r>
      <w:r w:rsidR="00874627" w:rsidRPr="00C34D98">
        <w:rPr>
          <w:b/>
          <w:sz w:val="32"/>
          <w:szCs w:val="32"/>
        </w:rPr>
        <w:t xml:space="preserve">nchoring heuristic and overconfidence bias among frontline employees </w:t>
      </w:r>
      <w:r w:rsidR="00874627" w:rsidRPr="004E0025">
        <w:rPr>
          <w:b/>
          <w:sz w:val="32"/>
          <w:szCs w:val="32"/>
        </w:rPr>
        <w:t>in supply chain organisations</w:t>
      </w:r>
    </w:p>
    <w:p w:rsidR="001A286D" w:rsidRPr="00C34D98" w:rsidRDefault="001A286D" w:rsidP="001A286D">
      <w:pPr>
        <w:spacing w:line="360" w:lineRule="auto"/>
        <w:jc w:val="center"/>
      </w:pPr>
    </w:p>
    <w:p w:rsidR="001A286D" w:rsidRPr="00C34D98" w:rsidRDefault="001A286D" w:rsidP="001A286D">
      <w:pPr>
        <w:spacing w:line="360" w:lineRule="auto"/>
        <w:jc w:val="center"/>
        <w:rPr>
          <w:b/>
        </w:rPr>
      </w:pPr>
      <w:r w:rsidRPr="00C34D98">
        <w:rPr>
          <w:b/>
        </w:rPr>
        <w:t>Jake Doyle</w:t>
      </w:r>
    </w:p>
    <w:p w:rsidR="001A286D" w:rsidRPr="00C34D98" w:rsidRDefault="001A286D" w:rsidP="001A286D">
      <w:pPr>
        <w:spacing w:line="360" w:lineRule="auto"/>
        <w:jc w:val="center"/>
        <w:rPr>
          <w:i/>
        </w:rPr>
      </w:pPr>
      <w:r w:rsidRPr="00C34D98">
        <w:rPr>
          <w:i/>
        </w:rPr>
        <w:t>Southampton Business School, University of Southampton, United Kingdom</w:t>
      </w:r>
    </w:p>
    <w:p w:rsidR="001A286D" w:rsidRPr="00C34D98" w:rsidRDefault="001A286D" w:rsidP="001A286D">
      <w:pPr>
        <w:spacing w:line="360" w:lineRule="auto"/>
        <w:jc w:val="center"/>
        <w:rPr>
          <w:b/>
        </w:rPr>
      </w:pPr>
      <w:r w:rsidRPr="00C34D98">
        <w:rPr>
          <w:b/>
        </w:rPr>
        <w:t>Udechukwu Ojiako</w:t>
      </w:r>
    </w:p>
    <w:p w:rsidR="001A286D" w:rsidRPr="00C34D98" w:rsidRDefault="001A286D" w:rsidP="001A286D">
      <w:pPr>
        <w:spacing w:line="360" w:lineRule="auto"/>
        <w:jc w:val="center"/>
        <w:rPr>
          <w:i/>
        </w:rPr>
      </w:pPr>
      <w:r w:rsidRPr="00C34D98">
        <w:rPr>
          <w:i/>
        </w:rPr>
        <w:t>College of Engineering, University of Sharjah, United Arab Emirates</w:t>
      </w:r>
    </w:p>
    <w:p w:rsidR="001A286D" w:rsidRPr="00C34D98" w:rsidRDefault="001A286D" w:rsidP="001A286D">
      <w:pPr>
        <w:spacing w:line="360" w:lineRule="auto"/>
        <w:jc w:val="center"/>
        <w:rPr>
          <w:i/>
        </w:rPr>
      </w:pPr>
      <w:r w:rsidRPr="00C34D98">
        <w:rPr>
          <w:i/>
        </w:rPr>
        <w:t>Hull University Business School, University of Hull, United Kingdom</w:t>
      </w:r>
    </w:p>
    <w:p w:rsidR="00D54786" w:rsidRPr="00C34D98" w:rsidRDefault="00D54786" w:rsidP="001A286D">
      <w:pPr>
        <w:spacing w:line="360" w:lineRule="auto"/>
        <w:jc w:val="center"/>
        <w:rPr>
          <w:i/>
        </w:rPr>
      </w:pPr>
      <w:r w:rsidRPr="00C34D98">
        <w:rPr>
          <w:i/>
        </w:rPr>
        <w:t>UNIZIK Business School, Nnamdi Azikiwe University, Nigeria</w:t>
      </w:r>
    </w:p>
    <w:p w:rsidR="001A286D" w:rsidRPr="00C34D98" w:rsidRDefault="001A286D" w:rsidP="001A286D">
      <w:pPr>
        <w:spacing w:line="360" w:lineRule="auto"/>
        <w:jc w:val="center"/>
        <w:rPr>
          <w:b/>
        </w:rPr>
      </w:pPr>
      <w:r w:rsidRPr="00C34D98">
        <w:rPr>
          <w:b/>
        </w:rPr>
        <w:t>Alasdair Marshall</w:t>
      </w:r>
    </w:p>
    <w:p w:rsidR="001A286D" w:rsidRPr="00C34D98" w:rsidRDefault="001A286D" w:rsidP="001A286D">
      <w:pPr>
        <w:spacing w:line="360" w:lineRule="auto"/>
        <w:jc w:val="center"/>
        <w:rPr>
          <w:i/>
        </w:rPr>
      </w:pPr>
      <w:r w:rsidRPr="00C34D98">
        <w:rPr>
          <w:i/>
        </w:rPr>
        <w:t>Southampton Business School, University of Southampton, United Kingdom</w:t>
      </w:r>
    </w:p>
    <w:p w:rsidR="001A286D" w:rsidRPr="00C34D98" w:rsidRDefault="001A286D" w:rsidP="001A286D">
      <w:pPr>
        <w:spacing w:line="360" w:lineRule="auto"/>
        <w:jc w:val="center"/>
        <w:rPr>
          <w:b/>
        </w:rPr>
      </w:pPr>
      <w:r w:rsidRPr="00C34D98">
        <w:rPr>
          <w:b/>
        </w:rPr>
        <w:t>Ian Dawson</w:t>
      </w:r>
    </w:p>
    <w:p w:rsidR="001A286D" w:rsidRPr="00C34D98" w:rsidRDefault="001A286D" w:rsidP="001A286D">
      <w:pPr>
        <w:spacing w:line="360" w:lineRule="auto"/>
        <w:jc w:val="center"/>
        <w:rPr>
          <w:i/>
        </w:rPr>
      </w:pPr>
      <w:r w:rsidRPr="00C34D98">
        <w:rPr>
          <w:i/>
        </w:rPr>
        <w:t>Southampton Business School, University of Southampton, United Kingdom</w:t>
      </w:r>
    </w:p>
    <w:p w:rsidR="001A286D" w:rsidRPr="00C34D98" w:rsidRDefault="001A286D" w:rsidP="001A286D">
      <w:pPr>
        <w:spacing w:line="360" w:lineRule="auto"/>
        <w:jc w:val="center"/>
        <w:rPr>
          <w:b/>
        </w:rPr>
      </w:pPr>
      <w:r w:rsidRPr="00C34D98">
        <w:rPr>
          <w:b/>
        </w:rPr>
        <w:t>Mario Brito</w:t>
      </w:r>
    </w:p>
    <w:p w:rsidR="001A286D" w:rsidRPr="00C34D98" w:rsidRDefault="001A286D" w:rsidP="001A286D">
      <w:pPr>
        <w:spacing w:line="360" w:lineRule="auto"/>
        <w:jc w:val="center"/>
        <w:rPr>
          <w:i/>
        </w:rPr>
      </w:pPr>
      <w:r w:rsidRPr="00C34D98">
        <w:rPr>
          <w:i/>
        </w:rPr>
        <w:t>Southampton Business School, University of Southampton, United Kingdom</w:t>
      </w:r>
    </w:p>
    <w:p w:rsidR="001A286D" w:rsidRPr="00C34D98" w:rsidRDefault="001A286D" w:rsidP="001A286D">
      <w:pPr>
        <w:spacing w:line="360" w:lineRule="auto"/>
        <w:rPr>
          <w:b/>
        </w:rPr>
      </w:pPr>
    </w:p>
    <w:p w:rsidR="000305DA" w:rsidRDefault="000305DA">
      <w:pPr>
        <w:rPr>
          <w:b/>
        </w:rPr>
      </w:pPr>
      <w:r>
        <w:rPr>
          <w:b/>
        </w:rPr>
        <w:br w:type="page"/>
      </w:r>
    </w:p>
    <w:p w:rsidR="001A286D" w:rsidRPr="00C34D98" w:rsidRDefault="001A286D" w:rsidP="001A286D">
      <w:pPr>
        <w:spacing w:line="360" w:lineRule="auto"/>
        <w:jc w:val="both"/>
      </w:pPr>
      <w:r w:rsidRPr="00C34D98">
        <w:rPr>
          <w:b/>
        </w:rPr>
        <w:lastRenderedPageBreak/>
        <w:t>Abstract</w:t>
      </w:r>
    </w:p>
    <w:p w:rsidR="001A286D" w:rsidRDefault="001A286D" w:rsidP="001A286D">
      <w:pPr>
        <w:spacing w:line="360" w:lineRule="auto"/>
        <w:jc w:val="both"/>
      </w:pPr>
      <w:r w:rsidRPr="00C34D98">
        <w:t xml:space="preserve">The purpose of this study is to assess the extent to which the anchoring heuristic and overconfidence bias </w:t>
      </w:r>
      <w:r w:rsidR="0087746A">
        <w:t>can lead</w:t>
      </w:r>
      <w:r w:rsidR="0087746A" w:rsidRPr="00C34D98">
        <w:t xml:space="preserve"> to inaccurate judgments </w:t>
      </w:r>
      <w:r w:rsidR="0087746A">
        <w:t>i</w:t>
      </w:r>
      <w:r w:rsidR="0087746A" w:rsidRPr="00C34D98">
        <w:t xml:space="preserve">n operational </w:t>
      </w:r>
      <w:r w:rsidR="0087746A">
        <w:t>settings</w:t>
      </w:r>
      <w:r w:rsidR="0087746A" w:rsidRPr="00C34D98">
        <w:t xml:space="preserve"> </w:t>
      </w:r>
      <w:r w:rsidRPr="00C34D98">
        <w:t xml:space="preserve">among frontline employees of </w:t>
      </w:r>
      <w:r w:rsidR="002C5DDD" w:rsidRPr="00C34D98">
        <w:t xml:space="preserve">complex multi-stakeholder </w:t>
      </w:r>
      <w:r w:rsidRPr="00C34D98">
        <w:t xml:space="preserve">supply chain organisations. </w:t>
      </w:r>
      <w:r w:rsidR="00553530">
        <w:t>D</w:t>
      </w:r>
      <w:r w:rsidR="00553530" w:rsidRPr="00C34D98">
        <w:t xml:space="preserve">ata </w:t>
      </w:r>
      <w:r w:rsidR="00553530">
        <w:t xml:space="preserve">is </w:t>
      </w:r>
      <w:r w:rsidR="00553530" w:rsidRPr="00C34D98">
        <w:t xml:space="preserve">obtained from an experiment-based questionnaire of frontline employees </w:t>
      </w:r>
      <w:r w:rsidR="00553530">
        <w:t xml:space="preserve">in </w:t>
      </w:r>
      <w:r w:rsidR="00553530" w:rsidRPr="00C34D98">
        <w:t xml:space="preserve">a United Kingdom based freight forward and materials handling company. </w:t>
      </w:r>
      <w:r w:rsidR="00553530">
        <w:t xml:space="preserve">Analysis is </w:t>
      </w:r>
      <w:r w:rsidR="00553530" w:rsidRPr="00C34D98">
        <w:t>undertaken using descriptive and inferential statistics</w:t>
      </w:r>
      <w:r w:rsidR="00553530">
        <w:t xml:space="preserve">. </w:t>
      </w:r>
      <w:r w:rsidRPr="00C34D98">
        <w:t xml:space="preserve">Results suggest that frontline employees within </w:t>
      </w:r>
      <w:r w:rsidR="0087746A">
        <w:t xml:space="preserve">this </w:t>
      </w:r>
      <w:r w:rsidR="002C5DDD" w:rsidRPr="00C34D98">
        <w:t xml:space="preserve">complex multi-stakeholder </w:t>
      </w:r>
      <w:r w:rsidRPr="00C34D98">
        <w:t xml:space="preserve">supply chain organisation consistently overestimate probabilities when framed in a conjunctive manner. They also consistently underestimate probabilities when framed in a disjunctive manner and exhibit considerable overconfidence in their judgements. </w:t>
      </w:r>
      <w:r w:rsidR="00155247" w:rsidRPr="00C34D98">
        <w:t>Mixed evidence was found regarding susceptibility to anchoring and overconfidence in terms of level of expertise and geographical location</w:t>
      </w:r>
      <w:r w:rsidRPr="00C34D98">
        <w:t xml:space="preserve">. Overall, the study elucidates the specific dimensions of anchoring and overconfidence that may lead to judgmental biases in </w:t>
      </w:r>
      <w:r w:rsidR="002C5DDD" w:rsidRPr="00C34D98">
        <w:t xml:space="preserve">complex multi-stakeholder </w:t>
      </w:r>
      <w:r w:rsidRPr="00C34D98">
        <w:t>supply chain decisions. The finding</w:t>
      </w:r>
      <w:r w:rsidR="0087746A">
        <w:t>s</w:t>
      </w:r>
      <w:r w:rsidRPr="00C34D98">
        <w:t xml:space="preserve"> </w:t>
      </w:r>
      <w:r w:rsidRPr="00C34D98">
        <w:rPr>
          <w:color w:val="000000" w:themeColor="text1"/>
        </w:rPr>
        <w:t xml:space="preserve">highlight the critical role of communication in establishing reflective monitoring of, and improvements to, heuristics usage by </w:t>
      </w:r>
      <w:r w:rsidRPr="00C34D98">
        <w:t xml:space="preserve">frontline </w:t>
      </w:r>
      <w:r w:rsidRPr="00C34D98">
        <w:rPr>
          <w:color w:val="000000" w:themeColor="text1"/>
        </w:rPr>
        <w:t xml:space="preserve">employees involved in daily </w:t>
      </w:r>
      <w:r w:rsidRPr="00C34D98">
        <w:t>supply chain decisions</w:t>
      </w:r>
      <w:r w:rsidRPr="00C34D98">
        <w:rPr>
          <w:color w:val="000000" w:themeColor="text1"/>
        </w:rPr>
        <w:t>. It also suggests that practitioners should be encouraged to</w:t>
      </w:r>
      <w:r w:rsidRPr="00C34D98">
        <w:t xml:space="preserve"> reflect on </w:t>
      </w:r>
      <w:r w:rsidRPr="00C34D98">
        <w:rPr>
          <w:i/>
        </w:rPr>
        <w:t>whether</w:t>
      </w:r>
      <w:r w:rsidRPr="00C34D98">
        <w:t>,</w:t>
      </w:r>
      <w:r w:rsidRPr="00C34D98">
        <w:rPr>
          <w:i/>
        </w:rPr>
        <w:t xml:space="preserve"> when</w:t>
      </w:r>
      <w:r w:rsidRPr="00C34D98">
        <w:t xml:space="preserve"> and </w:t>
      </w:r>
      <w:r w:rsidRPr="00C34D98">
        <w:rPr>
          <w:i/>
          <w:iCs/>
        </w:rPr>
        <w:t>how</w:t>
      </w:r>
      <w:r w:rsidRPr="00C34D98">
        <w:t xml:space="preserve"> anchoring and overconfidence should be employed as key judgmental aids in statistical estimations.</w:t>
      </w:r>
    </w:p>
    <w:p w:rsidR="00B61F18" w:rsidRPr="00C34D98" w:rsidRDefault="00B61F18" w:rsidP="001A286D">
      <w:pPr>
        <w:spacing w:line="360" w:lineRule="auto"/>
        <w:jc w:val="both"/>
      </w:pPr>
    </w:p>
    <w:p w:rsidR="001A286D" w:rsidRPr="00C34D98" w:rsidRDefault="001A286D" w:rsidP="001A286D">
      <w:pPr>
        <w:spacing w:line="360" w:lineRule="auto"/>
        <w:jc w:val="both"/>
        <w:rPr>
          <w:b/>
        </w:rPr>
      </w:pPr>
      <w:r w:rsidRPr="00C34D98">
        <w:rPr>
          <w:b/>
        </w:rPr>
        <w:t xml:space="preserve">1. Introduction </w:t>
      </w:r>
    </w:p>
    <w:p w:rsidR="001A286D" w:rsidRPr="00C34D98" w:rsidRDefault="001A286D" w:rsidP="001A286D">
      <w:pPr>
        <w:spacing w:line="360" w:lineRule="auto"/>
        <w:jc w:val="both"/>
        <w:rPr>
          <w:i/>
        </w:rPr>
      </w:pPr>
      <w:r w:rsidRPr="00C34D98">
        <w:rPr>
          <w:i/>
        </w:rPr>
        <w:t xml:space="preserve">1.1 </w:t>
      </w:r>
      <w:r w:rsidR="00AF2B5B" w:rsidRPr="00C34D98">
        <w:rPr>
          <w:i/>
        </w:rPr>
        <w:t>Frontline employees</w:t>
      </w:r>
    </w:p>
    <w:p w:rsidR="00346A1F" w:rsidRDefault="00346A1F" w:rsidP="00346A1F">
      <w:pPr>
        <w:spacing w:line="360" w:lineRule="auto"/>
        <w:jc w:val="both"/>
      </w:pPr>
      <w:r w:rsidRPr="00C34D98">
        <w:t xml:space="preserve">Supply chains have become more global in nature over the last few years, leading to their increased vulnerability to disruption (Scheibe and Blackhurst 2018; Pettit et al. 2019). Under such circumstances, the literature posits that the success of complex multi-stakeholder supply chains is increasingly dependent upon how firms sense and respond to customer needs, especially when those needs are either unanticipated or unplanned (Jeng 2018). One of the means by which complex multi-stakeholder organisations seek to be responsive to customer needs is through employee participation in </w:t>
      </w:r>
      <w:r>
        <w:t>decision-making</w:t>
      </w:r>
      <w:r w:rsidRPr="00C34D98">
        <w:t xml:space="preserve"> (</w:t>
      </w:r>
      <w:r w:rsidRPr="005E32C9">
        <w:t xml:space="preserve">Kitapci and Sezen 2007). Thus, the performance of supply chains is largely dependent on the decisions </w:t>
      </w:r>
      <w:r w:rsidR="00351652">
        <w:t xml:space="preserve">made by </w:t>
      </w:r>
      <w:r w:rsidRPr="00BD50BD">
        <w:rPr>
          <w:color w:val="000000" w:themeColor="text1"/>
        </w:rPr>
        <w:t xml:space="preserve">multiple </w:t>
      </w:r>
      <w:r w:rsidRPr="005E32C9">
        <w:t xml:space="preserve">individuals engaged in its </w:t>
      </w:r>
      <w:r w:rsidR="00351652">
        <w:t xml:space="preserve">administration and </w:t>
      </w:r>
      <w:r w:rsidRPr="005E32C9">
        <w:t>management (</w:t>
      </w:r>
      <w:r w:rsidRPr="00BD50BD">
        <w:rPr>
          <w:color w:val="000000" w:themeColor="text1"/>
        </w:rPr>
        <w:t>Narayanan and Moritz 2015)</w:t>
      </w:r>
      <w:r w:rsidRPr="005E32C9">
        <w:rPr>
          <w:color w:val="000000" w:themeColor="text1"/>
        </w:rPr>
        <w:t xml:space="preserve">. Decisions across supply chains will generally </w:t>
      </w:r>
      <w:r w:rsidR="00351652">
        <w:rPr>
          <w:color w:val="000000" w:themeColor="text1"/>
        </w:rPr>
        <w:t>include</w:t>
      </w:r>
      <w:r w:rsidRPr="005E32C9">
        <w:rPr>
          <w:color w:val="000000" w:themeColor="text1"/>
        </w:rPr>
        <w:t xml:space="preserve"> those which are cus</w:t>
      </w:r>
      <w:r w:rsidRPr="00BD50BD">
        <w:rPr>
          <w:color w:val="000000" w:themeColor="text1"/>
        </w:rPr>
        <w:t>tomer facing (downstream</w:t>
      </w:r>
      <w:r w:rsidRPr="005E32C9">
        <w:rPr>
          <w:color w:val="000000" w:themeColor="text1"/>
        </w:rPr>
        <w:t xml:space="preserve">- from end user to </w:t>
      </w:r>
      <w:r w:rsidRPr="00BD50BD">
        <w:rPr>
          <w:color w:val="000000" w:themeColor="text1"/>
        </w:rPr>
        <w:t>consumption</w:t>
      </w:r>
      <w:r w:rsidRPr="005E32C9">
        <w:rPr>
          <w:color w:val="000000" w:themeColor="text1"/>
        </w:rPr>
        <w:t>), and those not deemed to be customer facing</w:t>
      </w:r>
      <w:r w:rsidRPr="00BD50BD">
        <w:rPr>
          <w:color w:val="000000" w:themeColor="text1"/>
        </w:rPr>
        <w:t xml:space="preserve"> (upstream</w:t>
      </w:r>
      <w:r w:rsidRPr="005E32C9">
        <w:rPr>
          <w:color w:val="000000" w:themeColor="text1"/>
        </w:rPr>
        <w:t xml:space="preserve">- from procurement of </w:t>
      </w:r>
      <w:r w:rsidRPr="00BD50BD">
        <w:rPr>
          <w:color w:val="000000" w:themeColor="text1"/>
        </w:rPr>
        <w:t>materials to manufacturing and assemblage</w:t>
      </w:r>
      <w:r w:rsidRPr="005E32C9">
        <w:rPr>
          <w:color w:val="000000" w:themeColor="text1"/>
        </w:rPr>
        <w:t>).</w:t>
      </w:r>
    </w:p>
    <w:p w:rsidR="005E32C9" w:rsidRDefault="00E32D11" w:rsidP="005D611D">
      <w:pPr>
        <w:spacing w:line="360" w:lineRule="auto"/>
        <w:ind w:firstLine="720"/>
        <w:jc w:val="both"/>
      </w:pPr>
      <w:r w:rsidRPr="00C34D98">
        <w:t xml:space="preserve">Despite </w:t>
      </w:r>
      <w:r w:rsidR="00351652">
        <w:t>most</w:t>
      </w:r>
      <w:r w:rsidRPr="00C34D98">
        <w:t xml:space="preserve"> literature suggesting that key decisions in organisations are typically made and guided by senior managers, </w:t>
      </w:r>
      <w:r w:rsidRPr="00293593">
        <w:t xml:space="preserve">there is increasing </w:t>
      </w:r>
      <w:r w:rsidR="00351652">
        <w:t>evidence</w:t>
      </w:r>
      <w:r w:rsidRPr="00293593">
        <w:t xml:space="preserve"> which suggests that key organisational decisions </w:t>
      </w:r>
      <w:r w:rsidR="00351652">
        <w:t>that</w:t>
      </w:r>
      <w:r w:rsidRPr="00123EC9">
        <w:t xml:space="preserve"> drive responsiveness </w:t>
      </w:r>
      <w:r w:rsidRPr="00293593">
        <w:t>are in fact made by those w</w:t>
      </w:r>
      <w:r w:rsidR="00351652">
        <w:t>ho have a</w:t>
      </w:r>
      <w:r w:rsidRPr="00293593">
        <w:t xml:space="preserve"> direct interface with customers; the so called ‘frontline employees’ (see </w:t>
      </w:r>
      <w:r w:rsidR="00305352" w:rsidRPr="00293593">
        <w:t xml:space="preserve">Ellinger et al. 2010; Jeng 2018). </w:t>
      </w:r>
      <w:r w:rsidR="005E32C9" w:rsidRPr="00293593">
        <w:t xml:space="preserve">However, traditionally, frontline </w:t>
      </w:r>
      <w:r w:rsidR="005E32C9" w:rsidRPr="00293593">
        <w:lastRenderedPageBreak/>
        <w:t xml:space="preserve">employees have often been denied the basic independence to make key decisions (Peccei and Rosenthal 2001). Empowering employees </w:t>
      </w:r>
      <w:r w:rsidR="00351652">
        <w:t>can</w:t>
      </w:r>
      <w:r w:rsidR="005E32C9" w:rsidRPr="00293593">
        <w:t xml:space="preserve"> mean</w:t>
      </w:r>
      <w:r w:rsidR="005E32C9" w:rsidRPr="00C34D98">
        <w:t xml:space="preserve"> that such staff are not required to request and wait for managerial approval prior to making the most basic of decisions (Ojiako et al. 2013; Marinova et al. 2017</w:t>
      </w:r>
      <w:r w:rsidR="00F82F76">
        <w:t xml:space="preserve">; </w:t>
      </w:r>
      <w:r w:rsidR="00F82F76" w:rsidRPr="00F82F76">
        <w:t>Venkatachalam</w:t>
      </w:r>
      <w:r w:rsidR="00F82F76">
        <w:t xml:space="preserve"> et al. 2020</w:t>
      </w:r>
      <w:r w:rsidR="005E32C9" w:rsidRPr="00C34D98">
        <w:t xml:space="preserve">). </w:t>
      </w:r>
      <w:r w:rsidR="00351652">
        <w:t>Moreover</w:t>
      </w:r>
      <w:r w:rsidR="005E32C9" w:rsidRPr="00C34D98">
        <w:t>, employees are able to make real-time decisions and</w:t>
      </w:r>
      <w:r w:rsidR="00351652">
        <w:t>,</w:t>
      </w:r>
      <w:r w:rsidR="005E32C9" w:rsidRPr="00C34D98">
        <w:t xml:space="preserve"> in the process, respond more quickly to customer needs (Al-Mudimigh et al. 2004).</w:t>
      </w:r>
    </w:p>
    <w:p w:rsidR="005D611D" w:rsidRPr="00C34D98" w:rsidRDefault="00305352" w:rsidP="005D611D">
      <w:pPr>
        <w:spacing w:line="360" w:lineRule="auto"/>
        <w:ind w:firstLine="720"/>
        <w:jc w:val="both"/>
      </w:pPr>
      <w:r w:rsidRPr="00C34D98">
        <w:t>Frontline employees are those “</w:t>
      </w:r>
      <w:r w:rsidRPr="00C34D98">
        <w:rPr>
          <w:i/>
        </w:rPr>
        <w:t>service workers who personally interact with customers in retail and service encounters</w:t>
      </w:r>
      <w:r w:rsidRPr="00C34D98">
        <w:t>” (Sirianni et al. 2009</w:t>
      </w:r>
      <w:r w:rsidR="00C653B3">
        <w:t xml:space="preserve">; </w:t>
      </w:r>
      <w:r w:rsidRPr="00C34D98">
        <w:t xml:space="preserve">p. 966). </w:t>
      </w:r>
      <w:r w:rsidR="00943D46">
        <w:t>T</w:t>
      </w:r>
      <w:r w:rsidR="00943D46" w:rsidRPr="00C34D98">
        <w:t xml:space="preserve">he literature suggests that </w:t>
      </w:r>
      <w:r w:rsidR="00943D46">
        <w:t>t</w:t>
      </w:r>
      <w:r w:rsidRPr="00C34D98">
        <w:t xml:space="preserve">he role of frontline employees is important because the effectiveness of service delivery and recovery (which occurs when services fails) is </w:t>
      </w:r>
      <w:r w:rsidRPr="00C34D98">
        <w:rPr>
          <w:i/>
        </w:rPr>
        <w:t>absolutely</w:t>
      </w:r>
      <w:r w:rsidRPr="00C34D98">
        <w:t xml:space="preserve"> dependent on </w:t>
      </w:r>
      <w:r w:rsidR="00943D46">
        <w:t>an</w:t>
      </w:r>
      <w:r w:rsidRPr="00C34D98">
        <w:t xml:space="preserve"> instantaneous response (Beatty et al. 2016). In fact, the role</w:t>
      </w:r>
      <w:r w:rsidR="00943D46">
        <w:t xml:space="preserve"> of frontline employees</w:t>
      </w:r>
      <w:r w:rsidRPr="00C34D98">
        <w:t xml:space="preserve"> is so crucial to service that neither an organisation nor its customers is ever likely to realise any service benefits without the frontline employee mediation. </w:t>
      </w:r>
      <w:r w:rsidR="00144D7B" w:rsidRPr="00C34D98">
        <w:t xml:space="preserve">Thus, the view that senior managers actually do maintain a </w:t>
      </w:r>
      <w:r w:rsidR="00CD6F51" w:rsidRPr="00C34D98">
        <w:t xml:space="preserve">peripheral role in strategic </w:t>
      </w:r>
      <w:r w:rsidR="007165F4">
        <w:t>decision-making</w:t>
      </w:r>
      <w:r w:rsidR="00CD6F51" w:rsidRPr="00C34D98">
        <w:t xml:space="preserve"> suggest</w:t>
      </w:r>
      <w:r w:rsidR="00943D46">
        <w:t>s</w:t>
      </w:r>
      <w:r w:rsidR="00CD6F51" w:rsidRPr="00C34D98">
        <w:t xml:space="preserve"> some conflation </w:t>
      </w:r>
      <w:r w:rsidR="00943D46">
        <w:t>between the terms</w:t>
      </w:r>
      <w:r w:rsidR="00CD6F51" w:rsidRPr="00C34D98">
        <w:t xml:space="preserve"> ‘key’ and ‘strategic’ </w:t>
      </w:r>
      <w:r w:rsidR="007165F4">
        <w:t>decision-making</w:t>
      </w:r>
      <w:r w:rsidR="00CD6F51" w:rsidRPr="00C34D98">
        <w:t xml:space="preserve">. </w:t>
      </w:r>
    </w:p>
    <w:p w:rsidR="00CD6F51" w:rsidRPr="00C34D98" w:rsidRDefault="0014447B" w:rsidP="00CD6F51">
      <w:pPr>
        <w:spacing w:line="360" w:lineRule="auto"/>
        <w:ind w:firstLine="720"/>
        <w:jc w:val="both"/>
      </w:pPr>
      <w:r w:rsidRPr="00C34D98">
        <w:t xml:space="preserve">The </w:t>
      </w:r>
      <w:r w:rsidR="00943D46">
        <w:t>notion</w:t>
      </w:r>
      <w:r w:rsidRPr="00C34D98">
        <w:t xml:space="preserve"> that frontline employees play a crucial role in organisational </w:t>
      </w:r>
      <w:r w:rsidR="00AC71B8">
        <w:t>decision-making</w:t>
      </w:r>
      <w:r w:rsidRPr="00C34D98">
        <w:t xml:space="preserve">, service engagement and strategic implementation appears widely shared </w:t>
      </w:r>
      <w:r w:rsidR="00BC059D">
        <w:t xml:space="preserve">(see </w:t>
      </w:r>
      <w:r w:rsidRPr="00C34D98">
        <w:t xml:space="preserve">Coelho and Augusto 2010; Cadwallader et al. 2010; Ojiako et al. 2013; Zimmermann et al. 2018). </w:t>
      </w:r>
      <w:r w:rsidR="005D611D" w:rsidRPr="00C34D98">
        <w:t xml:space="preserve">For example, </w:t>
      </w:r>
      <w:r w:rsidR="00CD6F51" w:rsidRPr="00C34D98">
        <w:t xml:space="preserve">Coelho and Augusto (2010) posit that frontline employees play a critical </w:t>
      </w:r>
      <w:r w:rsidR="00354535">
        <w:t>decision-making</w:t>
      </w:r>
      <w:r w:rsidR="00CD6F51" w:rsidRPr="00C34D98">
        <w:t xml:space="preserve"> role in that they are the ones most likely to discover, communicate, respond to and deliver latent customer needs. Cadwallader et al.</w:t>
      </w:r>
      <w:r w:rsidR="003452EE">
        <w:t>’s</w:t>
      </w:r>
      <w:r w:rsidR="00CD6F51" w:rsidRPr="00C34D98">
        <w:t xml:space="preserve"> (2010) exploration of the role of frontline employee participation in service encounters suggest</w:t>
      </w:r>
      <w:r w:rsidR="003452EE">
        <w:t>ed</w:t>
      </w:r>
      <w:r w:rsidR="00CD6F51" w:rsidRPr="00C34D98">
        <w:t xml:space="preserve"> that </w:t>
      </w:r>
      <w:r w:rsidR="003452EE">
        <w:t>the role of frontline employees</w:t>
      </w:r>
      <w:r w:rsidR="00CD6F51" w:rsidRPr="00C34D98">
        <w:t xml:space="preserve"> in building and maintaining new and existing relationships with stakeholders is critical to any organisations customer engagement strategy. </w:t>
      </w:r>
      <w:r w:rsidR="004D1E11" w:rsidRPr="00C34D98">
        <w:t xml:space="preserve">In articulating three roles performed by frontline employees in service contexts, Singh and Marinova (2013) posit that frontline employees are the essential element </w:t>
      </w:r>
      <w:r w:rsidR="003452EE">
        <w:t>that determines</w:t>
      </w:r>
      <w:r w:rsidR="004D1E11" w:rsidRPr="00C34D98">
        <w:t xml:space="preserve"> whether innovation in service is a success or failure. These three roles can be </w:t>
      </w:r>
      <w:r w:rsidR="00E16137" w:rsidRPr="00C34D98">
        <w:t xml:space="preserve">theoretical </w:t>
      </w:r>
      <w:r w:rsidR="004D1E11" w:rsidRPr="00C34D98">
        <w:t xml:space="preserve">broadly set out as follows. The first role involves the minimization of variations and errors in service. This implies that frontline employees play a crucial role in </w:t>
      </w:r>
      <w:r w:rsidR="003452EE">
        <w:t xml:space="preserve">resolving problems and </w:t>
      </w:r>
      <w:r w:rsidR="004D1E11" w:rsidRPr="00C34D98">
        <w:t xml:space="preserve">implementing service process standards set by organisations. These standards may </w:t>
      </w:r>
      <w:r w:rsidR="00F20731" w:rsidRPr="00C34D98">
        <w:t>include</w:t>
      </w:r>
      <w:r w:rsidR="004D1E11" w:rsidRPr="00C34D98">
        <w:t xml:space="preserve"> for example average response times for complaint resolution. The second role involves maximizing customer satisfaction by acting in a </w:t>
      </w:r>
      <w:r w:rsidR="00F20731" w:rsidRPr="00C34D98">
        <w:t>manner that</w:t>
      </w:r>
      <w:r w:rsidR="004D1E11" w:rsidRPr="00C34D98">
        <w:t xml:space="preserve"> builds customer trust – for example, </w:t>
      </w:r>
      <w:r w:rsidR="003452EE">
        <w:t xml:space="preserve">providing </w:t>
      </w:r>
      <w:r w:rsidR="004D1E11" w:rsidRPr="00C34D98">
        <w:t>prompt or timely response</w:t>
      </w:r>
      <w:r w:rsidR="003452EE">
        <w:t>s</w:t>
      </w:r>
      <w:r w:rsidR="004D1E11" w:rsidRPr="00C34D98">
        <w:t xml:space="preserve"> to customer enquiries. The third (final) role involves a </w:t>
      </w:r>
      <w:r w:rsidR="00F20731" w:rsidRPr="00C34D98">
        <w:t>trade-off</w:t>
      </w:r>
      <w:r w:rsidR="004D1E11" w:rsidRPr="00C34D98">
        <w:t xml:space="preserve"> between the first and second role guided by the need for </w:t>
      </w:r>
      <w:r w:rsidR="004D1E11" w:rsidRPr="00C34D98">
        <w:rPr>
          <w:i/>
        </w:rPr>
        <w:t>concurrency</w:t>
      </w:r>
      <w:r w:rsidR="004D1E11" w:rsidRPr="00C34D98">
        <w:t>.</w:t>
      </w:r>
      <w:r w:rsidR="00F20731" w:rsidRPr="00C34D98">
        <w:t xml:space="preserve"> Hence, an organisation</w:t>
      </w:r>
      <w:r w:rsidR="003452EE">
        <w:t>’</w:t>
      </w:r>
      <w:r w:rsidR="00F20731" w:rsidRPr="00C34D98">
        <w:t xml:space="preserve">s ability to sense and respond to the needs of various actors across its supply chain will </w:t>
      </w:r>
      <w:r w:rsidR="003452EE">
        <w:t xml:space="preserve">only </w:t>
      </w:r>
      <w:r w:rsidR="00F20731" w:rsidRPr="00C34D98">
        <w:t xml:space="preserve">succeed to the extent that its frontline employees are positively engaged and provided with greater opportunities and resources to engage in effective </w:t>
      </w:r>
      <w:r w:rsidR="007165F4">
        <w:t>decision-making</w:t>
      </w:r>
      <w:r w:rsidR="00F20731" w:rsidRPr="00C34D98">
        <w:t xml:space="preserve"> processes (Lewis and Entwistle 1990).</w:t>
      </w:r>
      <w:r w:rsidR="003452EE">
        <w:t xml:space="preserve"> </w:t>
      </w:r>
      <w:r w:rsidR="00CD6F51" w:rsidRPr="00C34D98">
        <w:t xml:space="preserve">The literature has also explored </w:t>
      </w:r>
      <w:r w:rsidR="0038298D">
        <w:t xml:space="preserve">the importance of </w:t>
      </w:r>
      <w:r w:rsidR="00CD6F51" w:rsidRPr="00C34D98">
        <w:t>frontline employee</w:t>
      </w:r>
      <w:r w:rsidR="0038298D">
        <w:t>s</w:t>
      </w:r>
      <w:r w:rsidR="00CD6F51" w:rsidRPr="00C34D98">
        <w:t xml:space="preserve"> from a boundary spanning perspective, noting that </w:t>
      </w:r>
      <w:r w:rsidR="00CD6F51" w:rsidRPr="00C34D98">
        <w:lastRenderedPageBreak/>
        <w:t>frontline employee value emanates from their critical role in idea gathering</w:t>
      </w:r>
      <w:r w:rsidR="0038298D">
        <w:t xml:space="preserve"> and</w:t>
      </w:r>
      <w:r w:rsidR="00CD6F51" w:rsidRPr="00C34D98">
        <w:t xml:space="preserve"> dissemination (Woisetschläger et al. 2016) and creativity (Coelho and Augusto 2010). It is important to note that while there is available literature emphasising the crucial role of frontline employees in organisational </w:t>
      </w:r>
      <w:r w:rsidR="007165F4">
        <w:t>decision-making</w:t>
      </w:r>
      <w:r w:rsidR="00CD6F51" w:rsidRPr="00C34D98">
        <w:t>, the</w:t>
      </w:r>
      <w:r w:rsidR="00AF2B5B" w:rsidRPr="00C34D98">
        <w:t>ir</w:t>
      </w:r>
      <w:r w:rsidR="00CD6F51" w:rsidRPr="00C34D98">
        <w:t xml:space="preserve"> decisions can be impugned. For example, Pedersen et al. (2018) examined how discretionary judgements of frontline employees can be marked by various forms of bias. </w:t>
      </w:r>
    </w:p>
    <w:p w:rsidR="004D1E11" w:rsidRPr="00C34D98" w:rsidRDefault="004D1E11" w:rsidP="00CD6F51">
      <w:pPr>
        <w:spacing w:line="360" w:lineRule="auto"/>
        <w:ind w:firstLine="720"/>
        <w:jc w:val="both"/>
      </w:pPr>
    </w:p>
    <w:p w:rsidR="009A3650" w:rsidRPr="00C34D98" w:rsidRDefault="009A3650" w:rsidP="009A3650">
      <w:pPr>
        <w:spacing w:line="360" w:lineRule="auto"/>
        <w:jc w:val="both"/>
        <w:rPr>
          <w:i/>
        </w:rPr>
      </w:pPr>
      <w:r w:rsidRPr="00C34D98">
        <w:rPr>
          <w:i/>
        </w:rPr>
        <w:t>1.</w:t>
      </w:r>
      <w:r w:rsidR="00BE00EE" w:rsidRPr="00C34D98">
        <w:rPr>
          <w:i/>
        </w:rPr>
        <w:t>2</w:t>
      </w:r>
      <w:r w:rsidRPr="00C34D98">
        <w:rPr>
          <w:i/>
        </w:rPr>
        <w:t xml:space="preserve"> Frontline employees in supply chains</w:t>
      </w:r>
    </w:p>
    <w:p w:rsidR="00DB620E" w:rsidRPr="00C34D98" w:rsidRDefault="007671C0" w:rsidP="00E135D0">
      <w:pPr>
        <w:spacing w:line="360" w:lineRule="auto"/>
        <w:jc w:val="both"/>
      </w:pPr>
      <w:r w:rsidRPr="00C34D98">
        <w:t>Frontline employees also play a vital role in supply chain</w:t>
      </w:r>
      <w:r w:rsidR="0038298D">
        <w:t>s</w:t>
      </w:r>
      <w:r w:rsidRPr="00C34D98">
        <w:t xml:space="preserve"> </w:t>
      </w:r>
      <w:r w:rsidR="0038298D">
        <w:t>because</w:t>
      </w:r>
      <w:r w:rsidRPr="00C34D98">
        <w:t xml:space="preserve"> they are </w:t>
      </w:r>
      <w:r w:rsidR="0038298D">
        <w:t xml:space="preserve">both </w:t>
      </w:r>
      <w:r w:rsidRPr="00C34D98">
        <w:t>core to service differentiation</w:t>
      </w:r>
      <w:r w:rsidR="0038298D">
        <w:t xml:space="preserve"> and to</w:t>
      </w:r>
      <w:r w:rsidR="005333FC" w:rsidRPr="00C34D98">
        <w:t xml:space="preserve"> the enhancement of resilience in supply chains</w:t>
      </w:r>
      <w:r w:rsidRPr="00C34D98">
        <w:t xml:space="preserve"> (Jeng 2018). </w:t>
      </w:r>
      <w:r w:rsidR="009A226A" w:rsidRPr="00C34D98">
        <w:t>Stolze et al. (2018) ha</w:t>
      </w:r>
      <w:r w:rsidR="0038298D">
        <w:t>s</w:t>
      </w:r>
      <w:r w:rsidR="009A226A" w:rsidRPr="00C34D98">
        <w:t xml:space="preserve"> suggested that</w:t>
      </w:r>
      <w:r w:rsidR="0038298D">
        <w:t>,</w:t>
      </w:r>
      <w:r w:rsidR="009A226A" w:rsidRPr="00C34D98">
        <w:t xml:space="preserve"> in supply chains, the </w:t>
      </w:r>
      <w:r w:rsidR="007165F4">
        <w:t>decision making</w:t>
      </w:r>
      <w:r w:rsidR="009A226A" w:rsidRPr="00C34D98">
        <w:t xml:space="preserve"> of frontline employees serve</w:t>
      </w:r>
      <w:r w:rsidR="0038298D">
        <w:t>s</w:t>
      </w:r>
      <w:r w:rsidR="009A226A" w:rsidRPr="00C34D98">
        <w:t xml:space="preserve"> as the “…</w:t>
      </w:r>
      <w:r w:rsidR="009A226A" w:rsidRPr="00C34D98">
        <w:rPr>
          <w:i/>
        </w:rPr>
        <w:t>foundation for understanding cross-functional integration and firm-level outcomes</w:t>
      </w:r>
      <w:r w:rsidR="009A226A" w:rsidRPr="00C34D98">
        <w:t xml:space="preserve">” (p. </w:t>
      </w:r>
      <w:r w:rsidR="00F94494" w:rsidRPr="00C34D98">
        <w:t>3</w:t>
      </w:r>
      <w:r w:rsidR="009A226A" w:rsidRPr="00C34D98">
        <w:t xml:space="preserve">). </w:t>
      </w:r>
      <w:r w:rsidR="00B66789" w:rsidRPr="00C34D98">
        <w:t>F</w:t>
      </w:r>
      <w:r w:rsidRPr="00C34D98">
        <w:t xml:space="preserve">rontline employees are likely to be key to implementing the drastic improvements required to develop supply chains that are both responsive and customer-driven (Eloranta et al. 1995). </w:t>
      </w:r>
      <w:r w:rsidR="00665EC7" w:rsidRPr="00C34D98">
        <w:t xml:space="preserve">This view is widely shared </w:t>
      </w:r>
      <w:r w:rsidR="0038298D">
        <w:t>within</w:t>
      </w:r>
      <w:r w:rsidR="00665EC7" w:rsidRPr="00C34D98">
        <w:t xml:space="preserve"> a growing literature that alludes to the critical role of frontline employees in logistics and supply chain management </w:t>
      </w:r>
      <w:r w:rsidR="007165F4">
        <w:t>decision making</w:t>
      </w:r>
      <w:r w:rsidR="00665EC7" w:rsidRPr="00C34D98">
        <w:t xml:space="preserve"> (</w:t>
      </w:r>
      <w:r w:rsidR="00EB5AD7" w:rsidRPr="00C34D98">
        <w:t xml:space="preserve">see for example, </w:t>
      </w:r>
      <w:r w:rsidR="00665EC7" w:rsidRPr="00C34D98">
        <w:t>Marshall et al. 2018</w:t>
      </w:r>
      <w:r w:rsidR="00682E65" w:rsidRPr="00C34D98">
        <w:t>; Stolze et al. 2018</w:t>
      </w:r>
      <w:r w:rsidR="00665EC7" w:rsidRPr="00C34D98">
        <w:t xml:space="preserve">). </w:t>
      </w:r>
      <w:r w:rsidR="004D502C" w:rsidRPr="00C34D98">
        <w:t>T</w:t>
      </w:r>
      <w:r w:rsidR="00665EC7" w:rsidRPr="00C34D98">
        <w:t>h</w:t>
      </w:r>
      <w:r w:rsidR="0072042A" w:rsidRPr="00C34D98">
        <w:t>ese</w:t>
      </w:r>
      <w:r w:rsidRPr="00C34D98">
        <w:t xml:space="preserve"> literatures </w:t>
      </w:r>
      <w:r w:rsidR="005F7B68">
        <w:t>highlight that decision-making challenges for</w:t>
      </w:r>
      <w:r w:rsidRPr="00C34D98">
        <w:t xml:space="preserve"> frontline employees in supply chains</w:t>
      </w:r>
      <w:r w:rsidR="005F7B68">
        <w:t xml:space="preserve"> </w:t>
      </w:r>
      <w:r w:rsidRPr="00C34D98">
        <w:t xml:space="preserve">cannot be underestimated. </w:t>
      </w:r>
      <w:r w:rsidR="005F7B68">
        <w:t xml:space="preserve">A key consideration </w:t>
      </w:r>
      <w:r w:rsidR="0038298D">
        <w:t xml:space="preserve">for frontline employees </w:t>
      </w:r>
      <w:r w:rsidR="005F7B68">
        <w:t>is the</w:t>
      </w:r>
      <w:r w:rsidR="00447058" w:rsidRPr="00C34D98">
        <w:t xml:space="preserve"> need to </w:t>
      </w:r>
      <w:r w:rsidRPr="00C34D98">
        <w:t>simultaneously address complex service</w:t>
      </w:r>
      <w:r w:rsidR="0038298D">
        <w:t xml:space="preserve"> demands</w:t>
      </w:r>
      <w:r w:rsidRPr="00C34D98">
        <w:t xml:space="preserve"> and operational challenges</w:t>
      </w:r>
      <w:r w:rsidR="0038298D">
        <w:t>. This</w:t>
      </w:r>
      <w:r w:rsidRPr="00C34D98">
        <w:t xml:space="preserve"> require</w:t>
      </w:r>
      <w:r w:rsidR="0038298D">
        <w:t>s</w:t>
      </w:r>
      <w:r w:rsidRPr="00C34D98">
        <w:t xml:space="preserve"> intensive interaction with other actors across supply chains </w:t>
      </w:r>
      <w:r w:rsidR="00447058" w:rsidRPr="00C34D98">
        <w:t xml:space="preserve">that are </w:t>
      </w:r>
      <w:r w:rsidRPr="00C34D98">
        <w:t>characterised by “…</w:t>
      </w:r>
      <w:r w:rsidRPr="00C34D98">
        <w:rPr>
          <w:i/>
        </w:rPr>
        <w:t>high complexity, high task uncertainty, high task variability, high interdependence between parties and by high equivocality</w:t>
      </w:r>
      <w:r w:rsidR="00D60B97">
        <w:t>” (Busse</w:t>
      </w:r>
      <w:r w:rsidRPr="00C34D98">
        <w:t xml:space="preserve"> 2010; p. 46). </w:t>
      </w:r>
      <w:r w:rsidR="004D502C" w:rsidRPr="00C34D98">
        <w:t>Furthermore, s</w:t>
      </w:r>
      <w:r w:rsidR="00447058" w:rsidRPr="00C34D98">
        <w:t>ince it is not practical to ‘</w:t>
      </w:r>
      <w:r w:rsidR="00447058" w:rsidRPr="00C34D98">
        <w:rPr>
          <w:i/>
        </w:rPr>
        <w:t>inventorize’</w:t>
      </w:r>
      <w:r w:rsidR="00447058" w:rsidRPr="00C34D98">
        <w:t xml:space="preserve"> most service delivery and recovery requirements</w:t>
      </w:r>
      <w:r w:rsidR="00BB4DCC" w:rsidRPr="00C34D98">
        <w:t xml:space="preserve"> in supply chains</w:t>
      </w:r>
      <w:r w:rsidR="00447058" w:rsidRPr="00C34D98">
        <w:t xml:space="preserve">, frontline </w:t>
      </w:r>
      <w:r w:rsidR="004D502C" w:rsidRPr="00C34D98">
        <w:t>employees</w:t>
      </w:r>
      <w:r w:rsidR="00447058" w:rsidRPr="00C34D98">
        <w:t xml:space="preserve"> must be in a position to</w:t>
      </w:r>
      <w:r w:rsidR="0038298D">
        <w:t>,</w:t>
      </w:r>
      <w:r w:rsidR="00447058" w:rsidRPr="00C34D98">
        <w:t xml:space="preserve"> without delay, offer meaningful service and experiences to </w:t>
      </w:r>
      <w:r w:rsidR="0038298D">
        <w:t xml:space="preserve">the </w:t>
      </w:r>
      <w:r w:rsidR="00447058" w:rsidRPr="00C34D98">
        <w:t xml:space="preserve">supply chain actors </w:t>
      </w:r>
      <w:r w:rsidR="0038298D">
        <w:t xml:space="preserve">with </w:t>
      </w:r>
      <w:r w:rsidR="00447058" w:rsidRPr="00C34D98">
        <w:t>who</w:t>
      </w:r>
      <w:r w:rsidR="0038298D">
        <w:t>m</w:t>
      </w:r>
      <w:r w:rsidR="00447058" w:rsidRPr="00C34D98">
        <w:t xml:space="preserve"> they inter</w:t>
      </w:r>
      <w:r w:rsidR="0038298D">
        <w:t>act</w:t>
      </w:r>
      <w:r w:rsidR="00447058" w:rsidRPr="00C34D98">
        <w:t xml:space="preserve">. </w:t>
      </w:r>
      <w:r w:rsidR="00DB620E" w:rsidRPr="00C34D98">
        <w:t>Th</w:t>
      </w:r>
      <w:r w:rsidR="0038298D">
        <w:t>is view is supported by</w:t>
      </w:r>
      <w:r w:rsidR="00DB620E" w:rsidRPr="00C34D98">
        <w:t xml:space="preserve"> Ellinger et al.’s (2010) exposition that “</w:t>
      </w:r>
      <w:r w:rsidR="00DB620E" w:rsidRPr="00C34D98">
        <w:rPr>
          <w:i/>
        </w:rPr>
        <w:t>frontline employees are considered inseparable from the services they render</w:t>
      </w:r>
      <w:r w:rsidR="00DB620E" w:rsidRPr="00C34D98">
        <w:t>” (p. 80).</w:t>
      </w:r>
    </w:p>
    <w:p w:rsidR="00447058" w:rsidRPr="001415F9" w:rsidRDefault="00D35DE3" w:rsidP="00BB4DCC">
      <w:pPr>
        <w:spacing w:line="360" w:lineRule="auto"/>
        <w:ind w:firstLine="720"/>
        <w:jc w:val="both"/>
      </w:pPr>
      <w:r w:rsidRPr="00C4093E">
        <w:t>F</w:t>
      </w:r>
      <w:r w:rsidR="00BB4DCC" w:rsidRPr="00C4093E">
        <w:t xml:space="preserve">rontline employees </w:t>
      </w:r>
      <w:r w:rsidR="00447058" w:rsidRPr="00C4093E">
        <w:t xml:space="preserve">in supply chains are increasingly </w:t>
      </w:r>
      <w:r w:rsidR="00E02ACD" w:rsidRPr="00C4093E">
        <w:t xml:space="preserve">required to make subjective judgments regarding quantitative values (e.g., estimated delivery times, cargo weights and volumes, distances, inventory sizes, monetary costs) and to </w:t>
      </w:r>
      <w:r w:rsidR="000F3D78" w:rsidRPr="00C4093E">
        <w:t xml:space="preserve">use these when </w:t>
      </w:r>
      <w:r w:rsidR="00447058" w:rsidRPr="00C4093E">
        <w:t>mak</w:t>
      </w:r>
      <w:r w:rsidR="000F3D78" w:rsidRPr="00C4093E">
        <w:t>ing</w:t>
      </w:r>
      <w:r w:rsidR="00447058" w:rsidRPr="00C34D98">
        <w:t xml:space="preserve"> decisions under conditions of uncertainty (Marshall et al. 2018; Villena et al. 2018). This essentially means that frontline employees often </w:t>
      </w:r>
      <w:r w:rsidR="00E02ACD">
        <w:t>have</w:t>
      </w:r>
      <w:r w:rsidR="00447058" w:rsidRPr="00C34D98">
        <w:t xml:space="preserve"> to make </w:t>
      </w:r>
      <w:r w:rsidR="00692A7A">
        <w:t>complex judgments and</w:t>
      </w:r>
      <w:r w:rsidR="00447058" w:rsidRPr="00C34D98">
        <w:t xml:space="preserve"> decisions in the absence of full </w:t>
      </w:r>
      <w:r w:rsidR="000F3D78">
        <w:t xml:space="preserve">and precise </w:t>
      </w:r>
      <w:r w:rsidR="00447058" w:rsidRPr="00C34D98">
        <w:t xml:space="preserve">decision-relevant information. In </w:t>
      </w:r>
      <w:r w:rsidR="00BB4DCC" w:rsidRPr="00C34D98">
        <w:t>other</w:t>
      </w:r>
      <w:r w:rsidR="00447058" w:rsidRPr="00C34D98">
        <w:t xml:space="preserve"> instances, because of the fluid nature and fast pace of the supply chain (for example, in the </w:t>
      </w:r>
      <w:r>
        <w:t>fashion</w:t>
      </w:r>
      <w:r w:rsidR="00447058" w:rsidRPr="00C34D98">
        <w:t xml:space="preserve"> industry), there is a need for ‘</w:t>
      </w:r>
      <w:r w:rsidR="00447058" w:rsidRPr="00C34D98">
        <w:rPr>
          <w:i/>
        </w:rPr>
        <w:t>fast-clockspeed’</w:t>
      </w:r>
      <w:r w:rsidR="00447058" w:rsidRPr="00C34D98">
        <w:t xml:space="preserve"> (Fine 2000)</w:t>
      </w:r>
      <w:r>
        <w:t xml:space="preserve"> or</w:t>
      </w:r>
      <w:r w:rsidR="00447058" w:rsidRPr="00C34D98">
        <w:t xml:space="preserve">, in order words, quick and fast </w:t>
      </w:r>
      <w:r w:rsidR="007165F4">
        <w:t>decision making</w:t>
      </w:r>
      <w:r w:rsidR="00447058" w:rsidRPr="00C34D98">
        <w:t xml:space="preserve">. However, such circumstance </w:t>
      </w:r>
      <w:r>
        <w:t xml:space="preserve">frequently </w:t>
      </w:r>
      <w:r w:rsidR="00447058" w:rsidRPr="00C34D98">
        <w:t xml:space="preserve">arises alongside contextual limitations in which frontline employees lack the necessary time to access, assess and evaluate the full range of options </w:t>
      </w:r>
      <w:r w:rsidR="00447058" w:rsidRPr="00C34D98">
        <w:lastRenderedPageBreak/>
        <w:t xml:space="preserve">and potential outcomes of their decisions. </w:t>
      </w:r>
      <w:r w:rsidR="00BB4DCC" w:rsidRPr="00C34D98">
        <w:t>This ha</w:t>
      </w:r>
      <w:r>
        <w:t>s</w:t>
      </w:r>
      <w:r w:rsidR="00BB4DCC" w:rsidRPr="00C34D98">
        <w:t xml:space="preserve"> led </w:t>
      </w:r>
      <w:r w:rsidR="00447058" w:rsidRPr="00C34D98">
        <w:t>frontline employees</w:t>
      </w:r>
      <w:r>
        <w:t>, who</w:t>
      </w:r>
      <w:r w:rsidR="00A15806" w:rsidRPr="00C34D98">
        <w:t xml:space="preserve"> are generally opportunist actors (Schepers et al. 2012), </w:t>
      </w:r>
      <w:r w:rsidR="00BB4DCC" w:rsidRPr="00C34D98">
        <w:t xml:space="preserve">to </w:t>
      </w:r>
      <w:r w:rsidR="00447058" w:rsidRPr="00C34D98">
        <w:t>seek to cope with uncertainty by developing habitual recourse to everyday strategies of ‘</w:t>
      </w:r>
      <w:r w:rsidR="00447058" w:rsidRPr="00C34D98">
        <w:rPr>
          <w:i/>
        </w:rPr>
        <w:t>muddling through’</w:t>
      </w:r>
      <w:r w:rsidR="00447058" w:rsidRPr="00C34D98">
        <w:t xml:space="preserve"> (</w:t>
      </w:r>
      <w:r w:rsidR="00447058" w:rsidRPr="001415F9">
        <w:t xml:space="preserve">Zinn 2008) and by engaging various kinds of decision shortcuts (Katsikopoulos and Gigerenzer 2013). Among these key decision shortcuts </w:t>
      </w:r>
      <w:r>
        <w:t>are</w:t>
      </w:r>
      <w:r w:rsidR="00447058" w:rsidRPr="001415F9">
        <w:t xml:space="preserve"> ‘</w:t>
      </w:r>
      <w:r w:rsidR="00447058" w:rsidRPr="001415F9">
        <w:rPr>
          <w:i/>
        </w:rPr>
        <w:t>heuristics’</w:t>
      </w:r>
      <w:r w:rsidR="00447058" w:rsidRPr="001415F9">
        <w:t xml:space="preserve">. </w:t>
      </w:r>
    </w:p>
    <w:p w:rsidR="00BE31D4" w:rsidRDefault="00600BDF" w:rsidP="00447058">
      <w:pPr>
        <w:spacing w:line="360" w:lineRule="auto"/>
        <w:ind w:firstLine="720"/>
        <w:jc w:val="both"/>
      </w:pPr>
      <w:r>
        <w:t>D</w:t>
      </w:r>
      <w:r w:rsidR="00447058" w:rsidRPr="001415F9">
        <w:t>rawing from the literature</w:t>
      </w:r>
      <w:r>
        <w:t>,</w:t>
      </w:r>
      <w:r w:rsidR="00447058" w:rsidRPr="001415F9">
        <w:t xml:space="preserve"> we opine that frontline staff </w:t>
      </w:r>
      <w:r>
        <w:t>will be</w:t>
      </w:r>
      <w:r w:rsidR="00447058" w:rsidRPr="001415F9">
        <w:t xml:space="preserve"> more likely to aid their </w:t>
      </w:r>
      <w:r w:rsidR="007165F4">
        <w:t>decision making</w:t>
      </w:r>
      <w:r w:rsidR="007165F4" w:rsidRPr="00C34D98">
        <w:t xml:space="preserve"> </w:t>
      </w:r>
      <w:r w:rsidR="00447058" w:rsidRPr="001415F9">
        <w:t>by using</w:t>
      </w:r>
      <w:r w:rsidR="00447058" w:rsidRPr="001415F9">
        <w:rPr>
          <w:i/>
        </w:rPr>
        <w:t xml:space="preserve"> ‘heuristics’</w:t>
      </w:r>
      <w:r>
        <w:t xml:space="preserve"> when</w:t>
      </w:r>
      <w:r w:rsidR="00BE31D4" w:rsidRPr="001415F9">
        <w:t xml:space="preserve"> in complex multi-stakeholder supply chain environments.</w:t>
      </w:r>
      <w:r w:rsidR="00BE31D4" w:rsidRPr="00CC4141">
        <w:t xml:space="preserve"> </w:t>
      </w:r>
      <w:r>
        <w:t xml:space="preserve">For example, </w:t>
      </w:r>
      <w:r w:rsidR="00BE31D4" w:rsidRPr="00CC4141">
        <w:t xml:space="preserve">Goll and </w:t>
      </w:r>
      <w:r w:rsidR="00BE31D4" w:rsidRPr="001657F2">
        <w:t>Rasheed (1997) ha</w:t>
      </w:r>
      <w:r>
        <w:t>ve</w:t>
      </w:r>
      <w:r w:rsidR="00BE31D4" w:rsidRPr="001657F2">
        <w:t xml:space="preserve"> observed</w:t>
      </w:r>
      <w:r w:rsidR="00BE31D4">
        <w:t xml:space="preserve"> that</w:t>
      </w:r>
      <w:r w:rsidR="00E312CC">
        <w:t xml:space="preserve"> the complexity of operational environments </w:t>
      </w:r>
      <w:r>
        <w:t>can be</w:t>
      </w:r>
      <w:r w:rsidR="00E312CC">
        <w:t xml:space="preserve"> a major driver for decision makers to employ</w:t>
      </w:r>
      <w:r w:rsidR="00BE31D4" w:rsidRPr="00BE31D4">
        <w:t xml:space="preserve"> cognitive</w:t>
      </w:r>
      <w:r w:rsidR="00C12B5D">
        <w:t xml:space="preserve"> </w:t>
      </w:r>
      <w:r w:rsidR="00BE31D4" w:rsidRPr="00BE31D4">
        <w:t xml:space="preserve">simplification </w:t>
      </w:r>
      <w:r w:rsidR="00E312CC">
        <w:t xml:space="preserve">tools (such as heuristics) to aid their </w:t>
      </w:r>
      <w:r w:rsidR="00D60B97">
        <w:t>decision-making</w:t>
      </w:r>
      <w:r w:rsidR="007165F4" w:rsidRPr="00C34D98">
        <w:t xml:space="preserve"> </w:t>
      </w:r>
      <w:r w:rsidR="00E312CC">
        <w:t>capabilities.</w:t>
      </w:r>
      <w:r w:rsidR="00C12B5D">
        <w:t xml:space="preserve"> Cognition in this instance will refer to </w:t>
      </w:r>
      <w:r w:rsidR="00C12B5D" w:rsidRPr="00C12B5D">
        <w:t>conscious intellectual</w:t>
      </w:r>
      <w:r w:rsidR="00C12B5D">
        <w:t xml:space="preserve"> tools such as thinking and reasoning.</w:t>
      </w:r>
    </w:p>
    <w:p w:rsidR="00447058" w:rsidRPr="00C34D98" w:rsidRDefault="00BE31D4" w:rsidP="00447058">
      <w:pPr>
        <w:spacing w:line="360" w:lineRule="auto"/>
        <w:ind w:firstLine="720"/>
        <w:jc w:val="both"/>
      </w:pPr>
      <w:r w:rsidRPr="007B438D">
        <w:t>Heuristics</w:t>
      </w:r>
      <w:r w:rsidR="00447058" w:rsidRPr="00C34D98">
        <w:t xml:space="preserve"> are generally employed as aids to decision making because</w:t>
      </w:r>
      <w:r w:rsidR="00600BDF">
        <w:t>,</w:t>
      </w:r>
      <w:r w:rsidR="00447058" w:rsidRPr="00C34D98">
        <w:t xml:space="preserve"> in reality, individual</w:t>
      </w:r>
      <w:r w:rsidR="00600BDF">
        <w:t>s</w:t>
      </w:r>
      <w:r w:rsidR="00447058" w:rsidRPr="00C34D98">
        <w:t xml:space="preserve"> are not only limited in terms </w:t>
      </w:r>
      <w:r w:rsidR="00600BDF">
        <w:t>of their</w:t>
      </w:r>
      <w:r w:rsidR="00447058" w:rsidRPr="00C34D98">
        <w:t xml:space="preserve"> cognitive abilit</w:t>
      </w:r>
      <w:r w:rsidR="00600BDF">
        <w:t>ies</w:t>
      </w:r>
      <w:r w:rsidR="00447058" w:rsidRPr="00C34D98">
        <w:t xml:space="preserve">, but </w:t>
      </w:r>
      <w:r w:rsidR="00600BDF">
        <w:t xml:space="preserve">are </w:t>
      </w:r>
      <w:r w:rsidR="00447058" w:rsidRPr="00C34D98">
        <w:t xml:space="preserve">also constrained by </w:t>
      </w:r>
      <w:r w:rsidR="00600BDF">
        <w:t>a limited ability to engage in</w:t>
      </w:r>
      <w:r w:rsidR="00447058" w:rsidRPr="00C34D98">
        <w:t xml:space="preserve"> </w:t>
      </w:r>
      <w:r w:rsidR="00600BDF">
        <w:t>‘</w:t>
      </w:r>
      <w:r w:rsidR="00447058" w:rsidRPr="00C34D98">
        <w:t>logical</w:t>
      </w:r>
      <w:r w:rsidR="00600BDF">
        <w:t>’</w:t>
      </w:r>
      <w:r w:rsidR="00447058" w:rsidRPr="00C34D98">
        <w:t xml:space="preserve"> or </w:t>
      </w:r>
      <w:r w:rsidR="00600BDF">
        <w:t>‘</w:t>
      </w:r>
      <w:r w:rsidR="00447058" w:rsidRPr="00C34D98">
        <w:t>rational</w:t>
      </w:r>
      <w:r w:rsidR="00600BDF">
        <w:t>’</w:t>
      </w:r>
      <w:r w:rsidR="00447058" w:rsidRPr="00C34D98">
        <w:t xml:space="preserve"> thinking</w:t>
      </w:r>
      <w:r w:rsidR="00600BDF">
        <w:t xml:space="preserve"> under conditions of complexity</w:t>
      </w:r>
      <w:r w:rsidR="00447058" w:rsidRPr="00C34D98">
        <w:t xml:space="preserve"> (</w:t>
      </w:r>
      <w:r w:rsidR="002F0919">
        <w:t>Kang and Park</w:t>
      </w:r>
      <w:r w:rsidR="00447058" w:rsidRPr="00C34D98">
        <w:t xml:space="preserve"> 2019). Both factors</w:t>
      </w:r>
      <w:r w:rsidR="00600BDF">
        <w:t>,</w:t>
      </w:r>
      <w:r w:rsidR="00447058" w:rsidRPr="00C34D98">
        <w:t xml:space="preserve"> we argue</w:t>
      </w:r>
      <w:r w:rsidR="00600BDF">
        <w:t>,</w:t>
      </w:r>
      <w:r w:rsidR="00447058" w:rsidRPr="00C34D98">
        <w:t xml:space="preserve"> ha</w:t>
      </w:r>
      <w:r w:rsidR="00600BDF">
        <w:t>ve</w:t>
      </w:r>
      <w:r w:rsidR="00447058" w:rsidRPr="00C34D98">
        <w:t xml:space="preserve"> </w:t>
      </w:r>
      <w:r w:rsidR="00600BDF">
        <w:t>the</w:t>
      </w:r>
      <w:r w:rsidR="00447058" w:rsidRPr="00C34D98">
        <w:t xml:space="preserve"> potential to limit effective pursuit of utility maximization. Thus, the main premise of this study is t</w:t>
      </w:r>
      <w:r w:rsidR="00600BDF">
        <w:t>o</w:t>
      </w:r>
      <w:r w:rsidR="00447058" w:rsidRPr="00C34D98">
        <w:t xml:space="preserve"> understand the decision shortcuts, especially ‘</w:t>
      </w:r>
      <w:r w:rsidR="00447058" w:rsidRPr="00C34D98">
        <w:rPr>
          <w:i/>
        </w:rPr>
        <w:t>heuristics’</w:t>
      </w:r>
      <w:r w:rsidR="00600BDF">
        <w:rPr>
          <w:i/>
        </w:rPr>
        <w:t>,</w:t>
      </w:r>
      <w:r w:rsidR="00447058" w:rsidRPr="00C34D98">
        <w:t xml:space="preserve"> e</w:t>
      </w:r>
      <w:r w:rsidR="00600BDF">
        <w:t>mploy</w:t>
      </w:r>
      <w:r w:rsidR="00447058" w:rsidRPr="00C34D98">
        <w:t xml:space="preserve">ed by frontline employees and </w:t>
      </w:r>
      <w:r w:rsidR="00600BDF">
        <w:t xml:space="preserve">to gain insights into </w:t>
      </w:r>
      <w:r w:rsidR="00447058" w:rsidRPr="00C34D98">
        <w:t>the consequences of such decision shortcuts</w:t>
      </w:r>
      <w:r w:rsidR="00600BDF">
        <w:t>. This</w:t>
      </w:r>
      <w:r w:rsidR="00447058" w:rsidRPr="00C34D98">
        <w:t xml:space="preserve"> requires a detailed assessment of the decisions </w:t>
      </w:r>
      <w:r w:rsidR="00600BDF">
        <w:t>that</w:t>
      </w:r>
      <w:r w:rsidR="00447058" w:rsidRPr="00C34D98">
        <w:t xml:space="preserve"> frontline employees make (Katsikopoulos and Gigerenzer 2013). In a supply chain context, this form of study has the overall objective of </w:t>
      </w:r>
      <w:r w:rsidR="00600BDF">
        <w:t>obtain</w:t>
      </w:r>
      <w:r w:rsidR="00447058" w:rsidRPr="00C34D98">
        <w:t>ing</w:t>
      </w:r>
      <w:r w:rsidR="00600BDF">
        <w:t xml:space="preserve"> a better</w:t>
      </w:r>
      <w:r w:rsidR="00447058" w:rsidRPr="00C34D98">
        <w:t xml:space="preserve"> understanding of habitual decisions</w:t>
      </w:r>
      <w:r w:rsidR="00600BDF">
        <w:t>,</w:t>
      </w:r>
      <w:r w:rsidR="00447058" w:rsidRPr="00C34D98">
        <w:t xml:space="preserve"> such as placing orders primarily dependent on previous demand realisation (Bolton and Katok 2008), </w:t>
      </w:r>
      <w:r w:rsidR="00600BDF">
        <w:t>and</w:t>
      </w:r>
      <w:r w:rsidR="00447058" w:rsidRPr="00C34D98">
        <w:t xml:space="preserve"> identifying how and when to intervene to mitigate against the impact of such decisions on the efficiency of the supply chain.</w:t>
      </w:r>
    </w:p>
    <w:p w:rsidR="001D2219" w:rsidRPr="00C34D98" w:rsidRDefault="00CC7F1D" w:rsidP="00A72D2E">
      <w:pPr>
        <w:spacing w:line="360" w:lineRule="auto"/>
        <w:ind w:firstLine="720"/>
        <w:jc w:val="both"/>
      </w:pPr>
      <w:r>
        <w:t>T</w:t>
      </w:r>
      <w:r w:rsidR="004D502C" w:rsidRPr="00C34D98">
        <w:t xml:space="preserve">he role of frontline employees in supply chains </w:t>
      </w:r>
      <w:r>
        <w:t>can differ greatly</w:t>
      </w:r>
      <w:r w:rsidR="004D502C" w:rsidRPr="00C34D98">
        <w:t xml:space="preserve"> from frontline roles in </w:t>
      </w:r>
      <w:r>
        <w:t xml:space="preserve">many </w:t>
      </w:r>
      <w:r w:rsidR="004D502C" w:rsidRPr="00C34D98">
        <w:t xml:space="preserve">other industry sectors (Jeng 2018). </w:t>
      </w:r>
      <w:r>
        <w:t>Furthermore</w:t>
      </w:r>
      <w:r w:rsidR="004D502C" w:rsidRPr="00C34D98">
        <w:t xml:space="preserve">, despite the criticality of their role, the position of frontline employees within the supply chains of a number of organisations is quite precarious. For </w:t>
      </w:r>
      <w:r>
        <w:t>example</w:t>
      </w:r>
      <w:r w:rsidR="004D502C" w:rsidRPr="00C34D98">
        <w:t xml:space="preserve">, frontline employees can occupy </w:t>
      </w:r>
      <w:r w:rsidR="002F7F26" w:rsidRPr="00C34D98">
        <w:t>roles, which</w:t>
      </w:r>
      <w:r w:rsidR="004D502C" w:rsidRPr="00C34D98">
        <w:t xml:space="preserve"> are deemed of lower skilled and labour intensive, providing </w:t>
      </w:r>
      <w:r w:rsidR="0022065D" w:rsidRPr="00C34D98">
        <w:t>many opportunities</w:t>
      </w:r>
      <w:r w:rsidR="004D502C" w:rsidRPr="00C34D98">
        <w:t xml:space="preserve"> for automation.</w:t>
      </w:r>
    </w:p>
    <w:p w:rsidR="00526E76" w:rsidRPr="00C34D98" w:rsidRDefault="00526E76" w:rsidP="00F479CC">
      <w:pPr>
        <w:spacing w:line="360" w:lineRule="auto"/>
        <w:jc w:val="both"/>
      </w:pPr>
    </w:p>
    <w:p w:rsidR="009228A1" w:rsidRPr="00C34D98" w:rsidRDefault="009228A1" w:rsidP="009228A1">
      <w:pPr>
        <w:spacing w:line="360" w:lineRule="auto"/>
        <w:jc w:val="both"/>
        <w:rPr>
          <w:i/>
        </w:rPr>
      </w:pPr>
      <w:r w:rsidRPr="00ED6792">
        <w:rPr>
          <w:i/>
        </w:rPr>
        <w:t>1.</w:t>
      </w:r>
      <w:r w:rsidR="00A72D2E" w:rsidRPr="00ED6792">
        <w:rPr>
          <w:i/>
        </w:rPr>
        <w:t>3</w:t>
      </w:r>
      <w:r w:rsidRPr="00ED6792">
        <w:rPr>
          <w:i/>
        </w:rPr>
        <w:t xml:space="preserve"> Heuristics</w:t>
      </w:r>
    </w:p>
    <w:p w:rsidR="0017534C" w:rsidRDefault="00F117C9" w:rsidP="005C1B11">
      <w:pPr>
        <w:spacing w:line="360" w:lineRule="auto"/>
        <w:jc w:val="both"/>
      </w:pPr>
      <w:r w:rsidRPr="00045695">
        <w:t>Decision-making is often</w:t>
      </w:r>
      <w:r w:rsidR="00522202" w:rsidRPr="00045695">
        <w:t xml:space="preserve"> challenged by ‘uncertainty’, ‘risk’ and ‘complexity’ (Gilovich et al. 2002</w:t>
      </w:r>
      <w:r w:rsidR="00045695" w:rsidRPr="00045695">
        <w:t xml:space="preserve">; </w:t>
      </w:r>
      <w:r w:rsidR="00F44B63" w:rsidRPr="00045695">
        <w:t>Marshall</w:t>
      </w:r>
      <w:r w:rsidR="00045695" w:rsidRPr="00045695">
        <w:t xml:space="preserve"> and </w:t>
      </w:r>
      <w:r w:rsidR="00F44B63" w:rsidRPr="00045695">
        <w:t>Ojiako</w:t>
      </w:r>
      <w:r w:rsidR="00045695" w:rsidRPr="00045695">
        <w:t xml:space="preserve"> 2015; </w:t>
      </w:r>
      <w:r w:rsidR="00F44B63" w:rsidRPr="00045695">
        <w:t>Marshall</w:t>
      </w:r>
      <w:r w:rsidR="00045695" w:rsidRPr="00045695">
        <w:t xml:space="preserve"> et al. 2018; Marshall et al. 2019a, b). </w:t>
      </w:r>
      <w:r w:rsidRPr="00045695">
        <w:t xml:space="preserve">To overcome these challenges, decision makers </w:t>
      </w:r>
      <w:r w:rsidR="00C443A9" w:rsidRPr="00045695">
        <w:t xml:space="preserve">such as frontline employees </w:t>
      </w:r>
      <w:r w:rsidRPr="00045695">
        <w:t>often rely on heuristics</w:t>
      </w:r>
      <w:r w:rsidR="008F65CE" w:rsidRPr="00045695">
        <w:t xml:space="preserve"> (Andersson</w:t>
      </w:r>
      <w:r w:rsidR="004018A3" w:rsidRPr="00045695">
        <w:t xml:space="preserve"> et al. 2016)</w:t>
      </w:r>
      <w:r w:rsidRPr="00045695">
        <w:t xml:space="preserve">. </w:t>
      </w:r>
      <w:r w:rsidR="000859BC" w:rsidRPr="00045695">
        <w:t>Defined as a “</w:t>
      </w:r>
      <w:r w:rsidR="000859BC" w:rsidRPr="00045695">
        <w:rPr>
          <w:i/>
        </w:rPr>
        <w:t>simple rule of thumb that leads to decisions in little time and with little information</w:t>
      </w:r>
      <w:r w:rsidR="000859BC" w:rsidRPr="00C34D98">
        <w:rPr>
          <w:i/>
        </w:rPr>
        <w:t xml:space="preserve"> and computation</w:t>
      </w:r>
      <w:r w:rsidR="000859BC" w:rsidRPr="00C34D98">
        <w:t xml:space="preserve">” (Katsikopoulos </w:t>
      </w:r>
      <w:r w:rsidR="002A7DEA" w:rsidRPr="00C34D98">
        <w:t>and</w:t>
      </w:r>
      <w:r w:rsidR="000859BC" w:rsidRPr="00C34D98">
        <w:t xml:space="preserve"> Gigerenzer 2013; p. 4), heuristics can be theorised as </w:t>
      </w:r>
      <w:r w:rsidRPr="00C34D98">
        <w:t xml:space="preserve">fast, </w:t>
      </w:r>
      <w:r w:rsidR="000859BC" w:rsidRPr="00C34D98">
        <w:t xml:space="preserve">simplifying mental </w:t>
      </w:r>
      <w:r w:rsidR="000859BC" w:rsidRPr="00C34D98">
        <w:lastRenderedPageBreak/>
        <w:t xml:space="preserve">strategies that support decision-makers when faced with a broader range of specified challenges or constraints. Typically, </w:t>
      </w:r>
      <w:r w:rsidRPr="00C34D98">
        <w:t>heuristics</w:t>
      </w:r>
      <w:r w:rsidR="000859BC" w:rsidRPr="00C34D98">
        <w:t xml:space="preserve"> are </w:t>
      </w:r>
      <w:r w:rsidRPr="00C34D98">
        <w:t xml:space="preserve">also </w:t>
      </w:r>
      <w:r w:rsidR="000859BC" w:rsidRPr="00C34D98">
        <w:t xml:space="preserve">theorised as harnessing some combination of trust, affect and intuition in order to function (Greenberg </w:t>
      </w:r>
      <w:r w:rsidR="000859BC" w:rsidRPr="00C34D98">
        <w:rPr>
          <w:iCs/>
        </w:rPr>
        <w:t xml:space="preserve">et al. </w:t>
      </w:r>
      <w:r w:rsidR="000859BC" w:rsidRPr="00C34D98">
        <w:t>2012), and as operating spontaneously, subliminally and swiftly under these influences to produce decision shortcuts. To appreciate why heuristics operate in this manner</w:t>
      </w:r>
      <w:r w:rsidR="00590F1F" w:rsidRPr="00C34D98">
        <w:t xml:space="preserve">, </w:t>
      </w:r>
      <w:r w:rsidR="000859BC" w:rsidRPr="00C34D98">
        <w:t xml:space="preserve">it is helpful to set them within the evolutionary context of how the brain has </w:t>
      </w:r>
      <w:r w:rsidR="00D828F1">
        <w:t xml:space="preserve">probably </w:t>
      </w:r>
      <w:r w:rsidR="000859BC" w:rsidRPr="00C34D98">
        <w:t xml:space="preserve">developed in order to handle imminent threats. </w:t>
      </w:r>
    </w:p>
    <w:p w:rsidR="000859BC" w:rsidRPr="00C34D98" w:rsidRDefault="00F117C9" w:rsidP="00457719">
      <w:pPr>
        <w:spacing w:line="360" w:lineRule="auto"/>
        <w:ind w:firstLine="720"/>
        <w:jc w:val="both"/>
      </w:pPr>
      <w:r w:rsidRPr="00C34D98">
        <w:t>Notably, h</w:t>
      </w:r>
      <w:r w:rsidR="000859BC" w:rsidRPr="00C34D98">
        <w:t>euristics theory aligns to what is termed dual process theory or affective intelligence doctrine to provide this explanation</w:t>
      </w:r>
      <w:r w:rsidR="002A7DEA" w:rsidRPr="00C34D98">
        <w:t xml:space="preserve"> (Evans 2006)</w:t>
      </w:r>
      <w:r w:rsidR="000859BC" w:rsidRPr="00C34D98">
        <w:t xml:space="preserve">. </w:t>
      </w:r>
      <w:r w:rsidR="000859BC" w:rsidRPr="003973FB">
        <w:t>This corpus of psychological theor</w:t>
      </w:r>
      <w:r w:rsidRPr="003973FB">
        <w:t>y</w:t>
      </w:r>
      <w:r w:rsidR="000859BC" w:rsidRPr="003973FB">
        <w:t xml:space="preserve"> </w:t>
      </w:r>
      <w:r w:rsidR="0017534C" w:rsidRPr="003973FB">
        <w:t xml:space="preserve">(see for example, Narayanan and Moritz 2015), </w:t>
      </w:r>
      <w:r w:rsidR="000859BC" w:rsidRPr="003973FB">
        <w:t>contends th</w:t>
      </w:r>
      <w:r w:rsidR="00C12B5D" w:rsidRPr="003973FB">
        <w:t xml:space="preserve">e existence of </w:t>
      </w:r>
      <w:r w:rsidR="0017534C" w:rsidRPr="00F018F8">
        <w:t xml:space="preserve">two </w:t>
      </w:r>
      <w:r w:rsidR="00C12B5D" w:rsidRPr="00F018F8">
        <w:t xml:space="preserve">varying, but </w:t>
      </w:r>
      <w:r w:rsidR="00C12B5D" w:rsidRPr="003973FB">
        <w:t xml:space="preserve">associated </w:t>
      </w:r>
      <w:r w:rsidR="0017534C" w:rsidRPr="00F018F8">
        <w:t>cognitive processing</w:t>
      </w:r>
      <w:r w:rsidR="00457719" w:rsidRPr="00457719">
        <w:t xml:space="preserve"> </w:t>
      </w:r>
      <w:r w:rsidR="00457719" w:rsidRPr="00F018F8">
        <w:t>operat</w:t>
      </w:r>
      <w:r w:rsidR="00457719">
        <w:t>ing</w:t>
      </w:r>
      <w:r w:rsidR="00457719" w:rsidRPr="00F018F8">
        <w:t xml:space="preserve"> simultaneously</w:t>
      </w:r>
      <w:r w:rsidR="009B63B8">
        <w:t>. T</w:t>
      </w:r>
      <w:r w:rsidR="00E84A1C" w:rsidRPr="00F018F8">
        <w:t xml:space="preserve">he first which is not in need of major </w:t>
      </w:r>
      <w:r w:rsidR="0017534C" w:rsidRPr="00F018F8">
        <w:t>memory</w:t>
      </w:r>
      <w:r w:rsidR="00E84A1C" w:rsidRPr="00F018F8">
        <w:t xml:space="preserve"> activity (referred to as System 1</w:t>
      </w:r>
      <w:r w:rsidR="00E84A1C" w:rsidRPr="002F0919">
        <w:t xml:space="preserve">) and the second (referred to as </w:t>
      </w:r>
      <w:r w:rsidR="00E84A1C" w:rsidRPr="00400DCC">
        <w:rPr>
          <w:i/>
        </w:rPr>
        <w:t>System 2</w:t>
      </w:r>
      <w:r w:rsidR="00E84A1C" w:rsidRPr="00F018F8">
        <w:t>), which does need considerable memory activity</w:t>
      </w:r>
      <w:r w:rsidR="009B63B8">
        <w:t xml:space="preserve"> (</w:t>
      </w:r>
      <w:r w:rsidR="009B63B8" w:rsidRPr="002F0919">
        <w:t>Kahneman 2011</w:t>
      </w:r>
      <w:r w:rsidR="009B63B8">
        <w:t>)</w:t>
      </w:r>
      <w:r w:rsidR="0017534C" w:rsidRPr="00F018F8">
        <w:t xml:space="preserve">. </w:t>
      </w:r>
      <w:r w:rsidR="005A7706" w:rsidRPr="003973FB">
        <w:t xml:space="preserve">These </w:t>
      </w:r>
      <w:r w:rsidR="000859BC" w:rsidRPr="003973FB">
        <w:t>risk cognition</w:t>
      </w:r>
      <w:r w:rsidRPr="003973FB">
        <w:t>s</w:t>
      </w:r>
      <w:r w:rsidR="000859BC" w:rsidRPr="003973FB">
        <w:t xml:space="preserve"> arise suddenly and spontaneously, at least in the first instance</w:t>
      </w:r>
      <w:r w:rsidRPr="003973FB">
        <w:t>,</w:t>
      </w:r>
      <w:r w:rsidR="000859BC" w:rsidRPr="003973FB">
        <w:t xml:space="preserve"> and within a dedicated brain system (</w:t>
      </w:r>
      <w:r w:rsidR="000859BC" w:rsidRPr="00400DCC">
        <w:rPr>
          <w:i/>
        </w:rPr>
        <w:t>System 1</w:t>
      </w:r>
      <w:r w:rsidR="000859BC" w:rsidRPr="009B63B8">
        <w:t xml:space="preserve">), as an affect-laden </w:t>
      </w:r>
      <w:r w:rsidRPr="009B63B8">
        <w:t>response</w:t>
      </w:r>
      <w:r w:rsidR="000859BC" w:rsidRPr="009B63B8">
        <w:t xml:space="preserve"> </w:t>
      </w:r>
      <w:r w:rsidRPr="009B63B8">
        <w:t xml:space="preserve">honed </w:t>
      </w:r>
      <w:r w:rsidR="000859BC" w:rsidRPr="009B63B8">
        <w:t>over evolutionary time and modified through habit-forming individual experience to elicit immediate behavioural responses to imminent threats. Once such stimulation has taken place, a separate brain system (</w:t>
      </w:r>
      <w:r w:rsidR="000859BC" w:rsidRPr="00400DCC">
        <w:rPr>
          <w:i/>
        </w:rPr>
        <w:t>System 2</w:t>
      </w:r>
      <w:r w:rsidR="000859BC" w:rsidRPr="009B63B8">
        <w:t xml:space="preserve">) </w:t>
      </w:r>
      <w:r w:rsidRPr="009B63B8">
        <w:t xml:space="preserve">may </w:t>
      </w:r>
      <w:r w:rsidR="000859BC" w:rsidRPr="009B63B8">
        <w:t>modif</w:t>
      </w:r>
      <w:r w:rsidRPr="009B63B8">
        <w:t>y</w:t>
      </w:r>
      <w:r w:rsidR="000859BC" w:rsidRPr="009B63B8">
        <w:t xml:space="preserve"> and improve risk cognition</w:t>
      </w:r>
      <w:r w:rsidRPr="009B63B8">
        <w:t>s</w:t>
      </w:r>
      <w:r w:rsidR="000859BC" w:rsidRPr="009B63B8">
        <w:t xml:space="preserve"> within conscious awareness through more laborious analysis and evaluation </w:t>
      </w:r>
      <w:r w:rsidRPr="009B63B8">
        <w:t>if</w:t>
      </w:r>
      <w:r w:rsidR="000859BC" w:rsidRPr="009B63B8">
        <w:t xml:space="preserve"> such opportunity is available (Slovic</w:t>
      </w:r>
      <w:r w:rsidR="000859BC" w:rsidRPr="00C2673C">
        <w:t xml:space="preserve"> 2014). </w:t>
      </w:r>
      <w:r w:rsidR="000859BC" w:rsidRPr="00C34D98">
        <w:t xml:space="preserve">Taking stock, </w:t>
      </w:r>
      <w:r w:rsidR="00AF23DF" w:rsidRPr="00C34D98">
        <w:t xml:space="preserve">the use of </w:t>
      </w:r>
      <w:r w:rsidR="000859BC" w:rsidRPr="00C34D98">
        <w:t xml:space="preserve">heuristics strongly implies an imbalanced reliance on the first of these two systems to produce behaviour under problem-solving circumstances </w:t>
      </w:r>
      <w:r w:rsidR="00590F1F" w:rsidRPr="00C34D98">
        <w:t xml:space="preserve">that are </w:t>
      </w:r>
      <w:r w:rsidR="00AF23DF" w:rsidRPr="00C34D98">
        <w:t xml:space="preserve">possibly </w:t>
      </w:r>
      <w:r w:rsidR="000859BC" w:rsidRPr="00C34D98">
        <w:t xml:space="preserve">characterised by anxiety-inducing threat. </w:t>
      </w:r>
      <w:r w:rsidR="00590F1F" w:rsidRPr="00C34D98">
        <w:t>H</w:t>
      </w:r>
      <w:r w:rsidR="000859BC" w:rsidRPr="00C34D98">
        <w:t xml:space="preserve">euristic use is strongly aligned to the time and information </w:t>
      </w:r>
      <w:r w:rsidR="00AF23DF" w:rsidRPr="00C34D98">
        <w:t>scarcity</w:t>
      </w:r>
      <w:r w:rsidR="000859BC" w:rsidRPr="00C34D98">
        <w:t xml:space="preserve"> mentioned earlier</w:t>
      </w:r>
      <w:r w:rsidR="00AF23DF" w:rsidRPr="00C34D98">
        <w:t>, both of which</w:t>
      </w:r>
      <w:r w:rsidR="000859BC" w:rsidRPr="00C34D98">
        <w:t xml:space="preserve"> are commonly recurring constraints upon </w:t>
      </w:r>
      <w:r w:rsidR="007165F4">
        <w:t>decision making</w:t>
      </w:r>
      <w:r w:rsidR="000859BC" w:rsidRPr="00C34D98">
        <w:t xml:space="preserve"> within organisations. </w:t>
      </w:r>
    </w:p>
    <w:p w:rsidR="000859BC" w:rsidRPr="00C34D98" w:rsidRDefault="00590F1F" w:rsidP="000859BC">
      <w:pPr>
        <w:spacing w:line="360" w:lineRule="auto"/>
        <w:ind w:firstLine="720"/>
        <w:jc w:val="both"/>
      </w:pPr>
      <w:r w:rsidRPr="00C34D98">
        <w:t>H</w:t>
      </w:r>
      <w:r w:rsidR="000859BC" w:rsidRPr="00C34D98">
        <w:t xml:space="preserve">euristics are widely used </w:t>
      </w:r>
      <w:r w:rsidR="00AF23DF" w:rsidRPr="00C34D98">
        <w:t>during</w:t>
      </w:r>
      <w:r w:rsidR="000859BC" w:rsidRPr="00C34D98">
        <w:t xml:space="preserve"> </w:t>
      </w:r>
      <w:r w:rsidR="007165F4">
        <w:t>decision making</w:t>
      </w:r>
      <w:r w:rsidR="000859BC" w:rsidRPr="00C34D98">
        <w:t xml:space="preserve"> </w:t>
      </w:r>
      <w:r w:rsidR="00AF23DF" w:rsidRPr="00C34D98">
        <w:t xml:space="preserve">in organisational contexts </w:t>
      </w:r>
      <w:r w:rsidR="000859BC" w:rsidRPr="00C34D98">
        <w:t>(Del Campo et al. 2016)</w:t>
      </w:r>
      <w:r w:rsidR="00243A57" w:rsidRPr="00C34D98">
        <w:t xml:space="preserve">. More so, </w:t>
      </w:r>
      <w:r w:rsidR="000859BC" w:rsidRPr="00C34D98">
        <w:t>the effectiveness and efficiency they offer managers is widely recognised</w:t>
      </w:r>
      <w:r w:rsidRPr="00C34D98">
        <w:t xml:space="preserve"> (Chow 2014)</w:t>
      </w:r>
      <w:r w:rsidR="000859BC" w:rsidRPr="00C34D98">
        <w:t xml:space="preserve">. This ensures </w:t>
      </w:r>
      <w:r w:rsidR="00AF23DF" w:rsidRPr="00C34D98">
        <w:t xml:space="preserve">that </w:t>
      </w:r>
      <w:r w:rsidR="000859BC" w:rsidRPr="00C34D98">
        <w:t xml:space="preserve">their use can be of high professional repute and of considerable academic interest, both of which share a focus on the prospects for further refining usage to optimise decision outcomes (Greenberg </w:t>
      </w:r>
      <w:r w:rsidR="000859BC" w:rsidRPr="00C34D98">
        <w:rPr>
          <w:iCs/>
        </w:rPr>
        <w:t>et al.</w:t>
      </w:r>
      <w:r w:rsidR="000859BC" w:rsidRPr="00C34D98">
        <w:t xml:space="preserve"> 2012).</w:t>
      </w:r>
    </w:p>
    <w:p w:rsidR="009228A1" w:rsidRPr="00C34D98" w:rsidRDefault="009228A1" w:rsidP="009228A1">
      <w:pPr>
        <w:spacing w:line="360" w:lineRule="auto"/>
        <w:jc w:val="both"/>
      </w:pPr>
    </w:p>
    <w:p w:rsidR="009228A1" w:rsidRPr="00C34D98" w:rsidRDefault="009228A1" w:rsidP="009228A1">
      <w:pPr>
        <w:spacing w:line="360" w:lineRule="auto"/>
        <w:jc w:val="both"/>
        <w:rPr>
          <w:i/>
        </w:rPr>
      </w:pPr>
      <w:r w:rsidRPr="00C34D98">
        <w:rPr>
          <w:i/>
        </w:rPr>
        <w:t>1.</w:t>
      </w:r>
      <w:r w:rsidR="00A72D2E" w:rsidRPr="00C34D98">
        <w:rPr>
          <w:i/>
        </w:rPr>
        <w:t>4</w:t>
      </w:r>
      <w:r w:rsidRPr="00C34D98">
        <w:rPr>
          <w:i/>
        </w:rPr>
        <w:t xml:space="preserve"> Heuristics and specification of context</w:t>
      </w:r>
    </w:p>
    <w:p w:rsidR="000859BC" w:rsidRPr="00C34D98" w:rsidRDefault="00746AF1" w:rsidP="009228A1">
      <w:pPr>
        <w:spacing w:line="360" w:lineRule="auto"/>
        <w:jc w:val="both"/>
      </w:pPr>
      <w:r w:rsidRPr="00C34D98">
        <w:t xml:space="preserve">Despite its wide use and acknowledgement, the academic and practitioner agenda on heuristics faces a particular challenge: specification of context. </w:t>
      </w:r>
      <w:r w:rsidR="000859BC" w:rsidRPr="00C34D98">
        <w:t xml:space="preserve">The importance of context as a basis for understanding heuristics use deserves careful attention. Whilst originating in the field of psychology (Tversky </w:t>
      </w:r>
      <w:r w:rsidR="00C017C1" w:rsidRPr="00C34D98">
        <w:t>and</w:t>
      </w:r>
      <w:r w:rsidR="000859BC" w:rsidRPr="00C34D98">
        <w:t xml:space="preserve"> Kahneman 1974), there is evidence for</w:t>
      </w:r>
      <w:r w:rsidR="00D45928" w:rsidRPr="00C34D98">
        <w:t xml:space="preserve"> the</w:t>
      </w:r>
      <w:r w:rsidR="000859BC" w:rsidRPr="00C34D98">
        <w:t xml:space="preserve"> literature</w:t>
      </w:r>
      <w:r w:rsidR="00D45928" w:rsidRPr="00C34D98">
        <w:t xml:space="preserve"> on heuristics</w:t>
      </w:r>
      <w:r w:rsidR="000859BC" w:rsidRPr="00C34D98">
        <w:t xml:space="preserve"> </w:t>
      </w:r>
      <w:r w:rsidR="00D87B0D">
        <w:t xml:space="preserve">is </w:t>
      </w:r>
      <w:r w:rsidR="000859BC" w:rsidRPr="00C34D98">
        <w:t xml:space="preserve">becoming more nuanced between specialist management domains that, potentially, includes logistics and supply chain management (Govindan et al. 2017). Given the prevalence of information-poor and time-poor </w:t>
      </w:r>
      <w:r w:rsidR="002E4DD6">
        <w:t xml:space="preserve">decision </w:t>
      </w:r>
      <w:r w:rsidR="00123EC9">
        <w:t>making</w:t>
      </w:r>
      <w:r w:rsidR="00123EC9" w:rsidRPr="00C34D98">
        <w:t xml:space="preserve"> within</w:t>
      </w:r>
      <w:r w:rsidR="000859BC" w:rsidRPr="00C34D98">
        <w:t xml:space="preserve"> </w:t>
      </w:r>
      <w:r w:rsidR="000859BC" w:rsidRPr="00C34D98">
        <w:lastRenderedPageBreak/>
        <w:t xml:space="preserve">these very broad operational </w:t>
      </w:r>
      <w:r w:rsidR="009F703B" w:rsidRPr="00C34D98">
        <w:t xml:space="preserve">and supply </w:t>
      </w:r>
      <w:r w:rsidR="000859BC" w:rsidRPr="00C34D98">
        <w:t xml:space="preserve">business contexts, heuristics-based solutions do, however, naturally attract concern for their failure to fully satisfy the informational criteria necessary for instrumental </w:t>
      </w:r>
      <w:r w:rsidR="00D45928" w:rsidRPr="00C34D98">
        <w:t xml:space="preserve">rationality </w:t>
      </w:r>
      <w:r w:rsidR="000859BC" w:rsidRPr="00C34D98">
        <w:t xml:space="preserve">(i.e. </w:t>
      </w:r>
      <w:r w:rsidR="00D45928" w:rsidRPr="00C34D98">
        <w:t xml:space="preserve">when the </w:t>
      </w:r>
      <w:r w:rsidR="000859BC" w:rsidRPr="00C34D98">
        <w:t xml:space="preserve">means </w:t>
      </w:r>
      <w:r w:rsidR="00D45928" w:rsidRPr="00C34D98">
        <w:t xml:space="preserve">are </w:t>
      </w:r>
      <w:r w:rsidR="000859BC" w:rsidRPr="00C34D98">
        <w:t xml:space="preserve">logically conjoined to </w:t>
      </w:r>
      <w:r w:rsidR="00D45928" w:rsidRPr="00C34D98">
        <w:t xml:space="preserve">the </w:t>
      </w:r>
      <w:r w:rsidR="000859BC" w:rsidRPr="00C34D98">
        <w:t>ends</w:t>
      </w:r>
      <w:r w:rsidR="00D45928" w:rsidRPr="00C34D98">
        <w:t xml:space="preserve">; </w:t>
      </w:r>
      <w:r w:rsidR="000859BC" w:rsidRPr="00C34D98">
        <w:t>Ariely 2009). Therefore, the need for a critical orientation to the subject matter, in particular</w:t>
      </w:r>
      <w:r w:rsidR="00D45928" w:rsidRPr="00C34D98">
        <w:t>,</w:t>
      </w:r>
      <w:r w:rsidR="000859BC" w:rsidRPr="00C34D98">
        <w:t xml:space="preserve"> entailing careful attention to specifying the precise decision contexts within which heuristics use can be assessed and evaluated</w:t>
      </w:r>
      <w:r w:rsidR="00D45928" w:rsidRPr="00C34D98">
        <w:t>,</w:t>
      </w:r>
      <w:r w:rsidR="000859BC" w:rsidRPr="00C34D98">
        <w:t xml:space="preserve"> is </w:t>
      </w:r>
      <w:r w:rsidR="00C017C1" w:rsidRPr="00C34D98">
        <w:t>the main driver for th</w:t>
      </w:r>
      <w:r w:rsidR="00D45928" w:rsidRPr="00C34D98">
        <w:t>e present</w:t>
      </w:r>
      <w:r w:rsidR="00C017C1" w:rsidRPr="00C34D98">
        <w:t xml:space="preserve"> study</w:t>
      </w:r>
      <w:r w:rsidR="000859BC" w:rsidRPr="00C34D98">
        <w:t xml:space="preserve">. This critical concern with context is commonly expressed with reference to Herbert Simon’s (1990) behavioural scissors metaphor. In presenting the practical rationality of behaviour as a function of both the ‘structure of task environments’ and of the ‘computational capabilities of the actor’, the scissors metaphor invites wariness of behavioural analyses which rely too heavily on only one of these ‘cutting blades’. </w:t>
      </w:r>
    </w:p>
    <w:p w:rsidR="000859BC" w:rsidRPr="00C34D98" w:rsidRDefault="000859BC" w:rsidP="002B7F90">
      <w:pPr>
        <w:spacing w:line="360" w:lineRule="auto"/>
        <w:ind w:firstLine="720"/>
        <w:jc w:val="both"/>
      </w:pPr>
      <w:r w:rsidRPr="00C34D98">
        <w:t xml:space="preserve">In Simon’s (1957) ‘bounded rationality’ expression, the boundedness signified that there are both epistemological and temporal constraints upon rational choice and that the complexity and uniqueness of task environments render it difficult or sometimes impossible to specify prescriptive rules to guide choice. To further sketch out this representation of the behavioural reality emphasising contingent and constantly shifting decision environments, it also becomes important to appreciate that </w:t>
      </w:r>
      <w:r w:rsidR="00BE4AB7" w:rsidRPr="00C34D98">
        <w:t>frontline</w:t>
      </w:r>
      <w:r w:rsidR="003A6E0C" w:rsidRPr="00C34D98">
        <w:t xml:space="preserve"> employee</w:t>
      </w:r>
      <w:r w:rsidR="00BE4AB7" w:rsidRPr="00C34D98">
        <w:t>s</w:t>
      </w:r>
      <w:r w:rsidR="003A6E0C" w:rsidRPr="00C34D98">
        <w:t xml:space="preserve"> </w:t>
      </w:r>
      <w:r w:rsidRPr="00C34D98">
        <w:t xml:space="preserve">may often use heuristics without adequate opportunity to reflect upon and learn from their usage – not even with reference to the simplifying behavioural self-assessment framework of bounded rationality itself. This insight from Simon’s </w:t>
      </w:r>
      <w:r w:rsidR="00A51913">
        <w:t xml:space="preserve">(1957) </w:t>
      </w:r>
      <w:r w:rsidRPr="00C34D98">
        <w:t xml:space="preserve">classic work, taken together with insight from dual process theory, arguably gets us much closer to </w:t>
      </w:r>
      <w:r w:rsidR="002B7F90" w:rsidRPr="00C34D98">
        <w:t>a</w:t>
      </w:r>
      <w:r w:rsidR="00BE4AB7" w:rsidRPr="00C34D98">
        <w:t xml:space="preserve"> frontline employee</w:t>
      </w:r>
      <w:r w:rsidR="002B7F90" w:rsidRPr="00C34D98">
        <w:t xml:space="preserve">-based </w:t>
      </w:r>
      <w:r w:rsidRPr="00C34D98">
        <w:t>behavioural reality for many supply chain</w:t>
      </w:r>
      <w:r w:rsidR="002B7F90" w:rsidRPr="00C34D98">
        <w:t>s</w:t>
      </w:r>
      <w:r w:rsidRPr="00C34D98">
        <w:t xml:space="preserve">. Specifically, that heuristics are likely to be used with very limited self-reflection, which, insofar as this is present, will typically be driven and accompanied by </w:t>
      </w:r>
      <w:r w:rsidR="00D45928" w:rsidRPr="00C34D98">
        <w:t xml:space="preserve">potential </w:t>
      </w:r>
      <w:r w:rsidRPr="00C34D98">
        <w:t xml:space="preserve">anxieties that </w:t>
      </w:r>
      <w:r w:rsidR="00BE4AB7" w:rsidRPr="00C34D98">
        <w:t xml:space="preserve">frontline </w:t>
      </w:r>
      <w:r w:rsidR="003E5994" w:rsidRPr="00C34D98">
        <w:t xml:space="preserve">employees </w:t>
      </w:r>
      <w:r w:rsidRPr="00C34D98">
        <w:t xml:space="preserve">will seek to extricate themselves from </w:t>
      </w:r>
      <w:r w:rsidR="00D45928" w:rsidRPr="00C34D98">
        <w:t xml:space="preserve">during </w:t>
      </w:r>
      <w:r w:rsidRPr="00C34D98">
        <w:t>their decisions. Over time, such decisions may become habitual in character and, therefore, amenable to capture by researchers. Where there is a repetitive element to heuristics use, the formation of unreflective habits is clearly an important consideration, and this is indeed recognised within the literature</w:t>
      </w:r>
      <w:r w:rsidR="002B7F90" w:rsidRPr="00C34D98">
        <w:t xml:space="preserve"> (</w:t>
      </w:r>
      <w:r w:rsidR="008A512E">
        <w:t xml:space="preserve">see for example, </w:t>
      </w:r>
      <w:r w:rsidR="00B441FD" w:rsidRPr="00C34D98">
        <w:t>Marien</w:t>
      </w:r>
      <w:r w:rsidR="00475E06" w:rsidRPr="00C34D98">
        <w:t xml:space="preserve"> et al. 2018)</w:t>
      </w:r>
      <w:r w:rsidRPr="00C34D98">
        <w:t xml:space="preserve">. </w:t>
      </w:r>
    </w:p>
    <w:p w:rsidR="000859BC" w:rsidRPr="00C34D98" w:rsidRDefault="000859BC" w:rsidP="000859BC">
      <w:pPr>
        <w:spacing w:line="360" w:lineRule="auto"/>
        <w:ind w:firstLine="720"/>
        <w:jc w:val="both"/>
      </w:pPr>
      <w:r w:rsidRPr="00C34D98">
        <w:t xml:space="preserve">Heuristics are very commonly theorised as habits of mind for dealing with familiar and recurring problems. This infers less anxiety and more enthusiasm within the emotional experiences accompanying their use. Looking from this perspective, a well-known general concern is that habitual use of heuristics within repeating decision contexts can produce systematically biased judgements (Tversky </w:t>
      </w:r>
      <w:r w:rsidR="00475E06" w:rsidRPr="00C34D98">
        <w:t>and</w:t>
      </w:r>
      <w:r w:rsidRPr="00C34D98">
        <w:t xml:space="preserve"> Kahneman 1974). Furthermore, </w:t>
      </w:r>
      <w:r w:rsidR="00475E06" w:rsidRPr="00C34D98">
        <w:t xml:space="preserve">the literature observes that </w:t>
      </w:r>
      <w:r w:rsidR="00DE75DC">
        <w:t>some</w:t>
      </w:r>
      <w:r w:rsidRPr="00C34D98">
        <w:t xml:space="preserve"> heuristic</w:t>
      </w:r>
      <w:r w:rsidR="00DE75DC">
        <w:t>s are</w:t>
      </w:r>
      <w:r w:rsidRPr="00C34D98">
        <w:t xml:space="preserve"> also </w:t>
      </w:r>
      <w:r w:rsidR="00730402" w:rsidRPr="00C34D98">
        <w:t xml:space="preserve">considered </w:t>
      </w:r>
      <w:r w:rsidRPr="00C34D98">
        <w:t>as a bias</w:t>
      </w:r>
      <w:r w:rsidR="00475E06" w:rsidRPr="00C34D98">
        <w:t xml:space="preserve"> (Tversky and Kahneman 1982) and</w:t>
      </w:r>
      <w:r w:rsidRPr="00C34D98">
        <w:t xml:space="preserve"> </w:t>
      </w:r>
      <w:r w:rsidR="00DE75DC">
        <w:t xml:space="preserve">this </w:t>
      </w:r>
      <w:r w:rsidRPr="00C34D98">
        <w:t xml:space="preserve">has presaged ongoing dispute as to how these two very closely related concepts </w:t>
      </w:r>
      <w:r w:rsidR="00DE75DC">
        <w:t xml:space="preserve">(‘heuristics’ and ‘biases’) </w:t>
      </w:r>
      <w:r w:rsidRPr="00C34D98">
        <w:t>are best differentiated. In some research</w:t>
      </w:r>
      <w:r w:rsidR="00DE75DC">
        <w:t>,</w:t>
      </w:r>
      <w:r w:rsidRPr="00C34D98">
        <w:t xml:space="preserve"> </w:t>
      </w:r>
      <w:r w:rsidR="00475E06" w:rsidRPr="00C34D98">
        <w:t xml:space="preserve">such as </w:t>
      </w:r>
      <w:r w:rsidRPr="00C34D98">
        <w:t xml:space="preserve">Busenitz </w:t>
      </w:r>
      <w:r w:rsidR="00475E06" w:rsidRPr="00C34D98">
        <w:t>and</w:t>
      </w:r>
      <w:r w:rsidRPr="00C34D98">
        <w:t xml:space="preserve"> Barney</w:t>
      </w:r>
      <w:r w:rsidR="00475E06" w:rsidRPr="00C34D98">
        <w:t xml:space="preserve"> (</w:t>
      </w:r>
      <w:r w:rsidRPr="00C34D98">
        <w:t>1997)</w:t>
      </w:r>
      <w:r w:rsidR="00475E06" w:rsidRPr="00C34D98">
        <w:t xml:space="preserve">, </w:t>
      </w:r>
      <w:r w:rsidRPr="00C34D98">
        <w:t xml:space="preserve">the two terms are constantly juxtaposed as substitution instances. Perhaps the most compelling case for using the term ‘bias’ alone is where uses of heuristics produce erroneous estimates </w:t>
      </w:r>
      <w:r w:rsidR="007A3CE0" w:rsidRPr="00C34D98">
        <w:lastRenderedPageBreak/>
        <w:t>that exhibit</w:t>
      </w:r>
      <w:r w:rsidRPr="00C34D98">
        <w:t xml:space="preserve"> overconfidence (Liu et al. 2018).</w:t>
      </w:r>
      <w:r w:rsidR="007A3CE0" w:rsidRPr="00C34D98">
        <w:t xml:space="preserve"> In other words, not only can individuals make systematically erroneous judgments as a result of using heuristics, but his/her conviction that the judgment is accurate</w:t>
      </w:r>
      <w:r w:rsidRPr="00C34D98">
        <w:t xml:space="preserve"> </w:t>
      </w:r>
      <w:r w:rsidR="007A3CE0" w:rsidRPr="00C34D98">
        <w:t xml:space="preserve">can be deemed a ‘bias’ because its perceived veridicality is skewed by a subjective belief. </w:t>
      </w:r>
    </w:p>
    <w:p w:rsidR="000859BC" w:rsidRPr="00C34D98" w:rsidRDefault="000859BC" w:rsidP="000859BC">
      <w:pPr>
        <w:spacing w:line="360" w:lineRule="auto"/>
        <w:ind w:firstLine="720"/>
        <w:jc w:val="both"/>
      </w:pPr>
      <w:r w:rsidRPr="00C34D98">
        <w:t xml:space="preserve">To </w:t>
      </w:r>
      <w:r w:rsidR="00B6701E" w:rsidRPr="00C34D98">
        <w:t>summa</w:t>
      </w:r>
      <w:r w:rsidR="00B61678" w:rsidRPr="00C34D98">
        <w:t>rise</w:t>
      </w:r>
      <w:r w:rsidRPr="00C34D98">
        <w:t xml:space="preserve">, it can be argued that effective use of heuristics hinges on recognising </w:t>
      </w:r>
      <w:r w:rsidR="00A503D0" w:rsidRPr="00C34D98">
        <w:t>uncertainty, which</w:t>
      </w:r>
      <w:r w:rsidR="002E6B46" w:rsidRPr="00C34D98">
        <w:t xml:space="preserve"> is </w:t>
      </w:r>
      <w:r w:rsidRPr="00C34D98">
        <w:t>often represented as variability</w:t>
      </w:r>
      <w:r w:rsidR="002E6B46" w:rsidRPr="00C34D98">
        <w:t xml:space="preserve"> (</w:t>
      </w:r>
      <w:r w:rsidRPr="00C34D98">
        <w:t>see Flynn et al. 2016)</w:t>
      </w:r>
      <w:r w:rsidR="002E6B46" w:rsidRPr="00C34D98">
        <w:t>. Furthermore, much</w:t>
      </w:r>
      <w:r w:rsidRPr="00C34D98">
        <w:t xml:space="preserve"> literature </w:t>
      </w:r>
      <w:r w:rsidR="00B61678" w:rsidRPr="00C34D98">
        <w:t>recognises</w:t>
      </w:r>
      <w:r w:rsidRPr="00C34D98">
        <w:t xml:space="preserve"> </w:t>
      </w:r>
      <w:r w:rsidR="00B61678" w:rsidRPr="00C34D98">
        <w:t xml:space="preserve">that </w:t>
      </w:r>
      <w:r w:rsidR="002E6B46" w:rsidRPr="00C34D98">
        <w:t xml:space="preserve">such uncertainty </w:t>
      </w:r>
      <w:r w:rsidR="00B61678" w:rsidRPr="00C34D98">
        <w:t xml:space="preserve">is </w:t>
      </w:r>
      <w:r w:rsidRPr="00C34D98">
        <w:t xml:space="preserve">prevalent within supply chains </w:t>
      </w:r>
      <w:r w:rsidR="008A512E">
        <w:t>(</w:t>
      </w:r>
      <w:r w:rsidRPr="00C34D98">
        <w:t xml:space="preserve">Gadde </w:t>
      </w:r>
      <w:r w:rsidR="002E6B46" w:rsidRPr="00C34D98">
        <w:t>and</w:t>
      </w:r>
      <w:r w:rsidRPr="00C34D98">
        <w:t xml:space="preserve"> Wynstra 2018). </w:t>
      </w:r>
    </w:p>
    <w:p w:rsidR="000859BC" w:rsidRPr="00C34D98" w:rsidRDefault="000859BC" w:rsidP="000859BC">
      <w:pPr>
        <w:spacing w:line="360" w:lineRule="auto"/>
        <w:jc w:val="both"/>
      </w:pPr>
    </w:p>
    <w:p w:rsidR="00DD019D" w:rsidRPr="00C34D98" w:rsidRDefault="00DD019D" w:rsidP="00144B1B">
      <w:pPr>
        <w:spacing w:line="360" w:lineRule="auto"/>
        <w:jc w:val="both"/>
        <w:rPr>
          <w:i/>
        </w:rPr>
      </w:pPr>
      <w:r w:rsidRPr="00C34D98">
        <w:rPr>
          <w:i/>
        </w:rPr>
        <w:t>1.</w:t>
      </w:r>
      <w:r w:rsidR="00A72D2E" w:rsidRPr="00C34D98">
        <w:rPr>
          <w:i/>
        </w:rPr>
        <w:t>5</w:t>
      </w:r>
      <w:r w:rsidRPr="00C34D98">
        <w:rPr>
          <w:i/>
        </w:rPr>
        <w:t xml:space="preserve"> The research question</w:t>
      </w:r>
    </w:p>
    <w:p w:rsidR="000859BC" w:rsidRPr="00C34D98" w:rsidRDefault="000F6D85" w:rsidP="000F6D85">
      <w:pPr>
        <w:spacing w:line="360" w:lineRule="auto"/>
        <w:jc w:val="both"/>
      </w:pPr>
      <w:r w:rsidRPr="00C34D98">
        <w:t xml:space="preserve">Taking stock, the present study regards the frontline employee as being largely responsible for daily management decisions of various kinds that have substantial implications across the supply chain. </w:t>
      </w:r>
      <w:r w:rsidR="00396301" w:rsidRPr="00C34D98">
        <w:t>T</w:t>
      </w:r>
      <w:r w:rsidR="00BD5EC9" w:rsidRPr="00C34D98">
        <w:t xml:space="preserve">he literature </w:t>
      </w:r>
      <w:r w:rsidR="00396301" w:rsidRPr="00C34D98">
        <w:t xml:space="preserve">indicates </w:t>
      </w:r>
      <w:r w:rsidR="00BD5EC9" w:rsidRPr="00C34D98">
        <w:t xml:space="preserve">that for frontline employees (at the lowest competent level) to be able to proactively respond to customer needs, supply chain organisations must be willing to create the right conditions that allows for delegation of the necessary </w:t>
      </w:r>
      <w:r w:rsidR="00CD1200" w:rsidRPr="00C34D98">
        <w:t xml:space="preserve">discretional </w:t>
      </w:r>
      <w:r w:rsidR="00BD5EC9" w:rsidRPr="00C34D98">
        <w:t>decisional authority</w:t>
      </w:r>
      <w:r w:rsidR="00CD1200" w:rsidRPr="00C34D98">
        <w:t xml:space="preserve">. Such authority </w:t>
      </w:r>
      <w:r w:rsidR="00ED6792">
        <w:t>may</w:t>
      </w:r>
      <w:r w:rsidR="00CD1200" w:rsidRPr="00C34D98">
        <w:t xml:space="preserve"> allow frontline employees to </w:t>
      </w:r>
      <w:r w:rsidR="00BD5EC9" w:rsidRPr="00C34D98">
        <w:t xml:space="preserve">shape the nature and context of decisions </w:t>
      </w:r>
      <w:r w:rsidR="00CD1200" w:rsidRPr="00C34D98">
        <w:t xml:space="preserve">they </w:t>
      </w:r>
      <w:r w:rsidR="00BD5EC9" w:rsidRPr="00C34D98">
        <w:t>ma</w:t>
      </w:r>
      <w:r w:rsidR="00CD1200" w:rsidRPr="00C34D98">
        <w:t>ke</w:t>
      </w:r>
      <w:r w:rsidR="00BD5EC9" w:rsidRPr="00C34D98">
        <w:t xml:space="preserve"> on behalf of the organisation (Ellinger et al. 2010). </w:t>
      </w:r>
      <w:r w:rsidR="00317455" w:rsidRPr="00C34D98">
        <w:t xml:space="preserve">However, </w:t>
      </w:r>
      <w:r w:rsidR="00E919D2" w:rsidRPr="00C34D98">
        <w:t xml:space="preserve">it is anticipated that in naturalistic organisation contexts </w:t>
      </w:r>
      <w:r w:rsidR="00317455" w:rsidRPr="00C34D98">
        <w:t xml:space="preserve">these decisions </w:t>
      </w:r>
      <w:r w:rsidR="00E919D2" w:rsidRPr="00C34D98">
        <w:t>may</w:t>
      </w:r>
      <w:r w:rsidR="00317455" w:rsidRPr="00C34D98">
        <w:t xml:space="preserve"> </w:t>
      </w:r>
      <w:r w:rsidR="00E919D2" w:rsidRPr="00C34D98">
        <w:t xml:space="preserve">often </w:t>
      </w:r>
      <w:r w:rsidR="00317455" w:rsidRPr="00C34D98">
        <w:t xml:space="preserve">be impugned by </w:t>
      </w:r>
      <w:r w:rsidR="00E919D2" w:rsidRPr="00C34D98">
        <w:t xml:space="preserve">the </w:t>
      </w:r>
      <w:r w:rsidR="00317455" w:rsidRPr="00C34D98">
        <w:t>bias</w:t>
      </w:r>
      <w:r w:rsidR="00E919D2" w:rsidRPr="00C34D98">
        <w:t xml:space="preserve"> that can result from ‘bounded rationality’</w:t>
      </w:r>
      <w:r w:rsidR="00317455" w:rsidRPr="00C34D98">
        <w:t xml:space="preserve">. </w:t>
      </w:r>
      <w:r w:rsidR="00E919D2" w:rsidRPr="00C34D98">
        <w:t>This is because</w:t>
      </w:r>
      <w:r w:rsidR="00317455" w:rsidRPr="00C34D98">
        <w:t xml:space="preserve"> ‘bounded rationality’ </w:t>
      </w:r>
      <w:r w:rsidR="00E919D2" w:rsidRPr="00C34D98">
        <w:t>elicits</w:t>
      </w:r>
      <w:r w:rsidR="00317455" w:rsidRPr="00C34D98">
        <w:t xml:space="preserve"> </w:t>
      </w:r>
      <w:r w:rsidR="00E919D2" w:rsidRPr="00C34D98">
        <w:t xml:space="preserve">a reliance on </w:t>
      </w:r>
      <w:r w:rsidR="00317455" w:rsidRPr="00C34D98">
        <w:t>heuristic t</w:t>
      </w:r>
      <w:r w:rsidR="00E919D2" w:rsidRPr="00C34D98">
        <w:t>hat</w:t>
      </w:r>
      <w:r w:rsidR="00317455" w:rsidRPr="00C34D98">
        <w:t xml:space="preserve"> </w:t>
      </w:r>
      <w:r w:rsidR="00E919D2" w:rsidRPr="00C34D98">
        <w:t xml:space="preserve">then </w:t>
      </w:r>
      <w:r w:rsidR="00317455" w:rsidRPr="00C34D98">
        <w:t>become a rough and broadly applied practice-based principle that emerge</w:t>
      </w:r>
      <w:r w:rsidR="00E919D2" w:rsidRPr="00C34D98">
        <w:t>s</w:t>
      </w:r>
      <w:r w:rsidR="00317455" w:rsidRPr="00C34D98">
        <w:t xml:space="preserve"> behaviourally within the near-chaos of everyday non-routine frontline employee experience. </w:t>
      </w:r>
      <w:r w:rsidR="00AE483B" w:rsidRPr="00C34D98">
        <w:t xml:space="preserve">However, there is little </w:t>
      </w:r>
      <w:r w:rsidR="00317455" w:rsidRPr="00C34D98">
        <w:t xml:space="preserve">research </w:t>
      </w:r>
      <w:r w:rsidR="00AE483B" w:rsidRPr="00C34D98">
        <w:t xml:space="preserve">that has </w:t>
      </w:r>
      <w:r w:rsidR="00317455" w:rsidRPr="00C34D98">
        <w:t xml:space="preserve">specifically focused on heuristic </w:t>
      </w:r>
      <w:r w:rsidR="00F23C61" w:rsidRPr="00C34D98">
        <w:t xml:space="preserve">and overconfidence </w:t>
      </w:r>
      <w:r w:rsidR="00317455" w:rsidRPr="00C34D98">
        <w:t xml:space="preserve">among </w:t>
      </w:r>
      <w:r w:rsidR="00F23C61" w:rsidRPr="00C34D98">
        <w:t xml:space="preserve">frontline </w:t>
      </w:r>
      <w:r w:rsidR="00317455" w:rsidRPr="00C34D98">
        <w:t>employees of supply chain organisations.</w:t>
      </w:r>
      <w:r w:rsidR="00F23C61" w:rsidRPr="00C34D98">
        <w:t xml:space="preserve"> </w:t>
      </w:r>
      <w:r w:rsidRPr="00C34D98">
        <w:t>Yet, the</w:t>
      </w:r>
      <w:r w:rsidR="00B105D1">
        <w:t>ir</w:t>
      </w:r>
      <w:r w:rsidRPr="00C34D98">
        <w:t xml:space="preserve"> use of heuristics may be regularly repeated and, therefore, ‘prevalent’ within their workaday lives. </w:t>
      </w:r>
      <w:r w:rsidR="005216BB" w:rsidRPr="00C34D98">
        <w:t xml:space="preserve">Thus, in light of calls for an increase in studies exploring the decisions made by supply chain </w:t>
      </w:r>
      <w:r w:rsidR="00AE483B" w:rsidRPr="00C34D98">
        <w:t>employees</w:t>
      </w:r>
      <w:r w:rsidR="005216BB" w:rsidRPr="00C34D98">
        <w:t xml:space="preserve"> (see, Katsikopoulos and Gigerenzer 2013)</w:t>
      </w:r>
      <w:r w:rsidR="00ED6792">
        <w:t>,</w:t>
      </w:r>
      <w:r w:rsidR="005216BB" w:rsidRPr="00C34D98">
        <w:t xml:space="preserve"> we present a </w:t>
      </w:r>
      <w:r w:rsidR="00AE483B" w:rsidRPr="00C34D98">
        <w:t xml:space="preserve">study that addresses the following </w:t>
      </w:r>
      <w:r w:rsidR="005216BB" w:rsidRPr="00C34D98">
        <w:t>r</w:t>
      </w:r>
      <w:r w:rsidR="00CD1200" w:rsidRPr="00C34D98">
        <w:t>esearch question</w:t>
      </w:r>
      <w:r w:rsidR="000859BC" w:rsidRPr="00C34D98">
        <w:t>:</w:t>
      </w:r>
    </w:p>
    <w:p w:rsidR="000859BC" w:rsidRPr="00C34D98" w:rsidRDefault="000859BC" w:rsidP="000859BC">
      <w:pPr>
        <w:spacing w:line="360" w:lineRule="auto"/>
        <w:ind w:firstLine="720"/>
        <w:jc w:val="both"/>
      </w:pPr>
    </w:p>
    <w:p w:rsidR="000859BC" w:rsidRPr="00C34D98" w:rsidRDefault="000859BC" w:rsidP="000859BC">
      <w:pPr>
        <w:spacing w:line="360" w:lineRule="auto"/>
        <w:ind w:left="720"/>
        <w:jc w:val="both"/>
        <w:rPr>
          <w:i/>
        </w:rPr>
      </w:pPr>
      <w:r w:rsidRPr="00C34D98">
        <w:rPr>
          <w:i/>
        </w:rPr>
        <w:t xml:space="preserve">How prevalent are heuristics </w:t>
      </w:r>
      <w:r w:rsidR="00060B17" w:rsidRPr="00C34D98">
        <w:rPr>
          <w:i/>
        </w:rPr>
        <w:t xml:space="preserve">and overconfidence </w:t>
      </w:r>
      <w:r w:rsidR="00096915" w:rsidRPr="00C34D98">
        <w:rPr>
          <w:i/>
        </w:rPr>
        <w:t xml:space="preserve">bias </w:t>
      </w:r>
      <w:r w:rsidRPr="00C34D98">
        <w:rPr>
          <w:i/>
        </w:rPr>
        <w:t xml:space="preserve">in the </w:t>
      </w:r>
      <w:r w:rsidR="007165F4">
        <w:rPr>
          <w:i/>
        </w:rPr>
        <w:t>decision making</w:t>
      </w:r>
      <w:r w:rsidRPr="00C34D98">
        <w:rPr>
          <w:i/>
        </w:rPr>
        <w:t xml:space="preserve"> of frontline </w:t>
      </w:r>
      <w:r w:rsidR="004C36D7" w:rsidRPr="00C34D98">
        <w:rPr>
          <w:i/>
        </w:rPr>
        <w:t xml:space="preserve">employees </w:t>
      </w:r>
      <w:r w:rsidRPr="00C34D98">
        <w:rPr>
          <w:i/>
        </w:rPr>
        <w:t xml:space="preserve">within </w:t>
      </w:r>
      <w:r w:rsidR="007E28B0" w:rsidRPr="007E28B0">
        <w:rPr>
          <w:i/>
        </w:rPr>
        <w:t>complex multi-stakeholder supply chain organisations</w:t>
      </w:r>
      <w:r w:rsidRPr="00C34D98">
        <w:rPr>
          <w:i/>
        </w:rPr>
        <w:t>?</w:t>
      </w:r>
    </w:p>
    <w:p w:rsidR="00526E76" w:rsidRPr="00C34D98" w:rsidRDefault="00526E76" w:rsidP="00A72D2E">
      <w:pPr>
        <w:spacing w:line="360" w:lineRule="auto"/>
        <w:jc w:val="both"/>
      </w:pPr>
    </w:p>
    <w:p w:rsidR="000859BC" w:rsidRPr="00C34D98" w:rsidRDefault="00D80902" w:rsidP="000859BC">
      <w:pPr>
        <w:spacing w:line="360" w:lineRule="auto"/>
        <w:jc w:val="both"/>
        <w:rPr>
          <w:u w:val="single"/>
        </w:rPr>
      </w:pPr>
      <w:r w:rsidRPr="00C34D98">
        <w:rPr>
          <w:b/>
        </w:rPr>
        <w:t>2. Review of the literature</w:t>
      </w:r>
    </w:p>
    <w:p w:rsidR="000859BC" w:rsidRPr="00C34D98" w:rsidRDefault="00847C91" w:rsidP="000859BC">
      <w:pPr>
        <w:spacing w:line="360" w:lineRule="auto"/>
        <w:jc w:val="both"/>
        <w:rPr>
          <w:i/>
        </w:rPr>
      </w:pPr>
      <w:r w:rsidRPr="00C34D98">
        <w:rPr>
          <w:i/>
        </w:rPr>
        <w:t>2.</w:t>
      </w:r>
      <w:r w:rsidR="00B55258" w:rsidRPr="00C34D98">
        <w:rPr>
          <w:i/>
        </w:rPr>
        <w:t>1</w:t>
      </w:r>
      <w:r w:rsidR="00D80902" w:rsidRPr="00C34D98">
        <w:rPr>
          <w:i/>
        </w:rPr>
        <w:t xml:space="preserve"> </w:t>
      </w:r>
      <w:r w:rsidR="00CB63A0" w:rsidRPr="00C34D98">
        <w:rPr>
          <w:i/>
        </w:rPr>
        <w:t>The a</w:t>
      </w:r>
      <w:r w:rsidR="000859BC" w:rsidRPr="00C34D98">
        <w:rPr>
          <w:i/>
        </w:rPr>
        <w:t xml:space="preserve">nchoring </w:t>
      </w:r>
      <w:r w:rsidR="00697C52" w:rsidRPr="00C34D98">
        <w:rPr>
          <w:i/>
        </w:rPr>
        <w:t>h</w:t>
      </w:r>
      <w:r w:rsidR="000859BC" w:rsidRPr="00C34D98">
        <w:rPr>
          <w:i/>
        </w:rPr>
        <w:t>euristic</w:t>
      </w:r>
    </w:p>
    <w:p w:rsidR="0044266C" w:rsidRDefault="000859BC" w:rsidP="003E04C7">
      <w:pPr>
        <w:spacing w:line="360" w:lineRule="auto"/>
        <w:jc w:val="both"/>
      </w:pPr>
      <w:r w:rsidRPr="00C34D98">
        <w:t>Research on biases in subjective judgments in supply chains is widespread (</w:t>
      </w:r>
      <w:r w:rsidR="008A512E">
        <w:t xml:space="preserve">see for example, </w:t>
      </w:r>
      <w:r w:rsidR="00493E0C" w:rsidRPr="00C34D98">
        <w:t>Arvan et al. 2019</w:t>
      </w:r>
      <w:r w:rsidRPr="00C34D98">
        <w:t xml:space="preserve">). Originally </w:t>
      </w:r>
      <w:r w:rsidR="00B26898" w:rsidRPr="00C34D98">
        <w:t xml:space="preserve">applied to judgment under uncertainty </w:t>
      </w:r>
      <w:r w:rsidRPr="00C34D98">
        <w:t xml:space="preserve">by Tversky and Kahneman (1974), the anchoring and adjustment heuristic </w:t>
      </w:r>
      <w:r w:rsidR="00645540" w:rsidRPr="00C34D98">
        <w:t xml:space="preserve">is seen to be one of the most </w:t>
      </w:r>
      <w:r w:rsidR="007E1677" w:rsidRPr="00C34D98">
        <w:t>widely recognised</w:t>
      </w:r>
      <w:r w:rsidR="00645540" w:rsidRPr="00C34D98">
        <w:t xml:space="preserve"> cognitive heuristics</w:t>
      </w:r>
      <w:r w:rsidR="007E1677" w:rsidRPr="00C34D98">
        <w:t xml:space="preserve"> (</w:t>
      </w:r>
      <w:r w:rsidR="00645540" w:rsidRPr="00C34D98">
        <w:t>Furnham and Boo</w:t>
      </w:r>
      <w:r w:rsidR="007E1677" w:rsidRPr="00C34D98">
        <w:t xml:space="preserve"> 2011). </w:t>
      </w:r>
    </w:p>
    <w:p w:rsidR="002F2E56" w:rsidRPr="00C34D98" w:rsidRDefault="007E1677" w:rsidP="007165F4">
      <w:pPr>
        <w:spacing w:line="360" w:lineRule="auto"/>
        <w:ind w:firstLine="720"/>
        <w:jc w:val="both"/>
      </w:pPr>
      <w:r w:rsidRPr="00C34D98">
        <w:lastRenderedPageBreak/>
        <w:t xml:space="preserve">The anchoring and adjustment heuristic </w:t>
      </w:r>
      <w:r w:rsidR="000859BC" w:rsidRPr="00C34D98">
        <w:t>refers to a decision maker’s propensity to make judgements that are biased toward an initial reference point</w:t>
      </w:r>
      <w:r w:rsidR="00EE47A8" w:rsidRPr="00C34D98">
        <w:t xml:space="preserve"> that </w:t>
      </w:r>
      <w:r w:rsidR="000859BC" w:rsidRPr="00C34D98">
        <w:t xml:space="preserve">is typically </w:t>
      </w:r>
      <w:r w:rsidR="00EE47A8" w:rsidRPr="00C34D98">
        <w:t xml:space="preserve">of an </w:t>
      </w:r>
      <w:r w:rsidR="000859BC" w:rsidRPr="00C34D98">
        <w:t>ambiguous or questionable</w:t>
      </w:r>
      <w:r w:rsidR="00EE47A8" w:rsidRPr="00C34D98">
        <w:t xml:space="preserve"> nature</w:t>
      </w:r>
      <w:r w:rsidR="000859BC" w:rsidRPr="00C34D98">
        <w:t xml:space="preserve"> (</w:t>
      </w:r>
      <w:r w:rsidR="00D80902" w:rsidRPr="00C34D98">
        <w:t>Cheek and Norem 2017</w:t>
      </w:r>
      <w:r w:rsidR="000859BC" w:rsidRPr="00C34D98">
        <w:t xml:space="preserve">). Whilst much </w:t>
      </w:r>
      <w:r w:rsidR="00D80902" w:rsidRPr="00C34D98">
        <w:t>anchoring research has focused on probability estimation and general knowledge, its effect is deemed to be observed across a variety of decision domains such as economic valuation (Northcraft and Neale 1987), consumer purchasing (Bergman et al. 2010), strategic acquisition (Malhotra et al</w:t>
      </w:r>
      <w:r w:rsidR="00096915" w:rsidRPr="00C34D98">
        <w:t>.</w:t>
      </w:r>
      <w:r w:rsidR="00D80902" w:rsidRPr="00C34D98">
        <w:t xml:space="preserve"> 2015) and judicial opinions (Englich et al. 2006). </w:t>
      </w:r>
      <w:r w:rsidR="00E873D3" w:rsidRPr="00C34D98">
        <w:t>A review of the literature suggests that there are a number of different factors that can impact upon the anchoring heuristic</w:t>
      </w:r>
      <w:r w:rsidR="003D3786" w:rsidRPr="00C34D98">
        <w:t xml:space="preserve"> (</w:t>
      </w:r>
      <w:r w:rsidR="004D0631" w:rsidRPr="00C34D98">
        <w:t>Furnham and Boo 2011). These include</w:t>
      </w:r>
      <w:r w:rsidR="00EE47A8" w:rsidRPr="00C34D98">
        <w:t>,</w:t>
      </w:r>
      <w:r w:rsidR="004D0631" w:rsidRPr="00C34D98">
        <w:t xml:space="preserve"> </w:t>
      </w:r>
      <w:r w:rsidR="003E04C7" w:rsidRPr="00C34D98">
        <w:t xml:space="preserve">for example, </w:t>
      </w:r>
      <w:r w:rsidR="004D0631" w:rsidRPr="00C34D98">
        <w:t>emotions and m</w:t>
      </w:r>
      <w:r w:rsidR="00E873D3" w:rsidRPr="00C34D98">
        <w:t>ood</w:t>
      </w:r>
      <w:r w:rsidR="004D0631" w:rsidRPr="00C34D98">
        <w:t xml:space="preserve"> – whereby </w:t>
      </w:r>
      <w:r w:rsidR="00EE47A8" w:rsidRPr="00C34D98">
        <w:t>actors</w:t>
      </w:r>
      <w:r w:rsidR="00DC1A24" w:rsidRPr="00C34D98">
        <w:t xml:space="preserve"> in a sad mood</w:t>
      </w:r>
      <w:r w:rsidR="004D0631" w:rsidRPr="00C34D98">
        <w:t xml:space="preserve"> are more likely to </w:t>
      </w:r>
      <w:r w:rsidR="00DC1A24" w:rsidRPr="00C34D98">
        <w:t>be vulnerable to</w:t>
      </w:r>
      <w:r w:rsidR="00E873D3" w:rsidRPr="00C34D98">
        <w:t xml:space="preserve"> anchoring </w:t>
      </w:r>
      <w:r w:rsidR="00DC1A24" w:rsidRPr="00C34D98">
        <w:t xml:space="preserve">when compared to others who are in a </w:t>
      </w:r>
      <w:r w:rsidR="00E873D3" w:rsidRPr="00C34D98">
        <w:t>happy mood</w:t>
      </w:r>
      <w:r w:rsidR="00DC1A24" w:rsidRPr="00C34D98">
        <w:t xml:space="preserve"> (Englich and Soder 2009)</w:t>
      </w:r>
      <w:r w:rsidR="00E873D3" w:rsidRPr="00C34D98">
        <w:t xml:space="preserve">. </w:t>
      </w:r>
      <w:r w:rsidR="00EE47A8" w:rsidRPr="00C34D98">
        <w:t>This may be because when</w:t>
      </w:r>
      <w:r w:rsidR="003E04C7" w:rsidRPr="00C34D98">
        <w:t xml:space="preserve"> individuals are sad, they expend more effort processing information</w:t>
      </w:r>
      <w:r w:rsidR="00EE47A8" w:rsidRPr="00C34D98">
        <w:t xml:space="preserve"> and, therefore, may be more likely to identify information that can become anchors</w:t>
      </w:r>
      <w:r w:rsidR="003E04C7" w:rsidRPr="00C34D98">
        <w:t xml:space="preserve">. </w:t>
      </w:r>
      <w:r w:rsidR="00EE47A8" w:rsidRPr="00C34D98">
        <w:t>Relatedly</w:t>
      </w:r>
      <w:r w:rsidR="003E04C7" w:rsidRPr="00C34D98">
        <w:t>, the anchoring effect can be experienced by those with high level of knowledge (and by implication, expertise</w:t>
      </w:r>
      <w:r w:rsidR="00EE47A8" w:rsidRPr="00C34D98">
        <w:t>) because they may readily identify more anchors (Englich and Soder 2009)</w:t>
      </w:r>
      <w:r w:rsidR="003E04C7" w:rsidRPr="00C34D98">
        <w:t xml:space="preserve">. </w:t>
      </w:r>
      <w:r w:rsidR="00C06CE9">
        <w:t xml:space="preserve">For example, </w:t>
      </w:r>
      <w:r w:rsidR="003E04C7" w:rsidRPr="00C34D98">
        <w:t>Englich et al. (2006) f</w:t>
      </w:r>
      <w:r w:rsidR="00EE47A8" w:rsidRPr="00C34D98">
        <w:t>ound</w:t>
      </w:r>
      <w:r w:rsidR="003E04C7" w:rsidRPr="00C34D98">
        <w:t xml:space="preserve"> evidence of the anchoring heuristic among judges with very high level of expertise. </w:t>
      </w:r>
      <w:r w:rsidR="00C06CE9">
        <w:t>A</w:t>
      </w:r>
      <w:r w:rsidR="003E04C7" w:rsidRPr="00C34D98">
        <w:t xml:space="preserve">gain, it </w:t>
      </w:r>
      <w:r w:rsidR="00C06CE9">
        <w:t>can be</w:t>
      </w:r>
      <w:r w:rsidR="003E04C7" w:rsidRPr="00C34D98">
        <w:t xml:space="preserve"> inferred that those with high level</w:t>
      </w:r>
      <w:r w:rsidR="00F4677C">
        <w:t>s</w:t>
      </w:r>
      <w:r w:rsidR="003E04C7" w:rsidRPr="00C34D98">
        <w:t xml:space="preserve"> of expertise (such as judges) will engage in decisional </w:t>
      </w:r>
      <w:r w:rsidR="005032CD" w:rsidRPr="00C34D98">
        <w:t xml:space="preserve">comparisons prior to reaching their own decisions. Inevitable, this </w:t>
      </w:r>
      <w:r w:rsidR="00E873D3" w:rsidRPr="00C34D98">
        <w:t>activate</w:t>
      </w:r>
      <w:r w:rsidR="005032CD" w:rsidRPr="00C34D98">
        <w:t>s</w:t>
      </w:r>
      <w:r w:rsidR="00E873D3" w:rsidRPr="00C34D98">
        <w:t xml:space="preserve"> anchor-</w:t>
      </w:r>
      <w:r w:rsidR="005032CD" w:rsidRPr="00C34D98">
        <w:t xml:space="preserve">laden </w:t>
      </w:r>
      <w:r w:rsidR="00E873D3" w:rsidRPr="00C34D98">
        <w:t>bias</w:t>
      </w:r>
      <w:r w:rsidR="005032CD" w:rsidRPr="00C34D98">
        <w:t>.</w:t>
      </w:r>
      <w:r w:rsidR="002F2E56" w:rsidRPr="00C34D98">
        <w:t xml:space="preserve"> </w:t>
      </w:r>
    </w:p>
    <w:p w:rsidR="000859BC" w:rsidRPr="00C34D98" w:rsidRDefault="002F2E56" w:rsidP="001E673F">
      <w:pPr>
        <w:spacing w:line="360" w:lineRule="auto"/>
        <w:ind w:firstLine="720"/>
        <w:jc w:val="both"/>
      </w:pPr>
      <w:r w:rsidRPr="00C34D98">
        <w:t>In addition to emotions</w:t>
      </w:r>
      <w:r w:rsidR="001D23C1" w:rsidRPr="00C34D98">
        <w:t>,</w:t>
      </w:r>
      <w:r w:rsidRPr="00C34D98">
        <w:t xml:space="preserve"> mood and knowledge (expertise), other factors that can impact upon the anchoring heuristics includes </w:t>
      </w:r>
      <w:r w:rsidR="001E673F" w:rsidRPr="00C34D98">
        <w:t xml:space="preserve">national culture (Czerwonka 2017), </w:t>
      </w:r>
      <w:r w:rsidR="00093133" w:rsidRPr="00C34D98">
        <w:t xml:space="preserve">information processing and thinking styles (Wegener et al. 2001), </w:t>
      </w:r>
      <w:r w:rsidRPr="00C34D98">
        <w:t>motivation to arrive at the appropriate judgment (Wegener et al. 2010), i</w:t>
      </w:r>
      <w:r w:rsidR="00E873D3" w:rsidRPr="00C34D98">
        <w:t>ndividual</w:t>
      </w:r>
      <w:r w:rsidRPr="00C34D98">
        <w:t xml:space="preserve"> actor</w:t>
      </w:r>
      <w:r w:rsidR="00E873D3" w:rsidRPr="00C34D98">
        <w:t xml:space="preserve"> differences</w:t>
      </w:r>
      <w:r w:rsidR="001D23C1" w:rsidRPr="00C34D98">
        <w:t xml:space="preserve"> (e.g., </w:t>
      </w:r>
      <w:r w:rsidRPr="00C34D98">
        <w:t>personality</w:t>
      </w:r>
      <w:r w:rsidR="001D23C1" w:rsidRPr="00C34D98">
        <w:t xml:space="preserve">; </w:t>
      </w:r>
      <w:r w:rsidR="00E873D3" w:rsidRPr="00C34D98">
        <w:t>Brandst</w:t>
      </w:r>
      <w:r w:rsidR="00E35BC3" w:rsidRPr="00C34D98">
        <w:t>a</w:t>
      </w:r>
      <w:r w:rsidR="00E873D3" w:rsidRPr="00C34D98">
        <w:t>tter 1993)</w:t>
      </w:r>
      <w:r w:rsidRPr="00C34D98">
        <w:t xml:space="preserve">, and </w:t>
      </w:r>
      <w:r w:rsidR="00E873D3" w:rsidRPr="00C34D98">
        <w:t>cognitive intelligence</w:t>
      </w:r>
      <w:r w:rsidRPr="00C34D98">
        <w:t xml:space="preserve"> (</w:t>
      </w:r>
      <w:r w:rsidR="00E873D3" w:rsidRPr="00C34D98">
        <w:t>Bergman et al. 2010)</w:t>
      </w:r>
      <w:r w:rsidR="001E673F" w:rsidRPr="00C34D98">
        <w:t xml:space="preserve">. </w:t>
      </w:r>
      <w:r w:rsidR="00D80902" w:rsidRPr="00C34D98">
        <w:t>Most interestingly,</w:t>
      </w:r>
      <w:r w:rsidR="00D80902" w:rsidRPr="00C34D98" w:rsidDel="00265B6A">
        <w:t xml:space="preserve"> </w:t>
      </w:r>
      <w:r w:rsidR="00D80902" w:rsidRPr="00C34D98">
        <w:t>research appears to suggest that the anchoring heuristic influences judgment</w:t>
      </w:r>
      <w:r w:rsidR="00F4677C">
        <w:t>s</w:t>
      </w:r>
      <w:r w:rsidR="00D80902" w:rsidRPr="00C34D98">
        <w:t xml:space="preserve"> even where the decision-maker is aware that it may produce bias (Gilovich et al. 2002) and when clear incentives for effective </w:t>
      </w:r>
      <w:r w:rsidR="007165F4">
        <w:t>decision making</w:t>
      </w:r>
      <w:r w:rsidR="00D80902" w:rsidRPr="00C34D98">
        <w:t xml:space="preserve"> exist (Epley and Gilovich 2005). </w:t>
      </w:r>
      <w:r w:rsidR="00995814">
        <w:t xml:space="preserve">More specifically, </w:t>
      </w:r>
      <w:r w:rsidR="00D80902" w:rsidRPr="00C34D98">
        <w:t xml:space="preserve">Epley and Gilovich (2005) found that responses to externally provided anchors were not influenced by forewarnings of the impacts that the anchoring cue may have. Even when providing participants with the correct information some time prior to their decision, studies have shown that individuals still exhibited the anchoring effect (Caputo 2014). In the present study, we focus on two </w:t>
      </w:r>
      <w:r w:rsidR="00126B9F" w:rsidRPr="00C34D98">
        <w:t xml:space="preserve">aspects of </w:t>
      </w:r>
      <w:r w:rsidR="00D80902" w:rsidRPr="00C34D98">
        <w:t xml:space="preserve">anchoring: (i) the presence of insufficient adjustment and (ii) </w:t>
      </w:r>
      <w:r w:rsidR="001657F2">
        <w:t xml:space="preserve">the </w:t>
      </w:r>
      <w:r w:rsidR="00D80902" w:rsidRPr="00C34D98">
        <w:t>resulting inaccuracies for both conjunctive and disjunctive events.</w:t>
      </w:r>
    </w:p>
    <w:p w:rsidR="000859BC" w:rsidRPr="00C34D98" w:rsidRDefault="000859BC" w:rsidP="000859BC">
      <w:pPr>
        <w:spacing w:line="360" w:lineRule="auto"/>
        <w:jc w:val="both"/>
      </w:pPr>
    </w:p>
    <w:p w:rsidR="00995814" w:rsidRDefault="00AF2E9A" w:rsidP="00995814">
      <w:pPr>
        <w:spacing w:line="360" w:lineRule="auto"/>
        <w:jc w:val="both"/>
      </w:pPr>
      <w:r w:rsidRPr="00C34D98">
        <w:rPr>
          <w:i/>
        </w:rPr>
        <w:t>2.</w:t>
      </w:r>
      <w:r w:rsidR="00B55258" w:rsidRPr="00C34D98">
        <w:rPr>
          <w:i/>
        </w:rPr>
        <w:t>1</w:t>
      </w:r>
      <w:r w:rsidRPr="00C34D98">
        <w:rPr>
          <w:i/>
        </w:rPr>
        <w:t xml:space="preserve">.1 </w:t>
      </w:r>
      <w:r w:rsidR="00227AC9" w:rsidRPr="00C34D98">
        <w:rPr>
          <w:i/>
        </w:rPr>
        <w:t>Anchoring as insufficient adjustment</w:t>
      </w:r>
      <w:r w:rsidR="00227AC9" w:rsidRPr="00C34D98">
        <w:t xml:space="preserve">: The anchoring bias implies </w:t>
      </w:r>
      <w:r w:rsidR="007255B4">
        <w:t>a</w:t>
      </w:r>
      <w:r w:rsidR="00227AC9" w:rsidRPr="00C34D98">
        <w:t xml:space="preserve"> cognitive process </w:t>
      </w:r>
      <w:r w:rsidR="007255B4">
        <w:t>where</w:t>
      </w:r>
      <w:r w:rsidR="00F23C61" w:rsidRPr="00C34D98">
        <w:t xml:space="preserve"> </w:t>
      </w:r>
      <w:r w:rsidR="00227AC9" w:rsidRPr="00C34D98">
        <w:t>decision mak</w:t>
      </w:r>
      <w:r w:rsidR="00660FA7" w:rsidRPr="00C34D98">
        <w:t>e</w:t>
      </w:r>
      <w:r w:rsidR="00126B9F" w:rsidRPr="00C34D98">
        <w:t>r</w:t>
      </w:r>
      <w:r w:rsidR="007255B4">
        <w:t>s</w:t>
      </w:r>
      <w:r w:rsidR="00126B9F" w:rsidRPr="00C34D98">
        <w:t xml:space="preserve"> </w:t>
      </w:r>
      <w:r w:rsidR="00227AC9" w:rsidRPr="00C34D98">
        <w:t>rel</w:t>
      </w:r>
      <w:r w:rsidR="007255B4">
        <w:t>y</w:t>
      </w:r>
      <w:r w:rsidR="00227AC9" w:rsidRPr="00C34D98">
        <w:t xml:space="preserve"> (anchor) on informational reference points that come to mind.</w:t>
      </w:r>
      <w:r w:rsidR="00A517C3">
        <w:t xml:space="preserve"> </w:t>
      </w:r>
      <w:r w:rsidR="00995814">
        <w:t xml:space="preserve">In their study of forecasting as a key ingredient in supply-chain planning, Fildes et al. (2009) draw attention to widespread </w:t>
      </w:r>
      <w:r w:rsidR="00995814">
        <w:lastRenderedPageBreak/>
        <w:t xml:space="preserve">supply chain management practice whereby computerised forecasting systems will produce initial forecasting estimates to serve as anchors. Human judgments are then made which adjust the estimates thereby varying forecasting accuracy. They highlight a </w:t>
      </w:r>
      <w:r w:rsidR="00072E29">
        <w:t>need</w:t>
      </w:r>
      <w:r w:rsidR="00995814">
        <w:t xml:space="preserve"> for larger (</w:t>
      </w:r>
      <w:r w:rsidR="00072E29">
        <w:t>cf.</w:t>
      </w:r>
      <w:r w:rsidR="00995814">
        <w:t xml:space="preserve"> smaller) and negative (</w:t>
      </w:r>
      <w:r w:rsidR="00072E29">
        <w:t>cf.</w:t>
      </w:r>
      <w:r w:rsidR="00995814">
        <w:t xml:space="preserve"> positive) adjustment</w:t>
      </w:r>
      <w:r w:rsidR="00072E29">
        <w:t>s</w:t>
      </w:r>
      <w:r w:rsidR="00995814">
        <w:t xml:space="preserve"> </w:t>
      </w:r>
      <w:r w:rsidR="00072E29">
        <w:t xml:space="preserve">in order </w:t>
      </w:r>
      <w:r w:rsidR="00995814">
        <w:t>to succeed in improving forecasting accuracy. Th</w:t>
      </w:r>
      <w:r w:rsidR="00072E29">
        <w:t>e</w:t>
      </w:r>
      <w:r w:rsidR="00995814">
        <w:t xml:space="preserve"> </w:t>
      </w:r>
      <w:r w:rsidR="00072E29">
        <w:t>observed</w:t>
      </w:r>
      <w:r w:rsidR="00995814">
        <w:t xml:space="preserve"> tendency </w:t>
      </w:r>
      <w:r w:rsidR="00072E29">
        <w:t>for</w:t>
      </w:r>
      <w:r w:rsidR="00995814">
        <w:t xml:space="preserve"> smaller adjustments </w:t>
      </w:r>
      <w:r w:rsidR="00072E29">
        <w:t xml:space="preserve">over larger adjustments </w:t>
      </w:r>
      <w:r w:rsidR="00995814">
        <w:t xml:space="preserve">is also claimed by </w:t>
      </w:r>
      <w:r w:rsidR="00995814" w:rsidRPr="00C34D98">
        <w:t xml:space="preserve">Furnham and Boo </w:t>
      </w:r>
      <w:r w:rsidR="00995814">
        <w:t>(</w:t>
      </w:r>
      <w:r w:rsidR="00995814" w:rsidRPr="00C34D98">
        <w:t>2011)</w:t>
      </w:r>
      <w:r w:rsidR="00995814">
        <w:t>, who articulate it as one of ‘insufficiency of adjustment’.</w:t>
      </w:r>
    </w:p>
    <w:p w:rsidR="00995814" w:rsidRDefault="00995814" w:rsidP="00995814">
      <w:pPr>
        <w:spacing w:line="360" w:lineRule="auto"/>
        <w:jc w:val="both"/>
      </w:pPr>
      <w:r>
        <w:t xml:space="preserve">          Similarly, the purported general tendency for negative adjustments to be better is located within supply chain management practice by Niranjan et al. (2011). Looking at the supply chain management practices of a components manufacturer, they explain that simple calculations of mean demand are commonly used as anchors for inventory ordering. They propose a ‘correction model’ to explain the commonplace over ordering which often then ensues. This correction model considers how ongoing adjustments can often only be understood with reference to reflexivity between buyers and sellers </w:t>
      </w:r>
      <w:r w:rsidR="00195BA0">
        <w:t>(</w:t>
      </w:r>
      <w:r>
        <w:t>e.g. where over ordering becomes reactive against perceptions of supplier tendencies towards short supplying</w:t>
      </w:r>
      <w:r w:rsidR="00195BA0">
        <w:t>)</w:t>
      </w:r>
      <w:r>
        <w:t xml:space="preserve">. Croson et al. (2014) have similarly emphasised that coordination risk between buyers and sellers in supply chains can profoundly affect order stability along supply chains. They draw on earlier work by Sternman (1989) cautioning that poor anchoring and adjustment is often precipitated when supply chain participants are insensitive as to how their decisions will be perceived by other supply chain participants. It is further worth noting Sterman’s (1989) conclusion that over ordering, commonly leading downstream to bullwhip effects will very commonly have its origins in underestimation of inventory ordered but not delivered. In other words, positive adjustments towards over ordering may often occur in circumstances of time and information poverty associated with relatively fast-moving and heterogeneous inventory pipelines </w:t>
      </w:r>
      <w:r w:rsidR="00195BA0">
        <w:t xml:space="preserve">that are </w:t>
      </w:r>
      <w:r>
        <w:t>characterised by coordination risk and uncertainty.</w:t>
      </w:r>
    </w:p>
    <w:p w:rsidR="00227AC9" w:rsidRPr="00C34D98" w:rsidRDefault="00641DEE" w:rsidP="00227AC9">
      <w:pPr>
        <w:spacing w:line="360" w:lineRule="auto"/>
        <w:jc w:val="both"/>
      </w:pPr>
      <w:r>
        <w:t xml:space="preserve">          </w:t>
      </w:r>
      <w:r w:rsidR="00227AC9" w:rsidRPr="00C34D98">
        <w:t xml:space="preserve">Malhotra et al. (2015) </w:t>
      </w:r>
      <w:r w:rsidR="00995814">
        <w:t xml:space="preserve">draw on lay </w:t>
      </w:r>
      <w:r w:rsidR="00195BA0">
        <w:t>epistemic</w:t>
      </w:r>
      <w:r w:rsidR="00995814">
        <w:t xml:space="preserve"> theory to further clarify what adjustments can entail in simple individual psychology terms, reminding us in particular that anchors can also very commonly involve human selectivity. They </w:t>
      </w:r>
      <w:r w:rsidR="00227AC9" w:rsidRPr="00C34D98">
        <w:t xml:space="preserve">conceive </w:t>
      </w:r>
      <w:r>
        <w:t>of</w:t>
      </w:r>
      <w:r w:rsidR="00227AC9" w:rsidRPr="00C34D98">
        <w:t xml:space="preserve"> initial anchoring as occurring through epistemic sequences of confirmatory selective search</w:t>
      </w:r>
      <w:r w:rsidR="00660FA7" w:rsidRPr="00C34D98">
        <w:t>es</w:t>
      </w:r>
      <w:r w:rsidR="00227AC9" w:rsidRPr="00C34D98">
        <w:t xml:space="preserve"> for some tangible datum. Selection then brings epistemic closure, entailing that further specific (and perhaps more relevant) information can be underestimated or excluded altogether. Generally, the salience of the chosen reference point (Wilson et al. 1996) and its perceived consonance with the focal task (Strack and Mussweiler 1997), combine to determine whether it will serve as an anchor. Misperceptions in either or both can then be viewed as sometimes precipitating poor judgment (Goodwin and Wright 2014).</w:t>
      </w:r>
    </w:p>
    <w:p w:rsidR="00227AC9" w:rsidRPr="00C34D98" w:rsidRDefault="00227AC9" w:rsidP="00227AC9">
      <w:pPr>
        <w:spacing w:line="360" w:lineRule="auto"/>
        <w:ind w:firstLine="720"/>
        <w:jc w:val="both"/>
      </w:pPr>
      <w:r w:rsidRPr="00C34D98">
        <w:t xml:space="preserve">However, the causes of poor judgment do not end there. Even when anchors are rated by decision-makers as irrelevant or implausible, the decision-makers may still prioritize information deemed consistent with the anchor (Goodwin and Wright 2014). Providing some counter-balance against the </w:t>
      </w:r>
      <w:r w:rsidRPr="00C34D98">
        <w:lastRenderedPageBreak/>
        <w:t xml:space="preserve">suggestion that anchoring may often entail uncritical use of anchors, studies by Ariely et al. (2003) and Bergman et al. (2010) have found the strength of anchors to be largely dependent on their assessed applicability. This application effect seems to be independent of the anchor’s perceived level of plausibility (Furnham and Boo 2011). Accordingly, why individuals consciously incorporate implausible anchors into their judgements remains of interest. A common explanation is that decision makers deem anchors as ‘hints’ in circumstances where there is pessimism over prospects for further information acquisition (Wegener et al. 2010). However, this simplifying line of argument has been questioned within </w:t>
      </w:r>
      <w:r w:rsidR="00660FA7" w:rsidRPr="00C34D98">
        <w:t>studies that</w:t>
      </w:r>
      <w:r w:rsidRPr="00C34D98">
        <w:t xml:space="preserve"> point to the persistence of anchored judgements even when decision makers are forewarned of the operative anchoring cue and its negative effects (Epley and Gilovich 2005). Another argument is that the process of adjustment is resource consumptive</w:t>
      </w:r>
      <w:r w:rsidR="00AC680F">
        <w:t>. C</w:t>
      </w:r>
      <w:r w:rsidRPr="00C34D98">
        <w:t xml:space="preserve">onsequently, any obstacles </w:t>
      </w:r>
      <w:r w:rsidR="00772EB9" w:rsidRPr="00C34D98">
        <w:t>encountered, which</w:t>
      </w:r>
      <w:r w:rsidRPr="00C34D98">
        <w:t xml:space="preserve"> lead the decision-maker to question whether to persist with or deepen their information search, can cause early termination of adjustment</w:t>
      </w:r>
      <w:r w:rsidR="00AC680F">
        <w:t>. This can</w:t>
      </w:r>
      <w:r w:rsidRPr="00C34D98">
        <w:t xml:space="preserve"> lead to the anchor’s persistence or even its further reinforcement (Gilovich et al. 2002). </w:t>
      </w:r>
    </w:p>
    <w:p w:rsidR="000859BC" w:rsidRPr="00C34D98" w:rsidRDefault="000859BC" w:rsidP="000859BC">
      <w:pPr>
        <w:spacing w:line="360" w:lineRule="auto"/>
        <w:jc w:val="both"/>
      </w:pPr>
    </w:p>
    <w:p w:rsidR="000859BC" w:rsidRPr="00C34D98" w:rsidRDefault="00AF2E9A" w:rsidP="000859BC">
      <w:pPr>
        <w:spacing w:line="360" w:lineRule="auto"/>
        <w:jc w:val="both"/>
      </w:pPr>
      <w:r w:rsidRPr="00C34D98">
        <w:rPr>
          <w:i/>
        </w:rPr>
        <w:t>2.</w:t>
      </w:r>
      <w:r w:rsidR="00B55258" w:rsidRPr="00C34D98">
        <w:rPr>
          <w:i/>
        </w:rPr>
        <w:t>1</w:t>
      </w:r>
      <w:r w:rsidRPr="00C34D98">
        <w:rPr>
          <w:i/>
        </w:rPr>
        <w:t xml:space="preserve">.2 </w:t>
      </w:r>
      <w:r w:rsidR="000859BC" w:rsidRPr="00C34D98">
        <w:rPr>
          <w:i/>
        </w:rPr>
        <w:t>Anchoring within conjunctive and disjunctive events</w:t>
      </w:r>
      <w:r w:rsidR="000859BC" w:rsidRPr="00C34D98">
        <w:t xml:space="preserve">: Tversky and Kahneman (1974) found the anchoring heuristic was present when individuals evaluated both conjunctive (events that occur in conjunction with another) and disjunctive events (events that occur independently). For conjunctive events, each of the likely elementary events must occur for the overall undertaking to succeed (Barbosa </w:t>
      </w:r>
      <w:r w:rsidR="00BD5EC9" w:rsidRPr="00C34D98">
        <w:t>and</w:t>
      </w:r>
      <w:r w:rsidR="000859BC" w:rsidRPr="00C34D98">
        <w:t xml:space="preserve"> Fayolle 2007). For example, in supply chains, when considering the launch of a new supply route, its success will depend on the success of several individual endeavours, which are all connected with one another. When evaluating </w:t>
      </w:r>
      <w:r w:rsidR="00660FA7" w:rsidRPr="00C34D98">
        <w:t xml:space="preserve">the probability of failure within a whole </w:t>
      </w:r>
      <w:r w:rsidR="000859BC" w:rsidRPr="00C34D98">
        <w:t>supply chain</w:t>
      </w:r>
      <w:r w:rsidR="00660FA7" w:rsidRPr="00C34D98">
        <w:t xml:space="preserve"> system</w:t>
      </w:r>
      <w:r w:rsidR="000859BC" w:rsidRPr="00C34D98">
        <w:t>, the probability of a failure of the system typically remains low if one only component of that system fails.</w:t>
      </w:r>
    </w:p>
    <w:p w:rsidR="000859BC" w:rsidRPr="00C34D98" w:rsidRDefault="003027C1" w:rsidP="000859BC">
      <w:pPr>
        <w:spacing w:line="360" w:lineRule="auto"/>
        <w:ind w:firstLine="720"/>
        <w:jc w:val="both"/>
      </w:pPr>
      <w:r w:rsidRPr="00C34D98">
        <w:t>W</w:t>
      </w:r>
      <w:r w:rsidR="000859BC" w:rsidRPr="00C34D98">
        <w:t xml:space="preserve">hile the failure </w:t>
      </w:r>
      <w:r w:rsidRPr="00C34D98">
        <w:t>of</w:t>
      </w:r>
      <w:r w:rsidR="000859BC" w:rsidRPr="00C34D98">
        <w:t xml:space="preserve"> one of the elementary elements </w:t>
      </w:r>
      <w:r w:rsidRPr="00C34D98">
        <w:t xml:space="preserve">of a supply chain </w:t>
      </w:r>
      <w:r w:rsidR="000859BC" w:rsidRPr="00C34D98">
        <w:t xml:space="preserve">may </w:t>
      </w:r>
      <w:r w:rsidRPr="00C34D98">
        <w:t xml:space="preserve">typically be </w:t>
      </w:r>
      <w:r w:rsidR="000859BC" w:rsidRPr="00C34D98">
        <w:t xml:space="preserve">containable (and not </w:t>
      </w:r>
      <w:r w:rsidRPr="00C34D98">
        <w:t>affect</w:t>
      </w:r>
      <w:r w:rsidR="000859BC" w:rsidRPr="00C34D98">
        <w:t xml:space="preserve"> the entire s</w:t>
      </w:r>
      <w:r w:rsidRPr="00C34D98">
        <w:t>upply chain</w:t>
      </w:r>
      <w:r w:rsidR="000859BC" w:rsidRPr="00C34D98">
        <w:t xml:space="preserve">), </w:t>
      </w:r>
      <w:r w:rsidRPr="00C34D98">
        <w:t xml:space="preserve">there can be circumstances in which </w:t>
      </w:r>
      <w:r w:rsidR="000859BC" w:rsidRPr="00C34D98">
        <w:t>failure in one component cause</w:t>
      </w:r>
      <w:r w:rsidRPr="00C34D98">
        <w:t>s</w:t>
      </w:r>
      <w:r w:rsidR="000859BC" w:rsidRPr="00C34D98">
        <w:t xml:space="preserve"> failure </w:t>
      </w:r>
      <w:r w:rsidR="00660FA7" w:rsidRPr="00C34D98">
        <w:t xml:space="preserve">across </w:t>
      </w:r>
      <w:r w:rsidR="000859BC" w:rsidRPr="00C34D98">
        <w:t>the entire structure</w:t>
      </w:r>
      <w:r w:rsidRPr="00C34D98">
        <w:t>. This can be</w:t>
      </w:r>
      <w:r w:rsidR="000859BC" w:rsidRPr="00C34D98">
        <w:t xml:space="preserve"> due to the integrated and fragile nature of </w:t>
      </w:r>
      <w:r w:rsidRPr="00C34D98">
        <w:t>certain</w:t>
      </w:r>
      <w:r w:rsidR="000859BC" w:rsidRPr="00C34D98">
        <w:t xml:space="preserve"> supply chain</w:t>
      </w:r>
      <w:r w:rsidRPr="00C34D98">
        <w:t>s</w:t>
      </w:r>
      <w:r w:rsidR="000859BC" w:rsidRPr="00C34D98">
        <w:t xml:space="preserve"> (Caniato </w:t>
      </w:r>
      <w:r w:rsidR="000859BC" w:rsidRPr="00C34D98">
        <w:rPr>
          <w:iCs/>
        </w:rPr>
        <w:t>et al.</w:t>
      </w:r>
      <w:r w:rsidR="000859BC" w:rsidRPr="00C34D98">
        <w:t xml:space="preserve"> 2012). </w:t>
      </w:r>
      <w:r w:rsidRPr="00C34D98">
        <w:t>Hence, there can be disjunctive events</w:t>
      </w:r>
      <w:r w:rsidR="00971F0A" w:rsidRPr="00C34D98">
        <w:t xml:space="preserve"> in supply chain</w:t>
      </w:r>
      <w:r w:rsidRPr="00C34D98">
        <w:t>s</w:t>
      </w:r>
      <w:r w:rsidR="00971F0A" w:rsidRPr="00C34D98">
        <w:t xml:space="preserve"> and these can</w:t>
      </w:r>
      <w:r w:rsidR="000859BC" w:rsidRPr="00C34D98">
        <w:t xml:space="preserve"> lead to the collapse of the entire s</w:t>
      </w:r>
      <w:r w:rsidR="00971F0A" w:rsidRPr="00C34D98">
        <w:t>ystem</w:t>
      </w:r>
      <w:r w:rsidR="000859BC" w:rsidRPr="00C34D98">
        <w:t xml:space="preserve">. </w:t>
      </w:r>
    </w:p>
    <w:p w:rsidR="005407F0" w:rsidRPr="00C34D98" w:rsidRDefault="005407F0" w:rsidP="000859BC">
      <w:pPr>
        <w:spacing w:line="360" w:lineRule="auto"/>
        <w:ind w:firstLine="720"/>
        <w:jc w:val="both"/>
      </w:pPr>
    </w:p>
    <w:p w:rsidR="005407F0" w:rsidRPr="00C34D98" w:rsidRDefault="005407F0" w:rsidP="005407F0">
      <w:pPr>
        <w:spacing w:line="360" w:lineRule="auto"/>
        <w:jc w:val="both"/>
      </w:pPr>
      <w:r w:rsidRPr="00C34D98">
        <w:rPr>
          <w:i/>
        </w:rPr>
        <w:t>2.</w:t>
      </w:r>
      <w:r w:rsidR="00B55258" w:rsidRPr="00C34D98">
        <w:rPr>
          <w:i/>
        </w:rPr>
        <w:t>1</w:t>
      </w:r>
      <w:r w:rsidRPr="00C34D98">
        <w:rPr>
          <w:i/>
        </w:rPr>
        <w:t xml:space="preserve">.3 Susceptibility to the anchoring heuristic (expertise and knowledge): </w:t>
      </w:r>
      <w:r w:rsidRPr="00C34D98">
        <w:t>A further cautionary point from the literature is an expectation that not all frontline employees will be influenced equally by the same anchoring cues due to individual differences (Teovanovic 2019). Hence, we focus on the influence of expertise and knowledge on heuristic use as a means of assessing the effect of individual differences.</w:t>
      </w:r>
    </w:p>
    <w:p w:rsidR="005407F0" w:rsidRPr="00C34D98" w:rsidRDefault="005407F0" w:rsidP="005407F0">
      <w:pPr>
        <w:spacing w:line="360" w:lineRule="auto"/>
        <w:ind w:firstLine="720"/>
        <w:jc w:val="both"/>
      </w:pPr>
      <w:r w:rsidRPr="00C34D98">
        <w:t xml:space="preserve">Studies suggests that the soft skills and experiences of supply chain </w:t>
      </w:r>
      <w:r w:rsidR="00BC138F" w:rsidRPr="00C34D98">
        <w:t>actor’s</w:t>
      </w:r>
      <w:r w:rsidRPr="00C34D98">
        <w:t xml:space="preserve"> impact not only on individual performance, but also on firm performance (Essex et al. 2016). An important subdomain of </w:t>
      </w:r>
      <w:r w:rsidRPr="00C34D98">
        <w:lastRenderedPageBreak/>
        <w:t xml:space="preserve">heuristics research considers how levels of knowledge and expertise can influence a manager’s susceptibility to the anchoring heuristic. Chapman and Johnson (1994) suggest that when individuals have high certainty about an answer and, therefore, are considered knowledgeable, they experience smaller anchoring effects. This is supported by Wilson et al. (1996) who found that the anchoring effect occurred only among people low in knowledge. They explained this in terms of experts being more skilled and able to retrieve </w:t>
      </w:r>
      <w:r w:rsidR="00F42C21">
        <w:t xml:space="preserve">veridical </w:t>
      </w:r>
      <w:r w:rsidRPr="00C34D98">
        <w:t xml:space="preserve">information that helps to answer questions. Some </w:t>
      </w:r>
      <w:r w:rsidR="00995814">
        <w:t xml:space="preserve">further </w:t>
      </w:r>
      <w:r w:rsidR="00995814" w:rsidRPr="00C34D98">
        <w:t xml:space="preserve">evidence </w:t>
      </w:r>
      <w:r w:rsidR="00995814">
        <w:t xml:space="preserve">for delineating this expert advantage </w:t>
      </w:r>
      <w:r w:rsidRPr="00C34D98">
        <w:t>comes from</w:t>
      </w:r>
      <w:r w:rsidR="00F42C21">
        <w:t xml:space="preserve"> previously</w:t>
      </w:r>
      <w:r w:rsidR="00995814">
        <w:t xml:space="preserve"> mentioned </w:t>
      </w:r>
      <w:r w:rsidR="00F42C21">
        <w:t>research by</w:t>
      </w:r>
      <w:r w:rsidR="00995814">
        <w:t xml:space="preserve"> </w:t>
      </w:r>
      <w:r w:rsidRPr="00C34D98">
        <w:t>Englich and Soder (2009)</w:t>
      </w:r>
      <w:r w:rsidR="00995814">
        <w:t xml:space="preserve">, </w:t>
      </w:r>
      <w:r w:rsidR="00F42C21">
        <w:t xml:space="preserve">which </w:t>
      </w:r>
      <w:r w:rsidR="00995814">
        <w:t>emphasis</w:t>
      </w:r>
      <w:r w:rsidR="00F42C21">
        <w:t>ed</w:t>
      </w:r>
      <w:r w:rsidR="00995814">
        <w:t xml:space="preserve"> the mood</w:t>
      </w:r>
      <w:r w:rsidR="00995814" w:rsidRPr="00C34D98">
        <w:t xml:space="preserve"> </w:t>
      </w:r>
      <w:r w:rsidRPr="00C34D98">
        <w:t>independe</w:t>
      </w:r>
      <w:r w:rsidR="00376414">
        <w:t>n</w:t>
      </w:r>
      <w:r w:rsidR="00995814">
        <w:t>ce of information</w:t>
      </w:r>
      <w:r w:rsidR="00995814" w:rsidRPr="00C34D98">
        <w:t xml:space="preserve"> </w:t>
      </w:r>
      <w:r w:rsidRPr="00C34D98">
        <w:t xml:space="preserve">processing among experts (but not non-experts). </w:t>
      </w:r>
      <w:r w:rsidR="00995814">
        <w:t>Furthermore, Pedersen et al.’s (2018) finding that</w:t>
      </w:r>
      <w:r w:rsidR="00995814" w:rsidRPr="00C34D98">
        <w:t xml:space="preserve"> </w:t>
      </w:r>
      <w:r w:rsidRPr="00C34D98">
        <w:t>personal characteristics such as work experience (and by implications, expertise</w:t>
      </w:r>
      <w:r w:rsidR="00376414">
        <w:t>)</w:t>
      </w:r>
      <w:r w:rsidRPr="00C34D98">
        <w:t xml:space="preserve"> play a significant role in conditioning discretionary judgements made by frontline employees</w:t>
      </w:r>
      <w:r w:rsidR="00B71369">
        <w:t xml:space="preserve"> </w:t>
      </w:r>
      <w:r w:rsidR="00995814">
        <w:t xml:space="preserve">is of broader interest </w:t>
      </w:r>
      <w:r w:rsidR="00F42C21">
        <w:t>because</w:t>
      </w:r>
      <w:r w:rsidR="00995814">
        <w:t xml:space="preserve"> the development of such mood independence </w:t>
      </w:r>
      <w:r w:rsidR="00F42C21">
        <w:t xml:space="preserve">is set </w:t>
      </w:r>
      <w:r w:rsidR="00995814">
        <w:t>within broader contexts of organisational experience.</w:t>
      </w:r>
    </w:p>
    <w:p w:rsidR="005407F0" w:rsidRPr="00C34D98" w:rsidRDefault="005407F0" w:rsidP="000859BC">
      <w:pPr>
        <w:spacing w:line="360" w:lineRule="auto"/>
        <w:ind w:firstLine="720"/>
        <w:jc w:val="both"/>
      </w:pPr>
      <w:r w:rsidRPr="00C34D98">
        <w:t>The question of how expertise</w:t>
      </w:r>
      <w:r w:rsidRPr="00C34D98" w:rsidDel="00F80BCE">
        <w:t xml:space="preserve"> </w:t>
      </w:r>
      <w:r w:rsidRPr="00C34D98">
        <w:t xml:space="preserve">might influence anchoring remains unsettled (Teovanovic 2019). Some literature suggests that those with relatively high levels of expertise are less susceptible to anchoring (Furnham and Boo 2011). Whereas, Englich et al. (2006) did not find this, and Northcraft and Neale (1987) found that higher levels of expertise were not protective against anchoring. Similarly, studies by Englich et al. (2006) found that individuals with high levels of expertise anchored their judgements regardless of the perceived relevance and importance of the information anchor. To reiterate, the original proposition by Tversky and Kahneman (1974) was that the reliance on the </w:t>
      </w:r>
      <w:r w:rsidRPr="00C34D98">
        <w:rPr>
          <w:i/>
        </w:rPr>
        <w:t>anchoring</w:t>
      </w:r>
      <w:r w:rsidRPr="00C34D98" w:rsidDel="000E71CD">
        <w:t xml:space="preserve"> </w:t>
      </w:r>
      <w:r w:rsidRPr="00C34D98">
        <w:t xml:space="preserve">heuristic was not inverse to expertise. However, it is also apparent from the above discussion that there are mixed findings on this question and, therefore, that there is a need for further research. We suggest, consistent with the weight of the extant evidence, that it is more likely that frontline employees with higher (cf. lower) levels of expertise will be less susceptible to the anchoring heuristic. </w:t>
      </w:r>
    </w:p>
    <w:p w:rsidR="000859BC" w:rsidRPr="00C34D98" w:rsidRDefault="000859BC" w:rsidP="000859BC">
      <w:pPr>
        <w:spacing w:line="360" w:lineRule="auto"/>
        <w:jc w:val="both"/>
      </w:pPr>
    </w:p>
    <w:p w:rsidR="000859BC" w:rsidRPr="00C34D98" w:rsidRDefault="00AF2E9A" w:rsidP="000859BC">
      <w:pPr>
        <w:spacing w:line="360" w:lineRule="auto"/>
        <w:jc w:val="both"/>
        <w:rPr>
          <w:i/>
        </w:rPr>
      </w:pPr>
      <w:r w:rsidRPr="00C34D98">
        <w:rPr>
          <w:i/>
        </w:rPr>
        <w:t>2.</w:t>
      </w:r>
      <w:r w:rsidR="00B55258" w:rsidRPr="00C34D98">
        <w:rPr>
          <w:i/>
        </w:rPr>
        <w:t>2</w:t>
      </w:r>
      <w:r w:rsidRPr="00C34D98">
        <w:rPr>
          <w:i/>
        </w:rPr>
        <w:t xml:space="preserve"> </w:t>
      </w:r>
      <w:r w:rsidR="000859BC" w:rsidRPr="00C34D98">
        <w:rPr>
          <w:i/>
        </w:rPr>
        <w:t xml:space="preserve">Overconfidence </w:t>
      </w:r>
      <w:r w:rsidR="00697C52" w:rsidRPr="00C34D98">
        <w:rPr>
          <w:i/>
        </w:rPr>
        <w:t>b</w:t>
      </w:r>
      <w:r w:rsidR="000859BC" w:rsidRPr="00C34D98">
        <w:rPr>
          <w:i/>
        </w:rPr>
        <w:t>ias</w:t>
      </w:r>
    </w:p>
    <w:p w:rsidR="00F37035" w:rsidRDefault="000859BC" w:rsidP="00C60C5A">
      <w:pPr>
        <w:spacing w:line="360" w:lineRule="auto"/>
        <w:ind w:firstLine="720"/>
        <w:jc w:val="both"/>
      </w:pPr>
      <w:r w:rsidRPr="00C34D98">
        <w:t xml:space="preserve">Drawing from Fischhoff et al. (1977; p. 552), we define ‘overconfidence’ as the extent to which an individual </w:t>
      </w:r>
      <w:r w:rsidR="007F1529" w:rsidRPr="00C34D98">
        <w:t>frontline</w:t>
      </w:r>
      <w:r w:rsidR="00697C52" w:rsidRPr="00C34D98">
        <w:t xml:space="preserve"> employee</w:t>
      </w:r>
      <w:r w:rsidRPr="00C34D98">
        <w:t xml:space="preserve"> exaggerates his/her evaluation of what he/she knows is correct.</w:t>
      </w:r>
      <w:r w:rsidR="00E908A6">
        <w:t xml:space="preserve"> </w:t>
      </w:r>
      <w:r w:rsidR="00995814">
        <w:rPr>
          <w:color w:val="000000" w:themeColor="text1"/>
        </w:rPr>
        <w:t>Overconfidence is conceptually distinct from the over/under-estimations that are associated with the anchoring-and-adjustment heuristic</w:t>
      </w:r>
      <w:r w:rsidR="00786D3C">
        <w:rPr>
          <w:color w:val="000000" w:themeColor="text1"/>
        </w:rPr>
        <w:t>. Specifically,</w:t>
      </w:r>
      <w:r w:rsidR="00995814">
        <w:rPr>
          <w:color w:val="000000" w:themeColor="text1"/>
        </w:rPr>
        <w:t xml:space="preserve"> overconfidence describes an individual’s degree of belief that his/her judgment is more accurate than the actual level of accuracy. By contrast, over/under-estimation describes a miscalculation</w:t>
      </w:r>
      <w:r w:rsidR="00786D3C">
        <w:rPr>
          <w:color w:val="000000" w:themeColor="text1"/>
        </w:rPr>
        <w:t>,</w:t>
      </w:r>
      <w:r w:rsidR="00995814">
        <w:rPr>
          <w:color w:val="000000" w:themeColor="text1"/>
        </w:rPr>
        <w:t xml:space="preserve"> but does not relate to a degree of belief regarding accuracy.</w:t>
      </w:r>
      <w:r w:rsidR="00995814" w:rsidRPr="00C34D98">
        <w:t xml:space="preserve"> </w:t>
      </w:r>
      <w:r w:rsidR="00995814" w:rsidRPr="00A44ABC">
        <w:t xml:space="preserve">Factors that can impact upon overconfidence includes national culture (Feng et al. 2011; Antonczyk and Salzmann 2014; Moore et al. 2018), </w:t>
      </w:r>
      <w:r w:rsidR="00995814">
        <w:t>experience and professionalism (</w:t>
      </w:r>
      <w:r w:rsidR="00995814" w:rsidRPr="005B2C89">
        <w:t>Hansson</w:t>
      </w:r>
      <w:r w:rsidR="00995814">
        <w:t xml:space="preserve"> et al. 2008; </w:t>
      </w:r>
      <w:r w:rsidR="00995814" w:rsidRPr="00BC0182">
        <w:t>Menkhoff</w:t>
      </w:r>
      <w:r w:rsidR="00995814">
        <w:t xml:space="preserve"> et al. 2013)</w:t>
      </w:r>
      <w:r w:rsidR="00786D3C">
        <w:t>,</w:t>
      </w:r>
      <w:r w:rsidR="00995814">
        <w:t xml:space="preserve"> and level of education (</w:t>
      </w:r>
      <w:r w:rsidR="00995814" w:rsidRPr="00EF3C6D">
        <w:t>Mishra and Metilda 2015</w:t>
      </w:r>
      <w:r w:rsidR="00995814">
        <w:t>).</w:t>
      </w:r>
      <w:r w:rsidR="00786D3C">
        <w:t xml:space="preserve"> </w:t>
      </w:r>
      <w:r w:rsidRPr="00C34D98">
        <w:t xml:space="preserve">The literature has </w:t>
      </w:r>
      <w:r w:rsidR="00786D3C">
        <w:t xml:space="preserve">also </w:t>
      </w:r>
      <w:r w:rsidRPr="00C34D98">
        <w:t>found evidence of</w:t>
      </w:r>
      <w:r w:rsidR="00144B1B" w:rsidRPr="00C34D98">
        <w:t xml:space="preserve"> </w:t>
      </w:r>
      <w:r w:rsidRPr="00C34D98">
        <w:lastRenderedPageBreak/>
        <w:t>overconfidence in both un-experienced and highly experienced supply chain managers (</w:t>
      </w:r>
      <w:r w:rsidR="00194EBA" w:rsidRPr="00C34D98">
        <w:t>Ancarani et al. 2016</w:t>
      </w:r>
      <w:r w:rsidRPr="00C34D98">
        <w:t>)</w:t>
      </w:r>
      <w:r w:rsidR="00126B9F" w:rsidRPr="00C34D98">
        <w:t xml:space="preserve"> and </w:t>
      </w:r>
      <w:r w:rsidR="00144B1B" w:rsidRPr="00C34D98">
        <w:t>frontline employees</w:t>
      </w:r>
      <w:r w:rsidR="00126B9F" w:rsidRPr="00C34D98">
        <w:t xml:space="preserve"> (Hoffman and Burks 2017)</w:t>
      </w:r>
      <w:r w:rsidR="00144B1B" w:rsidRPr="00C34D98">
        <w:t xml:space="preserve">. </w:t>
      </w:r>
      <w:r w:rsidR="00995814">
        <w:t>Edward and Schoemaker (1992) claims that “</w:t>
      </w:r>
      <w:r w:rsidR="00995814" w:rsidRPr="0044266C">
        <w:rPr>
          <w:i/>
        </w:rPr>
        <w:t>Overconfidence persists in spi</w:t>
      </w:r>
      <w:r w:rsidR="00786D3C">
        <w:rPr>
          <w:i/>
        </w:rPr>
        <w:t>t</w:t>
      </w:r>
      <w:r w:rsidR="00995814" w:rsidRPr="0044266C">
        <w:rPr>
          <w:i/>
        </w:rPr>
        <w:t>e of experience because we often fail to learn from experience</w:t>
      </w:r>
      <w:r w:rsidR="00995814">
        <w:t>” (p. 10).</w:t>
      </w:r>
    </w:p>
    <w:p w:rsidR="00E52653" w:rsidRDefault="00F37035">
      <w:pPr>
        <w:spacing w:line="360" w:lineRule="auto"/>
        <w:ind w:firstLine="720"/>
        <w:jc w:val="both"/>
      </w:pPr>
      <w:r>
        <w:t>T</w:t>
      </w:r>
      <w:r w:rsidR="00B41B06" w:rsidRPr="00C34D98">
        <w:t>he evidence</w:t>
      </w:r>
      <w:r w:rsidR="00126B9F" w:rsidRPr="00C34D98">
        <w:t xml:space="preserve"> relat</w:t>
      </w:r>
      <w:r w:rsidR="00B41B06" w:rsidRPr="00C34D98">
        <w:t>ing</w:t>
      </w:r>
      <w:r w:rsidR="00126B9F" w:rsidRPr="00C34D98">
        <w:t xml:space="preserve"> to frontline employees </w:t>
      </w:r>
      <w:r w:rsidR="00B41B06" w:rsidRPr="00C34D98">
        <w:t>is</w:t>
      </w:r>
      <w:r w:rsidR="00126B9F" w:rsidRPr="00C34D98">
        <w:t xml:space="preserve"> mixed. For example, </w:t>
      </w:r>
      <w:r w:rsidR="00144B1B" w:rsidRPr="00C34D98">
        <w:t xml:space="preserve">Hoffman and Burks (2017) found that truck drivers in </w:t>
      </w:r>
      <w:r w:rsidR="00126B9F" w:rsidRPr="00C34D98">
        <w:t xml:space="preserve">freight </w:t>
      </w:r>
      <w:r w:rsidR="00144B1B" w:rsidRPr="00C34D98">
        <w:t>organisation systematically over predicted the level of their productivity (which the authors termed, ‘overconfidence</w:t>
      </w:r>
      <w:r w:rsidR="00126B9F" w:rsidRPr="00C34D98">
        <w:t xml:space="preserve">’). </w:t>
      </w:r>
      <w:r w:rsidR="003B21C2" w:rsidRPr="00C34D98">
        <w:t xml:space="preserve">On the other hand, </w:t>
      </w:r>
      <w:r w:rsidR="00126B9F" w:rsidRPr="00C34D98">
        <w:t xml:space="preserve">Hallin et al. (2009) found that </w:t>
      </w:r>
      <w:r w:rsidR="00697C52" w:rsidRPr="00C34D98">
        <w:t>senior managers and executives exhibit</w:t>
      </w:r>
      <w:r w:rsidR="00126B9F" w:rsidRPr="00C34D98">
        <w:t>ed</w:t>
      </w:r>
      <w:r w:rsidR="00697C52" w:rsidRPr="00C34D98">
        <w:t xml:space="preserve"> overconfidence in their judgments while frontline employees exhibited under</w:t>
      </w:r>
      <w:r w:rsidR="00472C7E" w:rsidRPr="00C34D98">
        <w:t>-</w:t>
      </w:r>
      <w:r w:rsidR="00697C52" w:rsidRPr="00C34D98">
        <w:t>confidence</w:t>
      </w:r>
      <w:r w:rsidR="00472C7E" w:rsidRPr="00C34D98">
        <w:t>. Drawing from literature (see Bendoly et al. 2010)</w:t>
      </w:r>
      <w:r w:rsidR="00144B1B" w:rsidRPr="00C34D98">
        <w:t>, the</w:t>
      </w:r>
      <w:r w:rsidR="00472C7E" w:rsidRPr="00C34D98">
        <w:t xml:space="preserve"> potential negative consequences of </w:t>
      </w:r>
      <w:r w:rsidR="00472C7E" w:rsidRPr="007165F4">
        <w:t xml:space="preserve">overconfidence among frontline employees of supply chain organisations are </w:t>
      </w:r>
      <w:r w:rsidR="000859BC" w:rsidRPr="007165F4">
        <w:t>th</w:t>
      </w:r>
      <w:r w:rsidR="00017D59" w:rsidRPr="007165F4">
        <w:t>at there can be</w:t>
      </w:r>
      <w:r w:rsidR="000859BC" w:rsidRPr="007165F4">
        <w:t xml:space="preserve"> </w:t>
      </w:r>
      <w:r w:rsidR="00017D59" w:rsidRPr="007165F4">
        <w:t xml:space="preserve">a </w:t>
      </w:r>
      <w:r w:rsidR="000859BC" w:rsidRPr="00EF62CC">
        <w:t>risk of underestimation, poor choice of appropriate risk mitigation strategy, and an underestimation o</w:t>
      </w:r>
      <w:r w:rsidR="000859BC" w:rsidRPr="008A512E">
        <w:t>f demand variance.</w:t>
      </w:r>
    </w:p>
    <w:p w:rsidR="007E6730" w:rsidRPr="00C34D98" w:rsidRDefault="00910A32">
      <w:pPr>
        <w:spacing w:line="360" w:lineRule="auto"/>
        <w:ind w:firstLine="720"/>
        <w:jc w:val="both"/>
      </w:pPr>
      <w:r>
        <w:t>I</w:t>
      </w:r>
      <w:r w:rsidR="002A623C" w:rsidRPr="007165F4">
        <w:t xml:space="preserve">t is </w:t>
      </w:r>
      <w:r>
        <w:t>posited</w:t>
      </w:r>
      <w:r w:rsidR="002A623C" w:rsidRPr="007165F4">
        <w:t xml:space="preserve"> that t</w:t>
      </w:r>
      <w:r w:rsidR="007F1529" w:rsidRPr="007165F4">
        <w:t>he perceived value</w:t>
      </w:r>
      <w:r w:rsidR="003750D1" w:rsidRPr="007165F4">
        <w:t xml:space="preserve"> offered by </w:t>
      </w:r>
      <w:r w:rsidR="007F1529" w:rsidRPr="007165F4">
        <w:t>the overconfidence bias can be subtle among frontline employees</w:t>
      </w:r>
      <w:r w:rsidR="002A623C" w:rsidRPr="00EF62CC">
        <w:t xml:space="preserve"> in supply chains</w:t>
      </w:r>
      <w:r>
        <w:t xml:space="preserve"> </w:t>
      </w:r>
      <w:r w:rsidRPr="007165F4">
        <w:t>(Liu et al. 2018)</w:t>
      </w:r>
      <w:r w:rsidR="007F1529" w:rsidRPr="00EF62CC">
        <w:t>. For example, it can</w:t>
      </w:r>
      <w:r w:rsidR="007F1529" w:rsidRPr="00C34D98">
        <w:t xml:space="preserve"> relate to a need for some task complexity reduction and projection of certainty. It may also relate to the maintenance by frontline employees of viable professional identity and positive mental attitude through self-appraisals of competence in relation to professional knowledge and control exerted within tasks. Complex and heterogeneous psychological benefits such as these may be reflected to varying extents in studies </w:t>
      </w:r>
      <w:r w:rsidR="00AE2979" w:rsidRPr="00C34D98">
        <w:t>that</w:t>
      </w:r>
      <w:r w:rsidR="007F1529" w:rsidRPr="00C34D98">
        <w:t xml:space="preserve"> reveal individual supply chain </w:t>
      </w:r>
      <w:r w:rsidR="00346CCE" w:rsidRPr="00C34D98">
        <w:t>actors’</w:t>
      </w:r>
      <w:r w:rsidR="007F1529" w:rsidRPr="00C34D98">
        <w:t xml:space="preserve"> exhibit deeply rooted overconfidence in their beliefs and judgments (Liu et al. 2018). </w:t>
      </w:r>
      <w:r w:rsidR="00472C7E" w:rsidRPr="00C34D98">
        <w:t xml:space="preserve">In </w:t>
      </w:r>
      <w:r w:rsidR="00126B9F" w:rsidRPr="00C34D98">
        <w:t>the</w:t>
      </w:r>
      <w:r w:rsidR="00472C7E" w:rsidRPr="00C34D98">
        <w:t xml:space="preserve"> literature, o</w:t>
      </w:r>
      <w:r w:rsidR="000859BC" w:rsidRPr="00C34D98">
        <w:t xml:space="preserve">verconfidence can often reflect the discretionary powers of </w:t>
      </w:r>
      <w:r w:rsidR="00472C7E" w:rsidRPr="00C34D98">
        <w:t xml:space="preserve">an </w:t>
      </w:r>
      <w:r w:rsidR="000859BC" w:rsidRPr="00C34D98">
        <w:t xml:space="preserve">individual </w:t>
      </w:r>
      <w:r w:rsidR="00436B51" w:rsidRPr="00C34D98">
        <w:t xml:space="preserve">actor </w:t>
      </w:r>
      <w:r w:rsidR="000859BC" w:rsidRPr="00C34D98">
        <w:t xml:space="preserve">(Zimmermann et al. 2018). </w:t>
      </w:r>
    </w:p>
    <w:p w:rsidR="00505D00" w:rsidRPr="00C34D98" w:rsidRDefault="00436B51" w:rsidP="00505D00">
      <w:pPr>
        <w:spacing w:line="360" w:lineRule="auto"/>
        <w:ind w:firstLine="720"/>
        <w:jc w:val="both"/>
      </w:pPr>
      <w:r w:rsidRPr="00C34D98">
        <w:t>T</w:t>
      </w:r>
      <w:r w:rsidR="000859BC" w:rsidRPr="00C34D98">
        <w:t>o theorise the prevalence of overconfidence</w:t>
      </w:r>
      <w:r w:rsidRPr="00C34D98">
        <w:t>, Ancarani et al. (2016) draw attention to the need for discretionary power wherever there is uncertainty</w:t>
      </w:r>
      <w:r w:rsidR="000859BC" w:rsidRPr="00C34D98">
        <w:t xml:space="preserve">. More specifically, they report overconfidence as leading to less caution amongst </w:t>
      </w:r>
      <w:r w:rsidR="00144B1B" w:rsidRPr="00C34D98">
        <w:t xml:space="preserve">individual </w:t>
      </w:r>
      <w:r w:rsidR="000859BC" w:rsidRPr="00C34D98">
        <w:t xml:space="preserve">supply chain </w:t>
      </w:r>
      <w:r w:rsidR="00126B9F" w:rsidRPr="00C34D98">
        <w:t xml:space="preserve">actors </w:t>
      </w:r>
      <w:r w:rsidR="000859BC" w:rsidRPr="00C34D98">
        <w:t>and, therefore,</w:t>
      </w:r>
      <w:r w:rsidR="00D84E63">
        <w:t xml:space="preserve"> it </w:t>
      </w:r>
      <w:r w:rsidR="000859BC" w:rsidRPr="00C34D98">
        <w:t>increas</w:t>
      </w:r>
      <w:r w:rsidR="00D84E63">
        <w:t>es</w:t>
      </w:r>
      <w:r w:rsidR="000859BC" w:rsidRPr="00C34D98">
        <w:t xml:space="preserve"> </w:t>
      </w:r>
      <w:r w:rsidR="00D84E63">
        <w:t xml:space="preserve">the </w:t>
      </w:r>
      <w:r w:rsidR="000859BC" w:rsidRPr="00C34D98">
        <w:t xml:space="preserve">costs of managing inventories. Such </w:t>
      </w:r>
      <w:r w:rsidR="00126B9F" w:rsidRPr="00C34D98">
        <w:t xml:space="preserve">actors </w:t>
      </w:r>
      <w:r w:rsidR="000859BC" w:rsidRPr="00C34D98">
        <w:t xml:space="preserve">are often simultaneously overconfident about estimation accuracy and information accuracy. Therefore, </w:t>
      </w:r>
      <w:r w:rsidR="00472C7E" w:rsidRPr="00C34D98">
        <w:t xml:space="preserve">again drawing from </w:t>
      </w:r>
      <w:r w:rsidR="00126B9F" w:rsidRPr="00C34D98">
        <w:t xml:space="preserve">the </w:t>
      </w:r>
      <w:r w:rsidR="00472C7E" w:rsidRPr="00C34D98">
        <w:t>literature (Gon</w:t>
      </w:r>
      <w:r w:rsidR="006F41DF" w:rsidRPr="00C34D98">
        <w:t>c</w:t>
      </w:r>
      <w:r w:rsidR="00472C7E" w:rsidRPr="00C34D98">
        <w:t>alves and Casta</w:t>
      </w:r>
      <w:r w:rsidR="006F41DF" w:rsidRPr="00C34D98">
        <w:t>n</w:t>
      </w:r>
      <w:r w:rsidR="00472C7E" w:rsidRPr="00C34D98">
        <w:t xml:space="preserve">eda 2018), </w:t>
      </w:r>
      <w:r w:rsidR="000859BC" w:rsidRPr="00C34D98">
        <w:t xml:space="preserve">overconfidence may lead </w:t>
      </w:r>
      <w:r w:rsidR="00500BC1" w:rsidRPr="00C34D98">
        <w:t xml:space="preserve">frontline employees of supply chain organisations </w:t>
      </w:r>
      <w:r w:rsidR="000859BC" w:rsidRPr="00C34D98">
        <w:t>to abandon and reduc</w:t>
      </w:r>
      <w:r w:rsidR="00500BC1" w:rsidRPr="00C34D98">
        <w:t>e</w:t>
      </w:r>
      <w:r w:rsidR="000859BC" w:rsidRPr="00C34D98">
        <w:t xml:space="preserve"> the use of proper mechanisms to select, evaluate and monitor demand trends. </w:t>
      </w:r>
      <w:r w:rsidR="00C224C1" w:rsidRPr="00C34D98">
        <w:t>I</w:t>
      </w:r>
      <w:r w:rsidR="000859BC" w:rsidRPr="00C34D98">
        <w:t xml:space="preserve">t </w:t>
      </w:r>
      <w:r w:rsidR="00AE2979" w:rsidRPr="00C34D98">
        <w:t>may</w:t>
      </w:r>
      <w:r w:rsidR="000859BC" w:rsidRPr="00C34D98">
        <w:t xml:space="preserve"> also lead to </w:t>
      </w:r>
      <w:r w:rsidR="00472C7E" w:rsidRPr="00C34D98">
        <w:t xml:space="preserve">either </w:t>
      </w:r>
      <w:r w:rsidR="000859BC" w:rsidRPr="00C34D98">
        <w:t>mistaken assumptions that random samples match representatively to the primary attributes of processes</w:t>
      </w:r>
      <w:r w:rsidR="00C224C1" w:rsidRPr="00C34D98">
        <w:t xml:space="preserve"> or </w:t>
      </w:r>
      <w:r w:rsidRPr="00C34D98">
        <w:t xml:space="preserve">frontline </w:t>
      </w:r>
      <w:r w:rsidR="00472C7E" w:rsidRPr="00C34D98">
        <w:t xml:space="preserve">employees </w:t>
      </w:r>
      <w:r w:rsidR="00C224C1" w:rsidRPr="00C34D98">
        <w:t xml:space="preserve">engaging in demand chasing irrespective of cost conditions. </w:t>
      </w:r>
      <w:r w:rsidR="000859BC" w:rsidRPr="00C34D98">
        <w:t xml:space="preserve">Overconfidence aligned to trust in systems, people or information sources, constitutes an internally diverse area of study in its own right. For example, trust in ‘experts’ can lead to </w:t>
      </w:r>
      <w:r w:rsidRPr="00C34D98">
        <w:t xml:space="preserve">frontline employees </w:t>
      </w:r>
      <w:r w:rsidR="000859BC" w:rsidRPr="00C34D98">
        <w:t>adopti</w:t>
      </w:r>
      <w:r w:rsidRPr="00C34D98">
        <w:t>ng</w:t>
      </w:r>
      <w:r w:rsidR="000859BC" w:rsidRPr="00C34D98">
        <w:t xml:space="preserve"> </w:t>
      </w:r>
      <w:r w:rsidRPr="00C34D98">
        <w:t>managerial practices</w:t>
      </w:r>
      <w:r w:rsidR="000859BC" w:rsidRPr="00C34D98">
        <w:t xml:space="preserve"> which are fundamentally incorrect (Kaufmann et al. 2012). It is also important to highlight that the extant literature on the relationship between overconfidence and recognition incentives for accuracy suggest little or no significant impact of one on the other. For example, Tversky and Kahneman (1974) </w:t>
      </w:r>
      <w:r w:rsidR="000859BC" w:rsidRPr="00C34D98">
        <w:lastRenderedPageBreak/>
        <w:t xml:space="preserve">offered accuracy incentives for correct confidence intervals </w:t>
      </w:r>
      <w:r w:rsidR="00995814" w:rsidRPr="00C34D98">
        <w:t xml:space="preserve">and observed they had </w:t>
      </w:r>
      <w:r w:rsidR="000859BC" w:rsidRPr="00C34D98">
        <w:t xml:space="preserve">little effect. Similarly, Fischhoff et al. (1977) observed significant overconfidence even when participants were willing to stake money on the validity of their judgements. In a more practical example, it is worth mentioning that even when the financial consequences (and therefore incentives) are considerable, overconfidence still remains prevalent in decisions (see for example, Doukas </w:t>
      </w:r>
      <w:r w:rsidR="00BD5EC9" w:rsidRPr="00C34D98">
        <w:t>and</w:t>
      </w:r>
      <w:r w:rsidR="000859BC" w:rsidRPr="00C34D98">
        <w:t xml:space="preserve"> Petmezas 2007). </w:t>
      </w:r>
    </w:p>
    <w:p w:rsidR="00505D00" w:rsidRPr="00C34D98" w:rsidRDefault="00505D00" w:rsidP="00505D00">
      <w:pPr>
        <w:spacing w:line="360" w:lineRule="auto"/>
        <w:ind w:firstLine="720"/>
        <w:jc w:val="both"/>
        <w:rPr>
          <w:i/>
        </w:rPr>
      </w:pPr>
      <w:r w:rsidRPr="0041114C">
        <w:t>Studies</w:t>
      </w:r>
      <w:r w:rsidRPr="00C34D98">
        <w:t xml:space="preserve"> consistently suggest that th</w:t>
      </w:r>
      <w:r w:rsidR="0041114C">
        <w:t>e overconfidence</w:t>
      </w:r>
      <w:r w:rsidRPr="00C34D98">
        <w:t xml:space="preserve"> bias is evident across a range of supply chain actors (Ancarani et al. 2016; Hoffman and Burks 2017). Generally, individuals with perceived expertise have regularly shown overconfidence (Erceg and Galic 2014)</w:t>
      </w:r>
      <w:r w:rsidR="0041114C">
        <w:t>, and this bias</w:t>
      </w:r>
      <w:r w:rsidRPr="00C34D98">
        <w:t xml:space="preserve"> </w:t>
      </w:r>
      <w:r w:rsidR="0041114C">
        <w:t>ha</w:t>
      </w:r>
      <w:r w:rsidRPr="00C34D98">
        <w:t xml:space="preserve">s also </w:t>
      </w:r>
      <w:r w:rsidR="0041114C">
        <w:t>be sh</w:t>
      </w:r>
      <w:r w:rsidRPr="00C34D98">
        <w:t xml:space="preserve">own to manifest </w:t>
      </w:r>
      <w:r w:rsidR="0041114C">
        <w:t>as</w:t>
      </w:r>
      <w:r w:rsidRPr="00C34D98">
        <w:t xml:space="preserve"> </w:t>
      </w:r>
      <w:r w:rsidR="0041114C">
        <w:t xml:space="preserve">an </w:t>
      </w:r>
      <w:r w:rsidRPr="00C34D98">
        <w:t xml:space="preserve">overestimation of personal skills in particular domains (Doukas and Petmezas 2007). Moreover, work by Tetlock and Gardner (2015) has drawn attention to overconfidence as a factor that explains why individuals with higher (cf. lower) levels of expertise often make poorer forecasts across diverse domains. One possible general explanation as to why individuals with higher levels of expertise often make poorer forecasts is because they mistakenly see themselves as less susceptible to overconfidence (Furnham and Boo 2011). </w:t>
      </w:r>
    </w:p>
    <w:p w:rsidR="000859BC" w:rsidRPr="00C34D98" w:rsidRDefault="000859BC" w:rsidP="000859BC">
      <w:pPr>
        <w:spacing w:line="360" w:lineRule="auto"/>
        <w:ind w:firstLine="720"/>
        <w:jc w:val="both"/>
      </w:pPr>
      <w:r w:rsidRPr="00C34D98">
        <w:t>Drawing from Erceg and Galic (2014), we now explore the two predominant paradigms within which overconfidence studies have tended to focus: (i) confidence in binary decisions and (ii) interval prediction formats.</w:t>
      </w:r>
    </w:p>
    <w:p w:rsidR="000859BC" w:rsidRPr="00C34D98" w:rsidRDefault="000859BC" w:rsidP="000859BC">
      <w:pPr>
        <w:spacing w:line="360" w:lineRule="auto"/>
        <w:ind w:firstLine="720"/>
        <w:jc w:val="both"/>
      </w:pPr>
    </w:p>
    <w:p w:rsidR="000859BC" w:rsidRPr="00C34D98" w:rsidRDefault="00AF2E9A" w:rsidP="000859BC">
      <w:pPr>
        <w:spacing w:line="360" w:lineRule="auto"/>
        <w:jc w:val="both"/>
      </w:pPr>
      <w:r w:rsidRPr="005A64F1">
        <w:rPr>
          <w:i/>
        </w:rPr>
        <w:t>2.</w:t>
      </w:r>
      <w:r w:rsidR="00B55258" w:rsidRPr="005A64F1">
        <w:rPr>
          <w:i/>
        </w:rPr>
        <w:t>2</w:t>
      </w:r>
      <w:r w:rsidRPr="005A64F1">
        <w:rPr>
          <w:i/>
        </w:rPr>
        <w:t xml:space="preserve">.1 </w:t>
      </w:r>
      <w:r w:rsidR="000859BC" w:rsidRPr="005A64F1">
        <w:rPr>
          <w:i/>
        </w:rPr>
        <w:t>Overconfidence as mis-calibration</w:t>
      </w:r>
      <w:r w:rsidR="000859BC" w:rsidRPr="005A64F1">
        <w:rPr>
          <w:b/>
          <w:i/>
        </w:rPr>
        <w:t xml:space="preserve"> </w:t>
      </w:r>
      <w:r w:rsidR="000859BC" w:rsidRPr="005A64F1">
        <w:rPr>
          <w:i/>
        </w:rPr>
        <w:t>(‘mis-calibration’)</w:t>
      </w:r>
      <w:r w:rsidR="000859BC" w:rsidRPr="005A64F1">
        <w:t>:</w:t>
      </w:r>
      <w:r w:rsidR="000859BC" w:rsidRPr="00C34D98">
        <w:t xml:space="preserve"> Much of the evidence on overconfidence comes from calibration studies (Ancarani et al. 2016). These studies involve researchers providing a series of questions and providing two alternative answers for each question. The respondent chooses </w:t>
      </w:r>
      <w:r w:rsidR="00267530" w:rsidRPr="00C34D98">
        <w:t xml:space="preserve">one answer </w:t>
      </w:r>
      <w:r w:rsidR="000859BC" w:rsidRPr="00C34D98">
        <w:t xml:space="preserve">and expresses confidence on a probability scale on the correctness of their responses (Erceg </w:t>
      </w:r>
      <w:r w:rsidR="00BD5EC9" w:rsidRPr="00C34D98">
        <w:t>and</w:t>
      </w:r>
      <w:r w:rsidR="000859BC" w:rsidRPr="00C34D98">
        <w:t xml:space="preserve"> Galic 2014). Researchers then assess whether a mis-calibration exists. In order words, they assess whether there is a difference between the accuracy and self-assigned probability that the response is correct (Skala 2008). Well-calibrated probability judgements will closely match their accuracy (Ji </w:t>
      </w:r>
      <w:r w:rsidR="00BD5EC9" w:rsidRPr="00C34D98">
        <w:t>and</w:t>
      </w:r>
      <w:r w:rsidR="000859BC" w:rsidRPr="00C34D98">
        <w:t xml:space="preserve"> Kaulius 2013).</w:t>
      </w:r>
    </w:p>
    <w:p w:rsidR="000859BC" w:rsidRPr="00C34D98" w:rsidRDefault="000859BC" w:rsidP="000859BC">
      <w:pPr>
        <w:spacing w:line="360" w:lineRule="auto"/>
        <w:jc w:val="both"/>
      </w:pPr>
    </w:p>
    <w:p w:rsidR="000859BC" w:rsidRDefault="00AF2E9A" w:rsidP="000859BC">
      <w:pPr>
        <w:spacing w:line="360" w:lineRule="auto"/>
        <w:jc w:val="both"/>
      </w:pPr>
      <w:r w:rsidRPr="00C34D98">
        <w:rPr>
          <w:i/>
        </w:rPr>
        <w:t>2.</w:t>
      </w:r>
      <w:r w:rsidR="00B55258" w:rsidRPr="00C34D98">
        <w:rPr>
          <w:i/>
        </w:rPr>
        <w:t>2</w:t>
      </w:r>
      <w:r w:rsidRPr="00C34D98">
        <w:rPr>
          <w:i/>
        </w:rPr>
        <w:t xml:space="preserve">.2 </w:t>
      </w:r>
      <w:r w:rsidR="000859BC" w:rsidRPr="00C34D98">
        <w:rPr>
          <w:i/>
        </w:rPr>
        <w:t>Overconfidence within intervals</w:t>
      </w:r>
      <w:r w:rsidR="000859BC" w:rsidRPr="00C34D98">
        <w:rPr>
          <w:b/>
          <w:i/>
        </w:rPr>
        <w:t xml:space="preserve"> </w:t>
      </w:r>
      <w:r w:rsidR="000859BC" w:rsidRPr="00C34D98">
        <w:rPr>
          <w:i/>
        </w:rPr>
        <w:t>(‘over-precision’)</w:t>
      </w:r>
      <w:r w:rsidR="000859BC" w:rsidRPr="00C34D98">
        <w:t xml:space="preserve">: </w:t>
      </w:r>
      <w:r w:rsidR="00267530" w:rsidRPr="00C34D98">
        <w:t>The literature shows that overconfidence elicits preferences for overly narrow confidence intervals (Goodwin and Wright 2014). Hence, it seems reasonable to suggest that</w:t>
      </w:r>
      <w:r w:rsidR="00D04900" w:rsidRPr="00C34D98">
        <w:t xml:space="preserve"> </w:t>
      </w:r>
      <w:r w:rsidR="0086760E" w:rsidRPr="00C34D98">
        <w:t xml:space="preserve">supply chain actors </w:t>
      </w:r>
      <w:r w:rsidR="00267530" w:rsidRPr="00C34D98">
        <w:t>may</w:t>
      </w:r>
      <w:r w:rsidR="0086760E" w:rsidRPr="00C34D98">
        <w:t xml:space="preserve"> be </w:t>
      </w:r>
      <w:r w:rsidR="000859BC" w:rsidRPr="00C34D98">
        <w:t>overconfident about the chances that their estimated ranges include the true value. Interestingly, the creation of such overly narrow intervals can be explained in part through an interaction between overconfidence and the anchoring heuristic</w:t>
      </w:r>
      <w:r w:rsidR="00267530" w:rsidRPr="00C34D98">
        <w:t xml:space="preserve"> (Tversky and Kahneman 1974)</w:t>
      </w:r>
      <w:r w:rsidR="000859BC" w:rsidRPr="00C34D98">
        <w:t xml:space="preserve">. This is because individuals start with an initial value and anchor to it, which </w:t>
      </w:r>
      <w:r w:rsidR="00267530" w:rsidRPr="00C34D98">
        <w:t xml:space="preserve">often </w:t>
      </w:r>
      <w:r w:rsidR="000859BC" w:rsidRPr="00C34D98">
        <w:t xml:space="preserve">has the effect of squeezing intervals to become too narrow to include the correct value (Goodwin </w:t>
      </w:r>
      <w:r w:rsidR="00BD5EC9" w:rsidRPr="00C34D98">
        <w:t>and</w:t>
      </w:r>
      <w:r w:rsidR="000859BC" w:rsidRPr="00C34D98">
        <w:t xml:space="preserve"> </w:t>
      </w:r>
      <w:r w:rsidR="000859BC" w:rsidRPr="00C34D98">
        <w:lastRenderedPageBreak/>
        <w:t xml:space="preserve">Wright 2014). </w:t>
      </w:r>
      <w:r w:rsidR="00D04900" w:rsidRPr="00C34D98">
        <w:t xml:space="preserve">Therefore, </w:t>
      </w:r>
      <w:r w:rsidR="000859BC" w:rsidRPr="00C34D98">
        <w:t>heuristics may operate in conjunction with one another. Moreover, the theoretical simplification afforded by studies on individual heuristics, while often very necessary, can easily detach from complex behavioural reality within organisations that exists in the absence of careful attention to the psychological processes and broad social contexts in which they are used.</w:t>
      </w:r>
    </w:p>
    <w:p w:rsidR="00F668B3" w:rsidRPr="00C60C5A" w:rsidRDefault="00F668B3" w:rsidP="00F668B3">
      <w:pPr>
        <w:spacing w:line="360" w:lineRule="auto"/>
        <w:jc w:val="both"/>
        <w:rPr>
          <w:color w:val="000000" w:themeColor="text1"/>
        </w:rPr>
      </w:pPr>
    </w:p>
    <w:p w:rsidR="000859BC" w:rsidRPr="00C34D98" w:rsidRDefault="00E15820" w:rsidP="000859BC">
      <w:pPr>
        <w:spacing w:line="360" w:lineRule="auto"/>
        <w:jc w:val="both"/>
        <w:rPr>
          <w:b/>
        </w:rPr>
      </w:pPr>
      <w:r w:rsidRPr="006607D8">
        <w:rPr>
          <w:b/>
        </w:rPr>
        <w:t>3. The study</w:t>
      </w:r>
    </w:p>
    <w:p w:rsidR="00E04E35" w:rsidRDefault="00E04E35" w:rsidP="000859BC">
      <w:pPr>
        <w:spacing w:line="360" w:lineRule="auto"/>
        <w:jc w:val="both"/>
        <w:rPr>
          <w:i/>
        </w:rPr>
      </w:pPr>
      <w:r>
        <w:rPr>
          <w:i/>
        </w:rPr>
        <w:t>3.1 Research methods</w:t>
      </w:r>
    </w:p>
    <w:p w:rsidR="00F86A28" w:rsidRDefault="000377FA" w:rsidP="00F86A28">
      <w:pPr>
        <w:spacing w:line="360" w:lineRule="auto"/>
        <w:jc w:val="both"/>
      </w:pPr>
      <w:r>
        <w:t xml:space="preserve">Our study sought to </w:t>
      </w:r>
      <w:r w:rsidRPr="00C34D98">
        <w:t>assess the extent to which</w:t>
      </w:r>
      <w:r w:rsidR="006F6866">
        <w:t>,</w:t>
      </w:r>
      <w:r w:rsidRPr="00C34D98">
        <w:t xml:space="preserve"> </w:t>
      </w:r>
      <w:r>
        <w:t xml:space="preserve">in </w:t>
      </w:r>
      <w:r w:rsidRPr="00C34D98">
        <w:t xml:space="preserve">operational </w:t>
      </w:r>
      <w:r>
        <w:t xml:space="preserve">settings, </w:t>
      </w:r>
      <w:r w:rsidRPr="00C34D98">
        <w:t xml:space="preserve">the anchoring heuristic and overconfidence bias </w:t>
      </w:r>
      <w:r w:rsidR="006F6866" w:rsidRPr="00C34D98">
        <w:t xml:space="preserve">led to inaccurate judgments </w:t>
      </w:r>
      <w:r w:rsidRPr="00C34D98">
        <w:t xml:space="preserve">among frontline employees of complex multi-stakeholder supply chain organisations. </w:t>
      </w:r>
      <w:r w:rsidR="0062784A">
        <w:t xml:space="preserve">As there is </w:t>
      </w:r>
      <w:r w:rsidR="00E04E35">
        <w:t xml:space="preserve">currently </w:t>
      </w:r>
      <w:r w:rsidR="0062784A">
        <w:t xml:space="preserve">a paucity in validated </w:t>
      </w:r>
      <w:r w:rsidR="00E04E35">
        <w:t xml:space="preserve">empirical knowledge </w:t>
      </w:r>
      <w:r w:rsidR="0062784A">
        <w:t xml:space="preserve">on this topic, we employ a case study as our research tool. Case studies are a </w:t>
      </w:r>
      <w:r w:rsidR="006F6866">
        <w:t>well-recognised</w:t>
      </w:r>
      <w:r w:rsidR="0062784A">
        <w:t xml:space="preserve"> means of undertaking </w:t>
      </w:r>
      <w:r w:rsidR="00E04E35">
        <w:t xml:space="preserve">exploratory </w:t>
      </w:r>
      <w:r w:rsidR="0062784A">
        <w:t xml:space="preserve">studies focused on the development of </w:t>
      </w:r>
      <w:r w:rsidR="00E04E35">
        <w:t>new</w:t>
      </w:r>
      <w:r w:rsidR="0062784A">
        <w:t>er</w:t>
      </w:r>
      <w:r w:rsidR="00E04E35">
        <w:t xml:space="preserve"> understanding</w:t>
      </w:r>
      <w:r w:rsidR="0062784A">
        <w:t>s</w:t>
      </w:r>
      <w:r w:rsidR="00E04E35">
        <w:t xml:space="preserve"> </w:t>
      </w:r>
      <w:r w:rsidR="0062784A">
        <w:t>within operations management</w:t>
      </w:r>
      <w:r w:rsidR="00E04E35">
        <w:t xml:space="preserve"> (</w:t>
      </w:r>
      <w:r w:rsidR="00E557CA" w:rsidRPr="00E557CA">
        <w:t>Barratt</w:t>
      </w:r>
      <w:r w:rsidR="00E557CA">
        <w:t xml:space="preserve"> et al. 2011</w:t>
      </w:r>
      <w:r w:rsidR="00E04E35">
        <w:t xml:space="preserve">). </w:t>
      </w:r>
      <w:r w:rsidR="009E2A7E">
        <w:t xml:space="preserve">The utilisation of single case studies to build knowledge in operations management is </w:t>
      </w:r>
      <w:r w:rsidR="00E04E35">
        <w:t xml:space="preserve">increasingly </w:t>
      </w:r>
      <w:r w:rsidR="009E2A7E">
        <w:t xml:space="preserve">becoming popular </w:t>
      </w:r>
      <w:r w:rsidR="007E28B0">
        <w:t>in the literature</w:t>
      </w:r>
      <w:r w:rsidR="00E04E35">
        <w:t xml:space="preserve"> (</w:t>
      </w:r>
      <w:r w:rsidR="005A4114" w:rsidRPr="005A4114">
        <w:t>Ketokivi and Choi 2014</w:t>
      </w:r>
      <w:r w:rsidR="007E28B0">
        <w:t>).</w:t>
      </w:r>
      <w:r w:rsidR="004D21D3">
        <w:t xml:space="preserve"> To ensure that the earlier stated research question (</w:t>
      </w:r>
      <w:r w:rsidR="004D21D3" w:rsidRPr="00F86A28">
        <w:rPr>
          <w:i/>
        </w:rPr>
        <w:t>How prevalent are heuristics and overconfidence bias in the decision making of frontline employees within complex multi-stakeholder supply chain organisations?)</w:t>
      </w:r>
      <w:r w:rsidR="004D21D3">
        <w:t xml:space="preserve"> was adequately addressed, </w:t>
      </w:r>
      <w:r w:rsidR="00F86A28">
        <w:t xml:space="preserve">we selected for investigation, </w:t>
      </w:r>
      <w:r w:rsidR="00F86A28" w:rsidRPr="00C34D98">
        <w:t>a</w:t>
      </w:r>
      <w:r w:rsidR="00F86A28">
        <w:t>s case organisation, a</w:t>
      </w:r>
      <w:r w:rsidR="00F86A28" w:rsidRPr="00C34D98">
        <w:t xml:space="preserve"> United Kingdom (UK) based freight forward and materials handling company (</w:t>
      </w:r>
      <w:r w:rsidR="00F86A28" w:rsidRPr="00C34D98">
        <w:rPr>
          <w:i/>
        </w:rPr>
        <w:t>Organisation ‘A’</w:t>
      </w:r>
      <w:r w:rsidR="00F86A28" w:rsidRPr="00C34D98">
        <w:t>).</w:t>
      </w:r>
      <w:r w:rsidR="00F86A28" w:rsidRPr="00F86A28">
        <w:t xml:space="preserve"> </w:t>
      </w:r>
    </w:p>
    <w:p w:rsidR="005015C0" w:rsidRDefault="005015C0" w:rsidP="00F86A28">
      <w:pPr>
        <w:spacing w:line="360" w:lineRule="auto"/>
        <w:jc w:val="both"/>
      </w:pPr>
    </w:p>
    <w:p w:rsidR="00F86A28" w:rsidRPr="00F86A28" w:rsidRDefault="00F86A28" w:rsidP="00F86A28">
      <w:pPr>
        <w:spacing w:line="360" w:lineRule="auto"/>
        <w:jc w:val="both"/>
        <w:rPr>
          <w:i/>
        </w:rPr>
      </w:pPr>
      <w:r w:rsidRPr="00F86A28">
        <w:rPr>
          <w:i/>
        </w:rPr>
        <w:t>3.2 The case organisation</w:t>
      </w:r>
    </w:p>
    <w:p w:rsidR="00F86A28" w:rsidRDefault="00F86A28" w:rsidP="00F86A28">
      <w:pPr>
        <w:spacing w:line="360" w:lineRule="auto"/>
        <w:jc w:val="both"/>
      </w:pPr>
      <w:r w:rsidRPr="00C34D98">
        <w:t>The organisation is structured into three main divisions: operations, sales and accounts. It maintains nine offices worldwide spanning four continents. Its headquarters and largest office is located in the UK.</w:t>
      </w:r>
    </w:p>
    <w:p w:rsidR="00F86A28" w:rsidRPr="00C34D98" w:rsidRDefault="00F86A28" w:rsidP="00F86A28">
      <w:pPr>
        <w:spacing w:line="360" w:lineRule="auto"/>
        <w:ind w:firstLine="720"/>
        <w:jc w:val="both"/>
      </w:pPr>
      <w:r w:rsidRPr="00C34D98">
        <w:rPr>
          <w:i/>
        </w:rPr>
        <w:t>Organisation ‘A’</w:t>
      </w:r>
      <w:r w:rsidRPr="00C34D98">
        <w:t xml:space="preserve"> can be described as a ‘complex multi-stakeholder organisation’ in that it caters not only for multiple, diverse and heterogeneous stakeholder service needs, but </w:t>
      </w:r>
      <w:r w:rsidR="006F6866">
        <w:t xml:space="preserve">these </w:t>
      </w:r>
      <w:r w:rsidRPr="00C34D98">
        <w:t xml:space="preserve">service needs are contradictory in some cases </w:t>
      </w:r>
      <w:r w:rsidR="006F6866">
        <w:t xml:space="preserve">and </w:t>
      </w:r>
      <w:r w:rsidRPr="00C34D98">
        <w:t>contested between its diverse customers. The implication of this being that frontline employees face major challenges when seeking to articulate service templates, which are coherent and compatible to both the organisation</w:t>
      </w:r>
      <w:r w:rsidR="006F6866">
        <w:t>’</w:t>
      </w:r>
      <w:r w:rsidRPr="00C34D98">
        <w:t xml:space="preserve">s institutional structures and the institutional structures of its customers. Being a complex multi-stakeholder organisation also means that the manner </w:t>
      </w:r>
      <w:r w:rsidR="006F6866">
        <w:t>in</w:t>
      </w:r>
      <w:r w:rsidRPr="00C34D98">
        <w:t xml:space="preserve"> which its frontline employees respond to challenges posed by individual customer needs will differ significantly and be partially based on the</w:t>
      </w:r>
      <w:r w:rsidR="006F6866">
        <w:t xml:space="preserve"> employee’s</w:t>
      </w:r>
      <w:r w:rsidRPr="00C34D98">
        <w:t xml:space="preserve"> creativity. </w:t>
      </w:r>
    </w:p>
    <w:p w:rsidR="002F08A9" w:rsidRDefault="002F08A9" w:rsidP="00C6194F">
      <w:pPr>
        <w:spacing w:line="360" w:lineRule="auto"/>
        <w:ind w:firstLine="720"/>
        <w:jc w:val="both"/>
        <w:rPr>
          <w:i/>
        </w:rPr>
      </w:pPr>
    </w:p>
    <w:p w:rsidR="002F08A9" w:rsidRPr="00C34D98" w:rsidRDefault="002F08A9" w:rsidP="002F08A9">
      <w:pPr>
        <w:spacing w:line="360" w:lineRule="auto"/>
        <w:jc w:val="both"/>
        <w:rPr>
          <w:i/>
        </w:rPr>
      </w:pPr>
      <w:r w:rsidRPr="00C34D98">
        <w:rPr>
          <w:i/>
        </w:rPr>
        <w:t>3.</w:t>
      </w:r>
      <w:r w:rsidR="004E109E">
        <w:rPr>
          <w:i/>
        </w:rPr>
        <w:t>3</w:t>
      </w:r>
      <w:r w:rsidRPr="00C34D98">
        <w:rPr>
          <w:i/>
        </w:rPr>
        <w:t xml:space="preserve"> </w:t>
      </w:r>
      <w:r w:rsidR="004E109E">
        <w:rPr>
          <w:i/>
        </w:rPr>
        <w:t>Choice of Organisation ‘A’</w:t>
      </w:r>
    </w:p>
    <w:p w:rsidR="000859BC" w:rsidRDefault="002F08A9" w:rsidP="000859BC">
      <w:pPr>
        <w:spacing w:line="360" w:lineRule="auto"/>
        <w:jc w:val="both"/>
      </w:pPr>
      <w:r w:rsidRPr="00C34D98">
        <w:t xml:space="preserve">Our choice of the case organisation was </w:t>
      </w:r>
      <w:r w:rsidR="00D435B1">
        <w:t xml:space="preserve">also </w:t>
      </w:r>
      <w:r w:rsidR="00443821">
        <w:t>based on</w:t>
      </w:r>
      <w:r w:rsidRPr="00C34D98">
        <w:t xml:space="preserve"> the following </w:t>
      </w:r>
      <w:r w:rsidRPr="00D435B1">
        <w:t xml:space="preserve">reasons. </w:t>
      </w:r>
      <w:r w:rsidRPr="00D435B1">
        <w:rPr>
          <w:i/>
        </w:rPr>
        <w:t>First</w:t>
      </w:r>
      <w:r w:rsidRPr="00D435B1">
        <w:t>, the</w:t>
      </w:r>
      <w:r w:rsidRPr="00C34D98">
        <w:t xml:space="preserve"> organisation is widely recognised as an industry leader in the provision of supply and logistics services. For this reason, </w:t>
      </w:r>
      <w:r w:rsidRPr="00C34D98">
        <w:lastRenderedPageBreak/>
        <w:t xml:space="preserve">it </w:t>
      </w:r>
      <w:r w:rsidR="00443821">
        <w:t>has developed</w:t>
      </w:r>
      <w:r w:rsidRPr="00C34D98">
        <w:t xml:space="preserve"> meaningful best practice</w:t>
      </w:r>
      <w:r w:rsidR="00443821">
        <w:t>s from</w:t>
      </w:r>
      <w:r w:rsidRPr="00C34D98">
        <w:t xml:space="preserve"> lessons learned</w:t>
      </w:r>
      <w:r w:rsidR="00443821">
        <w:t>, which</w:t>
      </w:r>
      <w:r w:rsidRPr="00C34D98">
        <w:t xml:space="preserve"> </w:t>
      </w:r>
      <w:r w:rsidR="00443821">
        <w:t>have then been used</w:t>
      </w:r>
      <w:r w:rsidRPr="00C34D98">
        <w:t xml:space="preserve"> to support theory building</w:t>
      </w:r>
      <w:r w:rsidR="00443821">
        <w:t>/</w:t>
      </w:r>
      <w:r w:rsidRPr="00C34D98">
        <w:t xml:space="preserve">testing (Siggelkow 2007), </w:t>
      </w:r>
      <w:r w:rsidR="00443821">
        <w:t>and</w:t>
      </w:r>
      <w:r w:rsidRPr="00C34D98">
        <w:t xml:space="preserve"> enhance managerial practice (Barratt et al. 2011). </w:t>
      </w:r>
      <w:r w:rsidR="00D435B1">
        <w:rPr>
          <w:i/>
        </w:rPr>
        <w:t>Second</w:t>
      </w:r>
      <w:r w:rsidRPr="00C34D98">
        <w:t>, our decision to conduct the study within the specific case was also</w:t>
      </w:r>
      <w:r w:rsidR="00AD6156">
        <w:t xml:space="preserve"> because the organisation regularly dealt with complex problems that required creative solutions.</w:t>
      </w:r>
      <w:r w:rsidRPr="00C34D98">
        <w:t xml:space="preserve"> Jeng (2018) had opined that supply chain firms were in need of frontline employees who were creative. In this context, creativity implies having the “</w:t>
      </w:r>
      <w:r w:rsidRPr="00C34D98">
        <w:rPr>
          <w:i/>
        </w:rPr>
        <w:t>…the ability to produce work that is both novel (i.e., original, unexpected) and appropriate (i.e., useful, adaptive concerning task constraints)</w:t>
      </w:r>
      <w:r w:rsidRPr="00C34D98">
        <w:t>” (Sternberg et al. 2002; p. 3). Most importantly, Jeng</w:t>
      </w:r>
      <w:r w:rsidR="00AD6156">
        <w:t>’s</w:t>
      </w:r>
      <w:r w:rsidRPr="00C34D98">
        <w:t xml:space="preserve"> (2018) </w:t>
      </w:r>
      <w:r w:rsidR="00AD6156">
        <w:t>research showed</w:t>
      </w:r>
      <w:r w:rsidRPr="00C34D98">
        <w:t xml:space="preserve"> that</w:t>
      </w:r>
      <w:r w:rsidR="00AD6156">
        <w:t xml:space="preserve"> complexity </w:t>
      </w:r>
      <w:r w:rsidRPr="00C34D98">
        <w:t xml:space="preserve">had a direct impact on </w:t>
      </w:r>
      <w:r w:rsidR="00AD6156">
        <w:t>the</w:t>
      </w:r>
      <w:r w:rsidRPr="00C34D98">
        <w:t xml:space="preserve"> creativity</w:t>
      </w:r>
      <w:r w:rsidR="00AD6156">
        <w:t xml:space="preserve"> of </w:t>
      </w:r>
      <w:r w:rsidR="00AD6156" w:rsidRPr="00C34D98">
        <w:t>frontline supply chain employees</w:t>
      </w:r>
      <w:r w:rsidR="00AD6156">
        <w:t xml:space="preserve">, and that this impact </w:t>
      </w:r>
      <w:r w:rsidRPr="00C34D98">
        <w:t xml:space="preserve">was more pronounced in supply chain organisations that provided a variety of services than those that provided </w:t>
      </w:r>
      <w:r w:rsidR="00AD6156">
        <w:t xml:space="preserve">standardized </w:t>
      </w:r>
      <w:r w:rsidRPr="00C34D98">
        <w:t xml:space="preserve">services. </w:t>
      </w:r>
      <w:r w:rsidR="00AD6156">
        <w:t>Furthermore, w</w:t>
      </w:r>
      <w:r w:rsidRPr="00C34D98">
        <w:t xml:space="preserve">e </w:t>
      </w:r>
      <w:r w:rsidR="00AD6156">
        <w:t>we</w:t>
      </w:r>
      <w:r w:rsidRPr="00C34D98">
        <w:t xml:space="preserve">re aware that </w:t>
      </w:r>
      <w:r w:rsidR="00AD6156">
        <w:t xml:space="preserve">some </w:t>
      </w:r>
      <w:r w:rsidRPr="00C34D98">
        <w:t>literature suggests the creativ</w:t>
      </w:r>
      <w:r w:rsidR="00AD6156">
        <w:t>e</w:t>
      </w:r>
      <w:r w:rsidRPr="00C34D98">
        <w:t xml:space="preserve"> decisions of individuals is generally not strongly driven by objective costs and benefits assessments of their decisions. Instead, what appears to matter more to those involved in creative endeavours is the </w:t>
      </w:r>
      <w:r w:rsidR="00AD6156">
        <w:t xml:space="preserve">immediate </w:t>
      </w:r>
      <w:r w:rsidRPr="00C34D98">
        <w:t xml:space="preserve">context of creativity. In effect, those involved in creativity </w:t>
      </w:r>
      <w:r w:rsidR="00AD6156">
        <w:t xml:space="preserve">may </w:t>
      </w:r>
      <w:r w:rsidRPr="00C34D98">
        <w:t xml:space="preserve">often use mental shortcuts in their </w:t>
      </w:r>
      <w:r>
        <w:t>decision-making</w:t>
      </w:r>
      <w:r w:rsidRPr="00C34D98">
        <w:t xml:space="preserve"> (Bechtold et al. 2015).</w:t>
      </w:r>
    </w:p>
    <w:p w:rsidR="00146C0D" w:rsidRPr="00C34D98" w:rsidRDefault="00146C0D" w:rsidP="000859BC">
      <w:pPr>
        <w:spacing w:line="360" w:lineRule="auto"/>
        <w:jc w:val="both"/>
      </w:pPr>
    </w:p>
    <w:p w:rsidR="000859BC" w:rsidRPr="00C34D98" w:rsidRDefault="008D2DEC" w:rsidP="000859BC">
      <w:pPr>
        <w:spacing w:line="360" w:lineRule="auto"/>
        <w:jc w:val="both"/>
        <w:rPr>
          <w:i/>
        </w:rPr>
      </w:pPr>
      <w:r w:rsidRPr="00A8096E">
        <w:rPr>
          <w:i/>
        </w:rPr>
        <w:t>3.</w:t>
      </w:r>
      <w:r w:rsidR="004E109E" w:rsidRPr="00A8096E">
        <w:rPr>
          <w:i/>
        </w:rPr>
        <w:t>4</w:t>
      </w:r>
      <w:r w:rsidRPr="00A8096E">
        <w:rPr>
          <w:i/>
        </w:rPr>
        <w:t xml:space="preserve"> </w:t>
      </w:r>
      <w:r w:rsidR="000859BC" w:rsidRPr="00A8096E">
        <w:rPr>
          <w:i/>
        </w:rPr>
        <w:t>The survey instrument</w:t>
      </w:r>
    </w:p>
    <w:p w:rsidR="008D2DEC" w:rsidRPr="00C34D98" w:rsidRDefault="00CB67BA" w:rsidP="008D2DEC">
      <w:pPr>
        <w:spacing w:line="360" w:lineRule="auto"/>
        <w:jc w:val="both"/>
      </w:pPr>
      <w:r w:rsidRPr="00146C0D">
        <w:t xml:space="preserve">The </w:t>
      </w:r>
      <w:r w:rsidR="000859BC" w:rsidRPr="00146C0D">
        <w:t xml:space="preserve">survey instrument </w:t>
      </w:r>
      <w:r w:rsidRPr="00146C0D">
        <w:t xml:space="preserve">consisted of </w:t>
      </w:r>
      <w:r w:rsidR="000859BC" w:rsidRPr="00146C0D">
        <w:t>twenty-seven open and closed questions</w:t>
      </w:r>
      <w:r w:rsidR="000859BC" w:rsidRPr="00146C0D" w:rsidDel="00D755C1">
        <w:t xml:space="preserve"> </w:t>
      </w:r>
      <w:r w:rsidR="008D2DEC" w:rsidRPr="00146C0D">
        <w:t xml:space="preserve">sub-divided </w:t>
      </w:r>
      <w:r w:rsidR="000859BC" w:rsidRPr="00146C0D">
        <w:t>into five sections</w:t>
      </w:r>
      <w:r w:rsidR="0028306A" w:rsidRPr="00664523">
        <w:t xml:space="preserve"> </w:t>
      </w:r>
      <w:r w:rsidR="0028306A" w:rsidRPr="00146C0D">
        <w:t>(see Appendix 1 for full survey instrument)</w:t>
      </w:r>
      <w:r w:rsidR="000859BC" w:rsidRPr="00146C0D">
        <w:t>. Overall, question structures were varied to support the exploration of different elements of the heuristic</w:t>
      </w:r>
      <w:r w:rsidR="00E03FA4" w:rsidRPr="00664523">
        <w:t>s</w:t>
      </w:r>
      <w:r w:rsidR="000859BC" w:rsidRPr="00664523">
        <w:t>/bias</w:t>
      </w:r>
      <w:r w:rsidR="00E03FA4" w:rsidRPr="00B75EF6">
        <w:t>es potentially associated with</w:t>
      </w:r>
      <w:r w:rsidR="000859BC" w:rsidRPr="00146C0D">
        <w:t xml:space="preserve"> </w:t>
      </w:r>
      <w:r w:rsidR="008D2DEC" w:rsidRPr="00146C0D">
        <w:t>specific actor decisions</w:t>
      </w:r>
      <w:r w:rsidR="000859BC" w:rsidRPr="00146C0D">
        <w:t xml:space="preserve">. </w:t>
      </w:r>
      <w:r w:rsidR="0028306A" w:rsidRPr="00146C0D">
        <w:t>Survey instruments of this nature</w:t>
      </w:r>
      <w:r w:rsidR="001A0B73" w:rsidRPr="00146C0D">
        <w:t xml:space="preserve"> </w:t>
      </w:r>
      <w:r w:rsidR="0028306A" w:rsidRPr="00146C0D">
        <w:t>have</w:t>
      </w:r>
      <w:r w:rsidR="001A0B73" w:rsidRPr="00146C0D">
        <w:t xml:space="preserve"> be</w:t>
      </w:r>
      <w:r w:rsidR="0028306A" w:rsidRPr="00146C0D">
        <w:t>en one of the most common</w:t>
      </w:r>
      <w:r w:rsidR="001A0B73" w:rsidRPr="00146C0D">
        <w:t xml:space="preserve"> methodolog</w:t>
      </w:r>
      <w:r w:rsidR="0028306A" w:rsidRPr="00146C0D">
        <w:t>ical approaches used to assess</w:t>
      </w:r>
      <w:r w:rsidR="001A0B73" w:rsidRPr="00146C0D">
        <w:t xml:space="preserve"> the extent to which individuals employ heuristics when making decision-relevant judgments (e.g., </w:t>
      </w:r>
      <w:r w:rsidR="0028306A" w:rsidRPr="00146C0D">
        <w:t>Tversky and Kahneman 1974</w:t>
      </w:r>
      <w:r w:rsidR="00C10ED2">
        <w:t xml:space="preserve">; </w:t>
      </w:r>
      <w:r w:rsidR="00C10ED2" w:rsidRPr="00146C0D">
        <w:t xml:space="preserve">Gilovich et al. 2002; Goodwin </w:t>
      </w:r>
      <w:r w:rsidR="00C10ED2">
        <w:t>and</w:t>
      </w:r>
      <w:r w:rsidR="00C10ED2" w:rsidRPr="00146C0D">
        <w:t xml:space="preserve"> Wright 2014</w:t>
      </w:r>
      <w:r w:rsidR="001A0B73" w:rsidRPr="00146C0D">
        <w:t>).</w:t>
      </w:r>
      <w:r w:rsidR="001A0B73">
        <w:t xml:space="preserve"> </w:t>
      </w:r>
      <w:r w:rsidR="000859BC" w:rsidRPr="00C34D98">
        <w:t xml:space="preserve">The five sections </w:t>
      </w:r>
      <w:r w:rsidR="001A0B73">
        <w:t>of our questionnaire are now explained</w:t>
      </w:r>
      <w:r w:rsidR="000859BC" w:rsidRPr="00C34D98">
        <w:t xml:space="preserve">. </w:t>
      </w:r>
    </w:p>
    <w:p w:rsidR="00E41067" w:rsidRDefault="000859BC" w:rsidP="008D2DEC">
      <w:pPr>
        <w:spacing w:line="360" w:lineRule="auto"/>
        <w:ind w:firstLine="720"/>
        <w:jc w:val="both"/>
      </w:pPr>
      <w:r w:rsidRPr="00B75EF6">
        <w:t xml:space="preserve">The </w:t>
      </w:r>
      <w:r w:rsidRPr="00B75EF6">
        <w:rPr>
          <w:i/>
        </w:rPr>
        <w:t>first</w:t>
      </w:r>
      <w:r w:rsidRPr="00B75EF6">
        <w:t xml:space="preserve"> section of the questionnaire, drawn from Tversky and Kahneman (1974), contained questions enquiring if a value is perceived to be higher or lower than a given anchor, followed by </w:t>
      </w:r>
      <w:r w:rsidR="008B46B2" w:rsidRPr="00B75EF6">
        <w:t xml:space="preserve">a request for </w:t>
      </w:r>
      <w:r w:rsidRPr="00B75EF6">
        <w:t>an absolute estimate of the same value. This question structure has been employed in prior studies exploring economic behaviour (Bergman et al</w:t>
      </w:r>
      <w:r w:rsidR="00096915" w:rsidRPr="00B75EF6">
        <w:t>.</w:t>
      </w:r>
      <w:r w:rsidRPr="00B75EF6">
        <w:t xml:space="preserve"> 2010) and legal judgements (Englich et al</w:t>
      </w:r>
      <w:r w:rsidR="00096915" w:rsidRPr="00B75EF6">
        <w:t>.</w:t>
      </w:r>
      <w:r w:rsidRPr="00B75EF6">
        <w:t xml:space="preserve"> 2006).</w:t>
      </w:r>
      <w:r w:rsidR="00E41067" w:rsidRPr="00B75EF6">
        <w:t xml:space="preserve"> Specifically, </w:t>
      </w:r>
      <w:r w:rsidR="00E41067" w:rsidRPr="00B75EF6">
        <w:rPr>
          <w:lang w:val="en-US"/>
        </w:rPr>
        <w:t>the external provision of an anchor is often an</w:t>
      </w:r>
      <w:r w:rsidR="00F236B9" w:rsidRPr="00B75EF6">
        <w:rPr>
          <w:lang w:val="en-US"/>
        </w:rPr>
        <w:t xml:space="preserve"> integral part of activating both</w:t>
      </w:r>
      <w:r w:rsidR="00E41067" w:rsidRPr="00B75EF6">
        <w:rPr>
          <w:lang w:val="en-US"/>
        </w:rPr>
        <w:t xml:space="preserve"> </w:t>
      </w:r>
      <w:r w:rsidR="00F236B9" w:rsidRPr="00B75EF6">
        <w:rPr>
          <w:lang w:val="en-US"/>
        </w:rPr>
        <w:t>psychological components of</w:t>
      </w:r>
      <w:r w:rsidR="00E41067" w:rsidRPr="00B75EF6">
        <w:rPr>
          <w:lang w:val="en-US"/>
        </w:rPr>
        <w:t xml:space="preserve"> the ‘anchoring </w:t>
      </w:r>
      <w:r w:rsidR="00E41067" w:rsidRPr="00B75EF6">
        <w:rPr>
          <w:i/>
          <w:lang w:val="en-US"/>
        </w:rPr>
        <w:t>and</w:t>
      </w:r>
      <w:r w:rsidR="00E41067" w:rsidRPr="00B75EF6">
        <w:rPr>
          <w:lang w:val="en-US"/>
        </w:rPr>
        <w:t xml:space="preserve"> adjustment heuristic’. Indeed, extant research in this field has not typically concern</w:t>
      </w:r>
      <w:r w:rsidR="00526A0B" w:rsidRPr="00B75EF6">
        <w:rPr>
          <w:lang w:val="en-US"/>
        </w:rPr>
        <w:t>ed</w:t>
      </w:r>
      <w:r w:rsidR="00E41067" w:rsidRPr="00B75EF6">
        <w:rPr>
          <w:lang w:val="en-US"/>
        </w:rPr>
        <w:t xml:space="preserve"> itself with how people select anchors simply because</w:t>
      </w:r>
      <w:r w:rsidR="00F236B9" w:rsidRPr="00B75EF6">
        <w:rPr>
          <w:lang w:val="en-US"/>
        </w:rPr>
        <w:t>, in naturalistic contexts,</w:t>
      </w:r>
      <w:r w:rsidR="00E41067" w:rsidRPr="00B75EF6">
        <w:rPr>
          <w:lang w:val="en-US"/>
        </w:rPr>
        <w:t xml:space="preserve"> the</w:t>
      </w:r>
      <w:r w:rsidR="00F236B9" w:rsidRPr="00B75EF6">
        <w:rPr>
          <w:lang w:val="en-US"/>
        </w:rPr>
        <w:t>se anchors generally</w:t>
      </w:r>
      <w:r w:rsidR="00E41067" w:rsidRPr="00B75EF6">
        <w:rPr>
          <w:lang w:val="en-US"/>
        </w:rPr>
        <w:t xml:space="preserve"> come from external sources.</w:t>
      </w:r>
    </w:p>
    <w:p w:rsidR="000859BC" w:rsidRPr="00C34D98" w:rsidRDefault="000859BC" w:rsidP="008D2DEC">
      <w:pPr>
        <w:spacing w:line="360" w:lineRule="auto"/>
        <w:ind w:firstLine="720"/>
        <w:jc w:val="both"/>
      </w:pPr>
      <w:r w:rsidRPr="00C34D98">
        <w:t xml:space="preserve"> To </w:t>
      </w:r>
      <w:r w:rsidR="00906C1A" w:rsidRPr="00C34D98">
        <w:t>fit the context of this study (</w:t>
      </w:r>
      <w:r w:rsidRPr="00C34D98">
        <w:t>supply chain management</w:t>
      </w:r>
      <w:r w:rsidR="00906C1A" w:rsidRPr="00C34D98">
        <w:t>)</w:t>
      </w:r>
      <w:r w:rsidRPr="00C34D98">
        <w:t>, numerical figures related to the industry, such as air distance within commonly used flight routes, were incorporated into the questions</w:t>
      </w:r>
      <w:r w:rsidR="00E41067">
        <w:t xml:space="preserve"> in the first section</w:t>
      </w:r>
      <w:r w:rsidRPr="00C34D98">
        <w:t xml:space="preserve">. The vast majority of studies analysing insufficient adjustment have used an approach </w:t>
      </w:r>
      <w:r w:rsidRPr="00C34D98">
        <w:lastRenderedPageBreak/>
        <w:t xml:space="preserve">where a low anchor is provided to some participants and a high anchor to others; the objective being to polarise results from the same question (Caputo 2014). However, due to the </w:t>
      </w:r>
      <w:r w:rsidR="008B46B2">
        <w:t xml:space="preserve">target </w:t>
      </w:r>
      <w:r w:rsidRPr="00C34D98">
        <w:t>sample</w:t>
      </w:r>
      <w:r w:rsidR="00906C1A" w:rsidRPr="00C34D98">
        <w:t xml:space="preserve"> </w:t>
      </w:r>
      <w:r w:rsidR="008B46B2">
        <w:t>(</w:t>
      </w:r>
      <w:r w:rsidR="00906C1A" w:rsidRPr="00C34D98">
        <w:t xml:space="preserve">all frontline </w:t>
      </w:r>
      <w:r w:rsidRPr="00C34D98">
        <w:t xml:space="preserve">employees within the case </w:t>
      </w:r>
      <w:r w:rsidR="00906C1A" w:rsidRPr="00C34D98">
        <w:t>organisation</w:t>
      </w:r>
      <w:r w:rsidR="008B46B2">
        <w:t>)</w:t>
      </w:r>
      <w:r w:rsidR="00B92A84">
        <w:t xml:space="preserve"> </w:t>
      </w:r>
      <w:r w:rsidR="00995814">
        <w:t>being relatively small</w:t>
      </w:r>
      <w:r w:rsidRPr="00C34D98">
        <w:t xml:space="preserve">, this </w:t>
      </w:r>
      <w:r w:rsidR="00995814">
        <w:t xml:space="preserve">comparative approach </w:t>
      </w:r>
      <w:r w:rsidRPr="00C34D98">
        <w:t>was deemed in</w:t>
      </w:r>
      <w:r w:rsidR="009B7736" w:rsidRPr="00C34D98">
        <w:t>appropriate</w:t>
      </w:r>
      <w:r w:rsidRPr="00C34D98">
        <w:t>. Instead, we provided the same anchor to all respondents</w:t>
      </w:r>
      <w:r w:rsidR="00F07FA6">
        <w:t xml:space="preserve"> </w:t>
      </w:r>
      <w:r w:rsidR="00995814">
        <w:t>for each decision problem (rather than vary</w:t>
      </w:r>
      <w:r w:rsidR="008B46B2">
        <w:t>ing</w:t>
      </w:r>
      <w:r w:rsidR="00995814">
        <w:t xml:space="preserve"> the anchors among the small numbers of respondents for each decision problem)</w:t>
      </w:r>
      <w:r w:rsidRPr="00C34D98">
        <w:t>. The questions in this section were deliberately designed so that the anchor provided diverged at least 40%, either upwards or downwards from the correct answer. As such, we deemed that respondents</w:t>
      </w:r>
      <w:r w:rsidR="00906C1A" w:rsidRPr="00C34D98">
        <w:t xml:space="preserve"> (employees)</w:t>
      </w:r>
      <w:r w:rsidRPr="00C34D98">
        <w:t xml:space="preserve"> who provided an answer within a range between 20% below and 20% above the given anchor were to have exhibited insufficient adjustment. For example, in the first question, the anchor provided for the cargo volume (metric tonnes) at Heathrow (LHR) during 2017 was 1,000,000, with the correct answer being 1,700,000. Thus, responses of between 800,000 and 1,200,000 were to be considered as insufficiently adjusted from this anchor. </w:t>
      </w:r>
    </w:p>
    <w:p w:rsidR="000859BC" w:rsidRPr="00C34D98" w:rsidRDefault="000859BC" w:rsidP="000859BC">
      <w:pPr>
        <w:spacing w:line="360" w:lineRule="auto"/>
        <w:ind w:firstLine="720"/>
        <w:jc w:val="both"/>
      </w:pPr>
      <w:r w:rsidRPr="00C34D98">
        <w:t xml:space="preserve">Questions within the </w:t>
      </w:r>
      <w:r w:rsidRPr="00C34D98">
        <w:rPr>
          <w:i/>
        </w:rPr>
        <w:t>second</w:t>
      </w:r>
      <w:r w:rsidRPr="00C34D98">
        <w:t xml:space="preserve"> and </w:t>
      </w:r>
      <w:r w:rsidRPr="00C34D98">
        <w:rPr>
          <w:i/>
        </w:rPr>
        <w:t>third</w:t>
      </w:r>
      <w:r w:rsidRPr="00C34D98">
        <w:t xml:space="preserve"> section</w:t>
      </w:r>
      <w:r w:rsidR="00843743">
        <w:t>s</w:t>
      </w:r>
      <w:r w:rsidRPr="00C34D98">
        <w:t xml:space="preserve"> of the questionnaire employed </w:t>
      </w:r>
      <w:r w:rsidRPr="00C34D98">
        <w:rPr>
          <w:i/>
        </w:rPr>
        <w:t>conjunctive</w:t>
      </w:r>
      <w:r w:rsidRPr="00C34D98">
        <w:t xml:space="preserve"> or </w:t>
      </w:r>
      <w:r w:rsidRPr="00C34D98">
        <w:rPr>
          <w:i/>
        </w:rPr>
        <w:t>disjunctive</w:t>
      </w:r>
      <w:r w:rsidRPr="00C34D98">
        <w:t xml:space="preserve"> events</w:t>
      </w:r>
      <w:r w:rsidR="00F81118">
        <w:t xml:space="preserve"> respectively</w:t>
      </w:r>
      <w:r w:rsidRPr="00C34D98">
        <w:t>. Again, th</w:t>
      </w:r>
      <w:r w:rsidR="00995814">
        <w:t>ese questions were</w:t>
      </w:r>
      <w:r w:rsidR="00995814" w:rsidRPr="00C34D98">
        <w:t xml:space="preserve"> </w:t>
      </w:r>
      <w:r w:rsidRPr="00C34D98">
        <w:t>rooted in the works of Tversky and Kahneman (1974)</w:t>
      </w:r>
      <w:r w:rsidRPr="00C34D98" w:rsidDel="00F73A4E">
        <w:t xml:space="preserve"> </w:t>
      </w:r>
      <w:r w:rsidR="00123EC9">
        <w:t xml:space="preserve">and </w:t>
      </w:r>
      <w:r w:rsidRPr="00C34D98">
        <w:t xml:space="preserve">were primarily focused on determining whether an anchoring bias existed </w:t>
      </w:r>
      <w:r w:rsidR="00123EC9">
        <w:t>for</w:t>
      </w:r>
      <w:r w:rsidR="00123EC9" w:rsidRPr="00C34D98">
        <w:t xml:space="preserve"> </w:t>
      </w:r>
      <w:r w:rsidR="00123EC9">
        <w:t xml:space="preserve">these </w:t>
      </w:r>
      <w:r w:rsidRPr="00C34D98">
        <w:t xml:space="preserve">two different types of events. </w:t>
      </w:r>
      <w:r w:rsidR="00995814">
        <w:t xml:space="preserve">In other words, the questions assessed the accuracy of the respondents’ judgments to determine if, consistent with the anchoring-and-adjustment heuristic, over/under-estimations were evident. If such over-/under-estimations existed, this would provide evidence that the respondent’s probability estimates were inaccurately ‘anchored’ too close to the probabilities provided for the constituent events. These questions were not intended to determine if respondents believed, consistent with overconfidence, that their judgments were more accurate than the actual level of accuracy. Hence, </w:t>
      </w:r>
      <w:r w:rsidR="00E27A60">
        <w:t>t</w:t>
      </w:r>
      <w:r w:rsidRPr="00C34D98">
        <w:t xml:space="preserve">he general </w:t>
      </w:r>
      <w:r w:rsidR="00995814">
        <w:t xml:space="preserve">purpose of the questions in the second and third sections </w:t>
      </w:r>
      <w:r w:rsidRPr="00C34D98">
        <w:t xml:space="preserve">was to examine the possible overestimation of conjunctive events and, conversely, the underestimation of disjunctive events. </w:t>
      </w:r>
    </w:p>
    <w:p w:rsidR="000859BC" w:rsidRPr="00C34D98" w:rsidRDefault="000859BC" w:rsidP="000859BC">
      <w:pPr>
        <w:spacing w:line="360" w:lineRule="auto"/>
        <w:ind w:firstLine="720"/>
        <w:jc w:val="both"/>
      </w:pPr>
      <w:r w:rsidRPr="00C34D98">
        <w:t xml:space="preserve">The </w:t>
      </w:r>
      <w:r w:rsidRPr="00C34D98">
        <w:rPr>
          <w:i/>
        </w:rPr>
        <w:t>fourth</w:t>
      </w:r>
      <w:r w:rsidRPr="00C34D98">
        <w:t xml:space="preserve"> section of the questionnaire was framed against earlier studies </w:t>
      </w:r>
      <w:r w:rsidR="00CD5BD6">
        <w:t>by</w:t>
      </w:r>
      <w:r w:rsidRPr="00C34D98">
        <w:t xml:space="preserve"> Russo and Schoemaker (1992). This section of the questionnaire ask</w:t>
      </w:r>
      <w:r w:rsidR="00CD5BD6">
        <w:t>ed</w:t>
      </w:r>
      <w:r w:rsidRPr="00C34D98">
        <w:t xml:space="preserve"> respondents to produce a lower and upper bound around an estimate in order to build 90% confidence that their response captures the correct quantity. </w:t>
      </w:r>
      <w:r w:rsidR="008979FC" w:rsidRPr="00C34D98">
        <w:t>Percentages were calculated for correct and incorrect estimates.</w:t>
      </w:r>
      <w:r w:rsidR="008979FC">
        <w:t xml:space="preserve"> </w:t>
      </w:r>
      <w:r w:rsidR="00CD5BD6" w:rsidRPr="00C34D98">
        <w:t>Overconfidence was deemed present when less than the target percentage (90%) of ranges</w:t>
      </w:r>
      <w:r w:rsidR="00CD5BD6">
        <w:t xml:space="preserve"> </w:t>
      </w:r>
      <w:r w:rsidR="00CD5BD6" w:rsidRPr="00C34D98">
        <w:t>include</w:t>
      </w:r>
      <w:r w:rsidR="00CD5BD6">
        <w:t>d</w:t>
      </w:r>
      <w:r w:rsidR="00CD5BD6" w:rsidRPr="00C34D98">
        <w:t xml:space="preserve"> the correct value (Block and Harper 1991). On this premise, only 10% of the responses were expected to reside within the correct ranges.</w:t>
      </w:r>
    </w:p>
    <w:p w:rsidR="003B0CB6" w:rsidRPr="00C34D98" w:rsidRDefault="000859BC" w:rsidP="000859BC">
      <w:pPr>
        <w:spacing w:line="360" w:lineRule="auto"/>
        <w:ind w:firstLine="720"/>
        <w:jc w:val="both"/>
      </w:pPr>
      <w:r w:rsidRPr="00C34D98">
        <w:t>The final (</w:t>
      </w:r>
      <w:r w:rsidRPr="00C34D98">
        <w:rPr>
          <w:i/>
        </w:rPr>
        <w:t>fifth</w:t>
      </w:r>
      <w:r w:rsidRPr="00C34D98">
        <w:t xml:space="preserve">) section of the questionnaire adopted question structures previously employed in the literature to assess calibration (Ji </w:t>
      </w:r>
      <w:r w:rsidR="00906C1A" w:rsidRPr="00C34D98">
        <w:t>and</w:t>
      </w:r>
      <w:r w:rsidRPr="00C34D98">
        <w:t xml:space="preserve"> Kaulius 2013</w:t>
      </w:r>
      <w:r w:rsidR="008979FC">
        <w:t xml:space="preserve">; </w:t>
      </w:r>
      <w:r w:rsidR="008979FC" w:rsidRPr="00C34D98">
        <w:t>Paluch 2012</w:t>
      </w:r>
      <w:r w:rsidRPr="00C34D98">
        <w:t xml:space="preserve">). Respondents were asked questions followed by a confirmatory question on the respondent’s confidence </w:t>
      </w:r>
      <w:r w:rsidR="008979FC">
        <w:t>that</w:t>
      </w:r>
      <w:r w:rsidRPr="00C34D98">
        <w:t xml:space="preserve"> his/her original response</w:t>
      </w:r>
      <w:r w:rsidR="008979FC">
        <w:t xml:space="preserve"> was </w:t>
      </w:r>
      <w:r w:rsidR="008979FC">
        <w:lastRenderedPageBreak/>
        <w:t>correct</w:t>
      </w:r>
      <w:r w:rsidRPr="00C34D98">
        <w:t>. The responses were then checked for mis-calibrations. Drawing from Pulford (1996), scores were categorised from under confident (negative) to over confident (positive).</w:t>
      </w:r>
      <w:r w:rsidR="003B0CB6" w:rsidRPr="00C34D98">
        <w:t xml:space="preserve"> </w:t>
      </w:r>
    </w:p>
    <w:p w:rsidR="000859BC" w:rsidRPr="00C34D98" w:rsidRDefault="003B0CB6" w:rsidP="000859BC">
      <w:pPr>
        <w:spacing w:line="360" w:lineRule="auto"/>
        <w:ind w:firstLine="720"/>
        <w:jc w:val="both"/>
      </w:pPr>
      <w:r w:rsidRPr="00C34D98">
        <w:t>In all cases, the questionnaire was in English. Despite the questionnaire also being distributed in offices where English was not the lingua franca (Turkish and Arabic are the main languages of Turkey and the United Arab Emirates, respectively)</w:t>
      </w:r>
      <w:r w:rsidR="00D47318" w:rsidRPr="00C34D98">
        <w:t>, t</w:t>
      </w:r>
      <w:r w:rsidRPr="00C34D98">
        <w:t>he decision to prepare only an English language version was made for two reasons. Firstly, English is the business lingua franca of the case organisation. Secondly, the authors were keen to maintain grammatical, idiomatic, and syntactical equivalence for all respondents.</w:t>
      </w:r>
    </w:p>
    <w:p w:rsidR="000859BC" w:rsidRPr="00C34D98" w:rsidRDefault="000859BC" w:rsidP="000859BC">
      <w:pPr>
        <w:spacing w:line="360" w:lineRule="auto"/>
        <w:jc w:val="both"/>
      </w:pPr>
    </w:p>
    <w:p w:rsidR="000859BC" w:rsidRPr="00C34D98" w:rsidRDefault="003B0CB6" w:rsidP="000859BC">
      <w:pPr>
        <w:spacing w:line="360" w:lineRule="auto"/>
        <w:jc w:val="both"/>
        <w:rPr>
          <w:b/>
        </w:rPr>
      </w:pPr>
      <w:r w:rsidRPr="00C34D98">
        <w:rPr>
          <w:b/>
        </w:rPr>
        <w:t xml:space="preserve">4. </w:t>
      </w:r>
      <w:r w:rsidR="00F81059">
        <w:rPr>
          <w:b/>
        </w:rPr>
        <w:t>Piloting, s</w:t>
      </w:r>
      <w:r w:rsidR="000859BC" w:rsidRPr="00C34D98">
        <w:rPr>
          <w:b/>
        </w:rPr>
        <w:t>ampling and data analysis</w:t>
      </w:r>
    </w:p>
    <w:p w:rsidR="00505988" w:rsidRDefault="00F81059" w:rsidP="00C60C5A">
      <w:pPr>
        <w:spacing w:line="360" w:lineRule="auto"/>
        <w:jc w:val="both"/>
      </w:pPr>
      <w:r w:rsidRPr="00C34D98">
        <w:t xml:space="preserve">The first draft of the questionnaire was piloted </w:t>
      </w:r>
      <w:r w:rsidR="007165F4">
        <w:t>with</w:t>
      </w:r>
      <w:r w:rsidR="007165F4" w:rsidRPr="00C34D98">
        <w:t xml:space="preserve"> </w:t>
      </w:r>
      <w:r w:rsidRPr="00C34D98">
        <w:t xml:space="preserve">two frontline employees </w:t>
      </w:r>
      <w:r w:rsidR="00CB67BA">
        <w:t>(</w:t>
      </w:r>
      <w:r w:rsidRPr="00C34D98">
        <w:t>who were not part of the subsequent sample</w:t>
      </w:r>
      <w:r w:rsidR="00CB67BA">
        <w:t>)</w:t>
      </w:r>
      <w:r w:rsidRPr="00C34D98">
        <w:t xml:space="preserve">. Feedback led to some minor modification and </w:t>
      </w:r>
      <w:r w:rsidR="00505988">
        <w:t xml:space="preserve">then </w:t>
      </w:r>
      <w:r w:rsidRPr="00C34D98">
        <w:t xml:space="preserve">re-administration to the two respondents for checking. </w:t>
      </w:r>
      <w:r w:rsidR="00505988">
        <w:t>W</w:t>
      </w:r>
      <w:r w:rsidR="00197E8F" w:rsidRPr="00680D2F">
        <w:t xml:space="preserve">e </w:t>
      </w:r>
      <w:r w:rsidR="00505988">
        <w:t>then made some final</w:t>
      </w:r>
      <w:r w:rsidR="00197E8F" w:rsidRPr="00985CA2">
        <w:t xml:space="preserve"> adjustments to the survey instrument (questionnaire).</w:t>
      </w:r>
    </w:p>
    <w:p w:rsidR="00197E8F" w:rsidRDefault="00197E8F">
      <w:pPr>
        <w:spacing w:line="360" w:lineRule="auto"/>
        <w:ind w:firstLine="720"/>
        <w:jc w:val="both"/>
      </w:pPr>
      <w:r w:rsidRPr="00CC37CF">
        <w:t xml:space="preserve">Data gathering commenced with the administration of the survey instrument </w:t>
      </w:r>
      <w:r w:rsidR="00505988" w:rsidRPr="00CC37CF">
        <w:t xml:space="preserve">via email </w:t>
      </w:r>
      <w:r w:rsidRPr="00CC37CF">
        <w:t xml:space="preserve">in August 2018. Respondents were drawn from an employee list provided by the organisation’s management team.  The questionnaires were sent only to employees that </w:t>
      </w:r>
      <w:r w:rsidRPr="00CC37CF">
        <w:rPr>
          <w:i/>
        </w:rPr>
        <w:t>Organisation ‘A’</w:t>
      </w:r>
      <w:r w:rsidRPr="00CC37CF">
        <w:t xml:space="preserve"> had designated as ‘frontline’. The sample were drawn from all of the organisation’s nine operational offices spread across the United States, United Kingdom, Turkey and the United Arab Emirates.</w:t>
      </w:r>
      <w:r w:rsidR="00722EFE" w:rsidRPr="00CC37CF">
        <w:t xml:space="preserve"> No incentives were offered to respondents.</w:t>
      </w:r>
    </w:p>
    <w:p w:rsidR="000859BC" w:rsidRPr="00C34D98" w:rsidRDefault="000859BC" w:rsidP="0060023D">
      <w:pPr>
        <w:spacing w:line="360" w:lineRule="auto"/>
        <w:ind w:firstLine="720"/>
        <w:jc w:val="both"/>
      </w:pPr>
      <w:r w:rsidRPr="00C34D98">
        <w:t xml:space="preserve">Completed questionnaires were received from </w:t>
      </w:r>
      <w:r w:rsidR="00A667F1" w:rsidRPr="00C34D98">
        <w:t>forty-seven</w:t>
      </w:r>
      <w:r w:rsidRPr="00C34D98">
        <w:t xml:space="preserve"> respondents. Seven were discarded due to critical missing information. This left 40 usable questionnaires split geographically as follows: UK (</w:t>
      </w:r>
      <w:r w:rsidRPr="00C34D98">
        <w:rPr>
          <w:i/>
        </w:rPr>
        <w:t>n</w:t>
      </w:r>
      <w:r w:rsidRPr="00C34D98">
        <w:t xml:space="preserve"> = 17), US (</w:t>
      </w:r>
      <w:r w:rsidRPr="00C34D98">
        <w:rPr>
          <w:i/>
        </w:rPr>
        <w:t>n</w:t>
      </w:r>
      <w:r w:rsidRPr="00C34D98">
        <w:t xml:space="preserve"> = 6), UAE (</w:t>
      </w:r>
      <w:r w:rsidRPr="00C34D98">
        <w:rPr>
          <w:i/>
        </w:rPr>
        <w:t>n</w:t>
      </w:r>
      <w:r w:rsidRPr="00C34D98">
        <w:t xml:space="preserve"> = 9) and Turkey (</w:t>
      </w:r>
      <w:r w:rsidRPr="00C34D98">
        <w:rPr>
          <w:i/>
        </w:rPr>
        <w:t>n</w:t>
      </w:r>
      <w:r w:rsidRPr="00C34D98">
        <w:t xml:space="preserve"> = 8). T</w:t>
      </w:r>
      <w:r w:rsidR="00D64F94" w:rsidRPr="00C34D98">
        <w:t>wo categories of experience level were those designated as (1) ‘</w:t>
      </w:r>
      <w:r w:rsidR="00D64F94">
        <w:t>non-</w:t>
      </w:r>
      <w:r w:rsidR="00D64F94" w:rsidRPr="00C34D98">
        <w:t>experts’ due to accrual of ‘</w:t>
      </w:r>
      <w:r w:rsidR="00D64F94" w:rsidRPr="00C34D98">
        <w:rPr>
          <w:i/>
        </w:rPr>
        <w:t>less</w:t>
      </w:r>
      <w:r w:rsidR="003578CF">
        <w:rPr>
          <w:i/>
        </w:rPr>
        <w:t xml:space="preserve"> than five years</w:t>
      </w:r>
      <w:r w:rsidR="00D64F94" w:rsidRPr="00C34D98">
        <w:t>’ (</w:t>
      </w:r>
      <w:r w:rsidR="00D64F94" w:rsidRPr="00C34D98">
        <w:rPr>
          <w:i/>
        </w:rPr>
        <w:t>n</w:t>
      </w:r>
      <w:r w:rsidR="00D64F94" w:rsidRPr="00C34D98">
        <w:t xml:space="preserve"> = 18), and (2) </w:t>
      </w:r>
      <w:r w:rsidR="00D64F94">
        <w:t>‘</w:t>
      </w:r>
      <w:r w:rsidR="00D64F94" w:rsidRPr="00C34D98">
        <w:t>experts</w:t>
      </w:r>
      <w:r w:rsidR="00D64F94">
        <w:t>’</w:t>
      </w:r>
      <w:r w:rsidR="00D64F94" w:rsidRPr="00C34D98">
        <w:t xml:space="preserve"> with ‘</w:t>
      </w:r>
      <w:r w:rsidR="00D64F94" w:rsidRPr="00C34D98">
        <w:rPr>
          <w:i/>
        </w:rPr>
        <w:t>five years or more’</w:t>
      </w:r>
      <w:r w:rsidR="00D64F94" w:rsidRPr="00C34D98">
        <w:t xml:space="preserve"> (</w:t>
      </w:r>
      <w:r w:rsidR="00D64F94" w:rsidRPr="00C34D98">
        <w:rPr>
          <w:i/>
        </w:rPr>
        <w:t>n</w:t>
      </w:r>
      <w:r w:rsidR="00D64F94" w:rsidRPr="00C34D98">
        <w:t xml:space="preserve"> = 22). </w:t>
      </w:r>
      <w:r w:rsidRPr="00C34D98">
        <w:t xml:space="preserve">Twenty-two respondents were from the Operations </w:t>
      </w:r>
      <w:r w:rsidR="00AE4A76" w:rsidRPr="00C34D98">
        <w:t>D</w:t>
      </w:r>
      <w:r w:rsidRPr="00C34D98">
        <w:t xml:space="preserve">epartment, thirteen were from Sales, and </w:t>
      </w:r>
      <w:r w:rsidR="003C2C3F">
        <w:t>five</w:t>
      </w:r>
      <w:r w:rsidR="003C2C3F" w:rsidRPr="00C34D98">
        <w:t xml:space="preserve"> </w:t>
      </w:r>
      <w:r w:rsidRPr="00C34D98">
        <w:t xml:space="preserve">were from Accounts. </w:t>
      </w:r>
      <w:r w:rsidR="0028306A" w:rsidRPr="00A50E94">
        <w:t xml:space="preserve">In order to ensure the </w:t>
      </w:r>
      <w:r w:rsidR="00526A0B" w:rsidRPr="00A50E94">
        <w:t>questionnaire could</w:t>
      </w:r>
      <w:r w:rsidR="0028306A" w:rsidRPr="00A50E94">
        <w:t xml:space="preserve"> be completed in a reasonable amount of time, we elected not to obtain </w:t>
      </w:r>
      <w:r w:rsidR="00722EFE" w:rsidRPr="00A50E94">
        <w:t xml:space="preserve">any </w:t>
      </w:r>
      <w:r w:rsidR="0028306A" w:rsidRPr="00A50E94">
        <w:t xml:space="preserve">sociodemographic </w:t>
      </w:r>
      <w:r w:rsidR="00722EFE" w:rsidRPr="00A50E94">
        <w:t xml:space="preserve">data </w:t>
      </w:r>
      <w:r w:rsidR="0028306A" w:rsidRPr="00A50E94">
        <w:t>(e.g., age, gender) from our respondents that would be superfluous to our research aims</w:t>
      </w:r>
      <w:r w:rsidR="00526A0B" w:rsidRPr="00A50E94">
        <w:t xml:space="preserve"> and hypotheses</w:t>
      </w:r>
      <w:r w:rsidR="0028306A" w:rsidRPr="00A50E94">
        <w:t>.</w:t>
      </w:r>
      <w:r w:rsidR="0028306A">
        <w:t xml:space="preserve"> </w:t>
      </w:r>
      <w:r w:rsidRPr="00C34D98">
        <w:t xml:space="preserve">Data analysis was undertaken utilising a combination of descriptive statistics and a series of Chi-squared tests using IBM SPSS Statistics. </w:t>
      </w:r>
    </w:p>
    <w:p w:rsidR="000859BC" w:rsidRPr="00C34D98" w:rsidRDefault="000859BC" w:rsidP="000859BC">
      <w:pPr>
        <w:spacing w:line="360" w:lineRule="auto"/>
        <w:jc w:val="both"/>
        <w:rPr>
          <w:i/>
        </w:rPr>
      </w:pPr>
    </w:p>
    <w:p w:rsidR="000859BC" w:rsidRPr="00C34D98" w:rsidRDefault="000B06BE" w:rsidP="000859BC">
      <w:pPr>
        <w:spacing w:line="360" w:lineRule="auto"/>
        <w:jc w:val="both"/>
        <w:rPr>
          <w:b/>
        </w:rPr>
      </w:pPr>
      <w:r w:rsidRPr="00C34D98">
        <w:rPr>
          <w:b/>
        </w:rPr>
        <w:t>5. Findings</w:t>
      </w:r>
    </w:p>
    <w:p w:rsidR="000859BC" w:rsidRPr="00C34D98" w:rsidRDefault="000B06BE" w:rsidP="000859BC">
      <w:pPr>
        <w:spacing w:line="360" w:lineRule="auto"/>
        <w:jc w:val="both"/>
        <w:rPr>
          <w:i/>
        </w:rPr>
      </w:pPr>
      <w:r w:rsidRPr="00C34D98">
        <w:rPr>
          <w:i/>
        </w:rPr>
        <w:t xml:space="preserve">5.1 </w:t>
      </w:r>
      <w:r w:rsidR="000859BC" w:rsidRPr="00C34D98">
        <w:rPr>
          <w:i/>
        </w:rPr>
        <w:t>Descriptive overview of the questionnaire responses</w:t>
      </w:r>
    </w:p>
    <w:p w:rsidR="000859BC" w:rsidRPr="00C34D98" w:rsidRDefault="000859BC" w:rsidP="000859BC">
      <w:pPr>
        <w:spacing w:line="360" w:lineRule="auto"/>
        <w:jc w:val="both"/>
      </w:pPr>
      <w:r w:rsidRPr="00C34D98">
        <w:t xml:space="preserve">Questions </w:t>
      </w:r>
      <w:r w:rsidRPr="00C34D98">
        <w:rPr>
          <w:i/>
        </w:rPr>
        <w:t>Q1</w:t>
      </w:r>
      <w:r w:rsidRPr="00C34D98">
        <w:t xml:space="preserve"> through to </w:t>
      </w:r>
      <w:r w:rsidRPr="00C34D98">
        <w:rPr>
          <w:i/>
        </w:rPr>
        <w:t>Q6</w:t>
      </w:r>
      <w:r w:rsidRPr="00C34D98">
        <w:t xml:space="preserve"> focused on sufficiency in adjustment. Whilst some respondents did show some anchoring in their responses, this was not at a rate sufficient to be attributable to the anchoring </w:t>
      </w:r>
      <w:r w:rsidR="002C40EF" w:rsidRPr="00C34D98">
        <w:lastRenderedPageBreak/>
        <w:t>heuristic</w:t>
      </w:r>
      <w:r w:rsidRPr="00C34D98">
        <w:t xml:space="preserve">. At an aggregate level, under a third of responses (30%) fell into the anchored boundaries, equating to 36/120. Hence, </w:t>
      </w:r>
      <w:r w:rsidRPr="00C34D98">
        <w:rPr>
          <w:i/>
        </w:rPr>
        <w:t xml:space="preserve">the findings did not appear conclusive </w:t>
      </w:r>
      <w:r w:rsidR="002C40EF" w:rsidRPr="00C34D98">
        <w:rPr>
          <w:i/>
        </w:rPr>
        <w:t>in showing</w:t>
      </w:r>
      <w:r w:rsidRPr="00C34D98">
        <w:rPr>
          <w:i/>
        </w:rPr>
        <w:t xml:space="preserve"> that </w:t>
      </w:r>
      <w:r w:rsidR="009E3F84" w:rsidRPr="00C34D98">
        <w:rPr>
          <w:i/>
        </w:rPr>
        <w:t xml:space="preserve">frontline employees in </w:t>
      </w:r>
      <w:r w:rsidR="000E6515" w:rsidRPr="00C34D98">
        <w:rPr>
          <w:i/>
        </w:rPr>
        <w:t xml:space="preserve">this </w:t>
      </w:r>
      <w:r w:rsidR="009E3F84" w:rsidRPr="00C34D98">
        <w:rPr>
          <w:i/>
        </w:rPr>
        <w:t xml:space="preserve">supply chain organisations </w:t>
      </w:r>
      <w:r w:rsidRPr="00C34D98">
        <w:rPr>
          <w:i/>
        </w:rPr>
        <w:t>presented insufficient adjustment.</w:t>
      </w:r>
    </w:p>
    <w:p w:rsidR="000859BC" w:rsidRPr="00C34D98" w:rsidRDefault="000859BC" w:rsidP="000859BC">
      <w:pPr>
        <w:spacing w:line="360" w:lineRule="auto"/>
        <w:ind w:firstLine="720"/>
        <w:jc w:val="both"/>
      </w:pPr>
      <w:r w:rsidRPr="00C34D98">
        <w:t xml:space="preserve">Questions </w:t>
      </w:r>
      <w:r w:rsidRPr="00C34D98">
        <w:rPr>
          <w:i/>
        </w:rPr>
        <w:t>Q7</w:t>
      </w:r>
      <w:r w:rsidRPr="00C34D98">
        <w:t xml:space="preserve">, </w:t>
      </w:r>
      <w:r w:rsidRPr="00C34D98">
        <w:rPr>
          <w:i/>
        </w:rPr>
        <w:t>Q8</w:t>
      </w:r>
      <w:r w:rsidRPr="00C34D98">
        <w:t xml:space="preserve"> and </w:t>
      </w:r>
      <w:r w:rsidRPr="00C34D98">
        <w:rPr>
          <w:i/>
        </w:rPr>
        <w:t>Q9</w:t>
      </w:r>
      <w:r w:rsidRPr="00C34D98">
        <w:t xml:space="preserve"> focused </w:t>
      </w:r>
      <w:r w:rsidR="008C73EE" w:rsidRPr="00C34D98">
        <w:t xml:space="preserve">on </w:t>
      </w:r>
      <w:r w:rsidRPr="00C34D98">
        <w:t xml:space="preserve">anchoring within conjunctive events. The questions were framed for an overestimation assessment. For each question, a plausible range was presented near to the answer considered to be sufficiently accurate for the purposes of this study. Plausible ranges were determined using five percent segments; 70-75% for </w:t>
      </w:r>
      <w:r w:rsidRPr="00C34D98">
        <w:rPr>
          <w:i/>
        </w:rPr>
        <w:t>Q7</w:t>
      </w:r>
      <w:r w:rsidRPr="00C34D98">
        <w:t xml:space="preserve">, 80-85% for </w:t>
      </w:r>
      <w:r w:rsidRPr="00C34D98">
        <w:rPr>
          <w:i/>
        </w:rPr>
        <w:t>Q8</w:t>
      </w:r>
      <w:r w:rsidRPr="00C34D98">
        <w:t xml:space="preserve"> and 50-55% for </w:t>
      </w:r>
      <w:r w:rsidRPr="00C34D98">
        <w:rPr>
          <w:i/>
        </w:rPr>
        <w:t>Q9</w:t>
      </w:r>
      <w:r w:rsidRPr="00C34D98">
        <w:t xml:space="preserve">. The responses were assessed for under/overestimation against the plausible range. For </w:t>
      </w:r>
      <w:r w:rsidRPr="00C34D98">
        <w:rPr>
          <w:i/>
        </w:rPr>
        <w:t>Q7</w:t>
      </w:r>
      <w:r w:rsidRPr="00C34D98">
        <w:t xml:space="preserve">, 75% of respondents answered above the correct probability and outside the plausible range. For </w:t>
      </w:r>
      <w:r w:rsidRPr="00C34D98">
        <w:rPr>
          <w:i/>
        </w:rPr>
        <w:t>Q8</w:t>
      </w:r>
      <w:r w:rsidRPr="00C34D98">
        <w:t xml:space="preserve"> this figure was 70% and for </w:t>
      </w:r>
      <w:r w:rsidRPr="00C34D98">
        <w:rPr>
          <w:i/>
        </w:rPr>
        <w:t xml:space="preserve">Q9 </w:t>
      </w:r>
      <w:r w:rsidRPr="00C34D98">
        <w:t xml:space="preserve">it was 73%. In terms of mean response, for </w:t>
      </w:r>
      <w:r w:rsidRPr="00C34D98">
        <w:rPr>
          <w:i/>
        </w:rPr>
        <w:t>Q7</w:t>
      </w:r>
      <w:r w:rsidRPr="00C34D98">
        <w:t xml:space="preserve"> was 11.34% higher than the correct answer. For </w:t>
      </w:r>
      <w:r w:rsidRPr="00C34D98">
        <w:rPr>
          <w:i/>
        </w:rPr>
        <w:t xml:space="preserve">Q8 </w:t>
      </w:r>
      <w:r w:rsidRPr="00C34D98">
        <w:t xml:space="preserve">this figure was 3.86% and for </w:t>
      </w:r>
      <w:r w:rsidRPr="00C34D98">
        <w:rPr>
          <w:i/>
        </w:rPr>
        <w:t>Q9</w:t>
      </w:r>
      <w:r w:rsidRPr="00C34D98">
        <w:t xml:space="preserve">, 15.31% higher. We also found that the range of answers and standard deviation for each question were high. For </w:t>
      </w:r>
      <w:r w:rsidRPr="00C34D98">
        <w:rPr>
          <w:i/>
        </w:rPr>
        <w:t>Q7</w:t>
      </w:r>
      <w:r w:rsidRPr="00C34D98">
        <w:t>, answers ranged from 50-100% (</w:t>
      </w:r>
      <w:r w:rsidRPr="00C34D98">
        <w:rPr>
          <w:i/>
        </w:rPr>
        <w:t>SD</w:t>
      </w:r>
      <w:r w:rsidRPr="00C34D98">
        <w:t xml:space="preserve">= 13.65). For </w:t>
      </w:r>
      <w:r w:rsidRPr="00C34D98">
        <w:rPr>
          <w:i/>
        </w:rPr>
        <w:t xml:space="preserve">Q8, </w:t>
      </w:r>
      <w:r w:rsidRPr="00C34D98">
        <w:t>answers ranged from 55-100% (</w:t>
      </w:r>
      <w:r w:rsidRPr="00C34D98">
        <w:rPr>
          <w:i/>
        </w:rPr>
        <w:t>SD</w:t>
      </w:r>
      <w:r w:rsidRPr="00C34D98">
        <w:t xml:space="preserve">=8.129) and for </w:t>
      </w:r>
      <w:r w:rsidRPr="00C34D98">
        <w:rPr>
          <w:i/>
        </w:rPr>
        <w:t xml:space="preserve">Q9, </w:t>
      </w:r>
      <w:r w:rsidRPr="00C34D98">
        <w:t>responses ranged from 25-95% (</w:t>
      </w:r>
      <w:r w:rsidRPr="00C34D98">
        <w:rPr>
          <w:i/>
        </w:rPr>
        <w:t>SD</w:t>
      </w:r>
      <w:r w:rsidRPr="00C34D98">
        <w:t xml:space="preserve">=21.702). </w:t>
      </w:r>
      <w:r w:rsidRPr="00C34D98">
        <w:rPr>
          <w:i/>
        </w:rPr>
        <w:t xml:space="preserve">Thus, it appeared that </w:t>
      </w:r>
      <w:r w:rsidR="00C726D0" w:rsidRPr="00C34D98">
        <w:rPr>
          <w:i/>
        </w:rPr>
        <w:t xml:space="preserve">frontline employees in </w:t>
      </w:r>
      <w:r w:rsidR="002C40EF" w:rsidRPr="00C34D98">
        <w:rPr>
          <w:i/>
        </w:rPr>
        <w:t xml:space="preserve">this </w:t>
      </w:r>
      <w:r w:rsidR="00C726D0" w:rsidRPr="00C34D98">
        <w:rPr>
          <w:i/>
        </w:rPr>
        <w:t>supply chain organisations</w:t>
      </w:r>
      <w:r w:rsidR="00C726D0" w:rsidRPr="00C34D98" w:rsidDel="00C726D0">
        <w:rPr>
          <w:i/>
        </w:rPr>
        <w:t xml:space="preserve"> </w:t>
      </w:r>
      <w:r w:rsidRPr="00C34D98">
        <w:rPr>
          <w:i/>
        </w:rPr>
        <w:t>were overestimating probabilities when framed in a conjunctive manner</w:t>
      </w:r>
      <w:r w:rsidRPr="00C34D98">
        <w:t xml:space="preserve">. </w:t>
      </w:r>
    </w:p>
    <w:p w:rsidR="000859BC" w:rsidRPr="00C34D98" w:rsidRDefault="000859BC" w:rsidP="000859BC">
      <w:pPr>
        <w:spacing w:line="360" w:lineRule="auto"/>
        <w:ind w:firstLine="720"/>
        <w:jc w:val="both"/>
      </w:pPr>
      <w:r w:rsidRPr="00C34D98">
        <w:t xml:space="preserve">Questions </w:t>
      </w:r>
      <w:r w:rsidRPr="00C34D98">
        <w:rPr>
          <w:i/>
        </w:rPr>
        <w:t>Q10</w:t>
      </w:r>
      <w:r w:rsidRPr="00C34D98">
        <w:t xml:space="preserve">, </w:t>
      </w:r>
      <w:r w:rsidRPr="00C34D98">
        <w:rPr>
          <w:i/>
        </w:rPr>
        <w:t>Q11</w:t>
      </w:r>
      <w:r w:rsidRPr="00C34D98">
        <w:t xml:space="preserve"> and </w:t>
      </w:r>
      <w:r w:rsidRPr="00C34D98">
        <w:rPr>
          <w:i/>
        </w:rPr>
        <w:t>Q12</w:t>
      </w:r>
      <w:r w:rsidRPr="00C34D98">
        <w:t xml:space="preserve"> were aimed at identifying the extent to which respondents anchor</w:t>
      </w:r>
      <w:r w:rsidR="003E2AA8">
        <w:t>ed</w:t>
      </w:r>
      <w:r w:rsidRPr="00C34D98">
        <w:t xml:space="preserve"> within disjunctive events. The questions were framed in a disjunctive manner in order to assess possible underestimation of probabilities. Plausible ranges (38-43% for </w:t>
      </w:r>
      <w:r w:rsidRPr="00C34D98">
        <w:rPr>
          <w:i/>
        </w:rPr>
        <w:t>Q10</w:t>
      </w:r>
      <w:r w:rsidRPr="00C34D98">
        <w:t xml:space="preserve">, 15-20% for </w:t>
      </w:r>
      <w:r w:rsidRPr="00C34D98">
        <w:rPr>
          <w:i/>
        </w:rPr>
        <w:t>Q11</w:t>
      </w:r>
      <w:r w:rsidRPr="00C34D98">
        <w:t xml:space="preserve"> and 25-30% for </w:t>
      </w:r>
      <w:r w:rsidRPr="00C34D98">
        <w:rPr>
          <w:i/>
        </w:rPr>
        <w:t>Q12</w:t>
      </w:r>
      <w:r w:rsidRPr="00C34D98">
        <w:t xml:space="preserve">) were used for sufficient accuracy, again based on five percent segments surrounding the correct answer. The data showed that for </w:t>
      </w:r>
      <w:r w:rsidRPr="00C34D98">
        <w:rPr>
          <w:i/>
        </w:rPr>
        <w:t>Q10</w:t>
      </w:r>
      <w:r w:rsidRPr="00C34D98">
        <w:t xml:space="preserve">, </w:t>
      </w:r>
      <w:r w:rsidRPr="00C34D98">
        <w:rPr>
          <w:i/>
        </w:rPr>
        <w:t xml:space="preserve">Q11 </w:t>
      </w:r>
      <w:r w:rsidRPr="00C34D98">
        <w:t>and</w:t>
      </w:r>
      <w:r w:rsidRPr="00C34D98">
        <w:rPr>
          <w:i/>
        </w:rPr>
        <w:t xml:space="preserve"> Q12</w:t>
      </w:r>
      <w:r w:rsidRPr="00C34D98">
        <w:t xml:space="preserve">, 58%, 70% and 78% of respondents, respectively, estimated below the correct probability </w:t>
      </w:r>
      <w:r w:rsidR="003C4554" w:rsidRPr="00C34D98">
        <w:rPr>
          <w:i/>
        </w:rPr>
        <w:t>and</w:t>
      </w:r>
      <w:r w:rsidRPr="00C34D98">
        <w:t xml:space="preserve"> outside of the plausible ranges. Arguably, </w:t>
      </w:r>
      <w:r w:rsidRPr="00C34D98">
        <w:rPr>
          <w:i/>
        </w:rPr>
        <w:t>Q11</w:t>
      </w:r>
      <w:r w:rsidRPr="00C34D98">
        <w:t xml:space="preserve"> provided a less convincing indication of underestimation, in comparison to </w:t>
      </w:r>
      <w:r w:rsidRPr="00C34D98">
        <w:rPr>
          <w:i/>
        </w:rPr>
        <w:t>Q10</w:t>
      </w:r>
      <w:r w:rsidRPr="00C34D98">
        <w:t xml:space="preserve"> and </w:t>
      </w:r>
      <w:r w:rsidRPr="00C34D98">
        <w:rPr>
          <w:i/>
        </w:rPr>
        <w:t>Q12</w:t>
      </w:r>
      <w:r w:rsidRPr="00C34D98">
        <w:t xml:space="preserve">. The reason for this could relate to the differing numbers of responses to these questions. Eight respondents answered 50% in </w:t>
      </w:r>
      <w:r w:rsidRPr="00C34D98">
        <w:rPr>
          <w:i/>
        </w:rPr>
        <w:t>Q10</w:t>
      </w:r>
      <w:r w:rsidRPr="00C34D98">
        <w:t xml:space="preserve">, eleven responded 18% in </w:t>
      </w:r>
      <w:r w:rsidRPr="00C34D98">
        <w:rPr>
          <w:i/>
        </w:rPr>
        <w:t>Q11</w:t>
      </w:r>
      <w:r w:rsidRPr="00C34D98">
        <w:t xml:space="preserve">, and ten responded 30% in </w:t>
      </w:r>
      <w:r w:rsidRPr="00C34D98">
        <w:rPr>
          <w:i/>
        </w:rPr>
        <w:t>Q12</w:t>
      </w:r>
      <w:r w:rsidRPr="00C34D98">
        <w:t xml:space="preserve">. Hence, the estimates placed respondents within a plausible region for </w:t>
      </w:r>
      <w:r w:rsidRPr="00C34D98">
        <w:rPr>
          <w:i/>
        </w:rPr>
        <w:t>Q11</w:t>
      </w:r>
      <w:r w:rsidRPr="00C34D98">
        <w:t xml:space="preserve"> and </w:t>
      </w:r>
      <w:r w:rsidRPr="00C34D98">
        <w:rPr>
          <w:i/>
        </w:rPr>
        <w:t>Q12</w:t>
      </w:r>
      <w:r w:rsidRPr="00C34D98">
        <w:t xml:space="preserve">, but not for </w:t>
      </w:r>
      <w:r w:rsidRPr="00C34D98">
        <w:rPr>
          <w:i/>
        </w:rPr>
        <w:t>Q10</w:t>
      </w:r>
      <w:r w:rsidRPr="00C34D98">
        <w:t xml:space="preserve">. Potentially, this explains the substantial difference between the number of plausible responses within these questions, and why </w:t>
      </w:r>
      <w:r w:rsidRPr="00C34D98">
        <w:rPr>
          <w:i/>
        </w:rPr>
        <w:t>Q11</w:t>
      </w:r>
      <w:r w:rsidRPr="00C34D98">
        <w:t xml:space="preserve"> produced a smaller comparative underestimation. Figure 1 shows the comparison between the correct answers and the mean responses given. The mean response for </w:t>
      </w:r>
      <w:r w:rsidRPr="00C34D98">
        <w:rPr>
          <w:i/>
        </w:rPr>
        <w:t>Q10</w:t>
      </w:r>
      <w:r w:rsidRPr="00C34D98">
        <w:t xml:space="preserve"> was 19.37% lower than the correct answer. For </w:t>
      </w:r>
      <w:r w:rsidRPr="00C34D98">
        <w:rPr>
          <w:i/>
        </w:rPr>
        <w:t>Q11</w:t>
      </w:r>
      <w:r w:rsidRPr="00C34D98">
        <w:t xml:space="preserve"> this figure was 2.2% and for </w:t>
      </w:r>
      <w:r w:rsidRPr="00C34D98">
        <w:rPr>
          <w:i/>
        </w:rPr>
        <w:t>Q12</w:t>
      </w:r>
      <w:r w:rsidRPr="00C34D98">
        <w:t xml:space="preserve">, 7.1%. As expected, </w:t>
      </w:r>
      <w:r w:rsidRPr="00C34D98">
        <w:rPr>
          <w:i/>
        </w:rPr>
        <w:t>Q11</w:t>
      </w:r>
      <w:r w:rsidRPr="00C34D98">
        <w:t xml:space="preserve"> was closer, yet all three again showed an element of underestimation. Answers ranged from 1-50% for </w:t>
      </w:r>
      <w:r w:rsidRPr="00C34D98">
        <w:rPr>
          <w:i/>
        </w:rPr>
        <w:t>Q10</w:t>
      </w:r>
      <w:r w:rsidRPr="00C34D98">
        <w:t xml:space="preserve"> (</w:t>
      </w:r>
      <w:r w:rsidRPr="00C34D98">
        <w:rPr>
          <w:i/>
        </w:rPr>
        <w:t>SD</w:t>
      </w:r>
      <w:r w:rsidRPr="00C34D98">
        <w:t xml:space="preserve">=17.340), 3-50% for </w:t>
      </w:r>
      <w:r w:rsidRPr="00C34D98">
        <w:rPr>
          <w:i/>
        </w:rPr>
        <w:t>Q11</w:t>
      </w:r>
      <w:r w:rsidRPr="00C34D98">
        <w:t xml:space="preserve"> (</w:t>
      </w:r>
      <w:r w:rsidRPr="00C34D98">
        <w:rPr>
          <w:i/>
        </w:rPr>
        <w:t>SD</w:t>
      </w:r>
      <w:r w:rsidRPr="00C34D98">
        <w:t xml:space="preserve">=10.711) and 3-50% for </w:t>
      </w:r>
      <w:r w:rsidRPr="00C34D98">
        <w:rPr>
          <w:i/>
        </w:rPr>
        <w:t>Q12</w:t>
      </w:r>
      <w:r w:rsidRPr="00C34D98">
        <w:t xml:space="preserve"> (</w:t>
      </w:r>
      <w:r w:rsidRPr="00C34D98">
        <w:rPr>
          <w:i/>
        </w:rPr>
        <w:t>SD</w:t>
      </w:r>
      <w:r w:rsidRPr="00C34D98">
        <w:t xml:space="preserve">= 10.703). The standard deviation was slightly more consistent when analysing disjunctive events as opposed to conjunctive, with the mean response also nearer to the correct answers at an aggregate level. </w:t>
      </w:r>
    </w:p>
    <w:p w:rsidR="000859BC" w:rsidRPr="00C34D98" w:rsidRDefault="000859BC" w:rsidP="000859BC">
      <w:pPr>
        <w:spacing w:line="360" w:lineRule="auto"/>
        <w:ind w:firstLine="720"/>
        <w:jc w:val="both"/>
      </w:pPr>
    </w:p>
    <w:p w:rsidR="000859BC" w:rsidRPr="00C34D98" w:rsidRDefault="000859BC" w:rsidP="000859BC">
      <w:pPr>
        <w:spacing w:line="360" w:lineRule="auto"/>
        <w:jc w:val="center"/>
      </w:pPr>
      <w:r w:rsidRPr="00C34D98">
        <w:lastRenderedPageBreak/>
        <w:t>Figure 1- Correct Answers versus Mean Response (</w:t>
      </w:r>
      <w:r w:rsidRPr="00C34D98">
        <w:rPr>
          <w:i/>
        </w:rPr>
        <w:t>Q10</w:t>
      </w:r>
      <w:r w:rsidRPr="00C34D98">
        <w:t>-</w:t>
      </w:r>
      <w:r w:rsidRPr="00C34D98">
        <w:rPr>
          <w:i/>
        </w:rPr>
        <w:t>Q12</w:t>
      </w:r>
      <w:r w:rsidRPr="00C34D98">
        <w:t>)</w:t>
      </w:r>
    </w:p>
    <w:p w:rsidR="000859BC" w:rsidRPr="00C34D98" w:rsidRDefault="000859BC" w:rsidP="000859BC">
      <w:pPr>
        <w:spacing w:line="360" w:lineRule="auto"/>
        <w:jc w:val="center"/>
      </w:pPr>
    </w:p>
    <w:p w:rsidR="000859BC" w:rsidRPr="00C34D98" w:rsidRDefault="000859BC" w:rsidP="000859BC">
      <w:pPr>
        <w:spacing w:line="360" w:lineRule="auto"/>
        <w:jc w:val="center"/>
      </w:pPr>
      <w:r w:rsidRPr="00C34D98">
        <w:rPr>
          <w:noProof/>
        </w:rPr>
        <w:drawing>
          <wp:inline distT="0" distB="0" distL="0" distR="0" wp14:anchorId="7BDDAAAF" wp14:editId="01E9EBE5">
            <wp:extent cx="3530373" cy="2193290"/>
            <wp:effectExtent l="0" t="0" r="1333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859BC" w:rsidRPr="004E0025" w:rsidRDefault="000859BC" w:rsidP="000859BC">
      <w:pPr>
        <w:spacing w:line="360" w:lineRule="auto"/>
        <w:jc w:val="both"/>
      </w:pPr>
    </w:p>
    <w:p w:rsidR="000859BC" w:rsidRPr="00C34D98" w:rsidRDefault="000859BC" w:rsidP="000859BC">
      <w:pPr>
        <w:spacing w:line="360" w:lineRule="auto"/>
        <w:jc w:val="both"/>
        <w:rPr>
          <w:u w:val="single"/>
        </w:rPr>
      </w:pPr>
      <w:r w:rsidRPr="00C34D98">
        <w:rPr>
          <w:i/>
        </w:rPr>
        <w:t xml:space="preserve">These results indicate that </w:t>
      </w:r>
      <w:r w:rsidR="00DA4B96" w:rsidRPr="00C34D98">
        <w:rPr>
          <w:i/>
        </w:rPr>
        <w:t xml:space="preserve">frontline employees in </w:t>
      </w:r>
      <w:r w:rsidR="000E6515" w:rsidRPr="00C34D98">
        <w:rPr>
          <w:i/>
        </w:rPr>
        <w:t xml:space="preserve">this </w:t>
      </w:r>
      <w:r w:rsidR="00DA4B96" w:rsidRPr="00C34D98">
        <w:rPr>
          <w:i/>
        </w:rPr>
        <w:t>supply chain organisations</w:t>
      </w:r>
      <w:r w:rsidR="00DA4B96" w:rsidRPr="00C34D98" w:rsidDel="00DA4B96">
        <w:rPr>
          <w:i/>
        </w:rPr>
        <w:t xml:space="preserve"> </w:t>
      </w:r>
      <w:r w:rsidRPr="00C34D98">
        <w:rPr>
          <w:i/>
        </w:rPr>
        <w:t>may underestimate probabilities when framed in a disjunctive manner</w:t>
      </w:r>
      <w:r w:rsidR="00DA4B96" w:rsidRPr="00C34D98">
        <w:t xml:space="preserve">. These findings are </w:t>
      </w:r>
      <w:r w:rsidRPr="00C34D98">
        <w:t xml:space="preserve">congruent with findings in similar studies (see Barbosa </w:t>
      </w:r>
      <w:r w:rsidR="00DA4B96" w:rsidRPr="00C34D98">
        <w:t>and</w:t>
      </w:r>
      <w:r w:rsidRPr="00C34D98">
        <w:t xml:space="preserve"> Fayolle 2007). </w:t>
      </w:r>
    </w:p>
    <w:p w:rsidR="000859BC" w:rsidRPr="00C34D98" w:rsidRDefault="000859BC" w:rsidP="000859BC">
      <w:pPr>
        <w:spacing w:line="360" w:lineRule="auto"/>
        <w:ind w:firstLine="720"/>
        <w:jc w:val="both"/>
      </w:pPr>
      <w:r w:rsidRPr="00C34D98">
        <w:t xml:space="preserve">Questions </w:t>
      </w:r>
      <w:r w:rsidRPr="00C34D98">
        <w:rPr>
          <w:i/>
        </w:rPr>
        <w:t>Q13</w:t>
      </w:r>
      <w:r w:rsidRPr="00C34D98">
        <w:t xml:space="preserve"> through </w:t>
      </w:r>
      <w:r w:rsidRPr="00C34D98">
        <w:rPr>
          <w:i/>
        </w:rPr>
        <w:t>Q17</w:t>
      </w:r>
      <w:r w:rsidRPr="00C34D98">
        <w:t xml:space="preserve"> sought to identify the extent to which </w:t>
      </w:r>
      <w:r w:rsidR="00DA4B96" w:rsidRPr="00C34D98">
        <w:t>frontline employees in supply chain organisations</w:t>
      </w:r>
      <w:r w:rsidR="00DA4B96" w:rsidRPr="00C34D98" w:rsidDel="00DA4B96">
        <w:t xml:space="preserve"> </w:t>
      </w:r>
      <w:r w:rsidRPr="00C34D98">
        <w:t xml:space="preserve">utilise over-precise intervals in their judgements. Addressing this objective required assessing, as a measure of overconfidence bias, whether respondents would be over-precise in their range estimations. The questions were framed using a 90% confidence interval, implying that only 10% of responses were expected to encompass the correct responses within their specified ranges. Three different measures were used, namely air distance, sea distance and cargo capacity. Table 1 below illustrates the findings from each of the questions. </w:t>
      </w:r>
    </w:p>
    <w:p w:rsidR="000859BC" w:rsidRPr="00C34D98" w:rsidRDefault="000859BC" w:rsidP="000859BC">
      <w:pPr>
        <w:spacing w:line="360" w:lineRule="auto"/>
        <w:ind w:firstLine="720"/>
        <w:jc w:val="both"/>
      </w:pPr>
    </w:p>
    <w:p w:rsidR="000859BC" w:rsidRPr="00C34D98" w:rsidRDefault="000859BC" w:rsidP="00DC12A9">
      <w:pPr>
        <w:spacing w:line="360" w:lineRule="auto"/>
        <w:jc w:val="both"/>
        <w:rPr>
          <w:i/>
        </w:rPr>
      </w:pPr>
      <w:r w:rsidRPr="00C34D98">
        <w:rPr>
          <w:b/>
        </w:rPr>
        <w:t>Table 1</w:t>
      </w:r>
      <w:r w:rsidR="000E6515" w:rsidRPr="00C34D98">
        <w:rPr>
          <w:b/>
        </w:rPr>
        <w:t xml:space="preserve"> </w:t>
      </w:r>
      <w:r w:rsidRPr="00C34D98">
        <w:t xml:space="preserve">- </w:t>
      </w:r>
      <w:r w:rsidR="000E6515" w:rsidRPr="00C34D98">
        <w:t>The proportion of respondents who demonstrated overconfidence via the u</w:t>
      </w:r>
      <w:r w:rsidRPr="00C34D98">
        <w:t>se of over-precise intervals in judgements</w:t>
      </w:r>
      <w:r w:rsidR="000E6515" w:rsidRPr="00C34D98">
        <w:t xml:space="preserve"> of air distance, sea distance and cargo capacity</w:t>
      </w:r>
    </w:p>
    <w:tbl>
      <w:tblPr>
        <w:tblStyle w:val="TableGrid"/>
        <w:tblW w:w="0" w:type="auto"/>
        <w:tblLook w:val="04A0" w:firstRow="1" w:lastRow="0" w:firstColumn="1" w:lastColumn="0" w:noHBand="0" w:noVBand="1"/>
      </w:tblPr>
      <w:tblGrid>
        <w:gridCol w:w="1984"/>
        <w:gridCol w:w="1984"/>
        <w:gridCol w:w="1985"/>
        <w:gridCol w:w="1985"/>
        <w:gridCol w:w="1985"/>
      </w:tblGrid>
      <w:tr w:rsidR="000859BC" w:rsidRPr="00C34D98" w:rsidTr="00C114C3">
        <w:tc>
          <w:tcPr>
            <w:tcW w:w="1984" w:type="dxa"/>
            <w:vMerge w:val="restart"/>
          </w:tcPr>
          <w:p w:rsidR="000859BC" w:rsidRPr="00C34D98" w:rsidRDefault="000859BC" w:rsidP="00C114C3">
            <w:pPr>
              <w:spacing w:line="360" w:lineRule="auto"/>
              <w:jc w:val="center"/>
              <w:rPr>
                <w:i/>
                <w:sz w:val="20"/>
                <w:szCs w:val="20"/>
              </w:rPr>
            </w:pPr>
            <w:r w:rsidRPr="00C34D98">
              <w:rPr>
                <w:i/>
                <w:sz w:val="20"/>
                <w:szCs w:val="20"/>
              </w:rPr>
              <w:t>Question No.</w:t>
            </w:r>
          </w:p>
        </w:tc>
        <w:tc>
          <w:tcPr>
            <w:tcW w:w="1984" w:type="dxa"/>
            <w:vMerge w:val="restart"/>
          </w:tcPr>
          <w:p w:rsidR="000859BC" w:rsidRPr="00C34D98" w:rsidRDefault="000859BC" w:rsidP="00C114C3">
            <w:pPr>
              <w:spacing w:line="360" w:lineRule="auto"/>
              <w:jc w:val="center"/>
              <w:rPr>
                <w:i/>
                <w:sz w:val="20"/>
                <w:szCs w:val="20"/>
              </w:rPr>
            </w:pPr>
            <w:r w:rsidRPr="00C34D98">
              <w:rPr>
                <w:i/>
                <w:sz w:val="20"/>
                <w:szCs w:val="20"/>
              </w:rPr>
              <w:t>Question Type</w:t>
            </w:r>
          </w:p>
        </w:tc>
        <w:tc>
          <w:tcPr>
            <w:tcW w:w="5955" w:type="dxa"/>
            <w:gridSpan w:val="3"/>
          </w:tcPr>
          <w:p w:rsidR="000859BC" w:rsidRPr="00C34D98" w:rsidRDefault="000859BC" w:rsidP="00C114C3">
            <w:pPr>
              <w:spacing w:line="360" w:lineRule="auto"/>
              <w:jc w:val="center"/>
              <w:rPr>
                <w:i/>
                <w:sz w:val="20"/>
                <w:szCs w:val="20"/>
              </w:rPr>
            </w:pPr>
            <w:r w:rsidRPr="00C34D98">
              <w:rPr>
                <w:i/>
                <w:sz w:val="20"/>
                <w:szCs w:val="20"/>
              </w:rPr>
              <w:t>Incorrect Ranges</w:t>
            </w:r>
          </w:p>
        </w:tc>
      </w:tr>
      <w:tr w:rsidR="000859BC" w:rsidRPr="00C34D98" w:rsidTr="00DC12A9">
        <w:tc>
          <w:tcPr>
            <w:tcW w:w="1984" w:type="dxa"/>
            <w:vMerge/>
          </w:tcPr>
          <w:p w:rsidR="000859BC" w:rsidRPr="00C34D98" w:rsidRDefault="000859BC" w:rsidP="00C114C3">
            <w:pPr>
              <w:spacing w:line="360" w:lineRule="auto"/>
              <w:jc w:val="center"/>
              <w:rPr>
                <w:i/>
                <w:sz w:val="20"/>
                <w:szCs w:val="20"/>
              </w:rPr>
            </w:pPr>
          </w:p>
        </w:tc>
        <w:tc>
          <w:tcPr>
            <w:tcW w:w="1984" w:type="dxa"/>
            <w:vMerge/>
          </w:tcPr>
          <w:p w:rsidR="000859BC" w:rsidRPr="00C34D98" w:rsidRDefault="000859BC" w:rsidP="00C114C3">
            <w:pPr>
              <w:spacing w:line="360" w:lineRule="auto"/>
              <w:jc w:val="center"/>
              <w:rPr>
                <w:i/>
                <w:sz w:val="20"/>
                <w:szCs w:val="20"/>
              </w:rPr>
            </w:pPr>
          </w:p>
        </w:tc>
        <w:tc>
          <w:tcPr>
            <w:tcW w:w="1985" w:type="dxa"/>
            <w:tcBorders>
              <w:right w:val="single" w:sz="4" w:space="0" w:color="auto"/>
            </w:tcBorders>
          </w:tcPr>
          <w:p w:rsidR="000859BC" w:rsidRPr="00C34D98" w:rsidRDefault="000859BC" w:rsidP="00C114C3">
            <w:pPr>
              <w:spacing w:line="360" w:lineRule="auto"/>
              <w:jc w:val="center"/>
              <w:rPr>
                <w:i/>
                <w:sz w:val="20"/>
                <w:szCs w:val="20"/>
              </w:rPr>
            </w:pPr>
            <w:r w:rsidRPr="00C34D98">
              <w:rPr>
                <w:i/>
                <w:sz w:val="20"/>
                <w:szCs w:val="20"/>
              </w:rPr>
              <w:t>Ideal</w:t>
            </w:r>
          </w:p>
        </w:tc>
        <w:tc>
          <w:tcPr>
            <w:tcW w:w="1985" w:type="dxa"/>
            <w:tcBorders>
              <w:left w:val="single" w:sz="4" w:space="0" w:color="auto"/>
            </w:tcBorders>
          </w:tcPr>
          <w:p w:rsidR="000859BC" w:rsidRPr="00C34D98" w:rsidRDefault="000859BC" w:rsidP="00C114C3">
            <w:pPr>
              <w:spacing w:line="360" w:lineRule="auto"/>
              <w:jc w:val="center"/>
              <w:rPr>
                <w:i/>
                <w:sz w:val="20"/>
                <w:szCs w:val="20"/>
              </w:rPr>
            </w:pPr>
            <w:r w:rsidRPr="00C34D98">
              <w:rPr>
                <w:i/>
                <w:sz w:val="20"/>
                <w:szCs w:val="20"/>
              </w:rPr>
              <w:t>Actual</w:t>
            </w:r>
          </w:p>
        </w:tc>
        <w:tc>
          <w:tcPr>
            <w:tcW w:w="1985" w:type="dxa"/>
          </w:tcPr>
          <w:p w:rsidR="000859BC" w:rsidRPr="00C34D98" w:rsidRDefault="000859BC" w:rsidP="00C114C3">
            <w:pPr>
              <w:spacing w:line="360" w:lineRule="auto"/>
              <w:jc w:val="center"/>
              <w:rPr>
                <w:i/>
                <w:sz w:val="20"/>
                <w:szCs w:val="20"/>
              </w:rPr>
            </w:pPr>
            <w:r w:rsidRPr="00C34D98">
              <w:rPr>
                <w:i/>
                <w:sz w:val="20"/>
                <w:szCs w:val="20"/>
              </w:rPr>
              <w:t>Number of respondents</w:t>
            </w:r>
          </w:p>
        </w:tc>
      </w:tr>
      <w:tr w:rsidR="000859BC" w:rsidRPr="00C34D98" w:rsidTr="00C114C3">
        <w:tc>
          <w:tcPr>
            <w:tcW w:w="1984" w:type="dxa"/>
          </w:tcPr>
          <w:p w:rsidR="000859BC" w:rsidRPr="00C34D98" w:rsidRDefault="000859BC" w:rsidP="00C114C3">
            <w:pPr>
              <w:spacing w:line="360" w:lineRule="auto"/>
              <w:jc w:val="center"/>
              <w:rPr>
                <w:sz w:val="20"/>
                <w:szCs w:val="20"/>
              </w:rPr>
            </w:pPr>
            <w:r w:rsidRPr="00C34D98">
              <w:rPr>
                <w:sz w:val="20"/>
                <w:szCs w:val="20"/>
              </w:rPr>
              <w:t>13</w:t>
            </w:r>
          </w:p>
        </w:tc>
        <w:tc>
          <w:tcPr>
            <w:tcW w:w="1984" w:type="dxa"/>
          </w:tcPr>
          <w:p w:rsidR="000859BC" w:rsidRPr="00C34D98" w:rsidRDefault="000859BC" w:rsidP="00C114C3">
            <w:pPr>
              <w:spacing w:line="360" w:lineRule="auto"/>
              <w:jc w:val="center"/>
              <w:rPr>
                <w:sz w:val="20"/>
                <w:szCs w:val="20"/>
              </w:rPr>
            </w:pPr>
            <w:r w:rsidRPr="00C34D98">
              <w:rPr>
                <w:sz w:val="20"/>
                <w:szCs w:val="20"/>
              </w:rPr>
              <w:t>Air Distance</w:t>
            </w:r>
          </w:p>
        </w:tc>
        <w:tc>
          <w:tcPr>
            <w:tcW w:w="1985" w:type="dxa"/>
          </w:tcPr>
          <w:p w:rsidR="000859BC" w:rsidRPr="00C34D98" w:rsidRDefault="000859BC" w:rsidP="00C114C3">
            <w:pPr>
              <w:spacing w:line="360" w:lineRule="auto"/>
              <w:jc w:val="center"/>
              <w:rPr>
                <w:sz w:val="20"/>
                <w:szCs w:val="20"/>
              </w:rPr>
            </w:pPr>
            <w:r w:rsidRPr="00C34D98">
              <w:rPr>
                <w:sz w:val="20"/>
                <w:szCs w:val="20"/>
              </w:rPr>
              <w:t>10%</w:t>
            </w:r>
          </w:p>
        </w:tc>
        <w:tc>
          <w:tcPr>
            <w:tcW w:w="1985" w:type="dxa"/>
          </w:tcPr>
          <w:p w:rsidR="000859BC" w:rsidRPr="00C34D98" w:rsidRDefault="000859BC" w:rsidP="00C114C3">
            <w:pPr>
              <w:spacing w:line="360" w:lineRule="auto"/>
              <w:jc w:val="center"/>
              <w:rPr>
                <w:sz w:val="20"/>
                <w:szCs w:val="20"/>
              </w:rPr>
            </w:pPr>
            <w:r w:rsidRPr="00C34D98">
              <w:rPr>
                <w:sz w:val="20"/>
                <w:szCs w:val="20"/>
              </w:rPr>
              <w:t>75%</w:t>
            </w:r>
          </w:p>
        </w:tc>
        <w:tc>
          <w:tcPr>
            <w:tcW w:w="1985" w:type="dxa"/>
          </w:tcPr>
          <w:p w:rsidR="000859BC" w:rsidRPr="00C34D98" w:rsidRDefault="000859BC" w:rsidP="00C114C3">
            <w:pPr>
              <w:spacing w:line="360" w:lineRule="auto"/>
              <w:jc w:val="center"/>
              <w:rPr>
                <w:sz w:val="20"/>
                <w:szCs w:val="20"/>
              </w:rPr>
            </w:pPr>
            <w:r w:rsidRPr="00C34D98">
              <w:rPr>
                <w:sz w:val="20"/>
                <w:szCs w:val="20"/>
              </w:rPr>
              <w:t>30</w:t>
            </w:r>
          </w:p>
        </w:tc>
      </w:tr>
      <w:tr w:rsidR="000859BC" w:rsidRPr="00C34D98" w:rsidTr="00C114C3">
        <w:tc>
          <w:tcPr>
            <w:tcW w:w="1984" w:type="dxa"/>
          </w:tcPr>
          <w:p w:rsidR="000859BC" w:rsidRPr="00C34D98" w:rsidRDefault="000859BC" w:rsidP="00C114C3">
            <w:pPr>
              <w:spacing w:line="360" w:lineRule="auto"/>
              <w:jc w:val="center"/>
              <w:rPr>
                <w:sz w:val="20"/>
                <w:szCs w:val="20"/>
              </w:rPr>
            </w:pPr>
            <w:r w:rsidRPr="00C34D98">
              <w:rPr>
                <w:sz w:val="20"/>
                <w:szCs w:val="20"/>
              </w:rPr>
              <w:t>14</w:t>
            </w:r>
          </w:p>
        </w:tc>
        <w:tc>
          <w:tcPr>
            <w:tcW w:w="1984" w:type="dxa"/>
          </w:tcPr>
          <w:p w:rsidR="000859BC" w:rsidRPr="00C34D98" w:rsidRDefault="000859BC" w:rsidP="00C114C3">
            <w:pPr>
              <w:spacing w:line="360" w:lineRule="auto"/>
              <w:jc w:val="center"/>
              <w:rPr>
                <w:sz w:val="20"/>
                <w:szCs w:val="20"/>
              </w:rPr>
            </w:pPr>
            <w:r w:rsidRPr="00C34D98">
              <w:rPr>
                <w:sz w:val="20"/>
                <w:szCs w:val="20"/>
              </w:rPr>
              <w:t>Air Distance</w:t>
            </w:r>
          </w:p>
        </w:tc>
        <w:tc>
          <w:tcPr>
            <w:tcW w:w="1985" w:type="dxa"/>
          </w:tcPr>
          <w:p w:rsidR="000859BC" w:rsidRPr="00C34D98" w:rsidRDefault="000859BC" w:rsidP="00C114C3">
            <w:pPr>
              <w:spacing w:line="360" w:lineRule="auto"/>
              <w:jc w:val="center"/>
              <w:rPr>
                <w:sz w:val="20"/>
                <w:szCs w:val="20"/>
              </w:rPr>
            </w:pPr>
            <w:r w:rsidRPr="00C34D98">
              <w:rPr>
                <w:sz w:val="20"/>
                <w:szCs w:val="20"/>
              </w:rPr>
              <w:t>10%</w:t>
            </w:r>
          </w:p>
        </w:tc>
        <w:tc>
          <w:tcPr>
            <w:tcW w:w="1985" w:type="dxa"/>
          </w:tcPr>
          <w:p w:rsidR="000859BC" w:rsidRPr="00C34D98" w:rsidRDefault="000859BC" w:rsidP="00C114C3">
            <w:pPr>
              <w:spacing w:line="360" w:lineRule="auto"/>
              <w:jc w:val="center"/>
              <w:rPr>
                <w:sz w:val="20"/>
                <w:szCs w:val="20"/>
              </w:rPr>
            </w:pPr>
            <w:r w:rsidRPr="00C34D98">
              <w:rPr>
                <w:sz w:val="20"/>
                <w:szCs w:val="20"/>
              </w:rPr>
              <w:t>82.5%</w:t>
            </w:r>
          </w:p>
        </w:tc>
        <w:tc>
          <w:tcPr>
            <w:tcW w:w="1985" w:type="dxa"/>
          </w:tcPr>
          <w:p w:rsidR="000859BC" w:rsidRPr="00C34D98" w:rsidRDefault="000859BC" w:rsidP="00C114C3">
            <w:pPr>
              <w:spacing w:line="360" w:lineRule="auto"/>
              <w:jc w:val="center"/>
              <w:rPr>
                <w:sz w:val="20"/>
                <w:szCs w:val="20"/>
              </w:rPr>
            </w:pPr>
            <w:r w:rsidRPr="00C34D98">
              <w:rPr>
                <w:sz w:val="20"/>
                <w:szCs w:val="20"/>
              </w:rPr>
              <w:t>33</w:t>
            </w:r>
          </w:p>
        </w:tc>
      </w:tr>
      <w:tr w:rsidR="000859BC" w:rsidRPr="00C34D98" w:rsidTr="00C114C3">
        <w:tc>
          <w:tcPr>
            <w:tcW w:w="1984" w:type="dxa"/>
          </w:tcPr>
          <w:p w:rsidR="000859BC" w:rsidRPr="00C34D98" w:rsidRDefault="000859BC" w:rsidP="00C114C3">
            <w:pPr>
              <w:spacing w:line="360" w:lineRule="auto"/>
              <w:jc w:val="center"/>
              <w:rPr>
                <w:sz w:val="20"/>
                <w:szCs w:val="20"/>
              </w:rPr>
            </w:pPr>
            <w:r w:rsidRPr="00C34D98">
              <w:rPr>
                <w:sz w:val="20"/>
                <w:szCs w:val="20"/>
              </w:rPr>
              <w:t>15</w:t>
            </w:r>
          </w:p>
        </w:tc>
        <w:tc>
          <w:tcPr>
            <w:tcW w:w="1984" w:type="dxa"/>
          </w:tcPr>
          <w:p w:rsidR="000859BC" w:rsidRPr="00C34D98" w:rsidRDefault="000859BC" w:rsidP="00C114C3">
            <w:pPr>
              <w:spacing w:line="360" w:lineRule="auto"/>
              <w:jc w:val="center"/>
              <w:rPr>
                <w:sz w:val="20"/>
                <w:szCs w:val="20"/>
              </w:rPr>
            </w:pPr>
            <w:r w:rsidRPr="00C34D98">
              <w:rPr>
                <w:sz w:val="20"/>
                <w:szCs w:val="20"/>
              </w:rPr>
              <w:t>Sea Distance</w:t>
            </w:r>
          </w:p>
        </w:tc>
        <w:tc>
          <w:tcPr>
            <w:tcW w:w="1985" w:type="dxa"/>
          </w:tcPr>
          <w:p w:rsidR="000859BC" w:rsidRPr="00C34D98" w:rsidRDefault="000859BC" w:rsidP="00C114C3">
            <w:pPr>
              <w:spacing w:line="360" w:lineRule="auto"/>
              <w:jc w:val="center"/>
              <w:rPr>
                <w:sz w:val="20"/>
                <w:szCs w:val="20"/>
              </w:rPr>
            </w:pPr>
            <w:r w:rsidRPr="00C34D98">
              <w:rPr>
                <w:sz w:val="20"/>
                <w:szCs w:val="20"/>
              </w:rPr>
              <w:t>10%</w:t>
            </w:r>
          </w:p>
        </w:tc>
        <w:tc>
          <w:tcPr>
            <w:tcW w:w="1985" w:type="dxa"/>
          </w:tcPr>
          <w:p w:rsidR="000859BC" w:rsidRPr="00C34D98" w:rsidRDefault="000859BC" w:rsidP="00C114C3">
            <w:pPr>
              <w:spacing w:line="360" w:lineRule="auto"/>
              <w:jc w:val="center"/>
              <w:rPr>
                <w:sz w:val="20"/>
                <w:szCs w:val="20"/>
              </w:rPr>
            </w:pPr>
            <w:r w:rsidRPr="00C34D98">
              <w:rPr>
                <w:sz w:val="20"/>
                <w:szCs w:val="20"/>
              </w:rPr>
              <w:t>75%</w:t>
            </w:r>
          </w:p>
        </w:tc>
        <w:tc>
          <w:tcPr>
            <w:tcW w:w="1985" w:type="dxa"/>
          </w:tcPr>
          <w:p w:rsidR="000859BC" w:rsidRPr="00C34D98" w:rsidRDefault="000859BC" w:rsidP="00C114C3">
            <w:pPr>
              <w:spacing w:line="360" w:lineRule="auto"/>
              <w:jc w:val="center"/>
              <w:rPr>
                <w:sz w:val="20"/>
                <w:szCs w:val="20"/>
              </w:rPr>
            </w:pPr>
            <w:r w:rsidRPr="00C34D98">
              <w:rPr>
                <w:sz w:val="20"/>
                <w:szCs w:val="20"/>
              </w:rPr>
              <w:t>30</w:t>
            </w:r>
          </w:p>
        </w:tc>
      </w:tr>
      <w:tr w:rsidR="000859BC" w:rsidRPr="00C34D98" w:rsidTr="00C114C3">
        <w:tc>
          <w:tcPr>
            <w:tcW w:w="1984" w:type="dxa"/>
          </w:tcPr>
          <w:p w:rsidR="000859BC" w:rsidRPr="00C34D98" w:rsidRDefault="000859BC" w:rsidP="00C114C3">
            <w:pPr>
              <w:spacing w:line="360" w:lineRule="auto"/>
              <w:jc w:val="center"/>
              <w:rPr>
                <w:sz w:val="20"/>
                <w:szCs w:val="20"/>
              </w:rPr>
            </w:pPr>
            <w:r w:rsidRPr="00C34D98">
              <w:rPr>
                <w:sz w:val="20"/>
                <w:szCs w:val="20"/>
              </w:rPr>
              <w:t>16</w:t>
            </w:r>
          </w:p>
        </w:tc>
        <w:tc>
          <w:tcPr>
            <w:tcW w:w="1984" w:type="dxa"/>
          </w:tcPr>
          <w:p w:rsidR="000859BC" w:rsidRPr="00C34D98" w:rsidRDefault="000859BC" w:rsidP="00C114C3">
            <w:pPr>
              <w:spacing w:line="360" w:lineRule="auto"/>
              <w:jc w:val="center"/>
              <w:rPr>
                <w:sz w:val="20"/>
                <w:szCs w:val="20"/>
              </w:rPr>
            </w:pPr>
            <w:r w:rsidRPr="00C34D98">
              <w:rPr>
                <w:sz w:val="20"/>
                <w:szCs w:val="20"/>
              </w:rPr>
              <w:t>Sea Distance</w:t>
            </w:r>
          </w:p>
        </w:tc>
        <w:tc>
          <w:tcPr>
            <w:tcW w:w="1985" w:type="dxa"/>
          </w:tcPr>
          <w:p w:rsidR="000859BC" w:rsidRPr="00C34D98" w:rsidRDefault="000859BC" w:rsidP="00C114C3">
            <w:pPr>
              <w:spacing w:line="360" w:lineRule="auto"/>
              <w:jc w:val="center"/>
              <w:rPr>
                <w:sz w:val="20"/>
                <w:szCs w:val="20"/>
              </w:rPr>
            </w:pPr>
            <w:r w:rsidRPr="00C34D98">
              <w:rPr>
                <w:sz w:val="20"/>
                <w:szCs w:val="20"/>
              </w:rPr>
              <w:t>10%</w:t>
            </w:r>
          </w:p>
        </w:tc>
        <w:tc>
          <w:tcPr>
            <w:tcW w:w="1985" w:type="dxa"/>
          </w:tcPr>
          <w:p w:rsidR="000859BC" w:rsidRPr="00C34D98" w:rsidRDefault="000859BC" w:rsidP="00C114C3">
            <w:pPr>
              <w:spacing w:line="360" w:lineRule="auto"/>
              <w:jc w:val="center"/>
              <w:rPr>
                <w:sz w:val="20"/>
                <w:szCs w:val="20"/>
              </w:rPr>
            </w:pPr>
            <w:r w:rsidRPr="00C34D98">
              <w:rPr>
                <w:sz w:val="20"/>
                <w:szCs w:val="20"/>
              </w:rPr>
              <w:t>77.5%</w:t>
            </w:r>
          </w:p>
        </w:tc>
        <w:tc>
          <w:tcPr>
            <w:tcW w:w="1985" w:type="dxa"/>
          </w:tcPr>
          <w:p w:rsidR="000859BC" w:rsidRPr="00C34D98" w:rsidRDefault="000859BC" w:rsidP="00C114C3">
            <w:pPr>
              <w:spacing w:line="360" w:lineRule="auto"/>
              <w:jc w:val="center"/>
              <w:rPr>
                <w:sz w:val="20"/>
                <w:szCs w:val="20"/>
              </w:rPr>
            </w:pPr>
            <w:r w:rsidRPr="00C34D98">
              <w:rPr>
                <w:sz w:val="20"/>
                <w:szCs w:val="20"/>
              </w:rPr>
              <w:t>31</w:t>
            </w:r>
          </w:p>
        </w:tc>
      </w:tr>
      <w:tr w:rsidR="000859BC" w:rsidRPr="00C34D98" w:rsidTr="00C114C3">
        <w:tc>
          <w:tcPr>
            <w:tcW w:w="1984" w:type="dxa"/>
          </w:tcPr>
          <w:p w:rsidR="000859BC" w:rsidRPr="00C34D98" w:rsidRDefault="000859BC" w:rsidP="00C114C3">
            <w:pPr>
              <w:spacing w:line="360" w:lineRule="auto"/>
              <w:jc w:val="center"/>
              <w:rPr>
                <w:sz w:val="20"/>
                <w:szCs w:val="20"/>
              </w:rPr>
            </w:pPr>
            <w:r w:rsidRPr="00C34D98">
              <w:rPr>
                <w:sz w:val="20"/>
                <w:szCs w:val="20"/>
              </w:rPr>
              <w:t>17</w:t>
            </w:r>
          </w:p>
        </w:tc>
        <w:tc>
          <w:tcPr>
            <w:tcW w:w="1984" w:type="dxa"/>
          </w:tcPr>
          <w:p w:rsidR="000859BC" w:rsidRPr="00C34D98" w:rsidRDefault="000859BC" w:rsidP="00C114C3">
            <w:pPr>
              <w:spacing w:line="360" w:lineRule="auto"/>
              <w:jc w:val="center"/>
              <w:rPr>
                <w:sz w:val="20"/>
                <w:szCs w:val="20"/>
              </w:rPr>
            </w:pPr>
            <w:r w:rsidRPr="00C34D98">
              <w:rPr>
                <w:sz w:val="20"/>
                <w:szCs w:val="20"/>
              </w:rPr>
              <w:t>Cargo Capacity</w:t>
            </w:r>
          </w:p>
        </w:tc>
        <w:tc>
          <w:tcPr>
            <w:tcW w:w="1985" w:type="dxa"/>
          </w:tcPr>
          <w:p w:rsidR="000859BC" w:rsidRPr="00C34D98" w:rsidRDefault="000859BC" w:rsidP="00C114C3">
            <w:pPr>
              <w:spacing w:line="360" w:lineRule="auto"/>
              <w:jc w:val="center"/>
              <w:rPr>
                <w:sz w:val="20"/>
                <w:szCs w:val="20"/>
              </w:rPr>
            </w:pPr>
            <w:r w:rsidRPr="00C34D98">
              <w:rPr>
                <w:sz w:val="20"/>
                <w:szCs w:val="20"/>
              </w:rPr>
              <w:t>10%</w:t>
            </w:r>
          </w:p>
        </w:tc>
        <w:tc>
          <w:tcPr>
            <w:tcW w:w="1985" w:type="dxa"/>
          </w:tcPr>
          <w:p w:rsidR="000859BC" w:rsidRPr="00C34D98" w:rsidRDefault="000859BC" w:rsidP="00C114C3">
            <w:pPr>
              <w:spacing w:line="360" w:lineRule="auto"/>
              <w:jc w:val="center"/>
              <w:rPr>
                <w:sz w:val="20"/>
                <w:szCs w:val="20"/>
              </w:rPr>
            </w:pPr>
            <w:r w:rsidRPr="00C34D98">
              <w:rPr>
                <w:sz w:val="20"/>
                <w:szCs w:val="20"/>
              </w:rPr>
              <w:t>75%</w:t>
            </w:r>
          </w:p>
        </w:tc>
        <w:tc>
          <w:tcPr>
            <w:tcW w:w="1985" w:type="dxa"/>
          </w:tcPr>
          <w:p w:rsidR="000859BC" w:rsidRPr="00C34D98" w:rsidRDefault="000859BC" w:rsidP="00C114C3">
            <w:pPr>
              <w:spacing w:line="360" w:lineRule="auto"/>
              <w:jc w:val="center"/>
              <w:rPr>
                <w:sz w:val="20"/>
                <w:szCs w:val="20"/>
              </w:rPr>
            </w:pPr>
            <w:r w:rsidRPr="00C34D98">
              <w:rPr>
                <w:sz w:val="20"/>
                <w:szCs w:val="20"/>
              </w:rPr>
              <w:t>30</w:t>
            </w:r>
          </w:p>
        </w:tc>
      </w:tr>
      <w:tr w:rsidR="000859BC" w:rsidRPr="00C34D98" w:rsidTr="00C114C3">
        <w:tc>
          <w:tcPr>
            <w:tcW w:w="1984" w:type="dxa"/>
          </w:tcPr>
          <w:p w:rsidR="000859BC" w:rsidRPr="00C34D98" w:rsidRDefault="000859BC" w:rsidP="00C114C3">
            <w:pPr>
              <w:spacing w:line="360" w:lineRule="auto"/>
              <w:jc w:val="center"/>
              <w:rPr>
                <w:sz w:val="20"/>
                <w:szCs w:val="20"/>
              </w:rPr>
            </w:pPr>
            <w:r w:rsidRPr="00C34D98">
              <w:rPr>
                <w:sz w:val="20"/>
                <w:szCs w:val="20"/>
              </w:rPr>
              <w:t>Total</w:t>
            </w:r>
          </w:p>
        </w:tc>
        <w:tc>
          <w:tcPr>
            <w:tcW w:w="1984" w:type="dxa"/>
          </w:tcPr>
          <w:p w:rsidR="000859BC" w:rsidRPr="00C34D98" w:rsidRDefault="000859BC" w:rsidP="00C114C3">
            <w:pPr>
              <w:spacing w:line="360" w:lineRule="auto"/>
              <w:jc w:val="center"/>
              <w:rPr>
                <w:sz w:val="20"/>
                <w:szCs w:val="20"/>
              </w:rPr>
            </w:pPr>
          </w:p>
        </w:tc>
        <w:tc>
          <w:tcPr>
            <w:tcW w:w="1985" w:type="dxa"/>
          </w:tcPr>
          <w:p w:rsidR="000859BC" w:rsidRPr="00C34D98" w:rsidRDefault="000859BC" w:rsidP="00C114C3">
            <w:pPr>
              <w:spacing w:line="360" w:lineRule="auto"/>
              <w:jc w:val="center"/>
              <w:rPr>
                <w:sz w:val="20"/>
                <w:szCs w:val="20"/>
              </w:rPr>
            </w:pPr>
            <w:r w:rsidRPr="00C34D98">
              <w:rPr>
                <w:sz w:val="20"/>
                <w:szCs w:val="20"/>
              </w:rPr>
              <w:t>10%</w:t>
            </w:r>
          </w:p>
        </w:tc>
        <w:tc>
          <w:tcPr>
            <w:tcW w:w="1985" w:type="dxa"/>
          </w:tcPr>
          <w:p w:rsidR="000859BC" w:rsidRPr="00C34D98" w:rsidRDefault="000859BC" w:rsidP="00C114C3">
            <w:pPr>
              <w:spacing w:line="360" w:lineRule="auto"/>
              <w:jc w:val="center"/>
              <w:rPr>
                <w:sz w:val="20"/>
                <w:szCs w:val="20"/>
              </w:rPr>
            </w:pPr>
            <w:r w:rsidRPr="00C34D98">
              <w:rPr>
                <w:sz w:val="20"/>
                <w:szCs w:val="20"/>
              </w:rPr>
              <w:t>77%</w:t>
            </w:r>
          </w:p>
        </w:tc>
        <w:tc>
          <w:tcPr>
            <w:tcW w:w="1985" w:type="dxa"/>
          </w:tcPr>
          <w:p w:rsidR="000859BC" w:rsidRPr="00C34D98" w:rsidRDefault="000859BC" w:rsidP="00C114C3">
            <w:pPr>
              <w:spacing w:line="360" w:lineRule="auto"/>
              <w:jc w:val="center"/>
              <w:rPr>
                <w:sz w:val="20"/>
                <w:szCs w:val="20"/>
              </w:rPr>
            </w:pPr>
            <w:r w:rsidRPr="00C34D98">
              <w:rPr>
                <w:sz w:val="20"/>
                <w:szCs w:val="20"/>
              </w:rPr>
              <w:t>154/200</w:t>
            </w:r>
          </w:p>
        </w:tc>
      </w:tr>
    </w:tbl>
    <w:p w:rsidR="000859BC" w:rsidRPr="00C34D98" w:rsidRDefault="000859BC" w:rsidP="000859BC">
      <w:pPr>
        <w:spacing w:line="360" w:lineRule="auto"/>
        <w:jc w:val="center"/>
        <w:rPr>
          <w:i/>
        </w:rPr>
      </w:pPr>
    </w:p>
    <w:p w:rsidR="000859BC" w:rsidRPr="00C34D98" w:rsidRDefault="000859BC" w:rsidP="000859BC">
      <w:pPr>
        <w:spacing w:line="360" w:lineRule="auto"/>
        <w:jc w:val="both"/>
      </w:pPr>
      <w:r w:rsidRPr="00C34D98">
        <w:lastRenderedPageBreak/>
        <w:t xml:space="preserve">Our findings suggest that across </w:t>
      </w:r>
      <w:r w:rsidR="0009726D">
        <w:t>all</w:t>
      </w:r>
      <w:r w:rsidRPr="00C34D98">
        <w:t xml:space="preserve"> five questions (Q13 to Q17) with the three different measures, overconfidence was exhibited. This claim can be made because for each of the questions, a minimum of thirty respondents (75% of the </w:t>
      </w:r>
      <w:r w:rsidR="000A202C" w:rsidRPr="00C34D98">
        <w:t>sample</w:t>
      </w:r>
      <w:r w:rsidRPr="00C34D98">
        <w:t xml:space="preserve">) responded with range estimations that did not contain the correct value. When aggregated, this suggests that 154/200 (77%) of ranges given failed to include the true value. </w:t>
      </w:r>
    </w:p>
    <w:p w:rsidR="000859BC" w:rsidRPr="00C34D98" w:rsidRDefault="000859BC" w:rsidP="000859BC">
      <w:pPr>
        <w:spacing w:line="360" w:lineRule="auto"/>
        <w:ind w:firstLine="720"/>
        <w:jc w:val="both"/>
      </w:pPr>
      <w:r w:rsidRPr="00C34D98">
        <w:rPr>
          <w:i/>
        </w:rPr>
        <w:t>Q18</w:t>
      </w:r>
      <w:r w:rsidRPr="00C34D98">
        <w:t xml:space="preserve"> through to </w:t>
      </w:r>
      <w:r w:rsidRPr="00C34D98">
        <w:rPr>
          <w:i/>
        </w:rPr>
        <w:t>Q27</w:t>
      </w:r>
      <w:r w:rsidRPr="00C34D98">
        <w:t xml:space="preserve"> allowed us to explore mis-calibration (difference between the accuracy and assigned probability that the response is correct) between the confidence of frontline supply chain managers in their response and the accuracy of those responses. A bias score was produced for each respondent to determine the extent of their under or over confidence (in effect, their mis-calibration). At an aggregate level, the mean bias score was 21.3%, indicating a high level of overconfidence. </w:t>
      </w:r>
      <w:r w:rsidR="00867796" w:rsidRPr="00C34D98">
        <w:t xml:space="preserve">This mis-calibration highlights that on average, respondents were 79.3% confident of the correctness of their answers, while in reality they were only correct 58% of the time. </w:t>
      </w:r>
      <w:r w:rsidRPr="00C34D98">
        <w:t>More specifically, across all five questions (</w:t>
      </w:r>
      <w:r w:rsidRPr="00C34D98">
        <w:rPr>
          <w:i/>
        </w:rPr>
        <w:t>Q18</w:t>
      </w:r>
      <w:r w:rsidRPr="00C34D98">
        <w:t xml:space="preserve"> to </w:t>
      </w:r>
      <w:r w:rsidRPr="00C34D98">
        <w:rPr>
          <w:i/>
        </w:rPr>
        <w:t>Q27</w:t>
      </w:r>
      <w:r w:rsidRPr="00C34D98">
        <w:t>), overconfidence was exhibited. Furthermore, when respondents were categorised against five categories: ‘</w:t>
      </w:r>
      <w:r w:rsidRPr="00C34D98">
        <w:rPr>
          <w:i/>
        </w:rPr>
        <w:t>High Underconfidence</w:t>
      </w:r>
      <w:r w:rsidRPr="00C34D98">
        <w:t>’ (bias score of above -15), ‘</w:t>
      </w:r>
      <w:r w:rsidRPr="00C34D98">
        <w:rPr>
          <w:i/>
        </w:rPr>
        <w:t>Slight Underconfidence</w:t>
      </w:r>
      <w:r w:rsidRPr="00C34D98">
        <w:t>’ (between -5 and -15), ‘</w:t>
      </w:r>
      <w:r w:rsidRPr="00C34D98">
        <w:rPr>
          <w:i/>
        </w:rPr>
        <w:t>Accurate</w:t>
      </w:r>
      <w:r w:rsidRPr="00C34D98">
        <w:t>’ (between -4.99 and +4.99), ‘</w:t>
      </w:r>
      <w:r w:rsidRPr="00C34D98">
        <w:rPr>
          <w:i/>
        </w:rPr>
        <w:t>Slight Overconfidence</w:t>
      </w:r>
      <w:r w:rsidRPr="00C34D98">
        <w:t>’ (between +5 and +15) and ‘</w:t>
      </w:r>
      <w:r w:rsidRPr="00C34D98">
        <w:rPr>
          <w:i/>
        </w:rPr>
        <w:t>High Overconfidence</w:t>
      </w:r>
      <w:r w:rsidRPr="00C34D98">
        <w:t xml:space="preserve">’ (above +15), we found that an overwhelming majority of respondents, 65% (26/40) exhibited overconfidence. </w:t>
      </w:r>
      <w:r w:rsidRPr="00C34D98">
        <w:rPr>
          <w:i/>
        </w:rPr>
        <w:t xml:space="preserve">In effect, </w:t>
      </w:r>
      <w:r w:rsidR="00DA4B96" w:rsidRPr="00C34D98">
        <w:rPr>
          <w:i/>
        </w:rPr>
        <w:t>frontline employees in supply chain organisations</w:t>
      </w:r>
      <w:r w:rsidR="00DA4B96" w:rsidRPr="00C34D98" w:rsidDel="00DA4B96">
        <w:rPr>
          <w:i/>
        </w:rPr>
        <w:t xml:space="preserve"> </w:t>
      </w:r>
      <w:r w:rsidRPr="00C34D98">
        <w:rPr>
          <w:i/>
        </w:rPr>
        <w:t>exhibited considerable overconfidence in their judgements</w:t>
      </w:r>
      <w:r w:rsidRPr="00C34D98">
        <w:t>. Out results are consistent with previous literature (</w:t>
      </w:r>
      <w:r w:rsidR="00CD7D27" w:rsidRPr="00C34D98">
        <w:t>e.g.,</w:t>
      </w:r>
      <w:r w:rsidRPr="00C34D98">
        <w:t xml:space="preserve"> Ancarani et al. 2016). </w:t>
      </w:r>
    </w:p>
    <w:p w:rsidR="000859BC" w:rsidRPr="00C34D98" w:rsidRDefault="000859BC" w:rsidP="000859BC">
      <w:pPr>
        <w:spacing w:line="360" w:lineRule="auto"/>
        <w:jc w:val="both"/>
      </w:pPr>
    </w:p>
    <w:p w:rsidR="000859BC" w:rsidRPr="00C34D98" w:rsidRDefault="00DA4B96" w:rsidP="000859BC">
      <w:pPr>
        <w:spacing w:line="360" w:lineRule="auto"/>
        <w:jc w:val="both"/>
        <w:rPr>
          <w:i/>
        </w:rPr>
      </w:pPr>
      <w:r w:rsidRPr="00C34D98">
        <w:rPr>
          <w:i/>
        </w:rPr>
        <w:t xml:space="preserve">5.2 </w:t>
      </w:r>
      <w:r w:rsidR="000859BC" w:rsidRPr="00C34D98">
        <w:rPr>
          <w:i/>
        </w:rPr>
        <w:t xml:space="preserve">Inferential analysis </w:t>
      </w:r>
    </w:p>
    <w:p w:rsidR="00377003" w:rsidRPr="00C34D98" w:rsidRDefault="00377003" w:rsidP="00572E3D">
      <w:pPr>
        <w:spacing w:line="360" w:lineRule="auto"/>
        <w:jc w:val="both"/>
      </w:pPr>
      <w:r w:rsidRPr="00C34D98">
        <w:t xml:space="preserve">In our review of the literature on susceptibility to the anchoring heuristic, we </w:t>
      </w:r>
      <w:r w:rsidR="007A4804" w:rsidRPr="00C34D98">
        <w:t>suggested</w:t>
      </w:r>
      <w:r w:rsidRPr="00C34D98">
        <w:t xml:space="preserve"> that expertise</w:t>
      </w:r>
      <w:r w:rsidRPr="00C34D98" w:rsidDel="00F80BCE">
        <w:t xml:space="preserve"> </w:t>
      </w:r>
      <w:r w:rsidRPr="00C34D98">
        <w:t xml:space="preserve">and knowledge might influence the anchoring heuristic. To explore this </w:t>
      </w:r>
      <w:r w:rsidR="00966BAF" w:rsidRPr="00C34D98">
        <w:t>hypothesis</w:t>
      </w:r>
      <w:r w:rsidR="00966BAF" w:rsidRPr="00C34D98" w:rsidDel="00966BAF">
        <w:t xml:space="preserve"> </w:t>
      </w:r>
      <w:r w:rsidRPr="00C34D98">
        <w:t xml:space="preserve">in more detail, </w:t>
      </w:r>
      <w:r w:rsidR="000859BC" w:rsidRPr="00C34D98">
        <w:t>three anchoring measures (‘</w:t>
      </w:r>
      <w:r w:rsidR="000859BC" w:rsidRPr="00C34D98">
        <w:rPr>
          <w:i/>
        </w:rPr>
        <w:t>insufficient adjustment</w:t>
      </w:r>
      <w:r w:rsidR="000859BC" w:rsidRPr="00C34D98">
        <w:t>’, ‘</w:t>
      </w:r>
      <w:r w:rsidR="000859BC" w:rsidRPr="00C34D98">
        <w:rPr>
          <w:i/>
        </w:rPr>
        <w:t>conjunctive scenarios’</w:t>
      </w:r>
      <w:r w:rsidR="000859BC" w:rsidRPr="00C34D98">
        <w:t>, and ‘</w:t>
      </w:r>
      <w:r w:rsidR="000859BC" w:rsidRPr="00C34D98">
        <w:rPr>
          <w:i/>
        </w:rPr>
        <w:t>disjunctive scenarios’</w:t>
      </w:r>
      <w:r w:rsidR="000859BC" w:rsidRPr="00C34D98">
        <w:t xml:space="preserve">) were assessed against the two </w:t>
      </w:r>
      <w:r w:rsidRPr="00C34D98">
        <w:t xml:space="preserve">designated </w:t>
      </w:r>
      <w:r w:rsidR="000859BC" w:rsidRPr="00C34D98">
        <w:t>experience groups</w:t>
      </w:r>
      <w:r w:rsidRPr="00C34D98">
        <w:t xml:space="preserve"> identified earlier in the study</w:t>
      </w:r>
      <w:r w:rsidR="000859BC" w:rsidRPr="00C34D98">
        <w:t xml:space="preserve"> (‘</w:t>
      </w:r>
      <w:r w:rsidR="00572E3D" w:rsidRPr="00C34D98">
        <w:rPr>
          <w:i/>
        </w:rPr>
        <w:t>less</w:t>
      </w:r>
      <w:r w:rsidR="003578CF">
        <w:rPr>
          <w:i/>
        </w:rPr>
        <w:t xml:space="preserve"> than five years</w:t>
      </w:r>
      <w:r w:rsidR="00572E3D" w:rsidRPr="00C34D98">
        <w:t>’ and ‘</w:t>
      </w:r>
      <w:r w:rsidR="00572E3D" w:rsidRPr="00C34D98">
        <w:rPr>
          <w:i/>
        </w:rPr>
        <w:t>five years or more’</w:t>
      </w:r>
      <w:r w:rsidR="000859BC" w:rsidRPr="00C34D98">
        <w:t>). A chi-squared test for independence was statistically significant [</w:t>
      </w:r>
      <w:r w:rsidR="000859BC" w:rsidRPr="00C34D98">
        <w:rPr>
          <w:i/>
        </w:rPr>
        <w:t>χ</w:t>
      </w:r>
      <w:r w:rsidR="000859BC" w:rsidRPr="00C34D98">
        <w:t xml:space="preserve">² = 9.755, </w:t>
      </w:r>
      <w:r w:rsidR="000859BC" w:rsidRPr="00C34D98">
        <w:rPr>
          <w:i/>
        </w:rPr>
        <w:t>df</w:t>
      </w:r>
      <w:r w:rsidR="000859BC" w:rsidRPr="00C34D98">
        <w:t xml:space="preserve"> = 1, </w:t>
      </w:r>
      <w:r w:rsidR="000859BC" w:rsidRPr="00C34D98">
        <w:rPr>
          <w:i/>
        </w:rPr>
        <w:t>p</w:t>
      </w:r>
      <w:r w:rsidR="000859BC" w:rsidRPr="00C34D98">
        <w:t xml:space="preserve"> = 0.002], suggesting that the experience </w:t>
      </w:r>
      <w:r w:rsidRPr="00C34D98">
        <w:t xml:space="preserve">of frontline employees in supply chain organisations </w:t>
      </w:r>
      <w:r w:rsidR="000859BC" w:rsidRPr="00C34D98">
        <w:t xml:space="preserve">was a significant factor impacting anchoring susceptibility. More specifically, the results suggested that </w:t>
      </w:r>
      <w:r w:rsidR="00995814">
        <w:t xml:space="preserve">a significant positive relationship existed between </w:t>
      </w:r>
      <w:r w:rsidRPr="00C34D98">
        <w:t>frontline employees</w:t>
      </w:r>
      <w:r w:rsidR="000859BC" w:rsidRPr="00C34D98" w:rsidDel="0093178C">
        <w:t xml:space="preserve"> </w:t>
      </w:r>
      <w:r w:rsidR="000859BC" w:rsidRPr="00C34D98">
        <w:t xml:space="preserve">with higher expertise </w:t>
      </w:r>
      <w:r w:rsidR="00995814">
        <w:t>and judgments that were closer to the provided</w:t>
      </w:r>
      <w:r w:rsidR="00995814" w:rsidRPr="00C34D98">
        <w:t xml:space="preserve"> </w:t>
      </w:r>
      <w:r w:rsidR="000859BC" w:rsidRPr="00C34D98">
        <w:t>anchor</w:t>
      </w:r>
      <w:r w:rsidR="00731CFF">
        <w:t>.</w:t>
      </w:r>
      <w:r w:rsidR="000859BC" w:rsidRPr="00C34D98">
        <w:t xml:space="preserve"> However, in terms of the second measure, ‘</w:t>
      </w:r>
      <w:r w:rsidR="000859BC" w:rsidRPr="00C34D98">
        <w:rPr>
          <w:i/>
        </w:rPr>
        <w:t>conjunctive scenarios’</w:t>
      </w:r>
      <w:r w:rsidR="000859BC" w:rsidRPr="00C34D98">
        <w:t>, the results from the chi-squared test were not statistically significant, [</w:t>
      </w:r>
      <w:r w:rsidR="000859BC" w:rsidRPr="00C34D98">
        <w:rPr>
          <w:i/>
        </w:rPr>
        <w:t>χ</w:t>
      </w:r>
      <w:r w:rsidR="000859BC" w:rsidRPr="00C34D98">
        <w:t xml:space="preserve">² = 0.426, </w:t>
      </w:r>
      <w:r w:rsidR="000859BC" w:rsidRPr="00C34D98">
        <w:rPr>
          <w:i/>
        </w:rPr>
        <w:t>df</w:t>
      </w:r>
      <w:r w:rsidR="000859BC" w:rsidRPr="00C34D98">
        <w:t xml:space="preserve"> = 2), </w:t>
      </w:r>
      <w:r w:rsidR="000859BC" w:rsidRPr="00C34D98">
        <w:rPr>
          <w:i/>
        </w:rPr>
        <w:t>p</w:t>
      </w:r>
      <w:r w:rsidR="000859BC" w:rsidRPr="00C34D98">
        <w:t xml:space="preserve"> = 0.081]. This was also the case when assessing ‘</w:t>
      </w:r>
      <w:r w:rsidR="000859BC" w:rsidRPr="00C34D98">
        <w:rPr>
          <w:i/>
        </w:rPr>
        <w:t>disjunctive scenarios’</w:t>
      </w:r>
      <w:r w:rsidR="000859BC" w:rsidRPr="00C34D98">
        <w:t xml:space="preserve"> where, again, the results from the chi-squared test were not statistically significant in terms of differences in experience level [</w:t>
      </w:r>
      <w:r w:rsidR="000859BC" w:rsidRPr="00C34D98">
        <w:rPr>
          <w:i/>
        </w:rPr>
        <w:t>χ</w:t>
      </w:r>
      <w:r w:rsidR="000859BC" w:rsidRPr="00C34D98">
        <w:t xml:space="preserve">² = 2.524, </w:t>
      </w:r>
      <w:r w:rsidR="000859BC" w:rsidRPr="00C34D98">
        <w:rPr>
          <w:i/>
        </w:rPr>
        <w:t>df</w:t>
      </w:r>
      <w:r w:rsidR="000859BC" w:rsidRPr="00C34D98">
        <w:t xml:space="preserve"> = 2), </w:t>
      </w:r>
      <w:r w:rsidR="000859BC" w:rsidRPr="00C34D98">
        <w:rPr>
          <w:i/>
        </w:rPr>
        <w:t>p</w:t>
      </w:r>
      <w:r w:rsidR="000859BC" w:rsidRPr="00C34D98">
        <w:t xml:space="preserve"> = 0.283]. Hence, although our findings did not allow us to </w:t>
      </w:r>
      <w:r w:rsidR="000859BC" w:rsidRPr="00C34D98">
        <w:lastRenderedPageBreak/>
        <w:t xml:space="preserve">conclusively reject or accept </w:t>
      </w:r>
      <w:r w:rsidRPr="00C34D98">
        <w:t xml:space="preserve">a </w:t>
      </w:r>
      <w:r w:rsidR="00966BAF" w:rsidRPr="00C34D98">
        <w:t>hypothesis</w:t>
      </w:r>
      <w:r w:rsidR="00966BAF" w:rsidRPr="00C34D98" w:rsidDel="00966BAF">
        <w:t xml:space="preserve"> </w:t>
      </w:r>
      <w:r w:rsidRPr="00C34D98">
        <w:t xml:space="preserve">that in supply chain organisations, frontline employees with higher </w:t>
      </w:r>
      <w:r w:rsidR="0015055D" w:rsidRPr="00C34D98">
        <w:t xml:space="preserve">(cf. lower) </w:t>
      </w:r>
      <w:r w:rsidRPr="00C34D98">
        <w:t xml:space="preserve">expertise/experience </w:t>
      </w:r>
      <w:r w:rsidR="0015055D" w:rsidRPr="00C34D98">
        <w:t>are</w:t>
      </w:r>
      <w:r w:rsidRPr="00C34D98">
        <w:t xml:space="preserve"> less susceptible to the anchoring heuristic, </w:t>
      </w:r>
      <w:r w:rsidR="000859BC" w:rsidRPr="00C34D98">
        <w:t xml:space="preserve">we were able to </w:t>
      </w:r>
      <w:r w:rsidR="0015055D" w:rsidRPr="00C34D98">
        <w:t xml:space="preserve">make two </w:t>
      </w:r>
      <w:r w:rsidR="000859BC" w:rsidRPr="00C34D98">
        <w:t>conclu</w:t>
      </w:r>
      <w:r w:rsidR="0015055D" w:rsidRPr="00C34D98">
        <w:t>sions.</w:t>
      </w:r>
      <w:r w:rsidR="000859BC" w:rsidRPr="00C34D98">
        <w:t xml:space="preserve"> </w:t>
      </w:r>
      <w:r w:rsidR="0015055D" w:rsidRPr="00C34D98">
        <w:t>That is,</w:t>
      </w:r>
      <w:r w:rsidR="000859BC" w:rsidRPr="00C34D98">
        <w:t xml:space="preserve"> </w:t>
      </w:r>
      <w:r w:rsidRPr="00C34D98">
        <w:t xml:space="preserve">in supply chain organisations </w:t>
      </w:r>
      <w:r w:rsidR="000859BC" w:rsidRPr="00C34D98">
        <w:t xml:space="preserve">(i) </w:t>
      </w:r>
      <w:r w:rsidRPr="00C34D98">
        <w:t xml:space="preserve">frontline employees </w:t>
      </w:r>
      <w:r w:rsidR="000859BC" w:rsidRPr="00C34D98">
        <w:t xml:space="preserve">with higher (cf. lower) expertise </w:t>
      </w:r>
      <w:r w:rsidR="00661814" w:rsidRPr="00C34D98">
        <w:t>may be</w:t>
      </w:r>
      <w:r w:rsidR="000859BC" w:rsidRPr="00C34D98">
        <w:t xml:space="preserve"> more susceptible to judgmental bias as a result of anchoring and (ii) expertise </w:t>
      </w:r>
      <w:r w:rsidR="00661814" w:rsidRPr="00C34D98">
        <w:t>may</w:t>
      </w:r>
      <w:r w:rsidR="000859BC" w:rsidRPr="00C34D98">
        <w:t xml:space="preserve"> not influence the extent to which </w:t>
      </w:r>
      <w:r w:rsidRPr="00C34D98">
        <w:t>frontline employees</w:t>
      </w:r>
      <w:r w:rsidR="000859BC" w:rsidRPr="00C34D98">
        <w:t xml:space="preserve"> </w:t>
      </w:r>
      <w:r w:rsidR="00661814" w:rsidRPr="00C34D98">
        <w:t>a</w:t>
      </w:r>
      <w:r w:rsidR="000859BC" w:rsidRPr="00C34D98">
        <w:t>re susceptible to judgmental errors for conjunctive or disjunctive events.</w:t>
      </w:r>
      <w:r w:rsidRPr="00C34D98">
        <w:t xml:space="preserve"> </w:t>
      </w:r>
    </w:p>
    <w:p w:rsidR="00E37F4F" w:rsidRPr="00C34D98" w:rsidRDefault="00E37F4F" w:rsidP="000859BC">
      <w:pPr>
        <w:spacing w:line="360" w:lineRule="auto"/>
        <w:ind w:firstLine="720"/>
        <w:jc w:val="both"/>
      </w:pPr>
      <w:r w:rsidRPr="00C34D98">
        <w:t>In order to examine our earlier literature</w:t>
      </w:r>
      <w:r w:rsidR="00661814" w:rsidRPr="00C34D98">
        <w:t>-</w:t>
      </w:r>
      <w:r w:rsidRPr="00C34D98">
        <w:t xml:space="preserve">driven </w:t>
      </w:r>
      <w:r w:rsidR="00966BAF" w:rsidRPr="00C34D98">
        <w:t>hypothesis</w:t>
      </w:r>
      <w:r w:rsidR="00966BAF" w:rsidRPr="00C34D98" w:rsidDel="00966BAF">
        <w:t xml:space="preserve"> </w:t>
      </w:r>
      <w:r w:rsidRPr="00C34D98">
        <w:t>that</w:t>
      </w:r>
      <w:r w:rsidR="00B90E8A" w:rsidRPr="00C34D98">
        <w:t xml:space="preserve"> </w:t>
      </w:r>
      <w:r w:rsidR="00377003" w:rsidRPr="00C34D98">
        <w:t xml:space="preserve">the overconfidence bias </w:t>
      </w:r>
      <w:r w:rsidR="00661814" w:rsidRPr="00C34D98">
        <w:t>may be</w:t>
      </w:r>
      <w:r w:rsidR="00377003" w:rsidRPr="00C34D98">
        <w:t xml:space="preserve"> evident across a range </w:t>
      </w:r>
      <w:r w:rsidR="00E26D2B">
        <w:t xml:space="preserve">of </w:t>
      </w:r>
      <w:r w:rsidR="00377003" w:rsidRPr="00C34D98">
        <w:t xml:space="preserve">supply chain </w:t>
      </w:r>
      <w:r w:rsidRPr="00C34D98">
        <w:t>management</w:t>
      </w:r>
      <w:r w:rsidR="00377003" w:rsidRPr="00C34D98">
        <w:t xml:space="preserve"> </w:t>
      </w:r>
      <w:r w:rsidRPr="00C34D98">
        <w:t xml:space="preserve">professional groups, </w:t>
      </w:r>
      <w:r w:rsidR="000859BC" w:rsidRPr="00C34D98">
        <w:t>two overconfidence measures (‘</w:t>
      </w:r>
      <w:r w:rsidR="000859BC" w:rsidRPr="00C34D98">
        <w:rPr>
          <w:i/>
        </w:rPr>
        <w:t>confidence in binary decisions’</w:t>
      </w:r>
      <w:r w:rsidR="000859BC" w:rsidRPr="00C34D98">
        <w:t xml:space="preserve"> and ‘</w:t>
      </w:r>
      <w:r w:rsidR="000859BC" w:rsidRPr="00C34D98">
        <w:rPr>
          <w:i/>
        </w:rPr>
        <w:t>interval prediction formats’</w:t>
      </w:r>
      <w:r w:rsidR="000859BC" w:rsidRPr="00C34D98">
        <w:t>) were assessed against the two experience groups (</w:t>
      </w:r>
      <w:r w:rsidR="00572E3D" w:rsidRPr="00C34D98">
        <w:t>‘</w:t>
      </w:r>
      <w:r w:rsidR="00572E3D" w:rsidRPr="00C34D98">
        <w:rPr>
          <w:i/>
        </w:rPr>
        <w:t>less</w:t>
      </w:r>
      <w:r w:rsidR="003578CF">
        <w:rPr>
          <w:i/>
        </w:rPr>
        <w:t xml:space="preserve"> than five years</w:t>
      </w:r>
      <w:r w:rsidR="00572E3D" w:rsidRPr="00C34D98">
        <w:t>’ and ‘</w:t>
      </w:r>
      <w:r w:rsidR="00572E3D" w:rsidRPr="00C34D98">
        <w:rPr>
          <w:i/>
        </w:rPr>
        <w:t>five years or more’</w:t>
      </w:r>
      <w:r w:rsidR="000859BC" w:rsidRPr="00C34D98">
        <w:t>). The chi-squared test results [</w:t>
      </w:r>
      <w:r w:rsidR="000859BC" w:rsidRPr="00C34D98">
        <w:rPr>
          <w:i/>
        </w:rPr>
        <w:t>χ</w:t>
      </w:r>
      <w:r w:rsidR="000859BC" w:rsidRPr="00C34D98">
        <w:t xml:space="preserve">² = 2.520, </w:t>
      </w:r>
      <w:r w:rsidR="000859BC" w:rsidRPr="00C34D98">
        <w:rPr>
          <w:i/>
        </w:rPr>
        <w:t>df</w:t>
      </w:r>
      <w:r w:rsidR="000859BC" w:rsidRPr="00C34D98">
        <w:t xml:space="preserve"> = 1, </w:t>
      </w:r>
      <w:r w:rsidR="000859BC" w:rsidRPr="00C34D98">
        <w:rPr>
          <w:i/>
        </w:rPr>
        <w:t>p</w:t>
      </w:r>
      <w:r w:rsidR="000859BC" w:rsidRPr="00C34D98">
        <w:t xml:space="preserve"> = 0.112] were not statistically significant, suggesting no grounds for confidently positing that </w:t>
      </w:r>
      <w:r w:rsidR="000859BC" w:rsidRPr="00C34D98">
        <w:rPr>
          <w:i/>
        </w:rPr>
        <w:t>overconfidence within intervals (‘over-precision’)</w:t>
      </w:r>
      <w:r w:rsidR="000859BC" w:rsidRPr="00C34D98">
        <w:t xml:space="preserve"> differed on experience levels of individual frontline supply chain </w:t>
      </w:r>
      <w:r w:rsidRPr="00C34D98">
        <w:t>employees</w:t>
      </w:r>
      <w:r w:rsidR="000859BC" w:rsidRPr="00C34D98">
        <w:t xml:space="preserve">. In terms of </w:t>
      </w:r>
      <w:r w:rsidR="000859BC" w:rsidRPr="00C34D98">
        <w:rPr>
          <w:i/>
        </w:rPr>
        <w:t xml:space="preserve">overconfidence as mis-calibration (‘mis-calibration’), </w:t>
      </w:r>
      <w:r w:rsidR="000859BC" w:rsidRPr="00C34D98">
        <w:t>chi-squared test for independence [</w:t>
      </w:r>
      <w:r w:rsidR="000859BC" w:rsidRPr="00C34D98">
        <w:rPr>
          <w:i/>
        </w:rPr>
        <w:t>χ</w:t>
      </w:r>
      <w:r w:rsidR="000859BC" w:rsidRPr="00C34D98">
        <w:t xml:space="preserve">² = 1.28, </w:t>
      </w:r>
      <w:r w:rsidR="000859BC" w:rsidRPr="00C34D98">
        <w:rPr>
          <w:i/>
        </w:rPr>
        <w:t>df</w:t>
      </w:r>
      <w:r w:rsidR="000859BC" w:rsidRPr="00C34D98">
        <w:t xml:space="preserve"> = 1, </w:t>
      </w:r>
      <w:r w:rsidR="000859BC" w:rsidRPr="00C34D98">
        <w:rPr>
          <w:i/>
        </w:rPr>
        <w:t>p</w:t>
      </w:r>
      <w:r w:rsidR="000859BC" w:rsidRPr="00C34D98">
        <w:t xml:space="preserve"> = 0.257] was not significant</w:t>
      </w:r>
      <w:r w:rsidRPr="00C34D98">
        <w:t xml:space="preserve">, thus rejecting our </w:t>
      </w:r>
      <w:r w:rsidR="00966BAF" w:rsidRPr="00C34D98">
        <w:t>hypothesis</w:t>
      </w:r>
      <w:r w:rsidR="000859BC" w:rsidRPr="00C34D98">
        <w:t>.</w:t>
      </w:r>
      <w:r w:rsidRPr="00C34D98">
        <w:t xml:space="preserve"> </w:t>
      </w:r>
    </w:p>
    <w:p w:rsidR="00C67A4C" w:rsidRPr="00C34D98" w:rsidRDefault="00E37F4F" w:rsidP="00C67A4C">
      <w:pPr>
        <w:spacing w:line="360" w:lineRule="auto"/>
        <w:ind w:firstLine="720"/>
        <w:jc w:val="both"/>
        <w:rPr>
          <w:i/>
        </w:rPr>
      </w:pPr>
      <w:r w:rsidRPr="00C34D98">
        <w:t xml:space="preserve">Although we had not put forward any </w:t>
      </w:r>
      <w:r w:rsidR="00966BAF" w:rsidRPr="00C34D98">
        <w:t>hypothesis</w:t>
      </w:r>
      <w:r w:rsidR="00966BAF" w:rsidRPr="00C34D98" w:rsidDel="00966BAF">
        <w:t xml:space="preserve"> </w:t>
      </w:r>
      <w:r w:rsidRPr="00C34D98">
        <w:t xml:space="preserve">on the possible impact of location and national culture on the anchoring heuristics and the overconfidence bias, we did undertake such an examination. Thus, to </w:t>
      </w:r>
      <w:r w:rsidR="00093EF1" w:rsidRPr="00C34D98">
        <w:t xml:space="preserve">explore </w:t>
      </w:r>
      <w:r w:rsidRPr="00C34D98">
        <w:t xml:space="preserve">a possible relationship between employee location and the anchoring heuristic, </w:t>
      </w:r>
      <w:r w:rsidR="000859BC" w:rsidRPr="00C34D98">
        <w:t>three anchoring measures (‘</w:t>
      </w:r>
      <w:r w:rsidR="000859BC" w:rsidRPr="00C34D98">
        <w:rPr>
          <w:i/>
        </w:rPr>
        <w:t>insufficient adjustment</w:t>
      </w:r>
      <w:r w:rsidR="000859BC" w:rsidRPr="00C34D98">
        <w:t>’, ‘</w:t>
      </w:r>
      <w:r w:rsidR="000859BC" w:rsidRPr="00C34D98">
        <w:rPr>
          <w:i/>
        </w:rPr>
        <w:t>conjunctive scenarios’</w:t>
      </w:r>
      <w:r w:rsidR="000859BC" w:rsidRPr="00C34D98">
        <w:t>, and ‘</w:t>
      </w:r>
      <w:r w:rsidR="000859BC" w:rsidRPr="00C34D98">
        <w:rPr>
          <w:i/>
        </w:rPr>
        <w:t>disjunctive scenarios’</w:t>
      </w:r>
      <w:r w:rsidR="000859BC" w:rsidRPr="00C34D98">
        <w:t>) were assessed against the four locations</w:t>
      </w:r>
      <w:r w:rsidRPr="00C34D98">
        <w:t xml:space="preserve"> </w:t>
      </w:r>
      <w:r w:rsidR="00093EF1" w:rsidRPr="00C34D98">
        <w:t>covered in</w:t>
      </w:r>
      <w:r w:rsidRPr="00C34D98">
        <w:t xml:space="preserve"> the survey</w:t>
      </w:r>
      <w:r w:rsidR="000859BC" w:rsidRPr="00C34D98">
        <w:t xml:space="preserve"> (‘</w:t>
      </w:r>
      <w:r w:rsidR="000859BC" w:rsidRPr="00C34D98">
        <w:rPr>
          <w:i/>
        </w:rPr>
        <w:t>Turkey’</w:t>
      </w:r>
      <w:r w:rsidR="000859BC" w:rsidRPr="00C34D98">
        <w:t>, ‘</w:t>
      </w:r>
      <w:r w:rsidR="000859BC" w:rsidRPr="00C34D98">
        <w:rPr>
          <w:i/>
        </w:rPr>
        <w:t>UAE’</w:t>
      </w:r>
      <w:r w:rsidR="000859BC" w:rsidRPr="00C34D98">
        <w:t>, ‘</w:t>
      </w:r>
      <w:r w:rsidR="000859BC" w:rsidRPr="00C34D98">
        <w:rPr>
          <w:i/>
        </w:rPr>
        <w:t>UK’</w:t>
      </w:r>
      <w:r w:rsidR="000859BC" w:rsidRPr="00C34D98">
        <w:t xml:space="preserve"> and ‘</w:t>
      </w:r>
      <w:r w:rsidR="000859BC" w:rsidRPr="00C34D98">
        <w:rPr>
          <w:i/>
        </w:rPr>
        <w:t>US’</w:t>
      </w:r>
      <w:r w:rsidR="000859BC" w:rsidRPr="00C34D98">
        <w:t xml:space="preserve">). Chi-squared test for each measure were not statistically significant; </w:t>
      </w:r>
      <w:r w:rsidR="000859BC" w:rsidRPr="00C34D98">
        <w:rPr>
          <w:i/>
        </w:rPr>
        <w:t>‘insufficient adjustment</w:t>
      </w:r>
      <w:r w:rsidR="000859BC" w:rsidRPr="00C34D98">
        <w:t>’: [</w:t>
      </w:r>
      <w:r w:rsidR="000859BC" w:rsidRPr="00C34D98">
        <w:rPr>
          <w:i/>
        </w:rPr>
        <w:t>χ</w:t>
      </w:r>
      <w:r w:rsidR="000859BC" w:rsidRPr="00C34D98">
        <w:t xml:space="preserve">² = 1.184, </w:t>
      </w:r>
      <w:r w:rsidR="000859BC" w:rsidRPr="00C34D98">
        <w:rPr>
          <w:i/>
        </w:rPr>
        <w:t>df</w:t>
      </w:r>
      <w:r w:rsidR="000859BC" w:rsidRPr="00C34D98">
        <w:t xml:space="preserve"> = 1), </w:t>
      </w:r>
      <w:r w:rsidR="000859BC" w:rsidRPr="00C34D98">
        <w:rPr>
          <w:i/>
        </w:rPr>
        <w:t xml:space="preserve">p </w:t>
      </w:r>
      <w:r w:rsidR="000859BC" w:rsidRPr="00C34D98">
        <w:t>= 0.277]; ‘</w:t>
      </w:r>
      <w:r w:rsidR="000859BC" w:rsidRPr="00C34D98">
        <w:rPr>
          <w:i/>
        </w:rPr>
        <w:t>conjunctive scenarios’</w:t>
      </w:r>
      <w:r w:rsidR="000859BC" w:rsidRPr="00C34D98">
        <w:t>: [</w:t>
      </w:r>
      <w:r w:rsidR="000859BC" w:rsidRPr="00C34D98">
        <w:rPr>
          <w:i/>
        </w:rPr>
        <w:t>χ</w:t>
      </w:r>
      <w:r w:rsidR="000859BC" w:rsidRPr="00C34D98">
        <w:t xml:space="preserve">² = 3.128, </w:t>
      </w:r>
      <w:r w:rsidR="000859BC" w:rsidRPr="00C34D98">
        <w:rPr>
          <w:i/>
        </w:rPr>
        <w:t>df</w:t>
      </w:r>
      <w:r w:rsidR="000859BC" w:rsidRPr="00C34D98">
        <w:t xml:space="preserve"> = 2, </w:t>
      </w:r>
      <w:r w:rsidR="000859BC" w:rsidRPr="00C34D98">
        <w:rPr>
          <w:i/>
        </w:rPr>
        <w:t>p</w:t>
      </w:r>
      <w:r w:rsidR="000859BC" w:rsidRPr="00C34D98">
        <w:t xml:space="preserve"> = 0.209]; ‘</w:t>
      </w:r>
      <w:r w:rsidR="000859BC" w:rsidRPr="00C34D98">
        <w:rPr>
          <w:i/>
        </w:rPr>
        <w:t>disjunctive scenarios’</w:t>
      </w:r>
      <w:r w:rsidR="000859BC" w:rsidRPr="00C34D98">
        <w:t>: [</w:t>
      </w:r>
      <w:r w:rsidR="000859BC" w:rsidRPr="00C34D98">
        <w:rPr>
          <w:i/>
        </w:rPr>
        <w:t>χ</w:t>
      </w:r>
      <w:r w:rsidR="000859BC" w:rsidRPr="00C34D98">
        <w:t xml:space="preserve">² = 4.240, </w:t>
      </w:r>
      <w:r w:rsidR="000859BC" w:rsidRPr="00C34D98">
        <w:rPr>
          <w:i/>
        </w:rPr>
        <w:t>df</w:t>
      </w:r>
      <w:r w:rsidR="000859BC" w:rsidRPr="00C34D98">
        <w:t xml:space="preserve"> = 2, </w:t>
      </w:r>
      <w:r w:rsidR="000859BC" w:rsidRPr="00C34D98">
        <w:rPr>
          <w:i/>
        </w:rPr>
        <w:t>p</w:t>
      </w:r>
      <w:r w:rsidR="000859BC" w:rsidRPr="00C34D98">
        <w:t xml:space="preserve"> = 0.120]. In sum, </w:t>
      </w:r>
      <w:r w:rsidRPr="00C34D98">
        <w:t>we were unable to deduce any evidence from our data</w:t>
      </w:r>
      <w:r w:rsidR="00F33FAC" w:rsidRPr="00C34D98">
        <w:t xml:space="preserve"> that the location of frontline employees of supply chain organisations had any particular impact on</w:t>
      </w:r>
      <w:r w:rsidRPr="00C34D98">
        <w:t xml:space="preserve"> susceptibility to the anchoring heuristic.</w:t>
      </w:r>
      <w:r w:rsidR="00F33FAC" w:rsidRPr="00C34D98">
        <w:t xml:space="preserve"> However, when the </w:t>
      </w:r>
      <w:r w:rsidR="000859BC" w:rsidRPr="00C34D98">
        <w:t>two overconfidence measures (‘</w:t>
      </w:r>
      <w:r w:rsidR="000859BC" w:rsidRPr="00C34D98">
        <w:rPr>
          <w:i/>
        </w:rPr>
        <w:t>confidence in binary decisions’</w:t>
      </w:r>
      <w:r w:rsidR="000859BC" w:rsidRPr="00C34D98">
        <w:t xml:space="preserve"> and ‘</w:t>
      </w:r>
      <w:r w:rsidR="000859BC" w:rsidRPr="00C34D98">
        <w:rPr>
          <w:i/>
        </w:rPr>
        <w:t>interval prediction formats’</w:t>
      </w:r>
      <w:r w:rsidR="000859BC" w:rsidRPr="00C34D98">
        <w:t>) were assessed against the four locations (‘</w:t>
      </w:r>
      <w:r w:rsidR="000859BC" w:rsidRPr="00C34D98">
        <w:rPr>
          <w:i/>
        </w:rPr>
        <w:t>Turkey’</w:t>
      </w:r>
      <w:r w:rsidR="000859BC" w:rsidRPr="00C34D98">
        <w:t>, ‘</w:t>
      </w:r>
      <w:r w:rsidR="000859BC" w:rsidRPr="00C34D98">
        <w:rPr>
          <w:i/>
        </w:rPr>
        <w:t>UAE’</w:t>
      </w:r>
      <w:r w:rsidR="000859BC" w:rsidRPr="00C34D98">
        <w:t>, ‘</w:t>
      </w:r>
      <w:r w:rsidR="000859BC" w:rsidRPr="00C34D98">
        <w:rPr>
          <w:i/>
        </w:rPr>
        <w:t>UK’</w:t>
      </w:r>
      <w:r w:rsidR="000859BC" w:rsidRPr="00C34D98">
        <w:t xml:space="preserve"> and ‘</w:t>
      </w:r>
      <w:r w:rsidR="000859BC" w:rsidRPr="00C34D98">
        <w:rPr>
          <w:i/>
        </w:rPr>
        <w:t>US’</w:t>
      </w:r>
      <w:r w:rsidR="000859BC" w:rsidRPr="00C34D98">
        <w:t>)</w:t>
      </w:r>
      <w:r w:rsidR="00F33FAC" w:rsidRPr="00C34D98">
        <w:t xml:space="preserve">, </w:t>
      </w:r>
      <w:r w:rsidR="000859BC" w:rsidRPr="00C34D98">
        <w:t>Chi-square test results were statistically significant [</w:t>
      </w:r>
      <w:r w:rsidR="000859BC" w:rsidRPr="00C34D98">
        <w:rPr>
          <w:i/>
        </w:rPr>
        <w:t>χ</w:t>
      </w:r>
      <w:r w:rsidR="000859BC" w:rsidRPr="00C34D98">
        <w:t xml:space="preserve">² = 24.48, </w:t>
      </w:r>
      <w:r w:rsidR="000859BC" w:rsidRPr="00C34D98">
        <w:rPr>
          <w:i/>
        </w:rPr>
        <w:t>df</w:t>
      </w:r>
      <w:r w:rsidR="000859BC" w:rsidRPr="00C34D98">
        <w:t xml:space="preserve"> = 1, </w:t>
      </w:r>
      <w:r w:rsidR="000859BC" w:rsidRPr="00C34D98">
        <w:rPr>
          <w:i/>
        </w:rPr>
        <w:t>p</w:t>
      </w:r>
      <w:r w:rsidR="000859BC" w:rsidRPr="00C34D98">
        <w:t xml:space="preserve"> &lt; .0001]</w:t>
      </w:r>
      <w:r w:rsidR="00F33FAC" w:rsidRPr="00C34D98">
        <w:t xml:space="preserve">. This suggested that the </w:t>
      </w:r>
      <w:r w:rsidR="000859BC" w:rsidRPr="00C34D98">
        <w:t xml:space="preserve">level of </w:t>
      </w:r>
      <w:r w:rsidR="000859BC" w:rsidRPr="00C34D98">
        <w:rPr>
          <w:i/>
        </w:rPr>
        <w:t>overconfidence within intervals (‘over-precision’)</w:t>
      </w:r>
      <w:r w:rsidR="000859BC" w:rsidRPr="00C34D98">
        <w:t xml:space="preserve"> differed depending on location (‘</w:t>
      </w:r>
      <w:r w:rsidR="000859BC" w:rsidRPr="00C34D98">
        <w:rPr>
          <w:i/>
        </w:rPr>
        <w:t>Turkey’</w:t>
      </w:r>
      <w:r w:rsidR="000859BC" w:rsidRPr="00C34D98">
        <w:t>, ‘</w:t>
      </w:r>
      <w:r w:rsidR="000859BC" w:rsidRPr="00C34D98">
        <w:rPr>
          <w:i/>
        </w:rPr>
        <w:t>UAE’</w:t>
      </w:r>
      <w:r w:rsidR="000859BC" w:rsidRPr="00C34D98">
        <w:t>, ‘</w:t>
      </w:r>
      <w:r w:rsidR="000859BC" w:rsidRPr="00C34D98">
        <w:rPr>
          <w:i/>
        </w:rPr>
        <w:t>UK’</w:t>
      </w:r>
      <w:r w:rsidR="000859BC" w:rsidRPr="00C34D98">
        <w:t xml:space="preserve"> and ‘</w:t>
      </w:r>
      <w:r w:rsidR="000859BC" w:rsidRPr="00C34D98">
        <w:rPr>
          <w:i/>
        </w:rPr>
        <w:t>US’</w:t>
      </w:r>
      <w:r w:rsidR="000859BC" w:rsidRPr="00C34D98">
        <w:t xml:space="preserve">) of respondents. </w:t>
      </w:r>
      <w:r w:rsidR="00C67A4C" w:rsidRPr="00C34D98">
        <w:t xml:space="preserve">Although being the case, in terms of </w:t>
      </w:r>
      <w:r w:rsidR="00C67A4C" w:rsidRPr="00C34D98">
        <w:rPr>
          <w:i/>
        </w:rPr>
        <w:t xml:space="preserve">overconfidence as mis-calibration (‘mis-calibration’), </w:t>
      </w:r>
      <w:r w:rsidR="00C67A4C" w:rsidRPr="00C34D98">
        <w:t>chi-squared test did not show significant differences [</w:t>
      </w:r>
      <w:r w:rsidR="00C67A4C" w:rsidRPr="00C34D98">
        <w:rPr>
          <w:i/>
        </w:rPr>
        <w:t>χ</w:t>
      </w:r>
      <w:r w:rsidR="00C67A4C" w:rsidRPr="00C34D98">
        <w:t xml:space="preserve">² = 0.105, </w:t>
      </w:r>
      <w:r w:rsidR="00C67A4C" w:rsidRPr="00C34D98">
        <w:rPr>
          <w:i/>
        </w:rPr>
        <w:t>df</w:t>
      </w:r>
      <w:r w:rsidR="00C67A4C" w:rsidRPr="00C34D98">
        <w:t xml:space="preserve"> = 1), </w:t>
      </w:r>
      <w:r w:rsidR="00C67A4C" w:rsidRPr="00C34D98">
        <w:rPr>
          <w:i/>
        </w:rPr>
        <w:t>p</w:t>
      </w:r>
      <w:r w:rsidR="00C67A4C" w:rsidRPr="00C34D98">
        <w:t xml:space="preserve"> = 0.746]. Thus, </w:t>
      </w:r>
      <w:r w:rsidR="00093EF1" w:rsidRPr="00C34D98">
        <w:t>while over-precision differed significantly between office locations,</w:t>
      </w:r>
      <w:r w:rsidR="00C67A4C" w:rsidRPr="00C34D98">
        <w:t xml:space="preserve"> mis-calibration di</w:t>
      </w:r>
      <w:r w:rsidR="00093EF1" w:rsidRPr="00C34D98">
        <w:t>d not.</w:t>
      </w:r>
    </w:p>
    <w:p w:rsidR="000859BC" w:rsidRPr="00C34D98" w:rsidRDefault="000859BC" w:rsidP="000859BC">
      <w:pPr>
        <w:spacing w:line="360" w:lineRule="auto"/>
        <w:jc w:val="both"/>
        <w:rPr>
          <w:i/>
        </w:rPr>
      </w:pPr>
    </w:p>
    <w:p w:rsidR="000859BC" w:rsidRPr="00C34D98" w:rsidRDefault="001F098F" w:rsidP="000859BC">
      <w:pPr>
        <w:spacing w:line="360" w:lineRule="auto"/>
        <w:jc w:val="both"/>
        <w:rPr>
          <w:b/>
        </w:rPr>
      </w:pPr>
      <w:r w:rsidRPr="00E41067">
        <w:rPr>
          <w:b/>
        </w:rPr>
        <w:t>6. Discussion</w:t>
      </w:r>
    </w:p>
    <w:p w:rsidR="000859BC" w:rsidRPr="00C34D98" w:rsidRDefault="000859BC" w:rsidP="000859BC">
      <w:pPr>
        <w:spacing w:line="360" w:lineRule="auto"/>
        <w:jc w:val="both"/>
      </w:pPr>
      <w:r w:rsidRPr="00C34D98">
        <w:lastRenderedPageBreak/>
        <w:t xml:space="preserve">Virtually every activity undertaken across a supply chain will involve some aspect of human </w:t>
      </w:r>
      <w:r w:rsidR="007165F4">
        <w:t>decision-making</w:t>
      </w:r>
      <w:r w:rsidRPr="00C34D98">
        <w:t xml:space="preserve">. For this reason, the ability of practitioners and scholars to develop deep insight into </w:t>
      </w:r>
      <w:r w:rsidR="00222D4A" w:rsidRPr="00C34D98">
        <w:t>the</w:t>
      </w:r>
      <w:r w:rsidRPr="00C34D98">
        <w:t xml:space="preserve"> </w:t>
      </w:r>
      <w:r w:rsidR="007165F4">
        <w:t>decision making</w:t>
      </w:r>
      <w:r w:rsidRPr="00C34D98">
        <w:t xml:space="preserve"> </w:t>
      </w:r>
      <w:r w:rsidR="00222D4A" w:rsidRPr="00C34D98">
        <w:t xml:space="preserve">of those at the frontline of customer engagement and service delivery in supply chains </w:t>
      </w:r>
      <w:r w:rsidRPr="00C34D98">
        <w:t xml:space="preserve">is important to the optimization and efficiency of supply chains. In particular, having such </w:t>
      </w:r>
      <w:r w:rsidR="002540ED" w:rsidRPr="00C34D98">
        <w:t xml:space="preserve">an </w:t>
      </w:r>
      <w:r w:rsidRPr="00C34D98">
        <w:t xml:space="preserve">understanding will support practitioners and scholars to successfully predict with greater efficiency and accuracy the decisions </w:t>
      </w:r>
      <w:r w:rsidR="00222D4A" w:rsidRPr="00C34D98">
        <w:t xml:space="preserve">those </w:t>
      </w:r>
      <w:r w:rsidRPr="00C34D98">
        <w:t xml:space="preserve">frontline </w:t>
      </w:r>
      <w:r w:rsidR="00222D4A" w:rsidRPr="00C34D98">
        <w:t>employees</w:t>
      </w:r>
      <w:r w:rsidRPr="00C34D98">
        <w:t xml:space="preserve"> are likely to make – but perhaps most importantly, such an understanding will inform how best to react to </w:t>
      </w:r>
      <w:r w:rsidR="002540ED" w:rsidRPr="00C34D98">
        <w:t xml:space="preserve">and influence </w:t>
      </w:r>
      <w:r w:rsidRPr="00C34D98">
        <w:t xml:space="preserve">such decisions. </w:t>
      </w:r>
    </w:p>
    <w:p w:rsidR="000859BC" w:rsidRPr="00C34D98" w:rsidRDefault="000859BC" w:rsidP="000859BC">
      <w:pPr>
        <w:spacing w:line="360" w:lineRule="auto"/>
        <w:ind w:firstLine="720"/>
        <w:jc w:val="both"/>
      </w:pPr>
      <w:r w:rsidRPr="00C34D98">
        <w:t xml:space="preserve">Results from the present study provide detailed insights into how </w:t>
      </w:r>
      <w:r w:rsidR="002B0496" w:rsidRPr="00C34D98">
        <w:t>frontline employees in supply chain organisations</w:t>
      </w:r>
      <w:r w:rsidR="002B0496" w:rsidRPr="00C34D98" w:rsidDel="002B0496">
        <w:t xml:space="preserve"> </w:t>
      </w:r>
      <w:r w:rsidRPr="00C34D98">
        <w:t>may often engage with specific forms of anchoring (‘</w:t>
      </w:r>
      <w:r w:rsidRPr="00C34D98">
        <w:rPr>
          <w:i/>
        </w:rPr>
        <w:t>insufficient adjustment</w:t>
      </w:r>
      <w:r w:rsidRPr="00C34D98">
        <w:t>’, ‘</w:t>
      </w:r>
      <w:r w:rsidRPr="00C34D98">
        <w:rPr>
          <w:i/>
        </w:rPr>
        <w:t>conjunctive scenarios’</w:t>
      </w:r>
      <w:r w:rsidRPr="00C34D98">
        <w:t>, and ‘</w:t>
      </w:r>
      <w:r w:rsidRPr="00C34D98">
        <w:rPr>
          <w:i/>
        </w:rPr>
        <w:t>disjunctive scenarios’</w:t>
      </w:r>
      <w:r w:rsidRPr="00254D53">
        <w:t>) and overconfidence (e.g.,</w:t>
      </w:r>
      <w:r w:rsidRPr="00254D53">
        <w:rPr>
          <w:i/>
        </w:rPr>
        <w:t xml:space="preserve"> ‘over-precision’</w:t>
      </w:r>
      <w:r w:rsidRPr="00254D53">
        <w:t xml:space="preserve">). These findings may plausibly inform </w:t>
      </w:r>
      <w:r w:rsidR="002B0496" w:rsidRPr="007B56B4">
        <w:t xml:space="preserve">future </w:t>
      </w:r>
      <w:r w:rsidRPr="007B56B4">
        <w:t xml:space="preserve">development within supply chain management heuristics research for a range of more narrowly specified decision contexts. Specifically, evidence from the present study suggests that </w:t>
      </w:r>
      <w:r w:rsidR="002B0496" w:rsidRPr="007B56B4">
        <w:t xml:space="preserve">these </w:t>
      </w:r>
      <w:r w:rsidRPr="002C621A">
        <w:t xml:space="preserve">frontline </w:t>
      </w:r>
      <w:r w:rsidR="002B0496" w:rsidRPr="002C621A">
        <w:t>employees</w:t>
      </w:r>
      <w:r w:rsidRPr="002C621A">
        <w:t>: (i) overestimat</w:t>
      </w:r>
      <w:r w:rsidR="002B0496" w:rsidRPr="002C621A">
        <w:t>e</w:t>
      </w:r>
      <w:r w:rsidRPr="002C621A">
        <w:t xml:space="preserve"> probabilities when framed in a conjunctive manner (ii) underestimat</w:t>
      </w:r>
      <w:r w:rsidR="002B0496" w:rsidRPr="002C621A">
        <w:t>e</w:t>
      </w:r>
      <w:r w:rsidRPr="002C621A">
        <w:t xml:space="preserve"> probabilities when framed in a disjunctive manner and (iii) exhibiting considerable overconfidence in their judgements.</w:t>
      </w:r>
      <w:r w:rsidRPr="00B821BE">
        <w:t xml:space="preserve"> While </w:t>
      </w:r>
      <w:r w:rsidR="002B0496" w:rsidRPr="00B821BE">
        <w:t>employee</w:t>
      </w:r>
      <w:r w:rsidR="002B0496" w:rsidRPr="00C34D98">
        <w:t xml:space="preserve"> </w:t>
      </w:r>
      <w:r w:rsidRPr="00C34D98">
        <w:t xml:space="preserve">expertise was not found to influence susceptibility to anchoring or overconfidence, the results indicated that geographic location </w:t>
      </w:r>
      <w:r w:rsidR="002540ED" w:rsidRPr="00C34D98">
        <w:t>might</w:t>
      </w:r>
      <w:r w:rsidRPr="00C34D98">
        <w:t xml:space="preserve">. </w:t>
      </w:r>
      <w:r w:rsidR="002540ED" w:rsidRPr="00C34D98">
        <w:t>Therefore, our</w:t>
      </w:r>
      <w:r w:rsidR="00D807E1" w:rsidRPr="00C34D98">
        <w:t xml:space="preserve"> findings suggest that</w:t>
      </w:r>
      <w:r w:rsidR="002B0496" w:rsidRPr="00C34D98">
        <w:t xml:space="preserve"> </w:t>
      </w:r>
      <w:r w:rsidRPr="00C34D98">
        <w:t xml:space="preserve">geographical differences </w:t>
      </w:r>
      <w:r w:rsidR="002540ED" w:rsidRPr="00C34D98">
        <w:t>could be</w:t>
      </w:r>
      <w:r w:rsidRPr="00C34D98">
        <w:t xml:space="preserve"> worth e</w:t>
      </w:r>
      <w:r w:rsidR="002540ED" w:rsidRPr="00C34D98">
        <w:t>xploring</w:t>
      </w:r>
      <w:r w:rsidRPr="00C34D98">
        <w:t xml:space="preserve"> as contextual variables affecting the presence and strength of decisional biases. </w:t>
      </w:r>
    </w:p>
    <w:p w:rsidR="000859BC" w:rsidRDefault="00867796" w:rsidP="000859BC">
      <w:pPr>
        <w:spacing w:line="360" w:lineRule="auto"/>
        <w:ind w:firstLine="720"/>
        <w:jc w:val="both"/>
        <w:rPr>
          <w:color w:val="000000" w:themeColor="text1"/>
        </w:rPr>
      </w:pPr>
      <w:r w:rsidRPr="00C34D98">
        <w:rPr>
          <w:color w:val="000000" w:themeColor="text1"/>
          <w:shd w:val="clear" w:color="auto" w:fill="FFFFFF"/>
        </w:rPr>
        <w:t xml:space="preserve">Our findings surface a number of other potential factors leading to the prevalence of the anchoring heuristic and overconfidence bias among </w:t>
      </w:r>
      <w:r w:rsidRPr="00C34D98">
        <w:t>frontline employees in supply chain organisations</w:t>
      </w:r>
      <w:r w:rsidRPr="00C34D98">
        <w:rPr>
          <w:color w:val="000000" w:themeColor="text1"/>
          <w:shd w:val="clear" w:color="auto" w:fill="FFFFFF"/>
        </w:rPr>
        <w:t>. For example, in relation to our finding that these employees</w:t>
      </w:r>
      <w:r w:rsidRPr="00C34D98">
        <w:rPr>
          <w:color w:val="000000" w:themeColor="text1"/>
        </w:rPr>
        <w:t xml:space="preserve"> overestimated probabilities when framed in a conjunctive manner, this may have been because the respondents summed or multiplied the percentages for each of the individual events in the conjunction to arrive at higher numbers. Indeed, research by Dawson et al. (2014) shows that individuals often sum or even multiple the probabilities associated with individuals events when trying to determine the overall probability associated with a combination of those events. </w:t>
      </w:r>
      <w:r w:rsidR="00701AA8" w:rsidRPr="00C34D98">
        <w:rPr>
          <w:color w:val="000000" w:themeColor="text1"/>
        </w:rPr>
        <w:t>Relatedly</w:t>
      </w:r>
      <w:r w:rsidR="000859BC" w:rsidRPr="00C34D98">
        <w:rPr>
          <w:color w:val="000000" w:themeColor="text1"/>
        </w:rPr>
        <w:t xml:space="preserve">, a plausible explanation </w:t>
      </w:r>
      <w:r w:rsidR="005E16F6">
        <w:rPr>
          <w:color w:val="000000" w:themeColor="text1"/>
        </w:rPr>
        <w:t>for</w:t>
      </w:r>
      <w:r w:rsidR="000859BC" w:rsidRPr="00C34D98">
        <w:rPr>
          <w:color w:val="000000" w:themeColor="text1"/>
        </w:rPr>
        <w:t xml:space="preserve"> </w:t>
      </w:r>
      <w:r w:rsidR="005E16F6">
        <w:rPr>
          <w:color w:val="000000" w:themeColor="text1"/>
        </w:rPr>
        <w:t>our</w:t>
      </w:r>
      <w:r w:rsidR="000859BC" w:rsidRPr="00C34D98">
        <w:rPr>
          <w:color w:val="000000" w:themeColor="text1"/>
        </w:rPr>
        <w:t xml:space="preserve"> finding that </w:t>
      </w:r>
      <w:r w:rsidR="005E1793" w:rsidRPr="00C34D98">
        <w:t>frontline employees</w:t>
      </w:r>
      <w:r w:rsidR="0009726D">
        <w:rPr>
          <w:color w:val="000000" w:themeColor="text1"/>
        </w:rPr>
        <w:t xml:space="preserve"> </w:t>
      </w:r>
      <w:r w:rsidR="000859BC" w:rsidRPr="00C34D98">
        <w:rPr>
          <w:color w:val="000000" w:themeColor="text1"/>
        </w:rPr>
        <w:t>underestimated probabilities when framed in a disjunctive manner is that</w:t>
      </w:r>
      <w:r w:rsidR="00701AA8" w:rsidRPr="00C34D98">
        <w:rPr>
          <w:color w:val="000000" w:themeColor="text1"/>
        </w:rPr>
        <w:t xml:space="preserve"> they treat each event as having a separate effect on the overall supply chain and, therefore, fail to recognise the accumulative influence on the overall probability (Tversky and Kahneman 1974)</w:t>
      </w:r>
      <w:r w:rsidR="000859BC" w:rsidRPr="00C34D98">
        <w:rPr>
          <w:color w:val="000000" w:themeColor="text1"/>
        </w:rPr>
        <w:t xml:space="preserve">. Hence, </w:t>
      </w:r>
      <w:r w:rsidR="0019437E" w:rsidRPr="00C34D98">
        <w:rPr>
          <w:color w:val="000000" w:themeColor="text1"/>
        </w:rPr>
        <w:t xml:space="preserve">employees </w:t>
      </w:r>
      <w:r w:rsidR="000859BC" w:rsidRPr="00C34D98">
        <w:rPr>
          <w:color w:val="000000" w:themeColor="text1"/>
        </w:rPr>
        <w:t xml:space="preserve">working on the frontline of supply chains may benefit from inversely framing conjunctive risks when communicating (i.e. 3% chance of failure instead of 97% chance of success). </w:t>
      </w:r>
      <w:r w:rsidRPr="00C34D98">
        <w:rPr>
          <w:color w:val="000000" w:themeColor="text1"/>
        </w:rPr>
        <w:t xml:space="preserve">Relatedly, earlier studies by Doyle (1997) and Keller et al. (2006) suggest that individuals prefer probability information to be presented in disjunctive rather than conjunctive terms. </w:t>
      </w:r>
      <w:r w:rsidR="000859BC" w:rsidRPr="00C34D98">
        <w:rPr>
          <w:color w:val="000000" w:themeColor="text1"/>
        </w:rPr>
        <w:t xml:space="preserve">However, it is interesting to note Visschers et al.’s (2009) opinion that the findings from both Doyle (1997) and Keller et al. (2006) are not conclusive. Therefore, our contention is that the </w:t>
      </w:r>
      <w:r w:rsidR="000859BC" w:rsidRPr="00C34D98">
        <w:rPr>
          <w:color w:val="000000" w:themeColor="text1"/>
        </w:rPr>
        <w:lastRenderedPageBreak/>
        <w:t xml:space="preserve">use of risk modelling approaches such as fault trees and event tree, which </w:t>
      </w:r>
      <w:r w:rsidR="00743905" w:rsidRPr="00C34D98">
        <w:rPr>
          <w:color w:val="000000" w:themeColor="text1"/>
        </w:rPr>
        <w:t xml:space="preserve">can better </w:t>
      </w:r>
      <w:r w:rsidR="000859BC" w:rsidRPr="00C34D98">
        <w:rPr>
          <w:color w:val="000000" w:themeColor="text1"/>
        </w:rPr>
        <w:t xml:space="preserve">facilitate the comprehension of conjunctive and disjunctive events, could help to reduce the effect of biases introduced when </w:t>
      </w:r>
      <w:r w:rsidR="00873E8A" w:rsidRPr="00C34D98">
        <w:rPr>
          <w:color w:val="000000" w:themeColor="text1"/>
        </w:rPr>
        <w:t>such employees</w:t>
      </w:r>
      <w:r w:rsidR="000859BC" w:rsidRPr="00C34D98">
        <w:rPr>
          <w:color w:val="000000" w:themeColor="text1"/>
        </w:rPr>
        <w:t xml:space="preserve"> are assessing supply chain risks.</w:t>
      </w:r>
    </w:p>
    <w:p w:rsidR="001425D2" w:rsidRPr="00C34D98" w:rsidRDefault="001425D2" w:rsidP="000859BC">
      <w:pPr>
        <w:spacing w:line="360" w:lineRule="auto"/>
        <w:ind w:firstLine="720"/>
        <w:jc w:val="both"/>
        <w:rPr>
          <w:color w:val="000000" w:themeColor="text1"/>
        </w:rPr>
      </w:pPr>
    </w:p>
    <w:p w:rsidR="000859BC" w:rsidRPr="00C34D98" w:rsidRDefault="001F098F" w:rsidP="000859BC">
      <w:pPr>
        <w:spacing w:line="360" w:lineRule="auto"/>
        <w:jc w:val="both"/>
        <w:rPr>
          <w:b/>
        </w:rPr>
      </w:pPr>
      <w:r w:rsidRPr="00C34D98">
        <w:rPr>
          <w:b/>
        </w:rPr>
        <w:t>7. Conclusions</w:t>
      </w:r>
    </w:p>
    <w:p w:rsidR="00706FA7" w:rsidRDefault="000859BC" w:rsidP="000C0690">
      <w:pPr>
        <w:spacing w:line="360" w:lineRule="auto"/>
        <w:jc w:val="both"/>
      </w:pPr>
      <w:r w:rsidRPr="00C34D98">
        <w:t>In this paper, a</w:t>
      </w:r>
      <w:r w:rsidR="0066525A" w:rsidRPr="00C34D98">
        <w:t>n</w:t>
      </w:r>
      <w:r w:rsidRPr="00C34D98">
        <w:t xml:space="preserve"> </w:t>
      </w:r>
      <w:r w:rsidR="00E46AFF" w:rsidRPr="00C34D98">
        <w:t xml:space="preserve">experimental survey was undertaken within a </w:t>
      </w:r>
      <w:r w:rsidRPr="00C34D98">
        <w:t xml:space="preserve">UK-based freight forward and materials handling company </w:t>
      </w:r>
      <w:r w:rsidR="00E46AFF" w:rsidRPr="00C34D98">
        <w:t xml:space="preserve">in order to examine the extent to which </w:t>
      </w:r>
      <w:r w:rsidRPr="00C34D98">
        <w:t xml:space="preserve">the anchoring heuristic and overconfidence bias were evident among </w:t>
      </w:r>
      <w:r w:rsidR="00E46AFF" w:rsidRPr="00C34D98">
        <w:t>frontline employees</w:t>
      </w:r>
      <w:r w:rsidRPr="00C34D98">
        <w:t xml:space="preserve">. Our study </w:t>
      </w:r>
      <w:r w:rsidRPr="00042EC1">
        <w:t>surfaced a number of useful findings</w:t>
      </w:r>
      <w:r w:rsidR="0066525A" w:rsidRPr="00042EC1">
        <w:t xml:space="preserve"> </w:t>
      </w:r>
      <w:r w:rsidR="000C0690">
        <w:t xml:space="preserve">and </w:t>
      </w:r>
      <w:r w:rsidR="000C0690" w:rsidRPr="00C11F66">
        <w:t xml:space="preserve">valuable insight </w:t>
      </w:r>
      <w:r w:rsidR="000C0690">
        <w:t xml:space="preserve">into the </w:t>
      </w:r>
      <w:r w:rsidR="0066525A" w:rsidRPr="00042EC1">
        <w:t>use of</w:t>
      </w:r>
      <w:r w:rsidR="00174F81" w:rsidRPr="00042EC1">
        <w:t xml:space="preserve"> </w:t>
      </w:r>
      <w:r w:rsidR="0066525A" w:rsidRPr="00042EC1">
        <w:t xml:space="preserve">these </w:t>
      </w:r>
      <w:r w:rsidR="00174F81" w:rsidRPr="00042EC1">
        <w:t xml:space="preserve">heuristics in </w:t>
      </w:r>
      <w:r w:rsidR="000C0690" w:rsidRPr="00C34D98">
        <w:t xml:space="preserve">complex multi-stakeholder </w:t>
      </w:r>
      <w:r w:rsidR="000C0690" w:rsidRPr="00042EC1">
        <w:t xml:space="preserve">supply </w:t>
      </w:r>
      <w:r w:rsidR="000C0690" w:rsidRPr="009320D8">
        <w:t xml:space="preserve">chain </w:t>
      </w:r>
      <w:r w:rsidR="007165F4">
        <w:t>decision making</w:t>
      </w:r>
      <w:r w:rsidR="00174F81" w:rsidRPr="00C11F66">
        <w:t xml:space="preserve">. </w:t>
      </w:r>
      <w:r w:rsidR="00706FA7">
        <w:t>For example, we</w:t>
      </w:r>
      <w:r w:rsidR="00706FA7" w:rsidRPr="007B56B4">
        <w:t xml:space="preserve"> </w:t>
      </w:r>
      <w:r w:rsidR="00706FA7">
        <w:t>found that</w:t>
      </w:r>
      <w:r w:rsidR="00706FA7" w:rsidRPr="007B56B4">
        <w:t xml:space="preserve"> frontline employees</w:t>
      </w:r>
      <w:r w:rsidR="00706FA7" w:rsidRPr="007B56B4" w:rsidDel="002F25E0">
        <w:t xml:space="preserve"> </w:t>
      </w:r>
      <w:r w:rsidR="00706FA7" w:rsidRPr="007B56B4">
        <w:t xml:space="preserve">in supply chains specifically (i) </w:t>
      </w:r>
      <w:r w:rsidR="00706FA7" w:rsidRPr="007B56B4">
        <w:rPr>
          <w:i/>
        </w:rPr>
        <w:t>overestimate</w:t>
      </w:r>
      <w:r w:rsidR="00706FA7" w:rsidRPr="007B56B4">
        <w:t xml:space="preserve"> probabilities when framed in a conjunctive manner (ii) </w:t>
      </w:r>
      <w:r w:rsidR="00706FA7" w:rsidRPr="007B56B4">
        <w:rPr>
          <w:i/>
        </w:rPr>
        <w:t>underestimate</w:t>
      </w:r>
      <w:r w:rsidR="00706FA7" w:rsidRPr="007B56B4">
        <w:t xml:space="preserve"> probabilities when framed in a disjunctive manner and (iii) exhibit considerable overconfidence in their judgements. </w:t>
      </w:r>
      <w:r w:rsidR="00706FA7">
        <w:t>Thus, i</w:t>
      </w:r>
      <w:r w:rsidR="00706FA7" w:rsidRPr="00706FA7">
        <w:t xml:space="preserve">n terms of theoretical implications, </w:t>
      </w:r>
      <w:r w:rsidR="00706FA7">
        <w:t>by explicitly assessing</w:t>
      </w:r>
      <w:r w:rsidR="00706FA7" w:rsidRPr="007B56B4">
        <w:t xml:space="preserve"> judgmental biases </w:t>
      </w:r>
      <w:r w:rsidR="001516BB">
        <w:t xml:space="preserve">of frontline employees in </w:t>
      </w:r>
      <w:r w:rsidR="001516BB" w:rsidRPr="00C34D98">
        <w:t xml:space="preserve">complex multi-stakeholder </w:t>
      </w:r>
      <w:r w:rsidR="001516BB" w:rsidRPr="00042EC1">
        <w:t xml:space="preserve">supply </w:t>
      </w:r>
      <w:r w:rsidR="001516BB" w:rsidRPr="009320D8">
        <w:t xml:space="preserve">chain </w:t>
      </w:r>
      <w:r w:rsidR="001516BB">
        <w:t xml:space="preserve">environments </w:t>
      </w:r>
      <w:r w:rsidR="00706FA7" w:rsidRPr="007B56B4">
        <w:t>against designated measures (i.e., ‘</w:t>
      </w:r>
      <w:r w:rsidR="00706FA7" w:rsidRPr="007B56B4">
        <w:rPr>
          <w:i/>
        </w:rPr>
        <w:t>insufficient adjustment</w:t>
      </w:r>
      <w:r w:rsidR="00706FA7" w:rsidRPr="007B56B4">
        <w:t>’, ‘</w:t>
      </w:r>
      <w:r w:rsidR="00706FA7" w:rsidRPr="00051072">
        <w:rPr>
          <w:i/>
        </w:rPr>
        <w:t>conjunctive scenarios’</w:t>
      </w:r>
      <w:r w:rsidR="00706FA7" w:rsidRPr="00051072">
        <w:t>, and ‘</w:t>
      </w:r>
      <w:r w:rsidR="00706FA7" w:rsidRPr="00F000B5">
        <w:rPr>
          <w:i/>
        </w:rPr>
        <w:t>disjunctive scenarios’</w:t>
      </w:r>
      <w:r w:rsidR="00706FA7" w:rsidRPr="002C621A">
        <w:t xml:space="preserve"> in the case of anchoring and </w:t>
      </w:r>
      <w:r w:rsidR="00706FA7" w:rsidRPr="002C621A">
        <w:rPr>
          <w:i/>
        </w:rPr>
        <w:t>‘over-pre</w:t>
      </w:r>
      <w:r w:rsidR="00706FA7" w:rsidRPr="00C34D98">
        <w:rPr>
          <w:i/>
        </w:rPr>
        <w:t>cision’</w:t>
      </w:r>
      <w:r w:rsidR="00706FA7" w:rsidRPr="00C34D98">
        <w:t xml:space="preserve"> in the case of overconfidence)</w:t>
      </w:r>
      <w:r w:rsidR="001516BB">
        <w:t xml:space="preserve">, our study </w:t>
      </w:r>
      <w:r w:rsidR="00706FA7" w:rsidRPr="00706FA7">
        <w:t xml:space="preserve">paper opens a new area of </w:t>
      </w:r>
      <w:r w:rsidR="008066BD">
        <w:t>discourse</w:t>
      </w:r>
      <w:r w:rsidR="00706FA7" w:rsidRPr="00706FA7">
        <w:t xml:space="preserve"> in relation to </w:t>
      </w:r>
      <w:r w:rsidR="008066BD">
        <w:t xml:space="preserve">not only </w:t>
      </w:r>
      <w:r w:rsidR="008066BD" w:rsidRPr="00C34D98">
        <w:rPr>
          <w:color w:val="000000" w:themeColor="text1"/>
        </w:rPr>
        <w:t>frontline emplo</w:t>
      </w:r>
      <w:r w:rsidR="008066BD">
        <w:rPr>
          <w:color w:val="000000" w:themeColor="text1"/>
        </w:rPr>
        <w:t xml:space="preserve">yee literature, but supply chain operations literature as well. </w:t>
      </w:r>
      <w:r w:rsidR="00706FA7" w:rsidRPr="00706FA7">
        <w:t xml:space="preserve">Although </w:t>
      </w:r>
      <w:r w:rsidR="008066BD">
        <w:t>it appears that the wider</w:t>
      </w:r>
      <w:r w:rsidR="00706FA7" w:rsidRPr="00706FA7">
        <w:t xml:space="preserve"> </w:t>
      </w:r>
      <w:r w:rsidR="008066BD">
        <w:t xml:space="preserve">operations </w:t>
      </w:r>
      <w:r w:rsidR="00706FA7" w:rsidRPr="00706FA7">
        <w:t xml:space="preserve">management </w:t>
      </w:r>
      <w:r w:rsidR="008066BD">
        <w:t>l</w:t>
      </w:r>
      <w:r w:rsidR="00706FA7" w:rsidRPr="00706FA7">
        <w:t xml:space="preserve">iterature </w:t>
      </w:r>
      <w:r w:rsidR="008066BD">
        <w:t>does appreciate</w:t>
      </w:r>
      <w:r w:rsidR="00706FA7" w:rsidRPr="00706FA7">
        <w:t xml:space="preserve"> the </w:t>
      </w:r>
      <w:r w:rsidR="008066BD">
        <w:t xml:space="preserve">nature of peculiarities that characterizes the nature of the </w:t>
      </w:r>
      <w:r w:rsidR="000573B9">
        <w:t xml:space="preserve">decisional </w:t>
      </w:r>
      <w:r w:rsidR="008066BD">
        <w:t xml:space="preserve">interaction between </w:t>
      </w:r>
      <w:r w:rsidR="00706FA7" w:rsidRPr="00706FA7">
        <w:t xml:space="preserve">complex multi-stakeholder </w:t>
      </w:r>
      <w:r w:rsidR="008066BD">
        <w:t xml:space="preserve">supply chain </w:t>
      </w:r>
      <w:r w:rsidR="00706FA7" w:rsidRPr="00706FA7">
        <w:t xml:space="preserve">organisations </w:t>
      </w:r>
      <w:r w:rsidR="008066BD">
        <w:t xml:space="preserve">and their </w:t>
      </w:r>
      <w:r w:rsidR="000573B9">
        <w:t>stakeholders, our study is the first to focus exclusively on the frontline context.</w:t>
      </w:r>
    </w:p>
    <w:p w:rsidR="00DB421D" w:rsidRDefault="00981F2D" w:rsidP="00981F2D">
      <w:pPr>
        <w:spacing w:line="360" w:lineRule="auto"/>
        <w:ind w:firstLine="720"/>
        <w:jc w:val="both"/>
      </w:pPr>
      <w:r w:rsidRPr="00042EC1">
        <w:t xml:space="preserve">Our findings </w:t>
      </w:r>
      <w:r>
        <w:t>also</w:t>
      </w:r>
      <w:r w:rsidRPr="007B56B4">
        <w:t xml:space="preserve"> </w:t>
      </w:r>
      <w:r>
        <w:t>ha</w:t>
      </w:r>
      <w:r w:rsidR="005E16F6">
        <w:t>ve</w:t>
      </w:r>
      <w:r w:rsidRPr="00042EC1">
        <w:t xml:space="preserve"> </w:t>
      </w:r>
      <w:r>
        <w:t xml:space="preserve">practical </w:t>
      </w:r>
      <w:r w:rsidRPr="00042EC1">
        <w:t xml:space="preserve">implications for supply chain organisations. </w:t>
      </w:r>
      <w:r w:rsidR="000859BC" w:rsidRPr="00C34D98">
        <w:t xml:space="preserve">The main premise of the extant literature </w:t>
      </w:r>
      <w:r w:rsidR="00AC721A">
        <w:t xml:space="preserve">is that </w:t>
      </w:r>
      <w:r w:rsidR="00B275A6">
        <w:t xml:space="preserve">within </w:t>
      </w:r>
      <w:r w:rsidR="00B275A6" w:rsidRPr="00981F2D">
        <w:t>complex multi-stakeholder supply chain environments</w:t>
      </w:r>
      <w:r w:rsidR="00B275A6">
        <w:t xml:space="preserve">, there appears to be </w:t>
      </w:r>
      <w:r w:rsidR="00B275A6" w:rsidRPr="00981F2D">
        <w:t>demands for decisional shortcuts (see Merlo et al. 2008), that simultaneously (i) provide very quick and almost immediate solutions (Merlo et al. 2008) and (ii) make minimal demands for information (Swieringa et al. 1976).</w:t>
      </w:r>
      <w:r w:rsidR="00B275A6">
        <w:t xml:space="preserve"> </w:t>
      </w:r>
      <w:r>
        <w:t>However, n</w:t>
      </w:r>
      <w:r w:rsidR="000859BC" w:rsidRPr="00C34D98">
        <w:t xml:space="preserve">ot being able to understand </w:t>
      </w:r>
      <w:r w:rsidR="00B275A6">
        <w:t xml:space="preserve">the nature and limits of these decisional shortcuts and </w:t>
      </w:r>
      <w:r w:rsidR="000859BC" w:rsidRPr="00C34D98">
        <w:t>associated bias</w:t>
      </w:r>
      <w:r w:rsidR="0066525A" w:rsidRPr="00C34D98">
        <w:t>es</w:t>
      </w:r>
      <w:r w:rsidR="000859BC" w:rsidRPr="00C34D98">
        <w:t xml:space="preserve"> </w:t>
      </w:r>
      <w:r w:rsidR="00B275A6">
        <w:t xml:space="preserve">will </w:t>
      </w:r>
      <w:r w:rsidR="000859BC" w:rsidRPr="00C34D98">
        <w:t>arguably degrade the efficiency and effectiveness of supply chains</w:t>
      </w:r>
      <w:r>
        <w:t xml:space="preserve">. Ultimately, this will lead to increases in </w:t>
      </w:r>
      <w:r w:rsidRPr="00C34D98">
        <w:t>transaction costs</w:t>
      </w:r>
      <w:r w:rsidR="000859BC" w:rsidRPr="00C34D98">
        <w:t xml:space="preserve">. When considered in conjunction with the findings of our study, this all points towards the </w:t>
      </w:r>
      <w:r w:rsidR="00B275A6" w:rsidRPr="00981F2D">
        <w:t>indispensable</w:t>
      </w:r>
      <w:r w:rsidR="00B275A6">
        <w:t xml:space="preserve"> </w:t>
      </w:r>
      <w:r w:rsidR="000859BC" w:rsidRPr="00C34D98">
        <w:t xml:space="preserve">need for frontline supply chain </w:t>
      </w:r>
      <w:r w:rsidR="002F25E0" w:rsidRPr="00C34D98">
        <w:t xml:space="preserve">employees </w:t>
      </w:r>
      <w:r w:rsidR="000859BC" w:rsidRPr="00C34D98">
        <w:t xml:space="preserve">to be </w:t>
      </w:r>
      <w:r w:rsidR="0066525A" w:rsidRPr="00C34D98">
        <w:t xml:space="preserve">(i) </w:t>
      </w:r>
      <w:r w:rsidR="000859BC" w:rsidRPr="00C34D98">
        <w:t xml:space="preserve">more </w:t>
      </w:r>
      <w:r w:rsidR="0066525A" w:rsidRPr="00C34D98">
        <w:t xml:space="preserve">aware of </w:t>
      </w:r>
      <w:r w:rsidR="00B275A6">
        <w:t>these shortcuts</w:t>
      </w:r>
      <w:r w:rsidR="00B275A6" w:rsidRPr="00C34D98">
        <w:t xml:space="preserve"> </w:t>
      </w:r>
      <w:r w:rsidR="0066525A" w:rsidRPr="00C34D98">
        <w:t xml:space="preserve">(ii) capable of identifying the very specific conditions that can elicit judgmental biases and (iii) </w:t>
      </w:r>
      <w:r w:rsidR="000859BC" w:rsidRPr="00C34D98">
        <w:t>critical in the use of heuristi</w:t>
      </w:r>
      <w:r w:rsidR="0066525A" w:rsidRPr="00C34D98">
        <w:t>cs</w:t>
      </w:r>
      <w:r w:rsidR="000859BC" w:rsidRPr="00C34D98">
        <w:t xml:space="preserve">. </w:t>
      </w:r>
      <w:r>
        <w:t xml:space="preserve">However, </w:t>
      </w:r>
      <w:r w:rsidR="0026260D">
        <w:rPr>
          <w:color w:val="000000" w:themeColor="text1"/>
          <w:shd w:val="clear" w:color="auto" w:fill="FFFFFF"/>
        </w:rPr>
        <w:t>despite</w:t>
      </w:r>
      <w:r w:rsidR="00392713">
        <w:rPr>
          <w:color w:val="000000" w:themeColor="text1"/>
          <w:shd w:val="clear" w:color="auto" w:fill="FFFFFF"/>
        </w:rPr>
        <w:t xml:space="preserve"> the appeal to employ these decisional shortcuts (‘</w:t>
      </w:r>
      <w:r w:rsidR="0026260D">
        <w:rPr>
          <w:color w:val="000000" w:themeColor="text1"/>
          <w:shd w:val="clear" w:color="auto" w:fill="FFFFFF"/>
        </w:rPr>
        <w:t>heuristics</w:t>
      </w:r>
      <w:r w:rsidR="00392713">
        <w:rPr>
          <w:color w:val="000000" w:themeColor="text1"/>
          <w:shd w:val="clear" w:color="auto" w:fill="FFFFFF"/>
        </w:rPr>
        <w:t>’)</w:t>
      </w:r>
      <w:r w:rsidR="0026260D">
        <w:rPr>
          <w:color w:val="000000" w:themeColor="text1"/>
          <w:shd w:val="clear" w:color="auto" w:fill="FFFFFF"/>
        </w:rPr>
        <w:t xml:space="preserve">, there is a </w:t>
      </w:r>
      <w:r w:rsidR="00C11F66" w:rsidRPr="00C11F66">
        <w:t xml:space="preserve">need for vigilance regarding </w:t>
      </w:r>
      <w:r w:rsidR="0026260D">
        <w:t>its</w:t>
      </w:r>
      <w:r w:rsidR="0026260D" w:rsidRPr="00C11F66">
        <w:t xml:space="preserve"> </w:t>
      </w:r>
      <w:r w:rsidR="00C11F66" w:rsidRPr="00C11F66">
        <w:t>impact on operational activities.</w:t>
      </w:r>
      <w:r w:rsidR="00864E2F">
        <w:t xml:space="preserve"> </w:t>
      </w:r>
      <w:r w:rsidR="0045055A">
        <w:t xml:space="preserve">Thus, </w:t>
      </w:r>
      <w:r w:rsidR="00864E2F">
        <w:t xml:space="preserve">we </w:t>
      </w:r>
      <w:r w:rsidR="006C26AF">
        <w:t xml:space="preserve">also </w:t>
      </w:r>
      <w:r w:rsidR="0045055A">
        <w:t>call upon</w:t>
      </w:r>
      <w:r w:rsidR="00864E2F">
        <w:t xml:space="preserve"> </w:t>
      </w:r>
      <w:r w:rsidR="00864E2F" w:rsidRPr="00042EC1">
        <w:t>managers in supply chain organisations</w:t>
      </w:r>
      <w:r w:rsidR="00864E2F">
        <w:t xml:space="preserve"> to be cautious about the </w:t>
      </w:r>
      <w:r w:rsidR="00597027">
        <w:t>use and potential unintended consequences</w:t>
      </w:r>
      <w:r w:rsidR="00F43C1A">
        <w:t xml:space="preserve"> of the a</w:t>
      </w:r>
      <w:r w:rsidR="00F43C1A" w:rsidRPr="00F43C1A">
        <w:t>nchoring heuristic</w:t>
      </w:r>
      <w:r w:rsidR="00F43C1A">
        <w:t xml:space="preserve">. </w:t>
      </w:r>
      <w:r w:rsidR="0045055A">
        <w:t>This vigilance arises</w:t>
      </w:r>
      <w:r w:rsidR="00C47E57">
        <w:t xml:space="preserve"> </w:t>
      </w:r>
      <w:r w:rsidR="000577CF">
        <w:t xml:space="preserve">in a number of circumstance. </w:t>
      </w:r>
    </w:p>
    <w:p w:rsidR="00597027" w:rsidRDefault="000577CF" w:rsidP="00981F2D">
      <w:pPr>
        <w:spacing w:line="360" w:lineRule="auto"/>
        <w:ind w:firstLine="720"/>
        <w:jc w:val="both"/>
      </w:pPr>
      <w:r w:rsidRPr="009B1700">
        <w:rPr>
          <w:i/>
        </w:rPr>
        <w:lastRenderedPageBreak/>
        <w:t>First</w:t>
      </w:r>
      <w:r>
        <w:t xml:space="preserve">, </w:t>
      </w:r>
      <w:r w:rsidR="006C26AF">
        <w:t xml:space="preserve">there </w:t>
      </w:r>
      <w:r w:rsidR="009B1700">
        <w:t xml:space="preserve">is </w:t>
      </w:r>
      <w:r w:rsidR="006C26AF">
        <w:t>a</w:t>
      </w:r>
      <w:r w:rsidR="009B1700">
        <w:t xml:space="preserve"> need to acknowledge that</w:t>
      </w:r>
      <w:r w:rsidR="002D2323">
        <w:t xml:space="preserve"> </w:t>
      </w:r>
      <w:r>
        <w:t>heuristic</w:t>
      </w:r>
      <w:r w:rsidR="006C26AF">
        <w:t>s</w:t>
      </w:r>
      <w:r>
        <w:t xml:space="preserve"> </w:t>
      </w:r>
      <w:r w:rsidR="009B1700">
        <w:t xml:space="preserve">may provide frontline supply chain employees with (i) no solution </w:t>
      </w:r>
      <w:r w:rsidR="007215D3">
        <w:t xml:space="preserve">- </w:t>
      </w:r>
      <w:r w:rsidR="009B1700">
        <w:t>if its rules are vague</w:t>
      </w:r>
      <w:r w:rsidR="002D2323">
        <w:t xml:space="preserve">, </w:t>
      </w:r>
      <w:r w:rsidR="00205C34">
        <w:t xml:space="preserve">or </w:t>
      </w:r>
      <w:r w:rsidR="009B1700">
        <w:t xml:space="preserve">(ii) solutions which are not useful – if its rules are complex. Thus, heuristics need to be construed in a manner that is neither vague </w:t>
      </w:r>
      <w:r w:rsidR="006C26AF">
        <w:t>n</w:t>
      </w:r>
      <w:r w:rsidR="009B1700">
        <w:t xml:space="preserve">or too complex for its use to be fully </w:t>
      </w:r>
      <w:r w:rsidR="009B1700" w:rsidRPr="00F0109C">
        <w:t>appreciated (Merlo et al. 2008</w:t>
      </w:r>
      <w:r w:rsidR="009B1700" w:rsidRPr="00C80F29">
        <w:t>).</w:t>
      </w:r>
      <w:r w:rsidR="00391787" w:rsidRPr="00C80F29">
        <w:t xml:space="preserve"> </w:t>
      </w:r>
      <w:r w:rsidR="00205C34">
        <w:t>This is especially poignant for novice frontline employees</w:t>
      </w:r>
      <w:r w:rsidR="003B17F5">
        <w:t xml:space="preserve">. </w:t>
      </w:r>
      <w:r w:rsidR="006C26AF">
        <w:t>Hence</w:t>
      </w:r>
      <w:r w:rsidR="003B17F5">
        <w:t xml:space="preserve">, despite </w:t>
      </w:r>
      <w:r w:rsidR="00633766">
        <w:t xml:space="preserve">our study finding limited impact of expertise on the </w:t>
      </w:r>
      <w:r w:rsidR="003B17F5" w:rsidRPr="00C34D98">
        <w:t>anchoring effect</w:t>
      </w:r>
      <w:r w:rsidR="007367FF">
        <w:t xml:space="preserve">, </w:t>
      </w:r>
      <w:r w:rsidR="00CC254A">
        <w:t xml:space="preserve">there are strong views expressed in the literature </w:t>
      </w:r>
      <w:r w:rsidR="00345B2A">
        <w:t xml:space="preserve">(see </w:t>
      </w:r>
      <w:r w:rsidR="00345B2A" w:rsidRPr="00345B2A">
        <w:t>Kaustia</w:t>
      </w:r>
      <w:r w:rsidR="00345B2A">
        <w:t xml:space="preserve"> et al. 2008)</w:t>
      </w:r>
      <w:r w:rsidR="006C26AF">
        <w:t>. Specifically</w:t>
      </w:r>
      <w:r w:rsidR="00345B2A">
        <w:t xml:space="preserve">, </w:t>
      </w:r>
      <w:r w:rsidR="00CC254A">
        <w:t xml:space="preserve">that expertise has </w:t>
      </w:r>
      <w:r w:rsidR="006C26AF">
        <w:t xml:space="preserve">such </w:t>
      </w:r>
      <w:r w:rsidR="00CC254A">
        <w:t xml:space="preserve">a significant impact on bias to warrant a call for </w:t>
      </w:r>
      <w:r w:rsidR="004C3F96">
        <w:t xml:space="preserve">managers to implement training programmes </w:t>
      </w:r>
      <w:r w:rsidR="006C26AF">
        <w:t>that educate</w:t>
      </w:r>
      <w:r w:rsidR="004C3F96">
        <w:t xml:space="preserve"> novice frontline employees </w:t>
      </w:r>
      <w:r w:rsidR="006C26AF">
        <w:t>to become</w:t>
      </w:r>
      <w:r w:rsidR="004C3F96">
        <w:t xml:space="preserve"> aware of this heuristic.</w:t>
      </w:r>
      <w:r w:rsidR="00816E35">
        <w:t xml:space="preserve"> </w:t>
      </w:r>
      <w:r w:rsidR="00391787" w:rsidRPr="00C80F29">
        <w:t xml:space="preserve">The </w:t>
      </w:r>
      <w:r w:rsidR="00391787" w:rsidRPr="00C80F29">
        <w:rPr>
          <w:i/>
        </w:rPr>
        <w:t>second</w:t>
      </w:r>
      <w:r w:rsidR="00391787" w:rsidRPr="00C80F29">
        <w:t xml:space="preserve"> need for vigilance relates to the potential to </w:t>
      </w:r>
      <w:r w:rsidR="00C47E57" w:rsidRPr="00C80F29">
        <w:t xml:space="preserve">use (incorrectly) </w:t>
      </w:r>
      <w:r w:rsidR="006C26AF">
        <w:t xml:space="preserve">a </w:t>
      </w:r>
      <w:r w:rsidR="00C47E57" w:rsidRPr="00392713">
        <w:t xml:space="preserve">heuristic in domains </w:t>
      </w:r>
      <w:r w:rsidR="0045055A" w:rsidRPr="00392713">
        <w:t xml:space="preserve">within which </w:t>
      </w:r>
      <w:r w:rsidR="00C47E57" w:rsidRPr="00392713">
        <w:t xml:space="preserve">it was not framed </w:t>
      </w:r>
      <w:r w:rsidR="00781392" w:rsidRPr="00392713">
        <w:t>originally</w:t>
      </w:r>
      <w:r w:rsidR="0045055A" w:rsidRPr="00392713">
        <w:t xml:space="preserve"> (see Merlo et al. 2008)</w:t>
      </w:r>
      <w:r w:rsidR="00781392" w:rsidRPr="00392713">
        <w:t xml:space="preserve">. </w:t>
      </w:r>
      <w:r w:rsidR="00597027" w:rsidRPr="00392713">
        <w:t xml:space="preserve">Gigerenzer (2004) notes that to an extent, all heuristics are domain specific (that is, </w:t>
      </w:r>
      <w:r w:rsidR="0026260D" w:rsidRPr="00F43C1A">
        <w:t>engaged</w:t>
      </w:r>
      <w:r w:rsidR="00597027" w:rsidRPr="00F43C1A">
        <w:t xml:space="preserve"> to </w:t>
      </w:r>
      <w:r w:rsidR="0026260D" w:rsidRPr="00F43C1A">
        <w:t>address</w:t>
      </w:r>
      <w:r w:rsidR="00597027" w:rsidRPr="00F43C1A">
        <w:t xml:space="preserve"> </w:t>
      </w:r>
      <w:r w:rsidR="0026260D" w:rsidRPr="00F43C1A">
        <w:t>specific categories of problem</w:t>
      </w:r>
      <w:r w:rsidR="00597027" w:rsidRPr="00F43C1A">
        <w:t>)</w:t>
      </w:r>
      <w:r w:rsidR="006C26AF">
        <w:t>. Yet,</w:t>
      </w:r>
      <w:r w:rsidR="00643133" w:rsidRPr="00F43C1A">
        <w:t xml:space="preserve"> we are aware that</w:t>
      </w:r>
      <w:r w:rsidR="00643133" w:rsidRPr="002D2323">
        <w:t xml:space="preserve"> individuals have on occasions employed heuristics </w:t>
      </w:r>
      <w:r w:rsidR="006C26AF">
        <w:t>while not</w:t>
      </w:r>
      <w:r w:rsidR="00643133" w:rsidRPr="002D2323">
        <w:t xml:space="preserve"> being fully aware that </w:t>
      </w:r>
      <w:r w:rsidR="006C26AF">
        <w:t>to do so would</w:t>
      </w:r>
      <w:r w:rsidR="00643133" w:rsidRPr="002D2323">
        <w:t xml:space="preserve"> </w:t>
      </w:r>
      <w:r w:rsidR="006C26AF">
        <w:t>be ‘ir</w:t>
      </w:r>
      <w:r w:rsidR="00643133" w:rsidRPr="002D2323">
        <w:t>rational</w:t>
      </w:r>
      <w:r w:rsidR="006C26AF">
        <w:t>’</w:t>
      </w:r>
      <w:r w:rsidR="00643133" w:rsidRPr="002D2323">
        <w:t xml:space="preserve"> (Denes-Raj and Epstein 1994). </w:t>
      </w:r>
      <w:r w:rsidR="0045055A" w:rsidRPr="002D2323">
        <w:t xml:space="preserve">Thus, </w:t>
      </w:r>
      <w:r w:rsidR="00597027" w:rsidRPr="002D2323">
        <w:rPr>
          <w:i/>
        </w:rPr>
        <w:t>not</w:t>
      </w:r>
      <w:r w:rsidR="00597027" w:rsidRPr="002D2323">
        <w:t xml:space="preserve"> paying particular attention to </w:t>
      </w:r>
      <w:r w:rsidR="0045055A" w:rsidRPr="002D2323">
        <w:t>its</w:t>
      </w:r>
      <w:r w:rsidR="00597027" w:rsidRPr="002D2323">
        <w:t xml:space="preserve"> original </w:t>
      </w:r>
      <w:r w:rsidR="0045055A" w:rsidRPr="002D2323">
        <w:t xml:space="preserve">framing </w:t>
      </w:r>
      <w:r w:rsidR="00597027" w:rsidRPr="002D2323">
        <w:t xml:space="preserve">domain is likely to enhance </w:t>
      </w:r>
      <w:r w:rsidR="00597027" w:rsidRPr="001611BF">
        <w:t xml:space="preserve">their </w:t>
      </w:r>
      <w:r w:rsidR="00781392" w:rsidRPr="001611BF">
        <w:rPr>
          <w:i/>
        </w:rPr>
        <w:t>in</w:t>
      </w:r>
      <w:r w:rsidR="00781392" w:rsidRPr="001611BF">
        <w:t xml:space="preserve">effective </w:t>
      </w:r>
      <w:r w:rsidR="00597027" w:rsidRPr="001611BF">
        <w:t xml:space="preserve">use as a </w:t>
      </w:r>
      <w:r w:rsidR="00781392" w:rsidRPr="001611BF">
        <w:t>decision</w:t>
      </w:r>
      <w:r w:rsidR="00597027" w:rsidRPr="001611BF">
        <w:t xml:space="preserve"> tool (</w:t>
      </w:r>
      <w:r w:rsidR="00597027" w:rsidRPr="00205C34">
        <w:t>Dane and Pratt 2007)</w:t>
      </w:r>
      <w:r w:rsidR="00781392" w:rsidRPr="00205C34">
        <w:t xml:space="preserve">. </w:t>
      </w:r>
      <w:r w:rsidR="009630FD" w:rsidRPr="00F0109C">
        <w:t>This has implications for frontline supply chain employees evaluating either conjunctive or disjunctive.</w:t>
      </w:r>
      <w:r w:rsidR="00872585">
        <w:t xml:space="preserve"> </w:t>
      </w:r>
    </w:p>
    <w:p w:rsidR="006A7360" w:rsidRDefault="00CA1BED" w:rsidP="00A72128">
      <w:pPr>
        <w:spacing w:line="360" w:lineRule="auto"/>
        <w:ind w:firstLine="720"/>
        <w:jc w:val="both"/>
      </w:pPr>
      <w:r w:rsidRPr="00BF7962">
        <w:t xml:space="preserve">The finding that </w:t>
      </w:r>
      <w:r w:rsidR="007B56B4" w:rsidRPr="00BF7962">
        <w:t>frontline supply chain employees exhibited considerable overconfidence in their judgements also has implications for management.</w:t>
      </w:r>
      <w:r w:rsidR="005E3B39" w:rsidRPr="000F2055">
        <w:t xml:space="preserve"> </w:t>
      </w:r>
      <w:r w:rsidR="006A7360" w:rsidRPr="000F2055">
        <w:t xml:space="preserve">Studies by </w:t>
      </w:r>
      <w:r w:rsidR="006A7360" w:rsidRPr="00BF7962">
        <w:rPr>
          <w:color w:val="000000" w:themeColor="text1"/>
        </w:rPr>
        <w:t>Bolton</w:t>
      </w:r>
      <w:r w:rsidR="006A7360" w:rsidRPr="00BF7962">
        <w:t xml:space="preserve"> et al. (2012) </w:t>
      </w:r>
      <w:r w:rsidR="006A7360" w:rsidRPr="00BF7962">
        <w:rPr>
          <w:color w:val="000000" w:themeColor="text1"/>
        </w:rPr>
        <w:t>compar</w:t>
      </w:r>
      <w:r w:rsidR="006C26AF">
        <w:rPr>
          <w:color w:val="000000" w:themeColor="text1"/>
        </w:rPr>
        <w:t>ed</w:t>
      </w:r>
      <w:r w:rsidR="006A7360" w:rsidRPr="00BF7962">
        <w:rPr>
          <w:color w:val="000000" w:themeColor="text1"/>
        </w:rPr>
        <w:t xml:space="preserve"> how students and experienced procurement managers solved the newsvendor problem</w:t>
      </w:r>
      <w:r w:rsidR="00EA7CC6">
        <w:rPr>
          <w:color w:val="000000" w:themeColor="text1"/>
        </w:rPr>
        <w:t xml:space="preserve"> - </w:t>
      </w:r>
      <w:r w:rsidR="00071ED5" w:rsidRPr="00BF7962">
        <w:rPr>
          <w:color w:val="000000" w:themeColor="text1"/>
        </w:rPr>
        <w:t xml:space="preserve">finding that classroom-based education served as an </w:t>
      </w:r>
      <w:r w:rsidR="00111FE3" w:rsidRPr="00BF7962">
        <w:t xml:space="preserve">effective </w:t>
      </w:r>
      <w:r w:rsidR="00071ED5" w:rsidRPr="00BF7962">
        <w:t xml:space="preserve">form of </w:t>
      </w:r>
      <w:r w:rsidR="00111FE3" w:rsidRPr="00BF7962">
        <w:t>learning</w:t>
      </w:r>
      <w:r w:rsidR="00071ED5" w:rsidRPr="00BF7962">
        <w:t xml:space="preserve">. Similarly, </w:t>
      </w:r>
      <w:r w:rsidR="00E622CF" w:rsidRPr="00BF7962">
        <w:t>Marinova et al. (2017</w:t>
      </w:r>
      <w:r w:rsidR="00E622CF" w:rsidRPr="000F2055">
        <w:t>)</w:t>
      </w:r>
      <w:r w:rsidR="00111FE3" w:rsidRPr="000F2055">
        <w:t xml:space="preserve"> </w:t>
      </w:r>
      <w:r w:rsidR="00E622CF" w:rsidRPr="00FF252B">
        <w:t>o</w:t>
      </w:r>
      <w:r w:rsidR="00E622CF" w:rsidRPr="00914636">
        <w:t xml:space="preserve">pined on the importance of learning among </w:t>
      </w:r>
      <w:r w:rsidR="00111FE3" w:rsidRPr="00914636">
        <w:t>frontline employees</w:t>
      </w:r>
      <w:r w:rsidR="00354535" w:rsidRPr="00914636">
        <w:t xml:space="preserve">, </w:t>
      </w:r>
      <w:r w:rsidR="003A6386">
        <w:t xml:space="preserve">and suggested this was best </w:t>
      </w:r>
      <w:r w:rsidR="00C60C5A">
        <w:t>achieved</w:t>
      </w:r>
      <w:r w:rsidR="003A6386">
        <w:t xml:space="preserve"> </w:t>
      </w:r>
      <w:r w:rsidR="00460C5C" w:rsidRPr="00914636">
        <w:t xml:space="preserve">through </w:t>
      </w:r>
      <w:r w:rsidR="00460C5C" w:rsidRPr="00A72128">
        <w:rPr>
          <w:i/>
        </w:rPr>
        <w:t>repeated</w:t>
      </w:r>
      <w:r w:rsidR="00460C5C" w:rsidRPr="00A72128">
        <w:t xml:space="preserve"> </w:t>
      </w:r>
      <w:r w:rsidR="0002048F" w:rsidRPr="00A72128">
        <w:t xml:space="preserve">and </w:t>
      </w:r>
      <w:r w:rsidR="0002048F" w:rsidRPr="00A72128">
        <w:rPr>
          <w:i/>
        </w:rPr>
        <w:t>timely</w:t>
      </w:r>
      <w:r w:rsidR="0002048F" w:rsidRPr="00A72128">
        <w:t xml:space="preserve"> </w:t>
      </w:r>
      <w:r w:rsidR="00FB3E4D" w:rsidRPr="00A72128">
        <w:t>feedback</w:t>
      </w:r>
      <w:r w:rsidR="00E30A6E" w:rsidRPr="00A72128">
        <w:t xml:space="preserve">. </w:t>
      </w:r>
      <w:r w:rsidR="00111FE3" w:rsidRPr="00A72128">
        <w:t xml:space="preserve">This process is likely to be more beneficial if </w:t>
      </w:r>
      <w:r w:rsidR="00BF7962" w:rsidRPr="00DE199C">
        <w:t>s</w:t>
      </w:r>
      <w:r w:rsidR="00BF7962" w:rsidRPr="00E97130">
        <w:t>uch education</w:t>
      </w:r>
      <w:r w:rsidR="00BF7962" w:rsidRPr="00A44ABC">
        <w:t xml:space="preserve"> is augmented with </w:t>
      </w:r>
      <w:r w:rsidR="00BF7962" w:rsidRPr="00BF7962">
        <w:rPr>
          <w:color w:val="000000" w:themeColor="text1"/>
        </w:rPr>
        <w:t xml:space="preserve">training that is undertaken within a ‘real’ </w:t>
      </w:r>
      <w:r w:rsidR="006A7360" w:rsidRPr="00BF7962">
        <w:rPr>
          <w:color w:val="000000" w:themeColor="text1"/>
        </w:rPr>
        <w:t>operations</w:t>
      </w:r>
      <w:r w:rsidR="00BF7962" w:rsidRPr="00BF7962">
        <w:rPr>
          <w:color w:val="000000" w:themeColor="text1"/>
        </w:rPr>
        <w:t xml:space="preserve"> setting. </w:t>
      </w:r>
    </w:p>
    <w:p w:rsidR="00DB421D" w:rsidRDefault="000859BC" w:rsidP="00DB421D">
      <w:pPr>
        <w:spacing w:line="360" w:lineRule="auto"/>
        <w:ind w:firstLine="720"/>
        <w:jc w:val="both"/>
      </w:pPr>
      <w:r w:rsidRPr="00C34D98">
        <w:t xml:space="preserve">As with all research, this study was not without its limitations. </w:t>
      </w:r>
      <w:r w:rsidR="00454EC2" w:rsidRPr="00C34D98">
        <w:rPr>
          <w:i/>
        </w:rPr>
        <w:t>First</w:t>
      </w:r>
      <w:r w:rsidRPr="00C34D98">
        <w:t xml:space="preserve">, the study took the earlier conceptual position that mainly construed heuristics as a liability. Yet, several studies show that there are conditions where heuristics serve to efficiently elicit accurate judgments and facilitate sound </w:t>
      </w:r>
      <w:r w:rsidR="007165F4">
        <w:t>decision-making</w:t>
      </w:r>
      <w:r w:rsidRPr="00C34D98">
        <w:t xml:space="preserve">. Hence, researchers could aim to explore the potential prevalence and benefits of these heuristics in the supply chain context and, as was the case with the present study, to develop fine-grained insights into the precise conditions under which these heuristics may be at their most </w:t>
      </w:r>
      <w:r w:rsidR="00511C2F">
        <w:t>beneficial</w:t>
      </w:r>
      <w:r w:rsidRPr="00C34D98">
        <w:t xml:space="preserve">. </w:t>
      </w:r>
      <w:r w:rsidR="00DB421D">
        <w:rPr>
          <w:i/>
        </w:rPr>
        <w:t>Second</w:t>
      </w:r>
      <w:r w:rsidRPr="00C34D98">
        <w:t>, while our study employ</w:t>
      </w:r>
      <w:r w:rsidR="002E1236" w:rsidRPr="00C34D98">
        <w:t>ed</w:t>
      </w:r>
      <w:r w:rsidRPr="00C34D98">
        <w:t xml:space="preserve"> stimulus materials concerning only the supply chain context, our use of questionnaire-based scenarios could arguably, lack some degree of ecological validity. </w:t>
      </w:r>
      <w:r w:rsidR="00995814">
        <w:t xml:space="preserve">We have assumed for purposes of our research that the forty </w:t>
      </w:r>
      <w:r w:rsidR="00121A54">
        <w:t>employees</w:t>
      </w:r>
      <w:r w:rsidR="00995814">
        <w:t xml:space="preserve"> studied are all heavily immersed, albeit to varying extents and in varying functional capacities, in operational decision-making involving planning and purchasing (as discussed in section 2.1.1) aimed at ensuring leanness and efficiency of supply chains. This is the basis on which their participation in the study was sought. Our use of hypothetical decision </w:t>
      </w:r>
      <w:r w:rsidR="00995814">
        <w:lastRenderedPageBreak/>
        <w:t xml:space="preserve">problems further assumes that this professional experience will have resolved as professional habits which the hypothetical decision problems can capture and permit to be expressed as statistical generalisations. </w:t>
      </w:r>
      <w:r w:rsidR="00995814" w:rsidRPr="00BE095F">
        <w:t>Th</w:t>
      </w:r>
      <w:r w:rsidR="00995814">
        <w:t>is</w:t>
      </w:r>
      <w:r w:rsidR="00995814" w:rsidRPr="00BE095F">
        <w:t xml:space="preserve"> limitation </w:t>
      </w:r>
      <w:r w:rsidR="00995814">
        <w:t>does of course entail</w:t>
      </w:r>
      <w:r w:rsidR="00995814" w:rsidRPr="00BE095F">
        <w:t xml:space="preserve"> that the findings of this study may not necessarily </w:t>
      </w:r>
      <w:r w:rsidR="00995814" w:rsidRPr="00BA046F">
        <w:t xml:space="preserve">hold true for every </w:t>
      </w:r>
      <w:r w:rsidR="00995814" w:rsidRPr="00436DFA">
        <w:t>frontline supply chain employee and every type of h</w:t>
      </w:r>
      <w:r w:rsidR="00995814" w:rsidRPr="00985CA2">
        <w:t xml:space="preserve">euristics. </w:t>
      </w:r>
      <w:r w:rsidR="00DB421D">
        <w:t xml:space="preserve">This is a point for future studies, especially noting that the </w:t>
      </w:r>
      <w:r w:rsidR="00DB421D" w:rsidRPr="00DB421D">
        <w:t xml:space="preserve">sample </w:t>
      </w:r>
      <w:r w:rsidR="00DB421D">
        <w:t>was</w:t>
      </w:r>
      <w:r w:rsidR="00DB421D" w:rsidRPr="00DB421D">
        <w:t xml:space="preserve"> </w:t>
      </w:r>
      <w:r w:rsidR="00DB421D">
        <w:t xml:space="preserve">small which could potentially have an </w:t>
      </w:r>
      <w:r w:rsidR="00DB421D" w:rsidRPr="00DB421D">
        <w:t>outsized influence o</w:t>
      </w:r>
      <w:r w:rsidR="00DB421D">
        <w:t>f</w:t>
      </w:r>
      <w:r w:rsidR="00DB421D" w:rsidRPr="00DB421D">
        <w:t xml:space="preserve"> cultural bias</w:t>
      </w:r>
      <w:r w:rsidR="00DB421D">
        <w:t xml:space="preserve">. </w:t>
      </w:r>
      <w:r w:rsidR="00995814" w:rsidRPr="00985CA2">
        <w:t xml:space="preserve">In effect, despite the fact that case experiment was designed with the aim of closely </w:t>
      </w:r>
      <w:r w:rsidR="00995814" w:rsidRPr="00436DFA">
        <w:t>approximating the decisional challenges found in typical supply chain environments, less than careful attempts to generalize the</w:t>
      </w:r>
      <w:r w:rsidR="00995814" w:rsidRPr="00985CA2">
        <w:t xml:space="preserve"> findings</w:t>
      </w:r>
      <w:r w:rsidR="00121A54">
        <w:t>,</w:t>
      </w:r>
      <w:r w:rsidR="00995814" w:rsidRPr="00985CA2">
        <w:t xml:space="preserve"> especially in </w:t>
      </w:r>
      <w:r w:rsidR="00DB421D" w:rsidRPr="00985CA2">
        <w:t>domains, which</w:t>
      </w:r>
      <w:r w:rsidR="00995814" w:rsidRPr="00985CA2">
        <w:t xml:space="preserve"> </w:t>
      </w:r>
      <w:r w:rsidR="00995814">
        <w:t>a particular heuristic</w:t>
      </w:r>
      <w:r w:rsidR="00995814" w:rsidRPr="00985CA2">
        <w:t xml:space="preserve"> was not originally framed</w:t>
      </w:r>
      <w:r w:rsidR="00995814">
        <w:t xml:space="preserve">, </w:t>
      </w:r>
      <w:r w:rsidR="00995814" w:rsidRPr="00985CA2">
        <w:t xml:space="preserve">certainly needs </w:t>
      </w:r>
      <w:r w:rsidR="00121A54">
        <w:t xml:space="preserve">to </w:t>
      </w:r>
      <w:r w:rsidR="00995814" w:rsidRPr="00985CA2">
        <w:t>be eschewed.</w:t>
      </w:r>
      <w:r w:rsidR="00121A54">
        <w:t xml:space="preserve"> </w:t>
      </w:r>
      <w:r w:rsidRPr="00C34D98">
        <w:t xml:space="preserve">Therefore, </w:t>
      </w:r>
      <w:r w:rsidR="002E1236" w:rsidRPr="00C34D98">
        <w:t xml:space="preserve">future studies should be directed at </w:t>
      </w:r>
      <w:r w:rsidRPr="00C34D98">
        <w:t>examin</w:t>
      </w:r>
      <w:r w:rsidR="002E1236" w:rsidRPr="00C34D98">
        <w:t xml:space="preserve">ing similar literature-driven </w:t>
      </w:r>
      <w:r w:rsidR="00966BAF" w:rsidRPr="00C34D98">
        <w:t>hypotheses</w:t>
      </w:r>
      <w:r w:rsidR="00966BAF" w:rsidRPr="00C34D98" w:rsidDel="00966BAF">
        <w:t xml:space="preserve"> </w:t>
      </w:r>
      <w:r w:rsidR="002E1236" w:rsidRPr="00C34D98">
        <w:t>utilising</w:t>
      </w:r>
      <w:r w:rsidRPr="00C34D98">
        <w:t xml:space="preserve"> data gathered in a more naturalistic context.</w:t>
      </w:r>
      <w:r w:rsidR="00DB421D">
        <w:t xml:space="preserve"> </w:t>
      </w:r>
      <w:r w:rsidR="00DB421D">
        <w:rPr>
          <w:i/>
          <w:color w:val="000000" w:themeColor="text1"/>
        </w:rPr>
        <w:t>Third</w:t>
      </w:r>
      <w:r w:rsidR="00995814" w:rsidRPr="00E41067">
        <w:rPr>
          <w:color w:val="000000" w:themeColor="text1"/>
        </w:rPr>
        <w:t>, we elected to provide all of our respondents with the same anchors, rather than following the conventional approach of using higher and lower anchors. Consequently,</w:t>
      </w:r>
      <w:r w:rsidR="00995814">
        <w:rPr>
          <w:color w:val="000000" w:themeColor="text1"/>
        </w:rPr>
        <w:t xml:space="preserve"> our results only provide a measure of whether or not the respondent’s adjustments were insufficient, rather than determining the extent to which different anchors cause deviations from the correct answer. Understanding the extent of the deviations could be important for identifying the circumstances under which the greatest margin for error may exist. Hence, future studies could provide different anchors to different groups of respondents to determine the magnitude of influence that anchors can play in judgments among supply chain professionals.</w:t>
      </w:r>
      <w:r w:rsidR="00995814" w:rsidRPr="00C34D98">
        <w:t xml:space="preserve"> </w:t>
      </w:r>
    </w:p>
    <w:p w:rsidR="00CE5A09" w:rsidRPr="00C34D98" w:rsidRDefault="00995814">
      <w:pPr>
        <w:spacing w:line="360" w:lineRule="auto"/>
        <w:ind w:firstLine="720"/>
        <w:jc w:val="both"/>
      </w:pPr>
      <w:r>
        <w:t xml:space="preserve">The </w:t>
      </w:r>
      <w:r w:rsidR="00DB421D">
        <w:rPr>
          <w:i/>
        </w:rPr>
        <w:t>fourth</w:t>
      </w:r>
      <w:r>
        <w:t xml:space="preserve"> limitation of the paper is </w:t>
      </w:r>
      <w:r w:rsidRPr="00123EC9">
        <w:t xml:space="preserve">that although it is now well documented in </w:t>
      </w:r>
      <w:r w:rsidR="00752BD8">
        <w:t xml:space="preserve">the </w:t>
      </w:r>
      <w:r w:rsidRPr="00123EC9">
        <w:t xml:space="preserve">literature that cross-national differences affect various aspects of judgment and decision making (Cui et al. 2013), including overconfidence (see for example, </w:t>
      </w:r>
      <w:r w:rsidRPr="00123EC9">
        <w:rPr>
          <w:color w:val="000000" w:themeColor="text1"/>
        </w:rPr>
        <w:t xml:space="preserve">Feng et al. 2011; </w:t>
      </w:r>
      <w:r w:rsidRPr="00123EC9">
        <w:t>Antonczyk and Salzmann 2014; Moore et al. 2018), our study did not</w:t>
      </w:r>
      <w:r w:rsidRPr="00123EC9">
        <w:rPr>
          <w:color w:val="000000" w:themeColor="text1"/>
        </w:rPr>
        <w:t xml:space="preserve"> examine the impact of such cross-national differences </w:t>
      </w:r>
      <w:r w:rsidRPr="00123EC9">
        <w:t>on the anchoring heuristic and overconfidence bias. Our study also did not investigate the impact</w:t>
      </w:r>
      <w:r w:rsidRPr="0037403C">
        <w:t xml:space="preserve"> of possible individual differences. Prior studies by </w:t>
      </w:r>
      <w:r w:rsidRPr="0077002C">
        <w:rPr>
          <w:color w:val="000000" w:themeColor="text1"/>
        </w:rPr>
        <w:t>Moritz et al. (2013</w:t>
      </w:r>
      <w:r>
        <w:rPr>
          <w:color w:val="000000" w:themeColor="text1"/>
        </w:rPr>
        <w:t>, 2014</w:t>
      </w:r>
      <w:r w:rsidRPr="0077002C">
        <w:rPr>
          <w:color w:val="000000" w:themeColor="text1"/>
        </w:rPr>
        <w:t xml:space="preserve">) </w:t>
      </w:r>
      <w:r>
        <w:rPr>
          <w:color w:val="000000" w:themeColor="text1"/>
        </w:rPr>
        <w:t xml:space="preserve">and </w:t>
      </w:r>
      <w:r w:rsidRPr="0037403C">
        <w:rPr>
          <w:color w:val="000000" w:themeColor="text1"/>
        </w:rPr>
        <w:t>Narayanan and Moritz (2015)</w:t>
      </w:r>
      <w:r w:rsidR="00752BD8">
        <w:rPr>
          <w:color w:val="000000" w:themeColor="text1"/>
        </w:rPr>
        <w:t>,</w:t>
      </w:r>
      <w:r w:rsidRPr="0037403C">
        <w:rPr>
          <w:color w:val="000000" w:themeColor="text1"/>
        </w:rPr>
        <w:t xml:space="preserve"> </w:t>
      </w:r>
      <w:r w:rsidRPr="0077002C">
        <w:rPr>
          <w:color w:val="000000" w:themeColor="text1"/>
        </w:rPr>
        <w:t>for example</w:t>
      </w:r>
      <w:r w:rsidR="00752BD8">
        <w:rPr>
          <w:color w:val="000000" w:themeColor="text1"/>
        </w:rPr>
        <w:t>,</w:t>
      </w:r>
      <w:r w:rsidRPr="0077002C">
        <w:rPr>
          <w:color w:val="000000" w:themeColor="text1"/>
        </w:rPr>
        <w:t xml:space="preserve"> point out that individual heterogeneity may explain some of </w:t>
      </w:r>
      <w:r w:rsidRPr="00E97A39">
        <w:rPr>
          <w:color w:val="000000" w:themeColor="text1"/>
        </w:rPr>
        <w:t xml:space="preserve">the </w:t>
      </w:r>
      <w:r w:rsidRPr="00C7575B">
        <w:rPr>
          <w:color w:val="000000" w:themeColor="text1"/>
        </w:rPr>
        <w:t>differences in decision-making performance. More specifically, the outcome of their studies led to suggestions that one way of ensuring</w:t>
      </w:r>
      <w:r>
        <w:rPr>
          <w:color w:val="000000" w:themeColor="text1"/>
        </w:rPr>
        <w:t xml:space="preserve"> efficiencies in supply chains was to assign</w:t>
      </w:r>
      <w:r w:rsidRPr="00AB6215">
        <w:rPr>
          <w:color w:val="000000" w:themeColor="text1"/>
        </w:rPr>
        <w:t xml:space="preserve"> </w:t>
      </w:r>
      <w:r>
        <w:rPr>
          <w:color w:val="000000" w:themeColor="text1"/>
        </w:rPr>
        <w:t xml:space="preserve">practitioners with </w:t>
      </w:r>
      <w:r w:rsidRPr="00AB6215">
        <w:rPr>
          <w:color w:val="000000" w:themeColor="text1"/>
        </w:rPr>
        <w:t>higher</w:t>
      </w:r>
      <w:r>
        <w:rPr>
          <w:color w:val="000000" w:themeColor="text1"/>
        </w:rPr>
        <w:t>-level</w:t>
      </w:r>
      <w:r w:rsidRPr="00AB6215">
        <w:rPr>
          <w:color w:val="000000" w:themeColor="text1"/>
        </w:rPr>
        <w:t xml:space="preserve"> cognitive reflection tendencies</w:t>
      </w:r>
      <w:r>
        <w:rPr>
          <w:color w:val="000000" w:themeColor="text1"/>
        </w:rPr>
        <w:t xml:space="preserve"> (in order words, the ability to </w:t>
      </w:r>
      <w:r w:rsidRPr="00414F8A">
        <w:rPr>
          <w:color w:val="000000" w:themeColor="text1"/>
        </w:rPr>
        <w:t>override a</w:t>
      </w:r>
      <w:r>
        <w:rPr>
          <w:color w:val="000000" w:themeColor="text1"/>
        </w:rPr>
        <w:t xml:space="preserve">n instinctive response </w:t>
      </w:r>
      <w:r w:rsidRPr="00414F8A">
        <w:rPr>
          <w:color w:val="000000" w:themeColor="text1"/>
        </w:rPr>
        <w:t>and</w:t>
      </w:r>
      <w:r>
        <w:rPr>
          <w:color w:val="000000" w:themeColor="text1"/>
        </w:rPr>
        <w:t xml:space="preserve"> </w:t>
      </w:r>
      <w:r w:rsidRPr="00414F8A">
        <w:rPr>
          <w:color w:val="000000" w:themeColor="text1"/>
        </w:rPr>
        <w:t xml:space="preserve">engage in </w:t>
      </w:r>
      <w:r>
        <w:rPr>
          <w:color w:val="000000" w:themeColor="text1"/>
        </w:rPr>
        <w:t xml:space="preserve">additional </w:t>
      </w:r>
      <w:r w:rsidRPr="00414F8A">
        <w:rPr>
          <w:color w:val="000000" w:themeColor="text1"/>
        </w:rPr>
        <w:t xml:space="preserve">reflection </w:t>
      </w:r>
      <w:r>
        <w:rPr>
          <w:color w:val="000000" w:themeColor="text1"/>
        </w:rPr>
        <w:t>in order to establish a</w:t>
      </w:r>
      <w:r w:rsidRPr="00414F8A">
        <w:rPr>
          <w:color w:val="000000" w:themeColor="text1"/>
        </w:rPr>
        <w:t xml:space="preserve"> correct</w:t>
      </w:r>
      <w:r>
        <w:rPr>
          <w:color w:val="000000" w:themeColor="text1"/>
        </w:rPr>
        <w:t xml:space="preserve"> </w:t>
      </w:r>
      <w:r w:rsidRPr="00414F8A">
        <w:rPr>
          <w:color w:val="000000" w:themeColor="text1"/>
        </w:rPr>
        <w:t>response</w:t>
      </w:r>
      <w:r>
        <w:rPr>
          <w:color w:val="000000" w:themeColor="text1"/>
        </w:rPr>
        <w:t xml:space="preserve"> – see </w:t>
      </w:r>
      <w:r w:rsidRPr="00414F8A">
        <w:rPr>
          <w:color w:val="000000" w:themeColor="text1"/>
        </w:rPr>
        <w:t xml:space="preserve">Frederick </w:t>
      </w:r>
      <w:r>
        <w:rPr>
          <w:color w:val="000000" w:themeColor="text1"/>
        </w:rPr>
        <w:t>2005) to deal interface with customers s</w:t>
      </w:r>
      <w:r w:rsidRPr="00112BC9">
        <w:rPr>
          <w:color w:val="000000" w:themeColor="text1"/>
        </w:rPr>
        <w:t>usceptible</w:t>
      </w:r>
      <w:r>
        <w:rPr>
          <w:color w:val="000000" w:themeColor="text1"/>
        </w:rPr>
        <w:t xml:space="preserve"> to </w:t>
      </w:r>
      <w:r w:rsidRPr="00AB6215">
        <w:rPr>
          <w:color w:val="000000" w:themeColor="text1"/>
        </w:rPr>
        <w:t xml:space="preserve">stable but </w:t>
      </w:r>
      <w:r w:rsidRPr="00112BC9">
        <w:rPr>
          <w:color w:val="000000" w:themeColor="text1"/>
        </w:rPr>
        <w:t xml:space="preserve">random </w:t>
      </w:r>
      <w:r w:rsidRPr="00AB6215">
        <w:rPr>
          <w:color w:val="000000" w:themeColor="text1"/>
        </w:rPr>
        <w:t xml:space="preserve">demand. </w:t>
      </w:r>
      <w:r>
        <w:t xml:space="preserve">For this reason, </w:t>
      </w:r>
      <w:r w:rsidR="000859BC" w:rsidRPr="00436DFA">
        <w:t>future studies could focus more</w:t>
      </w:r>
      <w:r w:rsidR="00CE5A09" w:rsidRPr="00436DFA">
        <w:t xml:space="preserve"> on the area of framing and the communication of complex problems with a view to identifying how these approaches</w:t>
      </w:r>
      <w:r w:rsidR="00CE5A09" w:rsidRPr="00C34D98">
        <w:t xml:space="preserve"> could be designed</w:t>
      </w:r>
      <w:r w:rsidR="00245145">
        <w:t xml:space="preserve"> in a sensitive manner that</w:t>
      </w:r>
      <w:r w:rsidR="00CE5A09" w:rsidRPr="00C34D98">
        <w:t xml:space="preserve"> minimi</w:t>
      </w:r>
      <w:r w:rsidR="00245145">
        <w:t>zes</w:t>
      </w:r>
      <w:r w:rsidR="00CE5A09" w:rsidRPr="00C34D98">
        <w:t xml:space="preserve"> </w:t>
      </w:r>
      <w:r w:rsidR="00C7575B" w:rsidRPr="00C7575B">
        <w:t>inter</w:t>
      </w:r>
      <w:r w:rsidR="00C7575B" w:rsidRPr="00C7575B">
        <w:rPr>
          <w:rFonts w:ascii="Cambria Math" w:hAnsi="Cambria Math" w:cs="Cambria Math"/>
        </w:rPr>
        <w:t>‐</w:t>
      </w:r>
      <w:r w:rsidR="00C7575B" w:rsidRPr="00C7575B">
        <w:t xml:space="preserve">individual </w:t>
      </w:r>
      <w:r w:rsidR="00C7575B">
        <w:t xml:space="preserve">and/or cross-national </w:t>
      </w:r>
      <w:r w:rsidR="00C7575B" w:rsidRPr="00C7575B">
        <w:t>differences</w:t>
      </w:r>
      <w:r w:rsidR="00C7575B">
        <w:t xml:space="preserve"> in </w:t>
      </w:r>
      <w:r w:rsidR="00CE5A09" w:rsidRPr="00C34D98">
        <w:t xml:space="preserve">the forms of anchoring and overconfidence that we identified as being prevalent among </w:t>
      </w:r>
      <w:r w:rsidR="005B2DB8" w:rsidRPr="00C34D98">
        <w:t>frontline employees in supply chain organisations</w:t>
      </w:r>
      <w:r w:rsidR="00CE5A09" w:rsidRPr="00C34D98">
        <w:t>.</w:t>
      </w:r>
    </w:p>
    <w:p w:rsidR="00CE5A09" w:rsidRPr="00C34D98" w:rsidRDefault="00CE5A09" w:rsidP="00C60C5A">
      <w:pPr>
        <w:spacing w:line="360" w:lineRule="auto"/>
        <w:jc w:val="both"/>
        <w:rPr>
          <w:shd w:val="clear" w:color="auto" w:fill="FFFFFF"/>
        </w:rPr>
      </w:pPr>
    </w:p>
    <w:p w:rsidR="00CE5A09" w:rsidRPr="00C34D98" w:rsidRDefault="005B2DB8" w:rsidP="00CE5A09">
      <w:pPr>
        <w:spacing w:line="360" w:lineRule="auto"/>
        <w:jc w:val="both"/>
        <w:rPr>
          <w:b/>
          <w:color w:val="000000" w:themeColor="text1"/>
        </w:rPr>
      </w:pPr>
      <w:r w:rsidRPr="00C34D98">
        <w:rPr>
          <w:b/>
          <w:color w:val="000000" w:themeColor="text1"/>
        </w:rPr>
        <w:lastRenderedPageBreak/>
        <w:t>References</w:t>
      </w:r>
    </w:p>
    <w:p w:rsidR="008A6AC5" w:rsidRPr="00C34D98" w:rsidRDefault="008A6AC5" w:rsidP="008A6AC5">
      <w:pPr>
        <w:spacing w:line="360" w:lineRule="auto"/>
        <w:ind w:left="720" w:hanging="720"/>
        <w:jc w:val="both"/>
        <w:rPr>
          <w:color w:val="000000" w:themeColor="text1"/>
        </w:rPr>
      </w:pPr>
      <w:r w:rsidRPr="00C34D98">
        <w:rPr>
          <w:color w:val="000000" w:themeColor="text1"/>
        </w:rPr>
        <w:t xml:space="preserve">Al-Mudimigh, A., Zairi, M. and Ahmed, A. 2004. Extending the concept of supply chain: The effective management of value chains. </w:t>
      </w:r>
      <w:r w:rsidRPr="00C34D98">
        <w:rPr>
          <w:i/>
          <w:color w:val="000000" w:themeColor="text1"/>
        </w:rPr>
        <w:t>International Journal of Production Economics</w:t>
      </w:r>
      <w:r w:rsidRPr="00C34D98">
        <w:rPr>
          <w:color w:val="000000" w:themeColor="text1"/>
        </w:rPr>
        <w:t xml:space="preserve">, 87(3), 309-320. </w:t>
      </w:r>
    </w:p>
    <w:p w:rsidR="00D46F9E" w:rsidRPr="00C34D98" w:rsidRDefault="00D46F9E" w:rsidP="00D46F9E">
      <w:pPr>
        <w:spacing w:line="360" w:lineRule="auto"/>
        <w:ind w:left="720" w:hanging="720"/>
        <w:jc w:val="both"/>
        <w:rPr>
          <w:color w:val="000000" w:themeColor="text1"/>
        </w:rPr>
      </w:pPr>
      <w:r w:rsidRPr="00C34D98">
        <w:rPr>
          <w:color w:val="000000" w:themeColor="text1"/>
        </w:rPr>
        <w:t xml:space="preserve">Ancarani, A., Di Mauro, C. and D’Urso, D. 2016. Measuring overconfidence in inventory management decisions. </w:t>
      </w:r>
      <w:r w:rsidRPr="00C34D98">
        <w:rPr>
          <w:i/>
          <w:color w:val="000000" w:themeColor="text1"/>
        </w:rPr>
        <w:t>Journal of Purchasing and Supply Management</w:t>
      </w:r>
      <w:r w:rsidRPr="00C34D98">
        <w:rPr>
          <w:color w:val="000000" w:themeColor="text1"/>
        </w:rPr>
        <w:t xml:space="preserve">, 22 (3), 171-180. </w:t>
      </w:r>
    </w:p>
    <w:p w:rsidR="00CD0536" w:rsidRPr="00CD0536" w:rsidRDefault="00CD0536" w:rsidP="00CD0536">
      <w:pPr>
        <w:spacing w:line="360" w:lineRule="auto"/>
        <w:ind w:left="720" w:hanging="720"/>
        <w:jc w:val="both"/>
        <w:rPr>
          <w:color w:val="000000" w:themeColor="text1"/>
        </w:rPr>
      </w:pPr>
      <w:r w:rsidRPr="00CD0536">
        <w:rPr>
          <w:color w:val="000000" w:themeColor="text1"/>
        </w:rPr>
        <w:t xml:space="preserve">Antonczyk, R. and Salzmann, A. 2014. Overconfidence and optimism: The effect of national culture on capital structure. </w:t>
      </w:r>
      <w:r w:rsidRPr="00CD0536">
        <w:rPr>
          <w:i/>
          <w:color w:val="000000" w:themeColor="text1"/>
        </w:rPr>
        <w:t>Research in International Business and Finance</w:t>
      </w:r>
      <w:r w:rsidRPr="00CD0536">
        <w:rPr>
          <w:color w:val="000000" w:themeColor="text1"/>
        </w:rPr>
        <w:t>, 31, 132-151.</w:t>
      </w:r>
    </w:p>
    <w:p w:rsidR="00D46F9E" w:rsidRPr="00C34D98" w:rsidRDefault="00D46F9E" w:rsidP="00CD0536">
      <w:pPr>
        <w:spacing w:line="360" w:lineRule="auto"/>
        <w:ind w:left="720" w:hanging="720"/>
        <w:jc w:val="both"/>
        <w:rPr>
          <w:color w:val="000000" w:themeColor="text1"/>
        </w:rPr>
      </w:pPr>
      <w:r w:rsidRPr="00C34D98">
        <w:rPr>
          <w:color w:val="000000" w:themeColor="text1"/>
        </w:rPr>
        <w:t xml:space="preserve">Ariely, D., Loewenstein, G. and Prelec, D. 2003. Coherent Arbitrariness: Stable Demand Curves without Stable Preferences. </w:t>
      </w:r>
      <w:r w:rsidRPr="00C34D98">
        <w:rPr>
          <w:i/>
          <w:color w:val="000000" w:themeColor="text1"/>
        </w:rPr>
        <w:t>The Quarterly Journal of Economics</w:t>
      </w:r>
      <w:r w:rsidRPr="00C34D98">
        <w:rPr>
          <w:color w:val="000000" w:themeColor="text1"/>
        </w:rPr>
        <w:t xml:space="preserve">, 118 (1), 73-106. </w:t>
      </w:r>
    </w:p>
    <w:p w:rsidR="00D46F9E" w:rsidRPr="00C34D98" w:rsidRDefault="00D46F9E" w:rsidP="00D46F9E">
      <w:pPr>
        <w:spacing w:line="360" w:lineRule="auto"/>
        <w:ind w:left="720" w:hanging="720"/>
        <w:jc w:val="both"/>
        <w:rPr>
          <w:color w:val="000000" w:themeColor="text1"/>
        </w:rPr>
      </w:pPr>
      <w:r w:rsidRPr="00C34D98">
        <w:rPr>
          <w:color w:val="000000" w:themeColor="text1"/>
        </w:rPr>
        <w:t xml:space="preserve">Ariely, D. 2009. </w:t>
      </w:r>
      <w:r w:rsidRPr="00C34D98">
        <w:rPr>
          <w:i/>
          <w:color w:val="000000" w:themeColor="text1"/>
        </w:rPr>
        <w:t>Predictably Irrational: The Hidden Forces that Shape Our Decisions</w:t>
      </w:r>
      <w:r w:rsidRPr="00C34D98">
        <w:rPr>
          <w:color w:val="000000" w:themeColor="text1"/>
        </w:rPr>
        <w:t>. 1st ed. Harper Collins.</w:t>
      </w:r>
    </w:p>
    <w:p w:rsidR="00D46F9E" w:rsidRPr="00C34D98" w:rsidRDefault="00D46F9E" w:rsidP="00D46F9E">
      <w:pPr>
        <w:spacing w:line="360" w:lineRule="auto"/>
        <w:ind w:left="720" w:hanging="720"/>
        <w:jc w:val="both"/>
        <w:rPr>
          <w:color w:val="000000" w:themeColor="text1"/>
        </w:rPr>
      </w:pPr>
      <w:r w:rsidRPr="00C34D98">
        <w:rPr>
          <w:color w:val="000000" w:themeColor="text1"/>
        </w:rPr>
        <w:t xml:space="preserve">Arvan, M., Fahimnia, B., Reisi, M., and Siemsen, E. 2019. Integrating human judgement into quantitative forecasting methods: A review. </w:t>
      </w:r>
      <w:r w:rsidRPr="00C34D98">
        <w:rPr>
          <w:i/>
          <w:color w:val="000000" w:themeColor="text1"/>
        </w:rPr>
        <w:t>Omega</w:t>
      </w:r>
      <w:r w:rsidRPr="00C34D98">
        <w:rPr>
          <w:color w:val="000000" w:themeColor="text1"/>
        </w:rPr>
        <w:t>, 86, 237-252.</w:t>
      </w:r>
    </w:p>
    <w:p w:rsidR="00750BC2" w:rsidRPr="00C34D98" w:rsidRDefault="00750BC2" w:rsidP="00750BC2">
      <w:pPr>
        <w:spacing w:line="360" w:lineRule="auto"/>
        <w:ind w:left="720" w:hanging="720"/>
        <w:jc w:val="both"/>
        <w:rPr>
          <w:color w:val="000000" w:themeColor="text1"/>
        </w:rPr>
      </w:pPr>
      <w:r w:rsidRPr="00C34D98">
        <w:rPr>
          <w:color w:val="000000" w:themeColor="text1"/>
        </w:rPr>
        <w:t xml:space="preserve">Barbosa, S. and Fayolle, A. 2007. Where is the Risk? Availability, Anchoring, and Framing Effects on Entrepreneurial Risk Taking. Babson College Entrepreneurship Research Conference (BCERC); </w:t>
      </w:r>
      <w:r w:rsidRPr="00C34D98">
        <w:rPr>
          <w:i/>
          <w:color w:val="000000" w:themeColor="text1"/>
        </w:rPr>
        <w:t>Frontiers of Entrepreneurship Research 2007</w:t>
      </w:r>
      <w:r w:rsidRPr="00C34D98">
        <w:rPr>
          <w:color w:val="000000" w:themeColor="text1"/>
        </w:rPr>
        <w:t xml:space="preserve">. Available at SSRN: </w:t>
      </w:r>
      <w:hyperlink r:id="rId9" w:history="1">
        <w:r w:rsidRPr="00C34D98">
          <w:rPr>
            <w:rStyle w:val="Hyperlink"/>
            <w:color w:val="000000" w:themeColor="text1"/>
          </w:rPr>
          <w:t>https://ssrn.com/abstract=1064121</w:t>
        </w:r>
      </w:hyperlink>
      <w:r w:rsidRPr="00C34D98">
        <w:rPr>
          <w:color w:val="000000" w:themeColor="text1"/>
        </w:rPr>
        <w:t>, accessed 20/02/19</w:t>
      </w:r>
    </w:p>
    <w:p w:rsidR="00750BC2" w:rsidRPr="00C34D98" w:rsidRDefault="00750BC2" w:rsidP="00750BC2">
      <w:pPr>
        <w:spacing w:line="360" w:lineRule="auto"/>
        <w:ind w:left="720" w:hanging="720"/>
        <w:jc w:val="both"/>
        <w:rPr>
          <w:color w:val="000000" w:themeColor="text1"/>
        </w:rPr>
      </w:pPr>
      <w:r w:rsidRPr="004E0025">
        <w:rPr>
          <w:color w:val="000000" w:themeColor="text1"/>
        </w:rPr>
        <w:t xml:space="preserve">Barratt, M., Choi, T. and Li, M. 2011. Qualitative Case Studies in Operations Management: Trends, Research Outcomes, and Future Research Implications. </w:t>
      </w:r>
      <w:r w:rsidRPr="00C34D98">
        <w:rPr>
          <w:i/>
          <w:color w:val="000000" w:themeColor="text1"/>
        </w:rPr>
        <w:t>Journal of Operations Management</w:t>
      </w:r>
      <w:r w:rsidRPr="00C34D98">
        <w:rPr>
          <w:color w:val="000000" w:themeColor="text1"/>
        </w:rPr>
        <w:t>, 29 (4), 329–342.</w:t>
      </w:r>
    </w:p>
    <w:p w:rsidR="00750BC2" w:rsidRPr="00C34D98" w:rsidRDefault="00750BC2" w:rsidP="00750BC2">
      <w:pPr>
        <w:spacing w:line="360" w:lineRule="auto"/>
        <w:ind w:left="720" w:hanging="720"/>
        <w:jc w:val="both"/>
        <w:rPr>
          <w:color w:val="000000" w:themeColor="text1"/>
        </w:rPr>
      </w:pPr>
      <w:r w:rsidRPr="00C34D98">
        <w:rPr>
          <w:color w:val="000000" w:themeColor="text1"/>
        </w:rPr>
        <w:t xml:space="preserve">Beatty, S., Ogilvie, J., Northington, W., Harrison, M., Holloway, B. and Wang, S. 2016. Frontline service employee compliance with customer special requests. </w:t>
      </w:r>
      <w:r w:rsidRPr="00C34D98">
        <w:rPr>
          <w:i/>
          <w:color w:val="000000" w:themeColor="text1"/>
        </w:rPr>
        <w:t>Journal of Service Research</w:t>
      </w:r>
      <w:r w:rsidRPr="00C34D98">
        <w:rPr>
          <w:color w:val="000000" w:themeColor="text1"/>
        </w:rPr>
        <w:t>, 19(2), 158-173.</w:t>
      </w:r>
    </w:p>
    <w:p w:rsidR="00750BC2" w:rsidRPr="00C34D98" w:rsidRDefault="00750BC2" w:rsidP="00750BC2">
      <w:pPr>
        <w:spacing w:line="360" w:lineRule="auto"/>
        <w:ind w:left="720" w:hanging="720"/>
        <w:jc w:val="both"/>
        <w:rPr>
          <w:color w:val="000000" w:themeColor="text1"/>
        </w:rPr>
      </w:pPr>
      <w:r w:rsidRPr="00C34D98">
        <w:rPr>
          <w:color w:val="000000" w:themeColor="text1"/>
        </w:rPr>
        <w:t xml:space="preserve">Bechtold, S., Buccafusco, C. and Sprigman, C. 2015. Innovation heuristics: Experiments on sequential creativity in intellectual property. </w:t>
      </w:r>
      <w:r w:rsidRPr="00C34D98">
        <w:rPr>
          <w:i/>
          <w:color w:val="000000" w:themeColor="text1"/>
        </w:rPr>
        <w:t>Indiana Law Journal</w:t>
      </w:r>
      <w:r w:rsidRPr="00C34D98">
        <w:rPr>
          <w:color w:val="000000" w:themeColor="text1"/>
        </w:rPr>
        <w:t>, 91 (4), 1251-1307.</w:t>
      </w:r>
    </w:p>
    <w:p w:rsidR="00750BC2" w:rsidRPr="00C34D98" w:rsidRDefault="00750BC2" w:rsidP="00750BC2">
      <w:pPr>
        <w:spacing w:line="360" w:lineRule="auto"/>
        <w:ind w:left="720" w:hanging="720"/>
        <w:jc w:val="both"/>
        <w:rPr>
          <w:color w:val="000000" w:themeColor="text1"/>
        </w:rPr>
      </w:pPr>
      <w:r w:rsidRPr="00C34D98">
        <w:rPr>
          <w:color w:val="000000" w:themeColor="text1"/>
        </w:rPr>
        <w:t xml:space="preserve">Bendoly, E., Croson, R., Goncalves, P. and Schultz, K. 2010. Bodies of knowledge for research in behavioural operations. </w:t>
      </w:r>
      <w:r w:rsidRPr="00C34D98">
        <w:rPr>
          <w:i/>
          <w:color w:val="000000" w:themeColor="text1"/>
        </w:rPr>
        <w:t>Production and Operations Management</w:t>
      </w:r>
      <w:r w:rsidRPr="00C34D98">
        <w:rPr>
          <w:color w:val="000000" w:themeColor="text1"/>
        </w:rPr>
        <w:t>, 19 (4), 434-452.</w:t>
      </w:r>
    </w:p>
    <w:p w:rsidR="00D069A8" w:rsidRPr="00C34D98" w:rsidRDefault="00D069A8" w:rsidP="00D069A8">
      <w:pPr>
        <w:spacing w:line="360" w:lineRule="auto"/>
        <w:ind w:left="720" w:hanging="720"/>
        <w:jc w:val="both"/>
        <w:rPr>
          <w:color w:val="000000" w:themeColor="text1"/>
        </w:rPr>
      </w:pPr>
      <w:r w:rsidRPr="00C34D98">
        <w:rPr>
          <w:color w:val="000000" w:themeColor="text1"/>
        </w:rPr>
        <w:t xml:space="preserve">Bergman, O., Ellingsen, T., Johannesson, M. and Svensson, C. 2010. Anchoring and cognitive ability. </w:t>
      </w:r>
      <w:r w:rsidRPr="00C34D98">
        <w:rPr>
          <w:i/>
          <w:color w:val="000000" w:themeColor="text1"/>
        </w:rPr>
        <w:t>Economics Letters</w:t>
      </w:r>
      <w:r w:rsidRPr="00C34D98">
        <w:rPr>
          <w:color w:val="000000" w:themeColor="text1"/>
        </w:rPr>
        <w:t xml:space="preserve">, 107 (1), 66-68. </w:t>
      </w:r>
    </w:p>
    <w:p w:rsidR="00D069A8" w:rsidRPr="00C34D98" w:rsidRDefault="00D069A8" w:rsidP="00D069A8">
      <w:pPr>
        <w:spacing w:line="360" w:lineRule="auto"/>
        <w:ind w:left="720" w:hanging="720"/>
        <w:jc w:val="both"/>
        <w:rPr>
          <w:color w:val="000000" w:themeColor="text1"/>
        </w:rPr>
      </w:pPr>
      <w:r w:rsidRPr="00C34D98">
        <w:rPr>
          <w:color w:val="000000" w:themeColor="text1"/>
        </w:rPr>
        <w:t xml:space="preserve">Block, R. and Harper, D. 1991. Overconfidence in estimation: Testing the anchoring-and-adjustment hypothesis. </w:t>
      </w:r>
      <w:r w:rsidRPr="00C34D98">
        <w:rPr>
          <w:i/>
          <w:color w:val="000000" w:themeColor="text1"/>
        </w:rPr>
        <w:t>Organizational Behaviour and Human Decision Processes</w:t>
      </w:r>
      <w:r w:rsidRPr="00C34D98">
        <w:rPr>
          <w:color w:val="000000" w:themeColor="text1"/>
        </w:rPr>
        <w:t xml:space="preserve">, 49 (2), 188-207. </w:t>
      </w:r>
    </w:p>
    <w:p w:rsidR="00D069A8" w:rsidRPr="00C34D98" w:rsidRDefault="00D069A8" w:rsidP="00D069A8">
      <w:pPr>
        <w:spacing w:line="360" w:lineRule="auto"/>
        <w:ind w:left="720" w:hanging="720"/>
        <w:jc w:val="both"/>
        <w:rPr>
          <w:color w:val="000000" w:themeColor="text1"/>
        </w:rPr>
      </w:pPr>
      <w:r w:rsidRPr="00C34D98">
        <w:rPr>
          <w:color w:val="000000" w:themeColor="text1"/>
        </w:rPr>
        <w:t xml:space="preserve">Bolton, G. and Katok, E. 2008. Learning by Doing in the Newsvendor Problem: A Laboratory Investigation of the Role of Experience and Feedback. </w:t>
      </w:r>
      <w:r w:rsidRPr="00C34D98">
        <w:rPr>
          <w:i/>
          <w:color w:val="000000" w:themeColor="text1"/>
        </w:rPr>
        <w:t>Manufacturing &amp; Service Operations Management</w:t>
      </w:r>
      <w:r w:rsidRPr="00C34D98">
        <w:rPr>
          <w:color w:val="000000" w:themeColor="text1"/>
        </w:rPr>
        <w:t>, 10 (3), 519 - 538.</w:t>
      </w:r>
    </w:p>
    <w:p w:rsidR="005E1753" w:rsidRDefault="005E1753" w:rsidP="00D069A8">
      <w:pPr>
        <w:spacing w:line="360" w:lineRule="auto"/>
        <w:ind w:left="720" w:hanging="720"/>
        <w:jc w:val="both"/>
        <w:rPr>
          <w:color w:val="000000" w:themeColor="text1"/>
        </w:rPr>
      </w:pPr>
      <w:r>
        <w:rPr>
          <w:color w:val="000000" w:themeColor="text1"/>
        </w:rPr>
        <w:lastRenderedPageBreak/>
        <w:t>Bolton, G</w:t>
      </w:r>
      <w:r w:rsidRPr="005E1753">
        <w:rPr>
          <w:color w:val="000000" w:themeColor="text1"/>
        </w:rPr>
        <w:t>., Ockenfels, A. and Thonemann, U. 2012</w:t>
      </w:r>
      <w:r>
        <w:rPr>
          <w:color w:val="000000" w:themeColor="text1"/>
        </w:rPr>
        <w:t xml:space="preserve">. </w:t>
      </w:r>
      <w:r w:rsidRPr="005E1753">
        <w:rPr>
          <w:color w:val="000000" w:themeColor="text1"/>
        </w:rPr>
        <w:t>Managers and Students as Newsvendors</w:t>
      </w:r>
      <w:r>
        <w:rPr>
          <w:color w:val="000000" w:themeColor="text1"/>
        </w:rPr>
        <w:t xml:space="preserve">. </w:t>
      </w:r>
      <w:r w:rsidRPr="005E1753">
        <w:rPr>
          <w:i/>
          <w:color w:val="000000" w:themeColor="text1"/>
        </w:rPr>
        <w:t>Management Science</w:t>
      </w:r>
      <w:r w:rsidRPr="005E1753">
        <w:rPr>
          <w:color w:val="000000" w:themeColor="text1"/>
        </w:rPr>
        <w:t>, 58(12), 2225–2233.</w:t>
      </w:r>
    </w:p>
    <w:p w:rsidR="00D069A8" w:rsidRPr="00C34D98" w:rsidRDefault="00D069A8" w:rsidP="00D069A8">
      <w:pPr>
        <w:spacing w:line="360" w:lineRule="auto"/>
        <w:ind w:left="720" w:hanging="720"/>
        <w:jc w:val="both"/>
        <w:rPr>
          <w:color w:val="000000" w:themeColor="text1"/>
        </w:rPr>
      </w:pPr>
      <w:r w:rsidRPr="00C34D98">
        <w:rPr>
          <w:color w:val="000000" w:themeColor="text1"/>
        </w:rPr>
        <w:t xml:space="preserve">Brandstatter, H., 1993. Should economic psychology care about personality structure?. </w:t>
      </w:r>
      <w:r w:rsidRPr="00C34D98">
        <w:rPr>
          <w:i/>
          <w:color w:val="000000" w:themeColor="text1"/>
        </w:rPr>
        <w:t>Journal of Economic Psychology</w:t>
      </w:r>
      <w:r w:rsidRPr="00C34D98">
        <w:rPr>
          <w:color w:val="000000" w:themeColor="text1"/>
        </w:rPr>
        <w:t>, 14(3), 473-494.</w:t>
      </w:r>
    </w:p>
    <w:p w:rsidR="00EF4079" w:rsidRPr="00C34D98" w:rsidRDefault="00EF4079" w:rsidP="00EF4079">
      <w:pPr>
        <w:spacing w:line="360" w:lineRule="auto"/>
        <w:ind w:left="720" w:hanging="720"/>
        <w:jc w:val="both"/>
        <w:rPr>
          <w:color w:val="000000" w:themeColor="text1"/>
        </w:rPr>
      </w:pPr>
      <w:r w:rsidRPr="00C34D98">
        <w:rPr>
          <w:color w:val="000000" w:themeColor="text1"/>
        </w:rPr>
        <w:t xml:space="preserve">Busenitz, L. and Barney, J. 1997. Differences between entrepreneurs and managers in large organizations: biases and heuristics in strategic decision-making. </w:t>
      </w:r>
      <w:r w:rsidRPr="00C34D98">
        <w:rPr>
          <w:i/>
          <w:iCs/>
          <w:color w:val="000000" w:themeColor="text1"/>
        </w:rPr>
        <w:t xml:space="preserve">Journal of Business Venturing, </w:t>
      </w:r>
      <w:r w:rsidRPr="00C34D98">
        <w:rPr>
          <w:color w:val="000000" w:themeColor="text1"/>
        </w:rPr>
        <w:t>12 (1), 9-30.</w:t>
      </w:r>
    </w:p>
    <w:p w:rsidR="00EF4079" w:rsidRPr="00C34D98" w:rsidRDefault="00EF4079" w:rsidP="00EF4079">
      <w:pPr>
        <w:spacing w:line="360" w:lineRule="auto"/>
        <w:ind w:left="720" w:hanging="720"/>
        <w:jc w:val="both"/>
        <w:rPr>
          <w:color w:val="000000" w:themeColor="text1"/>
        </w:rPr>
      </w:pPr>
      <w:r w:rsidRPr="00C34D98">
        <w:rPr>
          <w:color w:val="000000" w:themeColor="text1"/>
        </w:rPr>
        <w:t xml:space="preserve">Busse, C. 2010. A procedure for secondary data analysis: innovation by logistics service providers. </w:t>
      </w:r>
      <w:r w:rsidRPr="00C34D98">
        <w:rPr>
          <w:i/>
          <w:color w:val="000000" w:themeColor="text1"/>
        </w:rPr>
        <w:t>Journal of Supply Chain Management</w:t>
      </w:r>
      <w:r w:rsidRPr="00C34D98">
        <w:rPr>
          <w:color w:val="000000" w:themeColor="text1"/>
        </w:rPr>
        <w:t xml:space="preserve">, 46(4), 44-58. </w:t>
      </w:r>
    </w:p>
    <w:p w:rsidR="00EF4079" w:rsidRPr="00C34D98" w:rsidRDefault="00EF4079" w:rsidP="00EF4079">
      <w:pPr>
        <w:spacing w:line="360" w:lineRule="auto"/>
        <w:ind w:left="720" w:hanging="720"/>
        <w:jc w:val="both"/>
        <w:rPr>
          <w:color w:val="000000" w:themeColor="text1"/>
        </w:rPr>
      </w:pPr>
      <w:r w:rsidRPr="00C34D98">
        <w:rPr>
          <w:color w:val="000000" w:themeColor="text1"/>
        </w:rPr>
        <w:t xml:space="preserve">Cadwallader, S., Jarvis, C., Bitner, M. and Ostrom, A., 2010. Frontline employee motivation to participate in service innovation implementation. </w:t>
      </w:r>
      <w:r w:rsidRPr="00C34D98">
        <w:rPr>
          <w:i/>
          <w:color w:val="000000" w:themeColor="text1"/>
        </w:rPr>
        <w:t>Journal of the Academy of Marketing Science</w:t>
      </w:r>
      <w:r w:rsidRPr="00C34D98">
        <w:rPr>
          <w:color w:val="000000" w:themeColor="text1"/>
        </w:rPr>
        <w:t>, 38(2), 219-239.</w:t>
      </w:r>
    </w:p>
    <w:p w:rsidR="00EF4079" w:rsidRPr="00C34D98" w:rsidRDefault="00EF4079" w:rsidP="00EF4079">
      <w:pPr>
        <w:spacing w:line="360" w:lineRule="auto"/>
        <w:ind w:left="720" w:hanging="720"/>
        <w:jc w:val="both"/>
        <w:rPr>
          <w:color w:val="000000" w:themeColor="text1"/>
        </w:rPr>
      </w:pPr>
      <w:r w:rsidRPr="00C34D98">
        <w:rPr>
          <w:color w:val="000000" w:themeColor="text1"/>
        </w:rPr>
        <w:t xml:space="preserve">Caniato, F., Golini, R. and Kalchschmidt, M. 2012. The effect of global supply chain configuration on the relationship between supply chain improvement programs and performance. </w:t>
      </w:r>
      <w:r w:rsidRPr="00C34D98">
        <w:rPr>
          <w:i/>
          <w:color w:val="000000" w:themeColor="text1"/>
        </w:rPr>
        <w:t>International Journal of Production Economics</w:t>
      </w:r>
      <w:r w:rsidRPr="00C34D98">
        <w:rPr>
          <w:color w:val="000000" w:themeColor="text1"/>
        </w:rPr>
        <w:t>, 143 (2), 285-293.</w:t>
      </w:r>
    </w:p>
    <w:p w:rsidR="00EF4079" w:rsidRPr="00C34D98" w:rsidRDefault="00EF4079" w:rsidP="00EF4079">
      <w:pPr>
        <w:spacing w:line="360" w:lineRule="auto"/>
        <w:ind w:left="720" w:hanging="720"/>
        <w:jc w:val="both"/>
        <w:rPr>
          <w:color w:val="000000" w:themeColor="text1"/>
        </w:rPr>
      </w:pPr>
      <w:r w:rsidRPr="00C34D98">
        <w:rPr>
          <w:color w:val="000000" w:themeColor="text1"/>
        </w:rPr>
        <w:t xml:space="preserve">Caputo, A. 2014. Relevant information, personality traits and anchoring effect. </w:t>
      </w:r>
      <w:r w:rsidRPr="00C34D98">
        <w:rPr>
          <w:i/>
          <w:color w:val="000000" w:themeColor="text1"/>
        </w:rPr>
        <w:t>International Journal of Management and Decision Making</w:t>
      </w:r>
      <w:r w:rsidRPr="00C34D98">
        <w:rPr>
          <w:color w:val="000000" w:themeColor="text1"/>
        </w:rPr>
        <w:t>, 13 (1), 62-76.</w:t>
      </w:r>
    </w:p>
    <w:p w:rsidR="00EF4079" w:rsidRPr="00C34D98" w:rsidRDefault="00EF4079" w:rsidP="00EF4079">
      <w:pPr>
        <w:spacing w:line="360" w:lineRule="auto"/>
        <w:ind w:left="720" w:hanging="720"/>
        <w:jc w:val="both"/>
        <w:rPr>
          <w:color w:val="000000" w:themeColor="text1"/>
        </w:rPr>
      </w:pPr>
      <w:r w:rsidRPr="00C34D98">
        <w:rPr>
          <w:color w:val="000000" w:themeColor="text1"/>
        </w:rPr>
        <w:t xml:space="preserve">Chapman, G. and Johnson, E. 1994. The limits of anchoring. </w:t>
      </w:r>
      <w:r w:rsidRPr="00C34D98">
        <w:rPr>
          <w:i/>
          <w:color w:val="000000" w:themeColor="text1"/>
        </w:rPr>
        <w:t>Journal of Behavioural Decision Making</w:t>
      </w:r>
      <w:r w:rsidRPr="00C34D98">
        <w:rPr>
          <w:color w:val="000000" w:themeColor="text1"/>
        </w:rPr>
        <w:t xml:space="preserve">, 7 (4), 223-242. </w:t>
      </w:r>
    </w:p>
    <w:p w:rsidR="00EF4079" w:rsidRPr="00C34D98" w:rsidRDefault="00EF4079" w:rsidP="00EF4079">
      <w:pPr>
        <w:spacing w:line="360" w:lineRule="auto"/>
        <w:ind w:left="720" w:hanging="720"/>
        <w:jc w:val="both"/>
        <w:rPr>
          <w:color w:val="000000" w:themeColor="text1"/>
        </w:rPr>
      </w:pPr>
      <w:r w:rsidRPr="00C34D98">
        <w:rPr>
          <w:color w:val="000000" w:themeColor="text1"/>
        </w:rPr>
        <w:t xml:space="preserve">Cheek, N. and Norem, J. 2017. Holistic thinkers anchor less: Exploring the roles of self-construal and thinking styles in anchoring susceptibility. </w:t>
      </w:r>
      <w:r w:rsidRPr="00C34D98">
        <w:rPr>
          <w:i/>
          <w:color w:val="000000" w:themeColor="text1"/>
        </w:rPr>
        <w:t>Personality and Individual Differences</w:t>
      </w:r>
      <w:r w:rsidRPr="00C34D98">
        <w:rPr>
          <w:color w:val="000000" w:themeColor="text1"/>
        </w:rPr>
        <w:t xml:space="preserve">, 115, 174-176. </w:t>
      </w:r>
    </w:p>
    <w:p w:rsidR="00EF4079" w:rsidRPr="00C34D98" w:rsidRDefault="00EF4079" w:rsidP="00EF4079">
      <w:pPr>
        <w:spacing w:line="360" w:lineRule="auto"/>
        <w:ind w:left="720" w:hanging="720"/>
        <w:jc w:val="both"/>
        <w:rPr>
          <w:color w:val="000000" w:themeColor="text1"/>
        </w:rPr>
      </w:pPr>
      <w:r w:rsidRPr="00C34D98">
        <w:rPr>
          <w:color w:val="000000" w:themeColor="text1"/>
        </w:rPr>
        <w:t xml:space="preserve">Chow, S. 2014. Many meanings of ‘heuristic’. </w:t>
      </w:r>
      <w:r w:rsidRPr="00C34D98">
        <w:rPr>
          <w:i/>
          <w:color w:val="000000" w:themeColor="text1"/>
        </w:rPr>
        <w:t>British Journal for the Philosophy of Science</w:t>
      </w:r>
      <w:r w:rsidRPr="00C34D98">
        <w:rPr>
          <w:color w:val="000000" w:themeColor="text1"/>
        </w:rPr>
        <w:t>, 66 (4), 977-1016.</w:t>
      </w:r>
    </w:p>
    <w:p w:rsidR="00E92F0E" w:rsidRPr="00C34D98" w:rsidRDefault="00E92F0E" w:rsidP="00E92F0E">
      <w:pPr>
        <w:spacing w:line="360" w:lineRule="auto"/>
        <w:ind w:left="720" w:hanging="720"/>
        <w:jc w:val="both"/>
        <w:rPr>
          <w:color w:val="000000" w:themeColor="text1"/>
        </w:rPr>
      </w:pPr>
      <w:r w:rsidRPr="00C34D98">
        <w:rPr>
          <w:color w:val="000000" w:themeColor="text1"/>
        </w:rPr>
        <w:t xml:space="preserve">Coelho, F. and Augusto, M., 2010. Job characteristics and the creativity of frontline service employees. </w:t>
      </w:r>
      <w:r w:rsidRPr="00C34D98">
        <w:rPr>
          <w:i/>
          <w:color w:val="000000" w:themeColor="text1"/>
        </w:rPr>
        <w:t>Journal of Service Research,</w:t>
      </w:r>
      <w:r w:rsidRPr="00C34D98">
        <w:rPr>
          <w:color w:val="000000" w:themeColor="text1"/>
        </w:rPr>
        <w:t xml:space="preserve"> 13(4), 426-438.</w:t>
      </w:r>
    </w:p>
    <w:p w:rsidR="009A5946" w:rsidRPr="009A5946" w:rsidRDefault="009A5946" w:rsidP="00E92F0E">
      <w:pPr>
        <w:spacing w:line="360" w:lineRule="auto"/>
        <w:ind w:left="720" w:hanging="720"/>
        <w:jc w:val="both"/>
        <w:rPr>
          <w:color w:val="000000" w:themeColor="text1"/>
        </w:rPr>
      </w:pPr>
      <w:r>
        <w:rPr>
          <w:color w:val="000000" w:themeColor="text1"/>
        </w:rPr>
        <w:t xml:space="preserve">Croson, R., Donohue, K., Katok, E. and Sterman, J. 2014. Order Stability in Supply Chains. </w:t>
      </w:r>
      <w:r>
        <w:rPr>
          <w:i/>
          <w:color w:val="000000" w:themeColor="text1"/>
        </w:rPr>
        <w:t>Production and Operations Management</w:t>
      </w:r>
      <w:r>
        <w:rPr>
          <w:color w:val="000000" w:themeColor="text1"/>
        </w:rPr>
        <w:t>, 23(2), 176-196.</w:t>
      </w:r>
    </w:p>
    <w:p w:rsidR="00A72128" w:rsidRDefault="00A72128" w:rsidP="00E92F0E">
      <w:pPr>
        <w:spacing w:line="360" w:lineRule="auto"/>
        <w:ind w:left="720" w:hanging="720"/>
        <w:jc w:val="both"/>
        <w:rPr>
          <w:color w:val="000000" w:themeColor="text1"/>
        </w:rPr>
      </w:pPr>
      <w:r w:rsidRPr="00A72128">
        <w:rPr>
          <w:color w:val="000000" w:themeColor="text1"/>
        </w:rPr>
        <w:t xml:space="preserve">Cui, Y., Chen, L., Chen, J., Gavirneni, S. and Wang, Q. 2013. Chinese perspective on newsvendor bias: An exploratory note. </w:t>
      </w:r>
      <w:r w:rsidRPr="00A72128">
        <w:rPr>
          <w:i/>
          <w:color w:val="000000" w:themeColor="text1"/>
        </w:rPr>
        <w:t>Journal of Operations Management</w:t>
      </w:r>
      <w:r w:rsidRPr="00A72128">
        <w:rPr>
          <w:color w:val="000000" w:themeColor="text1"/>
        </w:rPr>
        <w:t xml:space="preserve">, 31(1-2), 93-97. </w:t>
      </w:r>
    </w:p>
    <w:p w:rsidR="00E92F0E" w:rsidRPr="00C34D98" w:rsidRDefault="00E92F0E" w:rsidP="00E92F0E">
      <w:pPr>
        <w:spacing w:line="360" w:lineRule="auto"/>
        <w:ind w:left="720" w:hanging="720"/>
        <w:jc w:val="both"/>
        <w:rPr>
          <w:color w:val="000000" w:themeColor="text1"/>
        </w:rPr>
      </w:pPr>
      <w:r w:rsidRPr="00C34D98">
        <w:rPr>
          <w:color w:val="000000" w:themeColor="text1"/>
        </w:rPr>
        <w:t xml:space="preserve">Czerwonka, M. 2017. Anchoring and Overconfidence: The Influence of Culture and Cognitive Abilities. </w:t>
      </w:r>
      <w:r w:rsidRPr="00C34D98">
        <w:rPr>
          <w:i/>
          <w:color w:val="000000" w:themeColor="text1"/>
        </w:rPr>
        <w:t>International Journal of Management and Economics</w:t>
      </w:r>
      <w:r w:rsidRPr="00C34D98">
        <w:rPr>
          <w:color w:val="000000" w:themeColor="text1"/>
        </w:rPr>
        <w:t>, 53 (3), 48-66.</w:t>
      </w:r>
    </w:p>
    <w:p w:rsidR="00607EBD" w:rsidRDefault="00607EBD" w:rsidP="00607EBD">
      <w:pPr>
        <w:spacing w:line="360" w:lineRule="auto"/>
        <w:ind w:left="720" w:hanging="720"/>
        <w:jc w:val="both"/>
        <w:rPr>
          <w:color w:val="000000" w:themeColor="text1"/>
        </w:rPr>
      </w:pPr>
      <w:r w:rsidRPr="00254D53">
        <w:rPr>
          <w:color w:val="000000" w:themeColor="text1"/>
        </w:rPr>
        <w:t>Dane, E. and Pratt, M. 2007</w:t>
      </w:r>
      <w:r>
        <w:rPr>
          <w:color w:val="000000" w:themeColor="text1"/>
        </w:rPr>
        <w:t xml:space="preserve">. </w:t>
      </w:r>
      <w:r w:rsidRPr="00254D53">
        <w:rPr>
          <w:color w:val="000000" w:themeColor="text1"/>
        </w:rPr>
        <w:t>Exploring Intuition and its Role in Managerial</w:t>
      </w:r>
      <w:r>
        <w:rPr>
          <w:color w:val="000000" w:themeColor="text1"/>
        </w:rPr>
        <w:t xml:space="preserve"> </w:t>
      </w:r>
      <w:r w:rsidRPr="00254D53">
        <w:rPr>
          <w:color w:val="000000" w:themeColor="text1"/>
        </w:rPr>
        <w:t>Decision Making</w:t>
      </w:r>
      <w:r>
        <w:rPr>
          <w:color w:val="000000" w:themeColor="text1"/>
        </w:rPr>
        <w:t xml:space="preserve">. </w:t>
      </w:r>
      <w:r w:rsidRPr="00254D53">
        <w:rPr>
          <w:i/>
          <w:color w:val="000000" w:themeColor="text1"/>
        </w:rPr>
        <w:t>Academy of Management Review</w:t>
      </w:r>
      <w:r>
        <w:rPr>
          <w:color w:val="000000" w:themeColor="text1"/>
        </w:rPr>
        <w:t>,</w:t>
      </w:r>
      <w:r w:rsidRPr="00254D53">
        <w:rPr>
          <w:color w:val="000000" w:themeColor="text1"/>
        </w:rPr>
        <w:t xml:space="preserve"> 32(1)</w:t>
      </w:r>
      <w:r>
        <w:rPr>
          <w:color w:val="000000" w:themeColor="text1"/>
        </w:rPr>
        <w:t>,</w:t>
      </w:r>
      <w:r w:rsidRPr="00254D53">
        <w:rPr>
          <w:color w:val="000000" w:themeColor="text1"/>
        </w:rPr>
        <w:t xml:space="preserve"> 33–54.</w:t>
      </w:r>
    </w:p>
    <w:p w:rsidR="00607EBD" w:rsidRPr="00C34D98" w:rsidRDefault="00607EBD" w:rsidP="00607EBD">
      <w:pPr>
        <w:spacing w:line="360" w:lineRule="auto"/>
        <w:ind w:left="720" w:hanging="720"/>
        <w:jc w:val="both"/>
        <w:rPr>
          <w:color w:val="000000" w:themeColor="text1"/>
        </w:rPr>
      </w:pPr>
      <w:r w:rsidRPr="00C34D98">
        <w:rPr>
          <w:color w:val="000000" w:themeColor="text1"/>
        </w:rPr>
        <w:lastRenderedPageBreak/>
        <w:t xml:space="preserve">Dawson, I., Johnson, J., and Luke, M. 2014. Using risk model judgements to better understand perceptions of synergistic risks. </w:t>
      </w:r>
      <w:r w:rsidRPr="00C34D98">
        <w:rPr>
          <w:i/>
          <w:iCs/>
          <w:color w:val="000000" w:themeColor="text1"/>
        </w:rPr>
        <w:t>British Journal of Psychology</w:t>
      </w:r>
      <w:r w:rsidRPr="00C34D98">
        <w:rPr>
          <w:color w:val="000000" w:themeColor="text1"/>
        </w:rPr>
        <w:t>, 105 (4), 581-603.</w:t>
      </w:r>
    </w:p>
    <w:p w:rsidR="00607EBD" w:rsidRPr="00C34D98" w:rsidRDefault="00607EBD" w:rsidP="00607EBD">
      <w:pPr>
        <w:spacing w:line="360" w:lineRule="auto"/>
        <w:ind w:left="720" w:hanging="720"/>
        <w:jc w:val="both"/>
        <w:rPr>
          <w:color w:val="000000" w:themeColor="text1"/>
        </w:rPr>
      </w:pPr>
      <w:r w:rsidRPr="00C34D98">
        <w:rPr>
          <w:color w:val="000000" w:themeColor="text1"/>
        </w:rPr>
        <w:t xml:space="preserve">Del Campo, C., Pauser, S., Steiner, E. and Vetschera, R. 2016. Decision making styles and the use of heuristics in decision making. </w:t>
      </w:r>
      <w:r w:rsidRPr="00C34D98">
        <w:rPr>
          <w:i/>
          <w:color w:val="000000" w:themeColor="text1"/>
        </w:rPr>
        <w:t>Journal of Business Economics</w:t>
      </w:r>
      <w:r w:rsidRPr="00C34D98">
        <w:rPr>
          <w:color w:val="000000" w:themeColor="text1"/>
        </w:rPr>
        <w:t xml:space="preserve">, 86 (4), 389-412. </w:t>
      </w:r>
    </w:p>
    <w:p w:rsidR="00607EBD" w:rsidRDefault="00607EBD" w:rsidP="00607EBD">
      <w:pPr>
        <w:spacing w:line="360" w:lineRule="auto"/>
        <w:ind w:left="720" w:hanging="720"/>
        <w:jc w:val="both"/>
        <w:rPr>
          <w:color w:val="000000" w:themeColor="text1"/>
        </w:rPr>
      </w:pPr>
      <w:r w:rsidRPr="00EF4B3C">
        <w:rPr>
          <w:color w:val="000000" w:themeColor="text1"/>
        </w:rPr>
        <w:t>Denes-Raj, V. and Epstein, S. 1994</w:t>
      </w:r>
      <w:r>
        <w:rPr>
          <w:color w:val="000000" w:themeColor="text1"/>
        </w:rPr>
        <w:t xml:space="preserve">. </w:t>
      </w:r>
      <w:r w:rsidRPr="00EF4B3C">
        <w:rPr>
          <w:color w:val="000000" w:themeColor="text1"/>
        </w:rPr>
        <w:t>Conflict between Intuitive and Rational</w:t>
      </w:r>
      <w:r>
        <w:rPr>
          <w:color w:val="000000" w:themeColor="text1"/>
        </w:rPr>
        <w:t xml:space="preserve"> </w:t>
      </w:r>
      <w:r w:rsidRPr="00EF4B3C">
        <w:rPr>
          <w:color w:val="000000" w:themeColor="text1"/>
        </w:rPr>
        <w:t>Processing: When People Behave against their Better Judgment</w:t>
      </w:r>
      <w:r>
        <w:rPr>
          <w:color w:val="000000" w:themeColor="text1"/>
        </w:rPr>
        <w:t xml:space="preserve">. </w:t>
      </w:r>
      <w:r w:rsidRPr="00EF4B3C">
        <w:rPr>
          <w:i/>
          <w:color w:val="000000" w:themeColor="text1"/>
        </w:rPr>
        <w:t>Journal of Personality and Social Psychology</w:t>
      </w:r>
      <w:r>
        <w:rPr>
          <w:color w:val="000000" w:themeColor="text1"/>
        </w:rPr>
        <w:t xml:space="preserve">, </w:t>
      </w:r>
      <w:r w:rsidRPr="00EF4B3C">
        <w:rPr>
          <w:color w:val="000000" w:themeColor="text1"/>
        </w:rPr>
        <w:t>66(5)</w:t>
      </w:r>
      <w:r>
        <w:rPr>
          <w:color w:val="000000" w:themeColor="text1"/>
        </w:rPr>
        <w:t xml:space="preserve">, </w:t>
      </w:r>
      <w:r w:rsidRPr="00EF4B3C">
        <w:rPr>
          <w:color w:val="000000" w:themeColor="text1"/>
        </w:rPr>
        <w:t>819</w:t>
      </w:r>
      <w:r>
        <w:rPr>
          <w:color w:val="000000" w:themeColor="text1"/>
        </w:rPr>
        <w:t xml:space="preserve"> - 8</w:t>
      </w:r>
      <w:r w:rsidRPr="00EF4B3C">
        <w:rPr>
          <w:color w:val="000000" w:themeColor="text1"/>
        </w:rPr>
        <w:t>29.</w:t>
      </w:r>
    </w:p>
    <w:p w:rsidR="00607EBD" w:rsidRPr="00C34D98" w:rsidRDefault="00607EBD" w:rsidP="00607EBD">
      <w:pPr>
        <w:spacing w:line="360" w:lineRule="auto"/>
        <w:ind w:left="720" w:hanging="720"/>
        <w:jc w:val="both"/>
        <w:rPr>
          <w:color w:val="000000" w:themeColor="text1"/>
        </w:rPr>
      </w:pPr>
      <w:r w:rsidRPr="00C34D98">
        <w:rPr>
          <w:color w:val="000000" w:themeColor="text1"/>
        </w:rPr>
        <w:t xml:space="preserve">Doukas, J. and Petmezas, D. 2007. Acquisitions, Overconfident Managers and Self-attribution Bias. </w:t>
      </w:r>
      <w:r w:rsidRPr="00C34D98">
        <w:rPr>
          <w:i/>
          <w:color w:val="000000" w:themeColor="text1"/>
        </w:rPr>
        <w:t>European Financial Management</w:t>
      </w:r>
      <w:r w:rsidRPr="00C34D98">
        <w:rPr>
          <w:color w:val="000000" w:themeColor="text1"/>
        </w:rPr>
        <w:t xml:space="preserve">, 13 (3), 531-577. </w:t>
      </w:r>
    </w:p>
    <w:p w:rsidR="00D039E8" w:rsidRPr="00C34D98" w:rsidRDefault="00D039E8" w:rsidP="00D039E8">
      <w:pPr>
        <w:spacing w:line="360" w:lineRule="auto"/>
        <w:ind w:left="720" w:hanging="720"/>
        <w:jc w:val="both"/>
        <w:rPr>
          <w:color w:val="000000" w:themeColor="text1"/>
        </w:rPr>
      </w:pPr>
      <w:r w:rsidRPr="00C34D98">
        <w:rPr>
          <w:color w:val="000000" w:themeColor="text1"/>
        </w:rPr>
        <w:t xml:space="preserve">Doyle, J. 1997. Judging Cumulative Risk. </w:t>
      </w:r>
      <w:r w:rsidRPr="00C34D98">
        <w:rPr>
          <w:i/>
          <w:color w:val="000000" w:themeColor="text1"/>
        </w:rPr>
        <w:t>Journal of Applied Social Psychology</w:t>
      </w:r>
      <w:r w:rsidRPr="00C34D98">
        <w:rPr>
          <w:color w:val="000000" w:themeColor="text1"/>
        </w:rPr>
        <w:t xml:space="preserve">, 27 (6), 500-524. </w:t>
      </w:r>
    </w:p>
    <w:p w:rsidR="00D039E8" w:rsidRDefault="00D039E8" w:rsidP="00D039E8">
      <w:pPr>
        <w:spacing w:line="360" w:lineRule="auto"/>
        <w:ind w:left="720" w:hanging="720"/>
        <w:jc w:val="both"/>
        <w:rPr>
          <w:color w:val="000000" w:themeColor="text1"/>
        </w:rPr>
      </w:pPr>
      <w:r w:rsidRPr="00DA1B99">
        <w:rPr>
          <w:color w:val="000000" w:themeColor="text1"/>
        </w:rPr>
        <w:t xml:space="preserve">Edward, R. and Schoemaker, P. 1992. Managing overconfidence. </w:t>
      </w:r>
      <w:r w:rsidRPr="00DA1B99">
        <w:rPr>
          <w:i/>
          <w:color w:val="000000" w:themeColor="text1"/>
        </w:rPr>
        <w:t>Sloan Management Review</w:t>
      </w:r>
      <w:r w:rsidRPr="00DA1B99">
        <w:rPr>
          <w:color w:val="000000" w:themeColor="text1"/>
        </w:rPr>
        <w:t>, 33(2), 7-17.</w:t>
      </w:r>
    </w:p>
    <w:p w:rsidR="00D039E8" w:rsidRPr="00C34D98" w:rsidRDefault="00D039E8" w:rsidP="00D039E8">
      <w:pPr>
        <w:spacing w:line="360" w:lineRule="auto"/>
        <w:ind w:left="720" w:hanging="720"/>
        <w:jc w:val="both"/>
        <w:rPr>
          <w:color w:val="000000" w:themeColor="text1"/>
        </w:rPr>
      </w:pPr>
      <w:r w:rsidRPr="00C34D98">
        <w:rPr>
          <w:color w:val="000000" w:themeColor="text1"/>
        </w:rPr>
        <w:t xml:space="preserve">Ellinger, A., Keller, S. and Baş, A. 2010. The empowerment of frontline service staff in 3PL companies. </w:t>
      </w:r>
      <w:r w:rsidRPr="00C34D98">
        <w:rPr>
          <w:i/>
          <w:color w:val="000000" w:themeColor="text1"/>
        </w:rPr>
        <w:t>Journal of Business Logistics</w:t>
      </w:r>
      <w:r w:rsidRPr="00C34D98">
        <w:rPr>
          <w:color w:val="000000" w:themeColor="text1"/>
        </w:rPr>
        <w:t>, 31(1), 79-98.</w:t>
      </w:r>
    </w:p>
    <w:p w:rsidR="00D039E8" w:rsidRPr="00C34D98" w:rsidRDefault="00D039E8" w:rsidP="00D039E8">
      <w:pPr>
        <w:spacing w:line="360" w:lineRule="auto"/>
        <w:ind w:left="720" w:hanging="720"/>
        <w:jc w:val="both"/>
        <w:rPr>
          <w:color w:val="000000" w:themeColor="text1"/>
        </w:rPr>
      </w:pPr>
      <w:r w:rsidRPr="00C34D98">
        <w:rPr>
          <w:color w:val="000000" w:themeColor="text1"/>
        </w:rPr>
        <w:t xml:space="preserve">Eloranta, E., Lehtonen, A. and Tanskanen, K. 1995, Fast, flexible and cooperative supply chains – key issues for the survival of European industry, </w:t>
      </w:r>
      <w:r w:rsidRPr="00C34D98">
        <w:rPr>
          <w:i/>
          <w:color w:val="000000" w:themeColor="text1"/>
        </w:rPr>
        <w:t>Production Planning &amp; Control</w:t>
      </w:r>
      <w:r w:rsidRPr="00C34D98">
        <w:rPr>
          <w:color w:val="000000" w:themeColor="text1"/>
        </w:rPr>
        <w:t xml:space="preserve">, 6 (3), 238-245. </w:t>
      </w:r>
    </w:p>
    <w:p w:rsidR="00A6351E" w:rsidRPr="00C34D98" w:rsidRDefault="00A6351E" w:rsidP="00A6351E">
      <w:pPr>
        <w:spacing w:line="360" w:lineRule="auto"/>
        <w:ind w:left="720" w:hanging="720"/>
        <w:jc w:val="both"/>
        <w:rPr>
          <w:color w:val="000000" w:themeColor="text1"/>
        </w:rPr>
      </w:pPr>
      <w:r w:rsidRPr="00C34D98">
        <w:rPr>
          <w:color w:val="000000" w:themeColor="text1"/>
        </w:rPr>
        <w:t xml:space="preserve">Englich, B. and Soder, K., 2009. Moody experts - How mood and expertise influence judgmental anchoring. </w:t>
      </w:r>
      <w:r w:rsidRPr="00C34D98">
        <w:rPr>
          <w:i/>
          <w:color w:val="000000" w:themeColor="text1"/>
        </w:rPr>
        <w:t>Judgment and Decision Making</w:t>
      </w:r>
      <w:r w:rsidRPr="00C34D98">
        <w:rPr>
          <w:color w:val="000000" w:themeColor="text1"/>
        </w:rPr>
        <w:t>, 4(1), 41-50.</w:t>
      </w:r>
    </w:p>
    <w:p w:rsidR="00A6351E" w:rsidRPr="00C34D98" w:rsidRDefault="00A6351E" w:rsidP="00A6351E">
      <w:pPr>
        <w:spacing w:line="360" w:lineRule="auto"/>
        <w:ind w:left="720" w:hanging="720"/>
        <w:jc w:val="both"/>
        <w:rPr>
          <w:color w:val="000000" w:themeColor="text1"/>
        </w:rPr>
      </w:pPr>
      <w:r w:rsidRPr="00C34D98">
        <w:rPr>
          <w:color w:val="000000" w:themeColor="text1"/>
        </w:rPr>
        <w:t xml:space="preserve">Englich, B., Mussweiler, T. and Strack, F. 2006. Playing Dice with Criminal Sentences: The Influence of Irrelevant Anchors on Experts’ Judicial Decision Making. </w:t>
      </w:r>
      <w:r w:rsidRPr="00C34D98">
        <w:rPr>
          <w:i/>
          <w:color w:val="000000" w:themeColor="text1"/>
        </w:rPr>
        <w:t>Personality and Social Psychology Bulletin</w:t>
      </w:r>
      <w:r w:rsidRPr="00C34D98">
        <w:rPr>
          <w:color w:val="000000" w:themeColor="text1"/>
        </w:rPr>
        <w:t xml:space="preserve">, 32 (2), 188-200. </w:t>
      </w:r>
    </w:p>
    <w:p w:rsidR="00A6351E" w:rsidRPr="00C34D98" w:rsidRDefault="00A6351E" w:rsidP="00A6351E">
      <w:pPr>
        <w:spacing w:line="360" w:lineRule="auto"/>
        <w:ind w:left="720" w:hanging="720"/>
        <w:jc w:val="both"/>
        <w:rPr>
          <w:color w:val="000000" w:themeColor="text1"/>
        </w:rPr>
      </w:pPr>
      <w:r w:rsidRPr="00C34D98">
        <w:rPr>
          <w:color w:val="000000" w:themeColor="text1"/>
        </w:rPr>
        <w:t xml:space="preserve">Epley, N. and Gilovich, T. 2005. When effortful thinking influences judgmental anchoring: differential effects of forewarning and incentives on self-generated and externally provided anchors. </w:t>
      </w:r>
      <w:r w:rsidRPr="00C34D98">
        <w:rPr>
          <w:i/>
          <w:color w:val="000000" w:themeColor="text1"/>
        </w:rPr>
        <w:t>Journal of Behavioural Decision Making</w:t>
      </w:r>
      <w:r w:rsidRPr="00C34D98">
        <w:rPr>
          <w:color w:val="000000" w:themeColor="text1"/>
        </w:rPr>
        <w:t xml:space="preserve">, 18 (3), 199-212. </w:t>
      </w:r>
    </w:p>
    <w:p w:rsidR="00A6351E" w:rsidRPr="00C34D98" w:rsidRDefault="00A6351E" w:rsidP="00A6351E">
      <w:pPr>
        <w:spacing w:line="360" w:lineRule="auto"/>
        <w:ind w:left="720" w:hanging="720"/>
        <w:jc w:val="both"/>
        <w:rPr>
          <w:color w:val="000000" w:themeColor="text1"/>
        </w:rPr>
      </w:pPr>
      <w:r w:rsidRPr="00C34D98">
        <w:rPr>
          <w:color w:val="000000" w:themeColor="text1"/>
        </w:rPr>
        <w:t xml:space="preserve">Erceg, N. and Galic, Z. 2014. Overconfidence bias and conjunction fallacy in predicting outcomes of football matches. </w:t>
      </w:r>
      <w:r w:rsidRPr="00C34D98">
        <w:rPr>
          <w:i/>
          <w:color w:val="000000" w:themeColor="text1"/>
        </w:rPr>
        <w:t>Journal of Economic Psychology</w:t>
      </w:r>
      <w:r w:rsidRPr="00C34D98">
        <w:rPr>
          <w:color w:val="000000" w:themeColor="text1"/>
        </w:rPr>
        <w:t xml:space="preserve">, 42, 52-62. </w:t>
      </w:r>
    </w:p>
    <w:p w:rsidR="00A6351E" w:rsidRPr="00C34D98" w:rsidRDefault="00A6351E" w:rsidP="00A6351E">
      <w:pPr>
        <w:spacing w:line="360" w:lineRule="auto"/>
        <w:ind w:left="720" w:hanging="720"/>
        <w:jc w:val="both"/>
        <w:rPr>
          <w:color w:val="000000" w:themeColor="text1"/>
        </w:rPr>
      </w:pPr>
      <w:r w:rsidRPr="00C34D98">
        <w:rPr>
          <w:color w:val="000000" w:themeColor="text1"/>
        </w:rPr>
        <w:t xml:space="preserve">Essex, A., Subramanian, N. and Gunasekaran, A. 2016. The relationship between supply chain manager capabilities and performance: empirical evidence. </w:t>
      </w:r>
      <w:r w:rsidRPr="00C34D98">
        <w:rPr>
          <w:i/>
          <w:color w:val="000000" w:themeColor="text1"/>
        </w:rPr>
        <w:t>Production Planning &amp; Control</w:t>
      </w:r>
      <w:r w:rsidRPr="00C34D98">
        <w:rPr>
          <w:color w:val="000000" w:themeColor="text1"/>
        </w:rPr>
        <w:t>, 27 (3), 198-211.</w:t>
      </w:r>
    </w:p>
    <w:p w:rsidR="00A6351E" w:rsidRPr="00C34D98" w:rsidRDefault="00A6351E" w:rsidP="00A6351E">
      <w:pPr>
        <w:spacing w:line="360" w:lineRule="auto"/>
        <w:ind w:left="720" w:hanging="720"/>
        <w:jc w:val="both"/>
        <w:rPr>
          <w:color w:val="000000" w:themeColor="text1"/>
        </w:rPr>
      </w:pPr>
      <w:r w:rsidRPr="00C34D98">
        <w:rPr>
          <w:color w:val="000000" w:themeColor="text1"/>
        </w:rPr>
        <w:t xml:space="preserve">Evans, J., 2006. The heuristic-analytic theory of reasoning: Extension and evaluation. </w:t>
      </w:r>
      <w:r w:rsidRPr="00C34D98">
        <w:rPr>
          <w:i/>
          <w:color w:val="000000" w:themeColor="text1"/>
        </w:rPr>
        <w:t>Psychonomic Bulletin &amp; Review</w:t>
      </w:r>
      <w:r w:rsidRPr="00C34D98">
        <w:rPr>
          <w:color w:val="000000" w:themeColor="text1"/>
        </w:rPr>
        <w:t xml:space="preserve">, 13(3), 378-395. </w:t>
      </w:r>
    </w:p>
    <w:p w:rsidR="00FE607C" w:rsidRDefault="00FE607C" w:rsidP="00A6351E">
      <w:pPr>
        <w:spacing w:line="360" w:lineRule="auto"/>
        <w:ind w:left="720" w:hanging="720"/>
        <w:jc w:val="both"/>
        <w:rPr>
          <w:color w:val="000000" w:themeColor="text1"/>
        </w:rPr>
      </w:pPr>
      <w:r w:rsidRPr="00FE607C">
        <w:rPr>
          <w:color w:val="000000" w:themeColor="text1"/>
        </w:rPr>
        <w:t xml:space="preserve">Feng, T., Keller, L. and Zheng, X. 2011. Decision Making in the Newsvendor Problem: A Cross-National Laboratory Study, </w:t>
      </w:r>
      <w:r w:rsidRPr="00FE607C">
        <w:rPr>
          <w:i/>
          <w:color w:val="000000" w:themeColor="text1"/>
        </w:rPr>
        <w:t>Omega</w:t>
      </w:r>
      <w:r w:rsidRPr="00FE607C">
        <w:rPr>
          <w:color w:val="000000" w:themeColor="text1"/>
        </w:rPr>
        <w:t>, 39(1), 41–50.</w:t>
      </w:r>
    </w:p>
    <w:p w:rsidR="00A517C3" w:rsidRPr="005C182A" w:rsidRDefault="00A517C3" w:rsidP="00A6351E">
      <w:pPr>
        <w:spacing w:line="360" w:lineRule="auto"/>
        <w:ind w:left="720" w:hanging="720"/>
        <w:jc w:val="both"/>
        <w:rPr>
          <w:color w:val="000000" w:themeColor="text1"/>
        </w:rPr>
      </w:pPr>
      <w:r>
        <w:rPr>
          <w:color w:val="000000" w:themeColor="text1"/>
        </w:rPr>
        <w:lastRenderedPageBreak/>
        <w:t xml:space="preserve">Fildes, R., </w:t>
      </w:r>
      <w:r w:rsidR="00824D74">
        <w:rPr>
          <w:color w:val="000000" w:themeColor="text1"/>
        </w:rPr>
        <w:t>Goodwin, P., Lawrence, M</w:t>
      </w:r>
      <w:r w:rsidR="005C182A">
        <w:rPr>
          <w:color w:val="000000" w:themeColor="text1"/>
        </w:rPr>
        <w:t xml:space="preserve">. and Nikolopolous, K. 2009. Effective Forecasting and Judgmental Adjustments: an empirical evaluation and strategies for improvement in supply-chain planning. </w:t>
      </w:r>
      <w:r w:rsidR="005C182A">
        <w:rPr>
          <w:i/>
          <w:color w:val="000000" w:themeColor="text1"/>
        </w:rPr>
        <w:t>International Journal of Forecasting</w:t>
      </w:r>
      <w:r w:rsidR="005C182A">
        <w:rPr>
          <w:color w:val="000000" w:themeColor="text1"/>
        </w:rPr>
        <w:t>, 25(1), 3-23.</w:t>
      </w:r>
    </w:p>
    <w:p w:rsidR="00A6351E" w:rsidRPr="00C34D98" w:rsidRDefault="00A6351E" w:rsidP="00A6351E">
      <w:pPr>
        <w:spacing w:line="360" w:lineRule="auto"/>
        <w:ind w:left="720" w:hanging="720"/>
        <w:jc w:val="both"/>
        <w:rPr>
          <w:color w:val="000000" w:themeColor="text1"/>
        </w:rPr>
      </w:pPr>
      <w:r w:rsidRPr="00C34D98">
        <w:rPr>
          <w:color w:val="000000" w:themeColor="text1"/>
        </w:rPr>
        <w:t xml:space="preserve">Fine, C. 2000. Clockspeed - based strategies for supply chain design, </w:t>
      </w:r>
      <w:r w:rsidRPr="00C34D98">
        <w:rPr>
          <w:i/>
          <w:color w:val="000000" w:themeColor="text1"/>
        </w:rPr>
        <w:t>Production and Operations Management</w:t>
      </w:r>
      <w:r w:rsidRPr="00C34D98">
        <w:rPr>
          <w:color w:val="000000" w:themeColor="text1"/>
        </w:rPr>
        <w:t>, 9(3), 213-221.</w:t>
      </w:r>
    </w:p>
    <w:p w:rsidR="00C53F5F" w:rsidRPr="00C34D98" w:rsidRDefault="00C53F5F" w:rsidP="00C53F5F">
      <w:pPr>
        <w:spacing w:line="360" w:lineRule="auto"/>
        <w:ind w:left="720" w:hanging="720"/>
        <w:jc w:val="both"/>
        <w:rPr>
          <w:color w:val="000000" w:themeColor="text1"/>
        </w:rPr>
      </w:pPr>
      <w:r w:rsidRPr="00C34D98">
        <w:rPr>
          <w:color w:val="000000" w:themeColor="text1"/>
        </w:rPr>
        <w:t xml:space="preserve">Fischhoff, B., Slovic, P. and Lichtenstein, S. 1977. Knowing with certainty: The appropriateness of extreme confidence. </w:t>
      </w:r>
      <w:r w:rsidRPr="00C34D98">
        <w:rPr>
          <w:i/>
          <w:color w:val="000000" w:themeColor="text1"/>
        </w:rPr>
        <w:t>Journal of Experimental Psychology: Human Perception and Performance,</w:t>
      </w:r>
      <w:r w:rsidRPr="00C34D98">
        <w:rPr>
          <w:color w:val="000000" w:themeColor="text1"/>
        </w:rPr>
        <w:t xml:space="preserve"> 3 (4), 552-564. </w:t>
      </w:r>
    </w:p>
    <w:p w:rsidR="00C53F5F" w:rsidRPr="00C34D98" w:rsidRDefault="00C53F5F" w:rsidP="00C53F5F">
      <w:pPr>
        <w:spacing w:line="360" w:lineRule="auto"/>
        <w:ind w:left="720" w:hanging="720"/>
        <w:jc w:val="both"/>
        <w:rPr>
          <w:color w:val="000000" w:themeColor="text1"/>
        </w:rPr>
      </w:pPr>
      <w:r w:rsidRPr="00C34D98">
        <w:rPr>
          <w:color w:val="000000" w:themeColor="text1"/>
        </w:rPr>
        <w:t xml:space="preserve">Flynn, B., Koufteros, X. and Lu, G. 2016. On theory in supply chain uncertainty and its implications for supply chain integration. </w:t>
      </w:r>
      <w:r w:rsidRPr="00C34D98">
        <w:rPr>
          <w:i/>
          <w:color w:val="000000" w:themeColor="text1"/>
        </w:rPr>
        <w:t>Journal of Supply Chain Management</w:t>
      </w:r>
      <w:r w:rsidRPr="00C34D98">
        <w:rPr>
          <w:color w:val="000000" w:themeColor="text1"/>
        </w:rPr>
        <w:t xml:space="preserve">, 52 (3), 3-27. </w:t>
      </w:r>
    </w:p>
    <w:p w:rsidR="00E97A39" w:rsidRDefault="00E97A39" w:rsidP="00E97A39">
      <w:pPr>
        <w:spacing w:line="360" w:lineRule="auto"/>
        <w:ind w:left="720" w:hanging="720"/>
        <w:jc w:val="both"/>
        <w:rPr>
          <w:color w:val="000000" w:themeColor="text1"/>
        </w:rPr>
      </w:pPr>
      <w:r w:rsidRPr="00E97A39">
        <w:rPr>
          <w:color w:val="000000" w:themeColor="text1"/>
        </w:rPr>
        <w:t>Frederick, S. 2005. Cognitive reflection and decision making.</w:t>
      </w:r>
      <w:r>
        <w:rPr>
          <w:color w:val="000000" w:themeColor="text1"/>
        </w:rPr>
        <w:t xml:space="preserve"> </w:t>
      </w:r>
      <w:r w:rsidRPr="00E97A39">
        <w:rPr>
          <w:i/>
          <w:color w:val="000000" w:themeColor="text1"/>
        </w:rPr>
        <w:t>Journal of Economic Perspectives</w:t>
      </w:r>
      <w:r w:rsidRPr="00E97A39">
        <w:rPr>
          <w:color w:val="000000" w:themeColor="text1"/>
        </w:rPr>
        <w:t xml:space="preserve">, 19, 25–42. </w:t>
      </w:r>
    </w:p>
    <w:p w:rsidR="00C53F5F" w:rsidRPr="00C34D98" w:rsidRDefault="00C53F5F" w:rsidP="00E97A39">
      <w:pPr>
        <w:spacing w:line="360" w:lineRule="auto"/>
        <w:ind w:left="720" w:hanging="720"/>
        <w:jc w:val="both"/>
        <w:rPr>
          <w:color w:val="000000" w:themeColor="text1"/>
        </w:rPr>
      </w:pPr>
      <w:r w:rsidRPr="00C34D98">
        <w:rPr>
          <w:color w:val="000000" w:themeColor="text1"/>
        </w:rPr>
        <w:t xml:space="preserve">Furnham, A. and Boo, H. 2011. A Literature Review of the Anchoring Effect. </w:t>
      </w:r>
      <w:r w:rsidRPr="00C34D98">
        <w:rPr>
          <w:i/>
          <w:color w:val="000000" w:themeColor="text1"/>
        </w:rPr>
        <w:t>Journal of Socio-Economics</w:t>
      </w:r>
      <w:r w:rsidRPr="00C34D98">
        <w:rPr>
          <w:color w:val="000000" w:themeColor="text1"/>
        </w:rPr>
        <w:t xml:space="preserve">, 40 (1), 35-42. </w:t>
      </w:r>
    </w:p>
    <w:p w:rsidR="00B313CB" w:rsidRPr="00C34D98" w:rsidRDefault="00B313CB" w:rsidP="00B313CB">
      <w:pPr>
        <w:spacing w:line="360" w:lineRule="auto"/>
        <w:ind w:left="720" w:hanging="720"/>
        <w:jc w:val="both"/>
        <w:rPr>
          <w:color w:val="000000" w:themeColor="text1"/>
        </w:rPr>
      </w:pPr>
      <w:r w:rsidRPr="00C34D98">
        <w:rPr>
          <w:color w:val="000000" w:themeColor="text1"/>
        </w:rPr>
        <w:t xml:space="preserve">Gadde, L. and Wynstra, F. 2018. Purchasing management and the role of uncertainty. </w:t>
      </w:r>
      <w:r w:rsidRPr="00C34D98">
        <w:rPr>
          <w:i/>
          <w:color w:val="000000" w:themeColor="text1"/>
        </w:rPr>
        <w:t>IMP Journal</w:t>
      </w:r>
      <w:r w:rsidRPr="00C34D98">
        <w:rPr>
          <w:color w:val="000000" w:themeColor="text1"/>
        </w:rPr>
        <w:t>, 12 (1), 127-147.</w:t>
      </w:r>
    </w:p>
    <w:p w:rsidR="00B313CB" w:rsidRDefault="00B313CB" w:rsidP="00B313CB">
      <w:pPr>
        <w:spacing w:line="360" w:lineRule="auto"/>
        <w:ind w:left="720" w:hanging="720"/>
        <w:jc w:val="both"/>
        <w:rPr>
          <w:color w:val="000000" w:themeColor="text1"/>
        </w:rPr>
      </w:pPr>
      <w:r w:rsidRPr="00597027">
        <w:rPr>
          <w:color w:val="000000" w:themeColor="text1"/>
        </w:rPr>
        <w:t>Gigerenzer, G. 2004</w:t>
      </w:r>
      <w:r>
        <w:rPr>
          <w:color w:val="000000" w:themeColor="text1"/>
        </w:rPr>
        <w:t xml:space="preserve">. </w:t>
      </w:r>
      <w:r w:rsidRPr="00597027">
        <w:rPr>
          <w:i/>
          <w:color w:val="000000" w:themeColor="text1"/>
        </w:rPr>
        <w:t>Fast and Frugal Heuristics: The Tools of Bounded Rationality</w:t>
      </w:r>
      <w:r w:rsidRPr="00597027">
        <w:rPr>
          <w:color w:val="000000" w:themeColor="text1"/>
        </w:rPr>
        <w:t>.</w:t>
      </w:r>
      <w:r>
        <w:rPr>
          <w:color w:val="000000" w:themeColor="text1"/>
        </w:rPr>
        <w:t xml:space="preserve"> </w:t>
      </w:r>
      <w:r w:rsidRPr="00597027">
        <w:rPr>
          <w:color w:val="000000" w:themeColor="text1"/>
        </w:rPr>
        <w:t>Oxford: Blackwell Publishing.</w:t>
      </w:r>
    </w:p>
    <w:p w:rsidR="00B313CB" w:rsidRPr="00C34D98" w:rsidRDefault="00B313CB" w:rsidP="00B313CB">
      <w:pPr>
        <w:spacing w:line="360" w:lineRule="auto"/>
        <w:ind w:left="720" w:hanging="720"/>
        <w:jc w:val="both"/>
        <w:rPr>
          <w:color w:val="000000" w:themeColor="text1"/>
        </w:rPr>
      </w:pPr>
      <w:r w:rsidRPr="00C34D98">
        <w:rPr>
          <w:color w:val="000000" w:themeColor="text1"/>
        </w:rPr>
        <w:t xml:space="preserve">Gilovich, T., Griffin, D. and Kahneman, D. eds. 2002. </w:t>
      </w:r>
      <w:r w:rsidRPr="00C34D98">
        <w:rPr>
          <w:i/>
          <w:color w:val="000000" w:themeColor="text1"/>
        </w:rPr>
        <w:t>Heuristics and biases: The psychology of intuitive judgment</w:t>
      </w:r>
      <w:r w:rsidRPr="00C34D98">
        <w:rPr>
          <w:color w:val="000000" w:themeColor="text1"/>
        </w:rPr>
        <w:t>, Cambridge University Press.</w:t>
      </w:r>
    </w:p>
    <w:p w:rsidR="00B313CB" w:rsidRDefault="00B313CB" w:rsidP="00B313CB">
      <w:pPr>
        <w:spacing w:line="360" w:lineRule="auto"/>
        <w:ind w:left="720" w:hanging="720"/>
        <w:jc w:val="both"/>
        <w:rPr>
          <w:color w:val="000000" w:themeColor="text1"/>
        </w:rPr>
      </w:pPr>
      <w:r>
        <w:rPr>
          <w:color w:val="000000" w:themeColor="text1"/>
        </w:rPr>
        <w:t xml:space="preserve">Goll, I. and Rasheed, A. </w:t>
      </w:r>
      <w:r w:rsidRPr="00CC4141">
        <w:rPr>
          <w:color w:val="000000" w:themeColor="text1"/>
        </w:rPr>
        <w:t>1997</w:t>
      </w:r>
      <w:r>
        <w:rPr>
          <w:color w:val="000000" w:themeColor="text1"/>
        </w:rPr>
        <w:t xml:space="preserve">. </w:t>
      </w:r>
      <w:r w:rsidRPr="00CC4141">
        <w:rPr>
          <w:color w:val="000000" w:themeColor="text1"/>
        </w:rPr>
        <w:t>Rational Decision-Making and Firm Performance: The</w:t>
      </w:r>
      <w:r>
        <w:rPr>
          <w:color w:val="000000" w:themeColor="text1"/>
        </w:rPr>
        <w:t xml:space="preserve"> </w:t>
      </w:r>
      <w:r w:rsidRPr="00CC4141">
        <w:rPr>
          <w:color w:val="000000" w:themeColor="text1"/>
        </w:rPr>
        <w:t>Moderating Role of Environment</w:t>
      </w:r>
      <w:r>
        <w:rPr>
          <w:color w:val="000000" w:themeColor="text1"/>
        </w:rPr>
        <w:t xml:space="preserve">. </w:t>
      </w:r>
      <w:r w:rsidRPr="00CC4141">
        <w:rPr>
          <w:i/>
          <w:color w:val="000000" w:themeColor="text1"/>
        </w:rPr>
        <w:t>Strategic Management Journal</w:t>
      </w:r>
      <w:r>
        <w:rPr>
          <w:color w:val="000000" w:themeColor="text1"/>
        </w:rPr>
        <w:t>,</w:t>
      </w:r>
      <w:r w:rsidRPr="00CC4141">
        <w:rPr>
          <w:color w:val="000000" w:themeColor="text1"/>
        </w:rPr>
        <w:t xml:space="preserve"> 18(7)</w:t>
      </w:r>
      <w:r>
        <w:rPr>
          <w:color w:val="000000" w:themeColor="text1"/>
        </w:rPr>
        <w:t>,</w:t>
      </w:r>
      <w:r w:rsidRPr="00CC4141">
        <w:rPr>
          <w:color w:val="000000" w:themeColor="text1"/>
        </w:rPr>
        <w:t xml:space="preserve"> 583</w:t>
      </w:r>
      <w:r>
        <w:rPr>
          <w:color w:val="000000" w:themeColor="text1"/>
        </w:rPr>
        <w:t>-5</w:t>
      </w:r>
      <w:r w:rsidRPr="00CC4141">
        <w:rPr>
          <w:color w:val="000000" w:themeColor="text1"/>
        </w:rPr>
        <w:t>91.</w:t>
      </w:r>
    </w:p>
    <w:p w:rsidR="00B313CB" w:rsidRPr="00C34D98" w:rsidRDefault="00B313CB" w:rsidP="00B313CB">
      <w:pPr>
        <w:spacing w:line="360" w:lineRule="auto"/>
        <w:ind w:left="720" w:hanging="720"/>
        <w:jc w:val="both"/>
        <w:rPr>
          <w:color w:val="000000" w:themeColor="text1"/>
        </w:rPr>
      </w:pPr>
      <w:r w:rsidRPr="00C34D98">
        <w:rPr>
          <w:color w:val="000000" w:themeColor="text1"/>
        </w:rPr>
        <w:t xml:space="preserve">Goncalves, P. and Castaneda, J. 2018. Stockpiling supplies for disaster response: an experimental analysis of prepositioning biases. </w:t>
      </w:r>
      <w:r w:rsidRPr="00C34D98">
        <w:rPr>
          <w:i/>
          <w:color w:val="000000" w:themeColor="text1"/>
        </w:rPr>
        <w:t>Production Planning &amp; Control</w:t>
      </w:r>
      <w:r w:rsidRPr="00C34D98">
        <w:rPr>
          <w:color w:val="000000" w:themeColor="text1"/>
        </w:rPr>
        <w:t>, 29 (14), 1207-1219.</w:t>
      </w:r>
    </w:p>
    <w:p w:rsidR="00B313CB" w:rsidRPr="00C34D98" w:rsidRDefault="00B313CB" w:rsidP="00B313CB">
      <w:pPr>
        <w:spacing w:line="360" w:lineRule="auto"/>
        <w:ind w:left="720" w:hanging="720"/>
        <w:jc w:val="both"/>
        <w:rPr>
          <w:color w:val="000000" w:themeColor="text1"/>
        </w:rPr>
      </w:pPr>
      <w:r w:rsidRPr="00C34D98">
        <w:rPr>
          <w:color w:val="000000" w:themeColor="text1"/>
        </w:rPr>
        <w:t xml:space="preserve">Goodwin, P. and Wright, G. 2014. </w:t>
      </w:r>
      <w:r w:rsidRPr="00C34D98">
        <w:rPr>
          <w:i/>
          <w:color w:val="000000" w:themeColor="text1"/>
        </w:rPr>
        <w:t>Decision analysis for management judgment</w:t>
      </w:r>
      <w:r w:rsidRPr="00C34D98">
        <w:rPr>
          <w:color w:val="000000" w:themeColor="text1"/>
        </w:rPr>
        <w:t>. Pub. Wiley, 5</w:t>
      </w:r>
      <w:r w:rsidRPr="00C34D98">
        <w:rPr>
          <w:color w:val="000000" w:themeColor="text1"/>
          <w:vertAlign w:val="superscript"/>
        </w:rPr>
        <w:t>th</w:t>
      </w:r>
      <w:r w:rsidRPr="00C34D98">
        <w:rPr>
          <w:color w:val="000000" w:themeColor="text1"/>
        </w:rPr>
        <w:t xml:space="preserve"> edition.</w:t>
      </w:r>
    </w:p>
    <w:p w:rsidR="00B313CB" w:rsidRPr="00C34D98" w:rsidRDefault="00B313CB" w:rsidP="00B313CB">
      <w:pPr>
        <w:spacing w:line="360" w:lineRule="auto"/>
        <w:ind w:left="720" w:hanging="720"/>
        <w:jc w:val="both"/>
        <w:rPr>
          <w:color w:val="000000" w:themeColor="text1"/>
        </w:rPr>
      </w:pPr>
      <w:r w:rsidRPr="00C34D98">
        <w:rPr>
          <w:color w:val="000000" w:themeColor="text1"/>
        </w:rPr>
        <w:t xml:space="preserve">Govindan, K., Fattahi, M. and Keyvanshokooh, E. 2017. Supply chain network design under uncertainty: A comprehensive review and future research directions. </w:t>
      </w:r>
      <w:r w:rsidRPr="00C34D98">
        <w:rPr>
          <w:i/>
          <w:color w:val="000000" w:themeColor="text1"/>
        </w:rPr>
        <w:t>European Journal of Operational Research</w:t>
      </w:r>
      <w:r w:rsidRPr="00C34D98">
        <w:rPr>
          <w:color w:val="000000" w:themeColor="text1"/>
        </w:rPr>
        <w:t xml:space="preserve">, 263, 1, 108-141. </w:t>
      </w:r>
    </w:p>
    <w:p w:rsidR="00B313CB" w:rsidRPr="00C34D98" w:rsidRDefault="00B313CB" w:rsidP="00B313CB">
      <w:pPr>
        <w:spacing w:line="360" w:lineRule="auto"/>
        <w:ind w:left="720" w:hanging="720"/>
        <w:jc w:val="both"/>
        <w:rPr>
          <w:color w:val="000000" w:themeColor="text1"/>
        </w:rPr>
      </w:pPr>
      <w:r w:rsidRPr="00C34D98">
        <w:rPr>
          <w:color w:val="000000" w:themeColor="text1"/>
        </w:rPr>
        <w:t xml:space="preserve">Greenberg, M., Hass, C.N., Cox, A. and Lowrie, K. 2012. Ten most accomplishments in risk analysis, 1980-2010. </w:t>
      </w:r>
      <w:r w:rsidRPr="00C34D98">
        <w:rPr>
          <w:i/>
          <w:iCs/>
          <w:color w:val="000000" w:themeColor="text1"/>
        </w:rPr>
        <w:t xml:space="preserve">Risk Analysis: An International Journal, </w:t>
      </w:r>
      <w:r w:rsidRPr="00C34D98">
        <w:rPr>
          <w:color w:val="000000" w:themeColor="text1"/>
        </w:rPr>
        <w:t>32 (5), 771-781.</w:t>
      </w:r>
    </w:p>
    <w:p w:rsidR="00B313CB" w:rsidRPr="00C34D98" w:rsidRDefault="00B313CB" w:rsidP="00B313CB">
      <w:pPr>
        <w:spacing w:line="360" w:lineRule="auto"/>
        <w:ind w:left="720" w:hanging="720"/>
        <w:jc w:val="both"/>
        <w:rPr>
          <w:color w:val="000000" w:themeColor="text1"/>
        </w:rPr>
      </w:pPr>
      <w:r w:rsidRPr="00C34D98">
        <w:rPr>
          <w:color w:val="000000" w:themeColor="text1"/>
        </w:rPr>
        <w:t xml:space="preserve">Hallin, C., Øgaard, T. and Marnburg, E. 2009. Exploring qualitative differences in knowledge sources: a study of hierarchical effects of judgmental confidence and accuracy performance, </w:t>
      </w:r>
      <w:r w:rsidRPr="00C34D98">
        <w:rPr>
          <w:i/>
          <w:color w:val="000000" w:themeColor="text1"/>
        </w:rPr>
        <w:t>International Journal of Knowledge Management</w:t>
      </w:r>
      <w:r w:rsidRPr="00C34D98">
        <w:rPr>
          <w:color w:val="000000" w:themeColor="text1"/>
        </w:rPr>
        <w:t>, 5 (4), 1-25.</w:t>
      </w:r>
    </w:p>
    <w:p w:rsidR="005B2C89" w:rsidRDefault="005B2C89" w:rsidP="00B313CB">
      <w:pPr>
        <w:spacing w:line="360" w:lineRule="auto"/>
        <w:ind w:left="720" w:hanging="720"/>
        <w:jc w:val="both"/>
        <w:rPr>
          <w:color w:val="000000" w:themeColor="text1"/>
        </w:rPr>
      </w:pPr>
      <w:r w:rsidRPr="005B2C89">
        <w:rPr>
          <w:color w:val="000000" w:themeColor="text1"/>
        </w:rPr>
        <w:lastRenderedPageBreak/>
        <w:t xml:space="preserve">Hansson, P., Juslin, P., </w:t>
      </w:r>
      <w:r>
        <w:rPr>
          <w:color w:val="000000" w:themeColor="text1"/>
        </w:rPr>
        <w:t>and</w:t>
      </w:r>
      <w:r w:rsidRPr="005B2C89">
        <w:rPr>
          <w:color w:val="000000" w:themeColor="text1"/>
        </w:rPr>
        <w:t xml:space="preserve"> Winman, A. 2008. The role of short-term memory capacity and task experience for overconfidence in judgment under uncertainty. </w:t>
      </w:r>
      <w:r w:rsidRPr="005B2C89">
        <w:rPr>
          <w:i/>
          <w:color w:val="000000" w:themeColor="text1"/>
        </w:rPr>
        <w:t>Journal of Experimental Psychology: Learning, Memory, and Cognition</w:t>
      </w:r>
      <w:r w:rsidRPr="005B2C89">
        <w:rPr>
          <w:color w:val="000000" w:themeColor="text1"/>
        </w:rPr>
        <w:t xml:space="preserve">, 34(5), 1027-1042. </w:t>
      </w:r>
    </w:p>
    <w:p w:rsidR="00B313CB" w:rsidRPr="00C34D98" w:rsidRDefault="00B313CB" w:rsidP="00B313CB">
      <w:pPr>
        <w:spacing w:line="360" w:lineRule="auto"/>
        <w:ind w:left="720" w:hanging="720"/>
        <w:jc w:val="both"/>
        <w:rPr>
          <w:color w:val="000000" w:themeColor="text1"/>
        </w:rPr>
      </w:pPr>
      <w:r w:rsidRPr="00C34D98">
        <w:rPr>
          <w:color w:val="000000" w:themeColor="text1"/>
        </w:rPr>
        <w:t xml:space="preserve">Hoffman, M. and Burks, S. 2017. </w:t>
      </w:r>
      <w:r w:rsidRPr="00C34D98">
        <w:rPr>
          <w:i/>
          <w:color w:val="000000" w:themeColor="text1"/>
        </w:rPr>
        <w:t>Worker overconfidence: Field evidence and implications for employee turnover and returns from training</w:t>
      </w:r>
      <w:r w:rsidRPr="00C34D98">
        <w:rPr>
          <w:color w:val="000000" w:themeColor="text1"/>
        </w:rPr>
        <w:t xml:space="preserve"> (No. w23240). National Bureau of Economic Research.</w:t>
      </w:r>
    </w:p>
    <w:p w:rsidR="009A20D3" w:rsidRPr="00C34D98" w:rsidRDefault="009A20D3" w:rsidP="009A20D3">
      <w:pPr>
        <w:spacing w:line="360" w:lineRule="auto"/>
        <w:ind w:left="720" w:hanging="720"/>
        <w:jc w:val="both"/>
        <w:rPr>
          <w:color w:val="000000" w:themeColor="text1"/>
        </w:rPr>
      </w:pPr>
      <w:r w:rsidRPr="00C34D98">
        <w:rPr>
          <w:color w:val="000000" w:themeColor="text1"/>
        </w:rPr>
        <w:t xml:space="preserve">Jeng, S., 2018. Enhancing the creativity of frontline employees: The effects of job complexity and customer orientation. </w:t>
      </w:r>
      <w:r w:rsidRPr="00C34D98">
        <w:rPr>
          <w:i/>
          <w:color w:val="000000" w:themeColor="text1"/>
        </w:rPr>
        <w:t>International Journal of Logistics Management</w:t>
      </w:r>
      <w:r w:rsidRPr="00C34D98">
        <w:rPr>
          <w:color w:val="000000" w:themeColor="text1"/>
        </w:rPr>
        <w:t>, 29(1), 387-408.</w:t>
      </w:r>
    </w:p>
    <w:p w:rsidR="009A20D3" w:rsidRPr="00C34D98" w:rsidRDefault="009A20D3" w:rsidP="009A20D3">
      <w:pPr>
        <w:spacing w:line="360" w:lineRule="auto"/>
        <w:ind w:left="720" w:hanging="720"/>
        <w:jc w:val="both"/>
        <w:rPr>
          <w:color w:val="000000" w:themeColor="text1"/>
        </w:rPr>
      </w:pPr>
      <w:r w:rsidRPr="00C34D98">
        <w:rPr>
          <w:color w:val="000000" w:themeColor="text1"/>
        </w:rPr>
        <w:t xml:space="preserve">Ji, L. and Kaulius, M. 2013. Judgement and Decision Making across Cultures. </w:t>
      </w:r>
      <w:r w:rsidRPr="00C34D98">
        <w:rPr>
          <w:i/>
          <w:color w:val="000000" w:themeColor="text1"/>
        </w:rPr>
        <w:t>Advances in Psychological Science</w:t>
      </w:r>
      <w:r w:rsidRPr="00C34D98">
        <w:rPr>
          <w:color w:val="000000" w:themeColor="text1"/>
        </w:rPr>
        <w:t>, 21 (3), 381-388.</w:t>
      </w:r>
    </w:p>
    <w:p w:rsidR="009B63B8" w:rsidRDefault="009B63B8" w:rsidP="009B63B8">
      <w:pPr>
        <w:spacing w:line="360" w:lineRule="auto"/>
        <w:ind w:left="720" w:hanging="720"/>
        <w:jc w:val="both"/>
        <w:rPr>
          <w:color w:val="000000" w:themeColor="text1"/>
        </w:rPr>
      </w:pPr>
      <w:r w:rsidRPr="009B63B8">
        <w:rPr>
          <w:color w:val="000000" w:themeColor="text1"/>
        </w:rPr>
        <w:t xml:space="preserve">Kahneman, D. 2011. </w:t>
      </w:r>
      <w:r w:rsidRPr="009B63B8">
        <w:rPr>
          <w:i/>
          <w:color w:val="000000" w:themeColor="text1"/>
        </w:rPr>
        <w:t>Thinking, Fast and Slow</w:t>
      </w:r>
      <w:r w:rsidRPr="009B63B8">
        <w:rPr>
          <w:color w:val="000000" w:themeColor="text1"/>
        </w:rPr>
        <w:t>. Farrar, Straus and</w:t>
      </w:r>
      <w:r>
        <w:rPr>
          <w:color w:val="000000" w:themeColor="text1"/>
        </w:rPr>
        <w:t xml:space="preserve"> </w:t>
      </w:r>
      <w:r w:rsidRPr="009B63B8">
        <w:rPr>
          <w:color w:val="000000" w:themeColor="text1"/>
        </w:rPr>
        <w:t xml:space="preserve">Giroux, New York, NY. </w:t>
      </w:r>
    </w:p>
    <w:p w:rsidR="009A20D3" w:rsidRPr="00C34D98" w:rsidRDefault="009A20D3" w:rsidP="009B63B8">
      <w:pPr>
        <w:spacing w:line="360" w:lineRule="auto"/>
        <w:ind w:left="720" w:hanging="720"/>
        <w:jc w:val="both"/>
        <w:rPr>
          <w:color w:val="000000" w:themeColor="text1"/>
        </w:rPr>
      </w:pPr>
      <w:r w:rsidRPr="00C34D98">
        <w:rPr>
          <w:color w:val="000000" w:themeColor="text1"/>
        </w:rPr>
        <w:t xml:space="preserve">Kang, M. and Park, M. 2019. Employees’ judgment and decision making in the banking industry: The perspective of heuristics and biases. </w:t>
      </w:r>
      <w:r w:rsidRPr="00C34D98">
        <w:rPr>
          <w:i/>
          <w:color w:val="000000" w:themeColor="text1"/>
        </w:rPr>
        <w:t>International Journal of Bank Marketing</w:t>
      </w:r>
      <w:r w:rsidRPr="00C34D98">
        <w:rPr>
          <w:color w:val="000000" w:themeColor="text1"/>
        </w:rPr>
        <w:t xml:space="preserve">, 37(1), 382-400. </w:t>
      </w:r>
    </w:p>
    <w:p w:rsidR="009A20D3" w:rsidRPr="00C34D98" w:rsidRDefault="009A20D3" w:rsidP="009A20D3">
      <w:pPr>
        <w:spacing w:line="360" w:lineRule="auto"/>
        <w:ind w:left="720" w:hanging="720"/>
        <w:jc w:val="both"/>
        <w:rPr>
          <w:color w:val="000000" w:themeColor="text1"/>
        </w:rPr>
      </w:pPr>
      <w:r w:rsidRPr="00C34D98">
        <w:rPr>
          <w:color w:val="000000" w:themeColor="text1"/>
        </w:rPr>
        <w:t xml:space="preserve">Katsikopoulos, K. and Gigerenzer, G. 2013. Behavioural operations management: A blind spot and a research program. </w:t>
      </w:r>
      <w:r w:rsidRPr="00C34D98">
        <w:rPr>
          <w:i/>
          <w:color w:val="000000" w:themeColor="text1"/>
        </w:rPr>
        <w:t>Journal of Supply Chain Management</w:t>
      </w:r>
      <w:r w:rsidRPr="00C34D98">
        <w:rPr>
          <w:color w:val="000000" w:themeColor="text1"/>
        </w:rPr>
        <w:t xml:space="preserve">, 49 (1), 3-7. </w:t>
      </w:r>
    </w:p>
    <w:p w:rsidR="009A20D3" w:rsidRPr="00C34D98" w:rsidRDefault="009A20D3" w:rsidP="009A20D3">
      <w:pPr>
        <w:spacing w:line="360" w:lineRule="auto"/>
        <w:ind w:left="720" w:hanging="720"/>
        <w:jc w:val="both"/>
        <w:rPr>
          <w:color w:val="000000" w:themeColor="text1"/>
        </w:rPr>
      </w:pPr>
      <w:r w:rsidRPr="00C34D98">
        <w:rPr>
          <w:color w:val="000000" w:themeColor="text1"/>
        </w:rPr>
        <w:t xml:space="preserve">Kaufmann, L., Carter, C. and Buhrmann, C. 2012. The impact of individual debiasing efforts on financial decision effectiveness in the supplier selection process. </w:t>
      </w:r>
      <w:r w:rsidRPr="00C34D98">
        <w:rPr>
          <w:i/>
          <w:color w:val="000000" w:themeColor="text1"/>
        </w:rPr>
        <w:t>International Journal of Physical Distribution &amp; Logistics Management</w:t>
      </w:r>
      <w:r w:rsidRPr="00C34D98">
        <w:rPr>
          <w:color w:val="000000" w:themeColor="text1"/>
        </w:rPr>
        <w:t>, 42 (5), 411-433.</w:t>
      </w:r>
    </w:p>
    <w:p w:rsidR="009A20D3" w:rsidRDefault="009A20D3" w:rsidP="009A20D3">
      <w:pPr>
        <w:spacing w:line="360" w:lineRule="auto"/>
        <w:ind w:left="720" w:hanging="720"/>
        <w:jc w:val="both"/>
        <w:rPr>
          <w:color w:val="000000" w:themeColor="text1"/>
        </w:rPr>
      </w:pPr>
      <w:r w:rsidRPr="00345B2A">
        <w:rPr>
          <w:color w:val="000000" w:themeColor="text1"/>
        </w:rPr>
        <w:t xml:space="preserve">Kaustia, M., Alho, E. and Puttonen, V. 2008. How much does expertise reduce behavioral biases? The case of anchoring effects in stock return estimates. </w:t>
      </w:r>
      <w:r w:rsidRPr="00345B2A">
        <w:rPr>
          <w:i/>
          <w:color w:val="000000" w:themeColor="text1"/>
        </w:rPr>
        <w:t>Financial Management</w:t>
      </w:r>
      <w:r w:rsidRPr="00345B2A">
        <w:rPr>
          <w:color w:val="000000" w:themeColor="text1"/>
        </w:rPr>
        <w:t xml:space="preserve">, 37(3), 391-412. </w:t>
      </w:r>
    </w:p>
    <w:p w:rsidR="009A20D3" w:rsidRPr="00C34D98" w:rsidRDefault="009A20D3" w:rsidP="009A20D3">
      <w:pPr>
        <w:spacing w:line="360" w:lineRule="auto"/>
        <w:ind w:left="720" w:hanging="720"/>
        <w:jc w:val="both"/>
        <w:rPr>
          <w:color w:val="000000" w:themeColor="text1"/>
        </w:rPr>
      </w:pPr>
      <w:r w:rsidRPr="00C34D98">
        <w:rPr>
          <w:color w:val="000000" w:themeColor="text1"/>
        </w:rPr>
        <w:t xml:space="preserve">Keller, C., Siegrist, M. and Gutscher, H. 2006. The role of the affect and availability heuristics in risk communication. </w:t>
      </w:r>
      <w:r w:rsidRPr="00C34D98">
        <w:rPr>
          <w:i/>
          <w:color w:val="000000" w:themeColor="text1"/>
        </w:rPr>
        <w:t>Risk Analysis: An International Journal</w:t>
      </w:r>
      <w:r w:rsidRPr="00C34D98">
        <w:rPr>
          <w:color w:val="000000" w:themeColor="text1"/>
        </w:rPr>
        <w:t xml:space="preserve">, 26, 631–639. </w:t>
      </w:r>
    </w:p>
    <w:p w:rsidR="009A20D3" w:rsidRDefault="009A20D3" w:rsidP="009A20D3">
      <w:pPr>
        <w:spacing w:line="360" w:lineRule="auto"/>
        <w:ind w:left="720" w:hanging="720"/>
        <w:jc w:val="both"/>
        <w:rPr>
          <w:color w:val="000000" w:themeColor="text1"/>
        </w:rPr>
      </w:pPr>
      <w:r w:rsidRPr="001A013D">
        <w:rPr>
          <w:color w:val="000000" w:themeColor="text1"/>
        </w:rPr>
        <w:t xml:space="preserve">Ketokivi, M. and Choi, T. 2014. Renaissance of case research as a scientific method. </w:t>
      </w:r>
      <w:r w:rsidRPr="001A013D">
        <w:rPr>
          <w:i/>
          <w:color w:val="000000" w:themeColor="text1"/>
        </w:rPr>
        <w:t xml:space="preserve">Journal of </w:t>
      </w:r>
      <w:r w:rsidRPr="00690D9F">
        <w:rPr>
          <w:i/>
          <w:color w:val="000000" w:themeColor="text1"/>
        </w:rPr>
        <w:t>Operations Management</w:t>
      </w:r>
      <w:r w:rsidRPr="001A013D">
        <w:rPr>
          <w:color w:val="000000" w:themeColor="text1"/>
        </w:rPr>
        <w:t xml:space="preserve">, 32(5), 232-240. </w:t>
      </w:r>
    </w:p>
    <w:p w:rsidR="00D96DCC" w:rsidRPr="00C34D98" w:rsidRDefault="00D96DCC" w:rsidP="00D96DCC">
      <w:pPr>
        <w:spacing w:line="360" w:lineRule="auto"/>
        <w:ind w:left="720" w:hanging="720"/>
        <w:jc w:val="both"/>
        <w:rPr>
          <w:color w:val="000000" w:themeColor="text1"/>
        </w:rPr>
      </w:pPr>
      <w:r w:rsidRPr="00C34D98">
        <w:rPr>
          <w:color w:val="000000" w:themeColor="text1"/>
        </w:rPr>
        <w:t xml:space="preserve">Kitapci, H. and Sezen, B. 2007. The effects of participation in decision making, individual improvement efforts and training on the quality of the product design process. </w:t>
      </w:r>
      <w:r w:rsidRPr="00C34D98">
        <w:rPr>
          <w:i/>
          <w:color w:val="000000" w:themeColor="text1"/>
        </w:rPr>
        <w:t>Production Planning and Control</w:t>
      </w:r>
      <w:r w:rsidRPr="00C34D98">
        <w:rPr>
          <w:color w:val="000000" w:themeColor="text1"/>
        </w:rPr>
        <w:t>, 18(1), 3-8.</w:t>
      </w:r>
    </w:p>
    <w:p w:rsidR="00D96DCC" w:rsidRPr="00C34D98" w:rsidRDefault="00D96DCC" w:rsidP="00D96DCC">
      <w:pPr>
        <w:spacing w:line="360" w:lineRule="auto"/>
        <w:ind w:left="720" w:hanging="720"/>
        <w:jc w:val="both"/>
        <w:rPr>
          <w:bCs/>
          <w:color w:val="000000" w:themeColor="text1"/>
        </w:rPr>
      </w:pPr>
      <w:r w:rsidRPr="00C34D98">
        <w:rPr>
          <w:bCs/>
          <w:color w:val="000000" w:themeColor="text1"/>
        </w:rPr>
        <w:t xml:space="preserve">Lewis, B. and Entwistle, T., 1990. Managing the service encounter: a focus on the employee. </w:t>
      </w:r>
      <w:r w:rsidRPr="00C34D98">
        <w:rPr>
          <w:bCs/>
          <w:i/>
          <w:color w:val="000000" w:themeColor="text1"/>
        </w:rPr>
        <w:t>International Journal of Service Industry Management</w:t>
      </w:r>
      <w:r w:rsidRPr="00C34D98">
        <w:rPr>
          <w:bCs/>
          <w:color w:val="000000" w:themeColor="text1"/>
        </w:rPr>
        <w:t>, 1(3), 41-52.</w:t>
      </w:r>
    </w:p>
    <w:p w:rsidR="00D96DCC" w:rsidRPr="00C34D98" w:rsidRDefault="00D96DCC" w:rsidP="00D96DCC">
      <w:pPr>
        <w:spacing w:line="360" w:lineRule="auto"/>
        <w:ind w:left="720" w:hanging="720"/>
        <w:jc w:val="both"/>
        <w:rPr>
          <w:color w:val="000000" w:themeColor="text1"/>
        </w:rPr>
      </w:pPr>
      <w:r w:rsidRPr="00C34D98">
        <w:rPr>
          <w:color w:val="000000" w:themeColor="text1"/>
        </w:rPr>
        <w:t xml:space="preserve">Liu, W., Wang, D., Tang, O. and Zhu, D. 2018. The impacts of logistics service integrator's overconfidence behaviour on supply chain decision under demand surge. </w:t>
      </w:r>
      <w:r w:rsidRPr="00C34D98">
        <w:rPr>
          <w:i/>
          <w:color w:val="000000" w:themeColor="text1"/>
        </w:rPr>
        <w:t>European Journal of Industrial Engineering</w:t>
      </w:r>
      <w:r w:rsidRPr="00C34D98">
        <w:rPr>
          <w:color w:val="000000" w:themeColor="text1"/>
        </w:rPr>
        <w:t xml:space="preserve">, 12 (4), 558-597. </w:t>
      </w:r>
    </w:p>
    <w:p w:rsidR="00D96DCC" w:rsidRPr="00C34D98" w:rsidRDefault="00D96DCC" w:rsidP="00D96DCC">
      <w:pPr>
        <w:spacing w:line="360" w:lineRule="auto"/>
        <w:ind w:left="720" w:hanging="720"/>
        <w:jc w:val="both"/>
        <w:rPr>
          <w:color w:val="000000" w:themeColor="text1"/>
        </w:rPr>
      </w:pPr>
      <w:r w:rsidRPr="00C34D98">
        <w:rPr>
          <w:color w:val="000000" w:themeColor="text1"/>
        </w:rPr>
        <w:t xml:space="preserve">Malhotra, S., Zhu, P. and Reus, T. 2015. Anchoring on the acquisition premium decisions of others. </w:t>
      </w:r>
      <w:r w:rsidRPr="00C34D98">
        <w:rPr>
          <w:i/>
          <w:color w:val="000000" w:themeColor="text1"/>
        </w:rPr>
        <w:t>Strategic Management Journal</w:t>
      </w:r>
      <w:r w:rsidRPr="00C34D98">
        <w:rPr>
          <w:color w:val="000000" w:themeColor="text1"/>
        </w:rPr>
        <w:t>, 36 (12), 1866-1876.</w:t>
      </w:r>
    </w:p>
    <w:p w:rsidR="00D96DCC" w:rsidRPr="00C34D98" w:rsidRDefault="00D96DCC" w:rsidP="00D96DCC">
      <w:pPr>
        <w:spacing w:line="360" w:lineRule="auto"/>
        <w:ind w:left="720" w:hanging="720"/>
        <w:jc w:val="both"/>
        <w:rPr>
          <w:color w:val="000000" w:themeColor="text1"/>
        </w:rPr>
      </w:pPr>
      <w:r w:rsidRPr="00C34D98">
        <w:rPr>
          <w:color w:val="000000" w:themeColor="text1"/>
        </w:rPr>
        <w:lastRenderedPageBreak/>
        <w:t xml:space="preserve">Marien, H., Custers, R., and Aarts, H. 2018. </w:t>
      </w:r>
      <w:r w:rsidRPr="00C34D98">
        <w:rPr>
          <w:i/>
          <w:color w:val="000000" w:themeColor="text1"/>
        </w:rPr>
        <w:t>Understanding the Formation of Human Habits: An Analysis of Mechanisms of Habitual Behaviour</w:t>
      </w:r>
      <w:r w:rsidRPr="00C34D98">
        <w:rPr>
          <w:color w:val="000000" w:themeColor="text1"/>
        </w:rPr>
        <w:t>, In The Psychology of Habit: Theory, Mechanisms, Change, and Contexts, Verplanken, B (ed), pp. 51-69</w:t>
      </w:r>
    </w:p>
    <w:p w:rsidR="00D96DCC" w:rsidRPr="00C34D98" w:rsidRDefault="00D96DCC" w:rsidP="00D96DCC">
      <w:pPr>
        <w:spacing w:line="360" w:lineRule="auto"/>
        <w:ind w:left="720" w:hanging="720"/>
        <w:jc w:val="both"/>
        <w:rPr>
          <w:color w:val="000000" w:themeColor="text1"/>
        </w:rPr>
      </w:pPr>
      <w:r w:rsidRPr="00C34D98">
        <w:rPr>
          <w:color w:val="000000" w:themeColor="text1"/>
        </w:rPr>
        <w:t xml:space="preserve">Marinova, D., de Ruyter, K., Huang, M., Meuter, M. and Challagalla, G. 2017. Getting smart: Learning from technology-empowered frontline interactions. </w:t>
      </w:r>
      <w:r w:rsidRPr="00C34D98">
        <w:rPr>
          <w:i/>
          <w:color w:val="000000" w:themeColor="text1"/>
        </w:rPr>
        <w:t>Journal of Service Research</w:t>
      </w:r>
      <w:r w:rsidRPr="00C34D98">
        <w:rPr>
          <w:color w:val="000000" w:themeColor="text1"/>
        </w:rPr>
        <w:t>, 20(1), 29-42.</w:t>
      </w:r>
    </w:p>
    <w:p w:rsidR="00993969" w:rsidRPr="00993969" w:rsidRDefault="00993969" w:rsidP="00993969">
      <w:pPr>
        <w:spacing w:line="360" w:lineRule="auto"/>
        <w:ind w:left="720" w:hanging="720"/>
        <w:jc w:val="both"/>
        <w:rPr>
          <w:color w:val="000000" w:themeColor="text1"/>
        </w:rPr>
      </w:pPr>
      <w:r w:rsidRPr="00993969">
        <w:rPr>
          <w:color w:val="000000" w:themeColor="text1"/>
        </w:rPr>
        <w:t xml:space="preserve">Marshall, A., and Ojiako, U. 2015. A realist philosophical understanding of entrepreneurial risk-taking. </w:t>
      </w:r>
      <w:r w:rsidRPr="00993969">
        <w:rPr>
          <w:i/>
          <w:color w:val="000000" w:themeColor="text1"/>
        </w:rPr>
        <w:t>Society and Business Review</w:t>
      </w:r>
      <w:r w:rsidRPr="00993969">
        <w:rPr>
          <w:color w:val="000000" w:themeColor="text1"/>
        </w:rPr>
        <w:t>, 10 (2), 178-193.</w:t>
      </w:r>
    </w:p>
    <w:p w:rsidR="00D96DCC" w:rsidRPr="00993969" w:rsidRDefault="00D96DCC" w:rsidP="00D96DCC">
      <w:pPr>
        <w:spacing w:line="360" w:lineRule="auto"/>
        <w:ind w:left="720" w:hanging="720"/>
        <w:jc w:val="both"/>
        <w:rPr>
          <w:color w:val="000000" w:themeColor="text1"/>
        </w:rPr>
      </w:pPr>
      <w:r w:rsidRPr="00993969">
        <w:rPr>
          <w:color w:val="000000" w:themeColor="text1"/>
        </w:rPr>
        <w:t xml:space="preserve">Marshall, A., Bashir, H., Ojiako, U. and Chipulu, M. 2018. A Machiavellian behavioural framing of social conflict risks in supply chains. </w:t>
      </w:r>
      <w:r w:rsidRPr="00993969">
        <w:rPr>
          <w:i/>
          <w:color w:val="000000" w:themeColor="text1"/>
        </w:rPr>
        <w:t>Management Research Review</w:t>
      </w:r>
      <w:r w:rsidRPr="00993969">
        <w:rPr>
          <w:color w:val="000000" w:themeColor="text1"/>
        </w:rPr>
        <w:t>, 41 (11), 1290-1308,</w:t>
      </w:r>
    </w:p>
    <w:p w:rsidR="00993969" w:rsidRPr="00993969" w:rsidRDefault="00993969" w:rsidP="00993969">
      <w:pPr>
        <w:spacing w:line="360" w:lineRule="auto"/>
        <w:ind w:left="720" w:hanging="720"/>
        <w:jc w:val="both"/>
        <w:rPr>
          <w:color w:val="000000" w:themeColor="text1"/>
        </w:rPr>
      </w:pPr>
      <w:r w:rsidRPr="00993969">
        <w:rPr>
          <w:color w:val="000000" w:themeColor="text1"/>
        </w:rPr>
        <w:t xml:space="preserve">Marshall, A., Ojiako, U., Wang, V., Lin, F., and Chipulu, M. 2019a. Forecasting Unknown/Unknowns by Boosting the Risk Radar within the Risk Intelligent Organisation. </w:t>
      </w:r>
      <w:r w:rsidRPr="00993969">
        <w:rPr>
          <w:i/>
          <w:color w:val="000000" w:themeColor="text1"/>
        </w:rPr>
        <w:t>International Journal of Forecasting</w:t>
      </w:r>
      <w:r w:rsidRPr="00993969">
        <w:rPr>
          <w:color w:val="000000" w:themeColor="text1"/>
        </w:rPr>
        <w:t>, 35 (2), 644-658.</w:t>
      </w:r>
    </w:p>
    <w:p w:rsidR="00993969" w:rsidRPr="00993969" w:rsidRDefault="00993969" w:rsidP="00993969">
      <w:pPr>
        <w:spacing w:line="360" w:lineRule="auto"/>
        <w:ind w:left="720" w:hanging="720"/>
        <w:jc w:val="both"/>
        <w:rPr>
          <w:color w:val="000000" w:themeColor="text1"/>
        </w:rPr>
      </w:pPr>
      <w:r w:rsidRPr="00993969">
        <w:rPr>
          <w:color w:val="000000" w:themeColor="text1"/>
        </w:rPr>
        <w:t xml:space="preserve">Marshall, A., Ojiako, U., Chipulu, M. 2019b. Risk Appetite: A Futility, Perversity and Jeopardy critique of over-optimistic Corporate Risk Taking. </w:t>
      </w:r>
      <w:r w:rsidRPr="00993969">
        <w:rPr>
          <w:i/>
          <w:color w:val="000000" w:themeColor="text1"/>
        </w:rPr>
        <w:t>International Journal of Organisational Analysis</w:t>
      </w:r>
      <w:r w:rsidRPr="00993969">
        <w:rPr>
          <w:color w:val="000000" w:themeColor="text1"/>
        </w:rPr>
        <w:t>, 27 (1), 51-73.</w:t>
      </w:r>
    </w:p>
    <w:p w:rsidR="00576729" w:rsidRDefault="00576729" w:rsidP="00D96DCC">
      <w:pPr>
        <w:spacing w:line="360" w:lineRule="auto"/>
        <w:ind w:left="720" w:hanging="720"/>
        <w:jc w:val="both"/>
        <w:rPr>
          <w:color w:val="000000" w:themeColor="text1"/>
        </w:rPr>
      </w:pPr>
      <w:r w:rsidRPr="00993969">
        <w:rPr>
          <w:color w:val="000000" w:themeColor="text1"/>
        </w:rPr>
        <w:t>Menkhoff, L., Schmeling</w:t>
      </w:r>
      <w:r w:rsidRPr="00576729">
        <w:rPr>
          <w:color w:val="000000" w:themeColor="text1"/>
        </w:rPr>
        <w:t xml:space="preserve">, M. and Schmidt, U. 2013. Overconfidence, experience, and professionalism: An experimental study. </w:t>
      </w:r>
      <w:r w:rsidRPr="00576729">
        <w:rPr>
          <w:i/>
          <w:color w:val="000000" w:themeColor="text1"/>
        </w:rPr>
        <w:t>Journal of Economic Behavior &amp; Organization</w:t>
      </w:r>
      <w:r w:rsidRPr="00576729">
        <w:rPr>
          <w:color w:val="000000" w:themeColor="text1"/>
        </w:rPr>
        <w:t xml:space="preserve">, 86, 92-101. </w:t>
      </w:r>
    </w:p>
    <w:p w:rsidR="00D96DCC" w:rsidRDefault="00D96DCC" w:rsidP="00D96DCC">
      <w:pPr>
        <w:spacing w:line="360" w:lineRule="auto"/>
        <w:ind w:left="720" w:hanging="720"/>
        <w:jc w:val="both"/>
        <w:rPr>
          <w:color w:val="000000" w:themeColor="text1"/>
        </w:rPr>
      </w:pPr>
      <w:r w:rsidRPr="002356C7">
        <w:rPr>
          <w:color w:val="000000" w:themeColor="text1"/>
        </w:rPr>
        <w:t xml:space="preserve">Merlo, O., Lukas, B. and Whitwell, G., 2008. Heuristics revisited: Implications for marketing research and practice. </w:t>
      </w:r>
      <w:r w:rsidRPr="002356C7">
        <w:rPr>
          <w:i/>
          <w:color w:val="000000" w:themeColor="text1"/>
        </w:rPr>
        <w:t>Marketing Theory</w:t>
      </w:r>
      <w:r w:rsidRPr="002356C7">
        <w:rPr>
          <w:color w:val="000000" w:themeColor="text1"/>
        </w:rPr>
        <w:t>, 8(2), 189-204.</w:t>
      </w:r>
    </w:p>
    <w:p w:rsidR="00673C28" w:rsidRDefault="00673C28" w:rsidP="00BD53BE">
      <w:pPr>
        <w:spacing w:line="360" w:lineRule="auto"/>
        <w:ind w:left="720" w:hanging="720"/>
        <w:jc w:val="both"/>
        <w:rPr>
          <w:color w:val="000000" w:themeColor="text1"/>
        </w:rPr>
      </w:pPr>
      <w:r w:rsidRPr="00673C28">
        <w:rPr>
          <w:color w:val="000000" w:themeColor="text1"/>
        </w:rPr>
        <w:t xml:space="preserve">Mishra, K. and Metilda, M. 2015. A study on the impact of investment experience, gender, and level of education on overconfidence and self-attribution bias. </w:t>
      </w:r>
      <w:r w:rsidRPr="00673C28">
        <w:rPr>
          <w:i/>
          <w:color w:val="000000" w:themeColor="text1"/>
        </w:rPr>
        <w:t>IIMB Management Review</w:t>
      </w:r>
      <w:r w:rsidRPr="00673C28">
        <w:rPr>
          <w:color w:val="000000" w:themeColor="text1"/>
        </w:rPr>
        <w:t xml:space="preserve">, 27(4), 228-239. </w:t>
      </w:r>
    </w:p>
    <w:p w:rsidR="00BD53BE" w:rsidRDefault="00BD53BE" w:rsidP="00BD53BE">
      <w:pPr>
        <w:spacing w:line="360" w:lineRule="auto"/>
        <w:ind w:left="720" w:hanging="720"/>
        <w:jc w:val="both"/>
        <w:rPr>
          <w:color w:val="000000" w:themeColor="text1"/>
        </w:rPr>
      </w:pPr>
      <w:r>
        <w:rPr>
          <w:color w:val="000000" w:themeColor="text1"/>
        </w:rPr>
        <w:t>Moore, D</w:t>
      </w:r>
      <w:r w:rsidRPr="00CD0536">
        <w:rPr>
          <w:color w:val="000000" w:themeColor="text1"/>
        </w:rPr>
        <w:t>., Dev,</w:t>
      </w:r>
      <w:r>
        <w:rPr>
          <w:color w:val="000000" w:themeColor="text1"/>
        </w:rPr>
        <w:t xml:space="preserve"> </w:t>
      </w:r>
      <w:r w:rsidRPr="00CD0536">
        <w:rPr>
          <w:color w:val="000000" w:themeColor="text1"/>
        </w:rPr>
        <w:t xml:space="preserve">A., </w:t>
      </w:r>
      <w:r>
        <w:rPr>
          <w:color w:val="000000" w:themeColor="text1"/>
        </w:rPr>
        <w:t xml:space="preserve">and </w:t>
      </w:r>
      <w:r w:rsidRPr="00CD0536">
        <w:rPr>
          <w:color w:val="000000" w:themeColor="text1"/>
        </w:rPr>
        <w:t xml:space="preserve">Goncharova, E. 2018. Overconfidence Across Cultures. </w:t>
      </w:r>
      <w:r w:rsidRPr="00CD0536">
        <w:rPr>
          <w:i/>
          <w:color w:val="000000" w:themeColor="text1"/>
        </w:rPr>
        <w:t>Collabra: Psychology</w:t>
      </w:r>
      <w:r w:rsidRPr="00CD0536">
        <w:rPr>
          <w:color w:val="000000" w:themeColor="text1"/>
        </w:rPr>
        <w:t xml:space="preserve">, 4(1), 36. DOI: </w:t>
      </w:r>
      <w:r w:rsidR="00526A0B" w:rsidRPr="00C60C5A">
        <w:t>http://doi.org/10.1525/collabra.153</w:t>
      </w:r>
    </w:p>
    <w:p w:rsidR="00E41265" w:rsidRDefault="00E41265" w:rsidP="00D96DCC">
      <w:pPr>
        <w:spacing w:line="360" w:lineRule="auto"/>
        <w:ind w:left="720" w:hanging="720"/>
        <w:jc w:val="both"/>
        <w:rPr>
          <w:color w:val="000000" w:themeColor="text1"/>
        </w:rPr>
      </w:pPr>
      <w:r w:rsidRPr="00E41265">
        <w:rPr>
          <w:color w:val="000000" w:themeColor="text1"/>
        </w:rPr>
        <w:t>Moritz, B., Hill, A</w:t>
      </w:r>
      <w:r>
        <w:rPr>
          <w:color w:val="000000" w:themeColor="text1"/>
        </w:rPr>
        <w:t xml:space="preserve">. </w:t>
      </w:r>
      <w:r w:rsidRPr="00E41265">
        <w:rPr>
          <w:color w:val="000000" w:themeColor="text1"/>
        </w:rPr>
        <w:t>and Donohue, K. 2013</w:t>
      </w:r>
      <w:r>
        <w:rPr>
          <w:color w:val="000000" w:themeColor="text1"/>
        </w:rPr>
        <w:t xml:space="preserve">. </w:t>
      </w:r>
      <w:r w:rsidRPr="00E41265">
        <w:rPr>
          <w:color w:val="000000" w:themeColor="text1"/>
        </w:rPr>
        <w:t>Individual Differences in the Newsvendor Problem: Behavior and Cognitive Reflection</w:t>
      </w:r>
      <w:r>
        <w:rPr>
          <w:color w:val="000000" w:themeColor="text1"/>
        </w:rPr>
        <w:t xml:space="preserve">. </w:t>
      </w:r>
      <w:r w:rsidRPr="00E41265">
        <w:rPr>
          <w:i/>
          <w:color w:val="000000" w:themeColor="text1"/>
        </w:rPr>
        <w:t>Journal of Operations Management</w:t>
      </w:r>
      <w:r w:rsidRPr="00E41265">
        <w:rPr>
          <w:color w:val="000000" w:themeColor="text1"/>
        </w:rPr>
        <w:t>, 31(1–2), 72–85.</w:t>
      </w:r>
    </w:p>
    <w:p w:rsidR="00C7575B" w:rsidRDefault="00C7575B" w:rsidP="00D96DCC">
      <w:pPr>
        <w:spacing w:line="360" w:lineRule="auto"/>
        <w:ind w:left="720" w:hanging="720"/>
        <w:jc w:val="both"/>
        <w:rPr>
          <w:color w:val="000000" w:themeColor="text1"/>
        </w:rPr>
      </w:pPr>
      <w:r w:rsidRPr="00C7575B">
        <w:rPr>
          <w:color w:val="000000" w:themeColor="text1"/>
        </w:rPr>
        <w:t>Moritz, B., Siemsen, E. and Kremer, M. 2014</w:t>
      </w:r>
      <w:r>
        <w:rPr>
          <w:color w:val="000000" w:themeColor="text1"/>
        </w:rPr>
        <w:t xml:space="preserve">. </w:t>
      </w:r>
      <w:r w:rsidRPr="00C7575B">
        <w:rPr>
          <w:color w:val="000000" w:themeColor="text1"/>
        </w:rPr>
        <w:t>Judgmental Forecasting: Cognitive Reflection and Decision Speed</w:t>
      </w:r>
      <w:r>
        <w:rPr>
          <w:color w:val="000000" w:themeColor="text1"/>
        </w:rPr>
        <w:t xml:space="preserve">. </w:t>
      </w:r>
      <w:r w:rsidRPr="00C7575B">
        <w:rPr>
          <w:i/>
          <w:color w:val="000000" w:themeColor="text1"/>
        </w:rPr>
        <w:t>Production and Operations Management</w:t>
      </w:r>
      <w:r>
        <w:rPr>
          <w:color w:val="000000" w:themeColor="text1"/>
        </w:rPr>
        <w:t xml:space="preserve">, 24(7), </w:t>
      </w:r>
      <w:r w:rsidRPr="00C7575B">
        <w:rPr>
          <w:color w:val="000000" w:themeColor="text1"/>
        </w:rPr>
        <w:t>1146–1160.</w:t>
      </w:r>
    </w:p>
    <w:p w:rsidR="007F70E4" w:rsidRDefault="007F70E4" w:rsidP="00D96DCC">
      <w:pPr>
        <w:spacing w:line="360" w:lineRule="auto"/>
        <w:ind w:left="720" w:hanging="720"/>
        <w:jc w:val="both"/>
        <w:rPr>
          <w:color w:val="000000" w:themeColor="text1"/>
        </w:rPr>
      </w:pPr>
      <w:r w:rsidRPr="007F70E4">
        <w:rPr>
          <w:color w:val="000000" w:themeColor="text1"/>
        </w:rPr>
        <w:t>Narayanan, A. and Moritz, B. 2015</w:t>
      </w:r>
      <w:r>
        <w:rPr>
          <w:color w:val="000000" w:themeColor="text1"/>
        </w:rPr>
        <w:t xml:space="preserve">. </w:t>
      </w:r>
      <w:r w:rsidRPr="007F70E4">
        <w:rPr>
          <w:color w:val="000000" w:themeColor="text1"/>
        </w:rPr>
        <w:t>Decision Making and Cognition in Multi-Echelon Supply Chains: An Experimental Study</w:t>
      </w:r>
      <w:r>
        <w:rPr>
          <w:color w:val="000000" w:themeColor="text1"/>
        </w:rPr>
        <w:t xml:space="preserve">. </w:t>
      </w:r>
      <w:r w:rsidRPr="007F70E4">
        <w:rPr>
          <w:i/>
          <w:color w:val="000000" w:themeColor="text1"/>
        </w:rPr>
        <w:t>Production and Operations Management</w:t>
      </w:r>
      <w:r w:rsidRPr="007F70E4">
        <w:rPr>
          <w:color w:val="000000" w:themeColor="text1"/>
        </w:rPr>
        <w:t>, 24(8), 1216–1234.</w:t>
      </w:r>
    </w:p>
    <w:p w:rsidR="00520A1A" w:rsidRPr="005114D8" w:rsidRDefault="00520A1A" w:rsidP="00D96DCC">
      <w:pPr>
        <w:spacing w:line="360" w:lineRule="auto"/>
        <w:ind w:left="720" w:hanging="720"/>
        <w:jc w:val="both"/>
        <w:rPr>
          <w:color w:val="000000" w:themeColor="text1"/>
        </w:rPr>
      </w:pPr>
      <w:r>
        <w:rPr>
          <w:color w:val="000000" w:themeColor="text1"/>
        </w:rPr>
        <w:t>Niranjan, T.</w:t>
      </w:r>
      <w:r w:rsidR="005114D8">
        <w:rPr>
          <w:color w:val="000000" w:themeColor="text1"/>
        </w:rPr>
        <w:t xml:space="preserve">T, Wagner, S.M. and Bode, C. 2011. An Alternative Theoretical Explanation and Empirical Insights into Overordering Behaviour in Supply Chains. </w:t>
      </w:r>
      <w:r w:rsidR="005114D8">
        <w:rPr>
          <w:i/>
          <w:color w:val="000000" w:themeColor="text1"/>
        </w:rPr>
        <w:t xml:space="preserve">Decision Sciences, </w:t>
      </w:r>
      <w:r w:rsidR="005114D8">
        <w:rPr>
          <w:color w:val="000000" w:themeColor="text1"/>
        </w:rPr>
        <w:t>42(4), 859-888.</w:t>
      </w:r>
    </w:p>
    <w:p w:rsidR="00D96DCC" w:rsidRPr="00C34D98" w:rsidRDefault="00D96DCC" w:rsidP="00D96DCC">
      <w:pPr>
        <w:spacing w:line="360" w:lineRule="auto"/>
        <w:ind w:left="720" w:hanging="720"/>
        <w:jc w:val="both"/>
        <w:rPr>
          <w:color w:val="000000" w:themeColor="text1"/>
        </w:rPr>
      </w:pPr>
      <w:r w:rsidRPr="00C34D98">
        <w:rPr>
          <w:color w:val="000000" w:themeColor="text1"/>
        </w:rPr>
        <w:lastRenderedPageBreak/>
        <w:t xml:space="preserve">Northcraft, G. and Neale, M. 1987. Experts, amateurs, and real estate: an anchoring and- adjustment perspective on property pricing decisions. </w:t>
      </w:r>
      <w:r w:rsidRPr="00C34D98">
        <w:rPr>
          <w:i/>
          <w:color w:val="000000" w:themeColor="text1"/>
        </w:rPr>
        <w:t>Organizational Behaviour and Human Decision Processes</w:t>
      </w:r>
      <w:r w:rsidRPr="00C34D98">
        <w:rPr>
          <w:color w:val="000000" w:themeColor="text1"/>
        </w:rPr>
        <w:t>, 39, 84 - 97.</w:t>
      </w:r>
    </w:p>
    <w:p w:rsidR="00D96DCC" w:rsidRDefault="00D96DCC" w:rsidP="005D6034">
      <w:pPr>
        <w:spacing w:line="360" w:lineRule="auto"/>
        <w:ind w:left="720" w:hanging="720"/>
        <w:jc w:val="both"/>
        <w:rPr>
          <w:color w:val="000000" w:themeColor="text1"/>
        </w:rPr>
      </w:pPr>
      <w:r w:rsidRPr="00D96DCC">
        <w:rPr>
          <w:color w:val="000000" w:themeColor="text1"/>
        </w:rPr>
        <w:t xml:space="preserve">Ojiako, U., Maguire, S. and Chipulu, M. 2013. Thematic elements underlying the delivery of services in high-contact public service encounters. </w:t>
      </w:r>
      <w:r w:rsidRPr="00690D9F">
        <w:rPr>
          <w:i/>
          <w:color w:val="000000" w:themeColor="text1"/>
        </w:rPr>
        <w:t>Production Planning &amp; Control</w:t>
      </w:r>
      <w:r w:rsidRPr="00D96DCC">
        <w:rPr>
          <w:color w:val="000000" w:themeColor="text1"/>
        </w:rPr>
        <w:t>, 24(6), 532-545.</w:t>
      </w:r>
    </w:p>
    <w:p w:rsidR="005D6034" w:rsidRPr="00C34D98" w:rsidRDefault="005D6034" w:rsidP="005D6034">
      <w:pPr>
        <w:spacing w:line="360" w:lineRule="auto"/>
        <w:ind w:left="720" w:hanging="720"/>
        <w:jc w:val="both"/>
        <w:rPr>
          <w:color w:val="000000" w:themeColor="text1"/>
        </w:rPr>
      </w:pPr>
      <w:r w:rsidRPr="00C34D98">
        <w:rPr>
          <w:color w:val="000000" w:themeColor="text1"/>
        </w:rPr>
        <w:t xml:space="preserve">Paluch, D. 2012. </w:t>
      </w:r>
      <w:r w:rsidRPr="00C34D98">
        <w:rPr>
          <w:i/>
          <w:color w:val="000000" w:themeColor="text1"/>
        </w:rPr>
        <w:t xml:space="preserve">Overconfidence bias in decision-making at different levels of management, </w:t>
      </w:r>
      <w:r w:rsidR="009F3823">
        <w:rPr>
          <w:color w:val="000000" w:themeColor="text1"/>
        </w:rPr>
        <w:t xml:space="preserve">Unpublished MBA Dissertation, </w:t>
      </w:r>
      <w:r w:rsidRPr="00C34D98">
        <w:rPr>
          <w:color w:val="000000" w:themeColor="text1"/>
        </w:rPr>
        <w:t>University of Pretoria.</w:t>
      </w:r>
    </w:p>
    <w:p w:rsidR="005D6034" w:rsidRPr="00C34D98" w:rsidRDefault="005D6034" w:rsidP="005D6034">
      <w:pPr>
        <w:spacing w:line="360" w:lineRule="auto"/>
        <w:ind w:left="720" w:hanging="720"/>
        <w:jc w:val="both"/>
        <w:rPr>
          <w:color w:val="000000" w:themeColor="text1"/>
        </w:rPr>
      </w:pPr>
      <w:r w:rsidRPr="00C34D98">
        <w:rPr>
          <w:color w:val="000000" w:themeColor="text1"/>
        </w:rPr>
        <w:t xml:space="preserve">Peccei, R. and Rosenthal, P. 2001. Delivering Customer Oriented Behavior through Empowerment: An Empirical Test of HRM Assumptions, </w:t>
      </w:r>
      <w:r w:rsidRPr="00C34D98">
        <w:rPr>
          <w:i/>
          <w:color w:val="000000" w:themeColor="text1"/>
        </w:rPr>
        <w:t>Journal of Management Studies</w:t>
      </w:r>
      <w:r w:rsidRPr="00C34D98">
        <w:rPr>
          <w:color w:val="000000" w:themeColor="text1"/>
        </w:rPr>
        <w:t>, 38 (6), 831-857.</w:t>
      </w:r>
    </w:p>
    <w:p w:rsidR="005D6034" w:rsidRPr="00C34D98" w:rsidRDefault="005D6034" w:rsidP="005D6034">
      <w:pPr>
        <w:spacing w:line="360" w:lineRule="auto"/>
        <w:ind w:left="720" w:hanging="720"/>
        <w:jc w:val="both"/>
        <w:rPr>
          <w:color w:val="000000" w:themeColor="text1"/>
        </w:rPr>
      </w:pPr>
      <w:r w:rsidRPr="00C34D98">
        <w:rPr>
          <w:color w:val="000000" w:themeColor="text1"/>
        </w:rPr>
        <w:t xml:space="preserve">Pedersen, M., Stritch, J. and Thuesen, F. 2018. Punishment on the frontlines of public service delivery: Client ethnicity and caseworker sanctioning decisions in a Scandinavian welfare state. </w:t>
      </w:r>
      <w:r w:rsidRPr="00C34D98">
        <w:rPr>
          <w:i/>
          <w:color w:val="000000" w:themeColor="text1"/>
        </w:rPr>
        <w:t>Journal of Public Administration Research and Theory</w:t>
      </w:r>
      <w:r w:rsidRPr="00C34D98">
        <w:rPr>
          <w:color w:val="000000" w:themeColor="text1"/>
        </w:rPr>
        <w:t>, 28(3), 339-354.</w:t>
      </w:r>
    </w:p>
    <w:p w:rsidR="005D6034" w:rsidRPr="00C34D98" w:rsidRDefault="005D6034" w:rsidP="005D6034">
      <w:pPr>
        <w:spacing w:line="360" w:lineRule="auto"/>
        <w:ind w:left="720" w:hanging="720"/>
        <w:jc w:val="both"/>
        <w:rPr>
          <w:color w:val="000000" w:themeColor="text1"/>
        </w:rPr>
      </w:pPr>
      <w:r w:rsidRPr="00C34D98">
        <w:rPr>
          <w:color w:val="000000" w:themeColor="text1"/>
        </w:rPr>
        <w:t xml:space="preserve">Pettit, T., Croxton, K. and Fiksel, J. 2019. The Evolution of Resilience in Supply Chain Management: A Retrospective on Ensuring Supply Chain Resilience. </w:t>
      </w:r>
      <w:r w:rsidRPr="00C34D98">
        <w:rPr>
          <w:i/>
          <w:color w:val="000000" w:themeColor="text1"/>
        </w:rPr>
        <w:t>Journal of Business Logistics</w:t>
      </w:r>
      <w:r w:rsidRPr="00C34D98">
        <w:rPr>
          <w:color w:val="000000" w:themeColor="text1"/>
        </w:rPr>
        <w:t>, 40(1), 56-65.</w:t>
      </w:r>
    </w:p>
    <w:p w:rsidR="005D6034" w:rsidRPr="00C34D98" w:rsidRDefault="005D6034" w:rsidP="005D6034">
      <w:pPr>
        <w:spacing w:line="360" w:lineRule="auto"/>
        <w:ind w:left="720" w:hanging="720"/>
        <w:jc w:val="both"/>
        <w:rPr>
          <w:color w:val="000000" w:themeColor="text1"/>
        </w:rPr>
      </w:pPr>
      <w:r w:rsidRPr="00C34D98">
        <w:rPr>
          <w:color w:val="000000" w:themeColor="text1"/>
        </w:rPr>
        <w:t xml:space="preserve">Pulford, B. 1996. </w:t>
      </w:r>
      <w:r w:rsidRPr="00C34D98">
        <w:rPr>
          <w:i/>
          <w:color w:val="000000" w:themeColor="text1"/>
        </w:rPr>
        <w:t xml:space="preserve">Overconfidence in Human Judgement, </w:t>
      </w:r>
      <w:r w:rsidRPr="00C34D98">
        <w:rPr>
          <w:color w:val="000000" w:themeColor="text1"/>
        </w:rPr>
        <w:t>Unpublished Ph.D. University of Leicester.</w:t>
      </w:r>
    </w:p>
    <w:p w:rsidR="005D6034" w:rsidRPr="00C34D98" w:rsidRDefault="005D6034" w:rsidP="005D6034">
      <w:pPr>
        <w:spacing w:line="360" w:lineRule="auto"/>
        <w:ind w:left="720" w:hanging="720"/>
        <w:jc w:val="both"/>
        <w:rPr>
          <w:color w:val="000000" w:themeColor="text1"/>
        </w:rPr>
      </w:pPr>
      <w:r w:rsidRPr="00C34D98">
        <w:rPr>
          <w:color w:val="000000" w:themeColor="text1"/>
        </w:rPr>
        <w:t xml:space="preserve">Russo, E. and Schoemaker, P. 1992. Managing Overconfidence. </w:t>
      </w:r>
      <w:r w:rsidRPr="00C34D98">
        <w:rPr>
          <w:i/>
          <w:color w:val="000000" w:themeColor="text1"/>
        </w:rPr>
        <w:t>Sloan Management Review,</w:t>
      </w:r>
      <w:r w:rsidRPr="00C34D98">
        <w:rPr>
          <w:color w:val="000000" w:themeColor="text1"/>
        </w:rPr>
        <w:t xml:space="preserve"> 33 (2), 7-17. </w:t>
      </w:r>
    </w:p>
    <w:p w:rsidR="005D6034" w:rsidRPr="00C34D98" w:rsidRDefault="005D6034" w:rsidP="005D6034">
      <w:pPr>
        <w:spacing w:line="360" w:lineRule="auto"/>
        <w:ind w:left="720" w:hanging="720"/>
        <w:jc w:val="both"/>
        <w:rPr>
          <w:color w:val="000000" w:themeColor="text1"/>
        </w:rPr>
      </w:pPr>
      <w:r w:rsidRPr="00C34D98">
        <w:rPr>
          <w:color w:val="000000" w:themeColor="text1"/>
        </w:rPr>
        <w:t xml:space="preserve">Scheibe, K. and Blackhurst, J. 2018. Supply chain disruption propagation: a systemic risk and normal accident theory perspective. </w:t>
      </w:r>
      <w:r w:rsidRPr="00C34D98">
        <w:rPr>
          <w:i/>
          <w:color w:val="000000" w:themeColor="text1"/>
        </w:rPr>
        <w:t>International Journal of Production Research</w:t>
      </w:r>
      <w:r w:rsidRPr="00C34D98">
        <w:rPr>
          <w:color w:val="000000" w:themeColor="text1"/>
        </w:rPr>
        <w:t xml:space="preserve">, 56(1-2), 43-59. </w:t>
      </w:r>
    </w:p>
    <w:p w:rsidR="005D6034" w:rsidRPr="00C34D98" w:rsidRDefault="005D6034" w:rsidP="005D6034">
      <w:pPr>
        <w:spacing w:line="360" w:lineRule="auto"/>
        <w:ind w:left="720" w:hanging="720"/>
        <w:jc w:val="both"/>
        <w:rPr>
          <w:color w:val="000000" w:themeColor="text1"/>
        </w:rPr>
      </w:pPr>
      <w:r w:rsidRPr="00C34D98">
        <w:rPr>
          <w:color w:val="000000" w:themeColor="text1"/>
        </w:rPr>
        <w:t xml:space="preserve">Schepers, J., Falk, T., de Ruyter, K., de Jong, A. and Hammerschmidt, M., 2012. Principles and principals: do customer stewardship and agency control compete or complement when shaping frontline employee behaviour?. </w:t>
      </w:r>
      <w:r w:rsidRPr="00C34D98">
        <w:rPr>
          <w:i/>
          <w:color w:val="000000" w:themeColor="text1"/>
        </w:rPr>
        <w:t>Journal of Marketing</w:t>
      </w:r>
      <w:r w:rsidRPr="00C34D98">
        <w:rPr>
          <w:color w:val="000000" w:themeColor="text1"/>
        </w:rPr>
        <w:t>, 76(6), 1-20.</w:t>
      </w:r>
    </w:p>
    <w:p w:rsidR="00111258" w:rsidRPr="00C34D98" w:rsidRDefault="00111258" w:rsidP="00111258">
      <w:pPr>
        <w:spacing w:line="360" w:lineRule="auto"/>
        <w:ind w:left="720" w:hanging="720"/>
        <w:jc w:val="both"/>
        <w:rPr>
          <w:color w:val="000000" w:themeColor="text1"/>
        </w:rPr>
      </w:pPr>
      <w:r w:rsidRPr="00C34D98">
        <w:rPr>
          <w:color w:val="000000" w:themeColor="text1"/>
        </w:rPr>
        <w:t xml:space="preserve">Siggelkow, N. 2007. Persuasion with Case Studies. </w:t>
      </w:r>
      <w:r w:rsidRPr="00C34D98">
        <w:rPr>
          <w:i/>
          <w:color w:val="000000" w:themeColor="text1"/>
        </w:rPr>
        <w:t>Academy of Management Journal,</w:t>
      </w:r>
      <w:r w:rsidRPr="00C34D98">
        <w:rPr>
          <w:color w:val="000000" w:themeColor="text1"/>
        </w:rPr>
        <w:t xml:space="preserve"> 50 (1), 20–24.</w:t>
      </w:r>
    </w:p>
    <w:p w:rsidR="00111258" w:rsidRPr="00C34D98" w:rsidRDefault="00111258" w:rsidP="00111258">
      <w:pPr>
        <w:spacing w:line="360" w:lineRule="auto"/>
        <w:ind w:left="720" w:hanging="720"/>
        <w:jc w:val="both"/>
        <w:rPr>
          <w:i/>
          <w:iCs/>
          <w:color w:val="000000" w:themeColor="text1"/>
        </w:rPr>
      </w:pPr>
      <w:r w:rsidRPr="00C34D98">
        <w:rPr>
          <w:color w:val="000000" w:themeColor="text1"/>
        </w:rPr>
        <w:t xml:space="preserve">Simon, H. 1957. </w:t>
      </w:r>
      <w:r w:rsidRPr="00C34D98">
        <w:rPr>
          <w:i/>
          <w:iCs/>
          <w:color w:val="000000" w:themeColor="text1"/>
        </w:rPr>
        <w:t xml:space="preserve">Administrative Behaviour: a study of decision-making processes in administrative organization. </w:t>
      </w:r>
      <w:r w:rsidRPr="00C34D98">
        <w:rPr>
          <w:color w:val="000000" w:themeColor="text1"/>
        </w:rPr>
        <w:t>New York: Macmillan.</w:t>
      </w:r>
    </w:p>
    <w:p w:rsidR="00111258" w:rsidRPr="00C34D98" w:rsidRDefault="00111258" w:rsidP="00111258">
      <w:pPr>
        <w:spacing w:line="360" w:lineRule="auto"/>
        <w:ind w:left="720" w:hanging="720"/>
        <w:jc w:val="both"/>
        <w:rPr>
          <w:color w:val="000000" w:themeColor="text1"/>
        </w:rPr>
      </w:pPr>
      <w:r w:rsidRPr="00C34D98">
        <w:rPr>
          <w:color w:val="000000" w:themeColor="text1"/>
        </w:rPr>
        <w:t xml:space="preserve">Simon, H. 1990. Invariants of Human Behaviour. </w:t>
      </w:r>
      <w:r w:rsidRPr="00C34D98">
        <w:rPr>
          <w:i/>
          <w:iCs/>
          <w:color w:val="000000" w:themeColor="text1"/>
        </w:rPr>
        <w:t>Annual Review of Psychology</w:t>
      </w:r>
      <w:r w:rsidRPr="00C34D98">
        <w:rPr>
          <w:color w:val="000000" w:themeColor="text1"/>
        </w:rPr>
        <w:t>, 41, 1-19.</w:t>
      </w:r>
    </w:p>
    <w:p w:rsidR="00111258" w:rsidRPr="00C34D98" w:rsidRDefault="00111258" w:rsidP="00111258">
      <w:pPr>
        <w:spacing w:line="360" w:lineRule="auto"/>
        <w:ind w:left="720" w:hanging="720"/>
        <w:jc w:val="both"/>
        <w:rPr>
          <w:color w:val="000000" w:themeColor="text1"/>
        </w:rPr>
      </w:pPr>
      <w:r w:rsidRPr="00C34D98">
        <w:rPr>
          <w:color w:val="000000" w:themeColor="text1"/>
        </w:rPr>
        <w:t xml:space="preserve">Singh, J. and Marinova, D. 2013. Stemming frontline performance losses in service innovation implementation. </w:t>
      </w:r>
      <w:r w:rsidRPr="00C34D98">
        <w:rPr>
          <w:i/>
          <w:color w:val="000000" w:themeColor="text1"/>
        </w:rPr>
        <w:t>Marketing Review St. Gallen</w:t>
      </w:r>
      <w:r w:rsidRPr="00C34D98">
        <w:rPr>
          <w:color w:val="000000" w:themeColor="text1"/>
        </w:rPr>
        <w:t>, 30(5), 10-21.</w:t>
      </w:r>
    </w:p>
    <w:p w:rsidR="00111258" w:rsidRPr="00C34D98" w:rsidRDefault="00111258" w:rsidP="00111258">
      <w:pPr>
        <w:spacing w:line="360" w:lineRule="auto"/>
        <w:ind w:left="720" w:hanging="720"/>
        <w:jc w:val="both"/>
        <w:rPr>
          <w:color w:val="000000" w:themeColor="text1"/>
        </w:rPr>
      </w:pPr>
      <w:r w:rsidRPr="00C34D98">
        <w:rPr>
          <w:color w:val="000000" w:themeColor="text1"/>
        </w:rPr>
        <w:t xml:space="preserve">Sirianni, N., Castro-Nelson, I., Moralse, A., and Fitzsimons, G. 2009. The influence of service employee characteristics on customer choice and post-choice. </w:t>
      </w:r>
      <w:r w:rsidRPr="00C34D98">
        <w:rPr>
          <w:i/>
          <w:color w:val="000000" w:themeColor="text1"/>
        </w:rPr>
        <w:t>Advances in Consumer Research</w:t>
      </w:r>
      <w:r w:rsidRPr="00C34D98">
        <w:rPr>
          <w:color w:val="000000" w:themeColor="text1"/>
        </w:rPr>
        <w:t>, 36, 966–968.</w:t>
      </w:r>
    </w:p>
    <w:p w:rsidR="00111258" w:rsidRPr="00C34D98" w:rsidRDefault="00111258" w:rsidP="00111258">
      <w:pPr>
        <w:spacing w:line="360" w:lineRule="auto"/>
        <w:ind w:left="720" w:hanging="720"/>
        <w:jc w:val="both"/>
        <w:rPr>
          <w:color w:val="000000" w:themeColor="text1"/>
        </w:rPr>
      </w:pPr>
      <w:r w:rsidRPr="00C34D98">
        <w:rPr>
          <w:color w:val="000000" w:themeColor="text1"/>
        </w:rPr>
        <w:t xml:space="preserve">Skala, D. 2008. Overconfidence in Psychology and Finance – an Interdisciplinary Literature Review. </w:t>
      </w:r>
      <w:r w:rsidRPr="00C34D98">
        <w:rPr>
          <w:i/>
          <w:color w:val="000000" w:themeColor="text1"/>
        </w:rPr>
        <w:t>Bank i Kredyt,</w:t>
      </w:r>
      <w:r w:rsidRPr="00C34D98">
        <w:rPr>
          <w:color w:val="000000" w:themeColor="text1"/>
        </w:rPr>
        <w:t xml:space="preserve"> 4, 33–50. </w:t>
      </w:r>
    </w:p>
    <w:p w:rsidR="00111258" w:rsidRPr="00C34D98" w:rsidRDefault="00111258" w:rsidP="00111258">
      <w:pPr>
        <w:spacing w:line="360" w:lineRule="auto"/>
        <w:ind w:left="720" w:hanging="720"/>
        <w:jc w:val="both"/>
        <w:rPr>
          <w:color w:val="000000" w:themeColor="text1"/>
        </w:rPr>
      </w:pPr>
      <w:r w:rsidRPr="00C34D98">
        <w:rPr>
          <w:color w:val="000000" w:themeColor="text1"/>
        </w:rPr>
        <w:lastRenderedPageBreak/>
        <w:t xml:space="preserve">Slovic, P., Finucane, M., Peters, E. and MacGregor, D. 2004. Risk as analysis and risk as feelings: some thoughts about affect, reason, risk and rationality. </w:t>
      </w:r>
      <w:r w:rsidRPr="00C34D98">
        <w:rPr>
          <w:i/>
          <w:iCs/>
          <w:color w:val="000000" w:themeColor="text1"/>
        </w:rPr>
        <w:t xml:space="preserve">Risk Analysis: an international journal, </w:t>
      </w:r>
      <w:r w:rsidRPr="00C34D98">
        <w:rPr>
          <w:color w:val="000000" w:themeColor="text1"/>
        </w:rPr>
        <w:t xml:space="preserve">24 (2), 311-322.  </w:t>
      </w:r>
    </w:p>
    <w:p w:rsidR="00EE0F87" w:rsidRPr="00C34D98" w:rsidRDefault="00EE0F87" w:rsidP="00EE0F87">
      <w:pPr>
        <w:spacing w:line="360" w:lineRule="auto"/>
        <w:ind w:left="720" w:hanging="720"/>
        <w:jc w:val="both"/>
        <w:rPr>
          <w:color w:val="000000" w:themeColor="text1"/>
        </w:rPr>
      </w:pPr>
      <w:r w:rsidRPr="00C34D98">
        <w:rPr>
          <w:color w:val="000000" w:themeColor="text1"/>
        </w:rPr>
        <w:t xml:space="preserve">Sternberg, R., Kaufman, J., and Pretz, J. 2002. </w:t>
      </w:r>
      <w:r w:rsidRPr="00C34D98">
        <w:rPr>
          <w:i/>
          <w:color w:val="000000" w:themeColor="text1"/>
        </w:rPr>
        <w:t>The creativity conundrum: A propulsion model of kinds of creative contributions</w:t>
      </w:r>
      <w:r w:rsidRPr="00C34D98">
        <w:rPr>
          <w:color w:val="000000" w:themeColor="text1"/>
        </w:rPr>
        <w:t>. New York, NY: Psychology Press.</w:t>
      </w:r>
    </w:p>
    <w:p w:rsidR="008106A2" w:rsidRPr="008106A2" w:rsidRDefault="008106A2" w:rsidP="00111258">
      <w:pPr>
        <w:spacing w:line="360" w:lineRule="auto"/>
        <w:ind w:left="720" w:hanging="720"/>
        <w:jc w:val="both"/>
        <w:rPr>
          <w:color w:val="000000" w:themeColor="text1"/>
        </w:rPr>
      </w:pPr>
      <w:r>
        <w:rPr>
          <w:color w:val="000000" w:themeColor="text1"/>
        </w:rPr>
        <w:t xml:space="preserve">Sternman, J.D. 1989. Modeling of Managerial Behavior: misperceptions of feedback in a dynamic decision-making experiment. </w:t>
      </w:r>
      <w:r>
        <w:rPr>
          <w:i/>
          <w:color w:val="000000" w:themeColor="text1"/>
        </w:rPr>
        <w:t xml:space="preserve">Management Science </w:t>
      </w:r>
      <w:r>
        <w:rPr>
          <w:color w:val="000000" w:themeColor="text1"/>
        </w:rPr>
        <w:t xml:space="preserve">35(3), 321-339. </w:t>
      </w:r>
    </w:p>
    <w:p w:rsidR="00111258" w:rsidRPr="00C34D98" w:rsidRDefault="00111258" w:rsidP="00111258">
      <w:pPr>
        <w:spacing w:line="360" w:lineRule="auto"/>
        <w:ind w:left="720" w:hanging="720"/>
        <w:jc w:val="both"/>
        <w:rPr>
          <w:color w:val="000000" w:themeColor="text1"/>
        </w:rPr>
      </w:pPr>
      <w:r w:rsidRPr="00C34D98">
        <w:rPr>
          <w:color w:val="000000" w:themeColor="text1"/>
        </w:rPr>
        <w:t xml:space="preserve">Stolze, H., Mollenkopf, D., Thornton, L., Brusco, M. and Flint, D. 2018. Supply Chain and Marketing Integration: Tension in Frontline Social Networks. </w:t>
      </w:r>
      <w:r w:rsidRPr="00C34D98">
        <w:rPr>
          <w:i/>
          <w:color w:val="000000" w:themeColor="text1"/>
        </w:rPr>
        <w:t>Journal of Supply Chain Management</w:t>
      </w:r>
      <w:r w:rsidRPr="00C34D98">
        <w:rPr>
          <w:color w:val="000000" w:themeColor="text1"/>
        </w:rPr>
        <w:t>, 54(3), 3-21.</w:t>
      </w:r>
    </w:p>
    <w:p w:rsidR="00111258" w:rsidRPr="00C34D98" w:rsidRDefault="00111258" w:rsidP="00111258">
      <w:pPr>
        <w:spacing w:line="360" w:lineRule="auto"/>
        <w:ind w:left="720" w:hanging="720"/>
        <w:jc w:val="both"/>
        <w:rPr>
          <w:color w:val="000000" w:themeColor="text1"/>
        </w:rPr>
      </w:pPr>
      <w:r w:rsidRPr="00C34D98">
        <w:rPr>
          <w:color w:val="000000" w:themeColor="text1"/>
        </w:rPr>
        <w:t xml:space="preserve">Strack, F. and Mussweiler, T. 1997. Explaining the enigmatic anchoring effect: Mechanisms of selective accessibility. </w:t>
      </w:r>
      <w:r w:rsidRPr="00C34D98">
        <w:rPr>
          <w:i/>
          <w:color w:val="000000" w:themeColor="text1"/>
        </w:rPr>
        <w:t>Journal of Personality and Social Psychology</w:t>
      </w:r>
      <w:r w:rsidRPr="00C34D98">
        <w:rPr>
          <w:color w:val="000000" w:themeColor="text1"/>
        </w:rPr>
        <w:t xml:space="preserve">, 73 (3), 437-446. </w:t>
      </w:r>
    </w:p>
    <w:p w:rsidR="00111258" w:rsidRDefault="00111258" w:rsidP="00111258">
      <w:pPr>
        <w:spacing w:line="360" w:lineRule="auto"/>
        <w:ind w:left="720" w:hanging="720"/>
        <w:jc w:val="both"/>
        <w:rPr>
          <w:color w:val="000000" w:themeColor="text1"/>
        </w:rPr>
      </w:pPr>
      <w:r w:rsidRPr="002356C7">
        <w:rPr>
          <w:color w:val="000000" w:themeColor="text1"/>
        </w:rPr>
        <w:t xml:space="preserve">Swieringa, R., Gibbins, M., Larsson, L. and Sweeney, J., 1976. Experiments in the heuristics of human information processing. </w:t>
      </w:r>
      <w:r w:rsidRPr="002356C7">
        <w:rPr>
          <w:i/>
          <w:color w:val="000000" w:themeColor="text1"/>
        </w:rPr>
        <w:t>Journal of Accounting Research,</w:t>
      </w:r>
      <w:r>
        <w:rPr>
          <w:color w:val="000000" w:themeColor="text1"/>
        </w:rPr>
        <w:t xml:space="preserve"> 14, </w:t>
      </w:r>
      <w:r w:rsidRPr="002356C7">
        <w:rPr>
          <w:color w:val="000000" w:themeColor="text1"/>
        </w:rPr>
        <w:t>159-187.</w:t>
      </w:r>
    </w:p>
    <w:p w:rsidR="00194D04" w:rsidRPr="00C34D98" w:rsidRDefault="00194D04" w:rsidP="00194D04">
      <w:pPr>
        <w:spacing w:line="360" w:lineRule="auto"/>
        <w:ind w:left="720" w:hanging="720"/>
        <w:jc w:val="both"/>
        <w:rPr>
          <w:color w:val="000000" w:themeColor="text1"/>
        </w:rPr>
      </w:pPr>
      <w:r w:rsidRPr="00C34D98">
        <w:t>Teovanovic</w:t>
      </w:r>
      <w:r w:rsidRPr="00C34D98">
        <w:rPr>
          <w:color w:val="000000" w:themeColor="text1"/>
        </w:rPr>
        <w:t xml:space="preserve">, P. 2019. Individual differences in anchoring effect: Evidence for the role of insufficient adjustment. </w:t>
      </w:r>
      <w:r w:rsidRPr="00C34D98">
        <w:rPr>
          <w:i/>
          <w:color w:val="000000" w:themeColor="text1"/>
        </w:rPr>
        <w:t>Europe’s Journal of Psychology</w:t>
      </w:r>
      <w:r w:rsidRPr="00C34D98">
        <w:rPr>
          <w:color w:val="000000" w:themeColor="text1"/>
        </w:rPr>
        <w:t xml:space="preserve">, 15 (1), 8-24. </w:t>
      </w:r>
    </w:p>
    <w:p w:rsidR="00194D04" w:rsidRPr="00C34D98" w:rsidRDefault="00194D04" w:rsidP="00194D04">
      <w:pPr>
        <w:spacing w:line="360" w:lineRule="auto"/>
        <w:ind w:left="720" w:hanging="720"/>
        <w:jc w:val="both"/>
        <w:rPr>
          <w:color w:val="000000" w:themeColor="text1"/>
        </w:rPr>
      </w:pPr>
      <w:r w:rsidRPr="00C34D98">
        <w:rPr>
          <w:color w:val="000000" w:themeColor="text1"/>
        </w:rPr>
        <w:t xml:space="preserve">Tetlock, R. and Gardner, D. 2015. </w:t>
      </w:r>
      <w:r w:rsidRPr="00C34D98">
        <w:rPr>
          <w:i/>
          <w:iCs/>
          <w:color w:val="000000" w:themeColor="text1"/>
        </w:rPr>
        <w:t xml:space="preserve">Superforecasting: the art and science of prediction. </w:t>
      </w:r>
      <w:r w:rsidRPr="00C34D98">
        <w:rPr>
          <w:color w:val="000000" w:themeColor="text1"/>
        </w:rPr>
        <w:t xml:space="preserve">New York: Crown Publishing Group.  </w:t>
      </w:r>
    </w:p>
    <w:p w:rsidR="00194D04" w:rsidRPr="00C34D98" w:rsidRDefault="00194D04" w:rsidP="00194D04">
      <w:pPr>
        <w:spacing w:line="360" w:lineRule="auto"/>
        <w:ind w:left="720" w:hanging="720"/>
        <w:jc w:val="both"/>
        <w:rPr>
          <w:color w:val="000000" w:themeColor="text1"/>
        </w:rPr>
      </w:pPr>
      <w:r w:rsidRPr="00C34D98">
        <w:rPr>
          <w:color w:val="000000" w:themeColor="text1"/>
        </w:rPr>
        <w:t xml:space="preserve">Tversky, A. and Kahneman, D. 1974. Judgment under Uncertainty: Heuristics and Biases. </w:t>
      </w:r>
      <w:r w:rsidRPr="00C34D98">
        <w:rPr>
          <w:i/>
          <w:color w:val="000000" w:themeColor="text1"/>
        </w:rPr>
        <w:t>Science</w:t>
      </w:r>
      <w:r w:rsidRPr="00C34D98">
        <w:rPr>
          <w:color w:val="000000" w:themeColor="text1"/>
        </w:rPr>
        <w:t>, 185 (4157), 1124-1131.</w:t>
      </w:r>
    </w:p>
    <w:p w:rsidR="00194D04" w:rsidRPr="00C34D98" w:rsidRDefault="00194D04" w:rsidP="00194D04">
      <w:pPr>
        <w:spacing w:line="360" w:lineRule="auto"/>
        <w:ind w:left="720" w:hanging="720"/>
        <w:jc w:val="both"/>
        <w:rPr>
          <w:color w:val="000000" w:themeColor="text1"/>
        </w:rPr>
      </w:pPr>
      <w:r w:rsidRPr="00C34D98">
        <w:rPr>
          <w:color w:val="000000" w:themeColor="text1"/>
        </w:rPr>
        <w:t xml:space="preserve">Tversky, A. and Kahneman, D. 1982. </w:t>
      </w:r>
      <w:r w:rsidRPr="00C34D98">
        <w:rPr>
          <w:i/>
          <w:color w:val="000000" w:themeColor="text1"/>
        </w:rPr>
        <w:t>Judgment under uncertainty: heuristics and biases</w:t>
      </w:r>
      <w:r w:rsidRPr="00C34D98">
        <w:rPr>
          <w:color w:val="000000" w:themeColor="text1"/>
        </w:rPr>
        <w:t>. In D. Kahneman, P. Slovic and A Tversky (eds). “Judgment under Uncertainty”. Cambridge University Press. 3-22.</w:t>
      </w:r>
    </w:p>
    <w:p w:rsidR="0056611F" w:rsidRDefault="0056611F" w:rsidP="00194D04">
      <w:pPr>
        <w:spacing w:line="360" w:lineRule="auto"/>
        <w:ind w:left="720" w:hanging="720"/>
        <w:jc w:val="both"/>
        <w:rPr>
          <w:color w:val="000000" w:themeColor="text1"/>
        </w:rPr>
      </w:pPr>
      <w:r w:rsidRPr="0056611F">
        <w:rPr>
          <w:color w:val="000000" w:themeColor="text1"/>
        </w:rPr>
        <w:t>Venkatachalam, S., Marshall, A. and Ojiako, U., and Canshi, C. 20</w:t>
      </w:r>
      <w:r>
        <w:rPr>
          <w:color w:val="000000" w:themeColor="text1"/>
        </w:rPr>
        <w:t xml:space="preserve">20. </w:t>
      </w:r>
      <w:r w:rsidRPr="0056611F">
        <w:rPr>
          <w:color w:val="000000" w:themeColor="text1"/>
        </w:rPr>
        <w:t xml:space="preserve">Organisational learning in small and medium sized South African energy project organisations, </w:t>
      </w:r>
      <w:r w:rsidRPr="0056611F">
        <w:rPr>
          <w:i/>
          <w:color w:val="000000" w:themeColor="text1"/>
        </w:rPr>
        <w:t>Management Research Review</w:t>
      </w:r>
      <w:r w:rsidRPr="0056611F">
        <w:rPr>
          <w:color w:val="000000" w:themeColor="text1"/>
        </w:rPr>
        <w:t xml:space="preserve">, DOI: 10.1108/MRR-02-2019-0068, In Press. </w:t>
      </w:r>
    </w:p>
    <w:p w:rsidR="00194D04" w:rsidRPr="00C34D98" w:rsidRDefault="00194D04" w:rsidP="00194D04">
      <w:pPr>
        <w:spacing w:line="360" w:lineRule="auto"/>
        <w:ind w:left="720" w:hanging="720"/>
        <w:jc w:val="both"/>
        <w:rPr>
          <w:color w:val="000000" w:themeColor="text1"/>
        </w:rPr>
      </w:pPr>
      <w:r w:rsidRPr="00C34D98">
        <w:rPr>
          <w:color w:val="000000" w:themeColor="text1"/>
        </w:rPr>
        <w:t xml:space="preserve">Villena, V., Lu, G., Gomez-Mejia, L. and Revilla, E. 2018. Is top management team-supply chain manager interaction the missing link? An analysis of risk-bearing antecedents for supply chain managers. </w:t>
      </w:r>
      <w:r w:rsidRPr="00C34D98">
        <w:rPr>
          <w:i/>
          <w:color w:val="000000" w:themeColor="text1"/>
        </w:rPr>
        <w:t>International Journal of Operations &amp; Production Management</w:t>
      </w:r>
      <w:r w:rsidRPr="00C34D98">
        <w:rPr>
          <w:color w:val="000000" w:themeColor="text1"/>
        </w:rPr>
        <w:t xml:space="preserve">, 38(8), 1640-1663. </w:t>
      </w:r>
    </w:p>
    <w:p w:rsidR="00194D04" w:rsidRPr="00C34D98" w:rsidRDefault="00194D04" w:rsidP="00194D04">
      <w:pPr>
        <w:spacing w:line="360" w:lineRule="auto"/>
        <w:ind w:left="720" w:hanging="720"/>
        <w:jc w:val="both"/>
        <w:rPr>
          <w:color w:val="000000" w:themeColor="text1"/>
        </w:rPr>
      </w:pPr>
      <w:r w:rsidRPr="00C34D98">
        <w:rPr>
          <w:color w:val="000000" w:themeColor="text1"/>
        </w:rPr>
        <w:t xml:space="preserve">Visschers, V., Meertens, R., Passchier, W. and De Vries, N. 2009. Probability information in risk communication: a review of the research literature. </w:t>
      </w:r>
      <w:r w:rsidRPr="00C34D98">
        <w:rPr>
          <w:i/>
          <w:color w:val="000000" w:themeColor="text1"/>
        </w:rPr>
        <w:t>Risk Analysis: An International Journal</w:t>
      </w:r>
      <w:r w:rsidRPr="00C34D98">
        <w:rPr>
          <w:color w:val="000000" w:themeColor="text1"/>
        </w:rPr>
        <w:t xml:space="preserve">, 29 (2), 267-287. </w:t>
      </w:r>
    </w:p>
    <w:p w:rsidR="00194D04" w:rsidRPr="00C34D98" w:rsidRDefault="00194D04" w:rsidP="00194D04">
      <w:pPr>
        <w:spacing w:line="360" w:lineRule="auto"/>
        <w:ind w:left="720" w:hanging="720"/>
        <w:jc w:val="both"/>
        <w:rPr>
          <w:color w:val="000000" w:themeColor="text1"/>
        </w:rPr>
      </w:pPr>
      <w:r w:rsidRPr="00C34D98">
        <w:rPr>
          <w:color w:val="000000" w:themeColor="text1"/>
        </w:rPr>
        <w:lastRenderedPageBreak/>
        <w:t xml:space="preserve">Wegener, D., Petty, R., Detweiler-Bedell, B. and Jarvis, W. 2001. Implications of attitude change theories for numerical anchoring: Anchor plausibility and the limits of anchor effectiveness. </w:t>
      </w:r>
      <w:r w:rsidRPr="00C34D98">
        <w:rPr>
          <w:i/>
          <w:color w:val="000000" w:themeColor="text1"/>
        </w:rPr>
        <w:t>Journal of Experimental Social Psychology</w:t>
      </w:r>
      <w:r w:rsidRPr="00C34D98">
        <w:rPr>
          <w:color w:val="000000" w:themeColor="text1"/>
        </w:rPr>
        <w:t>, 37(1), 62-69.</w:t>
      </w:r>
    </w:p>
    <w:p w:rsidR="00194D04" w:rsidRPr="00C34D98" w:rsidRDefault="00194D04" w:rsidP="00194D04">
      <w:pPr>
        <w:spacing w:line="360" w:lineRule="auto"/>
        <w:ind w:left="720" w:hanging="720"/>
        <w:jc w:val="both"/>
        <w:rPr>
          <w:color w:val="000000" w:themeColor="text1"/>
        </w:rPr>
      </w:pPr>
      <w:r w:rsidRPr="00C34D98">
        <w:rPr>
          <w:color w:val="000000" w:themeColor="text1"/>
        </w:rPr>
        <w:t xml:space="preserve">Wegener, D., Petty, R., Blankenship, K. and Detweiler-Bedell, B. 2010. Elaboration and numerical anchoring: Implications of attitude theories for consumer judgment and decision making. </w:t>
      </w:r>
      <w:r w:rsidRPr="00C34D98">
        <w:rPr>
          <w:i/>
          <w:color w:val="000000" w:themeColor="text1"/>
        </w:rPr>
        <w:t>Journal of Consumer Psychology</w:t>
      </w:r>
      <w:r w:rsidRPr="00C34D98">
        <w:rPr>
          <w:color w:val="000000" w:themeColor="text1"/>
        </w:rPr>
        <w:t>, 20 (1), 5-16.</w:t>
      </w:r>
      <w:r w:rsidRPr="00C34D98" w:rsidDel="00AA73E2">
        <w:rPr>
          <w:color w:val="000000" w:themeColor="text1"/>
        </w:rPr>
        <w:t xml:space="preserve"> </w:t>
      </w:r>
    </w:p>
    <w:p w:rsidR="00194D04" w:rsidRPr="00C34D98" w:rsidRDefault="00194D04" w:rsidP="00194D04">
      <w:pPr>
        <w:spacing w:line="360" w:lineRule="auto"/>
        <w:ind w:left="720" w:hanging="720"/>
        <w:jc w:val="both"/>
        <w:rPr>
          <w:color w:val="000000" w:themeColor="text1"/>
        </w:rPr>
      </w:pPr>
      <w:r w:rsidRPr="00C34D98">
        <w:rPr>
          <w:color w:val="000000" w:themeColor="text1"/>
        </w:rPr>
        <w:t xml:space="preserve">Wilson, T., Houston, C., Etling, K. and Brekke, N. 1996. A new look at anchoring effects: basic anchoring and its antecedents. </w:t>
      </w:r>
      <w:r w:rsidRPr="00C34D98">
        <w:rPr>
          <w:i/>
          <w:color w:val="000000" w:themeColor="text1"/>
        </w:rPr>
        <w:t>Journal of Experimental Psychology: General</w:t>
      </w:r>
      <w:r w:rsidRPr="00C34D98">
        <w:rPr>
          <w:color w:val="000000" w:themeColor="text1"/>
        </w:rPr>
        <w:t>, 125 (4), 387-402.</w:t>
      </w:r>
      <w:r w:rsidRPr="00C34D98" w:rsidDel="00AA73E2">
        <w:rPr>
          <w:color w:val="000000" w:themeColor="text1"/>
        </w:rPr>
        <w:t xml:space="preserve"> </w:t>
      </w:r>
    </w:p>
    <w:p w:rsidR="00194D04" w:rsidRPr="00C34D98" w:rsidRDefault="00194D04" w:rsidP="00194D04">
      <w:pPr>
        <w:spacing w:line="360" w:lineRule="auto"/>
        <w:ind w:left="720" w:hanging="720"/>
        <w:jc w:val="both"/>
        <w:rPr>
          <w:color w:val="000000" w:themeColor="text1"/>
        </w:rPr>
      </w:pPr>
      <w:r w:rsidRPr="00C34D98">
        <w:rPr>
          <w:color w:val="000000" w:themeColor="text1"/>
        </w:rPr>
        <w:t xml:space="preserve">Woisetschläger, D., Hanning, D. and Backhaus, C. 2016. Why frontline employees engage as idea collectors: An assessment of underlying motives and critical success factors. </w:t>
      </w:r>
      <w:r w:rsidRPr="00C34D98">
        <w:rPr>
          <w:i/>
          <w:color w:val="000000" w:themeColor="text1"/>
        </w:rPr>
        <w:t>Industrial Marketing Management</w:t>
      </w:r>
      <w:r w:rsidRPr="00C34D98">
        <w:rPr>
          <w:color w:val="000000" w:themeColor="text1"/>
        </w:rPr>
        <w:t>, 52, 109-116.</w:t>
      </w:r>
    </w:p>
    <w:p w:rsidR="00194D04" w:rsidRPr="00C34D98" w:rsidRDefault="00194D04" w:rsidP="00194D04">
      <w:pPr>
        <w:spacing w:line="360" w:lineRule="auto"/>
        <w:ind w:left="720" w:hanging="720"/>
        <w:jc w:val="both"/>
        <w:rPr>
          <w:color w:val="000000" w:themeColor="text1"/>
        </w:rPr>
      </w:pPr>
      <w:r w:rsidRPr="00C34D98">
        <w:rPr>
          <w:color w:val="000000" w:themeColor="text1"/>
        </w:rPr>
        <w:t xml:space="preserve">Zimmermann, A., Raisch, S. and Cardinal, L. 2018. Managing persistent tensions on the frontline: A configurational perspective on ambidexterity. </w:t>
      </w:r>
      <w:r w:rsidRPr="00C34D98">
        <w:rPr>
          <w:i/>
          <w:color w:val="000000" w:themeColor="text1"/>
        </w:rPr>
        <w:t>Journal of Management Studies</w:t>
      </w:r>
      <w:r w:rsidRPr="00C34D98">
        <w:rPr>
          <w:color w:val="000000" w:themeColor="text1"/>
        </w:rPr>
        <w:t xml:space="preserve">, 55 (5), 739-769. </w:t>
      </w:r>
    </w:p>
    <w:p w:rsidR="00194D04" w:rsidRPr="00C34D98" w:rsidRDefault="00194D04" w:rsidP="00194D04">
      <w:pPr>
        <w:spacing w:line="360" w:lineRule="auto"/>
        <w:ind w:left="720" w:hanging="720"/>
        <w:jc w:val="both"/>
        <w:rPr>
          <w:color w:val="000000" w:themeColor="text1"/>
        </w:rPr>
      </w:pPr>
      <w:r w:rsidRPr="00C34D98">
        <w:rPr>
          <w:color w:val="000000" w:themeColor="text1"/>
        </w:rPr>
        <w:t xml:space="preserve">Zinn, J. 2008. Heading into the Unknown - Everyday Strategies for Managing Risk &amp; Uncertainty. </w:t>
      </w:r>
      <w:r w:rsidRPr="00C34D98">
        <w:rPr>
          <w:i/>
          <w:iCs/>
          <w:color w:val="000000" w:themeColor="text1"/>
        </w:rPr>
        <w:t>Health, Risk &amp; Society,</w:t>
      </w:r>
      <w:r w:rsidRPr="00C34D98">
        <w:rPr>
          <w:color w:val="000000" w:themeColor="text1"/>
        </w:rPr>
        <w:t xml:space="preserve"> </w:t>
      </w:r>
      <w:r w:rsidRPr="00C34D98">
        <w:rPr>
          <w:iCs/>
          <w:color w:val="000000" w:themeColor="text1"/>
        </w:rPr>
        <w:t>10 (</w:t>
      </w:r>
      <w:r w:rsidRPr="00C34D98">
        <w:rPr>
          <w:color w:val="000000" w:themeColor="text1"/>
        </w:rPr>
        <w:t>5), 439-450.</w:t>
      </w:r>
    </w:p>
    <w:p w:rsidR="008A6AC5" w:rsidRDefault="008A6AC5" w:rsidP="008A6AC5">
      <w:pPr>
        <w:spacing w:line="360" w:lineRule="auto"/>
        <w:ind w:left="720" w:hanging="720"/>
        <w:jc w:val="both"/>
        <w:rPr>
          <w:color w:val="000000" w:themeColor="text1"/>
        </w:rPr>
      </w:pPr>
    </w:p>
    <w:p w:rsidR="00C34D98" w:rsidRPr="007A4E99" w:rsidRDefault="00C34D98" w:rsidP="00C34D98">
      <w:pPr>
        <w:spacing w:line="360" w:lineRule="auto"/>
        <w:ind w:left="720" w:hanging="720"/>
        <w:jc w:val="both"/>
        <w:rPr>
          <w:color w:val="000000" w:themeColor="text1"/>
        </w:rPr>
      </w:pPr>
      <w:r w:rsidRPr="00C34D98">
        <w:rPr>
          <w:color w:val="000000" w:themeColor="text1"/>
        </w:rPr>
        <w:t xml:space="preserve"> </w:t>
      </w:r>
    </w:p>
    <w:p w:rsidR="00C34D98" w:rsidRPr="007A4E99" w:rsidRDefault="00C34D98" w:rsidP="00955EE2">
      <w:pPr>
        <w:spacing w:line="360" w:lineRule="auto"/>
        <w:jc w:val="both"/>
        <w:rPr>
          <w:u w:val="single"/>
        </w:rPr>
      </w:pPr>
      <w:r w:rsidRPr="007A4E99">
        <w:rPr>
          <w:b/>
          <w:u w:val="single"/>
        </w:rPr>
        <w:t>Appendi</w:t>
      </w:r>
      <w:r w:rsidR="00995814">
        <w:rPr>
          <w:b/>
          <w:u w:val="single"/>
        </w:rPr>
        <w:t>x</w:t>
      </w:r>
      <w:r w:rsidRPr="007A4E99">
        <w:rPr>
          <w:b/>
          <w:u w:val="single"/>
        </w:rPr>
        <w:t>:</w:t>
      </w:r>
      <w:r w:rsidR="00AA7B25">
        <w:rPr>
          <w:b/>
          <w:u w:val="single"/>
        </w:rPr>
        <w:t xml:space="preserve"> </w:t>
      </w:r>
      <w:r w:rsidR="00AA7B25" w:rsidRPr="00AA7B25">
        <w:rPr>
          <w:u w:val="single"/>
        </w:rPr>
        <w:t xml:space="preserve">The </w:t>
      </w:r>
      <w:r w:rsidRPr="00AA7B25">
        <w:rPr>
          <w:u w:val="single"/>
        </w:rPr>
        <w:t>Questionnaire</w:t>
      </w:r>
      <w:r w:rsidRPr="007A4E99">
        <w:rPr>
          <w:u w:val="single"/>
        </w:rPr>
        <w:t xml:space="preserve"> </w:t>
      </w:r>
    </w:p>
    <w:p w:rsidR="004F0A93" w:rsidRPr="00955EE2" w:rsidRDefault="004F0A93" w:rsidP="004F0A93">
      <w:pPr>
        <w:jc w:val="both"/>
        <w:rPr>
          <w:b/>
          <w:i/>
        </w:rPr>
      </w:pPr>
      <w:r w:rsidRPr="00955EE2">
        <w:rPr>
          <w:b/>
          <w:i/>
        </w:rPr>
        <w:t>Part One</w:t>
      </w:r>
    </w:p>
    <w:p w:rsidR="004F0A93" w:rsidRPr="007A4E99" w:rsidRDefault="004F0A93" w:rsidP="004F0A93">
      <w:pPr>
        <w:jc w:val="both"/>
      </w:pPr>
      <w:r w:rsidRPr="007A4E99">
        <w:t>Background Information:</w:t>
      </w:r>
    </w:p>
    <w:p w:rsidR="004F0A93" w:rsidRDefault="004F0A93" w:rsidP="004F0A93">
      <w:pPr>
        <w:jc w:val="both"/>
      </w:pPr>
      <w:r w:rsidRPr="007A4E99">
        <w:t xml:space="preserve">How long have you worked for </w:t>
      </w:r>
      <w:r>
        <w:t>Organisation ‘A’</w:t>
      </w:r>
      <w:r w:rsidRPr="007A4E99">
        <w:t>?</w:t>
      </w:r>
    </w:p>
    <w:tbl>
      <w:tblPr>
        <w:tblStyle w:val="TableGrid"/>
        <w:tblW w:w="0" w:type="auto"/>
        <w:tblLook w:val="04A0" w:firstRow="1" w:lastRow="0" w:firstColumn="1" w:lastColumn="0" w:noHBand="0" w:noVBand="1"/>
      </w:tblPr>
      <w:tblGrid>
        <w:gridCol w:w="4961"/>
        <w:gridCol w:w="4962"/>
      </w:tblGrid>
      <w:tr w:rsidR="004F0A93" w:rsidTr="00BD38CA">
        <w:tc>
          <w:tcPr>
            <w:tcW w:w="4961" w:type="dxa"/>
          </w:tcPr>
          <w:p w:rsidR="004F0A93" w:rsidRDefault="004F0A93" w:rsidP="00BD38CA">
            <w:pPr>
              <w:jc w:val="both"/>
            </w:pPr>
            <w:r>
              <w:t>Less than 1 year (≤) 1year</w:t>
            </w:r>
          </w:p>
        </w:tc>
        <w:tc>
          <w:tcPr>
            <w:tcW w:w="4962" w:type="dxa"/>
          </w:tcPr>
          <w:p w:rsidR="004F0A93" w:rsidRDefault="004F0A93" w:rsidP="00BD38CA">
            <w:pPr>
              <w:jc w:val="both"/>
            </w:pPr>
            <w:r>
              <w:t xml:space="preserve">Greater than 1 year (≥), but less than (≤) 3 years </w:t>
            </w:r>
          </w:p>
        </w:tc>
      </w:tr>
      <w:tr w:rsidR="004F0A93" w:rsidTr="00BD38CA">
        <w:tc>
          <w:tcPr>
            <w:tcW w:w="4961" w:type="dxa"/>
          </w:tcPr>
          <w:p w:rsidR="004F0A93" w:rsidRDefault="004F0A93" w:rsidP="00BD38CA">
            <w:pPr>
              <w:jc w:val="both"/>
            </w:pPr>
            <w:r>
              <w:t>Greater than 3 years (≥), but less than (≤) 5 years</w:t>
            </w:r>
          </w:p>
        </w:tc>
        <w:tc>
          <w:tcPr>
            <w:tcW w:w="4962" w:type="dxa"/>
          </w:tcPr>
          <w:p w:rsidR="004F0A93" w:rsidRDefault="004F0A93" w:rsidP="00BD38CA">
            <w:pPr>
              <w:jc w:val="both"/>
            </w:pPr>
            <w:r>
              <w:t>Greater than (≥) 5 years</w:t>
            </w:r>
          </w:p>
        </w:tc>
      </w:tr>
    </w:tbl>
    <w:p w:rsidR="004F0A93" w:rsidRDefault="004F0A93" w:rsidP="004F0A93">
      <w:pPr>
        <w:jc w:val="both"/>
      </w:pPr>
    </w:p>
    <w:p w:rsidR="004F0A93" w:rsidRDefault="004F0A93" w:rsidP="004F0A93">
      <w:pPr>
        <w:jc w:val="both"/>
      </w:pPr>
      <w:r w:rsidRPr="00C34D98">
        <w:t>Have you worked at another company within the industry? If no, leave blank. If yes, how long for?</w:t>
      </w:r>
    </w:p>
    <w:tbl>
      <w:tblPr>
        <w:tblStyle w:val="TableGrid"/>
        <w:tblW w:w="0" w:type="auto"/>
        <w:tblLook w:val="04A0" w:firstRow="1" w:lastRow="0" w:firstColumn="1" w:lastColumn="0" w:noHBand="0" w:noVBand="1"/>
      </w:tblPr>
      <w:tblGrid>
        <w:gridCol w:w="4961"/>
        <w:gridCol w:w="4962"/>
      </w:tblGrid>
      <w:tr w:rsidR="004F0A93" w:rsidTr="00BD38CA">
        <w:tc>
          <w:tcPr>
            <w:tcW w:w="4961" w:type="dxa"/>
          </w:tcPr>
          <w:p w:rsidR="004F0A93" w:rsidRDefault="004F0A93" w:rsidP="00BD38CA">
            <w:pPr>
              <w:jc w:val="both"/>
            </w:pPr>
            <w:r>
              <w:t>Less than 1 year (≤) 1year</w:t>
            </w:r>
          </w:p>
        </w:tc>
        <w:tc>
          <w:tcPr>
            <w:tcW w:w="4962" w:type="dxa"/>
          </w:tcPr>
          <w:p w:rsidR="004F0A93" w:rsidRDefault="004F0A93" w:rsidP="00BD38CA">
            <w:pPr>
              <w:jc w:val="both"/>
            </w:pPr>
            <w:r>
              <w:t xml:space="preserve">Greater than 1 year (≥), but less than (≤) 3 years </w:t>
            </w:r>
          </w:p>
        </w:tc>
      </w:tr>
      <w:tr w:rsidR="004F0A93" w:rsidTr="00BD38CA">
        <w:tc>
          <w:tcPr>
            <w:tcW w:w="4961" w:type="dxa"/>
          </w:tcPr>
          <w:p w:rsidR="004F0A93" w:rsidRDefault="004F0A93" w:rsidP="00BD38CA">
            <w:pPr>
              <w:jc w:val="both"/>
            </w:pPr>
            <w:r>
              <w:t>Greater than 3 years (≥), but less than (≤) 5 years</w:t>
            </w:r>
          </w:p>
        </w:tc>
        <w:tc>
          <w:tcPr>
            <w:tcW w:w="4962" w:type="dxa"/>
          </w:tcPr>
          <w:p w:rsidR="004F0A93" w:rsidRDefault="004F0A93" w:rsidP="00BD38CA">
            <w:pPr>
              <w:jc w:val="both"/>
            </w:pPr>
            <w:r>
              <w:t>Greater than (≥) 5 years</w:t>
            </w:r>
          </w:p>
        </w:tc>
      </w:tr>
    </w:tbl>
    <w:p w:rsidR="004F0A93" w:rsidRDefault="004F0A93" w:rsidP="004F0A93">
      <w:pPr>
        <w:jc w:val="both"/>
      </w:pPr>
    </w:p>
    <w:p w:rsidR="004F0A93" w:rsidRDefault="004F0A93" w:rsidP="004F0A93">
      <w:pPr>
        <w:jc w:val="both"/>
      </w:pPr>
      <w:r w:rsidRPr="00494980">
        <w:t>What office are you located at?</w:t>
      </w:r>
    </w:p>
    <w:tbl>
      <w:tblPr>
        <w:tblStyle w:val="TableGrid"/>
        <w:tblW w:w="0" w:type="auto"/>
        <w:tblLook w:val="04A0" w:firstRow="1" w:lastRow="0" w:firstColumn="1" w:lastColumn="0" w:noHBand="0" w:noVBand="1"/>
      </w:tblPr>
      <w:tblGrid>
        <w:gridCol w:w="4961"/>
        <w:gridCol w:w="4962"/>
      </w:tblGrid>
      <w:tr w:rsidR="004F0A93" w:rsidTr="00BD38CA">
        <w:tc>
          <w:tcPr>
            <w:tcW w:w="4961" w:type="dxa"/>
          </w:tcPr>
          <w:p w:rsidR="004F0A93" w:rsidRDefault="004F0A93" w:rsidP="00BD38CA">
            <w:pPr>
              <w:jc w:val="both"/>
            </w:pPr>
            <w:r>
              <w:t>United Kingdom</w:t>
            </w:r>
          </w:p>
        </w:tc>
        <w:tc>
          <w:tcPr>
            <w:tcW w:w="4962" w:type="dxa"/>
          </w:tcPr>
          <w:p w:rsidR="004F0A93" w:rsidRDefault="004F0A93" w:rsidP="00BD38CA">
            <w:pPr>
              <w:jc w:val="both"/>
            </w:pPr>
            <w:r>
              <w:t>Turkey</w:t>
            </w:r>
          </w:p>
        </w:tc>
      </w:tr>
      <w:tr w:rsidR="004F0A93" w:rsidTr="00BD38CA">
        <w:tc>
          <w:tcPr>
            <w:tcW w:w="4961" w:type="dxa"/>
          </w:tcPr>
          <w:p w:rsidR="004F0A93" w:rsidRDefault="004F0A93" w:rsidP="00BD38CA">
            <w:pPr>
              <w:jc w:val="both"/>
            </w:pPr>
            <w:r>
              <w:t>United States</w:t>
            </w:r>
          </w:p>
        </w:tc>
        <w:tc>
          <w:tcPr>
            <w:tcW w:w="4962" w:type="dxa"/>
          </w:tcPr>
          <w:p w:rsidR="004F0A93" w:rsidRDefault="004F0A93" w:rsidP="00BD38CA">
            <w:pPr>
              <w:jc w:val="both"/>
            </w:pPr>
            <w:r>
              <w:t>United Arab Emirates</w:t>
            </w:r>
          </w:p>
        </w:tc>
      </w:tr>
    </w:tbl>
    <w:p w:rsidR="004F0A93" w:rsidRDefault="004F0A93" w:rsidP="004F0A93">
      <w:pPr>
        <w:jc w:val="both"/>
      </w:pPr>
    </w:p>
    <w:p w:rsidR="004F0A93" w:rsidRDefault="004F0A93" w:rsidP="004F0A93">
      <w:pPr>
        <w:jc w:val="both"/>
      </w:pPr>
      <w:r w:rsidRPr="00494980">
        <w:t>Which department do you work in, or most closely work with?</w:t>
      </w:r>
    </w:p>
    <w:tbl>
      <w:tblPr>
        <w:tblStyle w:val="TableGrid"/>
        <w:tblW w:w="0" w:type="auto"/>
        <w:tblLook w:val="04A0" w:firstRow="1" w:lastRow="0" w:firstColumn="1" w:lastColumn="0" w:noHBand="0" w:noVBand="1"/>
      </w:tblPr>
      <w:tblGrid>
        <w:gridCol w:w="4961"/>
        <w:gridCol w:w="4962"/>
      </w:tblGrid>
      <w:tr w:rsidR="004F0A93" w:rsidTr="00BD38CA">
        <w:tc>
          <w:tcPr>
            <w:tcW w:w="4961" w:type="dxa"/>
          </w:tcPr>
          <w:p w:rsidR="004F0A93" w:rsidRDefault="004F0A93" w:rsidP="00BD38CA">
            <w:pPr>
              <w:jc w:val="both"/>
            </w:pPr>
            <w:r>
              <w:t>Sales</w:t>
            </w:r>
          </w:p>
        </w:tc>
        <w:tc>
          <w:tcPr>
            <w:tcW w:w="4962" w:type="dxa"/>
          </w:tcPr>
          <w:p w:rsidR="004F0A93" w:rsidRDefault="004F0A93" w:rsidP="00BD38CA">
            <w:pPr>
              <w:jc w:val="both"/>
            </w:pPr>
            <w:r>
              <w:t>Accounts</w:t>
            </w:r>
          </w:p>
        </w:tc>
      </w:tr>
      <w:tr w:rsidR="004F0A93" w:rsidTr="00BD38CA">
        <w:tc>
          <w:tcPr>
            <w:tcW w:w="4961" w:type="dxa"/>
          </w:tcPr>
          <w:p w:rsidR="004F0A93" w:rsidRDefault="004F0A93" w:rsidP="00BD38CA">
            <w:pPr>
              <w:jc w:val="both"/>
            </w:pPr>
            <w:r>
              <w:t>Operations</w:t>
            </w:r>
          </w:p>
        </w:tc>
        <w:tc>
          <w:tcPr>
            <w:tcW w:w="4962" w:type="dxa"/>
          </w:tcPr>
          <w:p w:rsidR="004F0A93" w:rsidRDefault="004F0A93" w:rsidP="00BD38CA">
            <w:pPr>
              <w:jc w:val="both"/>
            </w:pPr>
            <w:r>
              <w:t>Other</w:t>
            </w:r>
          </w:p>
        </w:tc>
      </w:tr>
    </w:tbl>
    <w:p w:rsidR="004F0A93" w:rsidRDefault="004F0A93" w:rsidP="004F0A93">
      <w:pPr>
        <w:jc w:val="both"/>
      </w:pPr>
    </w:p>
    <w:p w:rsidR="004F0A93" w:rsidRDefault="004F0A93" w:rsidP="004F0A93">
      <w:pPr>
        <w:jc w:val="both"/>
      </w:pPr>
      <w:r>
        <w:t>Part One</w:t>
      </w:r>
    </w:p>
    <w:p w:rsidR="004F0A93" w:rsidRDefault="004F0A93" w:rsidP="004F0A93">
      <w:pPr>
        <w:jc w:val="both"/>
      </w:pPr>
      <w:r w:rsidRPr="008A3089">
        <w:t>1) During 2017, was Heathrow’s (LHR) cargo volume higher or lower than 1,000,000 metric tonnes?</w:t>
      </w:r>
    </w:p>
    <w:tbl>
      <w:tblPr>
        <w:tblStyle w:val="TableGrid"/>
        <w:tblW w:w="0" w:type="auto"/>
        <w:tblLook w:val="04A0" w:firstRow="1" w:lastRow="0" w:firstColumn="1" w:lastColumn="0" w:noHBand="0" w:noVBand="1"/>
      </w:tblPr>
      <w:tblGrid>
        <w:gridCol w:w="4961"/>
      </w:tblGrid>
      <w:tr w:rsidR="004F0A93" w:rsidTr="00BD38CA">
        <w:tc>
          <w:tcPr>
            <w:tcW w:w="4961" w:type="dxa"/>
          </w:tcPr>
          <w:p w:rsidR="004F0A93" w:rsidRDefault="004F0A93" w:rsidP="00BD38CA">
            <w:pPr>
              <w:jc w:val="both"/>
            </w:pPr>
            <w:r>
              <w:t>Higher</w:t>
            </w:r>
          </w:p>
        </w:tc>
      </w:tr>
      <w:tr w:rsidR="004F0A93" w:rsidTr="00BD38CA">
        <w:tc>
          <w:tcPr>
            <w:tcW w:w="4961" w:type="dxa"/>
          </w:tcPr>
          <w:p w:rsidR="004F0A93" w:rsidRDefault="004F0A93" w:rsidP="00BD38CA">
            <w:pPr>
              <w:jc w:val="both"/>
            </w:pPr>
            <w:r>
              <w:t>Lower</w:t>
            </w:r>
          </w:p>
        </w:tc>
      </w:tr>
    </w:tbl>
    <w:p w:rsidR="004F0A93" w:rsidRDefault="004F0A93" w:rsidP="004F0A93">
      <w:pPr>
        <w:jc w:val="both"/>
      </w:pPr>
    </w:p>
    <w:p w:rsidR="004F0A93" w:rsidRDefault="004F0A93" w:rsidP="004F0A93">
      <w:pPr>
        <w:jc w:val="both"/>
      </w:pPr>
      <w:r w:rsidRPr="004E0025">
        <w:lastRenderedPageBreak/>
        <w:t>2) Estimate Heathrow’s cargo volume (in metric tonnes) during 2017.</w:t>
      </w:r>
    </w:p>
    <w:tbl>
      <w:tblPr>
        <w:tblStyle w:val="TableGrid"/>
        <w:tblW w:w="0" w:type="auto"/>
        <w:tblLook w:val="04A0" w:firstRow="1" w:lastRow="0" w:firstColumn="1" w:lastColumn="0" w:noHBand="0" w:noVBand="1"/>
      </w:tblPr>
      <w:tblGrid>
        <w:gridCol w:w="4961"/>
      </w:tblGrid>
      <w:tr w:rsidR="004F0A93" w:rsidTr="00BD38CA">
        <w:tc>
          <w:tcPr>
            <w:tcW w:w="4961" w:type="dxa"/>
          </w:tcPr>
          <w:p w:rsidR="004F0A93" w:rsidRDefault="004F0A93" w:rsidP="00BD38CA">
            <w:pPr>
              <w:jc w:val="both"/>
            </w:pPr>
          </w:p>
        </w:tc>
      </w:tr>
    </w:tbl>
    <w:p w:rsidR="004F0A93" w:rsidRDefault="004F0A93" w:rsidP="004F0A93">
      <w:pPr>
        <w:jc w:val="both"/>
      </w:pPr>
    </w:p>
    <w:p w:rsidR="004F0A93" w:rsidRDefault="004F0A93" w:rsidP="004F0A93">
      <w:pPr>
        <w:jc w:val="both"/>
      </w:pPr>
      <w:r>
        <w:t xml:space="preserve">3) X has offices located across the world. One of the overseas offices is located in Lagos, Nigeria. </w:t>
      </w:r>
    </w:p>
    <w:p w:rsidR="004F0A93" w:rsidRDefault="004F0A93" w:rsidP="004F0A93">
      <w:pPr>
        <w:jc w:val="both"/>
      </w:pPr>
      <w:r>
        <w:t>Is the population of Nigeria higher or lower than 110m?</w:t>
      </w:r>
    </w:p>
    <w:tbl>
      <w:tblPr>
        <w:tblStyle w:val="TableGrid"/>
        <w:tblW w:w="0" w:type="auto"/>
        <w:tblLook w:val="04A0" w:firstRow="1" w:lastRow="0" w:firstColumn="1" w:lastColumn="0" w:noHBand="0" w:noVBand="1"/>
      </w:tblPr>
      <w:tblGrid>
        <w:gridCol w:w="4961"/>
      </w:tblGrid>
      <w:tr w:rsidR="004F0A93" w:rsidTr="00BD38CA">
        <w:tc>
          <w:tcPr>
            <w:tcW w:w="4961" w:type="dxa"/>
          </w:tcPr>
          <w:p w:rsidR="004F0A93" w:rsidRDefault="004F0A93" w:rsidP="00BD38CA">
            <w:pPr>
              <w:jc w:val="both"/>
            </w:pPr>
            <w:r>
              <w:t>Higher</w:t>
            </w:r>
          </w:p>
        </w:tc>
      </w:tr>
      <w:tr w:rsidR="004F0A93" w:rsidTr="00BD38CA">
        <w:tc>
          <w:tcPr>
            <w:tcW w:w="4961" w:type="dxa"/>
          </w:tcPr>
          <w:p w:rsidR="004F0A93" w:rsidRDefault="004F0A93" w:rsidP="00BD38CA">
            <w:pPr>
              <w:jc w:val="both"/>
            </w:pPr>
            <w:r>
              <w:t>Lower</w:t>
            </w:r>
          </w:p>
        </w:tc>
      </w:tr>
    </w:tbl>
    <w:p w:rsidR="004F0A93" w:rsidRDefault="004F0A93" w:rsidP="004F0A93">
      <w:pPr>
        <w:jc w:val="both"/>
      </w:pPr>
    </w:p>
    <w:p w:rsidR="004F0A93" w:rsidRDefault="004F0A93" w:rsidP="004F0A93">
      <w:pPr>
        <w:jc w:val="both"/>
      </w:pPr>
      <w:r w:rsidRPr="00F77549">
        <w:t>4) Estimate the population of Nigeria to the nearest million.</w:t>
      </w:r>
    </w:p>
    <w:tbl>
      <w:tblPr>
        <w:tblStyle w:val="TableGrid"/>
        <w:tblW w:w="0" w:type="auto"/>
        <w:tblLook w:val="04A0" w:firstRow="1" w:lastRow="0" w:firstColumn="1" w:lastColumn="0" w:noHBand="0" w:noVBand="1"/>
      </w:tblPr>
      <w:tblGrid>
        <w:gridCol w:w="4961"/>
      </w:tblGrid>
      <w:tr w:rsidR="004F0A93" w:rsidTr="00BD38CA">
        <w:tc>
          <w:tcPr>
            <w:tcW w:w="4961" w:type="dxa"/>
          </w:tcPr>
          <w:p w:rsidR="004F0A93" w:rsidRDefault="004F0A93" w:rsidP="00BD38CA">
            <w:pPr>
              <w:jc w:val="both"/>
            </w:pPr>
          </w:p>
        </w:tc>
      </w:tr>
    </w:tbl>
    <w:p w:rsidR="004F0A93" w:rsidRDefault="004F0A93" w:rsidP="004F0A93">
      <w:pPr>
        <w:jc w:val="both"/>
        <w:rPr>
          <w:b/>
        </w:rPr>
      </w:pPr>
    </w:p>
    <w:p w:rsidR="004F0A93" w:rsidRDefault="004F0A93" w:rsidP="004F0A93">
      <w:pPr>
        <w:jc w:val="both"/>
      </w:pPr>
      <w:r w:rsidRPr="00F77549">
        <w:t>5) Is the air distance between LHR and HKG (London Heathrow Airport- Hong Kong International Airport) higher or lower than 10,000 miles/16,093 kilometres?</w:t>
      </w:r>
    </w:p>
    <w:tbl>
      <w:tblPr>
        <w:tblStyle w:val="TableGrid"/>
        <w:tblW w:w="0" w:type="auto"/>
        <w:tblLook w:val="04A0" w:firstRow="1" w:lastRow="0" w:firstColumn="1" w:lastColumn="0" w:noHBand="0" w:noVBand="1"/>
      </w:tblPr>
      <w:tblGrid>
        <w:gridCol w:w="4961"/>
      </w:tblGrid>
      <w:tr w:rsidR="004F0A93" w:rsidTr="00BD38CA">
        <w:tc>
          <w:tcPr>
            <w:tcW w:w="4961" w:type="dxa"/>
          </w:tcPr>
          <w:p w:rsidR="004F0A93" w:rsidRDefault="004F0A93" w:rsidP="00BD38CA">
            <w:pPr>
              <w:jc w:val="both"/>
            </w:pPr>
            <w:r>
              <w:t>Higher</w:t>
            </w:r>
          </w:p>
        </w:tc>
      </w:tr>
      <w:tr w:rsidR="004F0A93" w:rsidTr="00BD38CA">
        <w:tc>
          <w:tcPr>
            <w:tcW w:w="4961" w:type="dxa"/>
          </w:tcPr>
          <w:p w:rsidR="004F0A93" w:rsidRDefault="004F0A93" w:rsidP="00BD38CA">
            <w:pPr>
              <w:jc w:val="both"/>
            </w:pPr>
            <w:r>
              <w:t>Lower</w:t>
            </w:r>
          </w:p>
        </w:tc>
      </w:tr>
    </w:tbl>
    <w:p w:rsidR="004F0A93" w:rsidRDefault="004F0A93" w:rsidP="004F0A93">
      <w:pPr>
        <w:jc w:val="both"/>
        <w:rPr>
          <w:b/>
        </w:rPr>
      </w:pPr>
    </w:p>
    <w:p w:rsidR="004F0A93" w:rsidRDefault="004F0A93" w:rsidP="004F0A93">
      <w:pPr>
        <w:jc w:val="both"/>
      </w:pPr>
      <w:r w:rsidRPr="00955EE2">
        <w:t>6) Estimate the air distance between LHR and HKG in miles or kilometres (please specify).</w:t>
      </w:r>
    </w:p>
    <w:tbl>
      <w:tblPr>
        <w:tblStyle w:val="TableGrid"/>
        <w:tblW w:w="0" w:type="auto"/>
        <w:tblLook w:val="04A0" w:firstRow="1" w:lastRow="0" w:firstColumn="1" w:lastColumn="0" w:noHBand="0" w:noVBand="1"/>
      </w:tblPr>
      <w:tblGrid>
        <w:gridCol w:w="4961"/>
      </w:tblGrid>
      <w:tr w:rsidR="004F0A93" w:rsidTr="00BD38CA">
        <w:tc>
          <w:tcPr>
            <w:tcW w:w="4961" w:type="dxa"/>
          </w:tcPr>
          <w:p w:rsidR="004F0A93" w:rsidRDefault="004F0A93" w:rsidP="00BD38CA">
            <w:pPr>
              <w:jc w:val="both"/>
            </w:pPr>
          </w:p>
        </w:tc>
      </w:tr>
    </w:tbl>
    <w:p w:rsidR="004F0A93" w:rsidRDefault="004F0A93" w:rsidP="004F0A93">
      <w:pPr>
        <w:jc w:val="both"/>
        <w:rPr>
          <w:b/>
        </w:rPr>
      </w:pPr>
    </w:p>
    <w:p w:rsidR="004F0A93" w:rsidRPr="00955EE2" w:rsidRDefault="004F0A93" w:rsidP="004F0A93">
      <w:pPr>
        <w:jc w:val="both"/>
        <w:rPr>
          <w:b/>
          <w:i/>
        </w:rPr>
      </w:pPr>
      <w:r w:rsidRPr="00955EE2">
        <w:rPr>
          <w:b/>
          <w:i/>
        </w:rPr>
        <w:t xml:space="preserve">Part </w:t>
      </w:r>
      <w:r>
        <w:rPr>
          <w:b/>
          <w:i/>
        </w:rPr>
        <w:t>Two</w:t>
      </w:r>
    </w:p>
    <w:p w:rsidR="004F0A93" w:rsidRPr="00955EE2" w:rsidRDefault="004F0A93" w:rsidP="004F0A93">
      <w:pPr>
        <w:jc w:val="both"/>
      </w:pPr>
      <w:r w:rsidRPr="00955EE2">
        <w:t>7) X is aiming to develop a new internal communication system between offices located around the world for use during urgent circumstances. For it to function properly, each of the 10 relay centres needed must be operational, with each centre having a 97% chance of being operational at any given time. You are about to send a message using the system. Estimate the probability (%) of the message successfully reaching its destination.</w:t>
      </w:r>
    </w:p>
    <w:tbl>
      <w:tblPr>
        <w:tblStyle w:val="TableGrid"/>
        <w:tblW w:w="0" w:type="auto"/>
        <w:tblLook w:val="04A0" w:firstRow="1" w:lastRow="0" w:firstColumn="1" w:lastColumn="0" w:noHBand="0" w:noVBand="1"/>
      </w:tblPr>
      <w:tblGrid>
        <w:gridCol w:w="4961"/>
      </w:tblGrid>
      <w:tr w:rsidR="004F0A93" w:rsidRPr="00955EE2" w:rsidTr="00BD38CA">
        <w:tc>
          <w:tcPr>
            <w:tcW w:w="4961" w:type="dxa"/>
          </w:tcPr>
          <w:p w:rsidR="004F0A93" w:rsidRPr="00955EE2" w:rsidRDefault="004F0A93" w:rsidP="00BD38CA">
            <w:pPr>
              <w:jc w:val="both"/>
            </w:pPr>
          </w:p>
        </w:tc>
      </w:tr>
    </w:tbl>
    <w:p w:rsidR="004F0A93" w:rsidRDefault="004F0A93" w:rsidP="004F0A93">
      <w:pPr>
        <w:jc w:val="both"/>
        <w:rPr>
          <w:b/>
        </w:rPr>
      </w:pPr>
    </w:p>
    <w:p w:rsidR="004F0A93" w:rsidRPr="00955EE2" w:rsidRDefault="004F0A93" w:rsidP="004F0A93">
      <w:pPr>
        <w:jc w:val="both"/>
      </w:pPr>
      <w:r w:rsidRPr="00B33E5A">
        <w:t>8) A customer has recently begun using the services of X due to being unhappy elsewhere. This customer specialises in urgent deliveries and is expecting to have 13 heavy cargo items that need to be transported in the next 5 months. You think that as it is urgent, you could suggest using air freight as the supplier you have in mind is very reliable, attributing a 99% chance of a smooth process for each load. The customer agrees and asks for you to estimate the possibility that all of the loads will reach their destination without an issue. What is the probability (%) of this occurring?</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p>
        </w:tc>
      </w:tr>
    </w:tbl>
    <w:p w:rsidR="004F0A93" w:rsidRDefault="004F0A93" w:rsidP="004F0A93">
      <w:pPr>
        <w:jc w:val="both"/>
        <w:rPr>
          <w:b/>
        </w:rPr>
      </w:pPr>
    </w:p>
    <w:p w:rsidR="004F0A93" w:rsidRPr="00955EE2" w:rsidRDefault="004F0A93" w:rsidP="004F0A93">
      <w:pPr>
        <w:jc w:val="both"/>
      </w:pPr>
      <w:r w:rsidRPr="00B33E5A">
        <w:t>9) X are attempting to diversify by expanding their business. Warehousing is now being offered as a service to customers and this is being funded by the main transport operations. You are assessing whether future circumstances in the logistics industry may inhibit the financing of this new business. You attribute an 85% chance that each of the following circumstances will remain favourable (or at least relatively stable) over the next year</w:t>
      </w:r>
      <w:r w:rsidRPr="00955EE2">
        <w:t>.</w:t>
      </w:r>
    </w:p>
    <w:tbl>
      <w:tblPr>
        <w:tblStyle w:val="TableGrid"/>
        <w:tblW w:w="0" w:type="auto"/>
        <w:tblLook w:val="04A0" w:firstRow="1" w:lastRow="0" w:firstColumn="1" w:lastColumn="0" w:noHBand="0" w:noVBand="1"/>
      </w:tblPr>
      <w:tblGrid>
        <w:gridCol w:w="9895"/>
      </w:tblGrid>
      <w:tr w:rsidR="004F0A93" w:rsidRPr="007A4E99" w:rsidTr="00BD38CA">
        <w:tc>
          <w:tcPr>
            <w:tcW w:w="9895" w:type="dxa"/>
          </w:tcPr>
          <w:p w:rsidR="004F0A93" w:rsidRPr="00955EE2" w:rsidRDefault="004F0A93" w:rsidP="00BD38CA">
            <w:pPr>
              <w:jc w:val="both"/>
            </w:pPr>
            <w:r w:rsidRPr="00B33E5A">
              <w:t>The demand for transport services.</w:t>
            </w:r>
          </w:p>
        </w:tc>
      </w:tr>
      <w:tr w:rsidR="004F0A93" w:rsidRPr="007A4E99" w:rsidTr="00BD38CA">
        <w:tc>
          <w:tcPr>
            <w:tcW w:w="9895" w:type="dxa"/>
          </w:tcPr>
          <w:p w:rsidR="004F0A93" w:rsidRPr="00955EE2" w:rsidRDefault="004F0A93" w:rsidP="00BD38CA">
            <w:pPr>
              <w:jc w:val="both"/>
            </w:pPr>
            <w:r w:rsidRPr="00B33E5A">
              <w:t>The projected traffic volume (or capacity freight) available.</w:t>
            </w:r>
          </w:p>
        </w:tc>
      </w:tr>
      <w:tr w:rsidR="004F0A93" w:rsidRPr="007A4E99" w:rsidTr="00BD38CA">
        <w:tc>
          <w:tcPr>
            <w:tcW w:w="9895" w:type="dxa"/>
          </w:tcPr>
          <w:p w:rsidR="004F0A93" w:rsidRPr="00955EE2" w:rsidRDefault="004F0A93" w:rsidP="00BD38CA">
            <w:pPr>
              <w:jc w:val="both"/>
            </w:pPr>
            <w:r w:rsidRPr="00B33E5A">
              <w:t>The cost of transport services.</w:t>
            </w:r>
          </w:p>
        </w:tc>
      </w:tr>
      <w:tr w:rsidR="004F0A93" w:rsidRPr="007A4E99" w:rsidTr="00BD38CA">
        <w:tc>
          <w:tcPr>
            <w:tcW w:w="9895" w:type="dxa"/>
          </w:tcPr>
          <w:p w:rsidR="004F0A93" w:rsidRPr="00955EE2" w:rsidRDefault="004F0A93" w:rsidP="00BD38CA">
            <w:pPr>
              <w:jc w:val="both"/>
            </w:pPr>
            <w:r w:rsidRPr="00B33E5A">
              <w:t>The tax and fare costs across relevant areas.</w:t>
            </w:r>
          </w:p>
        </w:tc>
      </w:tr>
    </w:tbl>
    <w:p w:rsidR="004F0A93" w:rsidRDefault="004F0A93" w:rsidP="004F0A93">
      <w:pPr>
        <w:jc w:val="both"/>
        <w:rPr>
          <w:b/>
        </w:rPr>
      </w:pPr>
    </w:p>
    <w:p w:rsidR="004F0A93" w:rsidRPr="00B33E5A" w:rsidRDefault="004F0A93" w:rsidP="004F0A93">
      <w:pPr>
        <w:jc w:val="both"/>
        <w:rPr>
          <w:i/>
        </w:rPr>
      </w:pPr>
      <w:r w:rsidRPr="00B33E5A">
        <w:rPr>
          <w:i/>
        </w:rPr>
        <w:t>What is the probability (%) that all of these circumstances will remain favourable, or at least stable?</w:t>
      </w:r>
    </w:p>
    <w:p w:rsidR="004F0A93" w:rsidRDefault="004F0A93" w:rsidP="004F0A93">
      <w:pPr>
        <w:jc w:val="both"/>
        <w:rPr>
          <w:b/>
        </w:rPr>
      </w:pPr>
    </w:p>
    <w:p w:rsidR="004F0A93" w:rsidRPr="00955EE2" w:rsidRDefault="004F0A93" w:rsidP="004F0A93">
      <w:pPr>
        <w:jc w:val="both"/>
        <w:rPr>
          <w:b/>
          <w:i/>
        </w:rPr>
      </w:pPr>
      <w:r w:rsidRPr="00955EE2">
        <w:rPr>
          <w:b/>
          <w:i/>
        </w:rPr>
        <w:t xml:space="preserve">Part </w:t>
      </w:r>
      <w:r>
        <w:rPr>
          <w:b/>
          <w:i/>
        </w:rPr>
        <w:t>Three</w:t>
      </w:r>
    </w:p>
    <w:p w:rsidR="004F0A93" w:rsidRPr="00955EE2" w:rsidRDefault="004F0A93" w:rsidP="004F0A93">
      <w:pPr>
        <w:jc w:val="both"/>
      </w:pPr>
      <w:r w:rsidRPr="00E0297A">
        <w:lastRenderedPageBreak/>
        <w:t>10) You are currently dealing with 10 customers who supply a large amount of business to the company. Each of these customers have a 5% chance of leaving for a competitor in the next year, based on previous data. Estimate the probability (%) that at least one of these customers will do so (assuming that chance of one customer leaving is independent of other customers’ decisions).</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p>
        </w:tc>
      </w:tr>
    </w:tbl>
    <w:p w:rsidR="004F0A93" w:rsidRDefault="004F0A93" w:rsidP="004F0A93">
      <w:pPr>
        <w:jc w:val="both"/>
        <w:rPr>
          <w:b/>
        </w:rPr>
      </w:pPr>
    </w:p>
    <w:p w:rsidR="004F0A93" w:rsidRPr="00955EE2" w:rsidRDefault="004F0A93" w:rsidP="004F0A93">
      <w:pPr>
        <w:jc w:val="both"/>
      </w:pPr>
      <w:r w:rsidRPr="00E0297A">
        <w:t>11) There is roughly a 3% chance for each of the following circumstances to occur during a job:</w:t>
      </w:r>
    </w:p>
    <w:tbl>
      <w:tblPr>
        <w:tblStyle w:val="TableGrid"/>
        <w:tblW w:w="0" w:type="auto"/>
        <w:tblLook w:val="04A0" w:firstRow="1" w:lastRow="0" w:firstColumn="1" w:lastColumn="0" w:noHBand="0" w:noVBand="1"/>
      </w:tblPr>
      <w:tblGrid>
        <w:gridCol w:w="9895"/>
      </w:tblGrid>
      <w:tr w:rsidR="004F0A93" w:rsidRPr="007A4E99" w:rsidTr="00BD38CA">
        <w:tc>
          <w:tcPr>
            <w:tcW w:w="9895" w:type="dxa"/>
          </w:tcPr>
          <w:p w:rsidR="004F0A93" w:rsidRPr="00955EE2" w:rsidRDefault="004F0A93" w:rsidP="00BD38CA">
            <w:pPr>
              <w:jc w:val="both"/>
            </w:pPr>
            <w:r w:rsidRPr="00E0297A">
              <w:t>Cargo is held at customs for an undisclosed reason.</w:t>
            </w:r>
          </w:p>
        </w:tc>
      </w:tr>
      <w:tr w:rsidR="004F0A93" w:rsidRPr="007A4E99" w:rsidTr="00BD38CA">
        <w:tc>
          <w:tcPr>
            <w:tcW w:w="9895" w:type="dxa"/>
          </w:tcPr>
          <w:p w:rsidR="004F0A93" w:rsidRPr="00955EE2" w:rsidRDefault="004F0A93" w:rsidP="00BD38CA">
            <w:pPr>
              <w:jc w:val="both"/>
            </w:pPr>
            <w:r w:rsidRPr="00E0297A">
              <w:t>Cargo becomes damaged during transit.</w:t>
            </w:r>
          </w:p>
        </w:tc>
      </w:tr>
      <w:tr w:rsidR="004F0A93" w:rsidRPr="007A4E99" w:rsidTr="00BD38CA">
        <w:tc>
          <w:tcPr>
            <w:tcW w:w="9895" w:type="dxa"/>
          </w:tcPr>
          <w:p w:rsidR="004F0A93" w:rsidRPr="00955EE2" w:rsidRDefault="004F0A93" w:rsidP="00BD38CA">
            <w:pPr>
              <w:jc w:val="both"/>
            </w:pPr>
            <w:r w:rsidRPr="00E0297A">
              <w:t>There has been an incorrect declaration on the customs document.</w:t>
            </w:r>
          </w:p>
        </w:tc>
      </w:tr>
      <w:tr w:rsidR="004F0A93" w:rsidRPr="007A4E99" w:rsidTr="00BD38CA">
        <w:tc>
          <w:tcPr>
            <w:tcW w:w="9895" w:type="dxa"/>
          </w:tcPr>
          <w:p w:rsidR="004F0A93" w:rsidRPr="00955EE2" w:rsidRDefault="004F0A93" w:rsidP="00BD38CA">
            <w:pPr>
              <w:jc w:val="both"/>
            </w:pPr>
            <w:r w:rsidRPr="00E0297A">
              <w:t>The collecting vehicle breaks down.</w:t>
            </w:r>
          </w:p>
        </w:tc>
      </w:tr>
      <w:tr w:rsidR="004F0A93" w:rsidRPr="007A4E99" w:rsidTr="00BD38CA">
        <w:tc>
          <w:tcPr>
            <w:tcW w:w="9895" w:type="dxa"/>
          </w:tcPr>
          <w:p w:rsidR="004F0A93" w:rsidRPr="00955EE2" w:rsidRDefault="004F0A93" w:rsidP="00BD38CA">
            <w:pPr>
              <w:jc w:val="both"/>
            </w:pPr>
            <w:r w:rsidRPr="00E0297A">
              <w:t>Freight gets bumped from a flight due to unavailable space.</w:t>
            </w:r>
          </w:p>
        </w:tc>
      </w:tr>
      <w:tr w:rsidR="004F0A93" w:rsidRPr="007A4E99" w:rsidTr="00BD38CA">
        <w:tc>
          <w:tcPr>
            <w:tcW w:w="9895" w:type="dxa"/>
          </w:tcPr>
          <w:p w:rsidR="004F0A93" w:rsidRPr="00955EE2" w:rsidRDefault="004F0A93" w:rsidP="00BD38CA">
            <w:pPr>
              <w:jc w:val="both"/>
            </w:pPr>
            <w:r w:rsidRPr="00E0297A">
              <w:t>Delay in the packing process.</w:t>
            </w:r>
          </w:p>
        </w:tc>
      </w:tr>
    </w:tbl>
    <w:p w:rsidR="004F0A93" w:rsidRPr="00E0297A" w:rsidRDefault="004F0A93" w:rsidP="004F0A93">
      <w:pPr>
        <w:jc w:val="both"/>
        <w:rPr>
          <w:i/>
        </w:rPr>
      </w:pPr>
      <w:r w:rsidRPr="00E0297A">
        <w:rPr>
          <w:i/>
        </w:rPr>
        <w:t>What is the probability (%) that at least one of these events occur?</w:t>
      </w:r>
    </w:p>
    <w:p w:rsidR="004F0A93" w:rsidRDefault="004F0A93" w:rsidP="004F0A93">
      <w:pPr>
        <w:jc w:val="both"/>
        <w:rPr>
          <w:b/>
        </w:rPr>
      </w:pPr>
    </w:p>
    <w:p w:rsidR="004F0A93" w:rsidRDefault="004F0A93" w:rsidP="004F0A93">
      <w:pPr>
        <w:jc w:val="both"/>
      </w:pPr>
      <w:r w:rsidRPr="00E0297A">
        <w:t>12) X are proposing an innovative new venture in which drones are being considered for transporting goods locally. They wish to begin trial operations as quick as possible to try and capture an early-adopter market. There are numerous risks involved, and if any of the following occur, the project will be delayed.  You attribute roughly a 10% chance to each of these events.</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r w:rsidRPr="00E0297A">
              <w:t>Failure to receive regulatory approval.</w:t>
            </w:r>
          </w:p>
        </w:tc>
      </w:tr>
      <w:tr w:rsidR="004F0A93" w:rsidRPr="007A4E99" w:rsidTr="00BD38CA">
        <w:tc>
          <w:tcPr>
            <w:tcW w:w="4961" w:type="dxa"/>
          </w:tcPr>
          <w:p w:rsidR="004F0A93" w:rsidRPr="00955EE2" w:rsidRDefault="004F0A93" w:rsidP="00BD38CA">
            <w:pPr>
              <w:jc w:val="both"/>
            </w:pPr>
            <w:r w:rsidRPr="00B93D34">
              <w:t>Failure to receive the appropriate funding.</w:t>
            </w:r>
          </w:p>
        </w:tc>
      </w:tr>
      <w:tr w:rsidR="004F0A93" w:rsidRPr="007A4E99" w:rsidTr="00BD38CA">
        <w:tc>
          <w:tcPr>
            <w:tcW w:w="4961" w:type="dxa"/>
          </w:tcPr>
          <w:p w:rsidR="004F0A93" w:rsidRPr="00955EE2" w:rsidRDefault="004F0A93" w:rsidP="00BD38CA">
            <w:pPr>
              <w:jc w:val="both"/>
            </w:pPr>
            <w:r w:rsidRPr="00B93D34">
              <w:t>Supplier failing to produce an adequate number of prototypes.</w:t>
            </w:r>
          </w:p>
        </w:tc>
      </w:tr>
    </w:tbl>
    <w:p w:rsidR="004F0A93" w:rsidRDefault="004F0A93" w:rsidP="004F0A93">
      <w:pPr>
        <w:jc w:val="both"/>
        <w:rPr>
          <w:i/>
        </w:rPr>
      </w:pPr>
      <w:r w:rsidRPr="00B93D34">
        <w:rPr>
          <w:i/>
        </w:rPr>
        <w:t>What is the probability (%) that at least one of these events occur?</w:t>
      </w:r>
    </w:p>
    <w:p w:rsidR="004F0A93" w:rsidRDefault="004F0A93" w:rsidP="004F0A93">
      <w:pPr>
        <w:jc w:val="both"/>
        <w:rPr>
          <w:i/>
        </w:rPr>
      </w:pPr>
    </w:p>
    <w:p w:rsidR="004F0A93" w:rsidRPr="00955EE2" w:rsidRDefault="004F0A93" w:rsidP="004F0A93">
      <w:pPr>
        <w:jc w:val="both"/>
        <w:rPr>
          <w:b/>
          <w:i/>
        </w:rPr>
      </w:pPr>
      <w:r w:rsidRPr="00955EE2">
        <w:rPr>
          <w:b/>
          <w:i/>
        </w:rPr>
        <w:t xml:space="preserve">Part </w:t>
      </w:r>
      <w:r>
        <w:rPr>
          <w:b/>
          <w:i/>
        </w:rPr>
        <w:t>Four</w:t>
      </w:r>
    </w:p>
    <w:p w:rsidR="004F0A93" w:rsidRDefault="004F0A93" w:rsidP="004F0A93">
      <w:pPr>
        <w:jc w:val="both"/>
      </w:pPr>
      <w:r>
        <w:t>For the following routes, please give your best estimates of the air distance (airport to airport), in miles or kilometres (please specify), between the starting and finishing location. For the same routes, please also place a lower and upper bound around your estimate so that you are 90% confident the range will include the correct quantity:</w:t>
      </w:r>
    </w:p>
    <w:p w:rsidR="004F0A93" w:rsidRDefault="004F0A93" w:rsidP="004F0A93">
      <w:pPr>
        <w:ind w:firstLine="720"/>
        <w:jc w:val="both"/>
      </w:pPr>
      <w:r>
        <w:t xml:space="preserve">For example, I believe that the distance from Central London to Southampton is 85 miles. I am 90% confident that the true value will be between 60 miles (lower bound) and 110 miles (upper bound).  </w:t>
      </w:r>
    </w:p>
    <w:tbl>
      <w:tblPr>
        <w:tblStyle w:val="TableGrid"/>
        <w:tblW w:w="0" w:type="auto"/>
        <w:tblLook w:val="04A0" w:firstRow="1" w:lastRow="0" w:firstColumn="1" w:lastColumn="0" w:noHBand="0" w:noVBand="1"/>
      </w:tblPr>
      <w:tblGrid>
        <w:gridCol w:w="5395"/>
        <w:gridCol w:w="2520"/>
        <w:gridCol w:w="1080"/>
        <w:gridCol w:w="928"/>
      </w:tblGrid>
      <w:tr w:rsidR="004F0A93" w:rsidTr="00BD38CA">
        <w:tc>
          <w:tcPr>
            <w:tcW w:w="5395" w:type="dxa"/>
          </w:tcPr>
          <w:p w:rsidR="004F0A93" w:rsidRDefault="004F0A93" w:rsidP="00BD38CA">
            <w:r w:rsidRPr="00B93D34">
              <w:t>Route</w:t>
            </w:r>
          </w:p>
        </w:tc>
        <w:tc>
          <w:tcPr>
            <w:tcW w:w="2520" w:type="dxa"/>
          </w:tcPr>
          <w:p w:rsidR="004F0A93" w:rsidRDefault="004F0A93" w:rsidP="00BD38CA">
            <w:r w:rsidRPr="00B93D34">
              <w:t>Estimate (please specify miles or KM)</w:t>
            </w:r>
          </w:p>
        </w:tc>
        <w:tc>
          <w:tcPr>
            <w:tcW w:w="1080" w:type="dxa"/>
          </w:tcPr>
          <w:p w:rsidR="004F0A93" w:rsidRDefault="004F0A93" w:rsidP="00BD38CA">
            <w:r w:rsidRPr="00B93D34">
              <w:t>Lower Bound</w:t>
            </w:r>
          </w:p>
        </w:tc>
        <w:tc>
          <w:tcPr>
            <w:tcW w:w="928" w:type="dxa"/>
          </w:tcPr>
          <w:p w:rsidR="004F0A93" w:rsidRDefault="004F0A93" w:rsidP="00BD38CA">
            <w:r w:rsidRPr="00B93D34">
              <w:t>Upper Bound</w:t>
            </w:r>
          </w:p>
        </w:tc>
      </w:tr>
      <w:tr w:rsidR="004F0A93" w:rsidTr="00BD38CA">
        <w:tc>
          <w:tcPr>
            <w:tcW w:w="5395" w:type="dxa"/>
          </w:tcPr>
          <w:p w:rsidR="004F0A93" w:rsidRDefault="004F0A93" w:rsidP="00BD38CA">
            <w:r w:rsidRPr="00B93D34">
              <w:t>13) LHR-IAH (London Heathrow - Houston, USA)</w:t>
            </w:r>
          </w:p>
        </w:tc>
        <w:tc>
          <w:tcPr>
            <w:tcW w:w="2520" w:type="dxa"/>
          </w:tcPr>
          <w:p w:rsidR="004F0A93" w:rsidRDefault="004F0A93" w:rsidP="00BD38CA"/>
        </w:tc>
        <w:tc>
          <w:tcPr>
            <w:tcW w:w="1080" w:type="dxa"/>
          </w:tcPr>
          <w:p w:rsidR="004F0A93" w:rsidRDefault="004F0A93" w:rsidP="00BD38CA"/>
        </w:tc>
        <w:tc>
          <w:tcPr>
            <w:tcW w:w="928" w:type="dxa"/>
          </w:tcPr>
          <w:p w:rsidR="004F0A93" w:rsidRDefault="004F0A93" w:rsidP="00BD38CA"/>
        </w:tc>
      </w:tr>
      <w:tr w:rsidR="004F0A93" w:rsidTr="00BD38CA">
        <w:tc>
          <w:tcPr>
            <w:tcW w:w="5395" w:type="dxa"/>
          </w:tcPr>
          <w:p w:rsidR="004F0A93" w:rsidRDefault="004F0A93" w:rsidP="00BD38CA">
            <w:r w:rsidRPr="00B93D34">
              <w:t>14) IST-DMM (Istanbul, Turkey- Dammam, Saudi Arabia) 1561 miles</w:t>
            </w:r>
          </w:p>
        </w:tc>
        <w:tc>
          <w:tcPr>
            <w:tcW w:w="2520" w:type="dxa"/>
          </w:tcPr>
          <w:p w:rsidR="004F0A93" w:rsidRDefault="004F0A93" w:rsidP="00BD38CA"/>
        </w:tc>
        <w:tc>
          <w:tcPr>
            <w:tcW w:w="1080" w:type="dxa"/>
          </w:tcPr>
          <w:p w:rsidR="004F0A93" w:rsidRDefault="004F0A93" w:rsidP="00BD38CA"/>
        </w:tc>
        <w:tc>
          <w:tcPr>
            <w:tcW w:w="928" w:type="dxa"/>
          </w:tcPr>
          <w:p w:rsidR="004F0A93" w:rsidRDefault="004F0A93" w:rsidP="00BD38CA"/>
        </w:tc>
      </w:tr>
    </w:tbl>
    <w:p w:rsidR="004F0A93" w:rsidRDefault="004F0A93" w:rsidP="004F0A93">
      <w:pPr>
        <w:jc w:val="both"/>
      </w:pPr>
    </w:p>
    <w:p w:rsidR="004F0A93" w:rsidRDefault="004F0A93" w:rsidP="004F0A93">
      <w:pPr>
        <w:jc w:val="both"/>
      </w:pPr>
      <w:r w:rsidRPr="00B93D34">
        <w:t>For the following routes, please give your best estimates of the sea distance (port to port), in miles or kilometres, between the starting and finishing location. For the same routes, please also place a lower and upper bound around your estimate so that you are 90% confident the range will include the correct quantity:</w:t>
      </w:r>
    </w:p>
    <w:tbl>
      <w:tblPr>
        <w:tblStyle w:val="TableGrid"/>
        <w:tblW w:w="0" w:type="auto"/>
        <w:tblLook w:val="04A0" w:firstRow="1" w:lastRow="0" w:firstColumn="1" w:lastColumn="0" w:noHBand="0" w:noVBand="1"/>
      </w:tblPr>
      <w:tblGrid>
        <w:gridCol w:w="5395"/>
        <w:gridCol w:w="2520"/>
        <w:gridCol w:w="1080"/>
        <w:gridCol w:w="928"/>
      </w:tblGrid>
      <w:tr w:rsidR="004F0A93" w:rsidTr="00BD38CA">
        <w:tc>
          <w:tcPr>
            <w:tcW w:w="5395" w:type="dxa"/>
          </w:tcPr>
          <w:p w:rsidR="004F0A93" w:rsidRDefault="004F0A93" w:rsidP="00BD38CA">
            <w:r w:rsidRPr="00B93D34">
              <w:t>Route</w:t>
            </w:r>
          </w:p>
        </w:tc>
        <w:tc>
          <w:tcPr>
            <w:tcW w:w="2520" w:type="dxa"/>
          </w:tcPr>
          <w:p w:rsidR="004F0A93" w:rsidRDefault="004F0A93" w:rsidP="00BD38CA">
            <w:r w:rsidRPr="00B93D34">
              <w:t>Estimate (please specify miles or KM)</w:t>
            </w:r>
          </w:p>
        </w:tc>
        <w:tc>
          <w:tcPr>
            <w:tcW w:w="1080" w:type="dxa"/>
          </w:tcPr>
          <w:p w:rsidR="004F0A93" w:rsidRDefault="004F0A93" w:rsidP="00BD38CA">
            <w:r w:rsidRPr="00B93D34">
              <w:t>Lower Bound</w:t>
            </w:r>
          </w:p>
        </w:tc>
        <w:tc>
          <w:tcPr>
            <w:tcW w:w="928" w:type="dxa"/>
          </w:tcPr>
          <w:p w:rsidR="004F0A93" w:rsidRDefault="004F0A93" w:rsidP="00BD38CA">
            <w:r w:rsidRPr="00B93D34">
              <w:t>Upper Bound</w:t>
            </w:r>
          </w:p>
        </w:tc>
      </w:tr>
      <w:tr w:rsidR="004F0A93" w:rsidTr="00BD38CA">
        <w:tc>
          <w:tcPr>
            <w:tcW w:w="5395" w:type="dxa"/>
          </w:tcPr>
          <w:p w:rsidR="004F0A93" w:rsidRDefault="004F0A93" w:rsidP="00BD38CA">
            <w:r w:rsidRPr="00B93D34">
              <w:t>15) Port of Southampton (Southampton, UK) - Port of Jebel Ali (Dubai, UAE)</w:t>
            </w:r>
          </w:p>
        </w:tc>
        <w:tc>
          <w:tcPr>
            <w:tcW w:w="2520" w:type="dxa"/>
          </w:tcPr>
          <w:p w:rsidR="004F0A93" w:rsidRDefault="004F0A93" w:rsidP="00BD38CA"/>
        </w:tc>
        <w:tc>
          <w:tcPr>
            <w:tcW w:w="1080" w:type="dxa"/>
          </w:tcPr>
          <w:p w:rsidR="004F0A93" w:rsidRDefault="004F0A93" w:rsidP="00BD38CA"/>
        </w:tc>
        <w:tc>
          <w:tcPr>
            <w:tcW w:w="928" w:type="dxa"/>
          </w:tcPr>
          <w:p w:rsidR="004F0A93" w:rsidRDefault="004F0A93" w:rsidP="00BD38CA"/>
        </w:tc>
      </w:tr>
      <w:tr w:rsidR="004F0A93" w:rsidTr="00BD38CA">
        <w:tc>
          <w:tcPr>
            <w:tcW w:w="5395" w:type="dxa"/>
          </w:tcPr>
          <w:p w:rsidR="004F0A93" w:rsidRDefault="004F0A93" w:rsidP="00BD38CA">
            <w:r w:rsidRPr="00B93D34">
              <w:t>16) Port of Houston (Houston, USA) - Tin Can Island Port (Lagos, Nigeria)</w:t>
            </w:r>
          </w:p>
        </w:tc>
        <w:tc>
          <w:tcPr>
            <w:tcW w:w="2520" w:type="dxa"/>
          </w:tcPr>
          <w:p w:rsidR="004F0A93" w:rsidRDefault="004F0A93" w:rsidP="00BD38CA"/>
        </w:tc>
        <w:tc>
          <w:tcPr>
            <w:tcW w:w="1080" w:type="dxa"/>
          </w:tcPr>
          <w:p w:rsidR="004F0A93" w:rsidRDefault="004F0A93" w:rsidP="00BD38CA"/>
        </w:tc>
        <w:tc>
          <w:tcPr>
            <w:tcW w:w="928" w:type="dxa"/>
          </w:tcPr>
          <w:p w:rsidR="004F0A93" w:rsidRDefault="004F0A93" w:rsidP="00BD38CA"/>
        </w:tc>
      </w:tr>
    </w:tbl>
    <w:p w:rsidR="004F0A93" w:rsidRDefault="004F0A93" w:rsidP="004F0A93">
      <w:pPr>
        <w:jc w:val="both"/>
      </w:pPr>
    </w:p>
    <w:p w:rsidR="004F0A93" w:rsidRDefault="004F0A93" w:rsidP="004F0A93">
      <w:pPr>
        <w:jc w:val="both"/>
      </w:pPr>
      <w:r w:rsidRPr="00120D4D">
        <w:lastRenderedPageBreak/>
        <w:t>17) Please estimate the maximum weight capacity of a Boeing 747-400 freight (cargo only) aircraft and specify which unit of measurement you have chosen (e.g. kilograms or pounds). Please also place a lower and upper bound around your estimate so that you are 90% confident the range will include the correct quantity:</w:t>
      </w:r>
    </w:p>
    <w:tbl>
      <w:tblPr>
        <w:tblStyle w:val="TableGrid"/>
        <w:tblW w:w="9985" w:type="dxa"/>
        <w:tblLook w:val="04A0" w:firstRow="1" w:lastRow="0" w:firstColumn="1" w:lastColumn="0" w:noHBand="0" w:noVBand="1"/>
      </w:tblPr>
      <w:tblGrid>
        <w:gridCol w:w="7915"/>
        <w:gridCol w:w="1080"/>
        <w:gridCol w:w="990"/>
      </w:tblGrid>
      <w:tr w:rsidR="004F0A93" w:rsidTr="00BD38CA">
        <w:tc>
          <w:tcPr>
            <w:tcW w:w="7915" w:type="dxa"/>
          </w:tcPr>
          <w:p w:rsidR="004F0A93" w:rsidRDefault="004F0A93" w:rsidP="00BD38CA">
            <w:r w:rsidRPr="00B93D34">
              <w:t>Estimate (please specify miles or KM)</w:t>
            </w:r>
          </w:p>
        </w:tc>
        <w:tc>
          <w:tcPr>
            <w:tcW w:w="1080" w:type="dxa"/>
          </w:tcPr>
          <w:p w:rsidR="004F0A93" w:rsidRDefault="004F0A93" w:rsidP="00BD38CA">
            <w:r w:rsidRPr="00B93D34">
              <w:t>Lower Bound</w:t>
            </w:r>
          </w:p>
        </w:tc>
        <w:tc>
          <w:tcPr>
            <w:tcW w:w="990" w:type="dxa"/>
          </w:tcPr>
          <w:p w:rsidR="004F0A93" w:rsidRDefault="004F0A93" w:rsidP="00BD38CA">
            <w:r w:rsidRPr="00B93D34">
              <w:t>Upper Bound</w:t>
            </w:r>
          </w:p>
        </w:tc>
      </w:tr>
      <w:tr w:rsidR="004F0A93" w:rsidTr="00BD38CA">
        <w:tc>
          <w:tcPr>
            <w:tcW w:w="7915" w:type="dxa"/>
          </w:tcPr>
          <w:p w:rsidR="004F0A93" w:rsidRDefault="004F0A93" w:rsidP="00BD38CA"/>
        </w:tc>
        <w:tc>
          <w:tcPr>
            <w:tcW w:w="1080" w:type="dxa"/>
          </w:tcPr>
          <w:p w:rsidR="004F0A93" w:rsidRDefault="004F0A93" w:rsidP="00BD38CA"/>
        </w:tc>
        <w:tc>
          <w:tcPr>
            <w:tcW w:w="990" w:type="dxa"/>
          </w:tcPr>
          <w:p w:rsidR="004F0A93" w:rsidRDefault="004F0A93" w:rsidP="00BD38CA"/>
        </w:tc>
      </w:tr>
    </w:tbl>
    <w:p w:rsidR="004F0A93" w:rsidRDefault="004F0A93" w:rsidP="004F0A93">
      <w:pPr>
        <w:jc w:val="both"/>
      </w:pPr>
    </w:p>
    <w:p w:rsidR="004F0A93" w:rsidRPr="00955EE2" w:rsidRDefault="004F0A93" w:rsidP="004F0A93">
      <w:pPr>
        <w:jc w:val="both"/>
        <w:rPr>
          <w:b/>
          <w:i/>
        </w:rPr>
      </w:pPr>
      <w:r w:rsidRPr="00955EE2">
        <w:rPr>
          <w:b/>
          <w:i/>
        </w:rPr>
        <w:t xml:space="preserve">Part </w:t>
      </w:r>
      <w:r>
        <w:rPr>
          <w:b/>
          <w:i/>
        </w:rPr>
        <w:t>Five</w:t>
      </w:r>
    </w:p>
    <w:p w:rsidR="004F0A93" w:rsidRDefault="004F0A93" w:rsidP="004F0A93">
      <w:pPr>
        <w:jc w:val="both"/>
      </w:pPr>
      <w:r w:rsidRPr="00120D4D">
        <w:t>18) Each year, a Corruption Perceptions Index is produced to create a world ranking. Out of the following countries, which do you believe to be ranked the most all-round corrupt in 2017?</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r>
              <w:t>Nigeria</w:t>
            </w:r>
          </w:p>
        </w:tc>
      </w:tr>
      <w:tr w:rsidR="004F0A93" w:rsidRPr="007A4E99" w:rsidTr="00BD38CA">
        <w:tc>
          <w:tcPr>
            <w:tcW w:w="4961" w:type="dxa"/>
          </w:tcPr>
          <w:p w:rsidR="004F0A93" w:rsidRPr="00955EE2" w:rsidRDefault="004F0A93" w:rsidP="00BD38CA">
            <w:pPr>
              <w:jc w:val="both"/>
            </w:pPr>
            <w:r>
              <w:t>Iraq</w:t>
            </w:r>
          </w:p>
        </w:tc>
      </w:tr>
    </w:tbl>
    <w:p w:rsidR="004F0A93" w:rsidRDefault="004F0A93" w:rsidP="004F0A93">
      <w:pPr>
        <w:jc w:val="both"/>
      </w:pPr>
    </w:p>
    <w:p w:rsidR="004F0A93" w:rsidRDefault="004F0A93" w:rsidP="004F0A93">
      <w:pPr>
        <w:jc w:val="both"/>
      </w:pPr>
      <w:r w:rsidRPr="00120D4D">
        <w:t>19) How confident are you that your answer above is correct? (50-100%).</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p>
        </w:tc>
      </w:tr>
    </w:tbl>
    <w:p w:rsidR="004F0A93" w:rsidRDefault="004F0A93" w:rsidP="004F0A93">
      <w:pPr>
        <w:jc w:val="both"/>
      </w:pPr>
    </w:p>
    <w:p w:rsidR="004F0A93" w:rsidRDefault="004F0A93" w:rsidP="004F0A93">
      <w:pPr>
        <w:jc w:val="both"/>
      </w:pPr>
      <w:r w:rsidRPr="00120D4D">
        <w:t>20) According to INCOTERMS, who pays the Vessel Loading Charges during the FCA (Free Carrier) mode of transport?</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r>
              <w:t>Buyer</w:t>
            </w:r>
          </w:p>
        </w:tc>
      </w:tr>
      <w:tr w:rsidR="004F0A93" w:rsidRPr="007A4E99" w:rsidTr="00BD38CA">
        <w:tc>
          <w:tcPr>
            <w:tcW w:w="4961" w:type="dxa"/>
          </w:tcPr>
          <w:p w:rsidR="004F0A93" w:rsidRPr="00955EE2" w:rsidRDefault="004F0A93" w:rsidP="00BD38CA">
            <w:pPr>
              <w:jc w:val="both"/>
            </w:pPr>
            <w:r>
              <w:t>Seller</w:t>
            </w:r>
          </w:p>
        </w:tc>
      </w:tr>
    </w:tbl>
    <w:p w:rsidR="004F0A93" w:rsidRDefault="004F0A93" w:rsidP="004F0A93">
      <w:pPr>
        <w:jc w:val="both"/>
      </w:pPr>
    </w:p>
    <w:p w:rsidR="004F0A93" w:rsidRDefault="004F0A93" w:rsidP="004F0A93">
      <w:pPr>
        <w:jc w:val="both"/>
      </w:pPr>
      <w:r w:rsidRPr="00120D4D">
        <w:t>21) How confident are you that your answer above is correct? (50-100%).</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p>
        </w:tc>
      </w:tr>
    </w:tbl>
    <w:p w:rsidR="004F0A93" w:rsidRDefault="004F0A93" w:rsidP="004F0A93">
      <w:pPr>
        <w:jc w:val="both"/>
      </w:pPr>
    </w:p>
    <w:p w:rsidR="004F0A93" w:rsidRDefault="004F0A93" w:rsidP="004F0A93">
      <w:pPr>
        <w:jc w:val="both"/>
      </w:pPr>
      <w:r w:rsidRPr="00120D4D">
        <w:t>22) According to INCOTERMS, who pays the Destination Terminal Charges during the DAP (Delivered at Place) mode of transport?</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r>
              <w:t>Buyer</w:t>
            </w:r>
          </w:p>
        </w:tc>
      </w:tr>
      <w:tr w:rsidR="004F0A93" w:rsidRPr="007A4E99" w:rsidTr="00BD38CA">
        <w:tc>
          <w:tcPr>
            <w:tcW w:w="4961" w:type="dxa"/>
          </w:tcPr>
          <w:p w:rsidR="004F0A93" w:rsidRPr="00955EE2" w:rsidRDefault="004F0A93" w:rsidP="00BD38CA">
            <w:pPr>
              <w:jc w:val="both"/>
            </w:pPr>
            <w:r>
              <w:t>Seller</w:t>
            </w:r>
          </w:p>
        </w:tc>
      </w:tr>
    </w:tbl>
    <w:p w:rsidR="004F0A93" w:rsidRDefault="004F0A93" w:rsidP="004F0A93">
      <w:pPr>
        <w:jc w:val="both"/>
      </w:pPr>
    </w:p>
    <w:p w:rsidR="004F0A93" w:rsidRDefault="004F0A93" w:rsidP="004F0A93">
      <w:pPr>
        <w:jc w:val="both"/>
      </w:pPr>
      <w:r w:rsidRPr="00120D4D">
        <w:t>23) How confident are you that your answer above is correct? (50-100%).</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p>
        </w:tc>
      </w:tr>
    </w:tbl>
    <w:p w:rsidR="004F0A93" w:rsidRDefault="004F0A93" w:rsidP="004F0A93">
      <w:pPr>
        <w:jc w:val="both"/>
      </w:pPr>
    </w:p>
    <w:p w:rsidR="004F0A93" w:rsidRDefault="004F0A93" w:rsidP="004F0A93">
      <w:pPr>
        <w:jc w:val="both"/>
      </w:pPr>
      <w:r w:rsidRPr="00120D4D">
        <w:t>24) Which of the following is the VGM (Verified Gross Mass) of a container carried out by?</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r>
              <w:t>Shipping Line</w:t>
            </w:r>
          </w:p>
        </w:tc>
      </w:tr>
      <w:tr w:rsidR="004F0A93" w:rsidRPr="007A4E99" w:rsidTr="00BD38CA">
        <w:tc>
          <w:tcPr>
            <w:tcW w:w="4961" w:type="dxa"/>
          </w:tcPr>
          <w:p w:rsidR="004F0A93" w:rsidRPr="00955EE2" w:rsidRDefault="004F0A93" w:rsidP="00BD38CA">
            <w:pPr>
              <w:jc w:val="both"/>
            </w:pPr>
            <w:r>
              <w:t>Port</w:t>
            </w:r>
          </w:p>
        </w:tc>
      </w:tr>
    </w:tbl>
    <w:p w:rsidR="004F0A93" w:rsidRDefault="004F0A93" w:rsidP="004F0A93">
      <w:pPr>
        <w:jc w:val="both"/>
      </w:pPr>
    </w:p>
    <w:p w:rsidR="004F0A93" w:rsidRDefault="004F0A93" w:rsidP="004F0A93">
      <w:pPr>
        <w:jc w:val="both"/>
      </w:pPr>
      <w:r w:rsidRPr="00B97817">
        <w:t>25) How confident are you that your answer above is correct? (50-100%).</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p>
        </w:tc>
      </w:tr>
    </w:tbl>
    <w:p w:rsidR="004F0A93" w:rsidRDefault="004F0A93" w:rsidP="004F0A93">
      <w:pPr>
        <w:jc w:val="both"/>
      </w:pPr>
    </w:p>
    <w:p w:rsidR="004F0A93" w:rsidRDefault="004F0A93" w:rsidP="004F0A93">
      <w:pPr>
        <w:jc w:val="both"/>
      </w:pPr>
      <w:r w:rsidRPr="00B97817">
        <w:t>26) Which of the following does the VGM (Verified Gross Mass) process apply to?</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r>
              <w:t>Tank</w:t>
            </w:r>
          </w:p>
        </w:tc>
      </w:tr>
      <w:tr w:rsidR="004F0A93" w:rsidRPr="007A4E99" w:rsidTr="00BD38CA">
        <w:tc>
          <w:tcPr>
            <w:tcW w:w="4961" w:type="dxa"/>
          </w:tcPr>
          <w:p w:rsidR="004F0A93" w:rsidRPr="00955EE2" w:rsidRDefault="004F0A93" w:rsidP="00BD38CA">
            <w:pPr>
              <w:jc w:val="both"/>
            </w:pPr>
            <w:r>
              <w:t>Wide-body</w:t>
            </w:r>
          </w:p>
        </w:tc>
      </w:tr>
    </w:tbl>
    <w:p w:rsidR="004F0A93" w:rsidRDefault="004F0A93" w:rsidP="004F0A93">
      <w:pPr>
        <w:jc w:val="both"/>
      </w:pPr>
    </w:p>
    <w:p w:rsidR="004F0A93" w:rsidRDefault="004F0A93" w:rsidP="004F0A93">
      <w:pPr>
        <w:jc w:val="both"/>
      </w:pPr>
      <w:r w:rsidRPr="00B97817">
        <w:t>27) How confident are you that your answer above is correct? (50-100%).</w:t>
      </w:r>
    </w:p>
    <w:tbl>
      <w:tblPr>
        <w:tblStyle w:val="TableGrid"/>
        <w:tblW w:w="0" w:type="auto"/>
        <w:tblLook w:val="04A0" w:firstRow="1" w:lastRow="0" w:firstColumn="1" w:lastColumn="0" w:noHBand="0" w:noVBand="1"/>
      </w:tblPr>
      <w:tblGrid>
        <w:gridCol w:w="4961"/>
      </w:tblGrid>
      <w:tr w:rsidR="004F0A93" w:rsidRPr="007A4E99" w:rsidTr="00BD38CA">
        <w:tc>
          <w:tcPr>
            <w:tcW w:w="4961" w:type="dxa"/>
          </w:tcPr>
          <w:p w:rsidR="004F0A93" w:rsidRPr="00955EE2" w:rsidRDefault="004F0A93" w:rsidP="00BD38CA">
            <w:pPr>
              <w:jc w:val="both"/>
            </w:pPr>
          </w:p>
        </w:tc>
      </w:tr>
    </w:tbl>
    <w:p w:rsidR="004F0A93" w:rsidRDefault="004F0A93" w:rsidP="004F0A93">
      <w:pPr>
        <w:jc w:val="both"/>
      </w:pPr>
    </w:p>
    <w:p w:rsidR="00722607" w:rsidRPr="00C34D98" w:rsidRDefault="00722607" w:rsidP="007F70E4">
      <w:pPr>
        <w:jc w:val="both"/>
        <w:rPr>
          <w:color w:val="000000" w:themeColor="text1"/>
        </w:rPr>
      </w:pPr>
    </w:p>
    <w:sectPr w:rsidR="00722607" w:rsidRPr="00C34D98" w:rsidSect="00FA3824">
      <w:footerReference w:type="even" r:id="rId10"/>
      <w:footerReference w:type="default" r:id="rId11"/>
      <w:pgSz w:w="11906" w:h="16838"/>
      <w:pgMar w:top="1440" w:right="893" w:bottom="1440" w:left="1080" w:header="706" w:footer="70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8BB463" w16cid:durableId="216BF56D"/>
  <w16cid:commentId w16cid:paraId="0DE513C6" w16cid:durableId="216BF5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1D8" w:rsidRDefault="003C01D8">
      <w:r>
        <w:separator/>
      </w:r>
    </w:p>
  </w:endnote>
  <w:endnote w:type="continuationSeparator" w:id="0">
    <w:p w:rsidR="003C01D8" w:rsidRDefault="003C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TC Garamond">
    <w:altName w:val="Garam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21D" w:rsidRDefault="00DB421D" w:rsidP="000853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421D" w:rsidRDefault="00DB421D" w:rsidP="00085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98302"/>
      <w:docPartObj>
        <w:docPartGallery w:val="Page Numbers (Bottom of Page)"/>
        <w:docPartUnique/>
      </w:docPartObj>
    </w:sdtPr>
    <w:sdtEndPr>
      <w:rPr>
        <w:noProof/>
      </w:rPr>
    </w:sdtEndPr>
    <w:sdtContent>
      <w:p w:rsidR="00DB421D" w:rsidRDefault="00DB421D">
        <w:pPr>
          <w:pStyle w:val="Footer"/>
          <w:jc w:val="center"/>
        </w:pPr>
        <w:r>
          <w:fldChar w:fldCharType="begin"/>
        </w:r>
        <w:r>
          <w:instrText xml:space="preserve"> PAGE   \* MERGEFORMAT </w:instrText>
        </w:r>
        <w:r>
          <w:fldChar w:fldCharType="separate"/>
        </w:r>
        <w:r w:rsidR="000305DA">
          <w:rPr>
            <w:noProof/>
          </w:rPr>
          <w:t>1</w:t>
        </w:r>
        <w:r>
          <w:rPr>
            <w:noProof/>
          </w:rPr>
          <w:fldChar w:fldCharType="end"/>
        </w:r>
      </w:p>
    </w:sdtContent>
  </w:sdt>
  <w:p w:rsidR="00DB421D" w:rsidRPr="00E012D6" w:rsidRDefault="00DB421D" w:rsidP="0008538A">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1D8" w:rsidRDefault="003C01D8">
      <w:r>
        <w:separator/>
      </w:r>
    </w:p>
  </w:footnote>
  <w:footnote w:type="continuationSeparator" w:id="0">
    <w:p w:rsidR="003C01D8" w:rsidRDefault="003C0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820" w:hanging="155"/>
      </w:pPr>
      <w:rPr>
        <w:rFonts w:ascii="Times New Roman" w:hAnsi="Times New Roman" w:cs="Times New Roman"/>
        <w:b w:val="0"/>
        <w:bCs w:val="0"/>
        <w:w w:val="97"/>
        <w:sz w:val="22"/>
        <w:szCs w:val="22"/>
      </w:rPr>
    </w:lvl>
    <w:lvl w:ilvl="1">
      <w:numFmt w:val="bullet"/>
      <w:lvlText w:val="•"/>
      <w:lvlJc w:val="left"/>
      <w:pPr>
        <w:ind w:left="5288" w:hanging="155"/>
      </w:pPr>
    </w:lvl>
    <w:lvl w:ilvl="2">
      <w:numFmt w:val="bullet"/>
      <w:lvlText w:val="•"/>
      <w:lvlJc w:val="left"/>
      <w:pPr>
        <w:ind w:left="5756" w:hanging="155"/>
      </w:pPr>
    </w:lvl>
    <w:lvl w:ilvl="3">
      <w:numFmt w:val="bullet"/>
      <w:lvlText w:val="•"/>
      <w:lvlJc w:val="left"/>
      <w:pPr>
        <w:ind w:left="6224" w:hanging="155"/>
      </w:pPr>
    </w:lvl>
    <w:lvl w:ilvl="4">
      <w:numFmt w:val="bullet"/>
      <w:lvlText w:val="•"/>
      <w:lvlJc w:val="left"/>
      <w:pPr>
        <w:ind w:left="6692" w:hanging="155"/>
      </w:pPr>
    </w:lvl>
    <w:lvl w:ilvl="5">
      <w:numFmt w:val="bullet"/>
      <w:lvlText w:val="•"/>
      <w:lvlJc w:val="left"/>
      <w:pPr>
        <w:ind w:left="7160" w:hanging="155"/>
      </w:pPr>
    </w:lvl>
    <w:lvl w:ilvl="6">
      <w:numFmt w:val="bullet"/>
      <w:lvlText w:val="•"/>
      <w:lvlJc w:val="left"/>
      <w:pPr>
        <w:ind w:left="7628" w:hanging="155"/>
      </w:pPr>
    </w:lvl>
    <w:lvl w:ilvl="7">
      <w:numFmt w:val="bullet"/>
      <w:lvlText w:val="•"/>
      <w:lvlJc w:val="left"/>
      <w:pPr>
        <w:ind w:left="8096" w:hanging="155"/>
      </w:pPr>
    </w:lvl>
    <w:lvl w:ilvl="8">
      <w:numFmt w:val="bullet"/>
      <w:lvlText w:val="•"/>
      <w:lvlJc w:val="left"/>
      <w:pPr>
        <w:ind w:left="8564" w:hanging="155"/>
      </w:pPr>
    </w:lvl>
  </w:abstractNum>
  <w:abstractNum w:abstractNumId="1" w15:restartNumberingAfterBreak="0">
    <w:nsid w:val="00000403"/>
    <w:multiLevelType w:val="multilevel"/>
    <w:tmpl w:val="00000886"/>
    <w:lvl w:ilvl="0">
      <w:numFmt w:val="bullet"/>
      <w:lvlText w:val="•"/>
      <w:lvlJc w:val="left"/>
      <w:pPr>
        <w:ind w:left="4749" w:hanging="144"/>
      </w:pPr>
      <w:rPr>
        <w:rFonts w:ascii="Times New Roman" w:hAnsi="Times New Roman" w:cs="Times New Roman"/>
        <w:b w:val="0"/>
        <w:bCs w:val="0"/>
        <w:w w:val="103"/>
        <w:sz w:val="19"/>
        <w:szCs w:val="19"/>
      </w:rPr>
    </w:lvl>
    <w:lvl w:ilvl="1">
      <w:numFmt w:val="bullet"/>
      <w:lvlText w:val="•"/>
      <w:lvlJc w:val="left"/>
      <w:pPr>
        <w:ind w:left="5226" w:hanging="144"/>
      </w:pPr>
    </w:lvl>
    <w:lvl w:ilvl="2">
      <w:numFmt w:val="bullet"/>
      <w:lvlText w:val="•"/>
      <w:lvlJc w:val="left"/>
      <w:pPr>
        <w:ind w:left="5712" w:hanging="144"/>
      </w:pPr>
    </w:lvl>
    <w:lvl w:ilvl="3">
      <w:numFmt w:val="bullet"/>
      <w:lvlText w:val="•"/>
      <w:lvlJc w:val="left"/>
      <w:pPr>
        <w:ind w:left="6198" w:hanging="144"/>
      </w:pPr>
    </w:lvl>
    <w:lvl w:ilvl="4">
      <w:numFmt w:val="bullet"/>
      <w:lvlText w:val="•"/>
      <w:lvlJc w:val="left"/>
      <w:pPr>
        <w:ind w:left="6684" w:hanging="144"/>
      </w:pPr>
    </w:lvl>
    <w:lvl w:ilvl="5">
      <w:numFmt w:val="bullet"/>
      <w:lvlText w:val="•"/>
      <w:lvlJc w:val="left"/>
      <w:pPr>
        <w:ind w:left="7170" w:hanging="144"/>
      </w:pPr>
    </w:lvl>
    <w:lvl w:ilvl="6">
      <w:numFmt w:val="bullet"/>
      <w:lvlText w:val="•"/>
      <w:lvlJc w:val="left"/>
      <w:pPr>
        <w:ind w:left="7656" w:hanging="144"/>
      </w:pPr>
    </w:lvl>
    <w:lvl w:ilvl="7">
      <w:numFmt w:val="bullet"/>
      <w:lvlText w:val="•"/>
      <w:lvlJc w:val="left"/>
      <w:pPr>
        <w:ind w:left="8142" w:hanging="144"/>
      </w:pPr>
    </w:lvl>
    <w:lvl w:ilvl="8">
      <w:numFmt w:val="bullet"/>
      <w:lvlText w:val="•"/>
      <w:lvlJc w:val="left"/>
      <w:pPr>
        <w:ind w:left="8628" w:hanging="144"/>
      </w:pPr>
    </w:lvl>
  </w:abstractNum>
  <w:abstractNum w:abstractNumId="2" w15:restartNumberingAfterBreak="0">
    <w:nsid w:val="00000404"/>
    <w:multiLevelType w:val="multilevel"/>
    <w:tmpl w:val="00000887"/>
    <w:lvl w:ilvl="0">
      <w:numFmt w:val="bullet"/>
      <w:lvlText w:val="·"/>
      <w:lvlJc w:val="left"/>
      <w:pPr>
        <w:ind w:left="48" w:hanging="49"/>
      </w:pPr>
      <w:rPr>
        <w:rFonts w:ascii="Times New Roman" w:hAnsi="Times New Roman" w:cs="Times New Roman"/>
        <w:b w:val="0"/>
        <w:bCs w:val="0"/>
        <w:i/>
        <w:iCs/>
        <w:w w:val="104"/>
        <w:sz w:val="10"/>
        <w:szCs w:val="10"/>
      </w:rPr>
    </w:lvl>
    <w:lvl w:ilvl="1">
      <w:numFmt w:val="bullet"/>
      <w:lvlText w:val="•"/>
      <w:lvlJc w:val="left"/>
      <w:pPr>
        <w:ind w:left="43" w:hanging="49"/>
      </w:pPr>
    </w:lvl>
    <w:lvl w:ilvl="2">
      <w:numFmt w:val="bullet"/>
      <w:lvlText w:val="•"/>
      <w:lvlJc w:val="left"/>
      <w:pPr>
        <w:ind w:left="46" w:hanging="49"/>
      </w:pPr>
    </w:lvl>
    <w:lvl w:ilvl="3">
      <w:numFmt w:val="bullet"/>
      <w:lvlText w:val="•"/>
      <w:lvlJc w:val="left"/>
      <w:pPr>
        <w:ind w:left="49" w:hanging="49"/>
      </w:pPr>
    </w:lvl>
    <w:lvl w:ilvl="4">
      <w:numFmt w:val="bullet"/>
      <w:lvlText w:val="•"/>
      <w:lvlJc w:val="left"/>
      <w:pPr>
        <w:ind w:left="52" w:hanging="49"/>
      </w:pPr>
    </w:lvl>
    <w:lvl w:ilvl="5">
      <w:numFmt w:val="bullet"/>
      <w:lvlText w:val="•"/>
      <w:lvlJc w:val="left"/>
      <w:pPr>
        <w:ind w:left="55" w:hanging="49"/>
      </w:pPr>
    </w:lvl>
    <w:lvl w:ilvl="6">
      <w:numFmt w:val="bullet"/>
      <w:lvlText w:val="•"/>
      <w:lvlJc w:val="left"/>
      <w:pPr>
        <w:ind w:left="58" w:hanging="49"/>
      </w:pPr>
    </w:lvl>
    <w:lvl w:ilvl="7">
      <w:numFmt w:val="bullet"/>
      <w:lvlText w:val="•"/>
      <w:lvlJc w:val="left"/>
      <w:pPr>
        <w:ind w:left="61" w:hanging="49"/>
      </w:pPr>
    </w:lvl>
    <w:lvl w:ilvl="8">
      <w:numFmt w:val="bullet"/>
      <w:lvlText w:val="•"/>
      <w:lvlJc w:val="left"/>
      <w:pPr>
        <w:ind w:left="64" w:hanging="49"/>
      </w:pPr>
    </w:lvl>
  </w:abstractNum>
  <w:abstractNum w:abstractNumId="3" w15:restartNumberingAfterBreak="0">
    <w:nsid w:val="0FF604E5"/>
    <w:multiLevelType w:val="hybridMultilevel"/>
    <w:tmpl w:val="62920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F1E87"/>
    <w:multiLevelType w:val="hybridMultilevel"/>
    <w:tmpl w:val="9F82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F1DA9"/>
    <w:multiLevelType w:val="hybridMultilevel"/>
    <w:tmpl w:val="1E38A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0B15DB"/>
    <w:multiLevelType w:val="hybridMultilevel"/>
    <w:tmpl w:val="2C9A5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E07CD1"/>
    <w:multiLevelType w:val="hybridMultilevel"/>
    <w:tmpl w:val="71BA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05DFA"/>
    <w:multiLevelType w:val="hybridMultilevel"/>
    <w:tmpl w:val="B6E27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6E0D53"/>
    <w:multiLevelType w:val="hybridMultilevel"/>
    <w:tmpl w:val="C63A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A04B5"/>
    <w:multiLevelType w:val="hybridMultilevel"/>
    <w:tmpl w:val="4D60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20B8F"/>
    <w:multiLevelType w:val="multilevel"/>
    <w:tmpl w:val="2582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64C3D"/>
    <w:multiLevelType w:val="multilevel"/>
    <w:tmpl w:val="F372D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B8417F"/>
    <w:multiLevelType w:val="hybridMultilevel"/>
    <w:tmpl w:val="AD38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F1B8F"/>
    <w:multiLevelType w:val="multilevel"/>
    <w:tmpl w:val="083404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C7486C"/>
    <w:multiLevelType w:val="hybridMultilevel"/>
    <w:tmpl w:val="1C4E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2541C"/>
    <w:multiLevelType w:val="hybridMultilevel"/>
    <w:tmpl w:val="DFF0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3365A0"/>
    <w:multiLevelType w:val="hybridMultilevel"/>
    <w:tmpl w:val="0CA8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614F3"/>
    <w:multiLevelType w:val="hybridMultilevel"/>
    <w:tmpl w:val="C5B8B7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EDB4A69"/>
    <w:multiLevelType w:val="hybridMultilevel"/>
    <w:tmpl w:val="7396C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AC797D"/>
    <w:multiLevelType w:val="multilevel"/>
    <w:tmpl w:val="186C59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F326C5"/>
    <w:multiLevelType w:val="hybridMultilevel"/>
    <w:tmpl w:val="2D0A3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DE7F91"/>
    <w:multiLevelType w:val="hybridMultilevel"/>
    <w:tmpl w:val="FA78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7"/>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16"/>
  </w:num>
  <w:num w:numId="9">
    <w:abstractNumId w:val="9"/>
  </w:num>
  <w:num w:numId="10">
    <w:abstractNumId w:val="6"/>
  </w:num>
  <w:num w:numId="11">
    <w:abstractNumId w:val="5"/>
  </w:num>
  <w:num w:numId="12">
    <w:abstractNumId w:val="8"/>
  </w:num>
  <w:num w:numId="13">
    <w:abstractNumId w:val="19"/>
  </w:num>
  <w:num w:numId="14">
    <w:abstractNumId w:val="18"/>
  </w:num>
  <w:num w:numId="15">
    <w:abstractNumId w:val="20"/>
  </w:num>
  <w:num w:numId="16">
    <w:abstractNumId w:val="21"/>
  </w:num>
  <w:num w:numId="17">
    <w:abstractNumId w:val="22"/>
  </w:num>
  <w:num w:numId="18">
    <w:abstractNumId w:val="17"/>
  </w:num>
  <w:num w:numId="19">
    <w:abstractNumId w:val="13"/>
  </w:num>
  <w:num w:numId="20">
    <w:abstractNumId w:val="10"/>
  </w:num>
  <w:num w:numId="21">
    <w:abstractNumId w:val="4"/>
  </w:num>
  <w:num w:numId="22">
    <w:abstractNumId w:val="0"/>
  </w:num>
  <w:num w:numId="23">
    <w:abstractNumId w:val="2"/>
  </w:num>
  <w:num w:numId="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90"/>
    <w:rsid w:val="00000193"/>
    <w:rsid w:val="0000025D"/>
    <w:rsid w:val="000002C7"/>
    <w:rsid w:val="000007D7"/>
    <w:rsid w:val="000007F6"/>
    <w:rsid w:val="00000F77"/>
    <w:rsid w:val="000014EC"/>
    <w:rsid w:val="00001DF0"/>
    <w:rsid w:val="000020ED"/>
    <w:rsid w:val="00002B58"/>
    <w:rsid w:val="00002C54"/>
    <w:rsid w:val="00002CCA"/>
    <w:rsid w:val="0000330E"/>
    <w:rsid w:val="0000348E"/>
    <w:rsid w:val="00003B92"/>
    <w:rsid w:val="00003ED2"/>
    <w:rsid w:val="00003FEE"/>
    <w:rsid w:val="000041FF"/>
    <w:rsid w:val="0000467B"/>
    <w:rsid w:val="00004DDE"/>
    <w:rsid w:val="0000504B"/>
    <w:rsid w:val="00005754"/>
    <w:rsid w:val="000057E5"/>
    <w:rsid w:val="0000589B"/>
    <w:rsid w:val="0000600F"/>
    <w:rsid w:val="00006559"/>
    <w:rsid w:val="00006836"/>
    <w:rsid w:val="00006847"/>
    <w:rsid w:val="00007D3A"/>
    <w:rsid w:val="000109CD"/>
    <w:rsid w:val="00010EE9"/>
    <w:rsid w:val="00011644"/>
    <w:rsid w:val="00011A30"/>
    <w:rsid w:val="000120AA"/>
    <w:rsid w:val="000124A7"/>
    <w:rsid w:val="0001268A"/>
    <w:rsid w:val="000131A6"/>
    <w:rsid w:val="00013C60"/>
    <w:rsid w:val="00013C90"/>
    <w:rsid w:val="00013CDE"/>
    <w:rsid w:val="00013D2C"/>
    <w:rsid w:val="00013EA4"/>
    <w:rsid w:val="000142B0"/>
    <w:rsid w:val="000148B5"/>
    <w:rsid w:val="00014D82"/>
    <w:rsid w:val="000154CA"/>
    <w:rsid w:val="00015A2A"/>
    <w:rsid w:val="00015BBF"/>
    <w:rsid w:val="00015E0F"/>
    <w:rsid w:val="000165AE"/>
    <w:rsid w:val="000168F4"/>
    <w:rsid w:val="00016A10"/>
    <w:rsid w:val="00016BC0"/>
    <w:rsid w:val="00016DFA"/>
    <w:rsid w:val="000172AB"/>
    <w:rsid w:val="00017A21"/>
    <w:rsid w:val="00017A87"/>
    <w:rsid w:val="00017C42"/>
    <w:rsid w:val="00017D59"/>
    <w:rsid w:val="000202A8"/>
    <w:rsid w:val="0002048D"/>
    <w:rsid w:val="0002048F"/>
    <w:rsid w:val="000207A8"/>
    <w:rsid w:val="00020B18"/>
    <w:rsid w:val="00020BE4"/>
    <w:rsid w:val="000212E5"/>
    <w:rsid w:val="000213C7"/>
    <w:rsid w:val="00021706"/>
    <w:rsid w:val="00021784"/>
    <w:rsid w:val="00021CE3"/>
    <w:rsid w:val="0002237C"/>
    <w:rsid w:val="00022443"/>
    <w:rsid w:val="00022504"/>
    <w:rsid w:val="00022AAB"/>
    <w:rsid w:val="00022C69"/>
    <w:rsid w:val="00023176"/>
    <w:rsid w:val="000231B1"/>
    <w:rsid w:val="00023261"/>
    <w:rsid w:val="000232CA"/>
    <w:rsid w:val="000236A3"/>
    <w:rsid w:val="00023A27"/>
    <w:rsid w:val="0002420E"/>
    <w:rsid w:val="00024222"/>
    <w:rsid w:val="0002465B"/>
    <w:rsid w:val="00024EF6"/>
    <w:rsid w:val="000255F6"/>
    <w:rsid w:val="000258E0"/>
    <w:rsid w:val="00025C39"/>
    <w:rsid w:val="00025E36"/>
    <w:rsid w:val="0002620B"/>
    <w:rsid w:val="000265E7"/>
    <w:rsid w:val="0002696C"/>
    <w:rsid w:val="000277EF"/>
    <w:rsid w:val="00027A4F"/>
    <w:rsid w:val="00027A9C"/>
    <w:rsid w:val="00027EC9"/>
    <w:rsid w:val="00030228"/>
    <w:rsid w:val="000305DA"/>
    <w:rsid w:val="000307E3"/>
    <w:rsid w:val="000309B2"/>
    <w:rsid w:val="00030C15"/>
    <w:rsid w:val="000310AF"/>
    <w:rsid w:val="000316A3"/>
    <w:rsid w:val="00031E0F"/>
    <w:rsid w:val="00032492"/>
    <w:rsid w:val="000324D1"/>
    <w:rsid w:val="000326BD"/>
    <w:rsid w:val="00032985"/>
    <w:rsid w:val="000330C9"/>
    <w:rsid w:val="0003336F"/>
    <w:rsid w:val="000334FF"/>
    <w:rsid w:val="0003355E"/>
    <w:rsid w:val="00033723"/>
    <w:rsid w:val="00033B5D"/>
    <w:rsid w:val="00033CDE"/>
    <w:rsid w:val="000348B1"/>
    <w:rsid w:val="00034EF5"/>
    <w:rsid w:val="000354D5"/>
    <w:rsid w:val="00035517"/>
    <w:rsid w:val="000356A7"/>
    <w:rsid w:val="000358D5"/>
    <w:rsid w:val="000359AB"/>
    <w:rsid w:val="000359FA"/>
    <w:rsid w:val="00035C7F"/>
    <w:rsid w:val="0003636C"/>
    <w:rsid w:val="00037610"/>
    <w:rsid w:val="000377FA"/>
    <w:rsid w:val="00037C67"/>
    <w:rsid w:val="00040124"/>
    <w:rsid w:val="0004064E"/>
    <w:rsid w:val="00040782"/>
    <w:rsid w:val="00040903"/>
    <w:rsid w:val="00040EEB"/>
    <w:rsid w:val="00041025"/>
    <w:rsid w:val="0004115A"/>
    <w:rsid w:val="000412C1"/>
    <w:rsid w:val="00041843"/>
    <w:rsid w:val="00042987"/>
    <w:rsid w:val="00042EC1"/>
    <w:rsid w:val="000436BB"/>
    <w:rsid w:val="000440B8"/>
    <w:rsid w:val="00044620"/>
    <w:rsid w:val="00044622"/>
    <w:rsid w:val="000446AB"/>
    <w:rsid w:val="000449AA"/>
    <w:rsid w:val="00044D01"/>
    <w:rsid w:val="00045695"/>
    <w:rsid w:val="000458B3"/>
    <w:rsid w:val="00045C08"/>
    <w:rsid w:val="00046333"/>
    <w:rsid w:val="00046337"/>
    <w:rsid w:val="00046420"/>
    <w:rsid w:val="00046958"/>
    <w:rsid w:val="000477F2"/>
    <w:rsid w:val="00047D5F"/>
    <w:rsid w:val="00047EC1"/>
    <w:rsid w:val="00050360"/>
    <w:rsid w:val="00050474"/>
    <w:rsid w:val="0005052E"/>
    <w:rsid w:val="00050578"/>
    <w:rsid w:val="00051072"/>
    <w:rsid w:val="00051665"/>
    <w:rsid w:val="0005224A"/>
    <w:rsid w:val="000527E0"/>
    <w:rsid w:val="000533BF"/>
    <w:rsid w:val="0005358C"/>
    <w:rsid w:val="00053879"/>
    <w:rsid w:val="00054349"/>
    <w:rsid w:val="000546B9"/>
    <w:rsid w:val="000549B3"/>
    <w:rsid w:val="00054F34"/>
    <w:rsid w:val="000552DB"/>
    <w:rsid w:val="0005532A"/>
    <w:rsid w:val="00055436"/>
    <w:rsid w:val="000556AA"/>
    <w:rsid w:val="000556E7"/>
    <w:rsid w:val="00055C59"/>
    <w:rsid w:val="00055C7C"/>
    <w:rsid w:val="00055D3E"/>
    <w:rsid w:val="00055FF6"/>
    <w:rsid w:val="0005667A"/>
    <w:rsid w:val="00056739"/>
    <w:rsid w:val="000568FD"/>
    <w:rsid w:val="00056DC7"/>
    <w:rsid w:val="000573B9"/>
    <w:rsid w:val="00057549"/>
    <w:rsid w:val="00057742"/>
    <w:rsid w:val="000577CF"/>
    <w:rsid w:val="00057DE2"/>
    <w:rsid w:val="00057E75"/>
    <w:rsid w:val="0006007C"/>
    <w:rsid w:val="00060A5B"/>
    <w:rsid w:val="00060B17"/>
    <w:rsid w:val="00060CF0"/>
    <w:rsid w:val="00060F7E"/>
    <w:rsid w:val="0006123E"/>
    <w:rsid w:val="0006145C"/>
    <w:rsid w:val="000617B6"/>
    <w:rsid w:val="00061DC4"/>
    <w:rsid w:val="00061E0D"/>
    <w:rsid w:val="00062096"/>
    <w:rsid w:val="0006209C"/>
    <w:rsid w:val="00062B24"/>
    <w:rsid w:val="00063292"/>
    <w:rsid w:val="00063C9B"/>
    <w:rsid w:val="00063CEB"/>
    <w:rsid w:val="00063DA7"/>
    <w:rsid w:val="0006499D"/>
    <w:rsid w:val="00064C44"/>
    <w:rsid w:val="00064D03"/>
    <w:rsid w:val="00064D67"/>
    <w:rsid w:val="00065557"/>
    <w:rsid w:val="00065C91"/>
    <w:rsid w:val="00065DE1"/>
    <w:rsid w:val="00066311"/>
    <w:rsid w:val="00066950"/>
    <w:rsid w:val="000669C4"/>
    <w:rsid w:val="00066EDC"/>
    <w:rsid w:val="00067212"/>
    <w:rsid w:val="0006744D"/>
    <w:rsid w:val="000674B5"/>
    <w:rsid w:val="000675E9"/>
    <w:rsid w:val="00067648"/>
    <w:rsid w:val="000679BB"/>
    <w:rsid w:val="00070885"/>
    <w:rsid w:val="00071261"/>
    <w:rsid w:val="0007172C"/>
    <w:rsid w:val="00071B95"/>
    <w:rsid w:val="00071C3B"/>
    <w:rsid w:val="00071ED5"/>
    <w:rsid w:val="00072C3D"/>
    <w:rsid w:val="00072C75"/>
    <w:rsid w:val="00072D85"/>
    <w:rsid w:val="00072E29"/>
    <w:rsid w:val="00072E88"/>
    <w:rsid w:val="000730EA"/>
    <w:rsid w:val="0007350C"/>
    <w:rsid w:val="0007372C"/>
    <w:rsid w:val="000737DD"/>
    <w:rsid w:val="000739FD"/>
    <w:rsid w:val="00074084"/>
    <w:rsid w:val="000743E4"/>
    <w:rsid w:val="0007460E"/>
    <w:rsid w:val="00074819"/>
    <w:rsid w:val="00074956"/>
    <w:rsid w:val="00074AE7"/>
    <w:rsid w:val="000753C2"/>
    <w:rsid w:val="00075BF2"/>
    <w:rsid w:val="000761FB"/>
    <w:rsid w:val="00076339"/>
    <w:rsid w:val="000763E1"/>
    <w:rsid w:val="00076410"/>
    <w:rsid w:val="00076618"/>
    <w:rsid w:val="00076BB3"/>
    <w:rsid w:val="00076DF9"/>
    <w:rsid w:val="00076EA7"/>
    <w:rsid w:val="000770F2"/>
    <w:rsid w:val="000771A3"/>
    <w:rsid w:val="0007734E"/>
    <w:rsid w:val="0007753C"/>
    <w:rsid w:val="00077625"/>
    <w:rsid w:val="00077679"/>
    <w:rsid w:val="00077D58"/>
    <w:rsid w:val="00077F85"/>
    <w:rsid w:val="00077FD0"/>
    <w:rsid w:val="0008027A"/>
    <w:rsid w:val="00080665"/>
    <w:rsid w:val="00080998"/>
    <w:rsid w:val="00080B05"/>
    <w:rsid w:val="000811ED"/>
    <w:rsid w:val="00081301"/>
    <w:rsid w:val="00081E85"/>
    <w:rsid w:val="00082249"/>
    <w:rsid w:val="000823FE"/>
    <w:rsid w:val="000824CC"/>
    <w:rsid w:val="000828D2"/>
    <w:rsid w:val="000829FF"/>
    <w:rsid w:val="00082CDB"/>
    <w:rsid w:val="000834CE"/>
    <w:rsid w:val="00083647"/>
    <w:rsid w:val="00083D45"/>
    <w:rsid w:val="00083F68"/>
    <w:rsid w:val="00083F92"/>
    <w:rsid w:val="00083FE8"/>
    <w:rsid w:val="00084092"/>
    <w:rsid w:val="00084435"/>
    <w:rsid w:val="000844F9"/>
    <w:rsid w:val="00084519"/>
    <w:rsid w:val="00084CA8"/>
    <w:rsid w:val="00084D95"/>
    <w:rsid w:val="00084F28"/>
    <w:rsid w:val="00084F92"/>
    <w:rsid w:val="000850AA"/>
    <w:rsid w:val="0008538A"/>
    <w:rsid w:val="000853AA"/>
    <w:rsid w:val="000859BC"/>
    <w:rsid w:val="00085A14"/>
    <w:rsid w:val="00085FD1"/>
    <w:rsid w:val="00086193"/>
    <w:rsid w:val="00086978"/>
    <w:rsid w:val="000875A2"/>
    <w:rsid w:val="00087832"/>
    <w:rsid w:val="0009025E"/>
    <w:rsid w:val="0009092A"/>
    <w:rsid w:val="00090C8F"/>
    <w:rsid w:val="00091442"/>
    <w:rsid w:val="0009166C"/>
    <w:rsid w:val="00091771"/>
    <w:rsid w:val="00092485"/>
    <w:rsid w:val="000927B0"/>
    <w:rsid w:val="000928AD"/>
    <w:rsid w:val="00092975"/>
    <w:rsid w:val="0009304F"/>
    <w:rsid w:val="00093133"/>
    <w:rsid w:val="000933A6"/>
    <w:rsid w:val="0009340C"/>
    <w:rsid w:val="00093420"/>
    <w:rsid w:val="00093842"/>
    <w:rsid w:val="0009386C"/>
    <w:rsid w:val="00093EF1"/>
    <w:rsid w:val="000947B8"/>
    <w:rsid w:val="00094909"/>
    <w:rsid w:val="00094AED"/>
    <w:rsid w:val="0009549E"/>
    <w:rsid w:val="00095DEC"/>
    <w:rsid w:val="00096483"/>
    <w:rsid w:val="00096915"/>
    <w:rsid w:val="00096965"/>
    <w:rsid w:val="000969D3"/>
    <w:rsid w:val="00096EC0"/>
    <w:rsid w:val="0009726D"/>
    <w:rsid w:val="000977C8"/>
    <w:rsid w:val="00097A3F"/>
    <w:rsid w:val="000A0968"/>
    <w:rsid w:val="000A1300"/>
    <w:rsid w:val="000A13F6"/>
    <w:rsid w:val="000A16A9"/>
    <w:rsid w:val="000A17B8"/>
    <w:rsid w:val="000A202C"/>
    <w:rsid w:val="000A2A00"/>
    <w:rsid w:val="000A3263"/>
    <w:rsid w:val="000A356C"/>
    <w:rsid w:val="000A3883"/>
    <w:rsid w:val="000A3ADA"/>
    <w:rsid w:val="000A3BC5"/>
    <w:rsid w:val="000A48B4"/>
    <w:rsid w:val="000A48B9"/>
    <w:rsid w:val="000A4F65"/>
    <w:rsid w:val="000A5086"/>
    <w:rsid w:val="000A51B0"/>
    <w:rsid w:val="000A5D59"/>
    <w:rsid w:val="000A5F42"/>
    <w:rsid w:val="000A6137"/>
    <w:rsid w:val="000A6156"/>
    <w:rsid w:val="000A6361"/>
    <w:rsid w:val="000A646A"/>
    <w:rsid w:val="000A6491"/>
    <w:rsid w:val="000A697F"/>
    <w:rsid w:val="000A7411"/>
    <w:rsid w:val="000A766B"/>
    <w:rsid w:val="000A78E0"/>
    <w:rsid w:val="000A7C3A"/>
    <w:rsid w:val="000A7DB3"/>
    <w:rsid w:val="000A7FE7"/>
    <w:rsid w:val="000B012B"/>
    <w:rsid w:val="000B0608"/>
    <w:rsid w:val="000B0612"/>
    <w:rsid w:val="000B06A4"/>
    <w:rsid w:val="000B06BE"/>
    <w:rsid w:val="000B0CA1"/>
    <w:rsid w:val="000B108A"/>
    <w:rsid w:val="000B1738"/>
    <w:rsid w:val="000B19C8"/>
    <w:rsid w:val="000B1B3D"/>
    <w:rsid w:val="000B1CA9"/>
    <w:rsid w:val="000B1E37"/>
    <w:rsid w:val="000B2057"/>
    <w:rsid w:val="000B22F4"/>
    <w:rsid w:val="000B271E"/>
    <w:rsid w:val="000B2D58"/>
    <w:rsid w:val="000B2E0D"/>
    <w:rsid w:val="000B3053"/>
    <w:rsid w:val="000B31A5"/>
    <w:rsid w:val="000B31AB"/>
    <w:rsid w:val="000B3335"/>
    <w:rsid w:val="000B33AE"/>
    <w:rsid w:val="000B351F"/>
    <w:rsid w:val="000B36ED"/>
    <w:rsid w:val="000B4116"/>
    <w:rsid w:val="000B434A"/>
    <w:rsid w:val="000B440C"/>
    <w:rsid w:val="000B499A"/>
    <w:rsid w:val="000B4F53"/>
    <w:rsid w:val="000B5763"/>
    <w:rsid w:val="000B5782"/>
    <w:rsid w:val="000B5DCB"/>
    <w:rsid w:val="000B5FDE"/>
    <w:rsid w:val="000B6033"/>
    <w:rsid w:val="000B60A7"/>
    <w:rsid w:val="000B677F"/>
    <w:rsid w:val="000B6C82"/>
    <w:rsid w:val="000B6EE1"/>
    <w:rsid w:val="000B78C7"/>
    <w:rsid w:val="000B7B7B"/>
    <w:rsid w:val="000B7FD3"/>
    <w:rsid w:val="000C02FB"/>
    <w:rsid w:val="000C0588"/>
    <w:rsid w:val="000C0690"/>
    <w:rsid w:val="000C06D7"/>
    <w:rsid w:val="000C07D8"/>
    <w:rsid w:val="000C18C1"/>
    <w:rsid w:val="000C1D35"/>
    <w:rsid w:val="000C1F9A"/>
    <w:rsid w:val="000C22E5"/>
    <w:rsid w:val="000C2409"/>
    <w:rsid w:val="000C26A0"/>
    <w:rsid w:val="000C2869"/>
    <w:rsid w:val="000C2C0D"/>
    <w:rsid w:val="000C2F15"/>
    <w:rsid w:val="000C38A3"/>
    <w:rsid w:val="000C39C7"/>
    <w:rsid w:val="000C3B94"/>
    <w:rsid w:val="000C3E9E"/>
    <w:rsid w:val="000C45FD"/>
    <w:rsid w:val="000C4ECF"/>
    <w:rsid w:val="000C58E5"/>
    <w:rsid w:val="000C5AB7"/>
    <w:rsid w:val="000C5D5C"/>
    <w:rsid w:val="000C61F2"/>
    <w:rsid w:val="000C6494"/>
    <w:rsid w:val="000C6644"/>
    <w:rsid w:val="000C6B1B"/>
    <w:rsid w:val="000C6BE4"/>
    <w:rsid w:val="000C6CAF"/>
    <w:rsid w:val="000C6FF0"/>
    <w:rsid w:val="000C7311"/>
    <w:rsid w:val="000C7406"/>
    <w:rsid w:val="000C78B9"/>
    <w:rsid w:val="000D02B5"/>
    <w:rsid w:val="000D05E7"/>
    <w:rsid w:val="000D091A"/>
    <w:rsid w:val="000D09A3"/>
    <w:rsid w:val="000D0BB8"/>
    <w:rsid w:val="000D0F8A"/>
    <w:rsid w:val="000D137B"/>
    <w:rsid w:val="000D1985"/>
    <w:rsid w:val="000D19BA"/>
    <w:rsid w:val="000D1B98"/>
    <w:rsid w:val="000D227B"/>
    <w:rsid w:val="000D2956"/>
    <w:rsid w:val="000D29F3"/>
    <w:rsid w:val="000D30F6"/>
    <w:rsid w:val="000D3177"/>
    <w:rsid w:val="000D35EC"/>
    <w:rsid w:val="000D3678"/>
    <w:rsid w:val="000D3A0A"/>
    <w:rsid w:val="000D3B3A"/>
    <w:rsid w:val="000D4114"/>
    <w:rsid w:val="000D472B"/>
    <w:rsid w:val="000D4BCE"/>
    <w:rsid w:val="000D4C5A"/>
    <w:rsid w:val="000D4DB8"/>
    <w:rsid w:val="000D507F"/>
    <w:rsid w:val="000D5385"/>
    <w:rsid w:val="000D538F"/>
    <w:rsid w:val="000D5668"/>
    <w:rsid w:val="000D5AD9"/>
    <w:rsid w:val="000D5BAD"/>
    <w:rsid w:val="000D613D"/>
    <w:rsid w:val="000D6340"/>
    <w:rsid w:val="000D6C3E"/>
    <w:rsid w:val="000D79B3"/>
    <w:rsid w:val="000D7AA7"/>
    <w:rsid w:val="000D7AAB"/>
    <w:rsid w:val="000D7E1D"/>
    <w:rsid w:val="000E0230"/>
    <w:rsid w:val="000E08D7"/>
    <w:rsid w:val="000E0B83"/>
    <w:rsid w:val="000E0E45"/>
    <w:rsid w:val="000E0F86"/>
    <w:rsid w:val="000E11A7"/>
    <w:rsid w:val="000E1879"/>
    <w:rsid w:val="000E1B98"/>
    <w:rsid w:val="000E1D47"/>
    <w:rsid w:val="000E1D4C"/>
    <w:rsid w:val="000E206C"/>
    <w:rsid w:val="000E2483"/>
    <w:rsid w:val="000E2F83"/>
    <w:rsid w:val="000E3098"/>
    <w:rsid w:val="000E3587"/>
    <w:rsid w:val="000E3ACF"/>
    <w:rsid w:val="000E3CBD"/>
    <w:rsid w:val="000E3DC2"/>
    <w:rsid w:val="000E404B"/>
    <w:rsid w:val="000E46AD"/>
    <w:rsid w:val="000E4983"/>
    <w:rsid w:val="000E4A5C"/>
    <w:rsid w:val="000E4F84"/>
    <w:rsid w:val="000E5864"/>
    <w:rsid w:val="000E5971"/>
    <w:rsid w:val="000E625E"/>
    <w:rsid w:val="000E6313"/>
    <w:rsid w:val="000E645B"/>
    <w:rsid w:val="000E6515"/>
    <w:rsid w:val="000E689C"/>
    <w:rsid w:val="000E6A30"/>
    <w:rsid w:val="000E70AB"/>
    <w:rsid w:val="000E71CD"/>
    <w:rsid w:val="000E7BAC"/>
    <w:rsid w:val="000E7DB7"/>
    <w:rsid w:val="000F07C3"/>
    <w:rsid w:val="000F0B12"/>
    <w:rsid w:val="000F0B84"/>
    <w:rsid w:val="000F1289"/>
    <w:rsid w:val="000F1756"/>
    <w:rsid w:val="000F1782"/>
    <w:rsid w:val="000F1826"/>
    <w:rsid w:val="000F1890"/>
    <w:rsid w:val="000F19CF"/>
    <w:rsid w:val="000F2055"/>
    <w:rsid w:val="000F2181"/>
    <w:rsid w:val="000F2401"/>
    <w:rsid w:val="000F2C6F"/>
    <w:rsid w:val="000F2EB3"/>
    <w:rsid w:val="000F3427"/>
    <w:rsid w:val="000F3D78"/>
    <w:rsid w:val="000F3DB2"/>
    <w:rsid w:val="000F3FB9"/>
    <w:rsid w:val="000F404E"/>
    <w:rsid w:val="000F4136"/>
    <w:rsid w:val="000F41F3"/>
    <w:rsid w:val="000F4497"/>
    <w:rsid w:val="000F47C8"/>
    <w:rsid w:val="000F4926"/>
    <w:rsid w:val="000F61F5"/>
    <w:rsid w:val="000F6664"/>
    <w:rsid w:val="000F6806"/>
    <w:rsid w:val="000F69C2"/>
    <w:rsid w:val="000F6D85"/>
    <w:rsid w:val="000F6FE2"/>
    <w:rsid w:val="000F7A12"/>
    <w:rsid w:val="000F7C69"/>
    <w:rsid w:val="000F7DE9"/>
    <w:rsid w:val="000F7E7E"/>
    <w:rsid w:val="00100029"/>
    <w:rsid w:val="001011CF"/>
    <w:rsid w:val="0010177D"/>
    <w:rsid w:val="00101835"/>
    <w:rsid w:val="00102444"/>
    <w:rsid w:val="00102B25"/>
    <w:rsid w:val="00102B7C"/>
    <w:rsid w:val="00102E66"/>
    <w:rsid w:val="001037E1"/>
    <w:rsid w:val="00103ACF"/>
    <w:rsid w:val="00103B53"/>
    <w:rsid w:val="00103E2E"/>
    <w:rsid w:val="001041BA"/>
    <w:rsid w:val="00104388"/>
    <w:rsid w:val="001043A8"/>
    <w:rsid w:val="00104D4A"/>
    <w:rsid w:val="00105C65"/>
    <w:rsid w:val="001061C7"/>
    <w:rsid w:val="001061EC"/>
    <w:rsid w:val="0010661E"/>
    <w:rsid w:val="001066E0"/>
    <w:rsid w:val="001069C8"/>
    <w:rsid w:val="001072A0"/>
    <w:rsid w:val="0010750D"/>
    <w:rsid w:val="001079D3"/>
    <w:rsid w:val="00107CEF"/>
    <w:rsid w:val="0011064D"/>
    <w:rsid w:val="001108E5"/>
    <w:rsid w:val="00110E95"/>
    <w:rsid w:val="00111187"/>
    <w:rsid w:val="0011118C"/>
    <w:rsid w:val="00111258"/>
    <w:rsid w:val="00111B83"/>
    <w:rsid w:val="00111FE3"/>
    <w:rsid w:val="00112503"/>
    <w:rsid w:val="00112924"/>
    <w:rsid w:val="00112BC9"/>
    <w:rsid w:val="00112D99"/>
    <w:rsid w:val="00112F6A"/>
    <w:rsid w:val="00113571"/>
    <w:rsid w:val="00113799"/>
    <w:rsid w:val="0011412A"/>
    <w:rsid w:val="001141C4"/>
    <w:rsid w:val="001145F3"/>
    <w:rsid w:val="0011475B"/>
    <w:rsid w:val="00114B9C"/>
    <w:rsid w:val="00115364"/>
    <w:rsid w:val="0011565B"/>
    <w:rsid w:val="001156B3"/>
    <w:rsid w:val="0011589F"/>
    <w:rsid w:val="00115B05"/>
    <w:rsid w:val="001162AC"/>
    <w:rsid w:val="00116FD1"/>
    <w:rsid w:val="0011705A"/>
    <w:rsid w:val="00117C0A"/>
    <w:rsid w:val="001200D2"/>
    <w:rsid w:val="0012062B"/>
    <w:rsid w:val="001207BB"/>
    <w:rsid w:val="001208FC"/>
    <w:rsid w:val="00120D4D"/>
    <w:rsid w:val="00121089"/>
    <w:rsid w:val="00121396"/>
    <w:rsid w:val="0012166E"/>
    <w:rsid w:val="00121726"/>
    <w:rsid w:val="0012182E"/>
    <w:rsid w:val="00121A54"/>
    <w:rsid w:val="00121D2E"/>
    <w:rsid w:val="00122327"/>
    <w:rsid w:val="00122D4E"/>
    <w:rsid w:val="00122DA3"/>
    <w:rsid w:val="00123390"/>
    <w:rsid w:val="001233D5"/>
    <w:rsid w:val="00123490"/>
    <w:rsid w:val="001239F3"/>
    <w:rsid w:val="00123B9D"/>
    <w:rsid w:val="00123E08"/>
    <w:rsid w:val="00123E80"/>
    <w:rsid w:val="00123EC9"/>
    <w:rsid w:val="001243B9"/>
    <w:rsid w:val="001243F4"/>
    <w:rsid w:val="0012466F"/>
    <w:rsid w:val="00124D05"/>
    <w:rsid w:val="00125512"/>
    <w:rsid w:val="00125689"/>
    <w:rsid w:val="00125907"/>
    <w:rsid w:val="00125AD6"/>
    <w:rsid w:val="001261B1"/>
    <w:rsid w:val="00126521"/>
    <w:rsid w:val="001267A9"/>
    <w:rsid w:val="00126895"/>
    <w:rsid w:val="00126994"/>
    <w:rsid w:val="00126B9F"/>
    <w:rsid w:val="001275B8"/>
    <w:rsid w:val="0012773D"/>
    <w:rsid w:val="00127869"/>
    <w:rsid w:val="00127A04"/>
    <w:rsid w:val="001302CE"/>
    <w:rsid w:val="00130496"/>
    <w:rsid w:val="00130A6D"/>
    <w:rsid w:val="00130A78"/>
    <w:rsid w:val="00130CF3"/>
    <w:rsid w:val="00130D6C"/>
    <w:rsid w:val="001312D0"/>
    <w:rsid w:val="00131516"/>
    <w:rsid w:val="001318E8"/>
    <w:rsid w:val="00131988"/>
    <w:rsid w:val="00131E8A"/>
    <w:rsid w:val="00131F80"/>
    <w:rsid w:val="00132807"/>
    <w:rsid w:val="00132C09"/>
    <w:rsid w:val="00132F85"/>
    <w:rsid w:val="00132FB8"/>
    <w:rsid w:val="00133088"/>
    <w:rsid w:val="0013381A"/>
    <w:rsid w:val="00134D73"/>
    <w:rsid w:val="00134EC6"/>
    <w:rsid w:val="00135282"/>
    <w:rsid w:val="001352D2"/>
    <w:rsid w:val="001357E7"/>
    <w:rsid w:val="00135800"/>
    <w:rsid w:val="00135886"/>
    <w:rsid w:val="0013618D"/>
    <w:rsid w:val="0013636B"/>
    <w:rsid w:val="001364BD"/>
    <w:rsid w:val="00136A24"/>
    <w:rsid w:val="00136AFF"/>
    <w:rsid w:val="00136B9A"/>
    <w:rsid w:val="00136C5B"/>
    <w:rsid w:val="00137029"/>
    <w:rsid w:val="00137094"/>
    <w:rsid w:val="00137382"/>
    <w:rsid w:val="00137BAB"/>
    <w:rsid w:val="00137D1B"/>
    <w:rsid w:val="00140091"/>
    <w:rsid w:val="00140221"/>
    <w:rsid w:val="001405FA"/>
    <w:rsid w:val="00141051"/>
    <w:rsid w:val="001410EE"/>
    <w:rsid w:val="001414A4"/>
    <w:rsid w:val="001415F9"/>
    <w:rsid w:val="00141F95"/>
    <w:rsid w:val="001425D2"/>
    <w:rsid w:val="00142EDB"/>
    <w:rsid w:val="00142EFA"/>
    <w:rsid w:val="00143974"/>
    <w:rsid w:val="00143A33"/>
    <w:rsid w:val="0014402C"/>
    <w:rsid w:val="0014447B"/>
    <w:rsid w:val="00144804"/>
    <w:rsid w:val="00144A9F"/>
    <w:rsid w:val="00144B1B"/>
    <w:rsid w:val="00144D7B"/>
    <w:rsid w:val="00144EC1"/>
    <w:rsid w:val="00145A99"/>
    <w:rsid w:val="00145B38"/>
    <w:rsid w:val="00145D23"/>
    <w:rsid w:val="00146C0D"/>
    <w:rsid w:val="00146D86"/>
    <w:rsid w:val="00147363"/>
    <w:rsid w:val="0014748A"/>
    <w:rsid w:val="00147526"/>
    <w:rsid w:val="0014763D"/>
    <w:rsid w:val="0014776B"/>
    <w:rsid w:val="00147B43"/>
    <w:rsid w:val="00147D2E"/>
    <w:rsid w:val="001500C1"/>
    <w:rsid w:val="00150400"/>
    <w:rsid w:val="0015055D"/>
    <w:rsid w:val="00150590"/>
    <w:rsid w:val="00150908"/>
    <w:rsid w:val="00150A94"/>
    <w:rsid w:val="00150D4E"/>
    <w:rsid w:val="00151372"/>
    <w:rsid w:val="001516BB"/>
    <w:rsid w:val="00151B04"/>
    <w:rsid w:val="00152538"/>
    <w:rsid w:val="00152664"/>
    <w:rsid w:val="00152D77"/>
    <w:rsid w:val="00153ECE"/>
    <w:rsid w:val="0015458E"/>
    <w:rsid w:val="00154769"/>
    <w:rsid w:val="00154BE3"/>
    <w:rsid w:val="00154EA3"/>
    <w:rsid w:val="00155151"/>
    <w:rsid w:val="00155247"/>
    <w:rsid w:val="00155283"/>
    <w:rsid w:val="0015565F"/>
    <w:rsid w:val="0015571C"/>
    <w:rsid w:val="00155A71"/>
    <w:rsid w:val="00155C0F"/>
    <w:rsid w:val="00155F5B"/>
    <w:rsid w:val="00156093"/>
    <w:rsid w:val="0015621D"/>
    <w:rsid w:val="00156B5D"/>
    <w:rsid w:val="00156C60"/>
    <w:rsid w:val="001570CE"/>
    <w:rsid w:val="0015747F"/>
    <w:rsid w:val="001575FC"/>
    <w:rsid w:val="00157DA1"/>
    <w:rsid w:val="00160109"/>
    <w:rsid w:val="0016015B"/>
    <w:rsid w:val="00160E7B"/>
    <w:rsid w:val="001610A1"/>
    <w:rsid w:val="00161171"/>
    <w:rsid w:val="001611BF"/>
    <w:rsid w:val="00161271"/>
    <w:rsid w:val="0016154D"/>
    <w:rsid w:val="001615A6"/>
    <w:rsid w:val="001616AC"/>
    <w:rsid w:val="00161B84"/>
    <w:rsid w:val="00161F0E"/>
    <w:rsid w:val="00162473"/>
    <w:rsid w:val="00163123"/>
    <w:rsid w:val="001633D9"/>
    <w:rsid w:val="00163699"/>
    <w:rsid w:val="00163752"/>
    <w:rsid w:val="0016399F"/>
    <w:rsid w:val="00163F46"/>
    <w:rsid w:val="0016409C"/>
    <w:rsid w:val="001641C4"/>
    <w:rsid w:val="00164456"/>
    <w:rsid w:val="00164998"/>
    <w:rsid w:val="001649C1"/>
    <w:rsid w:val="00164A7A"/>
    <w:rsid w:val="00164EE4"/>
    <w:rsid w:val="001656A5"/>
    <w:rsid w:val="001657F2"/>
    <w:rsid w:val="00165AA6"/>
    <w:rsid w:val="00165CDB"/>
    <w:rsid w:val="00165FE8"/>
    <w:rsid w:val="00166002"/>
    <w:rsid w:val="0016617B"/>
    <w:rsid w:val="001661AE"/>
    <w:rsid w:val="0016645F"/>
    <w:rsid w:val="001665FF"/>
    <w:rsid w:val="001667FC"/>
    <w:rsid w:val="00166926"/>
    <w:rsid w:val="00167730"/>
    <w:rsid w:val="001677E3"/>
    <w:rsid w:val="00167913"/>
    <w:rsid w:val="00167E19"/>
    <w:rsid w:val="0017092D"/>
    <w:rsid w:val="001709AC"/>
    <w:rsid w:val="00170BB4"/>
    <w:rsid w:val="00171552"/>
    <w:rsid w:val="00171A7A"/>
    <w:rsid w:val="00171B21"/>
    <w:rsid w:val="0017221E"/>
    <w:rsid w:val="00172A36"/>
    <w:rsid w:val="00172CA8"/>
    <w:rsid w:val="00172CF3"/>
    <w:rsid w:val="001730E8"/>
    <w:rsid w:val="001734F1"/>
    <w:rsid w:val="0017358A"/>
    <w:rsid w:val="00173D2B"/>
    <w:rsid w:val="00174127"/>
    <w:rsid w:val="00174AF1"/>
    <w:rsid w:val="00174F81"/>
    <w:rsid w:val="00174FEA"/>
    <w:rsid w:val="0017534C"/>
    <w:rsid w:val="0017537D"/>
    <w:rsid w:val="00175DB3"/>
    <w:rsid w:val="00175F85"/>
    <w:rsid w:val="0017625F"/>
    <w:rsid w:val="00176422"/>
    <w:rsid w:val="0017666E"/>
    <w:rsid w:val="0017668F"/>
    <w:rsid w:val="00176A52"/>
    <w:rsid w:val="00177675"/>
    <w:rsid w:val="0018023C"/>
    <w:rsid w:val="001809AD"/>
    <w:rsid w:val="001811C2"/>
    <w:rsid w:val="0018140D"/>
    <w:rsid w:val="0018150E"/>
    <w:rsid w:val="0018164D"/>
    <w:rsid w:val="00182267"/>
    <w:rsid w:val="0018243D"/>
    <w:rsid w:val="00182641"/>
    <w:rsid w:val="001827B9"/>
    <w:rsid w:val="00182EAD"/>
    <w:rsid w:val="0018379F"/>
    <w:rsid w:val="00183EF0"/>
    <w:rsid w:val="00183FFF"/>
    <w:rsid w:val="00184388"/>
    <w:rsid w:val="0018466C"/>
    <w:rsid w:val="00184C09"/>
    <w:rsid w:val="0018500D"/>
    <w:rsid w:val="00185399"/>
    <w:rsid w:val="001856C4"/>
    <w:rsid w:val="001857BD"/>
    <w:rsid w:val="00185D66"/>
    <w:rsid w:val="001862A0"/>
    <w:rsid w:val="00186546"/>
    <w:rsid w:val="00186609"/>
    <w:rsid w:val="00186B4F"/>
    <w:rsid w:val="00186F38"/>
    <w:rsid w:val="0019034E"/>
    <w:rsid w:val="00190717"/>
    <w:rsid w:val="0019081F"/>
    <w:rsid w:val="00190BB1"/>
    <w:rsid w:val="00190CB7"/>
    <w:rsid w:val="00190D84"/>
    <w:rsid w:val="00191129"/>
    <w:rsid w:val="001915B5"/>
    <w:rsid w:val="00191C06"/>
    <w:rsid w:val="001926B3"/>
    <w:rsid w:val="00192856"/>
    <w:rsid w:val="00192AC1"/>
    <w:rsid w:val="00192C39"/>
    <w:rsid w:val="00192D63"/>
    <w:rsid w:val="0019310B"/>
    <w:rsid w:val="0019360E"/>
    <w:rsid w:val="00193F62"/>
    <w:rsid w:val="00194318"/>
    <w:rsid w:val="0019437E"/>
    <w:rsid w:val="00194D04"/>
    <w:rsid w:val="00194E23"/>
    <w:rsid w:val="00194EBA"/>
    <w:rsid w:val="001951D2"/>
    <w:rsid w:val="001956C6"/>
    <w:rsid w:val="00195902"/>
    <w:rsid w:val="00195BA0"/>
    <w:rsid w:val="00195CF7"/>
    <w:rsid w:val="00195FC5"/>
    <w:rsid w:val="001963DD"/>
    <w:rsid w:val="0019650A"/>
    <w:rsid w:val="001965CB"/>
    <w:rsid w:val="001966E2"/>
    <w:rsid w:val="00196785"/>
    <w:rsid w:val="0019681A"/>
    <w:rsid w:val="0019690B"/>
    <w:rsid w:val="00196DE0"/>
    <w:rsid w:val="00196E3D"/>
    <w:rsid w:val="00197313"/>
    <w:rsid w:val="00197B69"/>
    <w:rsid w:val="00197E8F"/>
    <w:rsid w:val="001A013D"/>
    <w:rsid w:val="001A0441"/>
    <w:rsid w:val="001A04F2"/>
    <w:rsid w:val="001A0B73"/>
    <w:rsid w:val="001A1447"/>
    <w:rsid w:val="001A1C12"/>
    <w:rsid w:val="001A1D09"/>
    <w:rsid w:val="001A1DDE"/>
    <w:rsid w:val="001A2411"/>
    <w:rsid w:val="001A286D"/>
    <w:rsid w:val="001A28BE"/>
    <w:rsid w:val="001A2B0C"/>
    <w:rsid w:val="001A32C9"/>
    <w:rsid w:val="001A4365"/>
    <w:rsid w:val="001A43AE"/>
    <w:rsid w:val="001A4570"/>
    <w:rsid w:val="001A4CCD"/>
    <w:rsid w:val="001A4D7D"/>
    <w:rsid w:val="001A4DAF"/>
    <w:rsid w:val="001A4EA0"/>
    <w:rsid w:val="001A51BE"/>
    <w:rsid w:val="001A5956"/>
    <w:rsid w:val="001A59C2"/>
    <w:rsid w:val="001A62EB"/>
    <w:rsid w:val="001A6371"/>
    <w:rsid w:val="001A68DB"/>
    <w:rsid w:val="001A6EE6"/>
    <w:rsid w:val="001A7079"/>
    <w:rsid w:val="001A7155"/>
    <w:rsid w:val="001A727F"/>
    <w:rsid w:val="001A73AA"/>
    <w:rsid w:val="001A75B0"/>
    <w:rsid w:val="001A76DA"/>
    <w:rsid w:val="001B0191"/>
    <w:rsid w:val="001B05AC"/>
    <w:rsid w:val="001B0FEE"/>
    <w:rsid w:val="001B13B7"/>
    <w:rsid w:val="001B13D3"/>
    <w:rsid w:val="001B17AF"/>
    <w:rsid w:val="001B18AE"/>
    <w:rsid w:val="001B18BE"/>
    <w:rsid w:val="001B1B84"/>
    <w:rsid w:val="001B1DD1"/>
    <w:rsid w:val="001B3031"/>
    <w:rsid w:val="001B3837"/>
    <w:rsid w:val="001B3895"/>
    <w:rsid w:val="001B3A26"/>
    <w:rsid w:val="001B3D04"/>
    <w:rsid w:val="001B496D"/>
    <w:rsid w:val="001B4DEB"/>
    <w:rsid w:val="001B5383"/>
    <w:rsid w:val="001B649E"/>
    <w:rsid w:val="001B73DD"/>
    <w:rsid w:val="001B7B1E"/>
    <w:rsid w:val="001B7D71"/>
    <w:rsid w:val="001B7EED"/>
    <w:rsid w:val="001C045B"/>
    <w:rsid w:val="001C058C"/>
    <w:rsid w:val="001C05D6"/>
    <w:rsid w:val="001C0A19"/>
    <w:rsid w:val="001C1387"/>
    <w:rsid w:val="001C16B9"/>
    <w:rsid w:val="001C1738"/>
    <w:rsid w:val="001C1740"/>
    <w:rsid w:val="001C1C13"/>
    <w:rsid w:val="001C1C78"/>
    <w:rsid w:val="001C1DD6"/>
    <w:rsid w:val="001C1EEA"/>
    <w:rsid w:val="001C1F02"/>
    <w:rsid w:val="001C2090"/>
    <w:rsid w:val="001C20FA"/>
    <w:rsid w:val="001C211E"/>
    <w:rsid w:val="001C2808"/>
    <w:rsid w:val="001C2869"/>
    <w:rsid w:val="001C2CDF"/>
    <w:rsid w:val="001C3A05"/>
    <w:rsid w:val="001C41DD"/>
    <w:rsid w:val="001C4579"/>
    <w:rsid w:val="001C5063"/>
    <w:rsid w:val="001C576D"/>
    <w:rsid w:val="001C6151"/>
    <w:rsid w:val="001C637D"/>
    <w:rsid w:val="001C6612"/>
    <w:rsid w:val="001C7324"/>
    <w:rsid w:val="001C7610"/>
    <w:rsid w:val="001C7614"/>
    <w:rsid w:val="001C76BE"/>
    <w:rsid w:val="001C78E5"/>
    <w:rsid w:val="001C7E2F"/>
    <w:rsid w:val="001D032C"/>
    <w:rsid w:val="001D042D"/>
    <w:rsid w:val="001D046A"/>
    <w:rsid w:val="001D087F"/>
    <w:rsid w:val="001D1737"/>
    <w:rsid w:val="001D1B30"/>
    <w:rsid w:val="001D213C"/>
    <w:rsid w:val="001D2219"/>
    <w:rsid w:val="001D239D"/>
    <w:rsid w:val="001D23C1"/>
    <w:rsid w:val="001D2D42"/>
    <w:rsid w:val="001D2D95"/>
    <w:rsid w:val="001D2E11"/>
    <w:rsid w:val="001D36B4"/>
    <w:rsid w:val="001D3BBC"/>
    <w:rsid w:val="001D3F96"/>
    <w:rsid w:val="001D458E"/>
    <w:rsid w:val="001D4688"/>
    <w:rsid w:val="001D4769"/>
    <w:rsid w:val="001D47FB"/>
    <w:rsid w:val="001D4E1B"/>
    <w:rsid w:val="001D64B4"/>
    <w:rsid w:val="001D651D"/>
    <w:rsid w:val="001D6547"/>
    <w:rsid w:val="001D6921"/>
    <w:rsid w:val="001D711D"/>
    <w:rsid w:val="001D72B9"/>
    <w:rsid w:val="001D730F"/>
    <w:rsid w:val="001D77DF"/>
    <w:rsid w:val="001E06C5"/>
    <w:rsid w:val="001E09BB"/>
    <w:rsid w:val="001E0BE1"/>
    <w:rsid w:val="001E0C0C"/>
    <w:rsid w:val="001E1C84"/>
    <w:rsid w:val="001E281B"/>
    <w:rsid w:val="001E2FC2"/>
    <w:rsid w:val="001E345D"/>
    <w:rsid w:val="001E3701"/>
    <w:rsid w:val="001E3925"/>
    <w:rsid w:val="001E3CBB"/>
    <w:rsid w:val="001E4177"/>
    <w:rsid w:val="001E43F7"/>
    <w:rsid w:val="001E44B0"/>
    <w:rsid w:val="001E4A58"/>
    <w:rsid w:val="001E4BF0"/>
    <w:rsid w:val="001E4C06"/>
    <w:rsid w:val="001E4FAC"/>
    <w:rsid w:val="001E5462"/>
    <w:rsid w:val="001E54A7"/>
    <w:rsid w:val="001E5A9E"/>
    <w:rsid w:val="001E5C3C"/>
    <w:rsid w:val="001E600F"/>
    <w:rsid w:val="001E639E"/>
    <w:rsid w:val="001E673F"/>
    <w:rsid w:val="001E6A61"/>
    <w:rsid w:val="001E70DD"/>
    <w:rsid w:val="001E7E3E"/>
    <w:rsid w:val="001F046E"/>
    <w:rsid w:val="001F0577"/>
    <w:rsid w:val="001F098F"/>
    <w:rsid w:val="001F1073"/>
    <w:rsid w:val="001F1252"/>
    <w:rsid w:val="001F1CCD"/>
    <w:rsid w:val="001F205A"/>
    <w:rsid w:val="001F2121"/>
    <w:rsid w:val="001F274B"/>
    <w:rsid w:val="001F2C82"/>
    <w:rsid w:val="001F377C"/>
    <w:rsid w:val="001F3CA0"/>
    <w:rsid w:val="001F3FB4"/>
    <w:rsid w:val="001F4192"/>
    <w:rsid w:val="001F4231"/>
    <w:rsid w:val="001F4FA9"/>
    <w:rsid w:val="001F56E7"/>
    <w:rsid w:val="001F56F0"/>
    <w:rsid w:val="001F5ACC"/>
    <w:rsid w:val="001F5AD3"/>
    <w:rsid w:val="001F5F53"/>
    <w:rsid w:val="001F708F"/>
    <w:rsid w:val="001F74D3"/>
    <w:rsid w:val="001F7885"/>
    <w:rsid w:val="001F7AC9"/>
    <w:rsid w:val="001F7C57"/>
    <w:rsid w:val="001F7F07"/>
    <w:rsid w:val="002009B9"/>
    <w:rsid w:val="00201336"/>
    <w:rsid w:val="002013CD"/>
    <w:rsid w:val="0020147E"/>
    <w:rsid w:val="002014B8"/>
    <w:rsid w:val="00201873"/>
    <w:rsid w:val="00201BE4"/>
    <w:rsid w:val="0020216F"/>
    <w:rsid w:val="0020251F"/>
    <w:rsid w:val="0020309B"/>
    <w:rsid w:val="00203B8F"/>
    <w:rsid w:val="00203FC8"/>
    <w:rsid w:val="002041C6"/>
    <w:rsid w:val="00204205"/>
    <w:rsid w:val="0020443A"/>
    <w:rsid w:val="0020448C"/>
    <w:rsid w:val="002047A9"/>
    <w:rsid w:val="00204DF9"/>
    <w:rsid w:val="002050FF"/>
    <w:rsid w:val="0020540C"/>
    <w:rsid w:val="00205C34"/>
    <w:rsid w:val="00205F83"/>
    <w:rsid w:val="00206088"/>
    <w:rsid w:val="0020622D"/>
    <w:rsid w:val="00206271"/>
    <w:rsid w:val="0020644B"/>
    <w:rsid w:val="0020720A"/>
    <w:rsid w:val="002079D5"/>
    <w:rsid w:val="00210353"/>
    <w:rsid w:val="002108B8"/>
    <w:rsid w:val="00210BDC"/>
    <w:rsid w:val="00211313"/>
    <w:rsid w:val="00211736"/>
    <w:rsid w:val="002117E5"/>
    <w:rsid w:val="00211946"/>
    <w:rsid w:val="002119ED"/>
    <w:rsid w:val="00211A61"/>
    <w:rsid w:val="00212052"/>
    <w:rsid w:val="0021298A"/>
    <w:rsid w:val="00212D25"/>
    <w:rsid w:val="002131A8"/>
    <w:rsid w:val="00213D27"/>
    <w:rsid w:val="00213F90"/>
    <w:rsid w:val="00214AFF"/>
    <w:rsid w:val="00214EA7"/>
    <w:rsid w:val="00215228"/>
    <w:rsid w:val="002158CE"/>
    <w:rsid w:val="00215B9A"/>
    <w:rsid w:val="00216199"/>
    <w:rsid w:val="0021620B"/>
    <w:rsid w:val="00216EAA"/>
    <w:rsid w:val="00217F73"/>
    <w:rsid w:val="002200E9"/>
    <w:rsid w:val="00220268"/>
    <w:rsid w:val="0022065D"/>
    <w:rsid w:val="00220750"/>
    <w:rsid w:val="00221032"/>
    <w:rsid w:val="00221383"/>
    <w:rsid w:val="002213CD"/>
    <w:rsid w:val="0022147B"/>
    <w:rsid w:val="002218C9"/>
    <w:rsid w:val="00221F93"/>
    <w:rsid w:val="00222539"/>
    <w:rsid w:val="00222A04"/>
    <w:rsid w:val="00222C4D"/>
    <w:rsid w:val="00222D4A"/>
    <w:rsid w:val="0022346C"/>
    <w:rsid w:val="00223481"/>
    <w:rsid w:val="00223786"/>
    <w:rsid w:val="002238CE"/>
    <w:rsid w:val="00224162"/>
    <w:rsid w:val="002257A5"/>
    <w:rsid w:val="00225DDA"/>
    <w:rsid w:val="00225FCC"/>
    <w:rsid w:val="00226225"/>
    <w:rsid w:val="00226B1A"/>
    <w:rsid w:val="00227440"/>
    <w:rsid w:val="002276C2"/>
    <w:rsid w:val="00227AC9"/>
    <w:rsid w:val="0023001E"/>
    <w:rsid w:val="002301E4"/>
    <w:rsid w:val="0023049A"/>
    <w:rsid w:val="00230980"/>
    <w:rsid w:val="00230C65"/>
    <w:rsid w:val="00230CBE"/>
    <w:rsid w:val="00230FA1"/>
    <w:rsid w:val="0023121B"/>
    <w:rsid w:val="0023131A"/>
    <w:rsid w:val="00231632"/>
    <w:rsid w:val="00231CCF"/>
    <w:rsid w:val="002321F0"/>
    <w:rsid w:val="00232365"/>
    <w:rsid w:val="002323E4"/>
    <w:rsid w:val="00232416"/>
    <w:rsid w:val="00232598"/>
    <w:rsid w:val="002325EB"/>
    <w:rsid w:val="00232651"/>
    <w:rsid w:val="002328E5"/>
    <w:rsid w:val="002335D2"/>
    <w:rsid w:val="0023392C"/>
    <w:rsid w:val="002339CE"/>
    <w:rsid w:val="00233CD3"/>
    <w:rsid w:val="00233FAD"/>
    <w:rsid w:val="0023406F"/>
    <w:rsid w:val="002348E2"/>
    <w:rsid w:val="00234F4F"/>
    <w:rsid w:val="00235361"/>
    <w:rsid w:val="002356C7"/>
    <w:rsid w:val="00235C61"/>
    <w:rsid w:val="00235C8A"/>
    <w:rsid w:val="00235FAA"/>
    <w:rsid w:val="00235FD2"/>
    <w:rsid w:val="00236876"/>
    <w:rsid w:val="00240171"/>
    <w:rsid w:val="00240F77"/>
    <w:rsid w:val="0024167D"/>
    <w:rsid w:val="00241F58"/>
    <w:rsid w:val="00242195"/>
    <w:rsid w:val="002422C6"/>
    <w:rsid w:val="002424CE"/>
    <w:rsid w:val="002425A0"/>
    <w:rsid w:val="0024283B"/>
    <w:rsid w:val="00242A97"/>
    <w:rsid w:val="00242D93"/>
    <w:rsid w:val="00242DA5"/>
    <w:rsid w:val="00242FD2"/>
    <w:rsid w:val="002430E5"/>
    <w:rsid w:val="002433B2"/>
    <w:rsid w:val="002434AD"/>
    <w:rsid w:val="0024385C"/>
    <w:rsid w:val="00243A57"/>
    <w:rsid w:val="00244247"/>
    <w:rsid w:val="0024424E"/>
    <w:rsid w:val="002448D2"/>
    <w:rsid w:val="002449F5"/>
    <w:rsid w:val="00244DE4"/>
    <w:rsid w:val="00245145"/>
    <w:rsid w:val="0024571B"/>
    <w:rsid w:val="002458FE"/>
    <w:rsid w:val="00245C6B"/>
    <w:rsid w:val="00246922"/>
    <w:rsid w:val="00246BFB"/>
    <w:rsid w:val="00246DAA"/>
    <w:rsid w:val="00247119"/>
    <w:rsid w:val="002471D6"/>
    <w:rsid w:val="00247250"/>
    <w:rsid w:val="00247285"/>
    <w:rsid w:val="00247F65"/>
    <w:rsid w:val="00250071"/>
    <w:rsid w:val="00250159"/>
    <w:rsid w:val="00250327"/>
    <w:rsid w:val="0025094C"/>
    <w:rsid w:val="002512CE"/>
    <w:rsid w:val="00251440"/>
    <w:rsid w:val="0025144C"/>
    <w:rsid w:val="0025179C"/>
    <w:rsid w:val="002517E9"/>
    <w:rsid w:val="00251B87"/>
    <w:rsid w:val="00251C3A"/>
    <w:rsid w:val="00252253"/>
    <w:rsid w:val="002525D5"/>
    <w:rsid w:val="002528AC"/>
    <w:rsid w:val="0025292F"/>
    <w:rsid w:val="00252BD7"/>
    <w:rsid w:val="00252D8A"/>
    <w:rsid w:val="00252DE0"/>
    <w:rsid w:val="00252F14"/>
    <w:rsid w:val="00252FAC"/>
    <w:rsid w:val="00254018"/>
    <w:rsid w:val="002540ED"/>
    <w:rsid w:val="002543B7"/>
    <w:rsid w:val="0025452B"/>
    <w:rsid w:val="002545B0"/>
    <w:rsid w:val="002545F4"/>
    <w:rsid w:val="00254859"/>
    <w:rsid w:val="00254CEA"/>
    <w:rsid w:val="00254D53"/>
    <w:rsid w:val="00255348"/>
    <w:rsid w:val="0025561C"/>
    <w:rsid w:val="00255687"/>
    <w:rsid w:val="002558BB"/>
    <w:rsid w:val="00255AA1"/>
    <w:rsid w:val="00255D89"/>
    <w:rsid w:val="00255DD3"/>
    <w:rsid w:val="00256003"/>
    <w:rsid w:val="00256393"/>
    <w:rsid w:val="00256651"/>
    <w:rsid w:val="002567F7"/>
    <w:rsid w:val="002568A1"/>
    <w:rsid w:val="00256A07"/>
    <w:rsid w:val="00256D6E"/>
    <w:rsid w:val="002572E0"/>
    <w:rsid w:val="002573EC"/>
    <w:rsid w:val="002576E9"/>
    <w:rsid w:val="0025792D"/>
    <w:rsid w:val="0025795E"/>
    <w:rsid w:val="00260FB5"/>
    <w:rsid w:val="00261055"/>
    <w:rsid w:val="0026125A"/>
    <w:rsid w:val="00261744"/>
    <w:rsid w:val="00261DDC"/>
    <w:rsid w:val="0026260D"/>
    <w:rsid w:val="00263226"/>
    <w:rsid w:val="002637E1"/>
    <w:rsid w:val="002639EC"/>
    <w:rsid w:val="00263A9B"/>
    <w:rsid w:val="00263F76"/>
    <w:rsid w:val="00264408"/>
    <w:rsid w:val="002649DD"/>
    <w:rsid w:val="00264DD2"/>
    <w:rsid w:val="00264F3B"/>
    <w:rsid w:val="00264FAD"/>
    <w:rsid w:val="002656BC"/>
    <w:rsid w:val="00265982"/>
    <w:rsid w:val="00265B6A"/>
    <w:rsid w:val="00265CD7"/>
    <w:rsid w:val="00265F53"/>
    <w:rsid w:val="002661E6"/>
    <w:rsid w:val="002663AB"/>
    <w:rsid w:val="00266B60"/>
    <w:rsid w:val="00266C2C"/>
    <w:rsid w:val="00267530"/>
    <w:rsid w:val="00267707"/>
    <w:rsid w:val="00267E0D"/>
    <w:rsid w:val="00270268"/>
    <w:rsid w:val="002709AC"/>
    <w:rsid w:val="00270C3B"/>
    <w:rsid w:val="00270E2E"/>
    <w:rsid w:val="00270F2D"/>
    <w:rsid w:val="0027100E"/>
    <w:rsid w:val="00271633"/>
    <w:rsid w:val="002718B1"/>
    <w:rsid w:val="00271A1C"/>
    <w:rsid w:val="00271F7F"/>
    <w:rsid w:val="0027214C"/>
    <w:rsid w:val="002724E1"/>
    <w:rsid w:val="002725D9"/>
    <w:rsid w:val="002729BC"/>
    <w:rsid w:val="00272FDB"/>
    <w:rsid w:val="00273100"/>
    <w:rsid w:val="00273160"/>
    <w:rsid w:val="002731D4"/>
    <w:rsid w:val="0027325C"/>
    <w:rsid w:val="0027337A"/>
    <w:rsid w:val="00273659"/>
    <w:rsid w:val="00273667"/>
    <w:rsid w:val="002736CA"/>
    <w:rsid w:val="002740B9"/>
    <w:rsid w:val="00274240"/>
    <w:rsid w:val="0027452B"/>
    <w:rsid w:val="002753B3"/>
    <w:rsid w:val="00275840"/>
    <w:rsid w:val="00275F00"/>
    <w:rsid w:val="002763B7"/>
    <w:rsid w:val="002764FA"/>
    <w:rsid w:val="0027672A"/>
    <w:rsid w:val="00276B22"/>
    <w:rsid w:val="00276B31"/>
    <w:rsid w:val="00276C39"/>
    <w:rsid w:val="00276E2B"/>
    <w:rsid w:val="00276E74"/>
    <w:rsid w:val="002770D2"/>
    <w:rsid w:val="0027725E"/>
    <w:rsid w:val="00277412"/>
    <w:rsid w:val="00280387"/>
    <w:rsid w:val="002806DD"/>
    <w:rsid w:val="00280711"/>
    <w:rsid w:val="002807FC"/>
    <w:rsid w:val="002809C6"/>
    <w:rsid w:val="00280C6F"/>
    <w:rsid w:val="0028104B"/>
    <w:rsid w:val="002811DD"/>
    <w:rsid w:val="00281AC3"/>
    <w:rsid w:val="00281B98"/>
    <w:rsid w:val="00281CD5"/>
    <w:rsid w:val="00281D12"/>
    <w:rsid w:val="00281D68"/>
    <w:rsid w:val="0028210B"/>
    <w:rsid w:val="00282567"/>
    <w:rsid w:val="0028267F"/>
    <w:rsid w:val="0028306A"/>
    <w:rsid w:val="0028343D"/>
    <w:rsid w:val="0028366D"/>
    <w:rsid w:val="0028388D"/>
    <w:rsid w:val="00283960"/>
    <w:rsid w:val="00284338"/>
    <w:rsid w:val="0028577C"/>
    <w:rsid w:val="00285899"/>
    <w:rsid w:val="00286FCB"/>
    <w:rsid w:val="002874D9"/>
    <w:rsid w:val="00287745"/>
    <w:rsid w:val="002879B6"/>
    <w:rsid w:val="002879E8"/>
    <w:rsid w:val="00287F38"/>
    <w:rsid w:val="00290008"/>
    <w:rsid w:val="002901B7"/>
    <w:rsid w:val="002902C6"/>
    <w:rsid w:val="002904F1"/>
    <w:rsid w:val="00290C5F"/>
    <w:rsid w:val="00291A9F"/>
    <w:rsid w:val="00291DF3"/>
    <w:rsid w:val="0029203C"/>
    <w:rsid w:val="0029261C"/>
    <w:rsid w:val="00292C73"/>
    <w:rsid w:val="00293593"/>
    <w:rsid w:val="002935B6"/>
    <w:rsid w:val="002936FF"/>
    <w:rsid w:val="00293700"/>
    <w:rsid w:val="00294026"/>
    <w:rsid w:val="00294204"/>
    <w:rsid w:val="00294816"/>
    <w:rsid w:val="0029504D"/>
    <w:rsid w:val="002954FD"/>
    <w:rsid w:val="00295976"/>
    <w:rsid w:val="002959E5"/>
    <w:rsid w:val="00295A19"/>
    <w:rsid w:val="00295A36"/>
    <w:rsid w:val="00296702"/>
    <w:rsid w:val="00296BD6"/>
    <w:rsid w:val="002972CA"/>
    <w:rsid w:val="00297449"/>
    <w:rsid w:val="00297D78"/>
    <w:rsid w:val="00297D85"/>
    <w:rsid w:val="00297DAA"/>
    <w:rsid w:val="00297EA7"/>
    <w:rsid w:val="002A0726"/>
    <w:rsid w:val="002A1079"/>
    <w:rsid w:val="002A136C"/>
    <w:rsid w:val="002A1797"/>
    <w:rsid w:val="002A1CDE"/>
    <w:rsid w:val="002A1D9B"/>
    <w:rsid w:val="002A2016"/>
    <w:rsid w:val="002A225F"/>
    <w:rsid w:val="002A2791"/>
    <w:rsid w:val="002A27CE"/>
    <w:rsid w:val="002A28A9"/>
    <w:rsid w:val="002A2B7F"/>
    <w:rsid w:val="002A2FB8"/>
    <w:rsid w:val="002A30E4"/>
    <w:rsid w:val="002A3527"/>
    <w:rsid w:val="002A36A9"/>
    <w:rsid w:val="002A3969"/>
    <w:rsid w:val="002A41FB"/>
    <w:rsid w:val="002A45A5"/>
    <w:rsid w:val="002A46AC"/>
    <w:rsid w:val="002A492D"/>
    <w:rsid w:val="002A4C65"/>
    <w:rsid w:val="002A5771"/>
    <w:rsid w:val="002A5B69"/>
    <w:rsid w:val="002A5D45"/>
    <w:rsid w:val="002A623C"/>
    <w:rsid w:val="002A6568"/>
    <w:rsid w:val="002A69EB"/>
    <w:rsid w:val="002A6B8B"/>
    <w:rsid w:val="002A7414"/>
    <w:rsid w:val="002A769E"/>
    <w:rsid w:val="002A7DEA"/>
    <w:rsid w:val="002B0393"/>
    <w:rsid w:val="002B0496"/>
    <w:rsid w:val="002B04CC"/>
    <w:rsid w:val="002B0528"/>
    <w:rsid w:val="002B0B9F"/>
    <w:rsid w:val="002B0C26"/>
    <w:rsid w:val="002B0F6E"/>
    <w:rsid w:val="002B1024"/>
    <w:rsid w:val="002B1602"/>
    <w:rsid w:val="002B1712"/>
    <w:rsid w:val="002B1E58"/>
    <w:rsid w:val="002B2004"/>
    <w:rsid w:val="002B2309"/>
    <w:rsid w:val="002B2394"/>
    <w:rsid w:val="002B2A4B"/>
    <w:rsid w:val="002B2E2C"/>
    <w:rsid w:val="002B2F20"/>
    <w:rsid w:val="002B367B"/>
    <w:rsid w:val="002B3BC0"/>
    <w:rsid w:val="002B4115"/>
    <w:rsid w:val="002B4251"/>
    <w:rsid w:val="002B42B0"/>
    <w:rsid w:val="002B4A37"/>
    <w:rsid w:val="002B4C9A"/>
    <w:rsid w:val="002B4E4D"/>
    <w:rsid w:val="002B53FD"/>
    <w:rsid w:val="002B59BE"/>
    <w:rsid w:val="002B5FBE"/>
    <w:rsid w:val="002B6083"/>
    <w:rsid w:val="002B60C1"/>
    <w:rsid w:val="002B60FA"/>
    <w:rsid w:val="002B6A82"/>
    <w:rsid w:val="002B6CE7"/>
    <w:rsid w:val="002B714F"/>
    <w:rsid w:val="002B7185"/>
    <w:rsid w:val="002B724B"/>
    <w:rsid w:val="002B7318"/>
    <w:rsid w:val="002B75D4"/>
    <w:rsid w:val="002B763F"/>
    <w:rsid w:val="002B7A32"/>
    <w:rsid w:val="002B7F32"/>
    <w:rsid w:val="002B7F90"/>
    <w:rsid w:val="002C0A1B"/>
    <w:rsid w:val="002C0EF9"/>
    <w:rsid w:val="002C12C6"/>
    <w:rsid w:val="002C131E"/>
    <w:rsid w:val="002C1519"/>
    <w:rsid w:val="002C1632"/>
    <w:rsid w:val="002C170D"/>
    <w:rsid w:val="002C1817"/>
    <w:rsid w:val="002C1D31"/>
    <w:rsid w:val="002C2223"/>
    <w:rsid w:val="002C251E"/>
    <w:rsid w:val="002C2A61"/>
    <w:rsid w:val="002C2E04"/>
    <w:rsid w:val="002C3183"/>
    <w:rsid w:val="002C3348"/>
    <w:rsid w:val="002C3EE7"/>
    <w:rsid w:val="002C4010"/>
    <w:rsid w:val="002C40EF"/>
    <w:rsid w:val="002C43DB"/>
    <w:rsid w:val="002C48F6"/>
    <w:rsid w:val="002C4E0C"/>
    <w:rsid w:val="002C4E1E"/>
    <w:rsid w:val="002C55FD"/>
    <w:rsid w:val="002C5694"/>
    <w:rsid w:val="002C57F8"/>
    <w:rsid w:val="002C5B32"/>
    <w:rsid w:val="002C5C67"/>
    <w:rsid w:val="002C5DDD"/>
    <w:rsid w:val="002C621A"/>
    <w:rsid w:val="002C63AC"/>
    <w:rsid w:val="002C6660"/>
    <w:rsid w:val="002C6B9A"/>
    <w:rsid w:val="002C70D8"/>
    <w:rsid w:val="002C734D"/>
    <w:rsid w:val="002C7520"/>
    <w:rsid w:val="002C76F9"/>
    <w:rsid w:val="002C7FC3"/>
    <w:rsid w:val="002D01FB"/>
    <w:rsid w:val="002D068C"/>
    <w:rsid w:val="002D0873"/>
    <w:rsid w:val="002D13B5"/>
    <w:rsid w:val="002D13B9"/>
    <w:rsid w:val="002D1718"/>
    <w:rsid w:val="002D1730"/>
    <w:rsid w:val="002D19E3"/>
    <w:rsid w:val="002D1E1E"/>
    <w:rsid w:val="002D20E9"/>
    <w:rsid w:val="002D229D"/>
    <w:rsid w:val="002D2323"/>
    <w:rsid w:val="002D281D"/>
    <w:rsid w:val="002D2BFE"/>
    <w:rsid w:val="002D2E14"/>
    <w:rsid w:val="002D30F0"/>
    <w:rsid w:val="002D31CF"/>
    <w:rsid w:val="002D3827"/>
    <w:rsid w:val="002D3B80"/>
    <w:rsid w:val="002D3CC8"/>
    <w:rsid w:val="002D3CFB"/>
    <w:rsid w:val="002D41C2"/>
    <w:rsid w:val="002D48A1"/>
    <w:rsid w:val="002D49C9"/>
    <w:rsid w:val="002D4A20"/>
    <w:rsid w:val="002D4AA8"/>
    <w:rsid w:val="002D5214"/>
    <w:rsid w:val="002D5601"/>
    <w:rsid w:val="002D576C"/>
    <w:rsid w:val="002D58B6"/>
    <w:rsid w:val="002D5A06"/>
    <w:rsid w:val="002D5FD3"/>
    <w:rsid w:val="002D6046"/>
    <w:rsid w:val="002D6642"/>
    <w:rsid w:val="002D6869"/>
    <w:rsid w:val="002D6B92"/>
    <w:rsid w:val="002D6C01"/>
    <w:rsid w:val="002D6DC0"/>
    <w:rsid w:val="002D724D"/>
    <w:rsid w:val="002D73A4"/>
    <w:rsid w:val="002E054D"/>
    <w:rsid w:val="002E0830"/>
    <w:rsid w:val="002E1236"/>
    <w:rsid w:val="002E12E2"/>
    <w:rsid w:val="002E130C"/>
    <w:rsid w:val="002E17F3"/>
    <w:rsid w:val="002E1BC2"/>
    <w:rsid w:val="002E1C74"/>
    <w:rsid w:val="002E1CB5"/>
    <w:rsid w:val="002E24DD"/>
    <w:rsid w:val="002E30A3"/>
    <w:rsid w:val="002E3133"/>
    <w:rsid w:val="002E3797"/>
    <w:rsid w:val="002E3875"/>
    <w:rsid w:val="002E391F"/>
    <w:rsid w:val="002E3B21"/>
    <w:rsid w:val="002E3FEB"/>
    <w:rsid w:val="002E49F6"/>
    <w:rsid w:val="002E4AA7"/>
    <w:rsid w:val="002E4B36"/>
    <w:rsid w:val="002E4DD6"/>
    <w:rsid w:val="002E52D8"/>
    <w:rsid w:val="002E5978"/>
    <w:rsid w:val="002E59C0"/>
    <w:rsid w:val="002E5EEC"/>
    <w:rsid w:val="002E638F"/>
    <w:rsid w:val="002E6556"/>
    <w:rsid w:val="002E6721"/>
    <w:rsid w:val="002E6B46"/>
    <w:rsid w:val="002E6D7A"/>
    <w:rsid w:val="002E747A"/>
    <w:rsid w:val="002E75DD"/>
    <w:rsid w:val="002E7AA0"/>
    <w:rsid w:val="002E7D69"/>
    <w:rsid w:val="002E7FE2"/>
    <w:rsid w:val="002F0505"/>
    <w:rsid w:val="002F05E7"/>
    <w:rsid w:val="002F08A9"/>
    <w:rsid w:val="002F0919"/>
    <w:rsid w:val="002F0B2B"/>
    <w:rsid w:val="002F0D69"/>
    <w:rsid w:val="002F0F93"/>
    <w:rsid w:val="002F13F2"/>
    <w:rsid w:val="002F1458"/>
    <w:rsid w:val="002F1A43"/>
    <w:rsid w:val="002F1A94"/>
    <w:rsid w:val="002F1B1A"/>
    <w:rsid w:val="002F1BD5"/>
    <w:rsid w:val="002F1DD7"/>
    <w:rsid w:val="002F22E3"/>
    <w:rsid w:val="002F254D"/>
    <w:rsid w:val="002F25E0"/>
    <w:rsid w:val="002F27B6"/>
    <w:rsid w:val="002F2817"/>
    <w:rsid w:val="002F2CBE"/>
    <w:rsid w:val="002F2E3B"/>
    <w:rsid w:val="002F2E56"/>
    <w:rsid w:val="002F335A"/>
    <w:rsid w:val="002F3708"/>
    <w:rsid w:val="002F3968"/>
    <w:rsid w:val="002F3A85"/>
    <w:rsid w:val="002F3F6A"/>
    <w:rsid w:val="002F463D"/>
    <w:rsid w:val="002F4875"/>
    <w:rsid w:val="002F53D9"/>
    <w:rsid w:val="002F557A"/>
    <w:rsid w:val="002F6051"/>
    <w:rsid w:val="002F6215"/>
    <w:rsid w:val="002F65A3"/>
    <w:rsid w:val="002F7705"/>
    <w:rsid w:val="002F7998"/>
    <w:rsid w:val="002F7D70"/>
    <w:rsid w:val="002F7F26"/>
    <w:rsid w:val="003002A0"/>
    <w:rsid w:val="0030043D"/>
    <w:rsid w:val="0030083C"/>
    <w:rsid w:val="0030152D"/>
    <w:rsid w:val="003021BA"/>
    <w:rsid w:val="00302215"/>
    <w:rsid w:val="003023C3"/>
    <w:rsid w:val="003024BC"/>
    <w:rsid w:val="0030252A"/>
    <w:rsid w:val="003027C1"/>
    <w:rsid w:val="003029EA"/>
    <w:rsid w:val="00302A16"/>
    <w:rsid w:val="00302C2F"/>
    <w:rsid w:val="00303344"/>
    <w:rsid w:val="003037B6"/>
    <w:rsid w:val="003037FB"/>
    <w:rsid w:val="00303AB7"/>
    <w:rsid w:val="00304447"/>
    <w:rsid w:val="003049D6"/>
    <w:rsid w:val="003049E2"/>
    <w:rsid w:val="00304A8E"/>
    <w:rsid w:val="00304A91"/>
    <w:rsid w:val="00304B9D"/>
    <w:rsid w:val="00304D23"/>
    <w:rsid w:val="00305245"/>
    <w:rsid w:val="0030528B"/>
    <w:rsid w:val="0030534B"/>
    <w:rsid w:val="00305352"/>
    <w:rsid w:val="003056A2"/>
    <w:rsid w:val="00305F1B"/>
    <w:rsid w:val="0030627E"/>
    <w:rsid w:val="003069AE"/>
    <w:rsid w:val="00307108"/>
    <w:rsid w:val="00310277"/>
    <w:rsid w:val="00311098"/>
    <w:rsid w:val="0031115A"/>
    <w:rsid w:val="0031184E"/>
    <w:rsid w:val="00311A41"/>
    <w:rsid w:val="00311B79"/>
    <w:rsid w:val="003122F9"/>
    <w:rsid w:val="003125D4"/>
    <w:rsid w:val="00312C6B"/>
    <w:rsid w:val="00313204"/>
    <w:rsid w:val="003134FA"/>
    <w:rsid w:val="0031413C"/>
    <w:rsid w:val="003144CF"/>
    <w:rsid w:val="003148A8"/>
    <w:rsid w:val="00314C43"/>
    <w:rsid w:val="00314E85"/>
    <w:rsid w:val="00315143"/>
    <w:rsid w:val="00315815"/>
    <w:rsid w:val="00315854"/>
    <w:rsid w:val="00316442"/>
    <w:rsid w:val="00316450"/>
    <w:rsid w:val="00316500"/>
    <w:rsid w:val="003167A0"/>
    <w:rsid w:val="00316AB1"/>
    <w:rsid w:val="00316D33"/>
    <w:rsid w:val="00317455"/>
    <w:rsid w:val="003179D9"/>
    <w:rsid w:val="00317C37"/>
    <w:rsid w:val="00320680"/>
    <w:rsid w:val="003208D8"/>
    <w:rsid w:val="00320A09"/>
    <w:rsid w:val="00320A87"/>
    <w:rsid w:val="00321955"/>
    <w:rsid w:val="00321EB0"/>
    <w:rsid w:val="00322AE2"/>
    <w:rsid w:val="00322ECB"/>
    <w:rsid w:val="003230DB"/>
    <w:rsid w:val="00323F6C"/>
    <w:rsid w:val="00324245"/>
    <w:rsid w:val="00324424"/>
    <w:rsid w:val="003248B9"/>
    <w:rsid w:val="00324B33"/>
    <w:rsid w:val="00324B59"/>
    <w:rsid w:val="00324BC3"/>
    <w:rsid w:val="00324C9D"/>
    <w:rsid w:val="00324DFC"/>
    <w:rsid w:val="0032524B"/>
    <w:rsid w:val="003252D7"/>
    <w:rsid w:val="003257AE"/>
    <w:rsid w:val="00325D55"/>
    <w:rsid w:val="00326779"/>
    <w:rsid w:val="00327406"/>
    <w:rsid w:val="003279FE"/>
    <w:rsid w:val="00327EAB"/>
    <w:rsid w:val="00327FEB"/>
    <w:rsid w:val="00330069"/>
    <w:rsid w:val="003302A5"/>
    <w:rsid w:val="0033080D"/>
    <w:rsid w:val="0033095A"/>
    <w:rsid w:val="00330B9D"/>
    <w:rsid w:val="00330CC0"/>
    <w:rsid w:val="00330E6B"/>
    <w:rsid w:val="00331078"/>
    <w:rsid w:val="003311CB"/>
    <w:rsid w:val="00331323"/>
    <w:rsid w:val="0033193B"/>
    <w:rsid w:val="00331CA8"/>
    <w:rsid w:val="00331ED1"/>
    <w:rsid w:val="0033232B"/>
    <w:rsid w:val="00332EAD"/>
    <w:rsid w:val="00333029"/>
    <w:rsid w:val="003334E5"/>
    <w:rsid w:val="003337AF"/>
    <w:rsid w:val="0033388D"/>
    <w:rsid w:val="003340EF"/>
    <w:rsid w:val="003341E3"/>
    <w:rsid w:val="00334491"/>
    <w:rsid w:val="00334BDB"/>
    <w:rsid w:val="00334D47"/>
    <w:rsid w:val="003355CC"/>
    <w:rsid w:val="00335ADD"/>
    <w:rsid w:val="00335BAE"/>
    <w:rsid w:val="00336364"/>
    <w:rsid w:val="0033658F"/>
    <w:rsid w:val="00336A98"/>
    <w:rsid w:val="00336FC7"/>
    <w:rsid w:val="00337254"/>
    <w:rsid w:val="00337733"/>
    <w:rsid w:val="00337B0D"/>
    <w:rsid w:val="00337F6B"/>
    <w:rsid w:val="00340406"/>
    <w:rsid w:val="00340519"/>
    <w:rsid w:val="00340950"/>
    <w:rsid w:val="003409E6"/>
    <w:rsid w:val="00340C31"/>
    <w:rsid w:val="00340CA5"/>
    <w:rsid w:val="00340EFB"/>
    <w:rsid w:val="003412ED"/>
    <w:rsid w:val="00341461"/>
    <w:rsid w:val="00341508"/>
    <w:rsid w:val="00341546"/>
    <w:rsid w:val="00341BAB"/>
    <w:rsid w:val="00341F79"/>
    <w:rsid w:val="00342004"/>
    <w:rsid w:val="00342549"/>
    <w:rsid w:val="00342B62"/>
    <w:rsid w:val="003434C6"/>
    <w:rsid w:val="003434EF"/>
    <w:rsid w:val="0034362F"/>
    <w:rsid w:val="00343E9D"/>
    <w:rsid w:val="00343F5D"/>
    <w:rsid w:val="00344241"/>
    <w:rsid w:val="0034466A"/>
    <w:rsid w:val="003452EE"/>
    <w:rsid w:val="003453BA"/>
    <w:rsid w:val="00345B14"/>
    <w:rsid w:val="00345B2A"/>
    <w:rsid w:val="00345D4C"/>
    <w:rsid w:val="00345DC5"/>
    <w:rsid w:val="00346A1F"/>
    <w:rsid w:val="00346A7A"/>
    <w:rsid w:val="00346C00"/>
    <w:rsid w:val="00346CCE"/>
    <w:rsid w:val="00346D2F"/>
    <w:rsid w:val="00346EED"/>
    <w:rsid w:val="00346F06"/>
    <w:rsid w:val="00347770"/>
    <w:rsid w:val="00347E96"/>
    <w:rsid w:val="0035008D"/>
    <w:rsid w:val="00350687"/>
    <w:rsid w:val="00350D91"/>
    <w:rsid w:val="00350E58"/>
    <w:rsid w:val="00351619"/>
    <w:rsid w:val="00351652"/>
    <w:rsid w:val="00351736"/>
    <w:rsid w:val="00351A36"/>
    <w:rsid w:val="0035205B"/>
    <w:rsid w:val="0035207D"/>
    <w:rsid w:val="003528F4"/>
    <w:rsid w:val="00352F15"/>
    <w:rsid w:val="003536C9"/>
    <w:rsid w:val="00353783"/>
    <w:rsid w:val="00353C97"/>
    <w:rsid w:val="00353F4A"/>
    <w:rsid w:val="00354535"/>
    <w:rsid w:val="00354DC2"/>
    <w:rsid w:val="00354F30"/>
    <w:rsid w:val="00354F33"/>
    <w:rsid w:val="0035532E"/>
    <w:rsid w:val="00355862"/>
    <w:rsid w:val="00355D0E"/>
    <w:rsid w:val="0035637A"/>
    <w:rsid w:val="0035643E"/>
    <w:rsid w:val="00356D28"/>
    <w:rsid w:val="003573C7"/>
    <w:rsid w:val="0035776C"/>
    <w:rsid w:val="003578CF"/>
    <w:rsid w:val="00357CFC"/>
    <w:rsid w:val="0036018E"/>
    <w:rsid w:val="003604BE"/>
    <w:rsid w:val="0036055A"/>
    <w:rsid w:val="00360E59"/>
    <w:rsid w:val="003612E1"/>
    <w:rsid w:val="00361A56"/>
    <w:rsid w:val="003626A6"/>
    <w:rsid w:val="003626FF"/>
    <w:rsid w:val="00362A3A"/>
    <w:rsid w:val="00362EEF"/>
    <w:rsid w:val="003630D5"/>
    <w:rsid w:val="00363605"/>
    <w:rsid w:val="00364407"/>
    <w:rsid w:val="00364AF0"/>
    <w:rsid w:val="00364C0D"/>
    <w:rsid w:val="00364C8A"/>
    <w:rsid w:val="00365B0B"/>
    <w:rsid w:val="00365F4C"/>
    <w:rsid w:val="003666BE"/>
    <w:rsid w:val="0036696C"/>
    <w:rsid w:val="00366A07"/>
    <w:rsid w:val="0036710D"/>
    <w:rsid w:val="003671B7"/>
    <w:rsid w:val="00367320"/>
    <w:rsid w:val="003674C2"/>
    <w:rsid w:val="003676C6"/>
    <w:rsid w:val="00367893"/>
    <w:rsid w:val="00367D16"/>
    <w:rsid w:val="003704C6"/>
    <w:rsid w:val="0037057F"/>
    <w:rsid w:val="0037109C"/>
    <w:rsid w:val="00371572"/>
    <w:rsid w:val="00371613"/>
    <w:rsid w:val="003717A2"/>
    <w:rsid w:val="003717D2"/>
    <w:rsid w:val="00371A19"/>
    <w:rsid w:val="00371ABA"/>
    <w:rsid w:val="00371C2E"/>
    <w:rsid w:val="00371C73"/>
    <w:rsid w:val="00371F04"/>
    <w:rsid w:val="00371F63"/>
    <w:rsid w:val="00371FA6"/>
    <w:rsid w:val="00372191"/>
    <w:rsid w:val="00372769"/>
    <w:rsid w:val="0037276B"/>
    <w:rsid w:val="0037303E"/>
    <w:rsid w:val="0037305C"/>
    <w:rsid w:val="0037323E"/>
    <w:rsid w:val="00373551"/>
    <w:rsid w:val="0037355D"/>
    <w:rsid w:val="0037385A"/>
    <w:rsid w:val="00373A07"/>
    <w:rsid w:val="00373C6B"/>
    <w:rsid w:val="0037400E"/>
    <w:rsid w:val="0037403C"/>
    <w:rsid w:val="00374516"/>
    <w:rsid w:val="00374A29"/>
    <w:rsid w:val="00374CBC"/>
    <w:rsid w:val="003750D1"/>
    <w:rsid w:val="0037513E"/>
    <w:rsid w:val="003751B9"/>
    <w:rsid w:val="00375236"/>
    <w:rsid w:val="0037547D"/>
    <w:rsid w:val="003755EC"/>
    <w:rsid w:val="00375FCF"/>
    <w:rsid w:val="0037626D"/>
    <w:rsid w:val="00376414"/>
    <w:rsid w:val="003764C4"/>
    <w:rsid w:val="0037679F"/>
    <w:rsid w:val="00376E23"/>
    <w:rsid w:val="00377003"/>
    <w:rsid w:val="00377D25"/>
    <w:rsid w:val="003800BE"/>
    <w:rsid w:val="003804FC"/>
    <w:rsid w:val="00380937"/>
    <w:rsid w:val="00380C2A"/>
    <w:rsid w:val="00380F48"/>
    <w:rsid w:val="003818DC"/>
    <w:rsid w:val="00381D36"/>
    <w:rsid w:val="00381DFE"/>
    <w:rsid w:val="0038223D"/>
    <w:rsid w:val="0038298D"/>
    <w:rsid w:val="00382A08"/>
    <w:rsid w:val="0038301C"/>
    <w:rsid w:val="0038380E"/>
    <w:rsid w:val="00383AAF"/>
    <w:rsid w:val="00384078"/>
    <w:rsid w:val="0038429D"/>
    <w:rsid w:val="00384C67"/>
    <w:rsid w:val="00384EF5"/>
    <w:rsid w:val="00384FF3"/>
    <w:rsid w:val="003851DD"/>
    <w:rsid w:val="00385210"/>
    <w:rsid w:val="003853CC"/>
    <w:rsid w:val="00385A9E"/>
    <w:rsid w:val="00386245"/>
    <w:rsid w:val="003863B2"/>
    <w:rsid w:val="00386424"/>
    <w:rsid w:val="00386DF7"/>
    <w:rsid w:val="00386FB5"/>
    <w:rsid w:val="00387175"/>
    <w:rsid w:val="00387545"/>
    <w:rsid w:val="00387649"/>
    <w:rsid w:val="00387F25"/>
    <w:rsid w:val="00390BA7"/>
    <w:rsid w:val="00390BF0"/>
    <w:rsid w:val="00391153"/>
    <w:rsid w:val="00391787"/>
    <w:rsid w:val="003918EB"/>
    <w:rsid w:val="00391CDE"/>
    <w:rsid w:val="003920F9"/>
    <w:rsid w:val="00392549"/>
    <w:rsid w:val="00392713"/>
    <w:rsid w:val="003927D0"/>
    <w:rsid w:val="00392FB3"/>
    <w:rsid w:val="003938AB"/>
    <w:rsid w:val="00393A72"/>
    <w:rsid w:val="00393C33"/>
    <w:rsid w:val="00393E51"/>
    <w:rsid w:val="00394485"/>
    <w:rsid w:val="003945E7"/>
    <w:rsid w:val="003945FE"/>
    <w:rsid w:val="00394BDA"/>
    <w:rsid w:val="00394D3B"/>
    <w:rsid w:val="003952B4"/>
    <w:rsid w:val="0039534C"/>
    <w:rsid w:val="003956BC"/>
    <w:rsid w:val="003959F7"/>
    <w:rsid w:val="00396301"/>
    <w:rsid w:val="003963A9"/>
    <w:rsid w:val="00396549"/>
    <w:rsid w:val="003967A6"/>
    <w:rsid w:val="0039698B"/>
    <w:rsid w:val="00396CAD"/>
    <w:rsid w:val="00396DC5"/>
    <w:rsid w:val="0039723A"/>
    <w:rsid w:val="003973FB"/>
    <w:rsid w:val="00397916"/>
    <w:rsid w:val="00397AEC"/>
    <w:rsid w:val="00397F53"/>
    <w:rsid w:val="003A072A"/>
    <w:rsid w:val="003A09E6"/>
    <w:rsid w:val="003A18BF"/>
    <w:rsid w:val="003A1D90"/>
    <w:rsid w:val="003A1EF9"/>
    <w:rsid w:val="003A2049"/>
    <w:rsid w:val="003A2077"/>
    <w:rsid w:val="003A3210"/>
    <w:rsid w:val="003A3276"/>
    <w:rsid w:val="003A375C"/>
    <w:rsid w:val="003A3908"/>
    <w:rsid w:val="003A3A25"/>
    <w:rsid w:val="003A3D8C"/>
    <w:rsid w:val="003A3F3C"/>
    <w:rsid w:val="003A430E"/>
    <w:rsid w:val="003A4482"/>
    <w:rsid w:val="003A46B6"/>
    <w:rsid w:val="003A4961"/>
    <w:rsid w:val="003A4A02"/>
    <w:rsid w:val="003A4C3A"/>
    <w:rsid w:val="003A5056"/>
    <w:rsid w:val="003A56C0"/>
    <w:rsid w:val="003A5B4C"/>
    <w:rsid w:val="003A6017"/>
    <w:rsid w:val="003A60AD"/>
    <w:rsid w:val="003A61B2"/>
    <w:rsid w:val="003A6336"/>
    <w:rsid w:val="003A6386"/>
    <w:rsid w:val="003A6452"/>
    <w:rsid w:val="003A6818"/>
    <w:rsid w:val="003A697E"/>
    <w:rsid w:val="003A6E0C"/>
    <w:rsid w:val="003A71E1"/>
    <w:rsid w:val="003A7F2D"/>
    <w:rsid w:val="003B0067"/>
    <w:rsid w:val="003B0081"/>
    <w:rsid w:val="003B0340"/>
    <w:rsid w:val="003B04CC"/>
    <w:rsid w:val="003B0CB6"/>
    <w:rsid w:val="003B16B1"/>
    <w:rsid w:val="003B17DF"/>
    <w:rsid w:val="003B17F5"/>
    <w:rsid w:val="003B1A3F"/>
    <w:rsid w:val="003B1A99"/>
    <w:rsid w:val="003B21C2"/>
    <w:rsid w:val="003B2336"/>
    <w:rsid w:val="003B2517"/>
    <w:rsid w:val="003B2612"/>
    <w:rsid w:val="003B2B17"/>
    <w:rsid w:val="003B3952"/>
    <w:rsid w:val="003B3C21"/>
    <w:rsid w:val="003B3CB3"/>
    <w:rsid w:val="003B4128"/>
    <w:rsid w:val="003B508C"/>
    <w:rsid w:val="003B518A"/>
    <w:rsid w:val="003B5412"/>
    <w:rsid w:val="003B579C"/>
    <w:rsid w:val="003B57EB"/>
    <w:rsid w:val="003B5AD4"/>
    <w:rsid w:val="003B5B67"/>
    <w:rsid w:val="003B5B6F"/>
    <w:rsid w:val="003B63A4"/>
    <w:rsid w:val="003B730F"/>
    <w:rsid w:val="003B7455"/>
    <w:rsid w:val="003B7626"/>
    <w:rsid w:val="003B7B31"/>
    <w:rsid w:val="003B7B5A"/>
    <w:rsid w:val="003B7E9E"/>
    <w:rsid w:val="003C00C3"/>
    <w:rsid w:val="003C01D8"/>
    <w:rsid w:val="003C0454"/>
    <w:rsid w:val="003C0A9C"/>
    <w:rsid w:val="003C0AA3"/>
    <w:rsid w:val="003C0D98"/>
    <w:rsid w:val="003C1212"/>
    <w:rsid w:val="003C1FFA"/>
    <w:rsid w:val="003C2491"/>
    <w:rsid w:val="003C264C"/>
    <w:rsid w:val="003C2C3F"/>
    <w:rsid w:val="003C3179"/>
    <w:rsid w:val="003C3943"/>
    <w:rsid w:val="003C3C79"/>
    <w:rsid w:val="003C3F61"/>
    <w:rsid w:val="003C443B"/>
    <w:rsid w:val="003C4554"/>
    <w:rsid w:val="003C4613"/>
    <w:rsid w:val="003C4979"/>
    <w:rsid w:val="003C4C28"/>
    <w:rsid w:val="003C5103"/>
    <w:rsid w:val="003C51E0"/>
    <w:rsid w:val="003C55D6"/>
    <w:rsid w:val="003C5A1A"/>
    <w:rsid w:val="003C5AC0"/>
    <w:rsid w:val="003C5B18"/>
    <w:rsid w:val="003C5D9F"/>
    <w:rsid w:val="003C654F"/>
    <w:rsid w:val="003C6554"/>
    <w:rsid w:val="003C69E4"/>
    <w:rsid w:val="003C6C57"/>
    <w:rsid w:val="003C6E8F"/>
    <w:rsid w:val="003C6FB4"/>
    <w:rsid w:val="003C71C2"/>
    <w:rsid w:val="003C7677"/>
    <w:rsid w:val="003C7904"/>
    <w:rsid w:val="003C7B61"/>
    <w:rsid w:val="003C7C74"/>
    <w:rsid w:val="003D00B3"/>
    <w:rsid w:val="003D0159"/>
    <w:rsid w:val="003D055B"/>
    <w:rsid w:val="003D05C1"/>
    <w:rsid w:val="003D0E20"/>
    <w:rsid w:val="003D1219"/>
    <w:rsid w:val="003D129D"/>
    <w:rsid w:val="003D129F"/>
    <w:rsid w:val="003D18DD"/>
    <w:rsid w:val="003D1E9B"/>
    <w:rsid w:val="003D1F75"/>
    <w:rsid w:val="003D1F89"/>
    <w:rsid w:val="003D22ED"/>
    <w:rsid w:val="003D272F"/>
    <w:rsid w:val="003D2A3A"/>
    <w:rsid w:val="003D2A63"/>
    <w:rsid w:val="003D3022"/>
    <w:rsid w:val="003D32B2"/>
    <w:rsid w:val="003D32B6"/>
    <w:rsid w:val="003D32D9"/>
    <w:rsid w:val="003D3786"/>
    <w:rsid w:val="003D38FD"/>
    <w:rsid w:val="003D39CE"/>
    <w:rsid w:val="003D4237"/>
    <w:rsid w:val="003D435F"/>
    <w:rsid w:val="003D4627"/>
    <w:rsid w:val="003D4683"/>
    <w:rsid w:val="003D4E23"/>
    <w:rsid w:val="003D4F0A"/>
    <w:rsid w:val="003D56E9"/>
    <w:rsid w:val="003D57BA"/>
    <w:rsid w:val="003D62E8"/>
    <w:rsid w:val="003D7191"/>
    <w:rsid w:val="003D7765"/>
    <w:rsid w:val="003D7C1D"/>
    <w:rsid w:val="003E04C7"/>
    <w:rsid w:val="003E0821"/>
    <w:rsid w:val="003E106E"/>
    <w:rsid w:val="003E165F"/>
    <w:rsid w:val="003E1CAF"/>
    <w:rsid w:val="003E1F39"/>
    <w:rsid w:val="003E1FD6"/>
    <w:rsid w:val="003E2AA8"/>
    <w:rsid w:val="003E30E4"/>
    <w:rsid w:val="003E344A"/>
    <w:rsid w:val="003E3C6D"/>
    <w:rsid w:val="003E4693"/>
    <w:rsid w:val="003E46A6"/>
    <w:rsid w:val="003E493A"/>
    <w:rsid w:val="003E4943"/>
    <w:rsid w:val="003E4A2E"/>
    <w:rsid w:val="003E4BA3"/>
    <w:rsid w:val="003E4D29"/>
    <w:rsid w:val="003E543B"/>
    <w:rsid w:val="003E544E"/>
    <w:rsid w:val="003E5504"/>
    <w:rsid w:val="003E55A2"/>
    <w:rsid w:val="003E5719"/>
    <w:rsid w:val="003E572F"/>
    <w:rsid w:val="003E5994"/>
    <w:rsid w:val="003E5BAD"/>
    <w:rsid w:val="003E609E"/>
    <w:rsid w:val="003E61B3"/>
    <w:rsid w:val="003E645E"/>
    <w:rsid w:val="003E6F09"/>
    <w:rsid w:val="003E7009"/>
    <w:rsid w:val="003E7311"/>
    <w:rsid w:val="003E741B"/>
    <w:rsid w:val="003E7AAB"/>
    <w:rsid w:val="003E7BB8"/>
    <w:rsid w:val="003F001F"/>
    <w:rsid w:val="003F0395"/>
    <w:rsid w:val="003F05F0"/>
    <w:rsid w:val="003F07E6"/>
    <w:rsid w:val="003F0965"/>
    <w:rsid w:val="003F0B11"/>
    <w:rsid w:val="003F0F3D"/>
    <w:rsid w:val="003F17CF"/>
    <w:rsid w:val="003F182E"/>
    <w:rsid w:val="003F1881"/>
    <w:rsid w:val="003F22F3"/>
    <w:rsid w:val="003F26A9"/>
    <w:rsid w:val="003F2C17"/>
    <w:rsid w:val="003F2E0C"/>
    <w:rsid w:val="003F3166"/>
    <w:rsid w:val="003F3431"/>
    <w:rsid w:val="003F3E4B"/>
    <w:rsid w:val="003F437A"/>
    <w:rsid w:val="003F4B73"/>
    <w:rsid w:val="003F511E"/>
    <w:rsid w:val="003F5399"/>
    <w:rsid w:val="003F5994"/>
    <w:rsid w:val="003F5DF4"/>
    <w:rsid w:val="003F5FE2"/>
    <w:rsid w:val="003F7315"/>
    <w:rsid w:val="003F79ED"/>
    <w:rsid w:val="003F7C77"/>
    <w:rsid w:val="00400578"/>
    <w:rsid w:val="00400DCC"/>
    <w:rsid w:val="00401187"/>
    <w:rsid w:val="00401246"/>
    <w:rsid w:val="004018A3"/>
    <w:rsid w:val="00401E6C"/>
    <w:rsid w:val="004021FC"/>
    <w:rsid w:val="004022CF"/>
    <w:rsid w:val="00402550"/>
    <w:rsid w:val="004025D2"/>
    <w:rsid w:val="00402946"/>
    <w:rsid w:val="00402D68"/>
    <w:rsid w:val="00403686"/>
    <w:rsid w:val="00403B79"/>
    <w:rsid w:val="00404025"/>
    <w:rsid w:val="0040450C"/>
    <w:rsid w:val="00404B3D"/>
    <w:rsid w:val="00405154"/>
    <w:rsid w:val="00405484"/>
    <w:rsid w:val="00405832"/>
    <w:rsid w:val="004066D1"/>
    <w:rsid w:val="00406B22"/>
    <w:rsid w:val="00406CDD"/>
    <w:rsid w:val="0040721C"/>
    <w:rsid w:val="0040739B"/>
    <w:rsid w:val="004077C6"/>
    <w:rsid w:val="00407D33"/>
    <w:rsid w:val="00407D7A"/>
    <w:rsid w:val="0041041D"/>
    <w:rsid w:val="004107AC"/>
    <w:rsid w:val="0041087E"/>
    <w:rsid w:val="0041093A"/>
    <w:rsid w:val="00410F90"/>
    <w:rsid w:val="00410F95"/>
    <w:rsid w:val="0041114C"/>
    <w:rsid w:val="00411711"/>
    <w:rsid w:val="0041176D"/>
    <w:rsid w:val="004119C2"/>
    <w:rsid w:val="0041247B"/>
    <w:rsid w:val="004124A8"/>
    <w:rsid w:val="0041258B"/>
    <w:rsid w:val="004127CA"/>
    <w:rsid w:val="00412A06"/>
    <w:rsid w:val="00412AA1"/>
    <w:rsid w:val="00413075"/>
    <w:rsid w:val="004133E3"/>
    <w:rsid w:val="00413815"/>
    <w:rsid w:val="00413918"/>
    <w:rsid w:val="00413E5E"/>
    <w:rsid w:val="00414198"/>
    <w:rsid w:val="0041469B"/>
    <w:rsid w:val="00414B6F"/>
    <w:rsid w:val="00414B9C"/>
    <w:rsid w:val="00414C11"/>
    <w:rsid w:val="00414F8A"/>
    <w:rsid w:val="00415B6D"/>
    <w:rsid w:val="00415C7E"/>
    <w:rsid w:val="00415E59"/>
    <w:rsid w:val="00416338"/>
    <w:rsid w:val="004163DB"/>
    <w:rsid w:val="00416A01"/>
    <w:rsid w:val="00416A09"/>
    <w:rsid w:val="00416CC7"/>
    <w:rsid w:val="00416E8B"/>
    <w:rsid w:val="00416EE8"/>
    <w:rsid w:val="0041710D"/>
    <w:rsid w:val="004176E8"/>
    <w:rsid w:val="00417D91"/>
    <w:rsid w:val="004200C9"/>
    <w:rsid w:val="00420296"/>
    <w:rsid w:val="004204B3"/>
    <w:rsid w:val="0042161F"/>
    <w:rsid w:val="004216C9"/>
    <w:rsid w:val="004218A5"/>
    <w:rsid w:val="00421987"/>
    <w:rsid w:val="00421DBA"/>
    <w:rsid w:val="00421E5D"/>
    <w:rsid w:val="00421E6F"/>
    <w:rsid w:val="004222BD"/>
    <w:rsid w:val="004229BA"/>
    <w:rsid w:val="00422BD2"/>
    <w:rsid w:val="00422DFE"/>
    <w:rsid w:val="00423091"/>
    <w:rsid w:val="004232E4"/>
    <w:rsid w:val="00423461"/>
    <w:rsid w:val="00423825"/>
    <w:rsid w:val="00423844"/>
    <w:rsid w:val="00423DE9"/>
    <w:rsid w:val="00424150"/>
    <w:rsid w:val="004245F3"/>
    <w:rsid w:val="0042469B"/>
    <w:rsid w:val="004248A1"/>
    <w:rsid w:val="00425119"/>
    <w:rsid w:val="004251A2"/>
    <w:rsid w:val="004251FD"/>
    <w:rsid w:val="00425BDF"/>
    <w:rsid w:val="004261D6"/>
    <w:rsid w:val="00426201"/>
    <w:rsid w:val="0042640C"/>
    <w:rsid w:val="004265F3"/>
    <w:rsid w:val="004268A6"/>
    <w:rsid w:val="00426AC5"/>
    <w:rsid w:val="00426B6F"/>
    <w:rsid w:val="004278BB"/>
    <w:rsid w:val="00427F61"/>
    <w:rsid w:val="004309D9"/>
    <w:rsid w:val="00430B4B"/>
    <w:rsid w:val="00430DA8"/>
    <w:rsid w:val="00431824"/>
    <w:rsid w:val="00431A50"/>
    <w:rsid w:val="00431BD4"/>
    <w:rsid w:val="00431C5A"/>
    <w:rsid w:val="00433498"/>
    <w:rsid w:val="00433B07"/>
    <w:rsid w:val="004347F1"/>
    <w:rsid w:val="004349DA"/>
    <w:rsid w:val="00434B02"/>
    <w:rsid w:val="00434B15"/>
    <w:rsid w:val="00434BB8"/>
    <w:rsid w:val="00434F2B"/>
    <w:rsid w:val="004357CF"/>
    <w:rsid w:val="00435D5B"/>
    <w:rsid w:val="00435FEE"/>
    <w:rsid w:val="00436A51"/>
    <w:rsid w:val="00436AFD"/>
    <w:rsid w:val="00436B51"/>
    <w:rsid w:val="00436DFA"/>
    <w:rsid w:val="0043704E"/>
    <w:rsid w:val="004370BD"/>
    <w:rsid w:val="0043738F"/>
    <w:rsid w:val="00437563"/>
    <w:rsid w:val="00437D24"/>
    <w:rsid w:val="004409E1"/>
    <w:rsid w:val="00440AB8"/>
    <w:rsid w:val="00440C42"/>
    <w:rsid w:val="00440DAB"/>
    <w:rsid w:val="00441095"/>
    <w:rsid w:val="004414FF"/>
    <w:rsid w:val="00441920"/>
    <w:rsid w:val="004419DD"/>
    <w:rsid w:val="004420A0"/>
    <w:rsid w:val="004424EC"/>
    <w:rsid w:val="00442594"/>
    <w:rsid w:val="00442618"/>
    <w:rsid w:val="0044266C"/>
    <w:rsid w:val="00442837"/>
    <w:rsid w:val="00442D70"/>
    <w:rsid w:val="00442F3E"/>
    <w:rsid w:val="00443096"/>
    <w:rsid w:val="004437C6"/>
    <w:rsid w:val="00443821"/>
    <w:rsid w:val="004442DC"/>
    <w:rsid w:val="004444C8"/>
    <w:rsid w:val="00444D07"/>
    <w:rsid w:val="004450E8"/>
    <w:rsid w:val="004451FB"/>
    <w:rsid w:val="004456C9"/>
    <w:rsid w:val="00445829"/>
    <w:rsid w:val="0044591B"/>
    <w:rsid w:val="00445BBE"/>
    <w:rsid w:val="00445CF7"/>
    <w:rsid w:val="00446C37"/>
    <w:rsid w:val="00447022"/>
    <w:rsid w:val="00447058"/>
    <w:rsid w:val="004479E1"/>
    <w:rsid w:val="00447BE5"/>
    <w:rsid w:val="00447F2E"/>
    <w:rsid w:val="004501AD"/>
    <w:rsid w:val="00450265"/>
    <w:rsid w:val="0045055A"/>
    <w:rsid w:val="00450722"/>
    <w:rsid w:val="004508D4"/>
    <w:rsid w:val="00450A35"/>
    <w:rsid w:val="00450AA4"/>
    <w:rsid w:val="004514E2"/>
    <w:rsid w:val="00451B1D"/>
    <w:rsid w:val="00451F1F"/>
    <w:rsid w:val="00451F8A"/>
    <w:rsid w:val="00452177"/>
    <w:rsid w:val="004521E8"/>
    <w:rsid w:val="00452558"/>
    <w:rsid w:val="0045290A"/>
    <w:rsid w:val="0045292C"/>
    <w:rsid w:val="00452994"/>
    <w:rsid w:val="00452F05"/>
    <w:rsid w:val="00453B13"/>
    <w:rsid w:val="00453B7A"/>
    <w:rsid w:val="00453DDC"/>
    <w:rsid w:val="004541B5"/>
    <w:rsid w:val="00454201"/>
    <w:rsid w:val="004549AA"/>
    <w:rsid w:val="00454E48"/>
    <w:rsid w:val="00454EC2"/>
    <w:rsid w:val="004556F0"/>
    <w:rsid w:val="0045597C"/>
    <w:rsid w:val="00455D32"/>
    <w:rsid w:val="004565CB"/>
    <w:rsid w:val="00456BBA"/>
    <w:rsid w:val="00456E4E"/>
    <w:rsid w:val="00457299"/>
    <w:rsid w:val="00457719"/>
    <w:rsid w:val="00457768"/>
    <w:rsid w:val="00457B51"/>
    <w:rsid w:val="0046048F"/>
    <w:rsid w:val="00460919"/>
    <w:rsid w:val="00460C5C"/>
    <w:rsid w:val="004613C5"/>
    <w:rsid w:val="004617F1"/>
    <w:rsid w:val="0046283F"/>
    <w:rsid w:val="004628D1"/>
    <w:rsid w:val="00462C2B"/>
    <w:rsid w:val="0046305C"/>
    <w:rsid w:val="004638DB"/>
    <w:rsid w:val="00463A51"/>
    <w:rsid w:val="00463A6D"/>
    <w:rsid w:val="0046418E"/>
    <w:rsid w:val="004641FB"/>
    <w:rsid w:val="00464203"/>
    <w:rsid w:val="004647DF"/>
    <w:rsid w:val="00464913"/>
    <w:rsid w:val="00464973"/>
    <w:rsid w:val="00464A12"/>
    <w:rsid w:val="0046509F"/>
    <w:rsid w:val="00465243"/>
    <w:rsid w:val="0046528E"/>
    <w:rsid w:val="00465E07"/>
    <w:rsid w:val="00465EA0"/>
    <w:rsid w:val="00466046"/>
    <w:rsid w:val="00466D84"/>
    <w:rsid w:val="0046720F"/>
    <w:rsid w:val="0046775D"/>
    <w:rsid w:val="00467A01"/>
    <w:rsid w:val="0047064D"/>
    <w:rsid w:val="004708B1"/>
    <w:rsid w:val="00470A67"/>
    <w:rsid w:val="00471504"/>
    <w:rsid w:val="0047168C"/>
    <w:rsid w:val="00472667"/>
    <w:rsid w:val="00472C7E"/>
    <w:rsid w:val="00472F5E"/>
    <w:rsid w:val="00473016"/>
    <w:rsid w:val="00473316"/>
    <w:rsid w:val="0047340A"/>
    <w:rsid w:val="004734C4"/>
    <w:rsid w:val="00473980"/>
    <w:rsid w:val="00474308"/>
    <w:rsid w:val="00474DFC"/>
    <w:rsid w:val="00475222"/>
    <w:rsid w:val="00475299"/>
    <w:rsid w:val="00475E06"/>
    <w:rsid w:val="004768EE"/>
    <w:rsid w:val="00477130"/>
    <w:rsid w:val="00477387"/>
    <w:rsid w:val="004774C5"/>
    <w:rsid w:val="00477A36"/>
    <w:rsid w:val="00477E33"/>
    <w:rsid w:val="00480934"/>
    <w:rsid w:val="00480C12"/>
    <w:rsid w:val="00480F76"/>
    <w:rsid w:val="004811B1"/>
    <w:rsid w:val="004813E1"/>
    <w:rsid w:val="00481442"/>
    <w:rsid w:val="004814D9"/>
    <w:rsid w:val="0048173B"/>
    <w:rsid w:val="00481C97"/>
    <w:rsid w:val="004820D8"/>
    <w:rsid w:val="00482AC1"/>
    <w:rsid w:val="00482B35"/>
    <w:rsid w:val="00482D01"/>
    <w:rsid w:val="00482D7E"/>
    <w:rsid w:val="004836CF"/>
    <w:rsid w:val="004836FA"/>
    <w:rsid w:val="004838A7"/>
    <w:rsid w:val="00483C59"/>
    <w:rsid w:val="00484315"/>
    <w:rsid w:val="00484394"/>
    <w:rsid w:val="004847A3"/>
    <w:rsid w:val="0048485B"/>
    <w:rsid w:val="00484EB2"/>
    <w:rsid w:val="0048562C"/>
    <w:rsid w:val="004862E8"/>
    <w:rsid w:val="00486B2D"/>
    <w:rsid w:val="00486C5B"/>
    <w:rsid w:val="00486CE8"/>
    <w:rsid w:val="00487165"/>
    <w:rsid w:val="0048736C"/>
    <w:rsid w:val="00487595"/>
    <w:rsid w:val="004877DC"/>
    <w:rsid w:val="00487C05"/>
    <w:rsid w:val="00487EB9"/>
    <w:rsid w:val="0049008F"/>
    <w:rsid w:val="004900B0"/>
    <w:rsid w:val="004909AE"/>
    <w:rsid w:val="00490FCF"/>
    <w:rsid w:val="00491A75"/>
    <w:rsid w:val="004924AC"/>
    <w:rsid w:val="0049385C"/>
    <w:rsid w:val="00493D92"/>
    <w:rsid w:val="00493E0C"/>
    <w:rsid w:val="00494132"/>
    <w:rsid w:val="00494980"/>
    <w:rsid w:val="00494EB6"/>
    <w:rsid w:val="004953BF"/>
    <w:rsid w:val="00495AEB"/>
    <w:rsid w:val="00496060"/>
    <w:rsid w:val="00496275"/>
    <w:rsid w:val="004962E7"/>
    <w:rsid w:val="00496453"/>
    <w:rsid w:val="004964A0"/>
    <w:rsid w:val="004964E4"/>
    <w:rsid w:val="004965A4"/>
    <w:rsid w:val="00496836"/>
    <w:rsid w:val="00496E59"/>
    <w:rsid w:val="004971EA"/>
    <w:rsid w:val="0049740A"/>
    <w:rsid w:val="00497960"/>
    <w:rsid w:val="00497D8B"/>
    <w:rsid w:val="00497F87"/>
    <w:rsid w:val="004A0019"/>
    <w:rsid w:val="004A0586"/>
    <w:rsid w:val="004A0692"/>
    <w:rsid w:val="004A069C"/>
    <w:rsid w:val="004A08F5"/>
    <w:rsid w:val="004A0FA8"/>
    <w:rsid w:val="004A124A"/>
    <w:rsid w:val="004A14CC"/>
    <w:rsid w:val="004A157A"/>
    <w:rsid w:val="004A17E4"/>
    <w:rsid w:val="004A1C1F"/>
    <w:rsid w:val="004A210A"/>
    <w:rsid w:val="004A2B28"/>
    <w:rsid w:val="004A2D6F"/>
    <w:rsid w:val="004A2EAF"/>
    <w:rsid w:val="004A3706"/>
    <w:rsid w:val="004A37F0"/>
    <w:rsid w:val="004A3A66"/>
    <w:rsid w:val="004A3DC6"/>
    <w:rsid w:val="004A451A"/>
    <w:rsid w:val="004A4A79"/>
    <w:rsid w:val="004A4E6F"/>
    <w:rsid w:val="004A4F72"/>
    <w:rsid w:val="004A5022"/>
    <w:rsid w:val="004A54AC"/>
    <w:rsid w:val="004A5564"/>
    <w:rsid w:val="004A59BD"/>
    <w:rsid w:val="004A6399"/>
    <w:rsid w:val="004A6C46"/>
    <w:rsid w:val="004A6C87"/>
    <w:rsid w:val="004A7AAA"/>
    <w:rsid w:val="004B0064"/>
    <w:rsid w:val="004B08C6"/>
    <w:rsid w:val="004B094F"/>
    <w:rsid w:val="004B11B9"/>
    <w:rsid w:val="004B135D"/>
    <w:rsid w:val="004B1518"/>
    <w:rsid w:val="004B15C7"/>
    <w:rsid w:val="004B1645"/>
    <w:rsid w:val="004B1796"/>
    <w:rsid w:val="004B1A3C"/>
    <w:rsid w:val="004B1AC7"/>
    <w:rsid w:val="004B1B10"/>
    <w:rsid w:val="004B1C08"/>
    <w:rsid w:val="004B1CB5"/>
    <w:rsid w:val="004B2092"/>
    <w:rsid w:val="004B20E2"/>
    <w:rsid w:val="004B26B6"/>
    <w:rsid w:val="004B2BE7"/>
    <w:rsid w:val="004B3BF0"/>
    <w:rsid w:val="004B3CEE"/>
    <w:rsid w:val="004B4839"/>
    <w:rsid w:val="004B4A22"/>
    <w:rsid w:val="004B4C93"/>
    <w:rsid w:val="004B4CE5"/>
    <w:rsid w:val="004B532D"/>
    <w:rsid w:val="004B5547"/>
    <w:rsid w:val="004B593C"/>
    <w:rsid w:val="004B5B02"/>
    <w:rsid w:val="004B5BBE"/>
    <w:rsid w:val="004B6194"/>
    <w:rsid w:val="004B63B8"/>
    <w:rsid w:val="004B7472"/>
    <w:rsid w:val="004B7799"/>
    <w:rsid w:val="004B7AAA"/>
    <w:rsid w:val="004C0575"/>
    <w:rsid w:val="004C057B"/>
    <w:rsid w:val="004C0820"/>
    <w:rsid w:val="004C0C0E"/>
    <w:rsid w:val="004C134B"/>
    <w:rsid w:val="004C152B"/>
    <w:rsid w:val="004C16B0"/>
    <w:rsid w:val="004C1DDC"/>
    <w:rsid w:val="004C1E0A"/>
    <w:rsid w:val="004C2E86"/>
    <w:rsid w:val="004C3148"/>
    <w:rsid w:val="004C36D7"/>
    <w:rsid w:val="004C386A"/>
    <w:rsid w:val="004C3AE7"/>
    <w:rsid w:val="004C3DE5"/>
    <w:rsid w:val="004C3EB2"/>
    <w:rsid w:val="004C3F96"/>
    <w:rsid w:val="004C4A86"/>
    <w:rsid w:val="004C501B"/>
    <w:rsid w:val="004C5093"/>
    <w:rsid w:val="004C54C5"/>
    <w:rsid w:val="004C5860"/>
    <w:rsid w:val="004C5B3C"/>
    <w:rsid w:val="004C5C06"/>
    <w:rsid w:val="004C62B0"/>
    <w:rsid w:val="004C6CD7"/>
    <w:rsid w:val="004C70B5"/>
    <w:rsid w:val="004C7576"/>
    <w:rsid w:val="004C769B"/>
    <w:rsid w:val="004C7C6F"/>
    <w:rsid w:val="004C7CA3"/>
    <w:rsid w:val="004D0631"/>
    <w:rsid w:val="004D0892"/>
    <w:rsid w:val="004D092B"/>
    <w:rsid w:val="004D098F"/>
    <w:rsid w:val="004D129E"/>
    <w:rsid w:val="004D1AE7"/>
    <w:rsid w:val="004D1E11"/>
    <w:rsid w:val="004D2173"/>
    <w:rsid w:val="004D2184"/>
    <w:rsid w:val="004D21D3"/>
    <w:rsid w:val="004D290C"/>
    <w:rsid w:val="004D2B94"/>
    <w:rsid w:val="004D2DF3"/>
    <w:rsid w:val="004D2FB9"/>
    <w:rsid w:val="004D3220"/>
    <w:rsid w:val="004D3FEF"/>
    <w:rsid w:val="004D4577"/>
    <w:rsid w:val="004D4B27"/>
    <w:rsid w:val="004D502C"/>
    <w:rsid w:val="004D5946"/>
    <w:rsid w:val="004D7064"/>
    <w:rsid w:val="004D7346"/>
    <w:rsid w:val="004D7480"/>
    <w:rsid w:val="004D7714"/>
    <w:rsid w:val="004D7C68"/>
    <w:rsid w:val="004E0025"/>
    <w:rsid w:val="004E0211"/>
    <w:rsid w:val="004E0521"/>
    <w:rsid w:val="004E08B9"/>
    <w:rsid w:val="004E109E"/>
    <w:rsid w:val="004E154C"/>
    <w:rsid w:val="004E16E7"/>
    <w:rsid w:val="004E1A53"/>
    <w:rsid w:val="004E1F54"/>
    <w:rsid w:val="004E2C34"/>
    <w:rsid w:val="004E3088"/>
    <w:rsid w:val="004E31C7"/>
    <w:rsid w:val="004E38D6"/>
    <w:rsid w:val="004E4701"/>
    <w:rsid w:val="004E47DC"/>
    <w:rsid w:val="004E513F"/>
    <w:rsid w:val="004E5448"/>
    <w:rsid w:val="004E55F3"/>
    <w:rsid w:val="004E5764"/>
    <w:rsid w:val="004E5AF3"/>
    <w:rsid w:val="004E5D1C"/>
    <w:rsid w:val="004E60D9"/>
    <w:rsid w:val="004E6183"/>
    <w:rsid w:val="004E6458"/>
    <w:rsid w:val="004E65FE"/>
    <w:rsid w:val="004E660C"/>
    <w:rsid w:val="004E6721"/>
    <w:rsid w:val="004E68FA"/>
    <w:rsid w:val="004E690E"/>
    <w:rsid w:val="004E6BB5"/>
    <w:rsid w:val="004E7027"/>
    <w:rsid w:val="004E7274"/>
    <w:rsid w:val="004F00DB"/>
    <w:rsid w:val="004F0250"/>
    <w:rsid w:val="004F027A"/>
    <w:rsid w:val="004F02B7"/>
    <w:rsid w:val="004F06BD"/>
    <w:rsid w:val="004F0840"/>
    <w:rsid w:val="004F0A93"/>
    <w:rsid w:val="004F11CF"/>
    <w:rsid w:val="004F1320"/>
    <w:rsid w:val="004F1606"/>
    <w:rsid w:val="004F180B"/>
    <w:rsid w:val="004F1AB9"/>
    <w:rsid w:val="004F1D08"/>
    <w:rsid w:val="004F2157"/>
    <w:rsid w:val="004F2BBA"/>
    <w:rsid w:val="004F2CEB"/>
    <w:rsid w:val="004F30CE"/>
    <w:rsid w:val="004F3288"/>
    <w:rsid w:val="004F367A"/>
    <w:rsid w:val="004F3FA5"/>
    <w:rsid w:val="004F4161"/>
    <w:rsid w:val="004F44EC"/>
    <w:rsid w:val="004F4530"/>
    <w:rsid w:val="004F4793"/>
    <w:rsid w:val="004F490A"/>
    <w:rsid w:val="004F4D45"/>
    <w:rsid w:val="004F4E46"/>
    <w:rsid w:val="004F547D"/>
    <w:rsid w:val="004F5806"/>
    <w:rsid w:val="004F611B"/>
    <w:rsid w:val="004F6164"/>
    <w:rsid w:val="004F62B6"/>
    <w:rsid w:val="004F668F"/>
    <w:rsid w:val="004F69DE"/>
    <w:rsid w:val="004F6BFE"/>
    <w:rsid w:val="004F6D8F"/>
    <w:rsid w:val="004F72B5"/>
    <w:rsid w:val="004F7362"/>
    <w:rsid w:val="004F7B75"/>
    <w:rsid w:val="0050051F"/>
    <w:rsid w:val="0050063E"/>
    <w:rsid w:val="005007BF"/>
    <w:rsid w:val="00500BC1"/>
    <w:rsid w:val="00500CA0"/>
    <w:rsid w:val="00500EB0"/>
    <w:rsid w:val="0050143B"/>
    <w:rsid w:val="0050156F"/>
    <w:rsid w:val="005015C0"/>
    <w:rsid w:val="00501FB5"/>
    <w:rsid w:val="005020CF"/>
    <w:rsid w:val="00502139"/>
    <w:rsid w:val="005024F3"/>
    <w:rsid w:val="005026C4"/>
    <w:rsid w:val="005027CD"/>
    <w:rsid w:val="00502847"/>
    <w:rsid w:val="005031BF"/>
    <w:rsid w:val="005032CD"/>
    <w:rsid w:val="0050379B"/>
    <w:rsid w:val="00503BA2"/>
    <w:rsid w:val="005041CE"/>
    <w:rsid w:val="005043F5"/>
    <w:rsid w:val="005045D9"/>
    <w:rsid w:val="0050460C"/>
    <w:rsid w:val="005048B6"/>
    <w:rsid w:val="00504908"/>
    <w:rsid w:val="00504CBD"/>
    <w:rsid w:val="00505148"/>
    <w:rsid w:val="0050528F"/>
    <w:rsid w:val="00505988"/>
    <w:rsid w:val="00505D00"/>
    <w:rsid w:val="00505EDC"/>
    <w:rsid w:val="00506905"/>
    <w:rsid w:val="00506CC1"/>
    <w:rsid w:val="00506E41"/>
    <w:rsid w:val="00506EBA"/>
    <w:rsid w:val="0050775E"/>
    <w:rsid w:val="00507D04"/>
    <w:rsid w:val="00507E82"/>
    <w:rsid w:val="0051039F"/>
    <w:rsid w:val="005103B3"/>
    <w:rsid w:val="00510941"/>
    <w:rsid w:val="00510EC3"/>
    <w:rsid w:val="005111A9"/>
    <w:rsid w:val="0051134D"/>
    <w:rsid w:val="00511458"/>
    <w:rsid w:val="005114D8"/>
    <w:rsid w:val="0051165D"/>
    <w:rsid w:val="00511704"/>
    <w:rsid w:val="00511C2F"/>
    <w:rsid w:val="00511C55"/>
    <w:rsid w:val="00511D12"/>
    <w:rsid w:val="00511F4C"/>
    <w:rsid w:val="00511F6D"/>
    <w:rsid w:val="0051240C"/>
    <w:rsid w:val="005125CC"/>
    <w:rsid w:val="0051274F"/>
    <w:rsid w:val="005133AA"/>
    <w:rsid w:val="00513588"/>
    <w:rsid w:val="00513627"/>
    <w:rsid w:val="005139B1"/>
    <w:rsid w:val="00514B81"/>
    <w:rsid w:val="00514DA6"/>
    <w:rsid w:val="005152E9"/>
    <w:rsid w:val="005153C7"/>
    <w:rsid w:val="00515432"/>
    <w:rsid w:val="005157EB"/>
    <w:rsid w:val="00516700"/>
    <w:rsid w:val="00517322"/>
    <w:rsid w:val="005173BD"/>
    <w:rsid w:val="00517699"/>
    <w:rsid w:val="00517814"/>
    <w:rsid w:val="0051791A"/>
    <w:rsid w:val="005201A3"/>
    <w:rsid w:val="005205B6"/>
    <w:rsid w:val="00520614"/>
    <w:rsid w:val="00520A1A"/>
    <w:rsid w:val="00520C3B"/>
    <w:rsid w:val="00520EC9"/>
    <w:rsid w:val="00521034"/>
    <w:rsid w:val="0052127D"/>
    <w:rsid w:val="005216BB"/>
    <w:rsid w:val="00521D4B"/>
    <w:rsid w:val="00522202"/>
    <w:rsid w:val="00522452"/>
    <w:rsid w:val="00522B6E"/>
    <w:rsid w:val="00522C90"/>
    <w:rsid w:val="00522EC5"/>
    <w:rsid w:val="00523183"/>
    <w:rsid w:val="005234E3"/>
    <w:rsid w:val="00523616"/>
    <w:rsid w:val="00523CAD"/>
    <w:rsid w:val="0052453D"/>
    <w:rsid w:val="00524639"/>
    <w:rsid w:val="0052472E"/>
    <w:rsid w:val="00524D88"/>
    <w:rsid w:val="00524DE6"/>
    <w:rsid w:val="00524F4A"/>
    <w:rsid w:val="00525317"/>
    <w:rsid w:val="00525845"/>
    <w:rsid w:val="00525998"/>
    <w:rsid w:val="0052618E"/>
    <w:rsid w:val="005262F9"/>
    <w:rsid w:val="00526502"/>
    <w:rsid w:val="00526A0B"/>
    <w:rsid w:val="00526A26"/>
    <w:rsid w:val="00526C16"/>
    <w:rsid w:val="00526E76"/>
    <w:rsid w:val="00527673"/>
    <w:rsid w:val="005276EA"/>
    <w:rsid w:val="0052786C"/>
    <w:rsid w:val="00527E66"/>
    <w:rsid w:val="005302E6"/>
    <w:rsid w:val="005302F5"/>
    <w:rsid w:val="0053036F"/>
    <w:rsid w:val="0053069B"/>
    <w:rsid w:val="005309B6"/>
    <w:rsid w:val="00530A32"/>
    <w:rsid w:val="00530B77"/>
    <w:rsid w:val="00530EC6"/>
    <w:rsid w:val="005310EF"/>
    <w:rsid w:val="00531817"/>
    <w:rsid w:val="00531885"/>
    <w:rsid w:val="00531900"/>
    <w:rsid w:val="00531B27"/>
    <w:rsid w:val="0053253E"/>
    <w:rsid w:val="00532802"/>
    <w:rsid w:val="00533124"/>
    <w:rsid w:val="005333FC"/>
    <w:rsid w:val="005337CE"/>
    <w:rsid w:val="00533905"/>
    <w:rsid w:val="00533EEC"/>
    <w:rsid w:val="00534708"/>
    <w:rsid w:val="00534A2D"/>
    <w:rsid w:val="00534EB3"/>
    <w:rsid w:val="005350FE"/>
    <w:rsid w:val="005357C6"/>
    <w:rsid w:val="00535A55"/>
    <w:rsid w:val="00535C27"/>
    <w:rsid w:val="00535D9A"/>
    <w:rsid w:val="00535F32"/>
    <w:rsid w:val="00536434"/>
    <w:rsid w:val="00536831"/>
    <w:rsid w:val="00536BCC"/>
    <w:rsid w:val="0053739A"/>
    <w:rsid w:val="00537478"/>
    <w:rsid w:val="005374B8"/>
    <w:rsid w:val="00537A4B"/>
    <w:rsid w:val="005407F0"/>
    <w:rsid w:val="005407F5"/>
    <w:rsid w:val="005408B2"/>
    <w:rsid w:val="00540B7E"/>
    <w:rsid w:val="00540BCA"/>
    <w:rsid w:val="00541343"/>
    <w:rsid w:val="00541754"/>
    <w:rsid w:val="00541875"/>
    <w:rsid w:val="0054188B"/>
    <w:rsid w:val="00541BA4"/>
    <w:rsid w:val="00541BDE"/>
    <w:rsid w:val="00541C78"/>
    <w:rsid w:val="00541ED7"/>
    <w:rsid w:val="00542218"/>
    <w:rsid w:val="0054227C"/>
    <w:rsid w:val="00543213"/>
    <w:rsid w:val="00544491"/>
    <w:rsid w:val="0054485A"/>
    <w:rsid w:val="00544980"/>
    <w:rsid w:val="00544B34"/>
    <w:rsid w:val="00544BDF"/>
    <w:rsid w:val="00545148"/>
    <w:rsid w:val="0054524B"/>
    <w:rsid w:val="00545B7E"/>
    <w:rsid w:val="00545C80"/>
    <w:rsid w:val="00545D85"/>
    <w:rsid w:val="00545ECE"/>
    <w:rsid w:val="00546386"/>
    <w:rsid w:val="005463AB"/>
    <w:rsid w:val="005465BA"/>
    <w:rsid w:val="00546F47"/>
    <w:rsid w:val="00547169"/>
    <w:rsid w:val="005471E7"/>
    <w:rsid w:val="00547BC2"/>
    <w:rsid w:val="005500F2"/>
    <w:rsid w:val="005506BE"/>
    <w:rsid w:val="00550E21"/>
    <w:rsid w:val="00551A7E"/>
    <w:rsid w:val="00551BA3"/>
    <w:rsid w:val="00551F37"/>
    <w:rsid w:val="0055256B"/>
    <w:rsid w:val="00552615"/>
    <w:rsid w:val="00553070"/>
    <w:rsid w:val="00553530"/>
    <w:rsid w:val="00553CF8"/>
    <w:rsid w:val="00553EBF"/>
    <w:rsid w:val="00554804"/>
    <w:rsid w:val="00554CED"/>
    <w:rsid w:val="00554F07"/>
    <w:rsid w:val="00555081"/>
    <w:rsid w:val="005556ED"/>
    <w:rsid w:val="00555DC0"/>
    <w:rsid w:val="00555FDE"/>
    <w:rsid w:val="00556128"/>
    <w:rsid w:val="0055619C"/>
    <w:rsid w:val="005562BD"/>
    <w:rsid w:val="005563B1"/>
    <w:rsid w:val="00556615"/>
    <w:rsid w:val="00556773"/>
    <w:rsid w:val="0055692F"/>
    <w:rsid w:val="00557080"/>
    <w:rsid w:val="00557338"/>
    <w:rsid w:val="00557359"/>
    <w:rsid w:val="00557B1F"/>
    <w:rsid w:val="00557DEC"/>
    <w:rsid w:val="00557EF0"/>
    <w:rsid w:val="0056025A"/>
    <w:rsid w:val="005602BB"/>
    <w:rsid w:val="00560488"/>
    <w:rsid w:val="00560990"/>
    <w:rsid w:val="005609FF"/>
    <w:rsid w:val="00560A2D"/>
    <w:rsid w:val="00560B87"/>
    <w:rsid w:val="00560F8F"/>
    <w:rsid w:val="0056122F"/>
    <w:rsid w:val="0056125B"/>
    <w:rsid w:val="00561607"/>
    <w:rsid w:val="0056182B"/>
    <w:rsid w:val="00561AD4"/>
    <w:rsid w:val="00561B20"/>
    <w:rsid w:val="00562337"/>
    <w:rsid w:val="005624C6"/>
    <w:rsid w:val="00562916"/>
    <w:rsid w:val="00562F54"/>
    <w:rsid w:val="00563478"/>
    <w:rsid w:val="0056352C"/>
    <w:rsid w:val="00563843"/>
    <w:rsid w:val="00563CC2"/>
    <w:rsid w:val="00563CCC"/>
    <w:rsid w:val="005641D0"/>
    <w:rsid w:val="00564287"/>
    <w:rsid w:val="005642F8"/>
    <w:rsid w:val="0056436A"/>
    <w:rsid w:val="0056539B"/>
    <w:rsid w:val="00565752"/>
    <w:rsid w:val="00565792"/>
    <w:rsid w:val="005658B2"/>
    <w:rsid w:val="005658B4"/>
    <w:rsid w:val="00565C59"/>
    <w:rsid w:val="0056611F"/>
    <w:rsid w:val="00566324"/>
    <w:rsid w:val="00566595"/>
    <w:rsid w:val="00566A43"/>
    <w:rsid w:val="00566E01"/>
    <w:rsid w:val="00566EEC"/>
    <w:rsid w:val="00567559"/>
    <w:rsid w:val="0056792B"/>
    <w:rsid w:val="00567B56"/>
    <w:rsid w:val="0057081B"/>
    <w:rsid w:val="00570A4B"/>
    <w:rsid w:val="00570D4E"/>
    <w:rsid w:val="0057119E"/>
    <w:rsid w:val="00571216"/>
    <w:rsid w:val="00571378"/>
    <w:rsid w:val="00571ABC"/>
    <w:rsid w:val="00572132"/>
    <w:rsid w:val="0057215B"/>
    <w:rsid w:val="00572509"/>
    <w:rsid w:val="00572E3D"/>
    <w:rsid w:val="00573049"/>
    <w:rsid w:val="0057325D"/>
    <w:rsid w:val="005732E5"/>
    <w:rsid w:val="00573759"/>
    <w:rsid w:val="00573DA2"/>
    <w:rsid w:val="00573DBA"/>
    <w:rsid w:val="00574107"/>
    <w:rsid w:val="005743F3"/>
    <w:rsid w:val="0057447D"/>
    <w:rsid w:val="005748D4"/>
    <w:rsid w:val="00574C33"/>
    <w:rsid w:val="00574E15"/>
    <w:rsid w:val="00574E56"/>
    <w:rsid w:val="00574EF0"/>
    <w:rsid w:val="005759C2"/>
    <w:rsid w:val="00575C74"/>
    <w:rsid w:val="00575D7D"/>
    <w:rsid w:val="0057606C"/>
    <w:rsid w:val="0057619E"/>
    <w:rsid w:val="00576729"/>
    <w:rsid w:val="005768C9"/>
    <w:rsid w:val="0057699C"/>
    <w:rsid w:val="00576BD3"/>
    <w:rsid w:val="00576C62"/>
    <w:rsid w:val="00576D37"/>
    <w:rsid w:val="0057716B"/>
    <w:rsid w:val="0057723F"/>
    <w:rsid w:val="005774F4"/>
    <w:rsid w:val="005776A2"/>
    <w:rsid w:val="00577AF5"/>
    <w:rsid w:val="00577C37"/>
    <w:rsid w:val="00577DF2"/>
    <w:rsid w:val="00577FA2"/>
    <w:rsid w:val="0058063B"/>
    <w:rsid w:val="00580944"/>
    <w:rsid w:val="00580E97"/>
    <w:rsid w:val="0058136E"/>
    <w:rsid w:val="0058154F"/>
    <w:rsid w:val="0058155B"/>
    <w:rsid w:val="005816E7"/>
    <w:rsid w:val="005816F8"/>
    <w:rsid w:val="005817BA"/>
    <w:rsid w:val="0058183D"/>
    <w:rsid w:val="00581A13"/>
    <w:rsid w:val="00581C80"/>
    <w:rsid w:val="00581E03"/>
    <w:rsid w:val="00581E32"/>
    <w:rsid w:val="00581F22"/>
    <w:rsid w:val="00582008"/>
    <w:rsid w:val="005820A0"/>
    <w:rsid w:val="005820E1"/>
    <w:rsid w:val="0058296A"/>
    <w:rsid w:val="00582B24"/>
    <w:rsid w:val="00582B2A"/>
    <w:rsid w:val="00582F8D"/>
    <w:rsid w:val="00583242"/>
    <w:rsid w:val="00583862"/>
    <w:rsid w:val="00583EDE"/>
    <w:rsid w:val="0058400E"/>
    <w:rsid w:val="005841F3"/>
    <w:rsid w:val="005849D7"/>
    <w:rsid w:val="00584CC9"/>
    <w:rsid w:val="005850AF"/>
    <w:rsid w:val="00585A99"/>
    <w:rsid w:val="00585AD0"/>
    <w:rsid w:val="005864C4"/>
    <w:rsid w:val="00586851"/>
    <w:rsid w:val="0058696F"/>
    <w:rsid w:val="00586A7E"/>
    <w:rsid w:val="00586C77"/>
    <w:rsid w:val="00587235"/>
    <w:rsid w:val="00587B82"/>
    <w:rsid w:val="00587C14"/>
    <w:rsid w:val="00590095"/>
    <w:rsid w:val="005901BB"/>
    <w:rsid w:val="005905AF"/>
    <w:rsid w:val="005906FD"/>
    <w:rsid w:val="00590BF8"/>
    <w:rsid w:val="00590C64"/>
    <w:rsid w:val="00590CE1"/>
    <w:rsid w:val="00590F1F"/>
    <w:rsid w:val="00591106"/>
    <w:rsid w:val="0059151D"/>
    <w:rsid w:val="00591C5A"/>
    <w:rsid w:val="0059200A"/>
    <w:rsid w:val="005922BF"/>
    <w:rsid w:val="0059261D"/>
    <w:rsid w:val="00592B6C"/>
    <w:rsid w:val="00592DC1"/>
    <w:rsid w:val="00593C79"/>
    <w:rsid w:val="00593D83"/>
    <w:rsid w:val="0059404F"/>
    <w:rsid w:val="005942A9"/>
    <w:rsid w:val="005943F2"/>
    <w:rsid w:val="005943F5"/>
    <w:rsid w:val="00594DF2"/>
    <w:rsid w:val="00594DF6"/>
    <w:rsid w:val="005951E1"/>
    <w:rsid w:val="0059549A"/>
    <w:rsid w:val="005954DB"/>
    <w:rsid w:val="00595903"/>
    <w:rsid w:val="00596179"/>
    <w:rsid w:val="0059671A"/>
    <w:rsid w:val="005967A6"/>
    <w:rsid w:val="00596B4E"/>
    <w:rsid w:val="00597027"/>
    <w:rsid w:val="00597850"/>
    <w:rsid w:val="00597DF8"/>
    <w:rsid w:val="00597F00"/>
    <w:rsid w:val="005A0205"/>
    <w:rsid w:val="005A0380"/>
    <w:rsid w:val="005A0388"/>
    <w:rsid w:val="005A05CA"/>
    <w:rsid w:val="005A07F5"/>
    <w:rsid w:val="005A0BDE"/>
    <w:rsid w:val="005A0CBA"/>
    <w:rsid w:val="005A0CD1"/>
    <w:rsid w:val="005A0D35"/>
    <w:rsid w:val="005A0F79"/>
    <w:rsid w:val="005A14DD"/>
    <w:rsid w:val="005A1722"/>
    <w:rsid w:val="005A17F9"/>
    <w:rsid w:val="005A22A2"/>
    <w:rsid w:val="005A2A05"/>
    <w:rsid w:val="005A2F95"/>
    <w:rsid w:val="005A341A"/>
    <w:rsid w:val="005A3A76"/>
    <w:rsid w:val="005A3DAF"/>
    <w:rsid w:val="005A3E81"/>
    <w:rsid w:val="005A4114"/>
    <w:rsid w:val="005A421E"/>
    <w:rsid w:val="005A45E4"/>
    <w:rsid w:val="005A4A7E"/>
    <w:rsid w:val="005A4EB9"/>
    <w:rsid w:val="005A623C"/>
    <w:rsid w:val="005A64F1"/>
    <w:rsid w:val="005A6587"/>
    <w:rsid w:val="005A730D"/>
    <w:rsid w:val="005A73D9"/>
    <w:rsid w:val="005A7706"/>
    <w:rsid w:val="005A777B"/>
    <w:rsid w:val="005A7DA9"/>
    <w:rsid w:val="005A7DEE"/>
    <w:rsid w:val="005A7EF4"/>
    <w:rsid w:val="005B0199"/>
    <w:rsid w:val="005B0833"/>
    <w:rsid w:val="005B0922"/>
    <w:rsid w:val="005B1543"/>
    <w:rsid w:val="005B1E08"/>
    <w:rsid w:val="005B20F3"/>
    <w:rsid w:val="005B211E"/>
    <w:rsid w:val="005B2A04"/>
    <w:rsid w:val="005B2C89"/>
    <w:rsid w:val="005B2DB8"/>
    <w:rsid w:val="005B2F0A"/>
    <w:rsid w:val="005B2FA4"/>
    <w:rsid w:val="005B33D2"/>
    <w:rsid w:val="005B352E"/>
    <w:rsid w:val="005B3EA4"/>
    <w:rsid w:val="005B4281"/>
    <w:rsid w:val="005B43A9"/>
    <w:rsid w:val="005B4454"/>
    <w:rsid w:val="005B44C8"/>
    <w:rsid w:val="005B4F89"/>
    <w:rsid w:val="005B505D"/>
    <w:rsid w:val="005B50FC"/>
    <w:rsid w:val="005B54A5"/>
    <w:rsid w:val="005B54C4"/>
    <w:rsid w:val="005B56D7"/>
    <w:rsid w:val="005B59DF"/>
    <w:rsid w:val="005B5A61"/>
    <w:rsid w:val="005B6308"/>
    <w:rsid w:val="005B6578"/>
    <w:rsid w:val="005B66D3"/>
    <w:rsid w:val="005B682A"/>
    <w:rsid w:val="005B6C8C"/>
    <w:rsid w:val="005B6D5D"/>
    <w:rsid w:val="005B7236"/>
    <w:rsid w:val="005B72BD"/>
    <w:rsid w:val="005B73FF"/>
    <w:rsid w:val="005B7545"/>
    <w:rsid w:val="005B75CE"/>
    <w:rsid w:val="005B7685"/>
    <w:rsid w:val="005B7F15"/>
    <w:rsid w:val="005C03D5"/>
    <w:rsid w:val="005C0B9E"/>
    <w:rsid w:val="005C0EDC"/>
    <w:rsid w:val="005C1325"/>
    <w:rsid w:val="005C13F7"/>
    <w:rsid w:val="005C182A"/>
    <w:rsid w:val="005C1A54"/>
    <w:rsid w:val="005C1AC1"/>
    <w:rsid w:val="005C1AD3"/>
    <w:rsid w:val="005C1B11"/>
    <w:rsid w:val="005C1F76"/>
    <w:rsid w:val="005C212F"/>
    <w:rsid w:val="005C2238"/>
    <w:rsid w:val="005C22A5"/>
    <w:rsid w:val="005C3B42"/>
    <w:rsid w:val="005C4211"/>
    <w:rsid w:val="005C49A3"/>
    <w:rsid w:val="005C4AC7"/>
    <w:rsid w:val="005C50A8"/>
    <w:rsid w:val="005C5165"/>
    <w:rsid w:val="005C5AB3"/>
    <w:rsid w:val="005C5CB8"/>
    <w:rsid w:val="005C5CDD"/>
    <w:rsid w:val="005C66C0"/>
    <w:rsid w:val="005C66EC"/>
    <w:rsid w:val="005C6D7A"/>
    <w:rsid w:val="005C6FA1"/>
    <w:rsid w:val="005C73E1"/>
    <w:rsid w:val="005C76AA"/>
    <w:rsid w:val="005C778E"/>
    <w:rsid w:val="005D0004"/>
    <w:rsid w:val="005D00FF"/>
    <w:rsid w:val="005D06D4"/>
    <w:rsid w:val="005D07A5"/>
    <w:rsid w:val="005D0EBD"/>
    <w:rsid w:val="005D1615"/>
    <w:rsid w:val="005D165E"/>
    <w:rsid w:val="005D1A54"/>
    <w:rsid w:val="005D1AFB"/>
    <w:rsid w:val="005D1B40"/>
    <w:rsid w:val="005D1E69"/>
    <w:rsid w:val="005D1FB0"/>
    <w:rsid w:val="005D25E4"/>
    <w:rsid w:val="005D27EE"/>
    <w:rsid w:val="005D2C90"/>
    <w:rsid w:val="005D3287"/>
    <w:rsid w:val="005D3667"/>
    <w:rsid w:val="005D3AFF"/>
    <w:rsid w:val="005D42F7"/>
    <w:rsid w:val="005D49FD"/>
    <w:rsid w:val="005D4BA4"/>
    <w:rsid w:val="005D59A8"/>
    <w:rsid w:val="005D5BB3"/>
    <w:rsid w:val="005D5D1A"/>
    <w:rsid w:val="005D5EC9"/>
    <w:rsid w:val="005D5ED0"/>
    <w:rsid w:val="005D6034"/>
    <w:rsid w:val="005D611D"/>
    <w:rsid w:val="005D65CD"/>
    <w:rsid w:val="005D736D"/>
    <w:rsid w:val="005D7483"/>
    <w:rsid w:val="005D7574"/>
    <w:rsid w:val="005D75E3"/>
    <w:rsid w:val="005D7628"/>
    <w:rsid w:val="005D762E"/>
    <w:rsid w:val="005D7D19"/>
    <w:rsid w:val="005E042B"/>
    <w:rsid w:val="005E09A1"/>
    <w:rsid w:val="005E0BC1"/>
    <w:rsid w:val="005E0ED3"/>
    <w:rsid w:val="005E16F6"/>
    <w:rsid w:val="005E1753"/>
    <w:rsid w:val="005E1793"/>
    <w:rsid w:val="005E1C4F"/>
    <w:rsid w:val="005E1E34"/>
    <w:rsid w:val="005E2643"/>
    <w:rsid w:val="005E2D6C"/>
    <w:rsid w:val="005E31C6"/>
    <w:rsid w:val="005E32C9"/>
    <w:rsid w:val="005E349D"/>
    <w:rsid w:val="005E37C1"/>
    <w:rsid w:val="005E39F6"/>
    <w:rsid w:val="005E3B39"/>
    <w:rsid w:val="005E3D34"/>
    <w:rsid w:val="005E3D4B"/>
    <w:rsid w:val="005E3D62"/>
    <w:rsid w:val="005E3D8D"/>
    <w:rsid w:val="005E4338"/>
    <w:rsid w:val="005E49A1"/>
    <w:rsid w:val="005E4E4C"/>
    <w:rsid w:val="005E5363"/>
    <w:rsid w:val="005E627F"/>
    <w:rsid w:val="005E6355"/>
    <w:rsid w:val="005E645E"/>
    <w:rsid w:val="005E66F2"/>
    <w:rsid w:val="005E6995"/>
    <w:rsid w:val="005E7016"/>
    <w:rsid w:val="005E7324"/>
    <w:rsid w:val="005E74C6"/>
    <w:rsid w:val="005E78AA"/>
    <w:rsid w:val="005E7959"/>
    <w:rsid w:val="005F0080"/>
    <w:rsid w:val="005F03C8"/>
    <w:rsid w:val="005F0BF5"/>
    <w:rsid w:val="005F111B"/>
    <w:rsid w:val="005F2028"/>
    <w:rsid w:val="005F2045"/>
    <w:rsid w:val="005F21A3"/>
    <w:rsid w:val="005F23D6"/>
    <w:rsid w:val="005F253F"/>
    <w:rsid w:val="005F2B30"/>
    <w:rsid w:val="005F2DE0"/>
    <w:rsid w:val="005F3351"/>
    <w:rsid w:val="005F33FD"/>
    <w:rsid w:val="005F36A6"/>
    <w:rsid w:val="005F3A6A"/>
    <w:rsid w:val="005F3DBB"/>
    <w:rsid w:val="005F3FDC"/>
    <w:rsid w:val="005F3FE7"/>
    <w:rsid w:val="005F467A"/>
    <w:rsid w:val="005F4903"/>
    <w:rsid w:val="005F4C9F"/>
    <w:rsid w:val="005F4EFD"/>
    <w:rsid w:val="005F4F17"/>
    <w:rsid w:val="005F509D"/>
    <w:rsid w:val="005F56BE"/>
    <w:rsid w:val="005F5C4B"/>
    <w:rsid w:val="005F5EB7"/>
    <w:rsid w:val="005F606A"/>
    <w:rsid w:val="005F668F"/>
    <w:rsid w:val="005F6798"/>
    <w:rsid w:val="005F6D6B"/>
    <w:rsid w:val="005F6E38"/>
    <w:rsid w:val="005F6E50"/>
    <w:rsid w:val="005F6FDF"/>
    <w:rsid w:val="005F7B68"/>
    <w:rsid w:val="0060023D"/>
    <w:rsid w:val="006007BA"/>
    <w:rsid w:val="00600949"/>
    <w:rsid w:val="00600A1E"/>
    <w:rsid w:val="00600BDF"/>
    <w:rsid w:val="00600DE1"/>
    <w:rsid w:val="006012B4"/>
    <w:rsid w:val="00601E31"/>
    <w:rsid w:val="00601F97"/>
    <w:rsid w:val="006029CA"/>
    <w:rsid w:val="00602AE4"/>
    <w:rsid w:val="00602D88"/>
    <w:rsid w:val="00603118"/>
    <w:rsid w:val="006032F2"/>
    <w:rsid w:val="00603800"/>
    <w:rsid w:val="00604190"/>
    <w:rsid w:val="0060477E"/>
    <w:rsid w:val="00604C98"/>
    <w:rsid w:val="00604E4B"/>
    <w:rsid w:val="00605455"/>
    <w:rsid w:val="006058DF"/>
    <w:rsid w:val="00605E57"/>
    <w:rsid w:val="00606667"/>
    <w:rsid w:val="00606F09"/>
    <w:rsid w:val="0060722E"/>
    <w:rsid w:val="00607438"/>
    <w:rsid w:val="00607878"/>
    <w:rsid w:val="00607B2C"/>
    <w:rsid w:val="00607B87"/>
    <w:rsid w:val="00607EBD"/>
    <w:rsid w:val="006107D3"/>
    <w:rsid w:val="00610C4A"/>
    <w:rsid w:val="0061107F"/>
    <w:rsid w:val="00611212"/>
    <w:rsid w:val="006118E4"/>
    <w:rsid w:val="00611B66"/>
    <w:rsid w:val="00611FBD"/>
    <w:rsid w:val="00612076"/>
    <w:rsid w:val="00612503"/>
    <w:rsid w:val="00612A49"/>
    <w:rsid w:val="006136FD"/>
    <w:rsid w:val="00613844"/>
    <w:rsid w:val="00613BB8"/>
    <w:rsid w:val="00614A1C"/>
    <w:rsid w:val="00614DF7"/>
    <w:rsid w:val="006150D1"/>
    <w:rsid w:val="00615643"/>
    <w:rsid w:val="006158E9"/>
    <w:rsid w:val="00615909"/>
    <w:rsid w:val="00615963"/>
    <w:rsid w:val="00615AF9"/>
    <w:rsid w:val="00615F38"/>
    <w:rsid w:val="00616003"/>
    <w:rsid w:val="00616306"/>
    <w:rsid w:val="00616AE0"/>
    <w:rsid w:val="006171C6"/>
    <w:rsid w:val="006175C6"/>
    <w:rsid w:val="0061776C"/>
    <w:rsid w:val="00620077"/>
    <w:rsid w:val="00620461"/>
    <w:rsid w:val="00620633"/>
    <w:rsid w:val="00620B6E"/>
    <w:rsid w:val="00620F53"/>
    <w:rsid w:val="006218A9"/>
    <w:rsid w:val="00621C09"/>
    <w:rsid w:val="00621D1D"/>
    <w:rsid w:val="006221B3"/>
    <w:rsid w:val="00623367"/>
    <w:rsid w:val="0062344F"/>
    <w:rsid w:val="00623B03"/>
    <w:rsid w:val="00623EF2"/>
    <w:rsid w:val="00623F6C"/>
    <w:rsid w:val="0062445A"/>
    <w:rsid w:val="0062487C"/>
    <w:rsid w:val="00624B11"/>
    <w:rsid w:val="00625661"/>
    <w:rsid w:val="00625C3C"/>
    <w:rsid w:val="0062664D"/>
    <w:rsid w:val="0062665F"/>
    <w:rsid w:val="00626C9B"/>
    <w:rsid w:val="00626F2A"/>
    <w:rsid w:val="006273B1"/>
    <w:rsid w:val="00627523"/>
    <w:rsid w:val="0062784A"/>
    <w:rsid w:val="00630224"/>
    <w:rsid w:val="00630662"/>
    <w:rsid w:val="006312AE"/>
    <w:rsid w:val="0063146B"/>
    <w:rsid w:val="006314A2"/>
    <w:rsid w:val="006315E9"/>
    <w:rsid w:val="00631A1C"/>
    <w:rsid w:val="00631B29"/>
    <w:rsid w:val="00632274"/>
    <w:rsid w:val="0063232B"/>
    <w:rsid w:val="00632962"/>
    <w:rsid w:val="00632F2F"/>
    <w:rsid w:val="00633008"/>
    <w:rsid w:val="006335D5"/>
    <w:rsid w:val="00633766"/>
    <w:rsid w:val="00633883"/>
    <w:rsid w:val="00633972"/>
    <w:rsid w:val="00633BEC"/>
    <w:rsid w:val="0063412E"/>
    <w:rsid w:val="00634C60"/>
    <w:rsid w:val="00634DDC"/>
    <w:rsid w:val="00634E4E"/>
    <w:rsid w:val="00634EFF"/>
    <w:rsid w:val="00634FCC"/>
    <w:rsid w:val="0063508D"/>
    <w:rsid w:val="0063537F"/>
    <w:rsid w:val="006354D7"/>
    <w:rsid w:val="00635CF9"/>
    <w:rsid w:val="0063613E"/>
    <w:rsid w:val="00636147"/>
    <w:rsid w:val="0063620B"/>
    <w:rsid w:val="006365CD"/>
    <w:rsid w:val="006366FB"/>
    <w:rsid w:val="006368B9"/>
    <w:rsid w:val="00636933"/>
    <w:rsid w:val="00636E1B"/>
    <w:rsid w:val="006371F6"/>
    <w:rsid w:val="00637687"/>
    <w:rsid w:val="00637ACA"/>
    <w:rsid w:val="00637B63"/>
    <w:rsid w:val="00637E93"/>
    <w:rsid w:val="00637F4E"/>
    <w:rsid w:val="006404E8"/>
    <w:rsid w:val="006407D1"/>
    <w:rsid w:val="00640CCC"/>
    <w:rsid w:val="00640E5D"/>
    <w:rsid w:val="00641331"/>
    <w:rsid w:val="00641338"/>
    <w:rsid w:val="006414C2"/>
    <w:rsid w:val="006414CE"/>
    <w:rsid w:val="0064180D"/>
    <w:rsid w:val="00641881"/>
    <w:rsid w:val="00641DEE"/>
    <w:rsid w:val="0064215D"/>
    <w:rsid w:val="00642722"/>
    <w:rsid w:val="00642825"/>
    <w:rsid w:val="006429D1"/>
    <w:rsid w:val="00642F8A"/>
    <w:rsid w:val="00643133"/>
    <w:rsid w:val="00643506"/>
    <w:rsid w:val="00643AA7"/>
    <w:rsid w:val="00643F66"/>
    <w:rsid w:val="0064403D"/>
    <w:rsid w:val="006440E8"/>
    <w:rsid w:val="00644201"/>
    <w:rsid w:val="00644212"/>
    <w:rsid w:val="00644593"/>
    <w:rsid w:val="00645146"/>
    <w:rsid w:val="006452F6"/>
    <w:rsid w:val="00645540"/>
    <w:rsid w:val="00645936"/>
    <w:rsid w:val="00645B67"/>
    <w:rsid w:val="00645E1A"/>
    <w:rsid w:val="00645F6E"/>
    <w:rsid w:val="006461AD"/>
    <w:rsid w:val="0064626C"/>
    <w:rsid w:val="00646516"/>
    <w:rsid w:val="006465E7"/>
    <w:rsid w:val="0064684B"/>
    <w:rsid w:val="00646D89"/>
    <w:rsid w:val="00647302"/>
    <w:rsid w:val="0064746F"/>
    <w:rsid w:val="006475ED"/>
    <w:rsid w:val="0064793B"/>
    <w:rsid w:val="00647C95"/>
    <w:rsid w:val="00647D50"/>
    <w:rsid w:val="00647E68"/>
    <w:rsid w:val="006505C0"/>
    <w:rsid w:val="00650667"/>
    <w:rsid w:val="00650AE3"/>
    <w:rsid w:val="006513AA"/>
    <w:rsid w:val="006516AD"/>
    <w:rsid w:val="006516C9"/>
    <w:rsid w:val="00651931"/>
    <w:rsid w:val="00651B10"/>
    <w:rsid w:val="00651C7A"/>
    <w:rsid w:val="00651D8C"/>
    <w:rsid w:val="00652467"/>
    <w:rsid w:val="006536BA"/>
    <w:rsid w:val="0065377E"/>
    <w:rsid w:val="00653B7D"/>
    <w:rsid w:val="00653C50"/>
    <w:rsid w:val="006540FE"/>
    <w:rsid w:val="00654384"/>
    <w:rsid w:val="006543AE"/>
    <w:rsid w:val="0065480E"/>
    <w:rsid w:val="00654C3C"/>
    <w:rsid w:val="006572D4"/>
    <w:rsid w:val="0065768C"/>
    <w:rsid w:val="00657888"/>
    <w:rsid w:val="00657F1F"/>
    <w:rsid w:val="00660251"/>
    <w:rsid w:val="006607D8"/>
    <w:rsid w:val="0066086D"/>
    <w:rsid w:val="00660CCC"/>
    <w:rsid w:val="00660EB5"/>
    <w:rsid w:val="00660FA7"/>
    <w:rsid w:val="00660FC6"/>
    <w:rsid w:val="00661693"/>
    <w:rsid w:val="00661814"/>
    <w:rsid w:val="00661890"/>
    <w:rsid w:val="00661B58"/>
    <w:rsid w:val="00661E16"/>
    <w:rsid w:val="00662119"/>
    <w:rsid w:val="00662243"/>
    <w:rsid w:val="0066294A"/>
    <w:rsid w:val="00662C96"/>
    <w:rsid w:val="00663310"/>
    <w:rsid w:val="006634E5"/>
    <w:rsid w:val="006638BB"/>
    <w:rsid w:val="00663B1C"/>
    <w:rsid w:val="00663B21"/>
    <w:rsid w:val="00663DC6"/>
    <w:rsid w:val="00663E7C"/>
    <w:rsid w:val="00664192"/>
    <w:rsid w:val="006641B0"/>
    <w:rsid w:val="00664523"/>
    <w:rsid w:val="00664D46"/>
    <w:rsid w:val="0066525A"/>
    <w:rsid w:val="0066549F"/>
    <w:rsid w:val="00665C92"/>
    <w:rsid w:val="00665E78"/>
    <w:rsid w:val="00665EC7"/>
    <w:rsid w:val="006662D4"/>
    <w:rsid w:val="00666777"/>
    <w:rsid w:val="006668E7"/>
    <w:rsid w:val="0066695F"/>
    <w:rsid w:val="00667045"/>
    <w:rsid w:val="00667258"/>
    <w:rsid w:val="006672AC"/>
    <w:rsid w:val="00667385"/>
    <w:rsid w:val="006676AD"/>
    <w:rsid w:val="00667702"/>
    <w:rsid w:val="00667A54"/>
    <w:rsid w:val="00667DC2"/>
    <w:rsid w:val="00670578"/>
    <w:rsid w:val="00671ACA"/>
    <w:rsid w:val="006728BC"/>
    <w:rsid w:val="00672DA2"/>
    <w:rsid w:val="00672DD2"/>
    <w:rsid w:val="00673156"/>
    <w:rsid w:val="006734EE"/>
    <w:rsid w:val="00673C28"/>
    <w:rsid w:val="00674451"/>
    <w:rsid w:val="00674D15"/>
    <w:rsid w:val="00675276"/>
    <w:rsid w:val="006757C0"/>
    <w:rsid w:val="00675C03"/>
    <w:rsid w:val="00675D2A"/>
    <w:rsid w:val="0067614F"/>
    <w:rsid w:val="006761ED"/>
    <w:rsid w:val="0067740E"/>
    <w:rsid w:val="006774D5"/>
    <w:rsid w:val="006774EF"/>
    <w:rsid w:val="00677B77"/>
    <w:rsid w:val="00677BCC"/>
    <w:rsid w:val="00677C29"/>
    <w:rsid w:val="006803F5"/>
    <w:rsid w:val="006805A7"/>
    <w:rsid w:val="00680D2F"/>
    <w:rsid w:val="00681E0F"/>
    <w:rsid w:val="006820A4"/>
    <w:rsid w:val="00682393"/>
    <w:rsid w:val="006824FF"/>
    <w:rsid w:val="00682550"/>
    <w:rsid w:val="00682566"/>
    <w:rsid w:val="006827E4"/>
    <w:rsid w:val="00682C11"/>
    <w:rsid w:val="00682E05"/>
    <w:rsid w:val="00682E65"/>
    <w:rsid w:val="0068332B"/>
    <w:rsid w:val="00683892"/>
    <w:rsid w:val="006842F8"/>
    <w:rsid w:val="00684608"/>
    <w:rsid w:val="00684818"/>
    <w:rsid w:val="00684AFE"/>
    <w:rsid w:val="00684BA3"/>
    <w:rsid w:val="00685274"/>
    <w:rsid w:val="006855C7"/>
    <w:rsid w:val="006857B1"/>
    <w:rsid w:val="00685974"/>
    <w:rsid w:val="00685EF6"/>
    <w:rsid w:val="00686053"/>
    <w:rsid w:val="0068696C"/>
    <w:rsid w:val="00686DA9"/>
    <w:rsid w:val="0068712F"/>
    <w:rsid w:val="00687381"/>
    <w:rsid w:val="00687524"/>
    <w:rsid w:val="00690D9F"/>
    <w:rsid w:val="00690F71"/>
    <w:rsid w:val="0069152A"/>
    <w:rsid w:val="006918A4"/>
    <w:rsid w:val="006919FB"/>
    <w:rsid w:val="006929D7"/>
    <w:rsid w:val="00692A7A"/>
    <w:rsid w:val="00692B91"/>
    <w:rsid w:val="00692B9B"/>
    <w:rsid w:val="00692D24"/>
    <w:rsid w:val="00692F44"/>
    <w:rsid w:val="00692F7C"/>
    <w:rsid w:val="00692FAB"/>
    <w:rsid w:val="006937F2"/>
    <w:rsid w:val="006941C5"/>
    <w:rsid w:val="0069437A"/>
    <w:rsid w:val="006944C3"/>
    <w:rsid w:val="006945B0"/>
    <w:rsid w:val="00694E54"/>
    <w:rsid w:val="006954FB"/>
    <w:rsid w:val="006956F0"/>
    <w:rsid w:val="00695A54"/>
    <w:rsid w:val="00695E38"/>
    <w:rsid w:val="00695E98"/>
    <w:rsid w:val="00695ED2"/>
    <w:rsid w:val="00695FB2"/>
    <w:rsid w:val="006965E7"/>
    <w:rsid w:val="00696993"/>
    <w:rsid w:val="00697646"/>
    <w:rsid w:val="00697782"/>
    <w:rsid w:val="00697C52"/>
    <w:rsid w:val="006A0123"/>
    <w:rsid w:val="006A0193"/>
    <w:rsid w:val="006A0A9F"/>
    <w:rsid w:val="006A0E4E"/>
    <w:rsid w:val="006A1647"/>
    <w:rsid w:val="006A1853"/>
    <w:rsid w:val="006A1887"/>
    <w:rsid w:val="006A1FC7"/>
    <w:rsid w:val="006A2536"/>
    <w:rsid w:val="006A2601"/>
    <w:rsid w:val="006A26C8"/>
    <w:rsid w:val="006A27EB"/>
    <w:rsid w:val="006A2BA8"/>
    <w:rsid w:val="006A32C8"/>
    <w:rsid w:val="006A38D5"/>
    <w:rsid w:val="006A4814"/>
    <w:rsid w:val="006A4929"/>
    <w:rsid w:val="006A4E91"/>
    <w:rsid w:val="006A5170"/>
    <w:rsid w:val="006A53AC"/>
    <w:rsid w:val="006A567D"/>
    <w:rsid w:val="006A5A1F"/>
    <w:rsid w:val="006A5AB9"/>
    <w:rsid w:val="006A5F50"/>
    <w:rsid w:val="006A61AB"/>
    <w:rsid w:val="006A6AAB"/>
    <w:rsid w:val="006A6D51"/>
    <w:rsid w:val="006A6FD8"/>
    <w:rsid w:val="006A7360"/>
    <w:rsid w:val="006A78A3"/>
    <w:rsid w:val="006B031F"/>
    <w:rsid w:val="006B08F5"/>
    <w:rsid w:val="006B1CD1"/>
    <w:rsid w:val="006B1E33"/>
    <w:rsid w:val="006B2152"/>
    <w:rsid w:val="006B290C"/>
    <w:rsid w:val="006B2ACA"/>
    <w:rsid w:val="006B2AD2"/>
    <w:rsid w:val="006B32A1"/>
    <w:rsid w:val="006B3C09"/>
    <w:rsid w:val="006B43D9"/>
    <w:rsid w:val="006B4B03"/>
    <w:rsid w:val="006B4DE3"/>
    <w:rsid w:val="006B5355"/>
    <w:rsid w:val="006B5566"/>
    <w:rsid w:val="006B5ABB"/>
    <w:rsid w:val="006B5EEC"/>
    <w:rsid w:val="006B626C"/>
    <w:rsid w:val="006B636A"/>
    <w:rsid w:val="006B6829"/>
    <w:rsid w:val="006B6A3E"/>
    <w:rsid w:val="006B725A"/>
    <w:rsid w:val="006B7324"/>
    <w:rsid w:val="006B75FA"/>
    <w:rsid w:val="006B7719"/>
    <w:rsid w:val="006B7A43"/>
    <w:rsid w:val="006B7E30"/>
    <w:rsid w:val="006C054A"/>
    <w:rsid w:val="006C08E4"/>
    <w:rsid w:val="006C0A76"/>
    <w:rsid w:val="006C0A83"/>
    <w:rsid w:val="006C0D94"/>
    <w:rsid w:val="006C0F8A"/>
    <w:rsid w:val="006C0FAC"/>
    <w:rsid w:val="006C1274"/>
    <w:rsid w:val="006C12DC"/>
    <w:rsid w:val="006C1411"/>
    <w:rsid w:val="006C1FF4"/>
    <w:rsid w:val="006C218E"/>
    <w:rsid w:val="006C2418"/>
    <w:rsid w:val="006C26AF"/>
    <w:rsid w:val="006C2805"/>
    <w:rsid w:val="006C28E8"/>
    <w:rsid w:val="006C29C5"/>
    <w:rsid w:val="006C35E4"/>
    <w:rsid w:val="006C3689"/>
    <w:rsid w:val="006C3B18"/>
    <w:rsid w:val="006C3B2A"/>
    <w:rsid w:val="006C46DD"/>
    <w:rsid w:val="006C4D28"/>
    <w:rsid w:val="006C53B0"/>
    <w:rsid w:val="006C5B96"/>
    <w:rsid w:val="006C5F2D"/>
    <w:rsid w:val="006C6266"/>
    <w:rsid w:val="006C63AC"/>
    <w:rsid w:val="006C6758"/>
    <w:rsid w:val="006C6A9D"/>
    <w:rsid w:val="006C6C29"/>
    <w:rsid w:val="006C790D"/>
    <w:rsid w:val="006C7940"/>
    <w:rsid w:val="006C7B48"/>
    <w:rsid w:val="006C7C90"/>
    <w:rsid w:val="006D026A"/>
    <w:rsid w:val="006D04AA"/>
    <w:rsid w:val="006D0BE5"/>
    <w:rsid w:val="006D0EE2"/>
    <w:rsid w:val="006D1085"/>
    <w:rsid w:val="006D1266"/>
    <w:rsid w:val="006D12A5"/>
    <w:rsid w:val="006D14A2"/>
    <w:rsid w:val="006D175E"/>
    <w:rsid w:val="006D1987"/>
    <w:rsid w:val="006D1A4E"/>
    <w:rsid w:val="006D1C7B"/>
    <w:rsid w:val="006D1CB0"/>
    <w:rsid w:val="006D1F49"/>
    <w:rsid w:val="006D1F81"/>
    <w:rsid w:val="006D2717"/>
    <w:rsid w:val="006D2DD3"/>
    <w:rsid w:val="006D2E5C"/>
    <w:rsid w:val="006D3DFF"/>
    <w:rsid w:val="006D4374"/>
    <w:rsid w:val="006D46AB"/>
    <w:rsid w:val="006D4BD9"/>
    <w:rsid w:val="006D4D28"/>
    <w:rsid w:val="006D4E05"/>
    <w:rsid w:val="006D4F53"/>
    <w:rsid w:val="006D5FB0"/>
    <w:rsid w:val="006D6229"/>
    <w:rsid w:val="006D6417"/>
    <w:rsid w:val="006D6E2B"/>
    <w:rsid w:val="006D7227"/>
    <w:rsid w:val="006D7D07"/>
    <w:rsid w:val="006D7D15"/>
    <w:rsid w:val="006E1002"/>
    <w:rsid w:val="006E10FA"/>
    <w:rsid w:val="006E114F"/>
    <w:rsid w:val="006E1180"/>
    <w:rsid w:val="006E1A89"/>
    <w:rsid w:val="006E1D42"/>
    <w:rsid w:val="006E21B8"/>
    <w:rsid w:val="006E2208"/>
    <w:rsid w:val="006E2B04"/>
    <w:rsid w:val="006E2CD4"/>
    <w:rsid w:val="006E2DDE"/>
    <w:rsid w:val="006E2F4B"/>
    <w:rsid w:val="006E301C"/>
    <w:rsid w:val="006E3286"/>
    <w:rsid w:val="006E386C"/>
    <w:rsid w:val="006E3A2B"/>
    <w:rsid w:val="006E460D"/>
    <w:rsid w:val="006E5514"/>
    <w:rsid w:val="006E5CCF"/>
    <w:rsid w:val="006E6163"/>
    <w:rsid w:val="006E62A8"/>
    <w:rsid w:val="006E67C6"/>
    <w:rsid w:val="006E688E"/>
    <w:rsid w:val="006E724E"/>
    <w:rsid w:val="006E72CF"/>
    <w:rsid w:val="006E741B"/>
    <w:rsid w:val="006E7844"/>
    <w:rsid w:val="006E7C25"/>
    <w:rsid w:val="006F052C"/>
    <w:rsid w:val="006F074E"/>
    <w:rsid w:val="006F091C"/>
    <w:rsid w:val="006F097F"/>
    <w:rsid w:val="006F0AFB"/>
    <w:rsid w:val="006F0B0C"/>
    <w:rsid w:val="006F0E32"/>
    <w:rsid w:val="006F0E5D"/>
    <w:rsid w:val="006F0EFF"/>
    <w:rsid w:val="006F1076"/>
    <w:rsid w:val="006F1C96"/>
    <w:rsid w:val="006F1CCB"/>
    <w:rsid w:val="006F20B1"/>
    <w:rsid w:val="006F2369"/>
    <w:rsid w:val="006F252A"/>
    <w:rsid w:val="006F270C"/>
    <w:rsid w:val="006F2F5F"/>
    <w:rsid w:val="006F357E"/>
    <w:rsid w:val="006F3580"/>
    <w:rsid w:val="006F36DC"/>
    <w:rsid w:val="006F3911"/>
    <w:rsid w:val="006F3BC7"/>
    <w:rsid w:val="006F3D20"/>
    <w:rsid w:val="006F3E43"/>
    <w:rsid w:val="006F41DF"/>
    <w:rsid w:val="006F4235"/>
    <w:rsid w:val="006F42FA"/>
    <w:rsid w:val="006F44E4"/>
    <w:rsid w:val="006F48DB"/>
    <w:rsid w:val="006F4BFF"/>
    <w:rsid w:val="006F629B"/>
    <w:rsid w:val="006F6599"/>
    <w:rsid w:val="006F6866"/>
    <w:rsid w:val="006F6CCB"/>
    <w:rsid w:val="006F7000"/>
    <w:rsid w:val="006F701F"/>
    <w:rsid w:val="006F7079"/>
    <w:rsid w:val="006F713F"/>
    <w:rsid w:val="006F7376"/>
    <w:rsid w:val="006F7424"/>
    <w:rsid w:val="006F762C"/>
    <w:rsid w:val="006F764C"/>
    <w:rsid w:val="006F7ACF"/>
    <w:rsid w:val="006F7C57"/>
    <w:rsid w:val="0070089D"/>
    <w:rsid w:val="0070090C"/>
    <w:rsid w:val="00700CE3"/>
    <w:rsid w:val="00701095"/>
    <w:rsid w:val="007013E7"/>
    <w:rsid w:val="00701570"/>
    <w:rsid w:val="00701AA8"/>
    <w:rsid w:val="00701AF5"/>
    <w:rsid w:val="00701B33"/>
    <w:rsid w:val="00702345"/>
    <w:rsid w:val="00702754"/>
    <w:rsid w:val="00703551"/>
    <w:rsid w:val="00703A13"/>
    <w:rsid w:val="00703BC3"/>
    <w:rsid w:val="0070424B"/>
    <w:rsid w:val="007044D5"/>
    <w:rsid w:val="00704726"/>
    <w:rsid w:val="007049B5"/>
    <w:rsid w:val="00704B11"/>
    <w:rsid w:val="00704E93"/>
    <w:rsid w:val="00704FCE"/>
    <w:rsid w:val="007052D4"/>
    <w:rsid w:val="00705399"/>
    <w:rsid w:val="007055E9"/>
    <w:rsid w:val="007055F7"/>
    <w:rsid w:val="00705CF1"/>
    <w:rsid w:val="00705D65"/>
    <w:rsid w:val="00705D84"/>
    <w:rsid w:val="00706177"/>
    <w:rsid w:val="0070670D"/>
    <w:rsid w:val="00706BAA"/>
    <w:rsid w:val="00706D97"/>
    <w:rsid w:val="00706DB5"/>
    <w:rsid w:val="00706FA7"/>
    <w:rsid w:val="0070726F"/>
    <w:rsid w:val="0070729D"/>
    <w:rsid w:val="00707CA5"/>
    <w:rsid w:val="00707F8E"/>
    <w:rsid w:val="007101FF"/>
    <w:rsid w:val="00710303"/>
    <w:rsid w:val="0071053D"/>
    <w:rsid w:val="00710A45"/>
    <w:rsid w:val="00710B3E"/>
    <w:rsid w:val="00710C44"/>
    <w:rsid w:val="0071125F"/>
    <w:rsid w:val="0071127D"/>
    <w:rsid w:val="0071211A"/>
    <w:rsid w:val="00712774"/>
    <w:rsid w:val="00712C9B"/>
    <w:rsid w:val="00712D8E"/>
    <w:rsid w:val="00712E45"/>
    <w:rsid w:val="00712F3C"/>
    <w:rsid w:val="00713191"/>
    <w:rsid w:val="007131ED"/>
    <w:rsid w:val="00713536"/>
    <w:rsid w:val="007136A7"/>
    <w:rsid w:val="00713881"/>
    <w:rsid w:val="00713AA0"/>
    <w:rsid w:val="00713DBA"/>
    <w:rsid w:val="00713FF4"/>
    <w:rsid w:val="0071406A"/>
    <w:rsid w:val="00714703"/>
    <w:rsid w:val="00714748"/>
    <w:rsid w:val="007147B9"/>
    <w:rsid w:val="007148BD"/>
    <w:rsid w:val="00714EC4"/>
    <w:rsid w:val="007157B1"/>
    <w:rsid w:val="00715865"/>
    <w:rsid w:val="00715A2B"/>
    <w:rsid w:val="00716195"/>
    <w:rsid w:val="007165F4"/>
    <w:rsid w:val="00716A4F"/>
    <w:rsid w:val="00716BD2"/>
    <w:rsid w:val="00716BED"/>
    <w:rsid w:val="0071709B"/>
    <w:rsid w:val="007173B5"/>
    <w:rsid w:val="00717704"/>
    <w:rsid w:val="00717F38"/>
    <w:rsid w:val="0072003B"/>
    <w:rsid w:val="0072042A"/>
    <w:rsid w:val="00720489"/>
    <w:rsid w:val="00720827"/>
    <w:rsid w:val="00720DF5"/>
    <w:rsid w:val="007211D8"/>
    <w:rsid w:val="0072159C"/>
    <w:rsid w:val="007215D3"/>
    <w:rsid w:val="007216C8"/>
    <w:rsid w:val="00721760"/>
    <w:rsid w:val="007217F2"/>
    <w:rsid w:val="007219A9"/>
    <w:rsid w:val="00722607"/>
    <w:rsid w:val="00722B0D"/>
    <w:rsid w:val="00722EFE"/>
    <w:rsid w:val="00723174"/>
    <w:rsid w:val="00723BE7"/>
    <w:rsid w:val="00723E32"/>
    <w:rsid w:val="0072412A"/>
    <w:rsid w:val="00724CF5"/>
    <w:rsid w:val="00724E26"/>
    <w:rsid w:val="0072541A"/>
    <w:rsid w:val="00725449"/>
    <w:rsid w:val="007255B4"/>
    <w:rsid w:val="00725A58"/>
    <w:rsid w:val="00725AC7"/>
    <w:rsid w:val="00725E54"/>
    <w:rsid w:val="007266B0"/>
    <w:rsid w:val="007267ED"/>
    <w:rsid w:val="00726E6C"/>
    <w:rsid w:val="00726F42"/>
    <w:rsid w:val="00727362"/>
    <w:rsid w:val="00727611"/>
    <w:rsid w:val="0073016D"/>
    <w:rsid w:val="00730402"/>
    <w:rsid w:val="0073072D"/>
    <w:rsid w:val="00730EFD"/>
    <w:rsid w:val="007310E6"/>
    <w:rsid w:val="0073166A"/>
    <w:rsid w:val="00731CFF"/>
    <w:rsid w:val="0073212F"/>
    <w:rsid w:val="007321CD"/>
    <w:rsid w:val="007328B0"/>
    <w:rsid w:val="00732AB8"/>
    <w:rsid w:val="00732BC4"/>
    <w:rsid w:val="00732D49"/>
    <w:rsid w:val="00732D57"/>
    <w:rsid w:val="00733166"/>
    <w:rsid w:val="00733B39"/>
    <w:rsid w:val="00733B70"/>
    <w:rsid w:val="00733CA0"/>
    <w:rsid w:val="0073412A"/>
    <w:rsid w:val="0073443B"/>
    <w:rsid w:val="0073472F"/>
    <w:rsid w:val="00734CAE"/>
    <w:rsid w:val="00734CCC"/>
    <w:rsid w:val="0073500E"/>
    <w:rsid w:val="00735115"/>
    <w:rsid w:val="007352EB"/>
    <w:rsid w:val="007355DF"/>
    <w:rsid w:val="007356DF"/>
    <w:rsid w:val="00735B52"/>
    <w:rsid w:val="00735C7D"/>
    <w:rsid w:val="00735D41"/>
    <w:rsid w:val="00736528"/>
    <w:rsid w:val="007365CE"/>
    <w:rsid w:val="00736662"/>
    <w:rsid w:val="007367FF"/>
    <w:rsid w:val="0073680C"/>
    <w:rsid w:val="00737230"/>
    <w:rsid w:val="007372FF"/>
    <w:rsid w:val="0073763A"/>
    <w:rsid w:val="007378B5"/>
    <w:rsid w:val="00737985"/>
    <w:rsid w:val="0074018D"/>
    <w:rsid w:val="00740962"/>
    <w:rsid w:val="007409FE"/>
    <w:rsid w:val="00740BD7"/>
    <w:rsid w:val="007410C3"/>
    <w:rsid w:val="00741666"/>
    <w:rsid w:val="007417E8"/>
    <w:rsid w:val="00741873"/>
    <w:rsid w:val="00741A83"/>
    <w:rsid w:val="00741D7C"/>
    <w:rsid w:val="007420A7"/>
    <w:rsid w:val="007428F9"/>
    <w:rsid w:val="00742C01"/>
    <w:rsid w:val="00743715"/>
    <w:rsid w:val="00743905"/>
    <w:rsid w:val="00743E7F"/>
    <w:rsid w:val="00743F58"/>
    <w:rsid w:val="007440CD"/>
    <w:rsid w:val="007442DB"/>
    <w:rsid w:val="00744700"/>
    <w:rsid w:val="00744AA6"/>
    <w:rsid w:val="00744C4A"/>
    <w:rsid w:val="007453D2"/>
    <w:rsid w:val="0074541D"/>
    <w:rsid w:val="00745489"/>
    <w:rsid w:val="00745CC5"/>
    <w:rsid w:val="00745D56"/>
    <w:rsid w:val="00746A33"/>
    <w:rsid w:val="00746AF1"/>
    <w:rsid w:val="00746B1B"/>
    <w:rsid w:val="00746C79"/>
    <w:rsid w:val="00746F4F"/>
    <w:rsid w:val="00747407"/>
    <w:rsid w:val="007476FF"/>
    <w:rsid w:val="00747CD9"/>
    <w:rsid w:val="00750011"/>
    <w:rsid w:val="007504D7"/>
    <w:rsid w:val="0075050C"/>
    <w:rsid w:val="0075055B"/>
    <w:rsid w:val="00750607"/>
    <w:rsid w:val="007508A4"/>
    <w:rsid w:val="00750939"/>
    <w:rsid w:val="00750BC2"/>
    <w:rsid w:val="00750D4C"/>
    <w:rsid w:val="0075101F"/>
    <w:rsid w:val="0075107C"/>
    <w:rsid w:val="007511BB"/>
    <w:rsid w:val="0075176E"/>
    <w:rsid w:val="0075183B"/>
    <w:rsid w:val="0075196A"/>
    <w:rsid w:val="00751A6F"/>
    <w:rsid w:val="00751B29"/>
    <w:rsid w:val="00751DAE"/>
    <w:rsid w:val="00751F36"/>
    <w:rsid w:val="0075205B"/>
    <w:rsid w:val="007527FB"/>
    <w:rsid w:val="00752862"/>
    <w:rsid w:val="00752BD8"/>
    <w:rsid w:val="007533C3"/>
    <w:rsid w:val="00753494"/>
    <w:rsid w:val="0075360D"/>
    <w:rsid w:val="007537A9"/>
    <w:rsid w:val="00753B8E"/>
    <w:rsid w:val="00753F22"/>
    <w:rsid w:val="00753F28"/>
    <w:rsid w:val="00754071"/>
    <w:rsid w:val="00754385"/>
    <w:rsid w:val="00754439"/>
    <w:rsid w:val="0075550C"/>
    <w:rsid w:val="007557E7"/>
    <w:rsid w:val="00755AA3"/>
    <w:rsid w:val="00755B2E"/>
    <w:rsid w:val="00755E98"/>
    <w:rsid w:val="00756237"/>
    <w:rsid w:val="007569F6"/>
    <w:rsid w:val="00756D64"/>
    <w:rsid w:val="00756E3B"/>
    <w:rsid w:val="00757727"/>
    <w:rsid w:val="00757743"/>
    <w:rsid w:val="007579A4"/>
    <w:rsid w:val="00757B97"/>
    <w:rsid w:val="00760238"/>
    <w:rsid w:val="0076029B"/>
    <w:rsid w:val="007603BB"/>
    <w:rsid w:val="00760638"/>
    <w:rsid w:val="00761193"/>
    <w:rsid w:val="007611D6"/>
    <w:rsid w:val="00761221"/>
    <w:rsid w:val="00761356"/>
    <w:rsid w:val="007613B8"/>
    <w:rsid w:val="00761652"/>
    <w:rsid w:val="00761776"/>
    <w:rsid w:val="007619B5"/>
    <w:rsid w:val="00761C5E"/>
    <w:rsid w:val="0076208E"/>
    <w:rsid w:val="0076306C"/>
    <w:rsid w:val="00764E88"/>
    <w:rsid w:val="007652BA"/>
    <w:rsid w:val="0076551A"/>
    <w:rsid w:val="00765763"/>
    <w:rsid w:val="00765803"/>
    <w:rsid w:val="00765971"/>
    <w:rsid w:val="007671C0"/>
    <w:rsid w:val="00767653"/>
    <w:rsid w:val="007678E0"/>
    <w:rsid w:val="0077002C"/>
    <w:rsid w:val="00770510"/>
    <w:rsid w:val="00770552"/>
    <w:rsid w:val="00770741"/>
    <w:rsid w:val="00770858"/>
    <w:rsid w:val="007709E1"/>
    <w:rsid w:val="00770AEB"/>
    <w:rsid w:val="00770DA1"/>
    <w:rsid w:val="00770ED7"/>
    <w:rsid w:val="00771436"/>
    <w:rsid w:val="007715EA"/>
    <w:rsid w:val="00771612"/>
    <w:rsid w:val="0077174C"/>
    <w:rsid w:val="0077174F"/>
    <w:rsid w:val="00771E81"/>
    <w:rsid w:val="0077210D"/>
    <w:rsid w:val="00772131"/>
    <w:rsid w:val="0077225A"/>
    <w:rsid w:val="007726B0"/>
    <w:rsid w:val="00772E14"/>
    <w:rsid w:val="00772EB9"/>
    <w:rsid w:val="00773960"/>
    <w:rsid w:val="00773C9F"/>
    <w:rsid w:val="00773D68"/>
    <w:rsid w:val="00773FB8"/>
    <w:rsid w:val="00774DE0"/>
    <w:rsid w:val="007754FA"/>
    <w:rsid w:val="007759E1"/>
    <w:rsid w:val="00775E8C"/>
    <w:rsid w:val="00776210"/>
    <w:rsid w:val="007764D6"/>
    <w:rsid w:val="00776D73"/>
    <w:rsid w:val="007770F4"/>
    <w:rsid w:val="0077724C"/>
    <w:rsid w:val="00777714"/>
    <w:rsid w:val="00777787"/>
    <w:rsid w:val="00777CFD"/>
    <w:rsid w:val="007802EE"/>
    <w:rsid w:val="00780501"/>
    <w:rsid w:val="00780717"/>
    <w:rsid w:val="00780729"/>
    <w:rsid w:val="00780FFA"/>
    <w:rsid w:val="0078102C"/>
    <w:rsid w:val="007810CF"/>
    <w:rsid w:val="007811CA"/>
    <w:rsid w:val="00781255"/>
    <w:rsid w:val="00781392"/>
    <w:rsid w:val="0078163F"/>
    <w:rsid w:val="00782358"/>
    <w:rsid w:val="0078244B"/>
    <w:rsid w:val="0078247D"/>
    <w:rsid w:val="00782DEB"/>
    <w:rsid w:val="007838DE"/>
    <w:rsid w:val="00783F1C"/>
    <w:rsid w:val="0078421C"/>
    <w:rsid w:val="007844BC"/>
    <w:rsid w:val="007845BE"/>
    <w:rsid w:val="0078477F"/>
    <w:rsid w:val="00784863"/>
    <w:rsid w:val="00785B51"/>
    <w:rsid w:val="00786343"/>
    <w:rsid w:val="00786553"/>
    <w:rsid w:val="0078696E"/>
    <w:rsid w:val="00786D3C"/>
    <w:rsid w:val="00787F35"/>
    <w:rsid w:val="00790711"/>
    <w:rsid w:val="00790B95"/>
    <w:rsid w:val="00792A9F"/>
    <w:rsid w:val="00792F0F"/>
    <w:rsid w:val="00792FA4"/>
    <w:rsid w:val="007933F9"/>
    <w:rsid w:val="0079361D"/>
    <w:rsid w:val="00794056"/>
    <w:rsid w:val="00794661"/>
    <w:rsid w:val="007946B7"/>
    <w:rsid w:val="00794F6E"/>
    <w:rsid w:val="00794FA3"/>
    <w:rsid w:val="007950CF"/>
    <w:rsid w:val="00795131"/>
    <w:rsid w:val="0079551F"/>
    <w:rsid w:val="00795759"/>
    <w:rsid w:val="0079586B"/>
    <w:rsid w:val="00795948"/>
    <w:rsid w:val="00795D32"/>
    <w:rsid w:val="007963DB"/>
    <w:rsid w:val="00796893"/>
    <w:rsid w:val="00796AF2"/>
    <w:rsid w:val="00796B44"/>
    <w:rsid w:val="00796CA5"/>
    <w:rsid w:val="0079718C"/>
    <w:rsid w:val="007971DB"/>
    <w:rsid w:val="00797517"/>
    <w:rsid w:val="00797FF8"/>
    <w:rsid w:val="007A02E0"/>
    <w:rsid w:val="007A032C"/>
    <w:rsid w:val="007A035C"/>
    <w:rsid w:val="007A06B3"/>
    <w:rsid w:val="007A0B5A"/>
    <w:rsid w:val="007A0BB5"/>
    <w:rsid w:val="007A0E7C"/>
    <w:rsid w:val="007A10EC"/>
    <w:rsid w:val="007A12A4"/>
    <w:rsid w:val="007A13C5"/>
    <w:rsid w:val="007A273B"/>
    <w:rsid w:val="007A2A79"/>
    <w:rsid w:val="007A2B85"/>
    <w:rsid w:val="007A2C16"/>
    <w:rsid w:val="007A36DB"/>
    <w:rsid w:val="007A37C2"/>
    <w:rsid w:val="007A39C9"/>
    <w:rsid w:val="007A3B94"/>
    <w:rsid w:val="007A3C28"/>
    <w:rsid w:val="007A3CE0"/>
    <w:rsid w:val="007A40E5"/>
    <w:rsid w:val="007A413F"/>
    <w:rsid w:val="007A4709"/>
    <w:rsid w:val="007A4804"/>
    <w:rsid w:val="007A4970"/>
    <w:rsid w:val="007A4AAD"/>
    <w:rsid w:val="007A5D80"/>
    <w:rsid w:val="007A621E"/>
    <w:rsid w:val="007A714A"/>
    <w:rsid w:val="007A7CA7"/>
    <w:rsid w:val="007B0480"/>
    <w:rsid w:val="007B09E0"/>
    <w:rsid w:val="007B0AEF"/>
    <w:rsid w:val="007B0EC3"/>
    <w:rsid w:val="007B1074"/>
    <w:rsid w:val="007B1163"/>
    <w:rsid w:val="007B1643"/>
    <w:rsid w:val="007B1CC5"/>
    <w:rsid w:val="007B21E6"/>
    <w:rsid w:val="007B27EE"/>
    <w:rsid w:val="007B28CA"/>
    <w:rsid w:val="007B2957"/>
    <w:rsid w:val="007B2D1E"/>
    <w:rsid w:val="007B2DAB"/>
    <w:rsid w:val="007B35C0"/>
    <w:rsid w:val="007B3828"/>
    <w:rsid w:val="007B392D"/>
    <w:rsid w:val="007B39C5"/>
    <w:rsid w:val="007B3E2B"/>
    <w:rsid w:val="007B438D"/>
    <w:rsid w:val="007B4665"/>
    <w:rsid w:val="007B4C43"/>
    <w:rsid w:val="007B530F"/>
    <w:rsid w:val="007B56B4"/>
    <w:rsid w:val="007B5DC1"/>
    <w:rsid w:val="007B5F51"/>
    <w:rsid w:val="007B69E9"/>
    <w:rsid w:val="007B6CEE"/>
    <w:rsid w:val="007B7135"/>
    <w:rsid w:val="007B732E"/>
    <w:rsid w:val="007B7652"/>
    <w:rsid w:val="007B7785"/>
    <w:rsid w:val="007B7F24"/>
    <w:rsid w:val="007C01AC"/>
    <w:rsid w:val="007C065B"/>
    <w:rsid w:val="007C068C"/>
    <w:rsid w:val="007C074C"/>
    <w:rsid w:val="007C110E"/>
    <w:rsid w:val="007C118C"/>
    <w:rsid w:val="007C17FC"/>
    <w:rsid w:val="007C26FD"/>
    <w:rsid w:val="007C2CB8"/>
    <w:rsid w:val="007C37FD"/>
    <w:rsid w:val="007C3DAE"/>
    <w:rsid w:val="007C478C"/>
    <w:rsid w:val="007C4AB1"/>
    <w:rsid w:val="007C4E90"/>
    <w:rsid w:val="007C550C"/>
    <w:rsid w:val="007C5934"/>
    <w:rsid w:val="007C5CE8"/>
    <w:rsid w:val="007C653F"/>
    <w:rsid w:val="007C6852"/>
    <w:rsid w:val="007C6C68"/>
    <w:rsid w:val="007C6DD1"/>
    <w:rsid w:val="007C6E7C"/>
    <w:rsid w:val="007C7BB7"/>
    <w:rsid w:val="007C7F5E"/>
    <w:rsid w:val="007C7F94"/>
    <w:rsid w:val="007D0134"/>
    <w:rsid w:val="007D040E"/>
    <w:rsid w:val="007D0551"/>
    <w:rsid w:val="007D0E28"/>
    <w:rsid w:val="007D112F"/>
    <w:rsid w:val="007D1335"/>
    <w:rsid w:val="007D165C"/>
    <w:rsid w:val="007D1922"/>
    <w:rsid w:val="007D242A"/>
    <w:rsid w:val="007D29F1"/>
    <w:rsid w:val="007D2C8A"/>
    <w:rsid w:val="007D304D"/>
    <w:rsid w:val="007D3690"/>
    <w:rsid w:val="007D3A4E"/>
    <w:rsid w:val="007D3CBF"/>
    <w:rsid w:val="007D422B"/>
    <w:rsid w:val="007D48FE"/>
    <w:rsid w:val="007D4A2A"/>
    <w:rsid w:val="007D4A75"/>
    <w:rsid w:val="007D4A9B"/>
    <w:rsid w:val="007D4AE5"/>
    <w:rsid w:val="007D527D"/>
    <w:rsid w:val="007D5569"/>
    <w:rsid w:val="007D57B8"/>
    <w:rsid w:val="007D5F47"/>
    <w:rsid w:val="007D6526"/>
    <w:rsid w:val="007D65B7"/>
    <w:rsid w:val="007D695A"/>
    <w:rsid w:val="007D69B9"/>
    <w:rsid w:val="007D6E39"/>
    <w:rsid w:val="007D6E78"/>
    <w:rsid w:val="007D715B"/>
    <w:rsid w:val="007D75BA"/>
    <w:rsid w:val="007D7998"/>
    <w:rsid w:val="007E0759"/>
    <w:rsid w:val="007E0EFB"/>
    <w:rsid w:val="007E133E"/>
    <w:rsid w:val="007E135E"/>
    <w:rsid w:val="007E1677"/>
    <w:rsid w:val="007E1855"/>
    <w:rsid w:val="007E1B7A"/>
    <w:rsid w:val="007E1C7B"/>
    <w:rsid w:val="007E2442"/>
    <w:rsid w:val="007E2559"/>
    <w:rsid w:val="007E2607"/>
    <w:rsid w:val="007E267C"/>
    <w:rsid w:val="007E28B0"/>
    <w:rsid w:val="007E2B26"/>
    <w:rsid w:val="007E2B93"/>
    <w:rsid w:val="007E2E35"/>
    <w:rsid w:val="007E2EBF"/>
    <w:rsid w:val="007E3417"/>
    <w:rsid w:val="007E346C"/>
    <w:rsid w:val="007E347D"/>
    <w:rsid w:val="007E38D6"/>
    <w:rsid w:val="007E3A31"/>
    <w:rsid w:val="007E3B05"/>
    <w:rsid w:val="007E3DD8"/>
    <w:rsid w:val="007E4189"/>
    <w:rsid w:val="007E483E"/>
    <w:rsid w:val="007E486A"/>
    <w:rsid w:val="007E4989"/>
    <w:rsid w:val="007E4A95"/>
    <w:rsid w:val="007E4AC0"/>
    <w:rsid w:val="007E4E55"/>
    <w:rsid w:val="007E5200"/>
    <w:rsid w:val="007E5396"/>
    <w:rsid w:val="007E546D"/>
    <w:rsid w:val="007E56EF"/>
    <w:rsid w:val="007E5A59"/>
    <w:rsid w:val="007E6730"/>
    <w:rsid w:val="007E74DC"/>
    <w:rsid w:val="007E78B1"/>
    <w:rsid w:val="007E7ECF"/>
    <w:rsid w:val="007F02F9"/>
    <w:rsid w:val="007F0342"/>
    <w:rsid w:val="007F0428"/>
    <w:rsid w:val="007F1214"/>
    <w:rsid w:val="007F1529"/>
    <w:rsid w:val="007F19FD"/>
    <w:rsid w:val="007F204E"/>
    <w:rsid w:val="007F221B"/>
    <w:rsid w:val="007F2C09"/>
    <w:rsid w:val="007F2E96"/>
    <w:rsid w:val="007F3585"/>
    <w:rsid w:val="007F360F"/>
    <w:rsid w:val="007F37F8"/>
    <w:rsid w:val="007F3EC9"/>
    <w:rsid w:val="007F401C"/>
    <w:rsid w:val="007F45E3"/>
    <w:rsid w:val="007F4601"/>
    <w:rsid w:val="007F478E"/>
    <w:rsid w:val="007F4799"/>
    <w:rsid w:val="007F4987"/>
    <w:rsid w:val="007F4ADE"/>
    <w:rsid w:val="007F5A5A"/>
    <w:rsid w:val="007F5B10"/>
    <w:rsid w:val="007F5C2E"/>
    <w:rsid w:val="007F619B"/>
    <w:rsid w:val="007F6516"/>
    <w:rsid w:val="007F6605"/>
    <w:rsid w:val="007F6E4E"/>
    <w:rsid w:val="007F70E4"/>
    <w:rsid w:val="007F73C7"/>
    <w:rsid w:val="007F7773"/>
    <w:rsid w:val="007F7A83"/>
    <w:rsid w:val="007F7DE8"/>
    <w:rsid w:val="007F7EB4"/>
    <w:rsid w:val="007F7EC5"/>
    <w:rsid w:val="007F7FE7"/>
    <w:rsid w:val="007F7FF9"/>
    <w:rsid w:val="008002CA"/>
    <w:rsid w:val="008004B6"/>
    <w:rsid w:val="0080059B"/>
    <w:rsid w:val="00800AC4"/>
    <w:rsid w:val="00801EF2"/>
    <w:rsid w:val="008021DC"/>
    <w:rsid w:val="00802699"/>
    <w:rsid w:val="00802A14"/>
    <w:rsid w:val="008034F2"/>
    <w:rsid w:val="0080395E"/>
    <w:rsid w:val="00803EB3"/>
    <w:rsid w:val="008040D2"/>
    <w:rsid w:val="00804CFF"/>
    <w:rsid w:val="00804DB1"/>
    <w:rsid w:val="008057B8"/>
    <w:rsid w:val="00805914"/>
    <w:rsid w:val="0080599D"/>
    <w:rsid w:val="00805B1E"/>
    <w:rsid w:val="00805F5F"/>
    <w:rsid w:val="00806498"/>
    <w:rsid w:val="008066BD"/>
    <w:rsid w:val="0080685B"/>
    <w:rsid w:val="00806CB9"/>
    <w:rsid w:val="00807037"/>
    <w:rsid w:val="008073E0"/>
    <w:rsid w:val="00807431"/>
    <w:rsid w:val="00807DC9"/>
    <w:rsid w:val="008100A5"/>
    <w:rsid w:val="0081010E"/>
    <w:rsid w:val="00810383"/>
    <w:rsid w:val="00810396"/>
    <w:rsid w:val="008106A2"/>
    <w:rsid w:val="008109B7"/>
    <w:rsid w:val="00810A5A"/>
    <w:rsid w:val="00810BCA"/>
    <w:rsid w:val="00810ECC"/>
    <w:rsid w:val="008110C0"/>
    <w:rsid w:val="0081114A"/>
    <w:rsid w:val="0081190F"/>
    <w:rsid w:val="00811E18"/>
    <w:rsid w:val="00811F52"/>
    <w:rsid w:val="00812375"/>
    <w:rsid w:val="008131A1"/>
    <w:rsid w:val="00813523"/>
    <w:rsid w:val="008136FD"/>
    <w:rsid w:val="00813897"/>
    <w:rsid w:val="008138BF"/>
    <w:rsid w:val="00814756"/>
    <w:rsid w:val="008148DB"/>
    <w:rsid w:val="00814C53"/>
    <w:rsid w:val="008158E0"/>
    <w:rsid w:val="00816C3E"/>
    <w:rsid w:val="00816E0E"/>
    <w:rsid w:val="00816E35"/>
    <w:rsid w:val="00816EEB"/>
    <w:rsid w:val="00817243"/>
    <w:rsid w:val="0081750B"/>
    <w:rsid w:val="0081769E"/>
    <w:rsid w:val="00817DFE"/>
    <w:rsid w:val="00820008"/>
    <w:rsid w:val="00820152"/>
    <w:rsid w:val="00820968"/>
    <w:rsid w:val="0082143A"/>
    <w:rsid w:val="00821531"/>
    <w:rsid w:val="00821F1C"/>
    <w:rsid w:val="00822773"/>
    <w:rsid w:val="00822799"/>
    <w:rsid w:val="008229A7"/>
    <w:rsid w:val="00823592"/>
    <w:rsid w:val="00823964"/>
    <w:rsid w:val="008239A9"/>
    <w:rsid w:val="00824028"/>
    <w:rsid w:val="0082468C"/>
    <w:rsid w:val="008248AC"/>
    <w:rsid w:val="008248EC"/>
    <w:rsid w:val="00824D74"/>
    <w:rsid w:val="00824DB3"/>
    <w:rsid w:val="00825337"/>
    <w:rsid w:val="00825B0A"/>
    <w:rsid w:val="00825BD6"/>
    <w:rsid w:val="00825E90"/>
    <w:rsid w:val="00825E9A"/>
    <w:rsid w:val="00826086"/>
    <w:rsid w:val="008260EA"/>
    <w:rsid w:val="00826254"/>
    <w:rsid w:val="00826A9D"/>
    <w:rsid w:val="00826AC8"/>
    <w:rsid w:val="00826F1D"/>
    <w:rsid w:val="00826FC9"/>
    <w:rsid w:val="008279C3"/>
    <w:rsid w:val="00827F2C"/>
    <w:rsid w:val="008301C4"/>
    <w:rsid w:val="008302B8"/>
    <w:rsid w:val="00830315"/>
    <w:rsid w:val="00830459"/>
    <w:rsid w:val="00830624"/>
    <w:rsid w:val="0083086E"/>
    <w:rsid w:val="00830B0F"/>
    <w:rsid w:val="00830CDB"/>
    <w:rsid w:val="0083104B"/>
    <w:rsid w:val="00831148"/>
    <w:rsid w:val="0083186E"/>
    <w:rsid w:val="008324FA"/>
    <w:rsid w:val="00832666"/>
    <w:rsid w:val="008326B4"/>
    <w:rsid w:val="00832794"/>
    <w:rsid w:val="00832895"/>
    <w:rsid w:val="00832A5A"/>
    <w:rsid w:val="00832B4A"/>
    <w:rsid w:val="00833196"/>
    <w:rsid w:val="008331EF"/>
    <w:rsid w:val="00833E1A"/>
    <w:rsid w:val="008340DE"/>
    <w:rsid w:val="008344FD"/>
    <w:rsid w:val="008352BC"/>
    <w:rsid w:val="0083556F"/>
    <w:rsid w:val="00835985"/>
    <w:rsid w:val="00835B13"/>
    <w:rsid w:val="00835CC9"/>
    <w:rsid w:val="00835DF1"/>
    <w:rsid w:val="00835EC5"/>
    <w:rsid w:val="00836045"/>
    <w:rsid w:val="00836218"/>
    <w:rsid w:val="0083630F"/>
    <w:rsid w:val="00836683"/>
    <w:rsid w:val="008367E2"/>
    <w:rsid w:val="00836D85"/>
    <w:rsid w:val="0084013C"/>
    <w:rsid w:val="008401DF"/>
    <w:rsid w:val="00840D30"/>
    <w:rsid w:val="00840E32"/>
    <w:rsid w:val="00841032"/>
    <w:rsid w:val="008410E4"/>
    <w:rsid w:val="00841552"/>
    <w:rsid w:val="0084172F"/>
    <w:rsid w:val="008419C7"/>
    <w:rsid w:val="00841DD3"/>
    <w:rsid w:val="00841EB8"/>
    <w:rsid w:val="008420DA"/>
    <w:rsid w:val="0084210F"/>
    <w:rsid w:val="008422DB"/>
    <w:rsid w:val="00842522"/>
    <w:rsid w:val="0084284A"/>
    <w:rsid w:val="00842913"/>
    <w:rsid w:val="00842A65"/>
    <w:rsid w:val="00842D32"/>
    <w:rsid w:val="00842D9F"/>
    <w:rsid w:val="00842F4E"/>
    <w:rsid w:val="00843115"/>
    <w:rsid w:val="00843743"/>
    <w:rsid w:val="008441C4"/>
    <w:rsid w:val="00844B69"/>
    <w:rsid w:val="00844CBE"/>
    <w:rsid w:val="00845433"/>
    <w:rsid w:val="00845871"/>
    <w:rsid w:val="0084632B"/>
    <w:rsid w:val="0084648E"/>
    <w:rsid w:val="0084694E"/>
    <w:rsid w:val="008469E9"/>
    <w:rsid w:val="008474F3"/>
    <w:rsid w:val="00847517"/>
    <w:rsid w:val="00847C91"/>
    <w:rsid w:val="00847D3F"/>
    <w:rsid w:val="00850920"/>
    <w:rsid w:val="00850C49"/>
    <w:rsid w:val="00850FF7"/>
    <w:rsid w:val="008511E4"/>
    <w:rsid w:val="008512E2"/>
    <w:rsid w:val="008517FC"/>
    <w:rsid w:val="0085193A"/>
    <w:rsid w:val="00851CC1"/>
    <w:rsid w:val="00851D4F"/>
    <w:rsid w:val="00852291"/>
    <w:rsid w:val="008525B2"/>
    <w:rsid w:val="00852EDA"/>
    <w:rsid w:val="00852FF3"/>
    <w:rsid w:val="008530DC"/>
    <w:rsid w:val="00853E6E"/>
    <w:rsid w:val="0085413F"/>
    <w:rsid w:val="0085439E"/>
    <w:rsid w:val="0085509C"/>
    <w:rsid w:val="00855D79"/>
    <w:rsid w:val="008562C5"/>
    <w:rsid w:val="008573EA"/>
    <w:rsid w:val="008577F4"/>
    <w:rsid w:val="008579BB"/>
    <w:rsid w:val="00857A8F"/>
    <w:rsid w:val="00857B64"/>
    <w:rsid w:val="00860136"/>
    <w:rsid w:val="008604F5"/>
    <w:rsid w:val="0086075C"/>
    <w:rsid w:val="00861343"/>
    <w:rsid w:val="008614D9"/>
    <w:rsid w:val="008618DF"/>
    <w:rsid w:val="00861916"/>
    <w:rsid w:val="008619E1"/>
    <w:rsid w:val="0086247C"/>
    <w:rsid w:val="00862783"/>
    <w:rsid w:val="00862804"/>
    <w:rsid w:val="00862DDE"/>
    <w:rsid w:val="00863463"/>
    <w:rsid w:val="0086347F"/>
    <w:rsid w:val="00863AA6"/>
    <w:rsid w:val="00864886"/>
    <w:rsid w:val="00864DCE"/>
    <w:rsid w:val="00864E2F"/>
    <w:rsid w:val="008650D4"/>
    <w:rsid w:val="00865357"/>
    <w:rsid w:val="00865429"/>
    <w:rsid w:val="00865AD1"/>
    <w:rsid w:val="00865E8B"/>
    <w:rsid w:val="0086615B"/>
    <w:rsid w:val="00866242"/>
    <w:rsid w:val="0086628E"/>
    <w:rsid w:val="0086669E"/>
    <w:rsid w:val="008668AA"/>
    <w:rsid w:val="00866B99"/>
    <w:rsid w:val="00866DF6"/>
    <w:rsid w:val="00866F3B"/>
    <w:rsid w:val="00867533"/>
    <w:rsid w:val="00867555"/>
    <w:rsid w:val="0086760E"/>
    <w:rsid w:val="00867796"/>
    <w:rsid w:val="00867DA7"/>
    <w:rsid w:val="00870583"/>
    <w:rsid w:val="00870903"/>
    <w:rsid w:val="00870A6A"/>
    <w:rsid w:val="00870F53"/>
    <w:rsid w:val="008719C4"/>
    <w:rsid w:val="00871B15"/>
    <w:rsid w:val="00871C33"/>
    <w:rsid w:val="00871CEC"/>
    <w:rsid w:val="00872362"/>
    <w:rsid w:val="00872585"/>
    <w:rsid w:val="00872FAB"/>
    <w:rsid w:val="00873316"/>
    <w:rsid w:val="008734D4"/>
    <w:rsid w:val="00873799"/>
    <w:rsid w:val="00873DA9"/>
    <w:rsid w:val="00873E8A"/>
    <w:rsid w:val="00874036"/>
    <w:rsid w:val="00874097"/>
    <w:rsid w:val="0087417B"/>
    <w:rsid w:val="00874561"/>
    <w:rsid w:val="00874627"/>
    <w:rsid w:val="008748AB"/>
    <w:rsid w:val="008748D4"/>
    <w:rsid w:val="00874AC1"/>
    <w:rsid w:val="00874D3D"/>
    <w:rsid w:val="00875268"/>
    <w:rsid w:val="008752AE"/>
    <w:rsid w:val="00876110"/>
    <w:rsid w:val="00876357"/>
    <w:rsid w:val="0087686C"/>
    <w:rsid w:val="00876D6C"/>
    <w:rsid w:val="00876EC5"/>
    <w:rsid w:val="0087723C"/>
    <w:rsid w:val="008772D0"/>
    <w:rsid w:val="0087746A"/>
    <w:rsid w:val="00877472"/>
    <w:rsid w:val="00877482"/>
    <w:rsid w:val="00877A35"/>
    <w:rsid w:val="00877B1C"/>
    <w:rsid w:val="008806FE"/>
    <w:rsid w:val="00880837"/>
    <w:rsid w:val="00880C59"/>
    <w:rsid w:val="00881ADB"/>
    <w:rsid w:val="00882697"/>
    <w:rsid w:val="00882A71"/>
    <w:rsid w:val="00882D2C"/>
    <w:rsid w:val="0088384B"/>
    <w:rsid w:val="00883E4D"/>
    <w:rsid w:val="00884356"/>
    <w:rsid w:val="00884593"/>
    <w:rsid w:val="0088465B"/>
    <w:rsid w:val="00884D5D"/>
    <w:rsid w:val="00885957"/>
    <w:rsid w:val="00885FA4"/>
    <w:rsid w:val="008860AD"/>
    <w:rsid w:val="00886142"/>
    <w:rsid w:val="008861A3"/>
    <w:rsid w:val="00886390"/>
    <w:rsid w:val="0088700B"/>
    <w:rsid w:val="008870D5"/>
    <w:rsid w:val="00887166"/>
    <w:rsid w:val="008871F8"/>
    <w:rsid w:val="008875C3"/>
    <w:rsid w:val="00887621"/>
    <w:rsid w:val="0088773D"/>
    <w:rsid w:val="00887AF8"/>
    <w:rsid w:val="00887BD3"/>
    <w:rsid w:val="008900B7"/>
    <w:rsid w:val="008901A0"/>
    <w:rsid w:val="008902AB"/>
    <w:rsid w:val="0089070D"/>
    <w:rsid w:val="00890AB8"/>
    <w:rsid w:val="00890F2D"/>
    <w:rsid w:val="00891322"/>
    <w:rsid w:val="008915F3"/>
    <w:rsid w:val="00891D7C"/>
    <w:rsid w:val="00891DFE"/>
    <w:rsid w:val="00892034"/>
    <w:rsid w:val="008920B4"/>
    <w:rsid w:val="008925C7"/>
    <w:rsid w:val="00892DC0"/>
    <w:rsid w:val="0089316E"/>
    <w:rsid w:val="008934BF"/>
    <w:rsid w:val="0089351E"/>
    <w:rsid w:val="00893813"/>
    <w:rsid w:val="008939C6"/>
    <w:rsid w:val="00893AD7"/>
    <w:rsid w:val="00893EA6"/>
    <w:rsid w:val="00893FBA"/>
    <w:rsid w:val="00894606"/>
    <w:rsid w:val="008950DE"/>
    <w:rsid w:val="008951BD"/>
    <w:rsid w:val="008955CA"/>
    <w:rsid w:val="0089569D"/>
    <w:rsid w:val="00895B52"/>
    <w:rsid w:val="00896372"/>
    <w:rsid w:val="00896618"/>
    <w:rsid w:val="008969A2"/>
    <w:rsid w:val="008969B1"/>
    <w:rsid w:val="008969B8"/>
    <w:rsid w:val="00896A63"/>
    <w:rsid w:val="00897360"/>
    <w:rsid w:val="008976C9"/>
    <w:rsid w:val="008979FC"/>
    <w:rsid w:val="00897AAB"/>
    <w:rsid w:val="008A0060"/>
    <w:rsid w:val="008A0154"/>
    <w:rsid w:val="008A0B13"/>
    <w:rsid w:val="008A107E"/>
    <w:rsid w:val="008A10AD"/>
    <w:rsid w:val="008A1AD3"/>
    <w:rsid w:val="008A272F"/>
    <w:rsid w:val="008A2745"/>
    <w:rsid w:val="008A2803"/>
    <w:rsid w:val="008A2980"/>
    <w:rsid w:val="008A2E74"/>
    <w:rsid w:val="008A3020"/>
    <w:rsid w:val="008A3089"/>
    <w:rsid w:val="008A3922"/>
    <w:rsid w:val="008A3A37"/>
    <w:rsid w:val="008A3F76"/>
    <w:rsid w:val="008A40DE"/>
    <w:rsid w:val="008A512E"/>
    <w:rsid w:val="008A516D"/>
    <w:rsid w:val="008A5BBF"/>
    <w:rsid w:val="008A613C"/>
    <w:rsid w:val="008A6AC5"/>
    <w:rsid w:val="008A6B86"/>
    <w:rsid w:val="008A6BA5"/>
    <w:rsid w:val="008A6C14"/>
    <w:rsid w:val="008A6DDF"/>
    <w:rsid w:val="008A77EF"/>
    <w:rsid w:val="008B0B43"/>
    <w:rsid w:val="008B1175"/>
    <w:rsid w:val="008B1581"/>
    <w:rsid w:val="008B1736"/>
    <w:rsid w:val="008B1E95"/>
    <w:rsid w:val="008B201A"/>
    <w:rsid w:val="008B23C6"/>
    <w:rsid w:val="008B2652"/>
    <w:rsid w:val="008B2B4A"/>
    <w:rsid w:val="008B2B9F"/>
    <w:rsid w:val="008B3249"/>
    <w:rsid w:val="008B33A7"/>
    <w:rsid w:val="008B3969"/>
    <w:rsid w:val="008B41DE"/>
    <w:rsid w:val="008B43C8"/>
    <w:rsid w:val="008B43F2"/>
    <w:rsid w:val="008B46B2"/>
    <w:rsid w:val="008B47DE"/>
    <w:rsid w:val="008B49F2"/>
    <w:rsid w:val="008B4BB2"/>
    <w:rsid w:val="008B55D0"/>
    <w:rsid w:val="008B56E8"/>
    <w:rsid w:val="008B57E7"/>
    <w:rsid w:val="008B5926"/>
    <w:rsid w:val="008B5AD0"/>
    <w:rsid w:val="008B5D7C"/>
    <w:rsid w:val="008B5DB4"/>
    <w:rsid w:val="008B6195"/>
    <w:rsid w:val="008B6233"/>
    <w:rsid w:val="008B672A"/>
    <w:rsid w:val="008B6AC7"/>
    <w:rsid w:val="008B6F71"/>
    <w:rsid w:val="008B7E1A"/>
    <w:rsid w:val="008C0256"/>
    <w:rsid w:val="008C03B5"/>
    <w:rsid w:val="008C0844"/>
    <w:rsid w:val="008C0AEB"/>
    <w:rsid w:val="008C0D5B"/>
    <w:rsid w:val="008C16B9"/>
    <w:rsid w:val="008C1866"/>
    <w:rsid w:val="008C1B1F"/>
    <w:rsid w:val="008C1BB9"/>
    <w:rsid w:val="008C1E11"/>
    <w:rsid w:val="008C1EB1"/>
    <w:rsid w:val="008C234F"/>
    <w:rsid w:val="008C2D49"/>
    <w:rsid w:val="008C2DBB"/>
    <w:rsid w:val="008C31FC"/>
    <w:rsid w:val="008C32A2"/>
    <w:rsid w:val="008C3365"/>
    <w:rsid w:val="008C3554"/>
    <w:rsid w:val="008C367D"/>
    <w:rsid w:val="008C375D"/>
    <w:rsid w:val="008C408A"/>
    <w:rsid w:val="008C40F3"/>
    <w:rsid w:val="008C4220"/>
    <w:rsid w:val="008C4579"/>
    <w:rsid w:val="008C4B18"/>
    <w:rsid w:val="008C4D86"/>
    <w:rsid w:val="008C4DA4"/>
    <w:rsid w:val="008C4E98"/>
    <w:rsid w:val="008C502A"/>
    <w:rsid w:val="008C51DA"/>
    <w:rsid w:val="008C5351"/>
    <w:rsid w:val="008C66CB"/>
    <w:rsid w:val="008C68E5"/>
    <w:rsid w:val="008C6C03"/>
    <w:rsid w:val="008C6D5B"/>
    <w:rsid w:val="008C70A0"/>
    <w:rsid w:val="008C71C6"/>
    <w:rsid w:val="008C7238"/>
    <w:rsid w:val="008C72E6"/>
    <w:rsid w:val="008C73EE"/>
    <w:rsid w:val="008C76C8"/>
    <w:rsid w:val="008C7703"/>
    <w:rsid w:val="008C7797"/>
    <w:rsid w:val="008C789F"/>
    <w:rsid w:val="008C7BC1"/>
    <w:rsid w:val="008C7C08"/>
    <w:rsid w:val="008C7CB6"/>
    <w:rsid w:val="008D0004"/>
    <w:rsid w:val="008D01AA"/>
    <w:rsid w:val="008D0204"/>
    <w:rsid w:val="008D080C"/>
    <w:rsid w:val="008D082C"/>
    <w:rsid w:val="008D1079"/>
    <w:rsid w:val="008D10E5"/>
    <w:rsid w:val="008D15AE"/>
    <w:rsid w:val="008D16F9"/>
    <w:rsid w:val="008D19CA"/>
    <w:rsid w:val="008D1A1F"/>
    <w:rsid w:val="008D282D"/>
    <w:rsid w:val="008D2995"/>
    <w:rsid w:val="008D2DEC"/>
    <w:rsid w:val="008D3136"/>
    <w:rsid w:val="008D3476"/>
    <w:rsid w:val="008D34F8"/>
    <w:rsid w:val="008D35D0"/>
    <w:rsid w:val="008D37B1"/>
    <w:rsid w:val="008D3B4B"/>
    <w:rsid w:val="008D3E7A"/>
    <w:rsid w:val="008D4391"/>
    <w:rsid w:val="008D4AE2"/>
    <w:rsid w:val="008D4DE5"/>
    <w:rsid w:val="008D4F6F"/>
    <w:rsid w:val="008D5A31"/>
    <w:rsid w:val="008D5BF3"/>
    <w:rsid w:val="008D66E6"/>
    <w:rsid w:val="008D74F1"/>
    <w:rsid w:val="008D771E"/>
    <w:rsid w:val="008D7D41"/>
    <w:rsid w:val="008D7D88"/>
    <w:rsid w:val="008E017A"/>
    <w:rsid w:val="008E0181"/>
    <w:rsid w:val="008E04A0"/>
    <w:rsid w:val="008E05C3"/>
    <w:rsid w:val="008E064E"/>
    <w:rsid w:val="008E0CA9"/>
    <w:rsid w:val="008E0D26"/>
    <w:rsid w:val="008E0DFD"/>
    <w:rsid w:val="008E1534"/>
    <w:rsid w:val="008E1752"/>
    <w:rsid w:val="008E190D"/>
    <w:rsid w:val="008E1EFD"/>
    <w:rsid w:val="008E2247"/>
    <w:rsid w:val="008E2338"/>
    <w:rsid w:val="008E2565"/>
    <w:rsid w:val="008E2BC8"/>
    <w:rsid w:val="008E2D4E"/>
    <w:rsid w:val="008E2EDE"/>
    <w:rsid w:val="008E3505"/>
    <w:rsid w:val="008E3A22"/>
    <w:rsid w:val="008E3B4B"/>
    <w:rsid w:val="008E3E69"/>
    <w:rsid w:val="008E4D1C"/>
    <w:rsid w:val="008E5AA0"/>
    <w:rsid w:val="008E5E56"/>
    <w:rsid w:val="008E5E92"/>
    <w:rsid w:val="008E6327"/>
    <w:rsid w:val="008E6AB4"/>
    <w:rsid w:val="008E6D3E"/>
    <w:rsid w:val="008E709B"/>
    <w:rsid w:val="008E7468"/>
    <w:rsid w:val="008E7DD5"/>
    <w:rsid w:val="008E7E2F"/>
    <w:rsid w:val="008F0014"/>
    <w:rsid w:val="008F06C7"/>
    <w:rsid w:val="008F09BC"/>
    <w:rsid w:val="008F0E69"/>
    <w:rsid w:val="008F108C"/>
    <w:rsid w:val="008F1103"/>
    <w:rsid w:val="008F1F1D"/>
    <w:rsid w:val="008F215B"/>
    <w:rsid w:val="008F22C1"/>
    <w:rsid w:val="008F258F"/>
    <w:rsid w:val="008F25CE"/>
    <w:rsid w:val="008F2984"/>
    <w:rsid w:val="008F30C5"/>
    <w:rsid w:val="008F34F5"/>
    <w:rsid w:val="008F376E"/>
    <w:rsid w:val="008F3AE0"/>
    <w:rsid w:val="008F3E12"/>
    <w:rsid w:val="008F4107"/>
    <w:rsid w:val="008F454E"/>
    <w:rsid w:val="008F457A"/>
    <w:rsid w:val="008F46D5"/>
    <w:rsid w:val="008F5022"/>
    <w:rsid w:val="008F57C0"/>
    <w:rsid w:val="008F5BDA"/>
    <w:rsid w:val="008F5C33"/>
    <w:rsid w:val="008F6404"/>
    <w:rsid w:val="008F65CE"/>
    <w:rsid w:val="008F7C6B"/>
    <w:rsid w:val="008F7D21"/>
    <w:rsid w:val="009001A5"/>
    <w:rsid w:val="00900453"/>
    <w:rsid w:val="00900677"/>
    <w:rsid w:val="00900CF9"/>
    <w:rsid w:val="00900E53"/>
    <w:rsid w:val="00901B6A"/>
    <w:rsid w:val="00901CC2"/>
    <w:rsid w:val="0090224B"/>
    <w:rsid w:val="009025E4"/>
    <w:rsid w:val="0090269D"/>
    <w:rsid w:val="00902883"/>
    <w:rsid w:val="00902A58"/>
    <w:rsid w:val="009031A9"/>
    <w:rsid w:val="0090361C"/>
    <w:rsid w:val="00903763"/>
    <w:rsid w:val="00903A14"/>
    <w:rsid w:val="00904501"/>
    <w:rsid w:val="00904A3A"/>
    <w:rsid w:val="00904DC1"/>
    <w:rsid w:val="00905793"/>
    <w:rsid w:val="009061B4"/>
    <w:rsid w:val="00906610"/>
    <w:rsid w:val="00906C1A"/>
    <w:rsid w:val="00906C7E"/>
    <w:rsid w:val="00906DC7"/>
    <w:rsid w:val="00907462"/>
    <w:rsid w:val="00907820"/>
    <w:rsid w:val="009078C4"/>
    <w:rsid w:val="009078E2"/>
    <w:rsid w:val="009078EC"/>
    <w:rsid w:val="00907D96"/>
    <w:rsid w:val="00907F9B"/>
    <w:rsid w:val="0091009D"/>
    <w:rsid w:val="0091087F"/>
    <w:rsid w:val="00910A32"/>
    <w:rsid w:val="00910D64"/>
    <w:rsid w:val="00912346"/>
    <w:rsid w:val="009124F4"/>
    <w:rsid w:val="00912552"/>
    <w:rsid w:val="009126BF"/>
    <w:rsid w:val="00912BC3"/>
    <w:rsid w:val="00912CC4"/>
    <w:rsid w:val="00913114"/>
    <w:rsid w:val="00913516"/>
    <w:rsid w:val="0091375B"/>
    <w:rsid w:val="00913A6B"/>
    <w:rsid w:val="00913AB5"/>
    <w:rsid w:val="00913C71"/>
    <w:rsid w:val="00914499"/>
    <w:rsid w:val="00914636"/>
    <w:rsid w:val="00914662"/>
    <w:rsid w:val="00914AB1"/>
    <w:rsid w:val="00914E65"/>
    <w:rsid w:val="00915188"/>
    <w:rsid w:val="009153D7"/>
    <w:rsid w:val="0091641A"/>
    <w:rsid w:val="009165B8"/>
    <w:rsid w:val="00916D90"/>
    <w:rsid w:val="0091729B"/>
    <w:rsid w:val="009175A1"/>
    <w:rsid w:val="00917B71"/>
    <w:rsid w:val="00917EA1"/>
    <w:rsid w:val="00917EA6"/>
    <w:rsid w:val="009203C7"/>
    <w:rsid w:val="0092067C"/>
    <w:rsid w:val="00920E1E"/>
    <w:rsid w:val="009215AB"/>
    <w:rsid w:val="0092170C"/>
    <w:rsid w:val="00922268"/>
    <w:rsid w:val="00922640"/>
    <w:rsid w:val="009228A1"/>
    <w:rsid w:val="00922AC0"/>
    <w:rsid w:val="00922C5D"/>
    <w:rsid w:val="00923303"/>
    <w:rsid w:val="009241F9"/>
    <w:rsid w:val="00925466"/>
    <w:rsid w:val="0092576E"/>
    <w:rsid w:val="00925ADF"/>
    <w:rsid w:val="00925D1D"/>
    <w:rsid w:val="00925D7F"/>
    <w:rsid w:val="00926550"/>
    <w:rsid w:val="009265E0"/>
    <w:rsid w:val="0092681C"/>
    <w:rsid w:val="0092740B"/>
    <w:rsid w:val="00927634"/>
    <w:rsid w:val="00927764"/>
    <w:rsid w:val="0092790D"/>
    <w:rsid w:val="00927A14"/>
    <w:rsid w:val="00927BBF"/>
    <w:rsid w:val="00927EFF"/>
    <w:rsid w:val="00930A74"/>
    <w:rsid w:val="00930C71"/>
    <w:rsid w:val="00930D70"/>
    <w:rsid w:val="009311A8"/>
    <w:rsid w:val="009314B1"/>
    <w:rsid w:val="00931563"/>
    <w:rsid w:val="00931719"/>
    <w:rsid w:val="0093178C"/>
    <w:rsid w:val="009320A8"/>
    <w:rsid w:val="009320D8"/>
    <w:rsid w:val="009322FF"/>
    <w:rsid w:val="009323B1"/>
    <w:rsid w:val="009325E3"/>
    <w:rsid w:val="00932748"/>
    <w:rsid w:val="0093294F"/>
    <w:rsid w:val="00932D1F"/>
    <w:rsid w:val="00932DBF"/>
    <w:rsid w:val="00932E2D"/>
    <w:rsid w:val="00933528"/>
    <w:rsid w:val="0093355D"/>
    <w:rsid w:val="009336F3"/>
    <w:rsid w:val="009339A4"/>
    <w:rsid w:val="00933C2F"/>
    <w:rsid w:val="0093404E"/>
    <w:rsid w:val="009343C0"/>
    <w:rsid w:val="009349A3"/>
    <w:rsid w:val="00934AD4"/>
    <w:rsid w:val="00934C6E"/>
    <w:rsid w:val="00934CFF"/>
    <w:rsid w:val="00934F70"/>
    <w:rsid w:val="00935072"/>
    <w:rsid w:val="00935AF8"/>
    <w:rsid w:val="00936101"/>
    <w:rsid w:val="00936265"/>
    <w:rsid w:val="0093630D"/>
    <w:rsid w:val="0093663E"/>
    <w:rsid w:val="009366F4"/>
    <w:rsid w:val="00936794"/>
    <w:rsid w:val="00936863"/>
    <w:rsid w:val="00936C71"/>
    <w:rsid w:val="00936D04"/>
    <w:rsid w:val="009375BD"/>
    <w:rsid w:val="009375FA"/>
    <w:rsid w:val="00937AB4"/>
    <w:rsid w:val="00937B2E"/>
    <w:rsid w:val="00937FB5"/>
    <w:rsid w:val="00940236"/>
    <w:rsid w:val="00941044"/>
    <w:rsid w:val="009411EA"/>
    <w:rsid w:val="009416E1"/>
    <w:rsid w:val="0094249E"/>
    <w:rsid w:val="0094295F"/>
    <w:rsid w:val="00942C0C"/>
    <w:rsid w:val="00943438"/>
    <w:rsid w:val="009438EB"/>
    <w:rsid w:val="00943AB5"/>
    <w:rsid w:val="00943C4B"/>
    <w:rsid w:val="00943D46"/>
    <w:rsid w:val="00943FC0"/>
    <w:rsid w:val="00944019"/>
    <w:rsid w:val="0094448C"/>
    <w:rsid w:val="009444CB"/>
    <w:rsid w:val="009445B2"/>
    <w:rsid w:val="00944F72"/>
    <w:rsid w:val="0094544E"/>
    <w:rsid w:val="00945685"/>
    <w:rsid w:val="009458FF"/>
    <w:rsid w:val="00946071"/>
    <w:rsid w:val="00946CA1"/>
    <w:rsid w:val="00947703"/>
    <w:rsid w:val="00947725"/>
    <w:rsid w:val="00947BB8"/>
    <w:rsid w:val="00947E0E"/>
    <w:rsid w:val="009501E8"/>
    <w:rsid w:val="009506F3"/>
    <w:rsid w:val="0095071D"/>
    <w:rsid w:val="00950922"/>
    <w:rsid w:val="00950B25"/>
    <w:rsid w:val="00950BFA"/>
    <w:rsid w:val="00950BFD"/>
    <w:rsid w:val="0095128C"/>
    <w:rsid w:val="00951A21"/>
    <w:rsid w:val="0095203E"/>
    <w:rsid w:val="009527C2"/>
    <w:rsid w:val="00952AAE"/>
    <w:rsid w:val="00952EB9"/>
    <w:rsid w:val="0095313C"/>
    <w:rsid w:val="00953223"/>
    <w:rsid w:val="00953473"/>
    <w:rsid w:val="009534CA"/>
    <w:rsid w:val="009537CF"/>
    <w:rsid w:val="00954383"/>
    <w:rsid w:val="00954EE9"/>
    <w:rsid w:val="00955E53"/>
    <w:rsid w:val="00955EE2"/>
    <w:rsid w:val="00955F3F"/>
    <w:rsid w:val="00956109"/>
    <w:rsid w:val="00956368"/>
    <w:rsid w:val="0095664C"/>
    <w:rsid w:val="00956AFA"/>
    <w:rsid w:val="00957628"/>
    <w:rsid w:val="00957AD0"/>
    <w:rsid w:val="00957C38"/>
    <w:rsid w:val="00957F98"/>
    <w:rsid w:val="00957FB4"/>
    <w:rsid w:val="0096043B"/>
    <w:rsid w:val="009608FB"/>
    <w:rsid w:val="00960FF9"/>
    <w:rsid w:val="009610EC"/>
    <w:rsid w:val="0096170F"/>
    <w:rsid w:val="00962080"/>
    <w:rsid w:val="0096244A"/>
    <w:rsid w:val="009625FB"/>
    <w:rsid w:val="0096267E"/>
    <w:rsid w:val="00962F0A"/>
    <w:rsid w:val="009630FD"/>
    <w:rsid w:val="00963B93"/>
    <w:rsid w:val="009640CB"/>
    <w:rsid w:val="009646A1"/>
    <w:rsid w:val="009647C5"/>
    <w:rsid w:val="00964BB1"/>
    <w:rsid w:val="00964C33"/>
    <w:rsid w:val="00964DC3"/>
    <w:rsid w:val="00964E17"/>
    <w:rsid w:val="009650AB"/>
    <w:rsid w:val="00965B54"/>
    <w:rsid w:val="00965DBE"/>
    <w:rsid w:val="00966384"/>
    <w:rsid w:val="00966633"/>
    <w:rsid w:val="00966B7B"/>
    <w:rsid w:val="00966BAF"/>
    <w:rsid w:val="00966FF2"/>
    <w:rsid w:val="00967013"/>
    <w:rsid w:val="00967461"/>
    <w:rsid w:val="0096747B"/>
    <w:rsid w:val="0096788A"/>
    <w:rsid w:val="0096792F"/>
    <w:rsid w:val="00967D70"/>
    <w:rsid w:val="00970A65"/>
    <w:rsid w:val="00970F18"/>
    <w:rsid w:val="009710EA"/>
    <w:rsid w:val="0097160C"/>
    <w:rsid w:val="00971CF1"/>
    <w:rsid w:val="00971F0A"/>
    <w:rsid w:val="00972184"/>
    <w:rsid w:val="009722B1"/>
    <w:rsid w:val="00972521"/>
    <w:rsid w:val="00972BD9"/>
    <w:rsid w:val="00972E05"/>
    <w:rsid w:val="00973070"/>
    <w:rsid w:val="0097357C"/>
    <w:rsid w:val="00973A82"/>
    <w:rsid w:val="00973BE5"/>
    <w:rsid w:val="009742DB"/>
    <w:rsid w:val="00974313"/>
    <w:rsid w:val="00974453"/>
    <w:rsid w:val="009746BE"/>
    <w:rsid w:val="00974C75"/>
    <w:rsid w:val="00975995"/>
    <w:rsid w:val="009769BB"/>
    <w:rsid w:val="00976AED"/>
    <w:rsid w:val="00977696"/>
    <w:rsid w:val="00977832"/>
    <w:rsid w:val="00977CCF"/>
    <w:rsid w:val="00977D61"/>
    <w:rsid w:val="00977DCC"/>
    <w:rsid w:val="00980388"/>
    <w:rsid w:val="00980486"/>
    <w:rsid w:val="00981363"/>
    <w:rsid w:val="009818DF"/>
    <w:rsid w:val="00981CB2"/>
    <w:rsid w:val="00981CFD"/>
    <w:rsid w:val="00981E1C"/>
    <w:rsid w:val="00981F2D"/>
    <w:rsid w:val="0098227E"/>
    <w:rsid w:val="00982669"/>
    <w:rsid w:val="00982CBF"/>
    <w:rsid w:val="00983036"/>
    <w:rsid w:val="00983084"/>
    <w:rsid w:val="00983608"/>
    <w:rsid w:val="0098386E"/>
    <w:rsid w:val="00983E4F"/>
    <w:rsid w:val="00983F83"/>
    <w:rsid w:val="00984789"/>
    <w:rsid w:val="009852DE"/>
    <w:rsid w:val="009854FC"/>
    <w:rsid w:val="00985B5B"/>
    <w:rsid w:val="00985CEC"/>
    <w:rsid w:val="00985EFC"/>
    <w:rsid w:val="00986370"/>
    <w:rsid w:val="009863E2"/>
    <w:rsid w:val="009869F5"/>
    <w:rsid w:val="00986E0D"/>
    <w:rsid w:val="009870E2"/>
    <w:rsid w:val="00987581"/>
    <w:rsid w:val="00987AC0"/>
    <w:rsid w:val="00987CB0"/>
    <w:rsid w:val="00987E7B"/>
    <w:rsid w:val="00987FD2"/>
    <w:rsid w:val="00990160"/>
    <w:rsid w:val="009906A5"/>
    <w:rsid w:val="009907CC"/>
    <w:rsid w:val="00991316"/>
    <w:rsid w:val="009914CD"/>
    <w:rsid w:val="00991700"/>
    <w:rsid w:val="00991B13"/>
    <w:rsid w:val="00991B8E"/>
    <w:rsid w:val="00991BE7"/>
    <w:rsid w:val="00992788"/>
    <w:rsid w:val="009928BE"/>
    <w:rsid w:val="00992A4B"/>
    <w:rsid w:val="00992AB1"/>
    <w:rsid w:val="00992ADE"/>
    <w:rsid w:val="00992B41"/>
    <w:rsid w:val="00992EFB"/>
    <w:rsid w:val="0099392E"/>
    <w:rsid w:val="00993969"/>
    <w:rsid w:val="0099413A"/>
    <w:rsid w:val="00994815"/>
    <w:rsid w:val="009948B3"/>
    <w:rsid w:val="00995339"/>
    <w:rsid w:val="00995814"/>
    <w:rsid w:val="0099585F"/>
    <w:rsid w:val="00995A2C"/>
    <w:rsid w:val="00996778"/>
    <w:rsid w:val="009969F8"/>
    <w:rsid w:val="00997023"/>
    <w:rsid w:val="009976D5"/>
    <w:rsid w:val="00997782"/>
    <w:rsid w:val="009A01F0"/>
    <w:rsid w:val="009A02E7"/>
    <w:rsid w:val="009A068B"/>
    <w:rsid w:val="009A0C03"/>
    <w:rsid w:val="009A1003"/>
    <w:rsid w:val="009A101C"/>
    <w:rsid w:val="009A11EE"/>
    <w:rsid w:val="009A1C6C"/>
    <w:rsid w:val="009A1DB0"/>
    <w:rsid w:val="009A20D3"/>
    <w:rsid w:val="009A226A"/>
    <w:rsid w:val="009A2551"/>
    <w:rsid w:val="009A27A0"/>
    <w:rsid w:val="009A2A4C"/>
    <w:rsid w:val="009A2BB8"/>
    <w:rsid w:val="009A3248"/>
    <w:rsid w:val="009A3650"/>
    <w:rsid w:val="009A3944"/>
    <w:rsid w:val="009A39DC"/>
    <w:rsid w:val="009A39EC"/>
    <w:rsid w:val="009A3D62"/>
    <w:rsid w:val="009A4796"/>
    <w:rsid w:val="009A49EB"/>
    <w:rsid w:val="009A5259"/>
    <w:rsid w:val="009A52C3"/>
    <w:rsid w:val="009A55A3"/>
    <w:rsid w:val="009A55F9"/>
    <w:rsid w:val="009A5602"/>
    <w:rsid w:val="009A587E"/>
    <w:rsid w:val="009A58FF"/>
    <w:rsid w:val="009A5946"/>
    <w:rsid w:val="009A599E"/>
    <w:rsid w:val="009A649B"/>
    <w:rsid w:val="009A69DF"/>
    <w:rsid w:val="009A6A10"/>
    <w:rsid w:val="009A6A70"/>
    <w:rsid w:val="009A6C0E"/>
    <w:rsid w:val="009A6C1C"/>
    <w:rsid w:val="009A6C2C"/>
    <w:rsid w:val="009A760B"/>
    <w:rsid w:val="009A7A90"/>
    <w:rsid w:val="009A7C95"/>
    <w:rsid w:val="009A7EE8"/>
    <w:rsid w:val="009B0F97"/>
    <w:rsid w:val="009B11A0"/>
    <w:rsid w:val="009B11A9"/>
    <w:rsid w:val="009B164C"/>
    <w:rsid w:val="009B1700"/>
    <w:rsid w:val="009B19DC"/>
    <w:rsid w:val="009B1E8D"/>
    <w:rsid w:val="009B1ED7"/>
    <w:rsid w:val="009B2125"/>
    <w:rsid w:val="009B2A07"/>
    <w:rsid w:val="009B2AF3"/>
    <w:rsid w:val="009B2D73"/>
    <w:rsid w:val="009B2FBC"/>
    <w:rsid w:val="009B33D7"/>
    <w:rsid w:val="009B359A"/>
    <w:rsid w:val="009B383D"/>
    <w:rsid w:val="009B44FD"/>
    <w:rsid w:val="009B490D"/>
    <w:rsid w:val="009B498E"/>
    <w:rsid w:val="009B51F0"/>
    <w:rsid w:val="009B52B1"/>
    <w:rsid w:val="009B5330"/>
    <w:rsid w:val="009B544F"/>
    <w:rsid w:val="009B573E"/>
    <w:rsid w:val="009B5B44"/>
    <w:rsid w:val="009B5E1D"/>
    <w:rsid w:val="009B5EFA"/>
    <w:rsid w:val="009B63B8"/>
    <w:rsid w:val="009B6440"/>
    <w:rsid w:val="009B67B3"/>
    <w:rsid w:val="009B67D5"/>
    <w:rsid w:val="009B6957"/>
    <w:rsid w:val="009B69CC"/>
    <w:rsid w:val="009B758D"/>
    <w:rsid w:val="009B7736"/>
    <w:rsid w:val="009B7B2A"/>
    <w:rsid w:val="009B7CA4"/>
    <w:rsid w:val="009B7F71"/>
    <w:rsid w:val="009C00A1"/>
    <w:rsid w:val="009C017F"/>
    <w:rsid w:val="009C07FB"/>
    <w:rsid w:val="009C0F09"/>
    <w:rsid w:val="009C114F"/>
    <w:rsid w:val="009C257F"/>
    <w:rsid w:val="009C28BE"/>
    <w:rsid w:val="009C3486"/>
    <w:rsid w:val="009C36CE"/>
    <w:rsid w:val="009C400D"/>
    <w:rsid w:val="009C484D"/>
    <w:rsid w:val="009C48FB"/>
    <w:rsid w:val="009C4BFC"/>
    <w:rsid w:val="009C5312"/>
    <w:rsid w:val="009C5337"/>
    <w:rsid w:val="009C55F4"/>
    <w:rsid w:val="009C588F"/>
    <w:rsid w:val="009C616E"/>
    <w:rsid w:val="009C682A"/>
    <w:rsid w:val="009C740C"/>
    <w:rsid w:val="009C7D17"/>
    <w:rsid w:val="009C7DA9"/>
    <w:rsid w:val="009D0A09"/>
    <w:rsid w:val="009D0EDD"/>
    <w:rsid w:val="009D1131"/>
    <w:rsid w:val="009D12EA"/>
    <w:rsid w:val="009D2141"/>
    <w:rsid w:val="009D2CDC"/>
    <w:rsid w:val="009D2EED"/>
    <w:rsid w:val="009D2FB7"/>
    <w:rsid w:val="009D32D2"/>
    <w:rsid w:val="009D3F25"/>
    <w:rsid w:val="009D3F83"/>
    <w:rsid w:val="009D428A"/>
    <w:rsid w:val="009D4461"/>
    <w:rsid w:val="009D457A"/>
    <w:rsid w:val="009D46D0"/>
    <w:rsid w:val="009D493F"/>
    <w:rsid w:val="009D49CC"/>
    <w:rsid w:val="009D4AC9"/>
    <w:rsid w:val="009D4DAC"/>
    <w:rsid w:val="009D5009"/>
    <w:rsid w:val="009D543B"/>
    <w:rsid w:val="009D5623"/>
    <w:rsid w:val="009D567B"/>
    <w:rsid w:val="009D574D"/>
    <w:rsid w:val="009D57B5"/>
    <w:rsid w:val="009D5F90"/>
    <w:rsid w:val="009D62F9"/>
    <w:rsid w:val="009D62FB"/>
    <w:rsid w:val="009D6317"/>
    <w:rsid w:val="009D6BAB"/>
    <w:rsid w:val="009D6D0E"/>
    <w:rsid w:val="009D6F60"/>
    <w:rsid w:val="009D6FEC"/>
    <w:rsid w:val="009D71B4"/>
    <w:rsid w:val="009D71BA"/>
    <w:rsid w:val="009D75FF"/>
    <w:rsid w:val="009D76A7"/>
    <w:rsid w:val="009D7929"/>
    <w:rsid w:val="009E0392"/>
    <w:rsid w:val="009E0748"/>
    <w:rsid w:val="009E1245"/>
    <w:rsid w:val="009E1495"/>
    <w:rsid w:val="009E1702"/>
    <w:rsid w:val="009E1C8A"/>
    <w:rsid w:val="009E1E00"/>
    <w:rsid w:val="009E28A8"/>
    <w:rsid w:val="009E2A7E"/>
    <w:rsid w:val="009E2B62"/>
    <w:rsid w:val="009E2C88"/>
    <w:rsid w:val="009E2E52"/>
    <w:rsid w:val="009E2F6E"/>
    <w:rsid w:val="009E3582"/>
    <w:rsid w:val="009E3A0B"/>
    <w:rsid w:val="009E3F84"/>
    <w:rsid w:val="009E44D4"/>
    <w:rsid w:val="009E4869"/>
    <w:rsid w:val="009E48AF"/>
    <w:rsid w:val="009E4955"/>
    <w:rsid w:val="009E495A"/>
    <w:rsid w:val="009E4C14"/>
    <w:rsid w:val="009E4C45"/>
    <w:rsid w:val="009E5684"/>
    <w:rsid w:val="009E598E"/>
    <w:rsid w:val="009E5BCD"/>
    <w:rsid w:val="009E5C7F"/>
    <w:rsid w:val="009E617E"/>
    <w:rsid w:val="009E6412"/>
    <w:rsid w:val="009E646E"/>
    <w:rsid w:val="009E69E2"/>
    <w:rsid w:val="009E725C"/>
    <w:rsid w:val="009E72AF"/>
    <w:rsid w:val="009E766A"/>
    <w:rsid w:val="009E7862"/>
    <w:rsid w:val="009E7D07"/>
    <w:rsid w:val="009E7EFE"/>
    <w:rsid w:val="009F019B"/>
    <w:rsid w:val="009F01AB"/>
    <w:rsid w:val="009F021F"/>
    <w:rsid w:val="009F094F"/>
    <w:rsid w:val="009F097A"/>
    <w:rsid w:val="009F0ED8"/>
    <w:rsid w:val="009F10F7"/>
    <w:rsid w:val="009F1331"/>
    <w:rsid w:val="009F1BBA"/>
    <w:rsid w:val="009F1FC2"/>
    <w:rsid w:val="009F2172"/>
    <w:rsid w:val="009F22DF"/>
    <w:rsid w:val="009F25C0"/>
    <w:rsid w:val="009F26B1"/>
    <w:rsid w:val="009F2786"/>
    <w:rsid w:val="009F2863"/>
    <w:rsid w:val="009F2C5D"/>
    <w:rsid w:val="009F30FE"/>
    <w:rsid w:val="009F335C"/>
    <w:rsid w:val="009F3823"/>
    <w:rsid w:val="009F38A6"/>
    <w:rsid w:val="009F395F"/>
    <w:rsid w:val="009F3D4D"/>
    <w:rsid w:val="009F4275"/>
    <w:rsid w:val="009F444D"/>
    <w:rsid w:val="009F472B"/>
    <w:rsid w:val="009F4920"/>
    <w:rsid w:val="009F4FF4"/>
    <w:rsid w:val="009F58C0"/>
    <w:rsid w:val="009F5965"/>
    <w:rsid w:val="009F5AD8"/>
    <w:rsid w:val="009F606B"/>
    <w:rsid w:val="009F60A9"/>
    <w:rsid w:val="009F63E5"/>
    <w:rsid w:val="009F6B7E"/>
    <w:rsid w:val="009F6C23"/>
    <w:rsid w:val="009F6E47"/>
    <w:rsid w:val="009F6E75"/>
    <w:rsid w:val="009F703B"/>
    <w:rsid w:val="009F71BD"/>
    <w:rsid w:val="00A0002E"/>
    <w:rsid w:val="00A00493"/>
    <w:rsid w:val="00A006D2"/>
    <w:rsid w:val="00A0080A"/>
    <w:rsid w:val="00A00C6E"/>
    <w:rsid w:val="00A00EA7"/>
    <w:rsid w:val="00A0136A"/>
    <w:rsid w:val="00A017AC"/>
    <w:rsid w:val="00A01F77"/>
    <w:rsid w:val="00A020CB"/>
    <w:rsid w:val="00A02338"/>
    <w:rsid w:val="00A02427"/>
    <w:rsid w:val="00A0260E"/>
    <w:rsid w:val="00A029C5"/>
    <w:rsid w:val="00A02BDA"/>
    <w:rsid w:val="00A02C4B"/>
    <w:rsid w:val="00A03193"/>
    <w:rsid w:val="00A03C06"/>
    <w:rsid w:val="00A040F2"/>
    <w:rsid w:val="00A0446B"/>
    <w:rsid w:val="00A04484"/>
    <w:rsid w:val="00A048BD"/>
    <w:rsid w:val="00A04971"/>
    <w:rsid w:val="00A04B2A"/>
    <w:rsid w:val="00A04B53"/>
    <w:rsid w:val="00A04CB8"/>
    <w:rsid w:val="00A0572F"/>
    <w:rsid w:val="00A07410"/>
    <w:rsid w:val="00A078D3"/>
    <w:rsid w:val="00A100BD"/>
    <w:rsid w:val="00A10238"/>
    <w:rsid w:val="00A10CF3"/>
    <w:rsid w:val="00A1140A"/>
    <w:rsid w:val="00A120ED"/>
    <w:rsid w:val="00A1238C"/>
    <w:rsid w:val="00A124AB"/>
    <w:rsid w:val="00A125CA"/>
    <w:rsid w:val="00A12A6C"/>
    <w:rsid w:val="00A12DDD"/>
    <w:rsid w:val="00A130B0"/>
    <w:rsid w:val="00A130C4"/>
    <w:rsid w:val="00A13174"/>
    <w:rsid w:val="00A13C1A"/>
    <w:rsid w:val="00A13D0C"/>
    <w:rsid w:val="00A13D69"/>
    <w:rsid w:val="00A13DBF"/>
    <w:rsid w:val="00A13FFF"/>
    <w:rsid w:val="00A140CA"/>
    <w:rsid w:val="00A14445"/>
    <w:rsid w:val="00A14552"/>
    <w:rsid w:val="00A145EC"/>
    <w:rsid w:val="00A152F5"/>
    <w:rsid w:val="00A15654"/>
    <w:rsid w:val="00A1568E"/>
    <w:rsid w:val="00A15806"/>
    <w:rsid w:val="00A15B78"/>
    <w:rsid w:val="00A15EA6"/>
    <w:rsid w:val="00A16618"/>
    <w:rsid w:val="00A16701"/>
    <w:rsid w:val="00A16E0D"/>
    <w:rsid w:val="00A17639"/>
    <w:rsid w:val="00A17858"/>
    <w:rsid w:val="00A20014"/>
    <w:rsid w:val="00A20F4F"/>
    <w:rsid w:val="00A213C0"/>
    <w:rsid w:val="00A21E00"/>
    <w:rsid w:val="00A22258"/>
    <w:rsid w:val="00A223B4"/>
    <w:rsid w:val="00A227F7"/>
    <w:rsid w:val="00A2296F"/>
    <w:rsid w:val="00A23292"/>
    <w:rsid w:val="00A2390A"/>
    <w:rsid w:val="00A23BB3"/>
    <w:rsid w:val="00A23FB3"/>
    <w:rsid w:val="00A24016"/>
    <w:rsid w:val="00A24139"/>
    <w:rsid w:val="00A245B3"/>
    <w:rsid w:val="00A24A2C"/>
    <w:rsid w:val="00A250C8"/>
    <w:rsid w:val="00A2514D"/>
    <w:rsid w:val="00A254A0"/>
    <w:rsid w:val="00A25BEE"/>
    <w:rsid w:val="00A26638"/>
    <w:rsid w:val="00A26C1C"/>
    <w:rsid w:val="00A270BF"/>
    <w:rsid w:val="00A272F5"/>
    <w:rsid w:val="00A27375"/>
    <w:rsid w:val="00A27461"/>
    <w:rsid w:val="00A27934"/>
    <w:rsid w:val="00A27AC4"/>
    <w:rsid w:val="00A27F1F"/>
    <w:rsid w:val="00A30B27"/>
    <w:rsid w:val="00A30F9D"/>
    <w:rsid w:val="00A3108A"/>
    <w:rsid w:val="00A3129D"/>
    <w:rsid w:val="00A31D99"/>
    <w:rsid w:val="00A3295D"/>
    <w:rsid w:val="00A32DCA"/>
    <w:rsid w:val="00A3329C"/>
    <w:rsid w:val="00A3336D"/>
    <w:rsid w:val="00A3348B"/>
    <w:rsid w:val="00A33568"/>
    <w:rsid w:val="00A3465E"/>
    <w:rsid w:val="00A34B5A"/>
    <w:rsid w:val="00A35266"/>
    <w:rsid w:val="00A35B75"/>
    <w:rsid w:val="00A35B9B"/>
    <w:rsid w:val="00A35F77"/>
    <w:rsid w:val="00A3705B"/>
    <w:rsid w:val="00A37B1B"/>
    <w:rsid w:val="00A40825"/>
    <w:rsid w:val="00A40EE8"/>
    <w:rsid w:val="00A40FA3"/>
    <w:rsid w:val="00A411D8"/>
    <w:rsid w:val="00A417CA"/>
    <w:rsid w:val="00A41855"/>
    <w:rsid w:val="00A41B00"/>
    <w:rsid w:val="00A41BD2"/>
    <w:rsid w:val="00A42217"/>
    <w:rsid w:val="00A42815"/>
    <w:rsid w:val="00A4291A"/>
    <w:rsid w:val="00A42DCD"/>
    <w:rsid w:val="00A42F27"/>
    <w:rsid w:val="00A439F4"/>
    <w:rsid w:val="00A4446A"/>
    <w:rsid w:val="00A44A4B"/>
    <w:rsid w:val="00A44ABC"/>
    <w:rsid w:val="00A450D0"/>
    <w:rsid w:val="00A4568B"/>
    <w:rsid w:val="00A45871"/>
    <w:rsid w:val="00A45DB1"/>
    <w:rsid w:val="00A460EA"/>
    <w:rsid w:val="00A461F2"/>
    <w:rsid w:val="00A46B8B"/>
    <w:rsid w:val="00A46DE9"/>
    <w:rsid w:val="00A47A59"/>
    <w:rsid w:val="00A47CE4"/>
    <w:rsid w:val="00A5024A"/>
    <w:rsid w:val="00A503D0"/>
    <w:rsid w:val="00A509FE"/>
    <w:rsid w:val="00A50E94"/>
    <w:rsid w:val="00A5102E"/>
    <w:rsid w:val="00A5116D"/>
    <w:rsid w:val="00A51387"/>
    <w:rsid w:val="00A514CD"/>
    <w:rsid w:val="00A5172F"/>
    <w:rsid w:val="00A517C3"/>
    <w:rsid w:val="00A51913"/>
    <w:rsid w:val="00A5196C"/>
    <w:rsid w:val="00A520F7"/>
    <w:rsid w:val="00A52F6A"/>
    <w:rsid w:val="00A53418"/>
    <w:rsid w:val="00A536EA"/>
    <w:rsid w:val="00A537E6"/>
    <w:rsid w:val="00A53AF5"/>
    <w:rsid w:val="00A53B7E"/>
    <w:rsid w:val="00A53EC1"/>
    <w:rsid w:val="00A53FEF"/>
    <w:rsid w:val="00A54079"/>
    <w:rsid w:val="00A54356"/>
    <w:rsid w:val="00A545FC"/>
    <w:rsid w:val="00A54BCF"/>
    <w:rsid w:val="00A553B5"/>
    <w:rsid w:val="00A55730"/>
    <w:rsid w:val="00A55B07"/>
    <w:rsid w:val="00A55C66"/>
    <w:rsid w:val="00A55E07"/>
    <w:rsid w:val="00A55FAA"/>
    <w:rsid w:val="00A56711"/>
    <w:rsid w:val="00A570A4"/>
    <w:rsid w:val="00A57443"/>
    <w:rsid w:val="00A57508"/>
    <w:rsid w:val="00A57A5E"/>
    <w:rsid w:val="00A609A6"/>
    <w:rsid w:val="00A60CB2"/>
    <w:rsid w:val="00A61179"/>
    <w:rsid w:val="00A61497"/>
    <w:rsid w:val="00A617A1"/>
    <w:rsid w:val="00A61930"/>
    <w:rsid w:val="00A61AF9"/>
    <w:rsid w:val="00A61C5A"/>
    <w:rsid w:val="00A6201A"/>
    <w:rsid w:val="00A6271E"/>
    <w:rsid w:val="00A62E52"/>
    <w:rsid w:val="00A6351E"/>
    <w:rsid w:val="00A63E12"/>
    <w:rsid w:val="00A63E2F"/>
    <w:rsid w:val="00A644BD"/>
    <w:rsid w:val="00A645A6"/>
    <w:rsid w:val="00A6587B"/>
    <w:rsid w:val="00A65C0D"/>
    <w:rsid w:val="00A65C73"/>
    <w:rsid w:val="00A65CF5"/>
    <w:rsid w:val="00A65F73"/>
    <w:rsid w:val="00A667F1"/>
    <w:rsid w:val="00A66B60"/>
    <w:rsid w:val="00A6760F"/>
    <w:rsid w:val="00A67858"/>
    <w:rsid w:val="00A67D2B"/>
    <w:rsid w:val="00A70391"/>
    <w:rsid w:val="00A704F1"/>
    <w:rsid w:val="00A70F1A"/>
    <w:rsid w:val="00A712EA"/>
    <w:rsid w:val="00A71C02"/>
    <w:rsid w:val="00A71D18"/>
    <w:rsid w:val="00A71E12"/>
    <w:rsid w:val="00A72128"/>
    <w:rsid w:val="00A729FD"/>
    <w:rsid w:val="00A72AE2"/>
    <w:rsid w:val="00A72C4B"/>
    <w:rsid w:val="00A72C99"/>
    <w:rsid w:val="00A72D2E"/>
    <w:rsid w:val="00A735B6"/>
    <w:rsid w:val="00A738EB"/>
    <w:rsid w:val="00A739B2"/>
    <w:rsid w:val="00A73C24"/>
    <w:rsid w:val="00A73E91"/>
    <w:rsid w:val="00A73FD8"/>
    <w:rsid w:val="00A740DA"/>
    <w:rsid w:val="00A7443E"/>
    <w:rsid w:val="00A7502D"/>
    <w:rsid w:val="00A75309"/>
    <w:rsid w:val="00A754A1"/>
    <w:rsid w:val="00A75B7C"/>
    <w:rsid w:val="00A76049"/>
    <w:rsid w:val="00A760D2"/>
    <w:rsid w:val="00A763E0"/>
    <w:rsid w:val="00A768B9"/>
    <w:rsid w:val="00A769DA"/>
    <w:rsid w:val="00A76F9F"/>
    <w:rsid w:val="00A7720F"/>
    <w:rsid w:val="00A77882"/>
    <w:rsid w:val="00A7792E"/>
    <w:rsid w:val="00A806B7"/>
    <w:rsid w:val="00A8096E"/>
    <w:rsid w:val="00A809A4"/>
    <w:rsid w:val="00A81583"/>
    <w:rsid w:val="00A8188D"/>
    <w:rsid w:val="00A81AED"/>
    <w:rsid w:val="00A81D4F"/>
    <w:rsid w:val="00A81D91"/>
    <w:rsid w:val="00A828D7"/>
    <w:rsid w:val="00A82A07"/>
    <w:rsid w:val="00A83116"/>
    <w:rsid w:val="00A835C5"/>
    <w:rsid w:val="00A836A5"/>
    <w:rsid w:val="00A837DF"/>
    <w:rsid w:val="00A83A60"/>
    <w:rsid w:val="00A83C3B"/>
    <w:rsid w:val="00A8400C"/>
    <w:rsid w:val="00A84225"/>
    <w:rsid w:val="00A84ADD"/>
    <w:rsid w:val="00A84FE9"/>
    <w:rsid w:val="00A85640"/>
    <w:rsid w:val="00A85BAC"/>
    <w:rsid w:val="00A860F4"/>
    <w:rsid w:val="00A86180"/>
    <w:rsid w:val="00A86817"/>
    <w:rsid w:val="00A86BF1"/>
    <w:rsid w:val="00A87415"/>
    <w:rsid w:val="00A87503"/>
    <w:rsid w:val="00A87621"/>
    <w:rsid w:val="00A8764E"/>
    <w:rsid w:val="00A876B8"/>
    <w:rsid w:val="00A8772B"/>
    <w:rsid w:val="00A8777D"/>
    <w:rsid w:val="00A87A56"/>
    <w:rsid w:val="00A87B0D"/>
    <w:rsid w:val="00A87D4A"/>
    <w:rsid w:val="00A87D91"/>
    <w:rsid w:val="00A87E4A"/>
    <w:rsid w:val="00A87FFA"/>
    <w:rsid w:val="00A9014E"/>
    <w:rsid w:val="00A9030E"/>
    <w:rsid w:val="00A903F3"/>
    <w:rsid w:val="00A904FA"/>
    <w:rsid w:val="00A905FB"/>
    <w:rsid w:val="00A906CA"/>
    <w:rsid w:val="00A90E65"/>
    <w:rsid w:val="00A91164"/>
    <w:rsid w:val="00A9176B"/>
    <w:rsid w:val="00A91AD6"/>
    <w:rsid w:val="00A91C40"/>
    <w:rsid w:val="00A91EA4"/>
    <w:rsid w:val="00A925C6"/>
    <w:rsid w:val="00A93BCE"/>
    <w:rsid w:val="00A941A8"/>
    <w:rsid w:val="00A95366"/>
    <w:rsid w:val="00A95FD0"/>
    <w:rsid w:val="00A9609F"/>
    <w:rsid w:val="00A96ACF"/>
    <w:rsid w:val="00A96FCF"/>
    <w:rsid w:val="00A97B76"/>
    <w:rsid w:val="00AA0327"/>
    <w:rsid w:val="00AA21B2"/>
    <w:rsid w:val="00AA22D0"/>
    <w:rsid w:val="00AA295C"/>
    <w:rsid w:val="00AA2CAC"/>
    <w:rsid w:val="00AA38E4"/>
    <w:rsid w:val="00AA3BCA"/>
    <w:rsid w:val="00AA43B1"/>
    <w:rsid w:val="00AA4506"/>
    <w:rsid w:val="00AA4AC7"/>
    <w:rsid w:val="00AA4F85"/>
    <w:rsid w:val="00AA516F"/>
    <w:rsid w:val="00AA5247"/>
    <w:rsid w:val="00AA552B"/>
    <w:rsid w:val="00AA6032"/>
    <w:rsid w:val="00AA608C"/>
    <w:rsid w:val="00AA62B5"/>
    <w:rsid w:val="00AA6546"/>
    <w:rsid w:val="00AA66AB"/>
    <w:rsid w:val="00AA68D6"/>
    <w:rsid w:val="00AA6D47"/>
    <w:rsid w:val="00AA73E2"/>
    <w:rsid w:val="00AA7727"/>
    <w:rsid w:val="00AA7742"/>
    <w:rsid w:val="00AA7984"/>
    <w:rsid w:val="00AA7B25"/>
    <w:rsid w:val="00AB004E"/>
    <w:rsid w:val="00AB0730"/>
    <w:rsid w:val="00AB09C6"/>
    <w:rsid w:val="00AB0EA6"/>
    <w:rsid w:val="00AB0F82"/>
    <w:rsid w:val="00AB111E"/>
    <w:rsid w:val="00AB1532"/>
    <w:rsid w:val="00AB1629"/>
    <w:rsid w:val="00AB16AB"/>
    <w:rsid w:val="00AB2023"/>
    <w:rsid w:val="00AB222F"/>
    <w:rsid w:val="00AB28E6"/>
    <w:rsid w:val="00AB2903"/>
    <w:rsid w:val="00AB29D1"/>
    <w:rsid w:val="00AB2C42"/>
    <w:rsid w:val="00AB2ECC"/>
    <w:rsid w:val="00AB2F39"/>
    <w:rsid w:val="00AB3A3B"/>
    <w:rsid w:val="00AB3F9F"/>
    <w:rsid w:val="00AB44A4"/>
    <w:rsid w:val="00AB45CF"/>
    <w:rsid w:val="00AB4785"/>
    <w:rsid w:val="00AB4BF0"/>
    <w:rsid w:val="00AB555F"/>
    <w:rsid w:val="00AB559B"/>
    <w:rsid w:val="00AB6215"/>
    <w:rsid w:val="00AB6216"/>
    <w:rsid w:val="00AB64F6"/>
    <w:rsid w:val="00AB64F7"/>
    <w:rsid w:val="00AB6990"/>
    <w:rsid w:val="00AB72BD"/>
    <w:rsid w:val="00AB73FF"/>
    <w:rsid w:val="00AB76E9"/>
    <w:rsid w:val="00AB7B6C"/>
    <w:rsid w:val="00AB7E66"/>
    <w:rsid w:val="00AC0C99"/>
    <w:rsid w:val="00AC0D94"/>
    <w:rsid w:val="00AC0FC3"/>
    <w:rsid w:val="00AC124F"/>
    <w:rsid w:val="00AC1D00"/>
    <w:rsid w:val="00AC1FDC"/>
    <w:rsid w:val="00AC1FE7"/>
    <w:rsid w:val="00AC206E"/>
    <w:rsid w:val="00AC21A3"/>
    <w:rsid w:val="00AC2F2E"/>
    <w:rsid w:val="00AC3100"/>
    <w:rsid w:val="00AC32F6"/>
    <w:rsid w:val="00AC3464"/>
    <w:rsid w:val="00AC3EEC"/>
    <w:rsid w:val="00AC3F5D"/>
    <w:rsid w:val="00AC4402"/>
    <w:rsid w:val="00AC49CC"/>
    <w:rsid w:val="00AC4AC6"/>
    <w:rsid w:val="00AC516D"/>
    <w:rsid w:val="00AC54EB"/>
    <w:rsid w:val="00AC5C3C"/>
    <w:rsid w:val="00AC5F53"/>
    <w:rsid w:val="00AC610F"/>
    <w:rsid w:val="00AC680F"/>
    <w:rsid w:val="00AC69CA"/>
    <w:rsid w:val="00AC6B03"/>
    <w:rsid w:val="00AC70EA"/>
    <w:rsid w:val="00AC7183"/>
    <w:rsid w:val="00AC71B8"/>
    <w:rsid w:val="00AC721A"/>
    <w:rsid w:val="00AC737A"/>
    <w:rsid w:val="00AC75AA"/>
    <w:rsid w:val="00AC7BED"/>
    <w:rsid w:val="00AC7E93"/>
    <w:rsid w:val="00AD073D"/>
    <w:rsid w:val="00AD196D"/>
    <w:rsid w:val="00AD19C3"/>
    <w:rsid w:val="00AD1D03"/>
    <w:rsid w:val="00AD2315"/>
    <w:rsid w:val="00AD2CE5"/>
    <w:rsid w:val="00AD2E6A"/>
    <w:rsid w:val="00AD2F75"/>
    <w:rsid w:val="00AD47B3"/>
    <w:rsid w:val="00AD4AD8"/>
    <w:rsid w:val="00AD4E89"/>
    <w:rsid w:val="00AD4EEA"/>
    <w:rsid w:val="00AD5360"/>
    <w:rsid w:val="00AD546A"/>
    <w:rsid w:val="00AD54E3"/>
    <w:rsid w:val="00AD5B28"/>
    <w:rsid w:val="00AD5EA6"/>
    <w:rsid w:val="00AD5EE0"/>
    <w:rsid w:val="00AD5EFF"/>
    <w:rsid w:val="00AD6156"/>
    <w:rsid w:val="00AD625D"/>
    <w:rsid w:val="00AD7FCC"/>
    <w:rsid w:val="00AE0503"/>
    <w:rsid w:val="00AE06BB"/>
    <w:rsid w:val="00AE0774"/>
    <w:rsid w:val="00AE0F16"/>
    <w:rsid w:val="00AE1142"/>
    <w:rsid w:val="00AE11D9"/>
    <w:rsid w:val="00AE12E0"/>
    <w:rsid w:val="00AE1DB4"/>
    <w:rsid w:val="00AE21B2"/>
    <w:rsid w:val="00AE2316"/>
    <w:rsid w:val="00AE2979"/>
    <w:rsid w:val="00AE30EC"/>
    <w:rsid w:val="00AE32D3"/>
    <w:rsid w:val="00AE37DF"/>
    <w:rsid w:val="00AE39F5"/>
    <w:rsid w:val="00AE4232"/>
    <w:rsid w:val="00AE436B"/>
    <w:rsid w:val="00AE483B"/>
    <w:rsid w:val="00AE4859"/>
    <w:rsid w:val="00AE485A"/>
    <w:rsid w:val="00AE4A76"/>
    <w:rsid w:val="00AE4EC2"/>
    <w:rsid w:val="00AE5300"/>
    <w:rsid w:val="00AE5A20"/>
    <w:rsid w:val="00AE5C18"/>
    <w:rsid w:val="00AE62B7"/>
    <w:rsid w:val="00AE677C"/>
    <w:rsid w:val="00AE6955"/>
    <w:rsid w:val="00AE707A"/>
    <w:rsid w:val="00AE7998"/>
    <w:rsid w:val="00AE7CC5"/>
    <w:rsid w:val="00AF0885"/>
    <w:rsid w:val="00AF112F"/>
    <w:rsid w:val="00AF1A1F"/>
    <w:rsid w:val="00AF234C"/>
    <w:rsid w:val="00AF23DF"/>
    <w:rsid w:val="00AF264E"/>
    <w:rsid w:val="00AF2912"/>
    <w:rsid w:val="00AF2B5B"/>
    <w:rsid w:val="00AF2D22"/>
    <w:rsid w:val="00AF2E9A"/>
    <w:rsid w:val="00AF372C"/>
    <w:rsid w:val="00AF3AE7"/>
    <w:rsid w:val="00AF3DBB"/>
    <w:rsid w:val="00AF3F34"/>
    <w:rsid w:val="00AF48C8"/>
    <w:rsid w:val="00AF5F6F"/>
    <w:rsid w:val="00AF6008"/>
    <w:rsid w:val="00AF6761"/>
    <w:rsid w:val="00AF6DDD"/>
    <w:rsid w:val="00AF7A77"/>
    <w:rsid w:val="00AF7C95"/>
    <w:rsid w:val="00AF7EDC"/>
    <w:rsid w:val="00B004A8"/>
    <w:rsid w:val="00B00722"/>
    <w:rsid w:val="00B00E3E"/>
    <w:rsid w:val="00B013FC"/>
    <w:rsid w:val="00B018EB"/>
    <w:rsid w:val="00B01B44"/>
    <w:rsid w:val="00B01C5F"/>
    <w:rsid w:val="00B0225A"/>
    <w:rsid w:val="00B0239E"/>
    <w:rsid w:val="00B023B1"/>
    <w:rsid w:val="00B0280B"/>
    <w:rsid w:val="00B0297A"/>
    <w:rsid w:val="00B02B6B"/>
    <w:rsid w:val="00B02EF5"/>
    <w:rsid w:val="00B033E3"/>
    <w:rsid w:val="00B0392C"/>
    <w:rsid w:val="00B03A20"/>
    <w:rsid w:val="00B03AE9"/>
    <w:rsid w:val="00B03E8E"/>
    <w:rsid w:val="00B04462"/>
    <w:rsid w:val="00B04C4F"/>
    <w:rsid w:val="00B04FCD"/>
    <w:rsid w:val="00B050E4"/>
    <w:rsid w:val="00B056BA"/>
    <w:rsid w:val="00B0589A"/>
    <w:rsid w:val="00B05A80"/>
    <w:rsid w:val="00B06343"/>
    <w:rsid w:val="00B063A6"/>
    <w:rsid w:val="00B06720"/>
    <w:rsid w:val="00B06782"/>
    <w:rsid w:val="00B06D9A"/>
    <w:rsid w:val="00B06DC0"/>
    <w:rsid w:val="00B07A6E"/>
    <w:rsid w:val="00B1044C"/>
    <w:rsid w:val="00B105D1"/>
    <w:rsid w:val="00B106BF"/>
    <w:rsid w:val="00B11305"/>
    <w:rsid w:val="00B118A2"/>
    <w:rsid w:val="00B118E7"/>
    <w:rsid w:val="00B11B6F"/>
    <w:rsid w:val="00B12080"/>
    <w:rsid w:val="00B128B6"/>
    <w:rsid w:val="00B12ADD"/>
    <w:rsid w:val="00B133FC"/>
    <w:rsid w:val="00B135D9"/>
    <w:rsid w:val="00B1369A"/>
    <w:rsid w:val="00B13A02"/>
    <w:rsid w:val="00B13F30"/>
    <w:rsid w:val="00B143D1"/>
    <w:rsid w:val="00B143EC"/>
    <w:rsid w:val="00B14958"/>
    <w:rsid w:val="00B14E57"/>
    <w:rsid w:val="00B151DA"/>
    <w:rsid w:val="00B152F9"/>
    <w:rsid w:val="00B1555B"/>
    <w:rsid w:val="00B15731"/>
    <w:rsid w:val="00B15F2F"/>
    <w:rsid w:val="00B15F55"/>
    <w:rsid w:val="00B161A2"/>
    <w:rsid w:val="00B165F4"/>
    <w:rsid w:val="00B16D69"/>
    <w:rsid w:val="00B16E20"/>
    <w:rsid w:val="00B1740D"/>
    <w:rsid w:val="00B17D4A"/>
    <w:rsid w:val="00B17E03"/>
    <w:rsid w:val="00B201AF"/>
    <w:rsid w:val="00B20C8D"/>
    <w:rsid w:val="00B2163E"/>
    <w:rsid w:val="00B2188E"/>
    <w:rsid w:val="00B2211E"/>
    <w:rsid w:val="00B2295D"/>
    <w:rsid w:val="00B22AC5"/>
    <w:rsid w:val="00B230D2"/>
    <w:rsid w:val="00B2357E"/>
    <w:rsid w:val="00B236B4"/>
    <w:rsid w:val="00B237DB"/>
    <w:rsid w:val="00B23821"/>
    <w:rsid w:val="00B23E6A"/>
    <w:rsid w:val="00B24095"/>
    <w:rsid w:val="00B2412B"/>
    <w:rsid w:val="00B248AD"/>
    <w:rsid w:val="00B24B62"/>
    <w:rsid w:val="00B25289"/>
    <w:rsid w:val="00B257BD"/>
    <w:rsid w:val="00B25F91"/>
    <w:rsid w:val="00B261D0"/>
    <w:rsid w:val="00B26639"/>
    <w:rsid w:val="00B2681D"/>
    <w:rsid w:val="00B26898"/>
    <w:rsid w:val="00B26B1B"/>
    <w:rsid w:val="00B27450"/>
    <w:rsid w:val="00B275A6"/>
    <w:rsid w:val="00B27960"/>
    <w:rsid w:val="00B27C32"/>
    <w:rsid w:val="00B27D40"/>
    <w:rsid w:val="00B27E12"/>
    <w:rsid w:val="00B303B6"/>
    <w:rsid w:val="00B30C25"/>
    <w:rsid w:val="00B30FBF"/>
    <w:rsid w:val="00B30FCE"/>
    <w:rsid w:val="00B31166"/>
    <w:rsid w:val="00B313CB"/>
    <w:rsid w:val="00B315E5"/>
    <w:rsid w:val="00B31D56"/>
    <w:rsid w:val="00B31DFE"/>
    <w:rsid w:val="00B320B9"/>
    <w:rsid w:val="00B325A7"/>
    <w:rsid w:val="00B32D45"/>
    <w:rsid w:val="00B3308D"/>
    <w:rsid w:val="00B335CA"/>
    <w:rsid w:val="00B33814"/>
    <w:rsid w:val="00B33A95"/>
    <w:rsid w:val="00B33C68"/>
    <w:rsid w:val="00B33D5D"/>
    <w:rsid w:val="00B33E5A"/>
    <w:rsid w:val="00B33E70"/>
    <w:rsid w:val="00B34036"/>
    <w:rsid w:val="00B34647"/>
    <w:rsid w:val="00B346CF"/>
    <w:rsid w:val="00B34762"/>
    <w:rsid w:val="00B34F37"/>
    <w:rsid w:val="00B34FC8"/>
    <w:rsid w:val="00B3512D"/>
    <w:rsid w:val="00B357E6"/>
    <w:rsid w:val="00B35B0A"/>
    <w:rsid w:val="00B36051"/>
    <w:rsid w:val="00B366CF"/>
    <w:rsid w:val="00B367F9"/>
    <w:rsid w:val="00B36978"/>
    <w:rsid w:val="00B36A00"/>
    <w:rsid w:val="00B37162"/>
    <w:rsid w:val="00B374BC"/>
    <w:rsid w:val="00B37AAB"/>
    <w:rsid w:val="00B37FB0"/>
    <w:rsid w:val="00B408D6"/>
    <w:rsid w:val="00B40CF0"/>
    <w:rsid w:val="00B40E55"/>
    <w:rsid w:val="00B40ECA"/>
    <w:rsid w:val="00B40F79"/>
    <w:rsid w:val="00B41161"/>
    <w:rsid w:val="00B41B06"/>
    <w:rsid w:val="00B41D3B"/>
    <w:rsid w:val="00B4260B"/>
    <w:rsid w:val="00B427C7"/>
    <w:rsid w:val="00B42DA2"/>
    <w:rsid w:val="00B43C37"/>
    <w:rsid w:val="00B43C63"/>
    <w:rsid w:val="00B43E2F"/>
    <w:rsid w:val="00B44139"/>
    <w:rsid w:val="00B441FD"/>
    <w:rsid w:val="00B447A1"/>
    <w:rsid w:val="00B44F2E"/>
    <w:rsid w:val="00B4505E"/>
    <w:rsid w:val="00B453A5"/>
    <w:rsid w:val="00B45BA4"/>
    <w:rsid w:val="00B45CC6"/>
    <w:rsid w:val="00B45D22"/>
    <w:rsid w:val="00B45E2F"/>
    <w:rsid w:val="00B45F39"/>
    <w:rsid w:val="00B45F41"/>
    <w:rsid w:val="00B460CD"/>
    <w:rsid w:val="00B4628A"/>
    <w:rsid w:val="00B4651B"/>
    <w:rsid w:val="00B465F3"/>
    <w:rsid w:val="00B468B1"/>
    <w:rsid w:val="00B469B8"/>
    <w:rsid w:val="00B4707A"/>
    <w:rsid w:val="00B4708A"/>
    <w:rsid w:val="00B4726E"/>
    <w:rsid w:val="00B473BB"/>
    <w:rsid w:val="00B474BF"/>
    <w:rsid w:val="00B47545"/>
    <w:rsid w:val="00B475E8"/>
    <w:rsid w:val="00B4772B"/>
    <w:rsid w:val="00B47789"/>
    <w:rsid w:val="00B479AF"/>
    <w:rsid w:val="00B51B3E"/>
    <w:rsid w:val="00B51E8F"/>
    <w:rsid w:val="00B52860"/>
    <w:rsid w:val="00B52F43"/>
    <w:rsid w:val="00B530C2"/>
    <w:rsid w:val="00B5359E"/>
    <w:rsid w:val="00B5361B"/>
    <w:rsid w:val="00B536A3"/>
    <w:rsid w:val="00B54454"/>
    <w:rsid w:val="00B546C0"/>
    <w:rsid w:val="00B547EC"/>
    <w:rsid w:val="00B548E1"/>
    <w:rsid w:val="00B549F8"/>
    <w:rsid w:val="00B54E64"/>
    <w:rsid w:val="00B54F73"/>
    <w:rsid w:val="00B55258"/>
    <w:rsid w:val="00B55539"/>
    <w:rsid w:val="00B555A8"/>
    <w:rsid w:val="00B55ADE"/>
    <w:rsid w:val="00B55B03"/>
    <w:rsid w:val="00B55BE3"/>
    <w:rsid w:val="00B566CA"/>
    <w:rsid w:val="00B56846"/>
    <w:rsid w:val="00B568F7"/>
    <w:rsid w:val="00B56976"/>
    <w:rsid w:val="00B56B8D"/>
    <w:rsid w:val="00B57AF6"/>
    <w:rsid w:val="00B57C45"/>
    <w:rsid w:val="00B6007A"/>
    <w:rsid w:val="00B60E93"/>
    <w:rsid w:val="00B613F6"/>
    <w:rsid w:val="00B61678"/>
    <w:rsid w:val="00B618AA"/>
    <w:rsid w:val="00B61BEC"/>
    <w:rsid w:val="00B61F18"/>
    <w:rsid w:val="00B6262E"/>
    <w:rsid w:val="00B62A11"/>
    <w:rsid w:val="00B62E6B"/>
    <w:rsid w:val="00B6323F"/>
    <w:rsid w:val="00B63299"/>
    <w:rsid w:val="00B63302"/>
    <w:rsid w:val="00B6348B"/>
    <w:rsid w:val="00B63820"/>
    <w:rsid w:val="00B63DBF"/>
    <w:rsid w:val="00B641A3"/>
    <w:rsid w:val="00B645D7"/>
    <w:rsid w:val="00B6478E"/>
    <w:rsid w:val="00B64D3C"/>
    <w:rsid w:val="00B64D77"/>
    <w:rsid w:val="00B6565F"/>
    <w:rsid w:val="00B65D28"/>
    <w:rsid w:val="00B66298"/>
    <w:rsid w:val="00B662AE"/>
    <w:rsid w:val="00B662BE"/>
    <w:rsid w:val="00B66789"/>
    <w:rsid w:val="00B66D6A"/>
    <w:rsid w:val="00B6701E"/>
    <w:rsid w:val="00B676A5"/>
    <w:rsid w:val="00B67CB4"/>
    <w:rsid w:val="00B67E71"/>
    <w:rsid w:val="00B7006C"/>
    <w:rsid w:val="00B70103"/>
    <w:rsid w:val="00B70696"/>
    <w:rsid w:val="00B70E0A"/>
    <w:rsid w:val="00B71369"/>
    <w:rsid w:val="00B71726"/>
    <w:rsid w:val="00B71BBA"/>
    <w:rsid w:val="00B721B8"/>
    <w:rsid w:val="00B722F5"/>
    <w:rsid w:val="00B726AA"/>
    <w:rsid w:val="00B72D04"/>
    <w:rsid w:val="00B73349"/>
    <w:rsid w:val="00B738F9"/>
    <w:rsid w:val="00B739A6"/>
    <w:rsid w:val="00B73A6F"/>
    <w:rsid w:val="00B74137"/>
    <w:rsid w:val="00B744C7"/>
    <w:rsid w:val="00B744CA"/>
    <w:rsid w:val="00B74671"/>
    <w:rsid w:val="00B746AB"/>
    <w:rsid w:val="00B748FD"/>
    <w:rsid w:val="00B74F0F"/>
    <w:rsid w:val="00B74F14"/>
    <w:rsid w:val="00B75312"/>
    <w:rsid w:val="00B75318"/>
    <w:rsid w:val="00B753BF"/>
    <w:rsid w:val="00B7565B"/>
    <w:rsid w:val="00B75979"/>
    <w:rsid w:val="00B75EF6"/>
    <w:rsid w:val="00B764C9"/>
    <w:rsid w:val="00B76966"/>
    <w:rsid w:val="00B76998"/>
    <w:rsid w:val="00B76FB9"/>
    <w:rsid w:val="00B772DA"/>
    <w:rsid w:val="00B7746B"/>
    <w:rsid w:val="00B775E2"/>
    <w:rsid w:val="00B77B61"/>
    <w:rsid w:val="00B77D4E"/>
    <w:rsid w:val="00B77EE0"/>
    <w:rsid w:val="00B8052D"/>
    <w:rsid w:val="00B8061F"/>
    <w:rsid w:val="00B806CE"/>
    <w:rsid w:val="00B809BB"/>
    <w:rsid w:val="00B80AAE"/>
    <w:rsid w:val="00B80D5D"/>
    <w:rsid w:val="00B815DD"/>
    <w:rsid w:val="00B81DE7"/>
    <w:rsid w:val="00B821BE"/>
    <w:rsid w:val="00B82295"/>
    <w:rsid w:val="00B8266D"/>
    <w:rsid w:val="00B829F1"/>
    <w:rsid w:val="00B82D1C"/>
    <w:rsid w:val="00B83300"/>
    <w:rsid w:val="00B8344A"/>
    <w:rsid w:val="00B8355A"/>
    <w:rsid w:val="00B836BA"/>
    <w:rsid w:val="00B83DDF"/>
    <w:rsid w:val="00B83FE6"/>
    <w:rsid w:val="00B843EA"/>
    <w:rsid w:val="00B84C96"/>
    <w:rsid w:val="00B85197"/>
    <w:rsid w:val="00B85449"/>
    <w:rsid w:val="00B8564F"/>
    <w:rsid w:val="00B859ED"/>
    <w:rsid w:val="00B86376"/>
    <w:rsid w:val="00B86A93"/>
    <w:rsid w:val="00B87523"/>
    <w:rsid w:val="00B87C98"/>
    <w:rsid w:val="00B90001"/>
    <w:rsid w:val="00B90108"/>
    <w:rsid w:val="00B901E9"/>
    <w:rsid w:val="00B90793"/>
    <w:rsid w:val="00B90992"/>
    <w:rsid w:val="00B90BAF"/>
    <w:rsid w:val="00B90BC3"/>
    <w:rsid w:val="00B90E8A"/>
    <w:rsid w:val="00B91257"/>
    <w:rsid w:val="00B9133E"/>
    <w:rsid w:val="00B916E0"/>
    <w:rsid w:val="00B917F5"/>
    <w:rsid w:val="00B91A7C"/>
    <w:rsid w:val="00B91DD0"/>
    <w:rsid w:val="00B92641"/>
    <w:rsid w:val="00B928A7"/>
    <w:rsid w:val="00B92A7B"/>
    <w:rsid w:val="00B92A84"/>
    <w:rsid w:val="00B92B51"/>
    <w:rsid w:val="00B93D34"/>
    <w:rsid w:val="00B93F85"/>
    <w:rsid w:val="00B94608"/>
    <w:rsid w:val="00B946D5"/>
    <w:rsid w:val="00B94739"/>
    <w:rsid w:val="00B94BC4"/>
    <w:rsid w:val="00B94BDD"/>
    <w:rsid w:val="00B94F4F"/>
    <w:rsid w:val="00B94FD4"/>
    <w:rsid w:val="00B95BCD"/>
    <w:rsid w:val="00B95CCD"/>
    <w:rsid w:val="00B95D10"/>
    <w:rsid w:val="00B95E1A"/>
    <w:rsid w:val="00B96606"/>
    <w:rsid w:val="00B96736"/>
    <w:rsid w:val="00B96D0C"/>
    <w:rsid w:val="00B97029"/>
    <w:rsid w:val="00B97817"/>
    <w:rsid w:val="00B978E1"/>
    <w:rsid w:val="00B97B80"/>
    <w:rsid w:val="00B97B9A"/>
    <w:rsid w:val="00B97C1C"/>
    <w:rsid w:val="00BA003E"/>
    <w:rsid w:val="00BA010D"/>
    <w:rsid w:val="00BA046F"/>
    <w:rsid w:val="00BA06B2"/>
    <w:rsid w:val="00BA07FF"/>
    <w:rsid w:val="00BA0874"/>
    <w:rsid w:val="00BA09E2"/>
    <w:rsid w:val="00BA0B05"/>
    <w:rsid w:val="00BA0D58"/>
    <w:rsid w:val="00BA0E0E"/>
    <w:rsid w:val="00BA0E86"/>
    <w:rsid w:val="00BA102F"/>
    <w:rsid w:val="00BA13D5"/>
    <w:rsid w:val="00BA1819"/>
    <w:rsid w:val="00BA1939"/>
    <w:rsid w:val="00BA1A8A"/>
    <w:rsid w:val="00BA1B0E"/>
    <w:rsid w:val="00BA25F1"/>
    <w:rsid w:val="00BA2659"/>
    <w:rsid w:val="00BA2B15"/>
    <w:rsid w:val="00BA3323"/>
    <w:rsid w:val="00BA3610"/>
    <w:rsid w:val="00BA3888"/>
    <w:rsid w:val="00BA38B5"/>
    <w:rsid w:val="00BA3A92"/>
    <w:rsid w:val="00BA4327"/>
    <w:rsid w:val="00BA4478"/>
    <w:rsid w:val="00BA45FB"/>
    <w:rsid w:val="00BA4F2F"/>
    <w:rsid w:val="00BA54DE"/>
    <w:rsid w:val="00BA55A7"/>
    <w:rsid w:val="00BA5750"/>
    <w:rsid w:val="00BA5A4D"/>
    <w:rsid w:val="00BA5B09"/>
    <w:rsid w:val="00BA5E23"/>
    <w:rsid w:val="00BA5E49"/>
    <w:rsid w:val="00BA60C5"/>
    <w:rsid w:val="00BA63A5"/>
    <w:rsid w:val="00BA646C"/>
    <w:rsid w:val="00BA65A1"/>
    <w:rsid w:val="00BA6617"/>
    <w:rsid w:val="00BA671C"/>
    <w:rsid w:val="00BA6E42"/>
    <w:rsid w:val="00BA708D"/>
    <w:rsid w:val="00BA71DF"/>
    <w:rsid w:val="00BA72BA"/>
    <w:rsid w:val="00BA7A88"/>
    <w:rsid w:val="00BA7C31"/>
    <w:rsid w:val="00BB121D"/>
    <w:rsid w:val="00BB1E10"/>
    <w:rsid w:val="00BB23A6"/>
    <w:rsid w:val="00BB35B5"/>
    <w:rsid w:val="00BB38A9"/>
    <w:rsid w:val="00BB4171"/>
    <w:rsid w:val="00BB428B"/>
    <w:rsid w:val="00BB42A3"/>
    <w:rsid w:val="00BB4B7A"/>
    <w:rsid w:val="00BB4B82"/>
    <w:rsid w:val="00BB4BDD"/>
    <w:rsid w:val="00BB4DCC"/>
    <w:rsid w:val="00BB4F9E"/>
    <w:rsid w:val="00BB5061"/>
    <w:rsid w:val="00BB5441"/>
    <w:rsid w:val="00BB5B61"/>
    <w:rsid w:val="00BB5CEF"/>
    <w:rsid w:val="00BB5E59"/>
    <w:rsid w:val="00BB6224"/>
    <w:rsid w:val="00BB644C"/>
    <w:rsid w:val="00BB68E4"/>
    <w:rsid w:val="00BB6A75"/>
    <w:rsid w:val="00BB78FF"/>
    <w:rsid w:val="00BB7C03"/>
    <w:rsid w:val="00BB7CB3"/>
    <w:rsid w:val="00BC0182"/>
    <w:rsid w:val="00BC04C6"/>
    <w:rsid w:val="00BC059D"/>
    <w:rsid w:val="00BC0B24"/>
    <w:rsid w:val="00BC11EC"/>
    <w:rsid w:val="00BC1233"/>
    <w:rsid w:val="00BC138F"/>
    <w:rsid w:val="00BC15F4"/>
    <w:rsid w:val="00BC1E70"/>
    <w:rsid w:val="00BC25F2"/>
    <w:rsid w:val="00BC26DA"/>
    <w:rsid w:val="00BC2C42"/>
    <w:rsid w:val="00BC2C67"/>
    <w:rsid w:val="00BC2D1E"/>
    <w:rsid w:val="00BC2F3F"/>
    <w:rsid w:val="00BC3093"/>
    <w:rsid w:val="00BC314D"/>
    <w:rsid w:val="00BC3204"/>
    <w:rsid w:val="00BC36FC"/>
    <w:rsid w:val="00BC37FC"/>
    <w:rsid w:val="00BC3F09"/>
    <w:rsid w:val="00BC44FF"/>
    <w:rsid w:val="00BC45B8"/>
    <w:rsid w:val="00BC49BF"/>
    <w:rsid w:val="00BC4E54"/>
    <w:rsid w:val="00BC50D6"/>
    <w:rsid w:val="00BC539A"/>
    <w:rsid w:val="00BC5B95"/>
    <w:rsid w:val="00BC6424"/>
    <w:rsid w:val="00BC6723"/>
    <w:rsid w:val="00BC677E"/>
    <w:rsid w:val="00BC68C7"/>
    <w:rsid w:val="00BC68ED"/>
    <w:rsid w:val="00BC737A"/>
    <w:rsid w:val="00BC757E"/>
    <w:rsid w:val="00BC7D06"/>
    <w:rsid w:val="00BD0244"/>
    <w:rsid w:val="00BD085D"/>
    <w:rsid w:val="00BD0EBF"/>
    <w:rsid w:val="00BD1393"/>
    <w:rsid w:val="00BD1E82"/>
    <w:rsid w:val="00BD2209"/>
    <w:rsid w:val="00BD2339"/>
    <w:rsid w:val="00BD29DE"/>
    <w:rsid w:val="00BD2C06"/>
    <w:rsid w:val="00BD34EB"/>
    <w:rsid w:val="00BD38CA"/>
    <w:rsid w:val="00BD39AE"/>
    <w:rsid w:val="00BD48DC"/>
    <w:rsid w:val="00BD4FE9"/>
    <w:rsid w:val="00BD53BE"/>
    <w:rsid w:val="00BD5B2E"/>
    <w:rsid w:val="00BD5EC9"/>
    <w:rsid w:val="00BD6B8A"/>
    <w:rsid w:val="00BD6D31"/>
    <w:rsid w:val="00BD71CA"/>
    <w:rsid w:val="00BD72F0"/>
    <w:rsid w:val="00BD75BA"/>
    <w:rsid w:val="00BD7CD4"/>
    <w:rsid w:val="00BD7E06"/>
    <w:rsid w:val="00BE00EE"/>
    <w:rsid w:val="00BE095F"/>
    <w:rsid w:val="00BE1133"/>
    <w:rsid w:val="00BE17A8"/>
    <w:rsid w:val="00BE2091"/>
    <w:rsid w:val="00BE21D5"/>
    <w:rsid w:val="00BE31D4"/>
    <w:rsid w:val="00BE361B"/>
    <w:rsid w:val="00BE3BF0"/>
    <w:rsid w:val="00BE44F2"/>
    <w:rsid w:val="00BE4A1D"/>
    <w:rsid w:val="00BE4AB7"/>
    <w:rsid w:val="00BE4CDF"/>
    <w:rsid w:val="00BE4D03"/>
    <w:rsid w:val="00BE4DCD"/>
    <w:rsid w:val="00BE4EF4"/>
    <w:rsid w:val="00BE4F3F"/>
    <w:rsid w:val="00BE5332"/>
    <w:rsid w:val="00BE5BE6"/>
    <w:rsid w:val="00BE5CA0"/>
    <w:rsid w:val="00BE5FE4"/>
    <w:rsid w:val="00BE69A0"/>
    <w:rsid w:val="00BE6B84"/>
    <w:rsid w:val="00BE743F"/>
    <w:rsid w:val="00BE7AD9"/>
    <w:rsid w:val="00BE7FCD"/>
    <w:rsid w:val="00BF0417"/>
    <w:rsid w:val="00BF06FA"/>
    <w:rsid w:val="00BF09C1"/>
    <w:rsid w:val="00BF0AFA"/>
    <w:rsid w:val="00BF0DBD"/>
    <w:rsid w:val="00BF113E"/>
    <w:rsid w:val="00BF19FD"/>
    <w:rsid w:val="00BF267C"/>
    <w:rsid w:val="00BF27EE"/>
    <w:rsid w:val="00BF2B55"/>
    <w:rsid w:val="00BF2B6D"/>
    <w:rsid w:val="00BF2EC0"/>
    <w:rsid w:val="00BF2F26"/>
    <w:rsid w:val="00BF337F"/>
    <w:rsid w:val="00BF35F2"/>
    <w:rsid w:val="00BF3622"/>
    <w:rsid w:val="00BF38A2"/>
    <w:rsid w:val="00BF4B9E"/>
    <w:rsid w:val="00BF4BB8"/>
    <w:rsid w:val="00BF5034"/>
    <w:rsid w:val="00BF5056"/>
    <w:rsid w:val="00BF5684"/>
    <w:rsid w:val="00BF59D4"/>
    <w:rsid w:val="00BF5E68"/>
    <w:rsid w:val="00BF69FE"/>
    <w:rsid w:val="00BF6B18"/>
    <w:rsid w:val="00BF6BE8"/>
    <w:rsid w:val="00BF77AB"/>
    <w:rsid w:val="00BF78E7"/>
    <w:rsid w:val="00BF78ED"/>
    <w:rsid w:val="00BF7962"/>
    <w:rsid w:val="00C005AF"/>
    <w:rsid w:val="00C01055"/>
    <w:rsid w:val="00C017C1"/>
    <w:rsid w:val="00C0180C"/>
    <w:rsid w:val="00C01BAE"/>
    <w:rsid w:val="00C02194"/>
    <w:rsid w:val="00C02232"/>
    <w:rsid w:val="00C022CA"/>
    <w:rsid w:val="00C022DF"/>
    <w:rsid w:val="00C025F7"/>
    <w:rsid w:val="00C030D7"/>
    <w:rsid w:val="00C0323A"/>
    <w:rsid w:val="00C036D7"/>
    <w:rsid w:val="00C03891"/>
    <w:rsid w:val="00C03C3D"/>
    <w:rsid w:val="00C03F02"/>
    <w:rsid w:val="00C044B3"/>
    <w:rsid w:val="00C045CA"/>
    <w:rsid w:val="00C048ED"/>
    <w:rsid w:val="00C050B1"/>
    <w:rsid w:val="00C051D7"/>
    <w:rsid w:val="00C055C4"/>
    <w:rsid w:val="00C05915"/>
    <w:rsid w:val="00C05B49"/>
    <w:rsid w:val="00C06CE9"/>
    <w:rsid w:val="00C06FCB"/>
    <w:rsid w:val="00C07965"/>
    <w:rsid w:val="00C07AF7"/>
    <w:rsid w:val="00C07B37"/>
    <w:rsid w:val="00C10982"/>
    <w:rsid w:val="00C10AC8"/>
    <w:rsid w:val="00C10D8C"/>
    <w:rsid w:val="00C10ED2"/>
    <w:rsid w:val="00C114C3"/>
    <w:rsid w:val="00C11A7F"/>
    <w:rsid w:val="00C11AB5"/>
    <w:rsid w:val="00C11CC8"/>
    <w:rsid w:val="00C11F66"/>
    <w:rsid w:val="00C12B5D"/>
    <w:rsid w:val="00C12E76"/>
    <w:rsid w:val="00C12FEF"/>
    <w:rsid w:val="00C1387E"/>
    <w:rsid w:val="00C14BAB"/>
    <w:rsid w:val="00C14DCF"/>
    <w:rsid w:val="00C15126"/>
    <w:rsid w:val="00C159A1"/>
    <w:rsid w:val="00C15EEC"/>
    <w:rsid w:val="00C160A9"/>
    <w:rsid w:val="00C16989"/>
    <w:rsid w:val="00C16BB1"/>
    <w:rsid w:val="00C17358"/>
    <w:rsid w:val="00C17AAF"/>
    <w:rsid w:val="00C2002F"/>
    <w:rsid w:val="00C201F1"/>
    <w:rsid w:val="00C207DD"/>
    <w:rsid w:val="00C20BBE"/>
    <w:rsid w:val="00C21067"/>
    <w:rsid w:val="00C213DD"/>
    <w:rsid w:val="00C21664"/>
    <w:rsid w:val="00C2176A"/>
    <w:rsid w:val="00C221AA"/>
    <w:rsid w:val="00C224C1"/>
    <w:rsid w:val="00C22713"/>
    <w:rsid w:val="00C22856"/>
    <w:rsid w:val="00C228FD"/>
    <w:rsid w:val="00C22A98"/>
    <w:rsid w:val="00C22F64"/>
    <w:rsid w:val="00C22F68"/>
    <w:rsid w:val="00C2350D"/>
    <w:rsid w:val="00C23E6F"/>
    <w:rsid w:val="00C243DF"/>
    <w:rsid w:val="00C245B6"/>
    <w:rsid w:val="00C24A09"/>
    <w:rsid w:val="00C24B51"/>
    <w:rsid w:val="00C25CEA"/>
    <w:rsid w:val="00C25DBB"/>
    <w:rsid w:val="00C25EC4"/>
    <w:rsid w:val="00C25FB9"/>
    <w:rsid w:val="00C266B5"/>
    <w:rsid w:val="00C2673C"/>
    <w:rsid w:val="00C26E8D"/>
    <w:rsid w:val="00C2732B"/>
    <w:rsid w:val="00C27ABF"/>
    <w:rsid w:val="00C30116"/>
    <w:rsid w:val="00C31F70"/>
    <w:rsid w:val="00C32563"/>
    <w:rsid w:val="00C3385B"/>
    <w:rsid w:val="00C33D7A"/>
    <w:rsid w:val="00C349EE"/>
    <w:rsid w:val="00C34B74"/>
    <w:rsid w:val="00C34D98"/>
    <w:rsid w:val="00C35BFE"/>
    <w:rsid w:val="00C35D02"/>
    <w:rsid w:val="00C35D5C"/>
    <w:rsid w:val="00C36092"/>
    <w:rsid w:val="00C3638D"/>
    <w:rsid w:val="00C36589"/>
    <w:rsid w:val="00C36663"/>
    <w:rsid w:val="00C36771"/>
    <w:rsid w:val="00C367E2"/>
    <w:rsid w:val="00C368FF"/>
    <w:rsid w:val="00C3745F"/>
    <w:rsid w:val="00C37546"/>
    <w:rsid w:val="00C3755C"/>
    <w:rsid w:val="00C400FE"/>
    <w:rsid w:val="00C4086B"/>
    <w:rsid w:val="00C40880"/>
    <w:rsid w:val="00C408D5"/>
    <w:rsid w:val="00C4093E"/>
    <w:rsid w:val="00C4106F"/>
    <w:rsid w:val="00C41595"/>
    <w:rsid w:val="00C4159A"/>
    <w:rsid w:val="00C41651"/>
    <w:rsid w:val="00C41B2E"/>
    <w:rsid w:val="00C41C62"/>
    <w:rsid w:val="00C42143"/>
    <w:rsid w:val="00C42363"/>
    <w:rsid w:val="00C424E5"/>
    <w:rsid w:val="00C42FC3"/>
    <w:rsid w:val="00C436A0"/>
    <w:rsid w:val="00C439FA"/>
    <w:rsid w:val="00C43B28"/>
    <w:rsid w:val="00C4419A"/>
    <w:rsid w:val="00C443A9"/>
    <w:rsid w:val="00C44D2E"/>
    <w:rsid w:val="00C44DD6"/>
    <w:rsid w:val="00C44FC3"/>
    <w:rsid w:val="00C44FCD"/>
    <w:rsid w:val="00C450F4"/>
    <w:rsid w:val="00C45472"/>
    <w:rsid w:val="00C455C0"/>
    <w:rsid w:val="00C457ED"/>
    <w:rsid w:val="00C457EF"/>
    <w:rsid w:val="00C460F5"/>
    <w:rsid w:val="00C463FB"/>
    <w:rsid w:val="00C464B3"/>
    <w:rsid w:val="00C46915"/>
    <w:rsid w:val="00C470FE"/>
    <w:rsid w:val="00C47794"/>
    <w:rsid w:val="00C47860"/>
    <w:rsid w:val="00C47AA4"/>
    <w:rsid w:val="00C47B93"/>
    <w:rsid w:val="00C47BBB"/>
    <w:rsid w:val="00C47BD9"/>
    <w:rsid w:val="00C47CE3"/>
    <w:rsid w:val="00C47E57"/>
    <w:rsid w:val="00C502B9"/>
    <w:rsid w:val="00C5056D"/>
    <w:rsid w:val="00C5080D"/>
    <w:rsid w:val="00C508B5"/>
    <w:rsid w:val="00C508D7"/>
    <w:rsid w:val="00C50904"/>
    <w:rsid w:val="00C516D0"/>
    <w:rsid w:val="00C51CF8"/>
    <w:rsid w:val="00C52575"/>
    <w:rsid w:val="00C5258D"/>
    <w:rsid w:val="00C52590"/>
    <w:rsid w:val="00C52B72"/>
    <w:rsid w:val="00C52C55"/>
    <w:rsid w:val="00C5341F"/>
    <w:rsid w:val="00C53563"/>
    <w:rsid w:val="00C53731"/>
    <w:rsid w:val="00C537D9"/>
    <w:rsid w:val="00C53F5F"/>
    <w:rsid w:val="00C54250"/>
    <w:rsid w:val="00C542E6"/>
    <w:rsid w:val="00C54912"/>
    <w:rsid w:val="00C5491F"/>
    <w:rsid w:val="00C5509A"/>
    <w:rsid w:val="00C553F6"/>
    <w:rsid w:val="00C55498"/>
    <w:rsid w:val="00C56397"/>
    <w:rsid w:val="00C563B8"/>
    <w:rsid w:val="00C566C0"/>
    <w:rsid w:val="00C56794"/>
    <w:rsid w:val="00C56F9C"/>
    <w:rsid w:val="00C57160"/>
    <w:rsid w:val="00C574ED"/>
    <w:rsid w:val="00C576D0"/>
    <w:rsid w:val="00C57A89"/>
    <w:rsid w:val="00C57C39"/>
    <w:rsid w:val="00C60C5A"/>
    <w:rsid w:val="00C60F33"/>
    <w:rsid w:val="00C614A6"/>
    <w:rsid w:val="00C6194F"/>
    <w:rsid w:val="00C61FD5"/>
    <w:rsid w:val="00C6236E"/>
    <w:rsid w:val="00C62665"/>
    <w:rsid w:val="00C630A2"/>
    <w:rsid w:val="00C6327D"/>
    <w:rsid w:val="00C632B4"/>
    <w:rsid w:val="00C634B9"/>
    <w:rsid w:val="00C637FD"/>
    <w:rsid w:val="00C63C51"/>
    <w:rsid w:val="00C63E7B"/>
    <w:rsid w:val="00C63ED1"/>
    <w:rsid w:val="00C64099"/>
    <w:rsid w:val="00C641BF"/>
    <w:rsid w:val="00C64C9D"/>
    <w:rsid w:val="00C6517C"/>
    <w:rsid w:val="00C653B3"/>
    <w:rsid w:val="00C65685"/>
    <w:rsid w:val="00C657BF"/>
    <w:rsid w:val="00C65A1B"/>
    <w:rsid w:val="00C65A7D"/>
    <w:rsid w:val="00C660E1"/>
    <w:rsid w:val="00C66481"/>
    <w:rsid w:val="00C66492"/>
    <w:rsid w:val="00C66AD1"/>
    <w:rsid w:val="00C66CE7"/>
    <w:rsid w:val="00C66E94"/>
    <w:rsid w:val="00C66F18"/>
    <w:rsid w:val="00C6789C"/>
    <w:rsid w:val="00C67A4C"/>
    <w:rsid w:val="00C70679"/>
    <w:rsid w:val="00C70786"/>
    <w:rsid w:val="00C70826"/>
    <w:rsid w:val="00C7084B"/>
    <w:rsid w:val="00C70CA8"/>
    <w:rsid w:val="00C70D36"/>
    <w:rsid w:val="00C710EC"/>
    <w:rsid w:val="00C71655"/>
    <w:rsid w:val="00C719FC"/>
    <w:rsid w:val="00C71AD1"/>
    <w:rsid w:val="00C71B15"/>
    <w:rsid w:val="00C71C88"/>
    <w:rsid w:val="00C7223A"/>
    <w:rsid w:val="00C726D0"/>
    <w:rsid w:val="00C72758"/>
    <w:rsid w:val="00C72A25"/>
    <w:rsid w:val="00C7381D"/>
    <w:rsid w:val="00C738CB"/>
    <w:rsid w:val="00C73A72"/>
    <w:rsid w:val="00C741C6"/>
    <w:rsid w:val="00C74E4F"/>
    <w:rsid w:val="00C75220"/>
    <w:rsid w:val="00C75381"/>
    <w:rsid w:val="00C7575B"/>
    <w:rsid w:val="00C7581D"/>
    <w:rsid w:val="00C75B36"/>
    <w:rsid w:val="00C75D68"/>
    <w:rsid w:val="00C75EA3"/>
    <w:rsid w:val="00C76250"/>
    <w:rsid w:val="00C76569"/>
    <w:rsid w:val="00C76668"/>
    <w:rsid w:val="00C76767"/>
    <w:rsid w:val="00C77148"/>
    <w:rsid w:val="00C774CA"/>
    <w:rsid w:val="00C77BA8"/>
    <w:rsid w:val="00C77DBF"/>
    <w:rsid w:val="00C77EBF"/>
    <w:rsid w:val="00C77F11"/>
    <w:rsid w:val="00C77F8E"/>
    <w:rsid w:val="00C80485"/>
    <w:rsid w:val="00C80DE5"/>
    <w:rsid w:val="00C80F29"/>
    <w:rsid w:val="00C81271"/>
    <w:rsid w:val="00C8130D"/>
    <w:rsid w:val="00C814BE"/>
    <w:rsid w:val="00C81630"/>
    <w:rsid w:val="00C81719"/>
    <w:rsid w:val="00C8185F"/>
    <w:rsid w:val="00C8197F"/>
    <w:rsid w:val="00C81EA4"/>
    <w:rsid w:val="00C81EBB"/>
    <w:rsid w:val="00C822CF"/>
    <w:rsid w:val="00C829F1"/>
    <w:rsid w:val="00C829F7"/>
    <w:rsid w:val="00C82C2B"/>
    <w:rsid w:val="00C830C8"/>
    <w:rsid w:val="00C83290"/>
    <w:rsid w:val="00C83535"/>
    <w:rsid w:val="00C837E4"/>
    <w:rsid w:val="00C83B35"/>
    <w:rsid w:val="00C83D4B"/>
    <w:rsid w:val="00C83DD5"/>
    <w:rsid w:val="00C83DD8"/>
    <w:rsid w:val="00C83E9C"/>
    <w:rsid w:val="00C84123"/>
    <w:rsid w:val="00C84203"/>
    <w:rsid w:val="00C844C6"/>
    <w:rsid w:val="00C84724"/>
    <w:rsid w:val="00C84775"/>
    <w:rsid w:val="00C84CFB"/>
    <w:rsid w:val="00C85571"/>
    <w:rsid w:val="00C85C83"/>
    <w:rsid w:val="00C85D9F"/>
    <w:rsid w:val="00C8619E"/>
    <w:rsid w:val="00C861C6"/>
    <w:rsid w:val="00C87D73"/>
    <w:rsid w:val="00C90112"/>
    <w:rsid w:val="00C9035D"/>
    <w:rsid w:val="00C90495"/>
    <w:rsid w:val="00C90A84"/>
    <w:rsid w:val="00C90AEA"/>
    <w:rsid w:val="00C90BC3"/>
    <w:rsid w:val="00C90CBD"/>
    <w:rsid w:val="00C90D9B"/>
    <w:rsid w:val="00C91058"/>
    <w:rsid w:val="00C91BC6"/>
    <w:rsid w:val="00C927D9"/>
    <w:rsid w:val="00C9291F"/>
    <w:rsid w:val="00C92D20"/>
    <w:rsid w:val="00C93598"/>
    <w:rsid w:val="00C937F4"/>
    <w:rsid w:val="00C93C9A"/>
    <w:rsid w:val="00C9433B"/>
    <w:rsid w:val="00C94988"/>
    <w:rsid w:val="00C94BEC"/>
    <w:rsid w:val="00C962F0"/>
    <w:rsid w:val="00C96812"/>
    <w:rsid w:val="00C96FAC"/>
    <w:rsid w:val="00C97686"/>
    <w:rsid w:val="00C9782B"/>
    <w:rsid w:val="00C97CF9"/>
    <w:rsid w:val="00C97E02"/>
    <w:rsid w:val="00C97EA7"/>
    <w:rsid w:val="00CA03D2"/>
    <w:rsid w:val="00CA1084"/>
    <w:rsid w:val="00CA124E"/>
    <w:rsid w:val="00CA16CB"/>
    <w:rsid w:val="00CA1883"/>
    <w:rsid w:val="00CA1902"/>
    <w:rsid w:val="00CA190C"/>
    <w:rsid w:val="00CA1B94"/>
    <w:rsid w:val="00CA1BED"/>
    <w:rsid w:val="00CA1D92"/>
    <w:rsid w:val="00CA365C"/>
    <w:rsid w:val="00CA3879"/>
    <w:rsid w:val="00CA3979"/>
    <w:rsid w:val="00CA3B1E"/>
    <w:rsid w:val="00CA3FA2"/>
    <w:rsid w:val="00CA4405"/>
    <w:rsid w:val="00CA45E3"/>
    <w:rsid w:val="00CA4C80"/>
    <w:rsid w:val="00CA5736"/>
    <w:rsid w:val="00CA574E"/>
    <w:rsid w:val="00CA57A9"/>
    <w:rsid w:val="00CA5AC7"/>
    <w:rsid w:val="00CA5AD9"/>
    <w:rsid w:val="00CA5E5F"/>
    <w:rsid w:val="00CA65E8"/>
    <w:rsid w:val="00CA670A"/>
    <w:rsid w:val="00CA6F95"/>
    <w:rsid w:val="00CA723B"/>
    <w:rsid w:val="00CA74B9"/>
    <w:rsid w:val="00CA798B"/>
    <w:rsid w:val="00CA79CF"/>
    <w:rsid w:val="00CA7F80"/>
    <w:rsid w:val="00CB04FD"/>
    <w:rsid w:val="00CB05FA"/>
    <w:rsid w:val="00CB0651"/>
    <w:rsid w:val="00CB068B"/>
    <w:rsid w:val="00CB085D"/>
    <w:rsid w:val="00CB14D9"/>
    <w:rsid w:val="00CB17A8"/>
    <w:rsid w:val="00CB238D"/>
    <w:rsid w:val="00CB2A1A"/>
    <w:rsid w:val="00CB2B01"/>
    <w:rsid w:val="00CB35B6"/>
    <w:rsid w:val="00CB3B2C"/>
    <w:rsid w:val="00CB4275"/>
    <w:rsid w:val="00CB42C9"/>
    <w:rsid w:val="00CB5732"/>
    <w:rsid w:val="00CB5862"/>
    <w:rsid w:val="00CB5868"/>
    <w:rsid w:val="00CB5934"/>
    <w:rsid w:val="00CB63A0"/>
    <w:rsid w:val="00CB67BA"/>
    <w:rsid w:val="00CB6897"/>
    <w:rsid w:val="00CB6C7C"/>
    <w:rsid w:val="00CB6EDE"/>
    <w:rsid w:val="00CB7305"/>
    <w:rsid w:val="00CB7550"/>
    <w:rsid w:val="00CB7911"/>
    <w:rsid w:val="00CB79F4"/>
    <w:rsid w:val="00CC09BE"/>
    <w:rsid w:val="00CC0D39"/>
    <w:rsid w:val="00CC0D44"/>
    <w:rsid w:val="00CC0FB0"/>
    <w:rsid w:val="00CC1448"/>
    <w:rsid w:val="00CC1657"/>
    <w:rsid w:val="00CC175A"/>
    <w:rsid w:val="00CC194A"/>
    <w:rsid w:val="00CC1DB4"/>
    <w:rsid w:val="00CC1F5C"/>
    <w:rsid w:val="00CC21B2"/>
    <w:rsid w:val="00CC254A"/>
    <w:rsid w:val="00CC2BD6"/>
    <w:rsid w:val="00CC2CD4"/>
    <w:rsid w:val="00CC2F6B"/>
    <w:rsid w:val="00CC37CF"/>
    <w:rsid w:val="00CC3948"/>
    <w:rsid w:val="00CC3C1E"/>
    <w:rsid w:val="00CC4141"/>
    <w:rsid w:val="00CC43F5"/>
    <w:rsid w:val="00CC44F3"/>
    <w:rsid w:val="00CC454C"/>
    <w:rsid w:val="00CC53D9"/>
    <w:rsid w:val="00CC5FC6"/>
    <w:rsid w:val="00CC6B48"/>
    <w:rsid w:val="00CC735D"/>
    <w:rsid w:val="00CC7C08"/>
    <w:rsid w:val="00CC7F1D"/>
    <w:rsid w:val="00CD0035"/>
    <w:rsid w:val="00CD04AF"/>
    <w:rsid w:val="00CD0536"/>
    <w:rsid w:val="00CD07E2"/>
    <w:rsid w:val="00CD0883"/>
    <w:rsid w:val="00CD0DA8"/>
    <w:rsid w:val="00CD0EFB"/>
    <w:rsid w:val="00CD0FBA"/>
    <w:rsid w:val="00CD1200"/>
    <w:rsid w:val="00CD1292"/>
    <w:rsid w:val="00CD1682"/>
    <w:rsid w:val="00CD1CB1"/>
    <w:rsid w:val="00CD1CFE"/>
    <w:rsid w:val="00CD1E52"/>
    <w:rsid w:val="00CD2044"/>
    <w:rsid w:val="00CD28C5"/>
    <w:rsid w:val="00CD349D"/>
    <w:rsid w:val="00CD3747"/>
    <w:rsid w:val="00CD3CC8"/>
    <w:rsid w:val="00CD3D87"/>
    <w:rsid w:val="00CD3EE0"/>
    <w:rsid w:val="00CD44C6"/>
    <w:rsid w:val="00CD4778"/>
    <w:rsid w:val="00CD5023"/>
    <w:rsid w:val="00CD51A2"/>
    <w:rsid w:val="00CD578E"/>
    <w:rsid w:val="00CD597A"/>
    <w:rsid w:val="00CD5BD6"/>
    <w:rsid w:val="00CD5F1D"/>
    <w:rsid w:val="00CD695E"/>
    <w:rsid w:val="00CD6D7B"/>
    <w:rsid w:val="00CD6F51"/>
    <w:rsid w:val="00CD711A"/>
    <w:rsid w:val="00CD7238"/>
    <w:rsid w:val="00CD7B64"/>
    <w:rsid w:val="00CD7D27"/>
    <w:rsid w:val="00CD7FC6"/>
    <w:rsid w:val="00CE0466"/>
    <w:rsid w:val="00CE0A4B"/>
    <w:rsid w:val="00CE0C05"/>
    <w:rsid w:val="00CE0E13"/>
    <w:rsid w:val="00CE0E82"/>
    <w:rsid w:val="00CE1092"/>
    <w:rsid w:val="00CE1120"/>
    <w:rsid w:val="00CE1525"/>
    <w:rsid w:val="00CE152C"/>
    <w:rsid w:val="00CE1705"/>
    <w:rsid w:val="00CE174B"/>
    <w:rsid w:val="00CE1947"/>
    <w:rsid w:val="00CE1AA6"/>
    <w:rsid w:val="00CE1FDF"/>
    <w:rsid w:val="00CE20EC"/>
    <w:rsid w:val="00CE28C0"/>
    <w:rsid w:val="00CE2E4A"/>
    <w:rsid w:val="00CE30A5"/>
    <w:rsid w:val="00CE3152"/>
    <w:rsid w:val="00CE3501"/>
    <w:rsid w:val="00CE37AB"/>
    <w:rsid w:val="00CE40FC"/>
    <w:rsid w:val="00CE4586"/>
    <w:rsid w:val="00CE476E"/>
    <w:rsid w:val="00CE4814"/>
    <w:rsid w:val="00CE4BDE"/>
    <w:rsid w:val="00CE4C36"/>
    <w:rsid w:val="00CE4D67"/>
    <w:rsid w:val="00CE4E75"/>
    <w:rsid w:val="00CE510E"/>
    <w:rsid w:val="00CE52BD"/>
    <w:rsid w:val="00CE54D8"/>
    <w:rsid w:val="00CE5671"/>
    <w:rsid w:val="00CE58DF"/>
    <w:rsid w:val="00CE5A09"/>
    <w:rsid w:val="00CE5AC0"/>
    <w:rsid w:val="00CE6320"/>
    <w:rsid w:val="00CE643F"/>
    <w:rsid w:val="00CE700D"/>
    <w:rsid w:val="00CE7D5C"/>
    <w:rsid w:val="00CE7EA2"/>
    <w:rsid w:val="00CE7F03"/>
    <w:rsid w:val="00CF0253"/>
    <w:rsid w:val="00CF02A5"/>
    <w:rsid w:val="00CF0890"/>
    <w:rsid w:val="00CF08F9"/>
    <w:rsid w:val="00CF104E"/>
    <w:rsid w:val="00CF111F"/>
    <w:rsid w:val="00CF119F"/>
    <w:rsid w:val="00CF1E45"/>
    <w:rsid w:val="00CF2857"/>
    <w:rsid w:val="00CF2CC4"/>
    <w:rsid w:val="00CF2E09"/>
    <w:rsid w:val="00CF2FB7"/>
    <w:rsid w:val="00CF30CE"/>
    <w:rsid w:val="00CF384E"/>
    <w:rsid w:val="00CF3A15"/>
    <w:rsid w:val="00CF3BFD"/>
    <w:rsid w:val="00CF433E"/>
    <w:rsid w:val="00CF464E"/>
    <w:rsid w:val="00CF465A"/>
    <w:rsid w:val="00CF4882"/>
    <w:rsid w:val="00CF4B6B"/>
    <w:rsid w:val="00CF4F7A"/>
    <w:rsid w:val="00CF53BC"/>
    <w:rsid w:val="00CF5592"/>
    <w:rsid w:val="00CF5772"/>
    <w:rsid w:val="00CF5821"/>
    <w:rsid w:val="00CF59CB"/>
    <w:rsid w:val="00CF59D7"/>
    <w:rsid w:val="00CF5ABD"/>
    <w:rsid w:val="00CF5B47"/>
    <w:rsid w:val="00CF5B78"/>
    <w:rsid w:val="00CF6046"/>
    <w:rsid w:val="00CF61D5"/>
    <w:rsid w:val="00CF668D"/>
    <w:rsid w:val="00CF6A61"/>
    <w:rsid w:val="00CF6F57"/>
    <w:rsid w:val="00CF71E5"/>
    <w:rsid w:val="00CF7C2B"/>
    <w:rsid w:val="00D00358"/>
    <w:rsid w:val="00D007A2"/>
    <w:rsid w:val="00D00F2E"/>
    <w:rsid w:val="00D0112D"/>
    <w:rsid w:val="00D0120C"/>
    <w:rsid w:val="00D01803"/>
    <w:rsid w:val="00D019AB"/>
    <w:rsid w:val="00D019ED"/>
    <w:rsid w:val="00D02135"/>
    <w:rsid w:val="00D0280B"/>
    <w:rsid w:val="00D029D3"/>
    <w:rsid w:val="00D02B9B"/>
    <w:rsid w:val="00D02E03"/>
    <w:rsid w:val="00D02E49"/>
    <w:rsid w:val="00D02E69"/>
    <w:rsid w:val="00D0398C"/>
    <w:rsid w:val="00D039E8"/>
    <w:rsid w:val="00D03E72"/>
    <w:rsid w:val="00D04900"/>
    <w:rsid w:val="00D04C68"/>
    <w:rsid w:val="00D05262"/>
    <w:rsid w:val="00D05468"/>
    <w:rsid w:val="00D05485"/>
    <w:rsid w:val="00D054AB"/>
    <w:rsid w:val="00D059CD"/>
    <w:rsid w:val="00D0691B"/>
    <w:rsid w:val="00D069A8"/>
    <w:rsid w:val="00D06C49"/>
    <w:rsid w:val="00D06CD6"/>
    <w:rsid w:val="00D06DC5"/>
    <w:rsid w:val="00D06FBC"/>
    <w:rsid w:val="00D07A35"/>
    <w:rsid w:val="00D10ECC"/>
    <w:rsid w:val="00D1168C"/>
    <w:rsid w:val="00D11B27"/>
    <w:rsid w:val="00D11B70"/>
    <w:rsid w:val="00D124A8"/>
    <w:rsid w:val="00D12CE1"/>
    <w:rsid w:val="00D12EF5"/>
    <w:rsid w:val="00D1302D"/>
    <w:rsid w:val="00D1339B"/>
    <w:rsid w:val="00D13E5E"/>
    <w:rsid w:val="00D13F92"/>
    <w:rsid w:val="00D141C4"/>
    <w:rsid w:val="00D153EE"/>
    <w:rsid w:val="00D1566A"/>
    <w:rsid w:val="00D1571C"/>
    <w:rsid w:val="00D16191"/>
    <w:rsid w:val="00D16505"/>
    <w:rsid w:val="00D16C4C"/>
    <w:rsid w:val="00D16C8D"/>
    <w:rsid w:val="00D1735C"/>
    <w:rsid w:val="00D17646"/>
    <w:rsid w:val="00D17711"/>
    <w:rsid w:val="00D17916"/>
    <w:rsid w:val="00D17939"/>
    <w:rsid w:val="00D201B4"/>
    <w:rsid w:val="00D2082F"/>
    <w:rsid w:val="00D2084B"/>
    <w:rsid w:val="00D20ABD"/>
    <w:rsid w:val="00D20F7C"/>
    <w:rsid w:val="00D20FF5"/>
    <w:rsid w:val="00D212AE"/>
    <w:rsid w:val="00D212D2"/>
    <w:rsid w:val="00D2135A"/>
    <w:rsid w:val="00D214CA"/>
    <w:rsid w:val="00D215CB"/>
    <w:rsid w:val="00D226EE"/>
    <w:rsid w:val="00D228EB"/>
    <w:rsid w:val="00D22DB0"/>
    <w:rsid w:val="00D22F56"/>
    <w:rsid w:val="00D22F83"/>
    <w:rsid w:val="00D2332D"/>
    <w:rsid w:val="00D23490"/>
    <w:rsid w:val="00D23495"/>
    <w:rsid w:val="00D23535"/>
    <w:rsid w:val="00D23A81"/>
    <w:rsid w:val="00D23B5B"/>
    <w:rsid w:val="00D241DE"/>
    <w:rsid w:val="00D242BC"/>
    <w:rsid w:val="00D247D0"/>
    <w:rsid w:val="00D24BBB"/>
    <w:rsid w:val="00D24BCB"/>
    <w:rsid w:val="00D25023"/>
    <w:rsid w:val="00D25124"/>
    <w:rsid w:val="00D2527B"/>
    <w:rsid w:val="00D256B8"/>
    <w:rsid w:val="00D25748"/>
    <w:rsid w:val="00D25B2F"/>
    <w:rsid w:val="00D25C0C"/>
    <w:rsid w:val="00D26392"/>
    <w:rsid w:val="00D268DD"/>
    <w:rsid w:val="00D26952"/>
    <w:rsid w:val="00D26A42"/>
    <w:rsid w:val="00D26C09"/>
    <w:rsid w:val="00D26ED4"/>
    <w:rsid w:val="00D26FC5"/>
    <w:rsid w:val="00D26FCD"/>
    <w:rsid w:val="00D26FDD"/>
    <w:rsid w:val="00D27710"/>
    <w:rsid w:val="00D30015"/>
    <w:rsid w:val="00D300B8"/>
    <w:rsid w:val="00D300D3"/>
    <w:rsid w:val="00D30ACD"/>
    <w:rsid w:val="00D30B0E"/>
    <w:rsid w:val="00D314FE"/>
    <w:rsid w:val="00D317F9"/>
    <w:rsid w:val="00D31DA0"/>
    <w:rsid w:val="00D329BA"/>
    <w:rsid w:val="00D329D7"/>
    <w:rsid w:val="00D329E7"/>
    <w:rsid w:val="00D329EF"/>
    <w:rsid w:val="00D32F1B"/>
    <w:rsid w:val="00D3305B"/>
    <w:rsid w:val="00D3305E"/>
    <w:rsid w:val="00D33773"/>
    <w:rsid w:val="00D337C8"/>
    <w:rsid w:val="00D338F5"/>
    <w:rsid w:val="00D343C1"/>
    <w:rsid w:val="00D3469E"/>
    <w:rsid w:val="00D346DA"/>
    <w:rsid w:val="00D34816"/>
    <w:rsid w:val="00D353A3"/>
    <w:rsid w:val="00D35561"/>
    <w:rsid w:val="00D35614"/>
    <w:rsid w:val="00D35BD8"/>
    <w:rsid w:val="00D35BFF"/>
    <w:rsid w:val="00D35DE3"/>
    <w:rsid w:val="00D3618E"/>
    <w:rsid w:val="00D3660A"/>
    <w:rsid w:val="00D36CC3"/>
    <w:rsid w:val="00D36D11"/>
    <w:rsid w:val="00D371AC"/>
    <w:rsid w:val="00D373F5"/>
    <w:rsid w:val="00D37705"/>
    <w:rsid w:val="00D379CE"/>
    <w:rsid w:val="00D37C94"/>
    <w:rsid w:val="00D4065C"/>
    <w:rsid w:val="00D40D74"/>
    <w:rsid w:val="00D410BF"/>
    <w:rsid w:val="00D412D8"/>
    <w:rsid w:val="00D41713"/>
    <w:rsid w:val="00D4174A"/>
    <w:rsid w:val="00D41A33"/>
    <w:rsid w:val="00D420D9"/>
    <w:rsid w:val="00D4241F"/>
    <w:rsid w:val="00D42BD3"/>
    <w:rsid w:val="00D42BF7"/>
    <w:rsid w:val="00D43165"/>
    <w:rsid w:val="00D435B1"/>
    <w:rsid w:val="00D444EF"/>
    <w:rsid w:val="00D44755"/>
    <w:rsid w:val="00D44BFF"/>
    <w:rsid w:val="00D44C07"/>
    <w:rsid w:val="00D44E60"/>
    <w:rsid w:val="00D44FE4"/>
    <w:rsid w:val="00D44FF5"/>
    <w:rsid w:val="00D450EC"/>
    <w:rsid w:val="00D45928"/>
    <w:rsid w:val="00D45C90"/>
    <w:rsid w:val="00D45E5B"/>
    <w:rsid w:val="00D460AA"/>
    <w:rsid w:val="00D462E4"/>
    <w:rsid w:val="00D46601"/>
    <w:rsid w:val="00D468AC"/>
    <w:rsid w:val="00D46F9E"/>
    <w:rsid w:val="00D47093"/>
    <w:rsid w:val="00D47245"/>
    <w:rsid w:val="00D47318"/>
    <w:rsid w:val="00D47B74"/>
    <w:rsid w:val="00D50262"/>
    <w:rsid w:val="00D50547"/>
    <w:rsid w:val="00D506B3"/>
    <w:rsid w:val="00D50824"/>
    <w:rsid w:val="00D50833"/>
    <w:rsid w:val="00D50AB4"/>
    <w:rsid w:val="00D5110D"/>
    <w:rsid w:val="00D5136A"/>
    <w:rsid w:val="00D51802"/>
    <w:rsid w:val="00D51F70"/>
    <w:rsid w:val="00D52354"/>
    <w:rsid w:val="00D5251F"/>
    <w:rsid w:val="00D52521"/>
    <w:rsid w:val="00D527D6"/>
    <w:rsid w:val="00D5280B"/>
    <w:rsid w:val="00D52E6C"/>
    <w:rsid w:val="00D5348A"/>
    <w:rsid w:val="00D534C4"/>
    <w:rsid w:val="00D53848"/>
    <w:rsid w:val="00D53AEA"/>
    <w:rsid w:val="00D540BA"/>
    <w:rsid w:val="00D54294"/>
    <w:rsid w:val="00D5454A"/>
    <w:rsid w:val="00D54786"/>
    <w:rsid w:val="00D54BD2"/>
    <w:rsid w:val="00D54E07"/>
    <w:rsid w:val="00D54EBD"/>
    <w:rsid w:val="00D54FB6"/>
    <w:rsid w:val="00D55093"/>
    <w:rsid w:val="00D55B4E"/>
    <w:rsid w:val="00D55EC4"/>
    <w:rsid w:val="00D561FD"/>
    <w:rsid w:val="00D567CF"/>
    <w:rsid w:val="00D5691A"/>
    <w:rsid w:val="00D56D71"/>
    <w:rsid w:val="00D57272"/>
    <w:rsid w:val="00D5758E"/>
    <w:rsid w:val="00D57728"/>
    <w:rsid w:val="00D579F1"/>
    <w:rsid w:val="00D57E95"/>
    <w:rsid w:val="00D60400"/>
    <w:rsid w:val="00D6043F"/>
    <w:rsid w:val="00D60557"/>
    <w:rsid w:val="00D6077E"/>
    <w:rsid w:val="00D60875"/>
    <w:rsid w:val="00D60B97"/>
    <w:rsid w:val="00D6195A"/>
    <w:rsid w:val="00D61A30"/>
    <w:rsid w:val="00D61C2E"/>
    <w:rsid w:val="00D61E69"/>
    <w:rsid w:val="00D61EC0"/>
    <w:rsid w:val="00D622FD"/>
    <w:rsid w:val="00D626F2"/>
    <w:rsid w:val="00D62889"/>
    <w:rsid w:val="00D62EC0"/>
    <w:rsid w:val="00D63BFC"/>
    <w:rsid w:val="00D64133"/>
    <w:rsid w:val="00D643DE"/>
    <w:rsid w:val="00D64AF6"/>
    <w:rsid w:val="00D64EC7"/>
    <w:rsid w:val="00D64F94"/>
    <w:rsid w:val="00D6545A"/>
    <w:rsid w:val="00D65534"/>
    <w:rsid w:val="00D6579C"/>
    <w:rsid w:val="00D65EC4"/>
    <w:rsid w:val="00D65F1E"/>
    <w:rsid w:val="00D66941"/>
    <w:rsid w:val="00D66A1C"/>
    <w:rsid w:val="00D66FEE"/>
    <w:rsid w:val="00D6701D"/>
    <w:rsid w:val="00D674C9"/>
    <w:rsid w:val="00D675EA"/>
    <w:rsid w:val="00D676E8"/>
    <w:rsid w:val="00D67ABA"/>
    <w:rsid w:val="00D701F9"/>
    <w:rsid w:val="00D70F90"/>
    <w:rsid w:val="00D70FFE"/>
    <w:rsid w:val="00D71B66"/>
    <w:rsid w:val="00D71B76"/>
    <w:rsid w:val="00D721FA"/>
    <w:rsid w:val="00D722A5"/>
    <w:rsid w:val="00D726E5"/>
    <w:rsid w:val="00D728AB"/>
    <w:rsid w:val="00D728D1"/>
    <w:rsid w:val="00D729B7"/>
    <w:rsid w:val="00D72AA9"/>
    <w:rsid w:val="00D72E1F"/>
    <w:rsid w:val="00D731BF"/>
    <w:rsid w:val="00D7334B"/>
    <w:rsid w:val="00D734F0"/>
    <w:rsid w:val="00D73AB2"/>
    <w:rsid w:val="00D74066"/>
    <w:rsid w:val="00D74B55"/>
    <w:rsid w:val="00D7500C"/>
    <w:rsid w:val="00D7544D"/>
    <w:rsid w:val="00D755C1"/>
    <w:rsid w:val="00D7596F"/>
    <w:rsid w:val="00D75ABD"/>
    <w:rsid w:val="00D75FCC"/>
    <w:rsid w:val="00D7631B"/>
    <w:rsid w:val="00D767A4"/>
    <w:rsid w:val="00D76865"/>
    <w:rsid w:val="00D76F4D"/>
    <w:rsid w:val="00D77033"/>
    <w:rsid w:val="00D77132"/>
    <w:rsid w:val="00D7769F"/>
    <w:rsid w:val="00D776DB"/>
    <w:rsid w:val="00D777F5"/>
    <w:rsid w:val="00D77C97"/>
    <w:rsid w:val="00D80006"/>
    <w:rsid w:val="00D801C6"/>
    <w:rsid w:val="00D8064D"/>
    <w:rsid w:val="00D807E1"/>
    <w:rsid w:val="00D80902"/>
    <w:rsid w:val="00D80EB1"/>
    <w:rsid w:val="00D810AD"/>
    <w:rsid w:val="00D8130E"/>
    <w:rsid w:val="00D81AAA"/>
    <w:rsid w:val="00D81E91"/>
    <w:rsid w:val="00D827A1"/>
    <w:rsid w:val="00D828F1"/>
    <w:rsid w:val="00D82AC4"/>
    <w:rsid w:val="00D82DFA"/>
    <w:rsid w:val="00D83148"/>
    <w:rsid w:val="00D8320C"/>
    <w:rsid w:val="00D83276"/>
    <w:rsid w:val="00D833C2"/>
    <w:rsid w:val="00D83F2E"/>
    <w:rsid w:val="00D840B5"/>
    <w:rsid w:val="00D84B95"/>
    <w:rsid w:val="00D84CD1"/>
    <w:rsid w:val="00D84E63"/>
    <w:rsid w:val="00D853AC"/>
    <w:rsid w:val="00D854C8"/>
    <w:rsid w:val="00D85EF5"/>
    <w:rsid w:val="00D8632A"/>
    <w:rsid w:val="00D86457"/>
    <w:rsid w:val="00D86821"/>
    <w:rsid w:val="00D86943"/>
    <w:rsid w:val="00D86BEF"/>
    <w:rsid w:val="00D87048"/>
    <w:rsid w:val="00D8758A"/>
    <w:rsid w:val="00D87B0D"/>
    <w:rsid w:val="00D87E9F"/>
    <w:rsid w:val="00D90026"/>
    <w:rsid w:val="00D900B5"/>
    <w:rsid w:val="00D90154"/>
    <w:rsid w:val="00D904AA"/>
    <w:rsid w:val="00D90AA1"/>
    <w:rsid w:val="00D90BED"/>
    <w:rsid w:val="00D90F09"/>
    <w:rsid w:val="00D90F64"/>
    <w:rsid w:val="00D910DF"/>
    <w:rsid w:val="00D9113E"/>
    <w:rsid w:val="00D91678"/>
    <w:rsid w:val="00D916BD"/>
    <w:rsid w:val="00D917DB"/>
    <w:rsid w:val="00D91C75"/>
    <w:rsid w:val="00D92239"/>
    <w:rsid w:val="00D9253E"/>
    <w:rsid w:val="00D929E5"/>
    <w:rsid w:val="00D92BC3"/>
    <w:rsid w:val="00D92CE8"/>
    <w:rsid w:val="00D93553"/>
    <w:rsid w:val="00D93567"/>
    <w:rsid w:val="00D93663"/>
    <w:rsid w:val="00D9368F"/>
    <w:rsid w:val="00D94037"/>
    <w:rsid w:val="00D942DB"/>
    <w:rsid w:val="00D94C09"/>
    <w:rsid w:val="00D956BB"/>
    <w:rsid w:val="00D95747"/>
    <w:rsid w:val="00D95FF2"/>
    <w:rsid w:val="00D96C51"/>
    <w:rsid w:val="00D96D56"/>
    <w:rsid w:val="00D96DCC"/>
    <w:rsid w:val="00D96DE4"/>
    <w:rsid w:val="00D96FE6"/>
    <w:rsid w:val="00D97447"/>
    <w:rsid w:val="00D97922"/>
    <w:rsid w:val="00D979A0"/>
    <w:rsid w:val="00D97A74"/>
    <w:rsid w:val="00DA0042"/>
    <w:rsid w:val="00DA02BB"/>
    <w:rsid w:val="00DA032B"/>
    <w:rsid w:val="00DA049B"/>
    <w:rsid w:val="00DA0596"/>
    <w:rsid w:val="00DA0761"/>
    <w:rsid w:val="00DA07F2"/>
    <w:rsid w:val="00DA0A5C"/>
    <w:rsid w:val="00DA0E0A"/>
    <w:rsid w:val="00DA1231"/>
    <w:rsid w:val="00DA1B99"/>
    <w:rsid w:val="00DA1FBF"/>
    <w:rsid w:val="00DA26F3"/>
    <w:rsid w:val="00DA29A8"/>
    <w:rsid w:val="00DA2A50"/>
    <w:rsid w:val="00DA2A51"/>
    <w:rsid w:val="00DA2AE7"/>
    <w:rsid w:val="00DA3121"/>
    <w:rsid w:val="00DA3E65"/>
    <w:rsid w:val="00DA40DD"/>
    <w:rsid w:val="00DA4297"/>
    <w:rsid w:val="00DA4400"/>
    <w:rsid w:val="00DA4435"/>
    <w:rsid w:val="00DA4B96"/>
    <w:rsid w:val="00DA4DF2"/>
    <w:rsid w:val="00DA5243"/>
    <w:rsid w:val="00DA5A8D"/>
    <w:rsid w:val="00DA5A92"/>
    <w:rsid w:val="00DA5AFB"/>
    <w:rsid w:val="00DA5FAC"/>
    <w:rsid w:val="00DA6460"/>
    <w:rsid w:val="00DA6B38"/>
    <w:rsid w:val="00DB0883"/>
    <w:rsid w:val="00DB09C5"/>
    <w:rsid w:val="00DB0AA5"/>
    <w:rsid w:val="00DB0B25"/>
    <w:rsid w:val="00DB1377"/>
    <w:rsid w:val="00DB18A0"/>
    <w:rsid w:val="00DB1BFB"/>
    <w:rsid w:val="00DB24EC"/>
    <w:rsid w:val="00DB3188"/>
    <w:rsid w:val="00DB34DB"/>
    <w:rsid w:val="00DB3E21"/>
    <w:rsid w:val="00DB421D"/>
    <w:rsid w:val="00DB4565"/>
    <w:rsid w:val="00DB5092"/>
    <w:rsid w:val="00DB54B5"/>
    <w:rsid w:val="00DB568C"/>
    <w:rsid w:val="00DB5C09"/>
    <w:rsid w:val="00DB5E96"/>
    <w:rsid w:val="00DB620E"/>
    <w:rsid w:val="00DB625D"/>
    <w:rsid w:val="00DB64FF"/>
    <w:rsid w:val="00DB7392"/>
    <w:rsid w:val="00DB75C4"/>
    <w:rsid w:val="00DB7725"/>
    <w:rsid w:val="00DB786F"/>
    <w:rsid w:val="00DB7882"/>
    <w:rsid w:val="00DC011B"/>
    <w:rsid w:val="00DC0578"/>
    <w:rsid w:val="00DC0A6A"/>
    <w:rsid w:val="00DC0BBA"/>
    <w:rsid w:val="00DC0BD9"/>
    <w:rsid w:val="00DC0CE8"/>
    <w:rsid w:val="00DC1273"/>
    <w:rsid w:val="00DC129D"/>
    <w:rsid w:val="00DC12A9"/>
    <w:rsid w:val="00DC1693"/>
    <w:rsid w:val="00DC16DD"/>
    <w:rsid w:val="00DC1A24"/>
    <w:rsid w:val="00DC1B33"/>
    <w:rsid w:val="00DC1F1A"/>
    <w:rsid w:val="00DC1F2E"/>
    <w:rsid w:val="00DC23C4"/>
    <w:rsid w:val="00DC23CA"/>
    <w:rsid w:val="00DC2509"/>
    <w:rsid w:val="00DC2B9D"/>
    <w:rsid w:val="00DC2E1A"/>
    <w:rsid w:val="00DC3781"/>
    <w:rsid w:val="00DC3C2B"/>
    <w:rsid w:val="00DC3E62"/>
    <w:rsid w:val="00DC4098"/>
    <w:rsid w:val="00DC4336"/>
    <w:rsid w:val="00DC4701"/>
    <w:rsid w:val="00DC48B0"/>
    <w:rsid w:val="00DC4B3B"/>
    <w:rsid w:val="00DC4CCC"/>
    <w:rsid w:val="00DC511D"/>
    <w:rsid w:val="00DC522E"/>
    <w:rsid w:val="00DC58EB"/>
    <w:rsid w:val="00DC5D5C"/>
    <w:rsid w:val="00DC5DFB"/>
    <w:rsid w:val="00DC5FEF"/>
    <w:rsid w:val="00DC6457"/>
    <w:rsid w:val="00DC691E"/>
    <w:rsid w:val="00DC6A0A"/>
    <w:rsid w:val="00DC6C9F"/>
    <w:rsid w:val="00DC71BF"/>
    <w:rsid w:val="00DC74C2"/>
    <w:rsid w:val="00DC7519"/>
    <w:rsid w:val="00DC7F30"/>
    <w:rsid w:val="00DD00B6"/>
    <w:rsid w:val="00DD019D"/>
    <w:rsid w:val="00DD06AC"/>
    <w:rsid w:val="00DD121D"/>
    <w:rsid w:val="00DD1A3D"/>
    <w:rsid w:val="00DD1A8B"/>
    <w:rsid w:val="00DD1B92"/>
    <w:rsid w:val="00DD1CC3"/>
    <w:rsid w:val="00DD1E27"/>
    <w:rsid w:val="00DD1F53"/>
    <w:rsid w:val="00DD24F0"/>
    <w:rsid w:val="00DD24F1"/>
    <w:rsid w:val="00DD29A7"/>
    <w:rsid w:val="00DD316D"/>
    <w:rsid w:val="00DD3B0A"/>
    <w:rsid w:val="00DD4529"/>
    <w:rsid w:val="00DD4724"/>
    <w:rsid w:val="00DD562B"/>
    <w:rsid w:val="00DD6217"/>
    <w:rsid w:val="00DD64D7"/>
    <w:rsid w:val="00DD6B15"/>
    <w:rsid w:val="00DD6D36"/>
    <w:rsid w:val="00DD6DC0"/>
    <w:rsid w:val="00DD70BB"/>
    <w:rsid w:val="00DD7103"/>
    <w:rsid w:val="00DD77BB"/>
    <w:rsid w:val="00DD7B37"/>
    <w:rsid w:val="00DE0EE6"/>
    <w:rsid w:val="00DE0F6B"/>
    <w:rsid w:val="00DE10FC"/>
    <w:rsid w:val="00DE18E0"/>
    <w:rsid w:val="00DE18E6"/>
    <w:rsid w:val="00DE199C"/>
    <w:rsid w:val="00DE1D02"/>
    <w:rsid w:val="00DE1E29"/>
    <w:rsid w:val="00DE2002"/>
    <w:rsid w:val="00DE23D6"/>
    <w:rsid w:val="00DE29C8"/>
    <w:rsid w:val="00DE2AB3"/>
    <w:rsid w:val="00DE2C88"/>
    <w:rsid w:val="00DE2C8F"/>
    <w:rsid w:val="00DE2EDC"/>
    <w:rsid w:val="00DE3224"/>
    <w:rsid w:val="00DE345D"/>
    <w:rsid w:val="00DE350D"/>
    <w:rsid w:val="00DE40F4"/>
    <w:rsid w:val="00DE424A"/>
    <w:rsid w:val="00DE4880"/>
    <w:rsid w:val="00DE4AE7"/>
    <w:rsid w:val="00DE53C5"/>
    <w:rsid w:val="00DE567C"/>
    <w:rsid w:val="00DE5C3B"/>
    <w:rsid w:val="00DE5E9B"/>
    <w:rsid w:val="00DE6089"/>
    <w:rsid w:val="00DE62CA"/>
    <w:rsid w:val="00DE6778"/>
    <w:rsid w:val="00DE6FF4"/>
    <w:rsid w:val="00DE740E"/>
    <w:rsid w:val="00DE75DC"/>
    <w:rsid w:val="00DE77AB"/>
    <w:rsid w:val="00DE7FC7"/>
    <w:rsid w:val="00DF17BF"/>
    <w:rsid w:val="00DF18C5"/>
    <w:rsid w:val="00DF2075"/>
    <w:rsid w:val="00DF289E"/>
    <w:rsid w:val="00DF2F46"/>
    <w:rsid w:val="00DF314B"/>
    <w:rsid w:val="00DF3506"/>
    <w:rsid w:val="00DF359F"/>
    <w:rsid w:val="00DF37F6"/>
    <w:rsid w:val="00DF382E"/>
    <w:rsid w:val="00DF38A2"/>
    <w:rsid w:val="00DF3B4B"/>
    <w:rsid w:val="00DF45D5"/>
    <w:rsid w:val="00DF479A"/>
    <w:rsid w:val="00DF4ACA"/>
    <w:rsid w:val="00DF4CC1"/>
    <w:rsid w:val="00DF4EA3"/>
    <w:rsid w:val="00DF4F18"/>
    <w:rsid w:val="00DF4F7F"/>
    <w:rsid w:val="00DF5100"/>
    <w:rsid w:val="00DF5171"/>
    <w:rsid w:val="00DF5269"/>
    <w:rsid w:val="00DF53B2"/>
    <w:rsid w:val="00DF59FE"/>
    <w:rsid w:val="00DF5BF5"/>
    <w:rsid w:val="00DF5CC9"/>
    <w:rsid w:val="00DF6717"/>
    <w:rsid w:val="00DF672E"/>
    <w:rsid w:val="00DF6D98"/>
    <w:rsid w:val="00DF71E4"/>
    <w:rsid w:val="00DF7406"/>
    <w:rsid w:val="00DF7D7E"/>
    <w:rsid w:val="00E00533"/>
    <w:rsid w:val="00E005CF"/>
    <w:rsid w:val="00E00B77"/>
    <w:rsid w:val="00E012D6"/>
    <w:rsid w:val="00E012EA"/>
    <w:rsid w:val="00E01680"/>
    <w:rsid w:val="00E01781"/>
    <w:rsid w:val="00E01D33"/>
    <w:rsid w:val="00E0213C"/>
    <w:rsid w:val="00E02160"/>
    <w:rsid w:val="00E022D8"/>
    <w:rsid w:val="00E0297A"/>
    <w:rsid w:val="00E029E8"/>
    <w:rsid w:val="00E02ACD"/>
    <w:rsid w:val="00E02C4E"/>
    <w:rsid w:val="00E02D99"/>
    <w:rsid w:val="00E0341E"/>
    <w:rsid w:val="00E035F9"/>
    <w:rsid w:val="00E03AA0"/>
    <w:rsid w:val="00E03AA9"/>
    <w:rsid w:val="00E03E19"/>
    <w:rsid w:val="00E03E30"/>
    <w:rsid w:val="00E03F16"/>
    <w:rsid w:val="00E03FA4"/>
    <w:rsid w:val="00E042F8"/>
    <w:rsid w:val="00E045D6"/>
    <w:rsid w:val="00E0468F"/>
    <w:rsid w:val="00E046B8"/>
    <w:rsid w:val="00E048BA"/>
    <w:rsid w:val="00E04E35"/>
    <w:rsid w:val="00E04F89"/>
    <w:rsid w:val="00E05118"/>
    <w:rsid w:val="00E0596E"/>
    <w:rsid w:val="00E05A9B"/>
    <w:rsid w:val="00E05AB4"/>
    <w:rsid w:val="00E05B2C"/>
    <w:rsid w:val="00E05FF2"/>
    <w:rsid w:val="00E0601D"/>
    <w:rsid w:val="00E0672F"/>
    <w:rsid w:val="00E067FC"/>
    <w:rsid w:val="00E06A24"/>
    <w:rsid w:val="00E07274"/>
    <w:rsid w:val="00E07277"/>
    <w:rsid w:val="00E07724"/>
    <w:rsid w:val="00E07820"/>
    <w:rsid w:val="00E078FA"/>
    <w:rsid w:val="00E07B14"/>
    <w:rsid w:val="00E07CB8"/>
    <w:rsid w:val="00E07D73"/>
    <w:rsid w:val="00E07E9D"/>
    <w:rsid w:val="00E100C4"/>
    <w:rsid w:val="00E100E7"/>
    <w:rsid w:val="00E10152"/>
    <w:rsid w:val="00E1030E"/>
    <w:rsid w:val="00E1044D"/>
    <w:rsid w:val="00E106B3"/>
    <w:rsid w:val="00E10E58"/>
    <w:rsid w:val="00E1121C"/>
    <w:rsid w:val="00E1152B"/>
    <w:rsid w:val="00E11881"/>
    <w:rsid w:val="00E118B8"/>
    <w:rsid w:val="00E119DA"/>
    <w:rsid w:val="00E125AE"/>
    <w:rsid w:val="00E12DF3"/>
    <w:rsid w:val="00E12E88"/>
    <w:rsid w:val="00E135D0"/>
    <w:rsid w:val="00E13652"/>
    <w:rsid w:val="00E13672"/>
    <w:rsid w:val="00E13911"/>
    <w:rsid w:val="00E139E3"/>
    <w:rsid w:val="00E13BA8"/>
    <w:rsid w:val="00E1426C"/>
    <w:rsid w:val="00E145C0"/>
    <w:rsid w:val="00E14723"/>
    <w:rsid w:val="00E14C94"/>
    <w:rsid w:val="00E14E00"/>
    <w:rsid w:val="00E14E5C"/>
    <w:rsid w:val="00E14EA4"/>
    <w:rsid w:val="00E150F5"/>
    <w:rsid w:val="00E15820"/>
    <w:rsid w:val="00E1589F"/>
    <w:rsid w:val="00E15F40"/>
    <w:rsid w:val="00E16137"/>
    <w:rsid w:val="00E16B8E"/>
    <w:rsid w:val="00E16E15"/>
    <w:rsid w:val="00E1702B"/>
    <w:rsid w:val="00E17946"/>
    <w:rsid w:val="00E17CBB"/>
    <w:rsid w:val="00E17E0A"/>
    <w:rsid w:val="00E17FAB"/>
    <w:rsid w:val="00E200A4"/>
    <w:rsid w:val="00E20E66"/>
    <w:rsid w:val="00E21278"/>
    <w:rsid w:val="00E219FC"/>
    <w:rsid w:val="00E224D1"/>
    <w:rsid w:val="00E226D1"/>
    <w:rsid w:val="00E22F73"/>
    <w:rsid w:val="00E23652"/>
    <w:rsid w:val="00E23E09"/>
    <w:rsid w:val="00E242B2"/>
    <w:rsid w:val="00E24584"/>
    <w:rsid w:val="00E24AAE"/>
    <w:rsid w:val="00E24F0C"/>
    <w:rsid w:val="00E250EA"/>
    <w:rsid w:val="00E253BA"/>
    <w:rsid w:val="00E255EE"/>
    <w:rsid w:val="00E2571E"/>
    <w:rsid w:val="00E25A38"/>
    <w:rsid w:val="00E25B82"/>
    <w:rsid w:val="00E25DB2"/>
    <w:rsid w:val="00E262AD"/>
    <w:rsid w:val="00E26575"/>
    <w:rsid w:val="00E2658E"/>
    <w:rsid w:val="00E26D2B"/>
    <w:rsid w:val="00E26FF0"/>
    <w:rsid w:val="00E272CF"/>
    <w:rsid w:val="00E27A60"/>
    <w:rsid w:val="00E27C42"/>
    <w:rsid w:val="00E301E0"/>
    <w:rsid w:val="00E301EA"/>
    <w:rsid w:val="00E3025D"/>
    <w:rsid w:val="00E30A6E"/>
    <w:rsid w:val="00E30B6E"/>
    <w:rsid w:val="00E30BDE"/>
    <w:rsid w:val="00E312CC"/>
    <w:rsid w:val="00E31CA1"/>
    <w:rsid w:val="00E31FEC"/>
    <w:rsid w:val="00E3207A"/>
    <w:rsid w:val="00E3283D"/>
    <w:rsid w:val="00E328A3"/>
    <w:rsid w:val="00E328DE"/>
    <w:rsid w:val="00E32946"/>
    <w:rsid w:val="00E32D11"/>
    <w:rsid w:val="00E33274"/>
    <w:rsid w:val="00E3327F"/>
    <w:rsid w:val="00E3353C"/>
    <w:rsid w:val="00E33618"/>
    <w:rsid w:val="00E338B0"/>
    <w:rsid w:val="00E3462F"/>
    <w:rsid w:val="00E34ADF"/>
    <w:rsid w:val="00E34D19"/>
    <w:rsid w:val="00E352A3"/>
    <w:rsid w:val="00E354F0"/>
    <w:rsid w:val="00E355E6"/>
    <w:rsid w:val="00E359D1"/>
    <w:rsid w:val="00E35BC3"/>
    <w:rsid w:val="00E35C41"/>
    <w:rsid w:val="00E362FC"/>
    <w:rsid w:val="00E36307"/>
    <w:rsid w:val="00E36E33"/>
    <w:rsid w:val="00E3705B"/>
    <w:rsid w:val="00E37765"/>
    <w:rsid w:val="00E377DD"/>
    <w:rsid w:val="00E379BF"/>
    <w:rsid w:val="00E37E65"/>
    <w:rsid w:val="00E37EB6"/>
    <w:rsid w:val="00E37F4F"/>
    <w:rsid w:val="00E404CF"/>
    <w:rsid w:val="00E40866"/>
    <w:rsid w:val="00E409D5"/>
    <w:rsid w:val="00E41067"/>
    <w:rsid w:val="00E41265"/>
    <w:rsid w:val="00E41C19"/>
    <w:rsid w:val="00E422D1"/>
    <w:rsid w:val="00E42880"/>
    <w:rsid w:val="00E429A5"/>
    <w:rsid w:val="00E42A3A"/>
    <w:rsid w:val="00E43745"/>
    <w:rsid w:val="00E437B8"/>
    <w:rsid w:val="00E43D80"/>
    <w:rsid w:val="00E4447A"/>
    <w:rsid w:val="00E44765"/>
    <w:rsid w:val="00E449FF"/>
    <w:rsid w:val="00E44C74"/>
    <w:rsid w:val="00E45684"/>
    <w:rsid w:val="00E4569E"/>
    <w:rsid w:val="00E459E2"/>
    <w:rsid w:val="00E45B0C"/>
    <w:rsid w:val="00E45CB4"/>
    <w:rsid w:val="00E46116"/>
    <w:rsid w:val="00E461B2"/>
    <w:rsid w:val="00E46388"/>
    <w:rsid w:val="00E46550"/>
    <w:rsid w:val="00E46AFF"/>
    <w:rsid w:val="00E4708C"/>
    <w:rsid w:val="00E4714D"/>
    <w:rsid w:val="00E4723D"/>
    <w:rsid w:val="00E472E2"/>
    <w:rsid w:val="00E47456"/>
    <w:rsid w:val="00E4761B"/>
    <w:rsid w:val="00E47C18"/>
    <w:rsid w:val="00E47F59"/>
    <w:rsid w:val="00E47FDF"/>
    <w:rsid w:val="00E5015B"/>
    <w:rsid w:val="00E5066A"/>
    <w:rsid w:val="00E508C7"/>
    <w:rsid w:val="00E50CEF"/>
    <w:rsid w:val="00E50D66"/>
    <w:rsid w:val="00E50F48"/>
    <w:rsid w:val="00E511D0"/>
    <w:rsid w:val="00E516E7"/>
    <w:rsid w:val="00E5188B"/>
    <w:rsid w:val="00E51A67"/>
    <w:rsid w:val="00E51B75"/>
    <w:rsid w:val="00E51E47"/>
    <w:rsid w:val="00E51E86"/>
    <w:rsid w:val="00E51E95"/>
    <w:rsid w:val="00E51E9C"/>
    <w:rsid w:val="00E51F50"/>
    <w:rsid w:val="00E5263D"/>
    <w:rsid w:val="00E52653"/>
    <w:rsid w:val="00E53312"/>
    <w:rsid w:val="00E5343B"/>
    <w:rsid w:val="00E53578"/>
    <w:rsid w:val="00E54B52"/>
    <w:rsid w:val="00E54DC4"/>
    <w:rsid w:val="00E54E6A"/>
    <w:rsid w:val="00E54ED9"/>
    <w:rsid w:val="00E550FA"/>
    <w:rsid w:val="00E554D9"/>
    <w:rsid w:val="00E557CA"/>
    <w:rsid w:val="00E55EA0"/>
    <w:rsid w:val="00E56073"/>
    <w:rsid w:val="00E56672"/>
    <w:rsid w:val="00E5682A"/>
    <w:rsid w:val="00E56B02"/>
    <w:rsid w:val="00E5788A"/>
    <w:rsid w:val="00E57901"/>
    <w:rsid w:val="00E57E12"/>
    <w:rsid w:val="00E57E6C"/>
    <w:rsid w:val="00E60322"/>
    <w:rsid w:val="00E603C0"/>
    <w:rsid w:val="00E60C26"/>
    <w:rsid w:val="00E60CB6"/>
    <w:rsid w:val="00E60DDD"/>
    <w:rsid w:val="00E60F2A"/>
    <w:rsid w:val="00E613F5"/>
    <w:rsid w:val="00E613FF"/>
    <w:rsid w:val="00E6153A"/>
    <w:rsid w:val="00E619BC"/>
    <w:rsid w:val="00E61EFD"/>
    <w:rsid w:val="00E622CF"/>
    <w:rsid w:val="00E627C3"/>
    <w:rsid w:val="00E62AF4"/>
    <w:rsid w:val="00E62C84"/>
    <w:rsid w:val="00E62D3A"/>
    <w:rsid w:val="00E62FCE"/>
    <w:rsid w:val="00E63220"/>
    <w:rsid w:val="00E64095"/>
    <w:rsid w:val="00E64153"/>
    <w:rsid w:val="00E64C76"/>
    <w:rsid w:val="00E652DA"/>
    <w:rsid w:val="00E656BF"/>
    <w:rsid w:val="00E656FC"/>
    <w:rsid w:val="00E6609E"/>
    <w:rsid w:val="00E66470"/>
    <w:rsid w:val="00E6661F"/>
    <w:rsid w:val="00E66C67"/>
    <w:rsid w:val="00E66CE8"/>
    <w:rsid w:val="00E674AA"/>
    <w:rsid w:val="00E674B6"/>
    <w:rsid w:val="00E675FD"/>
    <w:rsid w:val="00E67BC7"/>
    <w:rsid w:val="00E67C7E"/>
    <w:rsid w:val="00E67DDB"/>
    <w:rsid w:val="00E67E10"/>
    <w:rsid w:val="00E70173"/>
    <w:rsid w:val="00E707D8"/>
    <w:rsid w:val="00E70867"/>
    <w:rsid w:val="00E7095A"/>
    <w:rsid w:val="00E70B36"/>
    <w:rsid w:val="00E70BBF"/>
    <w:rsid w:val="00E71826"/>
    <w:rsid w:val="00E71B6B"/>
    <w:rsid w:val="00E72E83"/>
    <w:rsid w:val="00E7330E"/>
    <w:rsid w:val="00E735E4"/>
    <w:rsid w:val="00E7402B"/>
    <w:rsid w:val="00E74491"/>
    <w:rsid w:val="00E7482F"/>
    <w:rsid w:val="00E749DF"/>
    <w:rsid w:val="00E74FAC"/>
    <w:rsid w:val="00E75BC2"/>
    <w:rsid w:val="00E7618F"/>
    <w:rsid w:val="00E763E9"/>
    <w:rsid w:val="00E76CF7"/>
    <w:rsid w:val="00E76E58"/>
    <w:rsid w:val="00E770E8"/>
    <w:rsid w:val="00E77185"/>
    <w:rsid w:val="00E772CE"/>
    <w:rsid w:val="00E777A1"/>
    <w:rsid w:val="00E777EC"/>
    <w:rsid w:val="00E77B48"/>
    <w:rsid w:val="00E80827"/>
    <w:rsid w:val="00E809B5"/>
    <w:rsid w:val="00E80B0E"/>
    <w:rsid w:val="00E80D34"/>
    <w:rsid w:val="00E813F8"/>
    <w:rsid w:val="00E81452"/>
    <w:rsid w:val="00E82866"/>
    <w:rsid w:val="00E8289C"/>
    <w:rsid w:val="00E83AF5"/>
    <w:rsid w:val="00E83DC4"/>
    <w:rsid w:val="00E84225"/>
    <w:rsid w:val="00E84A1C"/>
    <w:rsid w:val="00E84F68"/>
    <w:rsid w:val="00E85D4C"/>
    <w:rsid w:val="00E86304"/>
    <w:rsid w:val="00E86434"/>
    <w:rsid w:val="00E86E6D"/>
    <w:rsid w:val="00E871C4"/>
    <w:rsid w:val="00E873D3"/>
    <w:rsid w:val="00E877C3"/>
    <w:rsid w:val="00E87898"/>
    <w:rsid w:val="00E87EFC"/>
    <w:rsid w:val="00E902A2"/>
    <w:rsid w:val="00E90306"/>
    <w:rsid w:val="00E907E9"/>
    <w:rsid w:val="00E9085B"/>
    <w:rsid w:val="00E908A6"/>
    <w:rsid w:val="00E91335"/>
    <w:rsid w:val="00E915A5"/>
    <w:rsid w:val="00E91887"/>
    <w:rsid w:val="00E919D2"/>
    <w:rsid w:val="00E91C1B"/>
    <w:rsid w:val="00E92199"/>
    <w:rsid w:val="00E9221C"/>
    <w:rsid w:val="00E926C5"/>
    <w:rsid w:val="00E928B6"/>
    <w:rsid w:val="00E929C9"/>
    <w:rsid w:val="00E92F0E"/>
    <w:rsid w:val="00E92F92"/>
    <w:rsid w:val="00E94296"/>
    <w:rsid w:val="00E94476"/>
    <w:rsid w:val="00E94580"/>
    <w:rsid w:val="00E94D4F"/>
    <w:rsid w:val="00E94DB9"/>
    <w:rsid w:val="00E94E98"/>
    <w:rsid w:val="00E94F42"/>
    <w:rsid w:val="00E952B1"/>
    <w:rsid w:val="00E95353"/>
    <w:rsid w:val="00E95453"/>
    <w:rsid w:val="00E954F9"/>
    <w:rsid w:val="00E95CE6"/>
    <w:rsid w:val="00E95E6C"/>
    <w:rsid w:val="00E95E93"/>
    <w:rsid w:val="00E962AE"/>
    <w:rsid w:val="00E96B6E"/>
    <w:rsid w:val="00E97130"/>
    <w:rsid w:val="00E97A39"/>
    <w:rsid w:val="00EA0088"/>
    <w:rsid w:val="00EA0357"/>
    <w:rsid w:val="00EA04B3"/>
    <w:rsid w:val="00EA05DB"/>
    <w:rsid w:val="00EA0641"/>
    <w:rsid w:val="00EA19AA"/>
    <w:rsid w:val="00EA1CAB"/>
    <w:rsid w:val="00EA268A"/>
    <w:rsid w:val="00EA297B"/>
    <w:rsid w:val="00EA2B78"/>
    <w:rsid w:val="00EA2EB1"/>
    <w:rsid w:val="00EA2F22"/>
    <w:rsid w:val="00EA3134"/>
    <w:rsid w:val="00EA324D"/>
    <w:rsid w:val="00EA370A"/>
    <w:rsid w:val="00EA3853"/>
    <w:rsid w:val="00EA3C6D"/>
    <w:rsid w:val="00EA4541"/>
    <w:rsid w:val="00EA481F"/>
    <w:rsid w:val="00EA48CB"/>
    <w:rsid w:val="00EA48CC"/>
    <w:rsid w:val="00EA4A56"/>
    <w:rsid w:val="00EA4C11"/>
    <w:rsid w:val="00EA4D08"/>
    <w:rsid w:val="00EA5527"/>
    <w:rsid w:val="00EA55C6"/>
    <w:rsid w:val="00EA584E"/>
    <w:rsid w:val="00EA612C"/>
    <w:rsid w:val="00EA6187"/>
    <w:rsid w:val="00EA6C73"/>
    <w:rsid w:val="00EA6D97"/>
    <w:rsid w:val="00EA6E0D"/>
    <w:rsid w:val="00EA7216"/>
    <w:rsid w:val="00EA7CC6"/>
    <w:rsid w:val="00EB00BA"/>
    <w:rsid w:val="00EB01B5"/>
    <w:rsid w:val="00EB08E4"/>
    <w:rsid w:val="00EB09CE"/>
    <w:rsid w:val="00EB0FA0"/>
    <w:rsid w:val="00EB13C6"/>
    <w:rsid w:val="00EB1772"/>
    <w:rsid w:val="00EB1A1B"/>
    <w:rsid w:val="00EB1D27"/>
    <w:rsid w:val="00EB224B"/>
    <w:rsid w:val="00EB2996"/>
    <w:rsid w:val="00EB2CA1"/>
    <w:rsid w:val="00EB2EDB"/>
    <w:rsid w:val="00EB3060"/>
    <w:rsid w:val="00EB32DB"/>
    <w:rsid w:val="00EB3A67"/>
    <w:rsid w:val="00EB3DC2"/>
    <w:rsid w:val="00EB403D"/>
    <w:rsid w:val="00EB42B0"/>
    <w:rsid w:val="00EB4D6D"/>
    <w:rsid w:val="00EB5A24"/>
    <w:rsid w:val="00EB5A40"/>
    <w:rsid w:val="00EB5AD7"/>
    <w:rsid w:val="00EB5CC3"/>
    <w:rsid w:val="00EB5E83"/>
    <w:rsid w:val="00EB5EEA"/>
    <w:rsid w:val="00EB5F9D"/>
    <w:rsid w:val="00EB660D"/>
    <w:rsid w:val="00EB6C9D"/>
    <w:rsid w:val="00EC082D"/>
    <w:rsid w:val="00EC13CC"/>
    <w:rsid w:val="00EC152A"/>
    <w:rsid w:val="00EC15C4"/>
    <w:rsid w:val="00EC15D0"/>
    <w:rsid w:val="00EC180A"/>
    <w:rsid w:val="00EC20BE"/>
    <w:rsid w:val="00EC2F3F"/>
    <w:rsid w:val="00EC3032"/>
    <w:rsid w:val="00EC31D7"/>
    <w:rsid w:val="00EC323B"/>
    <w:rsid w:val="00EC347C"/>
    <w:rsid w:val="00EC3C57"/>
    <w:rsid w:val="00EC3C71"/>
    <w:rsid w:val="00EC3CE4"/>
    <w:rsid w:val="00EC3CF3"/>
    <w:rsid w:val="00EC4179"/>
    <w:rsid w:val="00EC4351"/>
    <w:rsid w:val="00EC4428"/>
    <w:rsid w:val="00EC4AC9"/>
    <w:rsid w:val="00EC4D80"/>
    <w:rsid w:val="00EC533B"/>
    <w:rsid w:val="00EC5808"/>
    <w:rsid w:val="00EC58F5"/>
    <w:rsid w:val="00EC59A3"/>
    <w:rsid w:val="00EC5B42"/>
    <w:rsid w:val="00EC5FBF"/>
    <w:rsid w:val="00EC6082"/>
    <w:rsid w:val="00EC60E7"/>
    <w:rsid w:val="00EC60F9"/>
    <w:rsid w:val="00EC61C2"/>
    <w:rsid w:val="00EC6758"/>
    <w:rsid w:val="00EC68B7"/>
    <w:rsid w:val="00EC6BC8"/>
    <w:rsid w:val="00EC6D04"/>
    <w:rsid w:val="00EC6D8E"/>
    <w:rsid w:val="00EC78D0"/>
    <w:rsid w:val="00EC7B05"/>
    <w:rsid w:val="00EC7D0D"/>
    <w:rsid w:val="00EC7E23"/>
    <w:rsid w:val="00ED0327"/>
    <w:rsid w:val="00ED0365"/>
    <w:rsid w:val="00ED06DD"/>
    <w:rsid w:val="00ED074A"/>
    <w:rsid w:val="00ED0B91"/>
    <w:rsid w:val="00ED0CDD"/>
    <w:rsid w:val="00ED137F"/>
    <w:rsid w:val="00ED24CB"/>
    <w:rsid w:val="00ED2F92"/>
    <w:rsid w:val="00ED337A"/>
    <w:rsid w:val="00ED4387"/>
    <w:rsid w:val="00ED440D"/>
    <w:rsid w:val="00ED4914"/>
    <w:rsid w:val="00ED49FE"/>
    <w:rsid w:val="00ED4E1C"/>
    <w:rsid w:val="00ED51A5"/>
    <w:rsid w:val="00ED560B"/>
    <w:rsid w:val="00ED57C5"/>
    <w:rsid w:val="00ED6361"/>
    <w:rsid w:val="00ED657A"/>
    <w:rsid w:val="00ED6792"/>
    <w:rsid w:val="00ED6876"/>
    <w:rsid w:val="00ED72DB"/>
    <w:rsid w:val="00ED7492"/>
    <w:rsid w:val="00ED768F"/>
    <w:rsid w:val="00EE0744"/>
    <w:rsid w:val="00EE0AD7"/>
    <w:rsid w:val="00EE0C81"/>
    <w:rsid w:val="00EE0D45"/>
    <w:rsid w:val="00EE0F87"/>
    <w:rsid w:val="00EE141D"/>
    <w:rsid w:val="00EE167C"/>
    <w:rsid w:val="00EE16AE"/>
    <w:rsid w:val="00EE1925"/>
    <w:rsid w:val="00EE1DB7"/>
    <w:rsid w:val="00EE1E62"/>
    <w:rsid w:val="00EE2076"/>
    <w:rsid w:val="00EE232B"/>
    <w:rsid w:val="00EE29D5"/>
    <w:rsid w:val="00EE2F5B"/>
    <w:rsid w:val="00EE3447"/>
    <w:rsid w:val="00EE3A46"/>
    <w:rsid w:val="00EE3DD8"/>
    <w:rsid w:val="00EE418E"/>
    <w:rsid w:val="00EE440C"/>
    <w:rsid w:val="00EE47A8"/>
    <w:rsid w:val="00EE493C"/>
    <w:rsid w:val="00EE49ED"/>
    <w:rsid w:val="00EE4D38"/>
    <w:rsid w:val="00EE51E6"/>
    <w:rsid w:val="00EE5B6C"/>
    <w:rsid w:val="00EE5BD1"/>
    <w:rsid w:val="00EE6003"/>
    <w:rsid w:val="00EE63E8"/>
    <w:rsid w:val="00EE64EA"/>
    <w:rsid w:val="00EE662B"/>
    <w:rsid w:val="00EE6A54"/>
    <w:rsid w:val="00EE6B1D"/>
    <w:rsid w:val="00EE71CE"/>
    <w:rsid w:val="00EE7241"/>
    <w:rsid w:val="00EE74C5"/>
    <w:rsid w:val="00EE7A2F"/>
    <w:rsid w:val="00EE7B66"/>
    <w:rsid w:val="00EE7FE8"/>
    <w:rsid w:val="00EF0909"/>
    <w:rsid w:val="00EF14C2"/>
    <w:rsid w:val="00EF1C6F"/>
    <w:rsid w:val="00EF2219"/>
    <w:rsid w:val="00EF24F7"/>
    <w:rsid w:val="00EF28C2"/>
    <w:rsid w:val="00EF2E39"/>
    <w:rsid w:val="00EF2EFB"/>
    <w:rsid w:val="00EF321F"/>
    <w:rsid w:val="00EF3A53"/>
    <w:rsid w:val="00EF3AB9"/>
    <w:rsid w:val="00EF3C6D"/>
    <w:rsid w:val="00EF3E9B"/>
    <w:rsid w:val="00EF4079"/>
    <w:rsid w:val="00EF48E8"/>
    <w:rsid w:val="00EF4B3C"/>
    <w:rsid w:val="00EF5058"/>
    <w:rsid w:val="00EF508E"/>
    <w:rsid w:val="00EF53F3"/>
    <w:rsid w:val="00EF5C92"/>
    <w:rsid w:val="00EF6154"/>
    <w:rsid w:val="00EF62CC"/>
    <w:rsid w:val="00EF647B"/>
    <w:rsid w:val="00EF70A9"/>
    <w:rsid w:val="00EF74BE"/>
    <w:rsid w:val="00EF7580"/>
    <w:rsid w:val="00EF774C"/>
    <w:rsid w:val="00EF7D3F"/>
    <w:rsid w:val="00F000B5"/>
    <w:rsid w:val="00F00F81"/>
    <w:rsid w:val="00F0109C"/>
    <w:rsid w:val="00F0155E"/>
    <w:rsid w:val="00F018D5"/>
    <w:rsid w:val="00F018F8"/>
    <w:rsid w:val="00F0192E"/>
    <w:rsid w:val="00F0228D"/>
    <w:rsid w:val="00F02401"/>
    <w:rsid w:val="00F0298F"/>
    <w:rsid w:val="00F02BAA"/>
    <w:rsid w:val="00F02FD9"/>
    <w:rsid w:val="00F03084"/>
    <w:rsid w:val="00F0355F"/>
    <w:rsid w:val="00F039F1"/>
    <w:rsid w:val="00F03A80"/>
    <w:rsid w:val="00F0405E"/>
    <w:rsid w:val="00F04850"/>
    <w:rsid w:val="00F04BFF"/>
    <w:rsid w:val="00F04C6D"/>
    <w:rsid w:val="00F054DB"/>
    <w:rsid w:val="00F057B3"/>
    <w:rsid w:val="00F05F80"/>
    <w:rsid w:val="00F05F8D"/>
    <w:rsid w:val="00F0604F"/>
    <w:rsid w:val="00F06339"/>
    <w:rsid w:val="00F06FE7"/>
    <w:rsid w:val="00F07215"/>
    <w:rsid w:val="00F07247"/>
    <w:rsid w:val="00F07A5E"/>
    <w:rsid w:val="00F07AAA"/>
    <w:rsid w:val="00F07FA6"/>
    <w:rsid w:val="00F07FB5"/>
    <w:rsid w:val="00F10040"/>
    <w:rsid w:val="00F10421"/>
    <w:rsid w:val="00F10695"/>
    <w:rsid w:val="00F109BB"/>
    <w:rsid w:val="00F10A44"/>
    <w:rsid w:val="00F10E3E"/>
    <w:rsid w:val="00F117C9"/>
    <w:rsid w:val="00F126D8"/>
    <w:rsid w:val="00F1284B"/>
    <w:rsid w:val="00F12D9A"/>
    <w:rsid w:val="00F13006"/>
    <w:rsid w:val="00F1304A"/>
    <w:rsid w:val="00F1355F"/>
    <w:rsid w:val="00F135CC"/>
    <w:rsid w:val="00F13A4D"/>
    <w:rsid w:val="00F13AB8"/>
    <w:rsid w:val="00F13B6D"/>
    <w:rsid w:val="00F141C0"/>
    <w:rsid w:val="00F141F6"/>
    <w:rsid w:val="00F14315"/>
    <w:rsid w:val="00F15C25"/>
    <w:rsid w:val="00F15D70"/>
    <w:rsid w:val="00F16CC2"/>
    <w:rsid w:val="00F16E9F"/>
    <w:rsid w:val="00F170A8"/>
    <w:rsid w:val="00F17397"/>
    <w:rsid w:val="00F17AB2"/>
    <w:rsid w:val="00F17AFD"/>
    <w:rsid w:val="00F17B00"/>
    <w:rsid w:val="00F20264"/>
    <w:rsid w:val="00F20398"/>
    <w:rsid w:val="00F20565"/>
    <w:rsid w:val="00F20653"/>
    <w:rsid w:val="00F20731"/>
    <w:rsid w:val="00F208C8"/>
    <w:rsid w:val="00F212B4"/>
    <w:rsid w:val="00F2187C"/>
    <w:rsid w:val="00F2187D"/>
    <w:rsid w:val="00F21BF6"/>
    <w:rsid w:val="00F21C36"/>
    <w:rsid w:val="00F22559"/>
    <w:rsid w:val="00F225FA"/>
    <w:rsid w:val="00F2291F"/>
    <w:rsid w:val="00F22B10"/>
    <w:rsid w:val="00F22FBC"/>
    <w:rsid w:val="00F23033"/>
    <w:rsid w:val="00F236B9"/>
    <w:rsid w:val="00F23B0C"/>
    <w:rsid w:val="00F23B79"/>
    <w:rsid w:val="00F23BB1"/>
    <w:rsid w:val="00F23C61"/>
    <w:rsid w:val="00F23CC7"/>
    <w:rsid w:val="00F24398"/>
    <w:rsid w:val="00F245A7"/>
    <w:rsid w:val="00F248B4"/>
    <w:rsid w:val="00F24E5C"/>
    <w:rsid w:val="00F24ECA"/>
    <w:rsid w:val="00F2591B"/>
    <w:rsid w:val="00F2626E"/>
    <w:rsid w:val="00F263F2"/>
    <w:rsid w:val="00F26B82"/>
    <w:rsid w:val="00F26C74"/>
    <w:rsid w:val="00F26EF4"/>
    <w:rsid w:val="00F273E9"/>
    <w:rsid w:val="00F276B8"/>
    <w:rsid w:val="00F2775C"/>
    <w:rsid w:val="00F27A80"/>
    <w:rsid w:val="00F30179"/>
    <w:rsid w:val="00F302A7"/>
    <w:rsid w:val="00F30836"/>
    <w:rsid w:val="00F30844"/>
    <w:rsid w:val="00F314A5"/>
    <w:rsid w:val="00F31909"/>
    <w:rsid w:val="00F31E60"/>
    <w:rsid w:val="00F31EEE"/>
    <w:rsid w:val="00F329B0"/>
    <w:rsid w:val="00F32AEA"/>
    <w:rsid w:val="00F32B47"/>
    <w:rsid w:val="00F335C9"/>
    <w:rsid w:val="00F335EE"/>
    <w:rsid w:val="00F33D54"/>
    <w:rsid w:val="00F33F55"/>
    <w:rsid w:val="00F33FAC"/>
    <w:rsid w:val="00F34823"/>
    <w:rsid w:val="00F34B85"/>
    <w:rsid w:val="00F34BBD"/>
    <w:rsid w:val="00F35387"/>
    <w:rsid w:val="00F3585D"/>
    <w:rsid w:val="00F35B09"/>
    <w:rsid w:val="00F35B6B"/>
    <w:rsid w:val="00F35F87"/>
    <w:rsid w:val="00F36005"/>
    <w:rsid w:val="00F360BE"/>
    <w:rsid w:val="00F363FC"/>
    <w:rsid w:val="00F36D08"/>
    <w:rsid w:val="00F37035"/>
    <w:rsid w:val="00F374D7"/>
    <w:rsid w:val="00F37A14"/>
    <w:rsid w:val="00F37AD0"/>
    <w:rsid w:val="00F37F13"/>
    <w:rsid w:val="00F4011E"/>
    <w:rsid w:val="00F4076C"/>
    <w:rsid w:val="00F40859"/>
    <w:rsid w:val="00F40876"/>
    <w:rsid w:val="00F4092B"/>
    <w:rsid w:val="00F40ECA"/>
    <w:rsid w:val="00F411E9"/>
    <w:rsid w:val="00F41A9B"/>
    <w:rsid w:val="00F41C9F"/>
    <w:rsid w:val="00F41D8D"/>
    <w:rsid w:val="00F4255E"/>
    <w:rsid w:val="00F4276B"/>
    <w:rsid w:val="00F427CE"/>
    <w:rsid w:val="00F42C21"/>
    <w:rsid w:val="00F43B31"/>
    <w:rsid w:val="00F43C1A"/>
    <w:rsid w:val="00F4421E"/>
    <w:rsid w:val="00F444EE"/>
    <w:rsid w:val="00F44A97"/>
    <w:rsid w:val="00F44B23"/>
    <w:rsid w:val="00F44B63"/>
    <w:rsid w:val="00F44EA0"/>
    <w:rsid w:val="00F4510A"/>
    <w:rsid w:val="00F454A6"/>
    <w:rsid w:val="00F454C2"/>
    <w:rsid w:val="00F454EB"/>
    <w:rsid w:val="00F45D9A"/>
    <w:rsid w:val="00F4677C"/>
    <w:rsid w:val="00F46DB5"/>
    <w:rsid w:val="00F4749D"/>
    <w:rsid w:val="00F479CC"/>
    <w:rsid w:val="00F47CA4"/>
    <w:rsid w:val="00F47F83"/>
    <w:rsid w:val="00F50562"/>
    <w:rsid w:val="00F50831"/>
    <w:rsid w:val="00F51429"/>
    <w:rsid w:val="00F5167D"/>
    <w:rsid w:val="00F519E7"/>
    <w:rsid w:val="00F51E74"/>
    <w:rsid w:val="00F52EDA"/>
    <w:rsid w:val="00F52F38"/>
    <w:rsid w:val="00F53019"/>
    <w:rsid w:val="00F53466"/>
    <w:rsid w:val="00F53974"/>
    <w:rsid w:val="00F5431B"/>
    <w:rsid w:val="00F54372"/>
    <w:rsid w:val="00F543D3"/>
    <w:rsid w:val="00F55137"/>
    <w:rsid w:val="00F5538F"/>
    <w:rsid w:val="00F55831"/>
    <w:rsid w:val="00F5589C"/>
    <w:rsid w:val="00F55942"/>
    <w:rsid w:val="00F559DE"/>
    <w:rsid w:val="00F55EC4"/>
    <w:rsid w:val="00F55FE5"/>
    <w:rsid w:val="00F568DF"/>
    <w:rsid w:val="00F56945"/>
    <w:rsid w:val="00F5729F"/>
    <w:rsid w:val="00F572D8"/>
    <w:rsid w:val="00F572F5"/>
    <w:rsid w:val="00F573D0"/>
    <w:rsid w:val="00F57827"/>
    <w:rsid w:val="00F57CA8"/>
    <w:rsid w:val="00F607DE"/>
    <w:rsid w:val="00F609FB"/>
    <w:rsid w:val="00F60A80"/>
    <w:rsid w:val="00F61406"/>
    <w:rsid w:val="00F614EC"/>
    <w:rsid w:val="00F61987"/>
    <w:rsid w:val="00F61C35"/>
    <w:rsid w:val="00F62392"/>
    <w:rsid w:val="00F63112"/>
    <w:rsid w:val="00F633E1"/>
    <w:rsid w:val="00F63EBD"/>
    <w:rsid w:val="00F64173"/>
    <w:rsid w:val="00F642FD"/>
    <w:rsid w:val="00F64B55"/>
    <w:rsid w:val="00F64EEE"/>
    <w:rsid w:val="00F651B5"/>
    <w:rsid w:val="00F651F0"/>
    <w:rsid w:val="00F65524"/>
    <w:rsid w:val="00F65690"/>
    <w:rsid w:val="00F657A6"/>
    <w:rsid w:val="00F65A86"/>
    <w:rsid w:val="00F65AA1"/>
    <w:rsid w:val="00F65CFE"/>
    <w:rsid w:val="00F6600B"/>
    <w:rsid w:val="00F661E6"/>
    <w:rsid w:val="00F667AA"/>
    <w:rsid w:val="00F668B3"/>
    <w:rsid w:val="00F669B8"/>
    <w:rsid w:val="00F66D7B"/>
    <w:rsid w:val="00F67229"/>
    <w:rsid w:val="00F6728B"/>
    <w:rsid w:val="00F672F0"/>
    <w:rsid w:val="00F67863"/>
    <w:rsid w:val="00F67C1F"/>
    <w:rsid w:val="00F70391"/>
    <w:rsid w:val="00F704EE"/>
    <w:rsid w:val="00F70A65"/>
    <w:rsid w:val="00F70D13"/>
    <w:rsid w:val="00F710C8"/>
    <w:rsid w:val="00F71832"/>
    <w:rsid w:val="00F71910"/>
    <w:rsid w:val="00F71E88"/>
    <w:rsid w:val="00F71EEE"/>
    <w:rsid w:val="00F723B4"/>
    <w:rsid w:val="00F72BAF"/>
    <w:rsid w:val="00F72F36"/>
    <w:rsid w:val="00F73439"/>
    <w:rsid w:val="00F73A4E"/>
    <w:rsid w:val="00F73C3A"/>
    <w:rsid w:val="00F74574"/>
    <w:rsid w:val="00F747EF"/>
    <w:rsid w:val="00F74802"/>
    <w:rsid w:val="00F74ABB"/>
    <w:rsid w:val="00F74D7B"/>
    <w:rsid w:val="00F75407"/>
    <w:rsid w:val="00F756F0"/>
    <w:rsid w:val="00F75A38"/>
    <w:rsid w:val="00F76150"/>
    <w:rsid w:val="00F7634E"/>
    <w:rsid w:val="00F76C61"/>
    <w:rsid w:val="00F771AF"/>
    <w:rsid w:val="00F77397"/>
    <w:rsid w:val="00F77549"/>
    <w:rsid w:val="00F775B4"/>
    <w:rsid w:val="00F779AE"/>
    <w:rsid w:val="00F77E21"/>
    <w:rsid w:val="00F77F8A"/>
    <w:rsid w:val="00F80467"/>
    <w:rsid w:val="00F80849"/>
    <w:rsid w:val="00F80BCE"/>
    <w:rsid w:val="00F81059"/>
    <w:rsid w:val="00F81118"/>
    <w:rsid w:val="00F81505"/>
    <w:rsid w:val="00F8180F"/>
    <w:rsid w:val="00F81FF6"/>
    <w:rsid w:val="00F82222"/>
    <w:rsid w:val="00F826EA"/>
    <w:rsid w:val="00F82F76"/>
    <w:rsid w:val="00F833BF"/>
    <w:rsid w:val="00F83508"/>
    <w:rsid w:val="00F83BC8"/>
    <w:rsid w:val="00F84E27"/>
    <w:rsid w:val="00F85C92"/>
    <w:rsid w:val="00F862FE"/>
    <w:rsid w:val="00F8655D"/>
    <w:rsid w:val="00F8657E"/>
    <w:rsid w:val="00F865CF"/>
    <w:rsid w:val="00F86951"/>
    <w:rsid w:val="00F86A28"/>
    <w:rsid w:val="00F86A46"/>
    <w:rsid w:val="00F86E37"/>
    <w:rsid w:val="00F86F8C"/>
    <w:rsid w:val="00F87B01"/>
    <w:rsid w:val="00F90090"/>
    <w:rsid w:val="00F901D6"/>
    <w:rsid w:val="00F902A8"/>
    <w:rsid w:val="00F90DC8"/>
    <w:rsid w:val="00F91130"/>
    <w:rsid w:val="00F9149D"/>
    <w:rsid w:val="00F914BB"/>
    <w:rsid w:val="00F925BA"/>
    <w:rsid w:val="00F9261C"/>
    <w:rsid w:val="00F929C9"/>
    <w:rsid w:val="00F92D24"/>
    <w:rsid w:val="00F92E28"/>
    <w:rsid w:val="00F93195"/>
    <w:rsid w:val="00F93460"/>
    <w:rsid w:val="00F9352E"/>
    <w:rsid w:val="00F937C9"/>
    <w:rsid w:val="00F93B1C"/>
    <w:rsid w:val="00F93B95"/>
    <w:rsid w:val="00F93E96"/>
    <w:rsid w:val="00F942DA"/>
    <w:rsid w:val="00F94494"/>
    <w:rsid w:val="00F948FD"/>
    <w:rsid w:val="00F94B01"/>
    <w:rsid w:val="00F94B53"/>
    <w:rsid w:val="00F94B8E"/>
    <w:rsid w:val="00F94C84"/>
    <w:rsid w:val="00F94F58"/>
    <w:rsid w:val="00F94F66"/>
    <w:rsid w:val="00F9518C"/>
    <w:rsid w:val="00F952F0"/>
    <w:rsid w:val="00F95395"/>
    <w:rsid w:val="00F9555A"/>
    <w:rsid w:val="00F9569E"/>
    <w:rsid w:val="00F957D3"/>
    <w:rsid w:val="00F9613E"/>
    <w:rsid w:val="00F96C16"/>
    <w:rsid w:val="00F96D3D"/>
    <w:rsid w:val="00F97103"/>
    <w:rsid w:val="00F9710D"/>
    <w:rsid w:val="00F97184"/>
    <w:rsid w:val="00F975C7"/>
    <w:rsid w:val="00F97B43"/>
    <w:rsid w:val="00FA0162"/>
    <w:rsid w:val="00FA05FB"/>
    <w:rsid w:val="00FA0836"/>
    <w:rsid w:val="00FA083C"/>
    <w:rsid w:val="00FA0AA7"/>
    <w:rsid w:val="00FA0B90"/>
    <w:rsid w:val="00FA0BA5"/>
    <w:rsid w:val="00FA16D3"/>
    <w:rsid w:val="00FA1755"/>
    <w:rsid w:val="00FA1924"/>
    <w:rsid w:val="00FA1E6B"/>
    <w:rsid w:val="00FA289D"/>
    <w:rsid w:val="00FA2A97"/>
    <w:rsid w:val="00FA2AAE"/>
    <w:rsid w:val="00FA2B31"/>
    <w:rsid w:val="00FA2E1F"/>
    <w:rsid w:val="00FA2E23"/>
    <w:rsid w:val="00FA32BE"/>
    <w:rsid w:val="00FA3824"/>
    <w:rsid w:val="00FA491E"/>
    <w:rsid w:val="00FA4F73"/>
    <w:rsid w:val="00FA56DC"/>
    <w:rsid w:val="00FA5786"/>
    <w:rsid w:val="00FA5942"/>
    <w:rsid w:val="00FA5CCA"/>
    <w:rsid w:val="00FA61B9"/>
    <w:rsid w:val="00FA6A12"/>
    <w:rsid w:val="00FA6CA6"/>
    <w:rsid w:val="00FA7AA6"/>
    <w:rsid w:val="00FA7CCA"/>
    <w:rsid w:val="00FA7DCA"/>
    <w:rsid w:val="00FA7E05"/>
    <w:rsid w:val="00FA7E9F"/>
    <w:rsid w:val="00FB0106"/>
    <w:rsid w:val="00FB02EF"/>
    <w:rsid w:val="00FB046D"/>
    <w:rsid w:val="00FB0891"/>
    <w:rsid w:val="00FB0898"/>
    <w:rsid w:val="00FB0FC1"/>
    <w:rsid w:val="00FB139E"/>
    <w:rsid w:val="00FB1597"/>
    <w:rsid w:val="00FB1801"/>
    <w:rsid w:val="00FB18B9"/>
    <w:rsid w:val="00FB22CE"/>
    <w:rsid w:val="00FB2676"/>
    <w:rsid w:val="00FB2A29"/>
    <w:rsid w:val="00FB2DB2"/>
    <w:rsid w:val="00FB30B2"/>
    <w:rsid w:val="00FB3809"/>
    <w:rsid w:val="00FB39DE"/>
    <w:rsid w:val="00FB3B81"/>
    <w:rsid w:val="00FB3C56"/>
    <w:rsid w:val="00FB3C72"/>
    <w:rsid w:val="00FB3E4D"/>
    <w:rsid w:val="00FB40B1"/>
    <w:rsid w:val="00FB5036"/>
    <w:rsid w:val="00FB5088"/>
    <w:rsid w:val="00FB5432"/>
    <w:rsid w:val="00FB576A"/>
    <w:rsid w:val="00FB616E"/>
    <w:rsid w:val="00FB6232"/>
    <w:rsid w:val="00FB6269"/>
    <w:rsid w:val="00FB6D64"/>
    <w:rsid w:val="00FB72A1"/>
    <w:rsid w:val="00FB732C"/>
    <w:rsid w:val="00FB735C"/>
    <w:rsid w:val="00FB7715"/>
    <w:rsid w:val="00FB7F85"/>
    <w:rsid w:val="00FC03AD"/>
    <w:rsid w:val="00FC03C2"/>
    <w:rsid w:val="00FC07DE"/>
    <w:rsid w:val="00FC0CE4"/>
    <w:rsid w:val="00FC0F5E"/>
    <w:rsid w:val="00FC1555"/>
    <w:rsid w:val="00FC203C"/>
    <w:rsid w:val="00FC2239"/>
    <w:rsid w:val="00FC2366"/>
    <w:rsid w:val="00FC25F2"/>
    <w:rsid w:val="00FC2617"/>
    <w:rsid w:val="00FC2FCC"/>
    <w:rsid w:val="00FC33FC"/>
    <w:rsid w:val="00FC3601"/>
    <w:rsid w:val="00FC3CA9"/>
    <w:rsid w:val="00FC42F7"/>
    <w:rsid w:val="00FC43F2"/>
    <w:rsid w:val="00FC47BD"/>
    <w:rsid w:val="00FC4855"/>
    <w:rsid w:val="00FC4D00"/>
    <w:rsid w:val="00FC4FFD"/>
    <w:rsid w:val="00FC5702"/>
    <w:rsid w:val="00FC583D"/>
    <w:rsid w:val="00FC596A"/>
    <w:rsid w:val="00FC5B00"/>
    <w:rsid w:val="00FC5EC6"/>
    <w:rsid w:val="00FC68E0"/>
    <w:rsid w:val="00FC6E13"/>
    <w:rsid w:val="00FC7883"/>
    <w:rsid w:val="00FC7946"/>
    <w:rsid w:val="00FD04D4"/>
    <w:rsid w:val="00FD0C2B"/>
    <w:rsid w:val="00FD0E9B"/>
    <w:rsid w:val="00FD1DC2"/>
    <w:rsid w:val="00FD2324"/>
    <w:rsid w:val="00FD24C9"/>
    <w:rsid w:val="00FD2A80"/>
    <w:rsid w:val="00FD2EFC"/>
    <w:rsid w:val="00FD2F27"/>
    <w:rsid w:val="00FD31FB"/>
    <w:rsid w:val="00FD331A"/>
    <w:rsid w:val="00FD3677"/>
    <w:rsid w:val="00FD36F4"/>
    <w:rsid w:val="00FD3E46"/>
    <w:rsid w:val="00FD41D5"/>
    <w:rsid w:val="00FD498B"/>
    <w:rsid w:val="00FD5135"/>
    <w:rsid w:val="00FD5151"/>
    <w:rsid w:val="00FD57F8"/>
    <w:rsid w:val="00FD5A47"/>
    <w:rsid w:val="00FD5C25"/>
    <w:rsid w:val="00FD5F6F"/>
    <w:rsid w:val="00FD604E"/>
    <w:rsid w:val="00FD64E0"/>
    <w:rsid w:val="00FD66E0"/>
    <w:rsid w:val="00FD713E"/>
    <w:rsid w:val="00FD73F5"/>
    <w:rsid w:val="00FD7787"/>
    <w:rsid w:val="00FD7836"/>
    <w:rsid w:val="00FD7B38"/>
    <w:rsid w:val="00FD7D97"/>
    <w:rsid w:val="00FD7E7D"/>
    <w:rsid w:val="00FE015D"/>
    <w:rsid w:val="00FE020D"/>
    <w:rsid w:val="00FE029D"/>
    <w:rsid w:val="00FE044F"/>
    <w:rsid w:val="00FE06F8"/>
    <w:rsid w:val="00FE07E8"/>
    <w:rsid w:val="00FE0A09"/>
    <w:rsid w:val="00FE1179"/>
    <w:rsid w:val="00FE1292"/>
    <w:rsid w:val="00FE1CAB"/>
    <w:rsid w:val="00FE1E21"/>
    <w:rsid w:val="00FE1F1E"/>
    <w:rsid w:val="00FE2050"/>
    <w:rsid w:val="00FE215B"/>
    <w:rsid w:val="00FE2490"/>
    <w:rsid w:val="00FE299E"/>
    <w:rsid w:val="00FE2AB6"/>
    <w:rsid w:val="00FE2B7C"/>
    <w:rsid w:val="00FE2BD7"/>
    <w:rsid w:val="00FE2D23"/>
    <w:rsid w:val="00FE2D26"/>
    <w:rsid w:val="00FE314E"/>
    <w:rsid w:val="00FE35DA"/>
    <w:rsid w:val="00FE378D"/>
    <w:rsid w:val="00FE3B6A"/>
    <w:rsid w:val="00FE3E53"/>
    <w:rsid w:val="00FE3E74"/>
    <w:rsid w:val="00FE41C3"/>
    <w:rsid w:val="00FE4637"/>
    <w:rsid w:val="00FE4966"/>
    <w:rsid w:val="00FE4F79"/>
    <w:rsid w:val="00FE5650"/>
    <w:rsid w:val="00FE57AC"/>
    <w:rsid w:val="00FE5B7E"/>
    <w:rsid w:val="00FE607C"/>
    <w:rsid w:val="00FE6608"/>
    <w:rsid w:val="00FE6882"/>
    <w:rsid w:val="00FE6D36"/>
    <w:rsid w:val="00FE6E27"/>
    <w:rsid w:val="00FE71EA"/>
    <w:rsid w:val="00FE7740"/>
    <w:rsid w:val="00FE7ADA"/>
    <w:rsid w:val="00FE7E77"/>
    <w:rsid w:val="00FE7ED2"/>
    <w:rsid w:val="00FF0709"/>
    <w:rsid w:val="00FF0B0A"/>
    <w:rsid w:val="00FF0E0A"/>
    <w:rsid w:val="00FF0EC9"/>
    <w:rsid w:val="00FF0FFA"/>
    <w:rsid w:val="00FF117F"/>
    <w:rsid w:val="00FF1272"/>
    <w:rsid w:val="00FF17E1"/>
    <w:rsid w:val="00FF1DC8"/>
    <w:rsid w:val="00FF2273"/>
    <w:rsid w:val="00FF252B"/>
    <w:rsid w:val="00FF2E04"/>
    <w:rsid w:val="00FF3441"/>
    <w:rsid w:val="00FF399A"/>
    <w:rsid w:val="00FF3E3B"/>
    <w:rsid w:val="00FF4355"/>
    <w:rsid w:val="00FF4702"/>
    <w:rsid w:val="00FF4FAC"/>
    <w:rsid w:val="00FF53E1"/>
    <w:rsid w:val="00FF5651"/>
    <w:rsid w:val="00FF5767"/>
    <w:rsid w:val="00FF5C0E"/>
    <w:rsid w:val="00FF5CDF"/>
    <w:rsid w:val="00FF6035"/>
    <w:rsid w:val="00FF611D"/>
    <w:rsid w:val="00FF61A7"/>
    <w:rsid w:val="00FF624C"/>
    <w:rsid w:val="00FF63FE"/>
    <w:rsid w:val="00FF6ACD"/>
    <w:rsid w:val="00FF6F93"/>
    <w:rsid w:val="00FF6FC4"/>
    <w:rsid w:val="00FF73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758C"/>
  <w15:docId w15:val="{9005DA03-A91D-4F48-8857-4D2C305E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D64"/>
    <w:rPr>
      <w:sz w:val="24"/>
      <w:szCs w:val="24"/>
    </w:rPr>
  </w:style>
  <w:style w:type="paragraph" w:styleId="Heading1">
    <w:name w:val="heading 1"/>
    <w:basedOn w:val="Normal"/>
    <w:next w:val="Normal"/>
    <w:link w:val="Heading1Char"/>
    <w:uiPriority w:val="9"/>
    <w:qFormat/>
    <w:rsid w:val="001C209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83D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C209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rsid w:val="00487595"/>
    <w:pPr>
      <w:tabs>
        <w:tab w:val="left" w:pos="1200"/>
        <w:tab w:val="right" w:leader="hyphen" w:pos="8777"/>
      </w:tabs>
      <w:spacing w:line="360" w:lineRule="auto"/>
      <w:ind w:firstLine="567"/>
    </w:pPr>
    <w:rPr>
      <w:noProof/>
    </w:rPr>
  </w:style>
  <w:style w:type="paragraph" w:styleId="TOC1">
    <w:name w:val="toc 1"/>
    <w:basedOn w:val="Normal"/>
    <w:next w:val="Normal"/>
    <w:autoRedefine/>
    <w:uiPriority w:val="39"/>
    <w:rsid w:val="001857BD"/>
    <w:pPr>
      <w:tabs>
        <w:tab w:val="left" w:pos="480"/>
        <w:tab w:val="right" w:leader="dot" w:pos="8777"/>
      </w:tabs>
      <w:spacing w:before="240"/>
    </w:pPr>
    <w:rPr>
      <w:rFonts w:ascii="Arial" w:hAnsi="Arial" w:cs="Arial"/>
      <w:b/>
      <w:bCs/>
      <w:caps/>
    </w:rPr>
  </w:style>
  <w:style w:type="paragraph" w:styleId="Footer">
    <w:name w:val="footer"/>
    <w:basedOn w:val="Normal"/>
    <w:link w:val="FooterChar"/>
    <w:uiPriority w:val="99"/>
    <w:rsid w:val="00F46DB5"/>
    <w:pPr>
      <w:tabs>
        <w:tab w:val="center" w:pos="4153"/>
        <w:tab w:val="right" w:pos="8306"/>
      </w:tabs>
    </w:pPr>
  </w:style>
  <w:style w:type="character" w:styleId="PageNumber">
    <w:name w:val="page number"/>
    <w:basedOn w:val="DefaultParagraphFont"/>
    <w:rsid w:val="00F46DB5"/>
  </w:style>
  <w:style w:type="table" w:styleId="TableGrid">
    <w:name w:val="Table Grid"/>
    <w:basedOn w:val="TableNormal"/>
    <w:uiPriority w:val="39"/>
    <w:rsid w:val="00103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073D"/>
    <w:rPr>
      <w:color w:val="0000FF"/>
      <w:u w:val="single"/>
    </w:rPr>
  </w:style>
  <w:style w:type="paragraph" w:customStyle="1" w:styleId="Default">
    <w:name w:val="Default"/>
    <w:rsid w:val="00AD073D"/>
    <w:pPr>
      <w:autoSpaceDE w:val="0"/>
      <w:autoSpaceDN w:val="0"/>
      <w:adjustRightInd w:val="0"/>
    </w:pPr>
    <w:rPr>
      <w:rFonts w:ascii="ITC Garamond" w:hAnsi="ITC Garamond" w:cs="ITC Garamond"/>
      <w:color w:val="000000"/>
      <w:sz w:val="24"/>
      <w:szCs w:val="24"/>
    </w:rPr>
  </w:style>
  <w:style w:type="paragraph" w:styleId="FootnoteText">
    <w:name w:val="footnote text"/>
    <w:basedOn w:val="Normal"/>
    <w:semiHidden/>
    <w:rsid w:val="00AD073D"/>
    <w:rPr>
      <w:sz w:val="20"/>
      <w:szCs w:val="20"/>
    </w:rPr>
  </w:style>
  <w:style w:type="character" w:styleId="FootnoteReference">
    <w:name w:val="footnote reference"/>
    <w:semiHidden/>
    <w:rsid w:val="00AD073D"/>
    <w:rPr>
      <w:vertAlign w:val="superscript"/>
    </w:rPr>
  </w:style>
  <w:style w:type="character" w:styleId="Emphasis">
    <w:name w:val="Emphasis"/>
    <w:qFormat/>
    <w:rsid w:val="00AD073D"/>
    <w:rPr>
      <w:i/>
      <w:iCs/>
    </w:rPr>
  </w:style>
  <w:style w:type="character" w:styleId="FollowedHyperlink">
    <w:name w:val="FollowedHyperlink"/>
    <w:rsid w:val="00475222"/>
    <w:rPr>
      <w:color w:val="800080"/>
      <w:u w:val="single"/>
    </w:rPr>
  </w:style>
  <w:style w:type="paragraph" w:styleId="NormalWeb">
    <w:name w:val="Normal (Web)"/>
    <w:basedOn w:val="Normal"/>
    <w:uiPriority w:val="99"/>
    <w:rsid w:val="007946B7"/>
    <w:pPr>
      <w:spacing w:before="120" w:after="240"/>
    </w:pPr>
    <w:rPr>
      <w:rFonts w:ascii="Verdana" w:hAnsi="Verdana"/>
      <w:color w:val="000066"/>
      <w:sz w:val="22"/>
      <w:szCs w:val="22"/>
    </w:rPr>
  </w:style>
  <w:style w:type="character" w:styleId="HTMLCite">
    <w:name w:val="HTML Cite"/>
    <w:rsid w:val="007946B7"/>
    <w:rPr>
      <w:i/>
      <w:iCs/>
    </w:rPr>
  </w:style>
  <w:style w:type="character" w:customStyle="1" w:styleId="Heading2Char">
    <w:name w:val="Heading 2 Char"/>
    <w:link w:val="Heading2"/>
    <w:uiPriority w:val="99"/>
    <w:rsid w:val="005020CF"/>
    <w:rPr>
      <w:rFonts w:ascii="Arial" w:hAnsi="Arial" w:cs="Arial"/>
      <w:b/>
      <w:bCs/>
      <w:i/>
      <w:iCs/>
      <w:sz w:val="28"/>
      <w:szCs w:val="28"/>
      <w:lang w:val="en-GB" w:eastAsia="en-GB" w:bidi="ar-SA"/>
    </w:rPr>
  </w:style>
  <w:style w:type="paragraph" w:styleId="TOC2">
    <w:name w:val="toc 2"/>
    <w:basedOn w:val="Normal"/>
    <w:next w:val="Normal"/>
    <w:autoRedefine/>
    <w:uiPriority w:val="39"/>
    <w:rsid w:val="00647302"/>
    <w:pPr>
      <w:tabs>
        <w:tab w:val="left" w:pos="720"/>
        <w:tab w:val="right" w:leader="dot" w:pos="8777"/>
      </w:tabs>
      <w:spacing w:before="240" w:line="360" w:lineRule="auto"/>
      <w:ind w:firstLine="567"/>
    </w:pPr>
    <w:rPr>
      <w:b/>
      <w:bCs/>
      <w:sz w:val="20"/>
      <w:szCs w:val="20"/>
    </w:rPr>
  </w:style>
  <w:style w:type="paragraph" w:styleId="TOC4">
    <w:name w:val="toc 4"/>
    <w:basedOn w:val="Normal"/>
    <w:next w:val="Normal"/>
    <w:autoRedefine/>
    <w:semiHidden/>
    <w:rsid w:val="0027325C"/>
    <w:pPr>
      <w:ind w:left="480"/>
    </w:pPr>
    <w:rPr>
      <w:sz w:val="20"/>
      <w:szCs w:val="20"/>
    </w:rPr>
  </w:style>
  <w:style w:type="paragraph" w:styleId="TOC5">
    <w:name w:val="toc 5"/>
    <w:basedOn w:val="Normal"/>
    <w:next w:val="Normal"/>
    <w:autoRedefine/>
    <w:semiHidden/>
    <w:rsid w:val="0027325C"/>
    <w:pPr>
      <w:ind w:left="720"/>
    </w:pPr>
    <w:rPr>
      <w:sz w:val="20"/>
      <w:szCs w:val="20"/>
    </w:rPr>
  </w:style>
  <w:style w:type="paragraph" w:styleId="TOC6">
    <w:name w:val="toc 6"/>
    <w:basedOn w:val="Normal"/>
    <w:next w:val="Normal"/>
    <w:autoRedefine/>
    <w:semiHidden/>
    <w:rsid w:val="0027325C"/>
    <w:pPr>
      <w:ind w:left="960"/>
    </w:pPr>
    <w:rPr>
      <w:sz w:val="20"/>
      <w:szCs w:val="20"/>
    </w:rPr>
  </w:style>
  <w:style w:type="paragraph" w:styleId="TOC7">
    <w:name w:val="toc 7"/>
    <w:basedOn w:val="Normal"/>
    <w:next w:val="Normal"/>
    <w:autoRedefine/>
    <w:semiHidden/>
    <w:rsid w:val="0027325C"/>
    <w:pPr>
      <w:ind w:left="1200"/>
    </w:pPr>
    <w:rPr>
      <w:sz w:val="20"/>
      <w:szCs w:val="20"/>
    </w:rPr>
  </w:style>
  <w:style w:type="paragraph" w:styleId="TOC8">
    <w:name w:val="toc 8"/>
    <w:basedOn w:val="Normal"/>
    <w:next w:val="Normal"/>
    <w:autoRedefine/>
    <w:semiHidden/>
    <w:rsid w:val="0027325C"/>
    <w:pPr>
      <w:ind w:left="1440"/>
    </w:pPr>
    <w:rPr>
      <w:sz w:val="20"/>
      <w:szCs w:val="20"/>
    </w:rPr>
  </w:style>
  <w:style w:type="paragraph" w:styleId="TOC9">
    <w:name w:val="toc 9"/>
    <w:basedOn w:val="Normal"/>
    <w:next w:val="Normal"/>
    <w:autoRedefine/>
    <w:semiHidden/>
    <w:rsid w:val="0027325C"/>
    <w:pPr>
      <w:ind w:left="1680"/>
    </w:pPr>
    <w:rPr>
      <w:sz w:val="20"/>
      <w:szCs w:val="20"/>
    </w:rPr>
  </w:style>
  <w:style w:type="paragraph" w:styleId="BalloonText">
    <w:name w:val="Balloon Text"/>
    <w:basedOn w:val="Normal"/>
    <w:link w:val="BalloonTextChar"/>
    <w:uiPriority w:val="99"/>
    <w:semiHidden/>
    <w:rsid w:val="002E5978"/>
    <w:rPr>
      <w:rFonts w:ascii="Tahoma" w:hAnsi="Tahoma" w:cs="Tahoma"/>
      <w:sz w:val="16"/>
      <w:szCs w:val="16"/>
    </w:rPr>
  </w:style>
  <w:style w:type="paragraph" w:styleId="Header">
    <w:name w:val="header"/>
    <w:basedOn w:val="Normal"/>
    <w:link w:val="HeaderChar"/>
    <w:uiPriority w:val="99"/>
    <w:rsid w:val="002E5978"/>
    <w:pPr>
      <w:tabs>
        <w:tab w:val="center" w:pos="4153"/>
        <w:tab w:val="right" w:pos="8306"/>
      </w:tabs>
    </w:pPr>
  </w:style>
  <w:style w:type="character" w:customStyle="1" w:styleId="a">
    <w:name w:val="a"/>
    <w:basedOn w:val="DefaultParagraphFont"/>
    <w:rsid w:val="00161F0E"/>
  </w:style>
  <w:style w:type="paragraph" w:customStyle="1" w:styleId="inline">
    <w:name w:val="inline"/>
    <w:basedOn w:val="Normal"/>
    <w:rsid w:val="00161F0E"/>
    <w:pPr>
      <w:spacing w:before="100" w:beforeAutospacing="1" w:after="100" w:afterAutospacing="1"/>
    </w:pPr>
  </w:style>
  <w:style w:type="character" w:customStyle="1" w:styleId="ti2">
    <w:name w:val="ti2"/>
    <w:rsid w:val="00161F0E"/>
    <w:rPr>
      <w:sz w:val="22"/>
      <w:szCs w:val="22"/>
    </w:rPr>
  </w:style>
  <w:style w:type="character" w:styleId="Strong">
    <w:name w:val="Strong"/>
    <w:uiPriority w:val="22"/>
    <w:qFormat/>
    <w:rsid w:val="00161F0E"/>
    <w:rPr>
      <w:b/>
      <w:bCs/>
    </w:rPr>
  </w:style>
  <w:style w:type="paragraph" w:styleId="z-TopofForm">
    <w:name w:val="HTML Top of Form"/>
    <w:basedOn w:val="Normal"/>
    <w:next w:val="Normal"/>
    <w:hidden/>
    <w:rsid w:val="00F444E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F444EE"/>
    <w:pPr>
      <w:pBdr>
        <w:top w:val="single" w:sz="6" w:space="1" w:color="auto"/>
      </w:pBdr>
      <w:jc w:val="center"/>
    </w:pPr>
    <w:rPr>
      <w:rFonts w:ascii="Arial" w:hAnsi="Arial" w:cs="Arial"/>
      <w:vanish/>
      <w:sz w:val="16"/>
      <w:szCs w:val="16"/>
    </w:rPr>
  </w:style>
  <w:style w:type="paragraph" w:customStyle="1" w:styleId="g">
    <w:name w:val="g"/>
    <w:basedOn w:val="Normal"/>
    <w:rsid w:val="00F444EE"/>
    <w:pPr>
      <w:spacing w:before="100" w:beforeAutospacing="1" w:after="100" w:afterAutospacing="1"/>
    </w:pPr>
  </w:style>
  <w:style w:type="character" w:customStyle="1" w:styleId="w1">
    <w:name w:val="w1"/>
    <w:rsid w:val="00F444EE"/>
    <w:rPr>
      <w:color w:val="0000CC"/>
    </w:rPr>
  </w:style>
  <w:style w:type="character" w:customStyle="1" w:styleId="b1">
    <w:name w:val="b1"/>
    <w:rsid w:val="00F444EE"/>
    <w:rPr>
      <w:b/>
      <w:bCs/>
      <w:color w:val="0000CC"/>
      <w:sz w:val="24"/>
      <w:szCs w:val="24"/>
    </w:rPr>
  </w:style>
  <w:style w:type="character" w:customStyle="1" w:styleId="searchword">
    <w:name w:val="searchword"/>
    <w:rsid w:val="00F444EE"/>
    <w:rPr>
      <w:shd w:val="clear" w:color="auto" w:fill="FFFF00"/>
    </w:rPr>
  </w:style>
  <w:style w:type="paragraph" w:styleId="ListParagraph">
    <w:name w:val="List Paragraph"/>
    <w:basedOn w:val="Normal"/>
    <w:uiPriority w:val="1"/>
    <w:qFormat/>
    <w:rsid w:val="00F444EE"/>
    <w:pPr>
      <w:ind w:left="720"/>
    </w:pPr>
  </w:style>
  <w:style w:type="character" w:customStyle="1" w:styleId="linkbar">
    <w:name w:val="linkbar"/>
    <w:basedOn w:val="DefaultParagraphFont"/>
    <w:rsid w:val="00F444EE"/>
  </w:style>
  <w:style w:type="character" w:customStyle="1" w:styleId="Heading3Char">
    <w:name w:val="Heading 3 Char"/>
    <w:link w:val="Heading3"/>
    <w:rsid w:val="0008538A"/>
    <w:rPr>
      <w:rFonts w:ascii="Arial" w:hAnsi="Arial" w:cs="Arial"/>
      <w:b/>
      <w:bCs/>
      <w:sz w:val="26"/>
      <w:szCs w:val="26"/>
      <w:lang w:val="en-GB" w:eastAsia="en-GB" w:bidi="ar-SA"/>
    </w:rPr>
  </w:style>
  <w:style w:type="paragraph" w:styleId="Caption">
    <w:name w:val="caption"/>
    <w:basedOn w:val="Normal"/>
    <w:next w:val="Normal"/>
    <w:qFormat/>
    <w:rsid w:val="00327EAB"/>
    <w:rPr>
      <w:b/>
      <w:bCs/>
      <w:sz w:val="20"/>
      <w:szCs w:val="20"/>
    </w:rPr>
  </w:style>
  <w:style w:type="paragraph" w:styleId="TableofFigures">
    <w:name w:val="table of figures"/>
    <w:basedOn w:val="Normal"/>
    <w:next w:val="Normal"/>
    <w:semiHidden/>
    <w:rsid w:val="00C45472"/>
  </w:style>
  <w:style w:type="paragraph" w:customStyle="1" w:styleId="Paragraph">
    <w:name w:val="Paragraph"/>
    <w:basedOn w:val="Normal"/>
    <w:uiPriority w:val="99"/>
    <w:rsid w:val="00532802"/>
    <w:pPr>
      <w:spacing w:after="240" w:line="240" w:lineRule="atLeast"/>
      <w:jc w:val="both"/>
    </w:pPr>
    <w:rPr>
      <w:rFonts w:ascii="Arial" w:hAnsi="Arial" w:cs="Arial"/>
      <w:sz w:val="20"/>
      <w:szCs w:val="20"/>
      <w:lang w:eastAsia="en-US"/>
    </w:rPr>
  </w:style>
  <w:style w:type="paragraph" w:customStyle="1" w:styleId="4AbstractBold">
    <w:name w:val="4 Abstract: (Bold)"/>
    <w:basedOn w:val="Normal"/>
    <w:link w:val="4AbstractBoldCarCar"/>
    <w:uiPriority w:val="99"/>
    <w:rsid w:val="00532802"/>
    <w:pPr>
      <w:widowControl w:val="0"/>
      <w:spacing w:before="240" w:after="200" w:line="200" w:lineRule="atLeast"/>
      <w:jc w:val="both"/>
    </w:pPr>
    <w:rPr>
      <w:rFonts w:ascii="Arial" w:hAnsi="Arial" w:cs="Arial"/>
      <w:b/>
      <w:bCs/>
      <w:sz w:val="18"/>
      <w:szCs w:val="18"/>
      <w:lang w:eastAsia="en-US"/>
    </w:rPr>
  </w:style>
  <w:style w:type="character" w:customStyle="1" w:styleId="4AbstractBoldCarCar">
    <w:name w:val="4 Abstract: (Bold) Car Car"/>
    <w:link w:val="4AbstractBold"/>
    <w:uiPriority w:val="99"/>
    <w:rsid w:val="00532802"/>
    <w:rPr>
      <w:rFonts w:ascii="Arial" w:hAnsi="Arial" w:cs="Arial"/>
      <w:b/>
      <w:bCs/>
      <w:sz w:val="18"/>
      <w:szCs w:val="18"/>
      <w:lang w:val="en-GB"/>
    </w:rPr>
  </w:style>
  <w:style w:type="character" w:styleId="CommentReference">
    <w:name w:val="annotation reference"/>
    <w:uiPriority w:val="99"/>
    <w:semiHidden/>
    <w:rsid w:val="00532802"/>
    <w:rPr>
      <w:rFonts w:cs="Times New Roman"/>
      <w:sz w:val="16"/>
      <w:szCs w:val="16"/>
    </w:rPr>
  </w:style>
  <w:style w:type="paragraph" w:styleId="CommentText">
    <w:name w:val="annotation text"/>
    <w:basedOn w:val="Normal"/>
    <w:link w:val="CommentTextChar"/>
    <w:uiPriority w:val="99"/>
    <w:semiHidden/>
    <w:rsid w:val="00532802"/>
    <w:pPr>
      <w:jc w:val="both"/>
    </w:pPr>
    <w:rPr>
      <w:rFonts w:ascii="Arial" w:hAnsi="Arial" w:cs="Arial"/>
      <w:sz w:val="20"/>
      <w:szCs w:val="20"/>
      <w:lang w:eastAsia="en-US"/>
    </w:rPr>
  </w:style>
  <w:style w:type="character" w:customStyle="1" w:styleId="CommentTextChar">
    <w:name w:val="Comment Text Char"/>
    <w:link w:val="CommentText"/>
    <w:uiPriority w:val="99"/>
    <w:semiHidden/>
    <w:rsid w:val="00532802"/>
    <w:rPr>
      <w:rFonts w:ascii="Arial" w:hAnsi="Arial" w:cs="Arial"/>
      <w:lang w:val="en-GB"/>
    </w:rPr>
  </w:style>
  <w:style w:type="paragraph" w:styleId="CommentSubject">
    <w:name w:val="annotation subject"/>
    <w:basedOn w:val="CommentText"/>
    <w:next w:val="CommentText"/>
    <w:link w:val="CommentSubjectChar"/>
    <w:uiPriority w:val="99"/>
    <w:semiHidden/>
    <w:unhideWhenUsed/>
    <w:rsid w:val="006F3D20"/>
    <w:pPr>
      <w:jc w:val="left"/>
    </w:pPr>
    <w:rPr>
      <w:rFonts w:ascii="Times New Roman" w:hAnsi="Times New Roman" w:cs="Times New Roman"/>
      <w:b/>
      <w:bCs/>
      <w:lang w:eastAsia="en-GB"/>
    </w:rPr>
  </w:style>
  <w:style w:type="character" w:customStyle="1" w:styleId="CommentSubjectChar">
    <w:name w:val="Comment Subject Char"/>
    <w:link w:val="CommentSubject"/>
    <w:uiPriority w:val="99"/>
    <w:semiHidden/>
    <w:rsid w:val="006F3D20"/>
    <w:rPr>
      <w:rFonts w:ascii="Arial" w:hAnsi="Arial" w:cs="Arial"/>
      <w:b/>
      <w:bCs/>
      <w:lang w:val="en-GB" w:eastAsia="en-GB"/>
    </w:rPr>
  </w:style>
  <w:style w:type="character" w:customStyle="1" w:styleId="apple-converted-space">
    <w:name w:val="apple-converted-space"/>
    <w:rsid w:val="003B1A99"/>
  </w:style>
  <w:style w:type="paragraph" w:styleId="Revision">
    <w:name w:val="Revision"/>
    <w:hidden/>
    <w:uiPriority w:val="99"/>
    <w:semiHidden/>
    <w:rsid w:val="0099392E"/>
    <w:rPr>
      <w:sz w:val="24"/>
      <w:szCs w:val="24"/>
    </w:rPr>
  </w:style>
  <w:style w:type="paragraph" w:styleId="NoSpacing">
    <w:name w:val="No Spacing"/>
    <w:aliases w:val="Main"/>
    <w:link w:val="NoSpacingChar"/>
    <w:uiPriority w:val="1"/>
    <w:qFormat/>
    <w:rsid w:val="0088465B"/>
    <w:pPr>
      <w:spacing w:before="400" w:after="400" w:line="360" w:lineRule="auto"/>
      <w:jc w:val="both"/>
    </w:pPr>
    <w:rPr>
      <w:rFonts w:eastAsia="Calibri" w:cs="Arial"/>
      <w:sz w:val="24"/>
      <w:szCs w:val="22"/>
      <w:lang w:eastAsia="en-US"/>
    </w:rPr>
  </w:style>
  <w:style w:type="character" w:customStyle="1" w:styleId="NoSpacingChar">
    <w:name w:val="No Spacing Char"/>
    <w:aliases w:val="Main Char"/>
    <w:link w:val="NoSpacing"/>
    <w:uiPriority w:val="1"/>
    <w:rsid w:val="0088465B"/>
    <w:rPr>
      <w:rFonts w:eastAsia="Calibri" w:cs="Arial"/>
      <w:sz w:val="24"/>
      <w:szCs w:val="22"/>
      <w:lang w:val="en-GB"/>
    </w:rPr>
  </w:style>
  <w:style w:type="paragraph" w:customStyle="1" w:styleId="DefaultText1">
    <w:name w:val="Default Text:1"/>
    <w:basedOn w:val="Normal"/>
    <w:uiPriority w:val="99"/>
    <w:rsid w:val="00DD70BB"/>
    <w:pPr>
      <w:tabs>
        <w:tab w:val="left" w:pos="0"/>
      </w:tabs>
    </w:pPr>
    <w:rPr>
      <w:rFonts w:ascii="Arial" w:hAnsi="Arial" w:cs="Arial"/>
      <w:lang w:val="en-US" w:eastAsia="ja-JP"/>
    </w:rPr>
  </w:style>
  <w:style w:type="character" w:customStyle="1" w:styleId="gsa1">
    <w:name w:val="gs_a1"/>
    <w:uiPriority w:val="99"/>
    <w:rsid w:val="00DD70BB"/>
    <w:rPr>
      <w:rFonts w:cs="Times New Roman"/>
      <w:color w:val="008000"/>
    </w:rPr>
  </w:style>
  <w:style w:type="character" w:customStyle="1" w:styleId="FooterChar">
    <w:name w:val="Footer Char"/>
    <w:link w:val="Footer"/>
    <w:uiPriority w:val="99"/>
    <w:rsid w:val="007613B8"/>
    <w:rPr>
      <w:sz w:val="24"/>
      <w:szCs w:val="24"/>
      <w:lang w:val="en-GB" w:eastAsia="en-GB"/>
    </w:rPr>
  </w:style>
  <w:style w:type="character" w:customStyle="1" w:styleId="hlfld-abstract">
    <w:name w:val="hlfld-abstract"/>
    <w:basedOn w:val="DefaultParagraphFont"/>
    <w:rsid w:val="006E2DDE"/>
  </w:style>
  <w:style w:type="character" w:customStyle="1" w:styleId="hlfld-title">
    <w:name w:val="hlfld-title"/>
    <w:basedOn w:val="DefaultParagraphFont"/>
    <w:rsid w:val="001011CF"/>
  </w:style>
  <w:style w:type="character" w:customStyle="1" w:styleId="completeauthorentry">
    <w:name w:val="completeauthorentry"/>
    <w:basedOn w:val="DefaultParagraphFont"/>
    <w:rsid w:val="001011CF"/>
  </w:style>
  <w:style w:type="character" w:customStyle="1" w:styleId="nlmstring-name">
    <w:name w:val="nlm_string-name"/>
    <w:basedOn w:val="DefaultParagraphFont"/>
    <w:rsid w:val="001011CF"/>
  </w:style>
  <w:style w:type="character" w:customStyle="1" w:styleId="publicationinfo">
    <w:name w:val="publicationinfo"/>
    <w:basedOn w:val="DefaultParagraphFont"/>
    <w:rsid w:val="001011CF"/>
  </w:style>
  <w:style w:type="character" w:customStyle="1" w:styleId="notrecommendedinfo">
    <w:name w:val="notrecommendedinfo"/>
    <w:basedOn w:val="DefaultParagraphFont"/>
    <w:rsid w:val="001011CF"/>
  </w:style>
  <w:style w:type="character" w:customStyle="1" w:styleId="link">
    <w:name w:val="link"/>
    <w:basedOn w:val="DefaultParagraphFont"/>
    <w:rsid w:val="00F929C9"/>
  </w:style>
  <w:style w:type="character" w:customStyle="1" w:styleId="titleauthoretc">
    <w:name w:val="titleauthoretc"/>
    <w:basedOn w:val="DefaultParagraphFont"/>
    <w:rsid w:val="00F14315"/>
  </w:style>
  <w:style w:type="character" w:customStyle="1" w:styleId="badge">
    <w:name w:val="badge"/>
    <w:basedOn w:val="DefaultParagraphFont"/>
    <w:rsid w:val="00F14315"/>
  </w:style>
  <w:style w:type="character" w:customStyle="1" w:styleId="hiddentext">
    <w:name w:val="hiddentext"/>
    <w:basedOn w:val="DefaultParagraphFont"/>
    <w:rsid w:val="00F14315"/>
  </w:style>
  <w:style w:type="character" w:customStyle="1" w:styleId="Heading1Char">
    <w:name w:val="Heading 1 Char"/>
    <w:basedOn w:val="DefaultParagraphFont"/>
    <w:link w:val="Heading1"/>
    <w:uiPriority w:val="9"/>
    <w:rsid w:val="00F335EE"/>
    <w:rPr>
      <w:rFonts w:ascii="Arial" w:hAnsi="Arial" w:cs="Arial"/>
      <w:b/>
      <w:bCs/>
      <w:kern w:val="32"/>
      <w:sz w:val="32"/>
      <w:szCs w:val="32"/>
    </w:rPr>
  </w:style>
  <w:style w:type="character" w:customStyle="1" w:styleId="HeaderChar">
    <w:name w:val="Header Char"/>
    <w:basedOn w:val="DefaultParagraphFont"/>
    <w:link w:val="Header"/>
    <w:uiPriority w:val="99"/>
    <w:rsid w:val="00F335EE"/>
    <w:rPr>
      <w:sz w:val="24"/>
      <w:szCs w:val="24"/>
    </w:rPr>
  </w:style>
  <w:style w:type="paragraph" w:styleId="TOCHeading">
    <w:name w:val="TOC Heading"/>
    <w:basedOn w:val="Heading1"/>
    <w:next w:val="Normal"/>
    <w:uiPriority w:val="39"/>
    <w:unhideWhenUsed/>
    <w:qFormat/>
    <w:rsid w:val="00F335EE"/>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character" w:customStyle="1" w:styleId="BalloonTextChar">
    <w:name w:val="Balloon Text Char"/>
    <w:basedOn w:val="DefaultParagraphFont"/>
    <w:link w:val="BalloonText"/>
    <w:uiPriority w:val="99"/>
    <w:semiHidden/>
    <w:rsid w:val="00F335EE"/>
    <w:rPr>
      <w:rFonts w:ascii="Tahoma" w:hAnsi="Tahoma" w:cs="Tahoma"/>
      <w:sz w:val="16"/>
      <w:szCs w:val="16"/>
    </w:rPr>
  </w:style>
  <w:style w:type="paragraph" w:styleId="BodyText">
    <w:name w:val="Body Text"/>
    <w:basedOn w:val="Normal"/>
    <w:link w:val="BodyTextChar"/>
    <w:uiPriority w:val="1"/>
    <w:qFormat/>
    <w:rsid w:val="002C621A"/>
    <w:pPr>
      <w:autoSpaceDE w:val="0"/>
      <w:autoSpaceDN w:val="0"/>
      <w:adjustRightInd w:val="0"/>
      <w:jc w:val="both"/>
    </w:pPr>
    <w:rPr>
      <w:sz w:val="20"/>
      <w:szCs w:val="20"/>
    </w:rPr>
  </w:style>
  <w:style w:type="character" w:customStyle="1" w:styleId="BodyTextChar">
    <w:name w:val="Body Text Char"/>
    <w:basedOn w:val="DefaultParagraphFont"/>
    <w:link w:val="BodyText"/>
    <w:uiPriority w:val="1"/>
    <w:rsid w:val="002C6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503">
      <w:bodyDiv w:val="1"/>
      <w:marLeft w:val="0"/>
      <w:marRight w:val="0"/>
      <w:marTop w:val="0"/>
      <w:marBottom w:val="0"/>
      <w:divBdr>
        <w:top w:val="none" w:sz="0" w:space="0" w:color="auto"/>
        <w:left w:val="none" w:sz="0" w:space="0" w:color="auto"/>
        <w:bottom w:val="none" w:sz="0" w:space="0" w:color="auto"/>
        <w:right w:val="none" w:sz="0" w:space="0" w:color="auto"/>
      </w:divBdr>
      <w:divsChild>
        <w:div w:id="388723099">
          <w:marLeft w:val="0"/>
          <w:marRight w:val="0"/>
          <w:marTop w:val="0"/>
          <w:marBottom w:val="0"/>
          <w:divBdr>
            <w:top w:val="none" w:sz="0" w:space="0" w:color="auto"/>
            <w:left w:val="none" w:sz="0" w:space="0" w:color="auto"/>
            <w:bottom w:val="none" w:sz="0" w:space="0" w:color="auto"/>
            <w:right w:val="none" w:sz="0" w:space="0" w:color="auto"/>
          </w:divBdr>
          <w:divsChild>
            <w:div w:id="1835367763">
              <w:marLeft w:val="0"/>
              <w:marRight w:val="0"/>
              <w:marTop w:val="0"/>
              <w:marBottom w:val="0"/>
              <w:divBdr>
                <w:top w:val="none" w:sz="0" w:space="0" w:color="auto"/>
                <w:left w:val="none" w:sz="0" w:space="0" w:color="auto"/>
                <w:bottom w:val="none" w:sz="0" w:space="0" w:color="auto"/>
                <w:right w:val="none" w:sz="0" w:space="0" w:color="auto"/>
              </w:divBdr>
              <w:divsChild>
                <w:div w:id="204607952">
                  <w:marLeft w:val="0"/>
                  <w:marRight w:val="0"/>
                  <w:marTop w:val="0"/>
                  <w:marBottom w:val="0"/>
                  <w:divBdr>
                    <w:top w:val="none" w:sz="0" w:space="0" w:color="auto"/>
                    <w:left w:val="none" w:sz="0" w:space="0" w:color="auto"/>
                    <w:bottom w:val="none" w:sz="0" w:space="0" w:color="auto"/>
                    <w:right w:val="none" w:sz="0" w:space="0" w:color="auto"/>
                  </w:divBdr>
                  <w:divsChild>
                    <w:div w:id="1864324042">
                      <w:marLeft w:val="0"/>
                      <w:marRight w:val="0"/>
                      <w:marTop w:val="0"/>
                      <w:marBottom w:val="0"/>
                      <w:divBdr>
                        <w:top w:val="none" w:sz="0" w:space="0" w:color="auto"/>
                        <w:left w:val="none" w:sz="0" w:space="0" w:color="auto"/>
                        <w:bottom w:val="none" w:sz="0" w:space="0" w:color="auto"/>
                        <w:right w:val="none" w:sz="0" w:space="0" w:color="auto"/>
                      </w:divBdr>
                      <w:divsChild>
                        <w:div w:id="17155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80277">
      <w:bodyDiv w:val="1"/>
      <w:marLeft w:val="0"/>
      <w:marRight w:val="0"/>
      <w:marTop w:val="0"/>
      <w:marBottom w:val="0"/>
      <w:divBdr>
        <w:top w:val="none" w:sz="0" w:space="0" w:color="auto"/>
        <w:left w:val="none" w:sz="0" w:space="0" w:color="auto"/>
        <w:bottom w:val="none" w:sz="0" w:space="0" w:color="auto"/>
        <w:right w:val="none" w:sz="0" w:space="0" w:color="auto"/>
      </w:divBdr>
      <w:divsChild>
        <w:div w:id="419257447">
          <w:marLeft w:val="0"/>
          <w:marRight w:val="0"/>
          <w:marTop w:val="0"/>
          <w:marBottom w:val="0"/>
          <w:divBdr>
            <w:top w:val="none" w:sz="0" w:space="0" w:color="auto"/>
            <w:left w:val="none" w:sz="0" w:space="0" w:color="auto"/>
            <w:bottom w:val="none" w:sz="0" w:space="0" w:color="auto"/>
            <w:right w:val="none" w:sz="0" w:space="0" w:color="auto"/>
          </w:divBdr>
        </w:div>
      </w:divsChild>
    </w:div>
    <w:div w:id="35278222">
      <w:bodyDiv w:val="1"/>
      <w:marLeft w:val="0"/>
      <w:marRight w:val="0"/>
      <w:marTop w:val="0"/>
      <w:marBottom w:val="0"/>
      <w:divBdr>
        <w:top w:val="none" w:sz="0" w:space="0" w:color="auto"/>
        <w:left w:val="none" w:sz="0" w:space="0" w:color="auto"/>
        <w:bottom w:val="none" w:sz="0" w:space="0" w:color="auto"/>
        <w:right w:val="none" w:sz="0" w:space="0" w:color="auto"/>
      </w:divBdr>
      <w:divsChild>
        <w:div w:id="524442529">
          <w:marLeft w:val="0"/>
          <w:marRight w:val="0"/>
          <w:marTop w:val="0"/>
          <w:marBottom w:val="0"/>
          <w:divBdr>
            <w:top w:val="none" w:sz="0" w:space="0" w:color="auto"/>
            <w:left w:val="none" w:sz="0" w:space="0" w:color="auto"/>
            <w:bottom w:val="none" w:sz="0" w:space="0" w:color="auto"/>
            <w:right w:val="none" w:sz="0" w:space="0" w:color="auto"/>
          </w:divBdr>
        </w:div>
      </w:divsChild>
    </w:div>
    <w:div w:id="70586708">
      <w:bodyDiv w:val="1"/>
      <w:marLeft w:val="0"/>
      <w:marRight w:val="0"/>
      <w:marTop w:val="0"/>
      <w:marBottom w:val="0"/>
      <w:divBdr>
        <w:top w:val="none" w:sz="0" w:space="0" w:color="auto"/>
        <w:left w:val="none" w:sz="0" w:space="0" w:color="auto"/>
        <w:bottom w:val="none" w:sz="0" w:space="0" w:color="auto"/>
        <w:right w:val="none" w:sz="0" w:space="0" w:color="auto"/>
      </w:divBdr>
      <w:divsChild>
        <w:div w:id="548805277">
          <w:marLeft w:val="0"/>
          <w:marRight w:val="0"/>
          <w:marTop w:val="0"/>
          <w:marBottom w:val="0"/>
          <w:divBdr>
            <w:top w:val="none" w:sz="0" w:space="0" w:color="auto"/>
            <w:left w:val="none" w:sz="0" w:space="0" w:color="auto"/>
            <w:bottom w:val="none" w:sz="0" w:space="0" w:color="auto"/>
            <w:right w:val="none" w:sz="0" w:space="0" w:color="auto"/>
          </w:divBdr>
        </w:div>
      </w:divsChild>
    </w:div>
    <w:div w:id="242380869">
      <w:bodyDiv w:val="1"/>
      <w:marLeft w:val="0"/>
      <w:marRight w:val="0"/>
      <w:marTop w:val="0"/>
      <w:marBottom w:val="0"/>
      <w:divBdr>
        <w:top w:val="none" w:sz="0" w:space="0" w:color="auto"/>
        <w:left w:val="none" w:sz="0" w:space="0" w:color="auto"/>
        <w:bottom w:val="none" w:sz="0" w:space="0" w:color="auto"/>
        <w:right w:val="none" w:sz="0" w:space="0" w:color="auto"/>
      </w:divBdr>
    </w:div>
    <w:div w:id="415519129">
      <w:bodyDiv w:val="1"/>
      <w:marLeft w:val="0"/>
      <w:marRight w:val="0"/>
      <w:marTop w:val="0"/>
      <w:marBottom w:val="0"/>
      <w:divBdr>
        <w:top w:val="none" w:sz="0" w:space="0" w:color="auto"/>
        <w:left w:val="none" w:sz="0" w:space="0" w:color="auto"/>
        <w:bottom w:val="none" w:sz="0" w:space="0" w:color="auto"/>
        <w:right w:val="none" w:sz="0" w:space="0" w:color="auto"/>
      </w:divBdr>
    </w:div>
    <w:div w:id="436104467">
      <w:bodyDiv w:val="1"/>
      <w:marLeft w:val="0"/>
      <w:marRight w:val="0"/>
      <w:marTop w:val="0"/>
      <w:marBottom w:val="0"/>
      <w:divBdr>
        <w:top w:val="none" w:sz="0" w:space="0" w:color="auto"/>
        <w:left w:val="none" w:sz="0" w:space="0" w:color="auto"/>
        <w:bottom w:val="none" w:sz="0" w:space="0" w:color="auto"/>
        <w:right w:val="none" w:sz="0" w:space="0" w:color="auto"/>
      </w:divBdr>
      <w:divsChild>
        <w:div w:id="42482003">
          <w:marLeft w:val="0"/>
          <w:marRight w:val="0"/>
          <w:marTop w:val="0"/>
          <w:marBottom w:val="0"/>
          <w:divBdr>
            <w:top w:val="none" w:sz="0" w:space="0" w:color="auto"/>
            <w:left w:val="none" w:sz="0" w:space="0" w:color="auto"/>
            <w:bottom w:val="none" w:sz="0" w:space="0" w:color="auto"/>
            <w:right w:val="none" w:sz="0" w:space="0" w:color="auto"/>
          </w:divBdr>
        </w:div>
        <w:div w:id="114446700">
          <w:marLeft w:val="0"/>
          <w:marRight w:val="0"/>
          <w:marTop w:val="0"/>
          <w:marBottom w:val="0"/>
          <w:divBdr>
            <w:top w:val="none" w:sz="0" w:space="0" w:color="auto"/>
            <w:left w:val="none" w:sz="0" w:space="0" w:color="auto"/>
            <w:bottom w:val="none" w:sz="0" w:space="0" w:color="auto"/>
            <w:right w:val="none" w:sz="0" w:space="0" w:color="auto"/>
          </w:divBdr>
        </w:div>
        <w:div w:id="346031144">
          <w:marLeft w:val="0"/>
          <w:marRight w:val="0"/>
          <w:marTop w:val="0"/>
          <w:marBottom w:val="0"/>
          <w:divBdr>
            <w:top w:val="none" w:sz="0" w:space="0" w:color="auto"/>
            <w:left w:val="none" w:sz="0" w:space="0" w:color="auto"/>
            <w:bottom w:val="none" w:sz="0" w:space="0" w:color="auto"/>
            <w:right w:val="none" w:sz="0" w:space="0" w:color="auto"/>
          </w:divBdr>
        </w:div>
        <w:div w:id="460612637">
          <w:marLeft w:val="0"/>
          <w:marRight w:val="0"/>
          <w:marTop w:val="0"/>
          <w:marBottom w:val="0"/>
          <w:divBdr>
            <w:top w:val="none" w:sz="0" w:space="0" w:color="auto"/>
            <w:left w:val="none" w:sz="0" w:space="0" w:color="auto"/>
            <w:bottom w:val="none" w:sz="0" w:space="0" w:color="auto"/>
            <w:right w:val="none" w:sz="0" w:space="0" w:color="auto"/>
          </w:divBdr>
        </w:div>
        <w:div w:id="694842283">
          <w:marLeft w:val="0"/>
          <w:marRight w:val="0"/>
          <w:marTop w:val="0"/>
          <w:marBottom w:val="0"/>
          <w:divBdr>
            <w:top w:val="none" w:sz="0" w:space="0" w:color="auto"/>
            <w:left w:val="none" w:sz="0" w:space="0" w:color="auto"/>
            <w:bottom w:val="none" w:sz="0" w:space="0" w:color="auto"/>
            <w:right w:val="none" w:sz="0" w:space="0" w:color="auto"/>
          </w:divBdr>
        </w:div>
        <w:div w:id="747074399">
          <w:marLeft w:val="0"/>
          <w:marRight w:val="0"/>
          <w:marTop w:val="0"/>
          <w:marBottom w:val="0"/>
          <w:divBdr>
            <w:top w:val="none" w:sz="0" w:space="0" w:color="auto"/>
            <w:left w:val="none" w:sz="0" w:space="0" w:color="auto"/>
            <w:bottom w:val="none" w:sz="0" w:space="0" w:color="auto"/>
            <w:right w:val="none" w:sz="0" w:space="0" w:color="auto"/>
          </w:divBdr>
        </w:div>
        <w:div w:id="898638077">
          <w:marLeft w:val="0"/>
          <w:marRight w:val="0"/>
          <w:marTop w:val="0"/>
          <w:marBottom w:val="0"/>
          <w:divBdr>
            <w:top w:val="none" w:sz="0" w:space="0" w:color="auto"/>
            <w:left w:val="none" w:sz="0" w:space="0" w:color="auto"/>
            <w:bottom w:val="none" w:sz="0" w:space="0" w:color="auto"/>
            <w:right w:val="none" w:sz="0" w:space="0" w:color="auto"/>
          </w:divBdr>
        </w:div>
        <w:div w:id="1169755647">
          <w:marLeft w:val="0"/>
          <w:marRight w:val="0"/>
          <w:marTop w:val="0"/>
          <w:marBottom w:val="0"/>
          <w:divBdr>
            <w:top w:val="none" w:sz="0" w:space="0" w:color="auto"/>
            <w:left w:val="none" w:sz="0" w:space="0" w:color="auto"/>
            <w:bottom w:val="none" w:sz="0" w:space="0" w:color="auto"/>
            <w:right w:val="none" w:sz="0" w:space="0" w:color="auto"/>
          </w:divBdr>
        </w:div>
        <w:div w:id="1208757402">
          <w:marLeft w:val="0"/>
          <w:marRight w:val="0"/>
          <w:marTop w:val="0"/>
          <w:marBottom w:val="0"/>
          <w:divBdr>
            <w:top w:val="none" w:sz="0" w:space="0" w:color="auto"/>
            <w:left w:val="none" w:sz="0" w:space="0" w:color="auto"/>
            <w:bottom w:val="none" w:sz="0" w:space="0" w:color="auto"/>
            <w:right w:val="none" w:sz="0" w:space="0" w:color="auto"/>
          </w:divBdr>
        </w:div>
        <w:div w:id="1316228858">
          <w:marLeft w:val="0"/>
          <w:marRight w:val="0"/>
          <w:marTop w:val="0"/>
          <w:marBottom w:val="0"/>
          <w:divBdr>
            <w:top w:val="none" w:sz="0" w:space="0" w:color="auto"/>
            <w:left w:val="none" w:sz="0" w:space="0" w:color="auto"/>
            <w:bottom w:val="none" w:sz="0" w:space="0" w:color="auto"/>
            <w:right w:val="none" w:sz="0" w:space="0" w:color="auto"/>
          </w:divBdr>
        </w:div>
        <w:div w:id="1913928921">
          <w:marLeft w:val="0"/>
          <w:marRight w:val="0"/>
          <w:marTop w:val="0"/>
          <w:marBottom w:val="0"/>
          <w:divBdr>
            <w:top w:val="none" w:sz="0" w:space="0" w:color="auto"/>
            <w:left w:val="none" w:sz="0" w:space="0" w:color="auto"/>
            <w:bottom w:val="none" w:sz="0" w:space="0" w:color="auto"/>
            <w:right w:val="none" w:sz="0" w:space="0" w:color="auto"/>
          </w:divBdr>
        </w:div>
        <w:div w:id="1924141856">
          <w:marLeft w:val="0"/>
          <w:marRight w:val="0"/>
          <w:marTop w:val="0"/>
          <w:marBottom w:val="0"/>
          <w:divBdr>
            <w:top w:val="none" w:sz="0" w:space="0" w:color="auto"/>
            <w:left w:val="none" w:sz="0" w:space="0" w:color="auto"/>
            <w:bottom w:val="none" w:sz="0" w:space="0" w:color="auto"/>
            <w:right w:val="none" w:sz="0" w:space="0" w:color="auto"/>
          </w:divBdr>
        </w:div>
      </w:divsChild>
    </w:div>
    <w:div w:id="490561681">
      <w:bodyDiv w:val="1"/>
      <w:marLeft w:val="0"/>
      <w:marRight w:val="0"/>
      <w:marTop w:val="0"/>
      <w:marBottom w:val="0"/>
      <w:divBdr>
        <w:top w:val="none" w:sz="0" w:space="0" w:color="auto"/>
        <w:left w:val="none" w:sz="0" w:space="0" w:color="auto"/>
        <w:bottom w:val="none" w:sz="0" w:space="0" w:color="auto"/>
        <w:right w:val="none" w:sz="0" w:space="0" w:color="auto"/>
      </w:divBdr>
      <w:divsChild>
        <w:div w:id="214779229">
          <w:marLeft w:val="0"/>
          <w:marRight w:val="0"/>
          <w:marTop w:val="0"/>
          <w:marBottom w:val="0"/>
          <w:divBdr>
            <w:top w:val="none" w:sz="0" w:space="0" w:color="auto"/>
            <w:left w:val="none" w:sz="0" w:space="0" w:color="auto"/>
            <w:bottom w:val="none" w:sz="0" w:space="0" w:color="auto"/>
            <w:right w:val="none" w:sz="0" w:space="0" w:color="auto"/>
          </w:divBdr>
        </w:div>
      </w:divsChild>
    </w:div>
    <w:div w:id="634411335">
      <w:bodyDiv w:val="1"/>
      <w:marLeft w:val="0"/>
      <w:marRight w:val="0"/>
      <w:marTop w:val="0"/>
      <w:marBottom w:val="0"/>
      <w:divBdr>
        <w:top w:val="none" w:sz="0" w:space="0" w:color="auto"/>
        <w:left w:val="none" w:sz="0" w:space="0" w:color="auto"/>
        <w:bottom w:val="none" w:sz="0" w:space="0" w:color="auto"/>
        <w:right w:val="none" w:sz="0" w:space="0" w:color="auto"/>
      </w:divBdr>
    </w:div>
    <w:div w:id="860626123">
      <w:bodyDiv w:val="1"/>
      <w:marLeft w:val="0"/>
      <w:marRight w:val="0"/>
      <w:marTop w:val="0"/>
      <w:marBottom w:val="0"/>
      <w:divBdr>
        <w:top w:val="none" w:sz="0" w:space="0" w:color="auto"/>
        <w:left w:val="none" w:sz="0" w:space="0" w:color="auto"/>
        <w:bottom w:val="none" w:sz="0" w:space="0" w:color="auto"/>
        <w:right w:val="none" w:sz="0" w:space="0" w:color="auto"/>
      </w:divBdr>
      <w:divsChild>
        <w:div w:id="1404256562">
          <w:marLeft w:val="0"/>
          <w:marRight w:val="0"/>
          <w:marTop w:val="0"/>
          <w:marBottom w:val="0"/>
          <w:divBdr>
            <w:top w:val="none" w:sz="0" w:space="0" w:color="auto"/>
            <w:left w:val="none" w:sz="0" w:space="0" w:color="auto"/>
            <w:bottom w:val="none" w:sz="0" w:space="0" w:color="auto"/>
            <w:right w:val="none" w:sz="0" w:space="0" w:color="auto"/>
          </w:divBdr>
        </w:div>
      </w:divsChild>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951589382">
      <w:bodyDiv w:val="1"/>
      <w:marLeft w:val="0"/>
      <w:marRight w:val="0"/>
      <w:marTop w:val="0"/>
      <w:marBottom w:val="0"/>
      <w:divBdr>
        <w:top w:val="none" w:sz="0" w:space="0" w:color="auto"/>
        <w:left w:val="none" w:sz="0" w:space="0" w:color="auto"/>
        <w:bottom w:val="none" w:sz="0" w:space="0" w:color="auto"/>
        <w:right w:val="none" w:sz="0" w:space="0" w:color="auto"/>
      </w:divBdr>
    </w:div>
    <w:div w:id="1033652027">
      <w:bodyDiv w:val="1"/>
      <w:marLeft w:val="0"/>
      <w:marRight w:val="0"/>
      <w:marTop w:val="0"/>
      <w:marBottom w:val="0"/>
      <w:divBdr>
        <w:top w:val="none" w:sz="0" w:space="0" w:color="auto"/>
        <w:left w:val="none" w:sz="0" w:space="0" w:color="auto"/>
        <w:bottom w:val="none" w:sz="0" w:space="0" w:color="auto"/>
        <w:right w:val="none" w:sz="0" w:space="0" w:color="auto"/>
      </w:divBdr>
    </w:div>
    <w:div w:id="1300723681">
      <w:bodyDiv w:val="1"/>
      <w:marLeft w:val="0"/>
      <w:marRight w:val="0"/>
      <w:marTop w:val="0"/>
      <w:marBottom w:val="0"/>
      <w:divBdr>
        <w:top w:val="none" w:sz="0" w:space="0" w:color="auto"/>
        <w:left w:val="none" w:sz="0" w:space="0" w:color="auto"/>
        <w:bottom w:val="none" w:sz="0" w:space="0" w:color="auto"/>
        <w:right w:val="none" w:sz="0" w:space="0" w:color="auto"/>
      </w:divBdr>
      <w:divsChild>
        <w:div w:id="1399865707">
          <w:marLeft w:val="0"/>
          <w:marRight w:val="0"/>
          <w:marTop w:val="0"/>
          <w:marBottom w:val="0"/>
          <w:divBdr>
            <w:top w:val="none" w:sz="0" w:space="0" w:color="auto"/>
            <w:left w:val="none" w:sz="0" w:space="0" w:color="auto"/>
            <w:bottom w:val="none" w:sz="0" w:space="0" w:color="auto"/>
            <w:right w:val="none" w:sz="0" w:space="0" w:color="auto"/>
          </w:divBdr>
          <w:divsChild>
            <w:div w:id="6712693">
              <w:marLeft w:val="0"/>
              <w:marRight w:val="0"/>
              <w:marTop w:val="0"/>
              <w:marBottom w:val="0"/>
              <w:divBdr>
                <w:top w:val="none" w:sz="0" w:space="0" w:color="auto"/>
                <w:left w:val="none" w:sz="0" w:space="0" w:color="auto"/>
                <w:bottom w:val="none" w:sz="0" w:space="0" w:color="auto"/>
                <w:right w:val="none" w:sz="0" w:space="0" w:color="auto"/>
              </w:divBdr>
            </w:div>
            <w:div w:id="465045353">
              <w:marLeft w:val="0"/>
              <w:marRight w:val="0"/>
              <w:marTop w:val="0"/>
              <w:marBottom w:val="0"/>
              <w:divBdr>
                <w:top w:val="none" w:sz="0" w:space="0" w:color="auto"/>
                <w:left w:val="none" w:sz="0" w:space="0" w:color="auto"/>
                <w:bottom w:val="none" w:sz="0" w:space="0" w:color="auto"/>
                <w:right w:val="none" w:sz="0" w:space="0" w:color="auto"/>
              </w:divBdr>
            </w:div>
            <w:div w:id="1115100881">
              <w:marLeft w:val="0"/>
              <w:marRight w:val="0"/>
              <w:marTop w:val="0"/>
              <w:marBottom w:val="0"/>
              <w:divBdr>
                <w:top w:val="none" w:sz="0" w:space="0" w:color="auto"/>
                <w:left w:val="none" w:sz="0" w:space="0" w:color="auto"/>
                <w:bottom w:val="none" w:sz="0" w:space="0" w:color="auto"/>
                <w:right w:val="none" w:sz="0" w:space="0" w:color="auto"/>
              </w:divBdr>
            </w:div>
            <w:div w:id="1428230485">
              <w:marLeft w:val="0"/>
              <w:marRight w:val="0"/>
              <w:marTop w:val="0"/>
              <w:marBottom w:val="0"/>
              <w:divBdr>
                <w:top w:val="none" w:sz="0" w:space="0" w:color="auto"/>
                <w:left w:val="none" w:sz="0" w:space="0" w:color="auto"/>
                <w:bottom w:val="none" w:sz="0" w:space="0" w:color="auto"/>
                <w:right w:val="none" w:sz="0" w:space="0" w:color="auto"/>
              </w:divBdr>
              <w:divsChild>
                <w:div w:id="17909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30502">
      <w:bodyDiv w:val="1"/>
      <w:marLeft w:val="0"/>
      <w:marRight w:val="0"/>
      <w:marTop w:val="0"/>
      <w:marBottom w:val="0"/>
      <w:divBdr>
        <w:top w:val="none" w:sz="0" w:space="0" w:color="auto"/>
        <w:left w:val="none" w:sz="0" w:space="0" w:color="auto"/>
        <w:bottom w:val="none" w:sz="0" w:space="0" w:color="auto"/>
        <w:right w:val="none" w:sz="0" w:space="0" w:color="auto"/>
      </w:divBdr>
    </w:div>
    <w:div w:id="1384059475">
      <w:bodyDiv w:val="1"/>
      <w:marLeft w:val="0"/>
      <w:marRight w:val="0"/>
      <w:marTop w:val="0"/>
      <w:marBottom w:val="0"/>
      <w:divBdr>
        <w:top w:val="none" w:sz="0" w:space="0" w:color="auto"/>
        <w:left w:val="none" w:sz="0" w:space="0" w:color="auto"/>
        <w:bottom w:val="none" w:sz="0" w:space="0" w:color="auto"/>
        <w:right w:val="none" w:sz="0" w:space="0" w:color="auto"/>
      </w:divBdr>
      <w:divsChild>
        <w:div w:id="1338734052">
          <w:marLeft w:val="0"/>
          <w:marRight w:val="0"/>
          <w:marTop w:val="0"/>
          <w:marBottom w:val="0"/>
          <w:divBdr>
            <w:top w:val="none" w:sz="0" w:space="0" w:color="auto"/>
            <w:left w:val="none" w:sz="0" w:space="0" w:color="auto"/>
            <w:bottom w:val="none" w:sz="0" w:space="0" w:color="auto"/>
            <w:right w:val="none" w:sz="0" w:space="0" w:color="auto"/>
          </w:divBdr>
          <w:divsChild>
            <w:div w:id="1272591053">
              <w:marLeft w:val="0"/>
              <w:marRight w:val="0"/>
              <w:marTop w:val="0"/>
              <w:marBottom w:val="0"/>
              <w:divBdr>
                <w:top w:val="none" w:sz="0" w:space="0" w:color="auto"/>
                <w:left w:val="none" w:sz="0" w:space="0" w:color="auto"/>
                <w:bottom w:val="none" w:sz="0" w:space="0" w:color="auto"/>
                <w:right w:val="none" w:sz="0" w:space="0" w:color="auto"/>
              </w:divBdr>
            </w:div>
            <w:div w:id="1435369978">
              <w:marLeft w:val="0"/>
              <w:marRight w:val="0"/>
              <w:marTop w:val="0"/>
              <w:marBottom w:val="0"/>
              <w:divBdr>
                <w:top w:val="none" w:sz="0" w:space="0" w:color="auto"/>
                <w:left w:val="none" w:sz="0" w:space="0" w:color="auto"/>
                <w:bottom w:val="none" w:sz="0" w:space="0" w:color="auto"/>
                <w:right w:val="none" w:sz="0" w:space="0" w:color="auto"/>
              </w:divBdr>
            </w:div>
            <w:div w:id="1792699033">
              <w:marLeft w:val="0"/>
              <w:marRight w:val="0"/>
              <w:marTop w:val="0"/>
              <w:marBottom w:val="0"/>
              <w:divBdr>
                <w:top w:val="none" w:sz="0" w:space="0" w:color="auto"/>
                <w:left w:val="none" w:sz="0" w:space="0" w:color="auto"/>
                <w:bottom w:val="none" w:sz="0" w:space="0" w:color="auto"/>
                <w:right w:val="none" w:sz="0" w:space="0" w:color="auto"/>
              </w:divBdr>
            </w:div>
            <w:div w:id="2068185914">
              <w:marLeft w:val="0"/>
              <w:marRight w:val="0"/>
              <w:marTop w:val="0"/>
              <w:marBottom w:val="0"/>
              <w:divBdr>
                <w:top w:val="none" w:sz="0" w:space="0" w:color="auto"/>
                <w:left w:val="none" w:sz="0" w:space="0" w:color="auto"/>
                <w:bottom w:val="none" w:sz="0" w:space="0" w:color="auto"/>
                <w:right w:val="none" w:sz="0" w:space="0" w:color="auto"/>
              </w:divBdr>
              <w:divsChild>
                <w:div w:id="1461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9725">
      <w:bodyDiv w:val="1"/>
      <w:marLeft w:val="0"/>
      <w:marRight w:val="0"/>
      <w:marTop w:val="0"/>
      <w:marBottom w:val="0"/>
      <w:divBdr>
        <w:top w:val="none" w:sz="0" w:space="0" w:color="auto"/>
        <w:left w:val="none" w:sz="0" w:space="0" w:color="auto"/>
        <w:bottom w:val="none" w:sz="0" w:space="0" w:color="auto"/>
        <w:right w:val="none" w:sz="0" w:space="0" w:color="auto"/>
      </w:divBdr>
      <w:divsChild>
        <w:div w:id="542333193">
          <w:marLeft w:val="0"/>
          <w:marRight w:val="0"/>
          <w:marTop w:val="0"/>
          <w:marBottom w:val="0"/>
          <w:divBdr>
            <w:top w:val="none" w:sz="0" w:space="0" w:color="auto"/>
            <w:left w:val="none" w:sz="0" w:space="0" w:color="auto"/>
            <w:bottom w:val="none" w:sz="0" w:space="0" w:color="auto"/>
            <w:right w:val="none" w:sz="0" w:space="0" w:color="auto"/>
          </w:divBdr>
          <w:divsChild>
            <w:div w:id="845749226">
              <w:marLeft w:val="0"/>
              <w:marRight w:val="0"/>
              <w:marTop w:val="0"/>
              <w:marBottom w:val="0"/>
              <w:divBdr>
                <w:top w:val="none" w:sz="0" w:space="0" w:color="auto"/>
                <w:left w:val="none" w:sz="0" w:space="0" w:color="auto"/>
                <w:bottom w:val="none" w:sz="0" w:space="0" w:color="auto"/>
                <w:right w:val="none" w:sz="0" w:space="0" w:color="auto"/>
              </w:divBdr>
            </w:div>
            <w:div w:id="1442409624">
              <w:marLeft w:val="0"/>
              <w:marRight w:val="0"/>
              <w:marTop w:val="0"/>
              <w:marBottom w:val="0"/>
              <w:divBdr>
                <w:top w:val="none" w:sz="0" w:space="0" w:color="auto"/>
                <w:left w:val="none" w:sz="0" w:space="0" w:color="auto"/>
                <w:bottom w:val="none" w:sz="0" w:space="0" w:color="auto"/>
                <w:right w:val="none" w:sz="0" w:space="0" w:color="auto"/>
              </w:divBdr>
            </w:div>
            <w:div w:id="17624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91904">
      <w:bodyDiv w:val="1"/>
      <w:marLeft w:val="0"/>
      <w:marRight w:val="0"/>
      <w:marTop w:val="0"/>
      <w:marBottom w:val="0"/>
      <w:divBdr>
        <w:top w:val="none" w:sz="0" w:space="0" w:color="auto"/>
        <w:left w:val="none" w:sz="0" w:space="0" w:color="auto"/>
        <w:bottom w:val="none" w:sz="0" w:space="0" w:color="auto"/>
        <w:right w:val="none" w:sz="0" w:space="0" w:color="auto"/>
      </w:divBdr>
      <w:divsChild>
        <w:div w:id="1723670339">
          <w:marLeft w:val="0"/>
          <w:marRight w:val="0"/>
          <w:marTop w:val="0"/>
          <w:marBottom w:val="0"/>
          <w:divBdr>
            <w:top w:val="none" w:sz="0" w:space="0" w:color="auto"/>
            <w:left w:val="none" w:sz="0" w:space="0" w:color="auto"/>
            <w:bottom w:val="none" w:sz="0" w:space="0" w:color="auto"/>
            <w:right w:val="none" w:sz="0" w:space="0" w:color="auto"/>
          </w:divBdr>
        </w:div>
      </w:divsChild>
    </w:div>
    <w:div w:id="1613055861">
      <w:bodyDiv w:val="1"/>
      <w:marLeft w:val="0"/>
      <w:marRight w:val="0"/>
      <w:marTop w:val="0"/>
      <w:marBottom w:val="0"/>
      <w:divBdr>
        <w:top w:val="none" w:sz="0" w:space="0" w:color="auto"/>
        <w:left w:val="none" w:sz="0" w:space="0" w:color="auto"/>
        <w:bottom w:val="none" w:sz="0" w:space="0" w:color="auto"/>
        <w:right w:val="none" w:sz="0" w:space="0" w:color="auto"/>
      </w:divBdr>
      <w:divsChild>
        <w:div w:id="1018238897">
          <w:marLeft w:val="0"/>
          <w:marRight w:val="0"/>
          <w:marTop w:val="0"/>
          <w:marBottom w:val="0"/>
          <w:divBdr>
            <w:top w:val="none" w:sz="0" w:space="0" w:color="auto"/>
            <w:left w:val="none" w:sz="0" w:space="0" w:color="auto"/>
            <w:bottom w:val="none" w:sz="0" w:space="0" w:color="auto"/>
            <w:right w:val="none" w:sz="0" w:space="0" w:color="auto"/>
          </w:divBdr>
          <w:divsChild>
            <w:div w:id="293490665">
              <w:marLeft w:val="0"/>
              <w:marRight w:val="0"/>
              <w:marTop w:val="0"/>
              <w:marBottom w:val="0"/>
              <w:divBdr>
                <w:top w:val="none" w:sz="0" w:space="0" w:color="auto"/>
                <w:left w:val="none" w:sz="0" w:space="0" w:color="auto"/>
                <w:bottom w:val="none" w:sz="0" w:space="0" w:color="auto"/>
                <w:right w:val="none" w:sz="0" w:space="0" w:color="auto"/>
              </w:divBdr>
            </w:div>
            <w:div w:id="874276657">
              <w:marLeft w:val="0"/>
              <w:marRight w:val="0"/>
              <w:marTop w:val="0"/>
              <w:marBottom w:val="0"/>
              <w:divBdr>
                <w:top w:val="none" w:sz="0" w:space="0" w:color="auto"/>
                <w:left w:val="none" w:sz="0" w:space="0" w:color="auto"/>
                <w:bottom w:val="none" w:sz="0" w:space="0" w:color="auto"/>
                <w:right w:val="none" w:sz="0" w:space="0" w:color="auto"/>
              </w:divBdr>
            </w:div>
            <w:div w:id="1671562269">
              <w:marLeft w:val="0"/>
              <w:marRight w:val="0"/>
              <w:marTop w:val="0"/>
              <w:marBottom w:val="0"/>
              <w:divBdr>
                <w:top w:val="none" w:sz="0" w:space="0" w:color="auto"/>
                <w:left w:val="none" w:sz="0" w:space="0" w:color="auto"/>
                <w:bottom w:val="none" w:sz="0" w:space="0" w:color="auto"/>
                <w:right w:val="none" w:sz="0" w:space="0" w:color="auto"/>
              </w:divBdr>
            </w:div>
            <w:div w:id="1720012956">
              <w:marLeft w:val="0"/>
              <w:marRight w:val="0"/>
              <w:marTop w:val="0"/>
              <w:marBottom w:val="0"/>
              <w:divBdr>
                <w:top w:val="none" w:sz="0" w:space="0" w:color="auto"/>
                <w:left w:val="none" w:sz="0" w:space="0" w:color="auto"/>
                <w:bottom w:val="none" w:sz="0" w:space="0" w:color="auto"/>
                <w:right w:val="none" w:sz="0" w:space="0" w:color="auto"/>
              </w:divBdr>
              <w:divsChild>
                <w:div w:id="13811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7522">
      <w:bodyDiv w:val="1"/>
      <w:marLeft w:val="0"/>
      <w:marRight w:val="0"/>
      <w:marTop w:val="0"/>
      <w:marBottom w:val="0"/>
      <w:divBdr>
        <w:top w:val="none" w:sz="0" w:space="0" w:color="auto"/>
        <w:left w:val="none" w:sz="0" w:space="0" w:color="auto"/>
        <w:bottom w:val="none" w:sz="0" w:space="0" w:color="auto"/>
        <w:right w:val="none" w:sz="0" w:space="0" w:color="auto"/>
      </w:divBdr>
    </w:div>
    <w:div w:id="1709407512">
      <w:bodyDiv w:val="1"/>
      <w:marLeft w:val="0"/>
      <w:marRight w:val="0"/>
      <w:marTop w:val="0"/>
      <w:marBottom w:val="0"/>
      <w:divBdr>
        <w:top w:val="none" w:sz="0" w:space="0" w:color="auto"/>
        <w:left w:val="none" w:sz="0" w:space="0" w:color="auto"/>
        <w:bottom w:val="none" w:sz="0" w:space="0" w:color="auto"/>
        <w:right w:val="none" w:sz="0" w:space="0" w:color="auto"/>
      </w:divBdr>
    </w:div>
    <w:div w:id="1719166370">
      <w:bodyDiv w:val="1"/>
      <w:marLeft w:val="0"/>
      <w:marRight w:val="0"/>
      <w:marTop w:val="0"/>
      <w:marBottom w:val="0"/>
      <w:divBdr>
        <w:top w:val="none" w:sz="0" w:space="0" w:color="auto"/>
        <w:left w:val="none" w:sz="0" w:space="0" w:color="auto"/>
        <w:bottom w:val="none" w:sz="0" w:space="0" w:color="auto"/>
        <w:right w:val="none" w:sz="0" w:space="0" w:color="auto"/>
      </w:divBdr>
    </w:div>
    <w:div w:id="1787116299">
      <w:bodyDiv w:val="1"/>
      <w:marLeft w:val="0"/>
      <w:marRight w:val="0"/>
      <w:marTop w:val="0"/>
      <w:marBottom w:val="0"/>
      <w:divBdr>
        <w:top w:val="none" w:sz="0" w:space="0" w:color="auto"/>
        <w:left w:val="none" w:sz="0" w:space="0" w:color="auto"/>
        <w:bottom w:val="none" w:sz="0" w:space="0" w:color="auto"/>
        <w:right w:val="none" w:sz="0" w:space="0" w:color="auto"/>
      </w:divBdr>
    </w:div>
    <w:div w:id="1880778902">
      <w:bodyDiv w:val="1"/>
      <w:marLeft w:val="0"/>
      <w:marRight w:val="0"/>
      <w:marTop w:val="0"/>
      <w:marBottom w:val="0"/>
      <w:divBdr>
        <w:top w:val="none" w:sz="0" w:space="0" w:color="auto"/>
        <w:left w:val="none" w:sz="0" w:space="0" w:color="auto"/>
        <w:bottom w:val="none" w:sz="0" w:space="0" w:color="auto"/>
        <w:right w:val="none" w:sz="0" w:space="0" w:color="auto"/>
      </w:divBdr>
      <w:divsChild>
        <w:div w:id="1286934018">
          <w:marLeft w:val="0"/>
          <w:marRight w:val="0"/>
          <w:marTop w:val="0"/>
          <w:marBottom w:val="0"/>
          <w:divBdr>
            <w:top w:val="none" w:sz="0" w:space="0" w:color="auto"/>
            <w:left w:val="none" w:sz="0" w:space="0" w:color="auto"/>
            <w:bottom w:val="none" w:sz="0" w:space="0" w:color="auto"/>
            <w:right w:val="none" w:sz="0" w:space="0" w:color="auto"/>
          </w:divBdr>
          <w:divsChild>
            <w:div w:id="1483883326">
              <w:marLeft w:val="0"/>
              <w:marRight w:val="0"/>
              <w:marTop w:val="0"/>
              <w:marBottom w:val="0"/>
              <w:divBdr>
                <w:top w:val="none" w:sz="0" w:space="0" w:color="auto"/>
                <w:left w:val="none" w:sz="0" w:space="0" w:color="auto"/>
                <w:bottom w:val="none" w:sz="0" w:space="0" w:color="auto"/>
                <w:right w:val="none" w:sz="0" w:space="0" w:color="auto"/>
              </w:divBdr>
              <w:divsChild>
                <w:div w:id="611206258">
                  <w:marLeft w:val="0"/>
                  <w:marRight w:val="0"/>
                  <w:marTop w:val="0"/>
                  <w:marBottom w:val="0"/>
                  <w:divBdr>
                    <w:top w:val="none" w:sz="0" w:space="0" w:color="auto"/>
                    <w:left w:val="none" w:sz="0" w:space="0" w:color="auto"/>
                    <w:bottom w:val="none" w:sz="0" w:space="0" w:color="auto"/>
                    <w:right w:val="none" w:sz="0" w:space="0" w:color="auto"/>
                  </w:divBdr>
                  <w:divsChild>
                    <w:div w:id="1138718112">
                      <w:marLeft w:val="0"/>
                      <w:marRight w:val="0"/>
                      <w:marTop w:val="0"/>
                      <w:marBottom w:val="0"/>
                      <w:divBdr>
                        <w:top w:val="none" w:sz="0" w:space="0" w:color="auto"/>
                        <w:left w:val="none" w:sz="0" w:space="0" w:color="auto"/>
                        <w:bottom w:val="none" w:sz="0" w:space="0" w:color="auto"/>
                        <w:right w:val="none" w:sz="0" w:space="0" w:color="auto"/>
                      </w:divBdr>
                      <w:divsChild>
                        <w:div w:id="1991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376095">
      <w:bodyDiv w:val="1"/>
      <w:marLeft w:val="0"/>
      <w:marRight w:val="0"/>
      <w:marTop w:val="0"/>
      <w:marBottom w:val="0"/>
      <w:divBdr>
        <w:top w:val="none" w:sz="0" w:space="0" w:color="auto"/>
        <w:left w:val="none" w:sz="0" w:space="0" w:color="auto"/>
        <w:bottom w:val="none" w:sz="0" w:space="0" w:color="auto"/>
        <w:right w:val="none" w:sz="0" w:space="0" w:color="auto"/>
      </w:divBdr>
      <w:divsChild>
        <w:div w:id="407653738">
          <w:marLeft w:val="0"/>
          <w:marRight w:val="0"/>
          <w:marTop w:val="0"/>
          <w:marBottom w:val="0"/>
          <w:divBdr>
            <w:top w:val="none" w:sz="0" w:space="0" w:color="auto"/>
            <w:left w:val="none" w:sz="0" w:space="0" w:color="auto"/>
            <w:bottom w:val="none" w:sz="0" w:space="0" w:color="auto"/>
            <w:right w:val="none" w:sz="0" w:space="0" w:color="auto"/>
          </w:divBdr>
        </w:div>
      </w:divsChild>
    </w:div>
    <w:div w:id="1925146736">
      <w:bodyDiv w:val="1"/>
      <w:marLeft w:val="0"/>
      <w:marRight w:val="0"/>
      <w:marTop w:val="0"/>
      <w:marBottom w:val="0"/>
      <w:divBdr>
        <w:top w:val="none" w:sz="0" w:space="0" w:color="auto"/>
        <w:left w:val="none" w:sz="0" w:space="0" w:color="auto"/>
        <w:bottom w:val="none" w:sz="0" w:space="0" w:color="auto"/>
        <w:right w:val="none" w:sz="0" w:space="0" w:color="auto"/>
      </w:divBdr>
      <w:divsChild>
        <w:div w:id="537663910">
          <w:marLeft w:val="0"/>
          <w:marRight w:val="0"/>
          <w:marTop w:val="0"/>
          <w:marBottom w:val="0"/>
          <w:divBdr>
            <w:top w:val="none" w:sz="0" w:space="0" w:color="auto"/>
            <w:left w:val="none" w:sz="0" w:space="0" w:color="auto"/>
            <w:bottom w:val="none" w:sz="0" w:space="0" w:color="auto"/>
            <w:right w:val="none" w:sz="0" w:space="0" w:color="auto"/>
          </w:divBdr>
          <w:divsChild>
            <w:div w:id="1342664305">
              <w:marLeft w:val="0"/>
              <w:marRight w:val="0"/>
              <w:marTop w:val="0"/>
              <w:marBottom w:val="0"/>
              <w:divBdr>
                <w:top w:val="none" w:sz="0" w:space="0" w:color="auto"/>
                <w:left w:val="none" w:sz="0" w:space="0" w:color="auto"/>
                <w:bottom w:val="none" w:sz="0" w:space="0" w:color="auto"/>
                <w:right w:val="none" w:sz="0" w:space="0" w:color="auto"/>
              </w:divBdr>
            </w:div>
          </w:divsChild>
        </w:div>
        <w:div w:id="1677490947">
          <w:marLeft w:val="0"/>
          <w:marRight w:val="0"/>
          <w:marTop w:val="0"/>
          <w:marBottom w:val="0"/>
          <w:divBdr>
            <w:top w:val="none" w:sz="0" w:space="0" w:color="auto"/>
            <w:left w:val="none" w:sz="0" w:space="0" w:color="auto"/>
            <w:bottom w:val="none" w:sz="0" w:space="0" w:color="auto"/>
            <w:right w:val="none" w:sz="0" w:space="0" w:color="auto"/>
          </w:divBdr>
        </w:div>
      </w:divsChild>
    </w:div>
    <w:div w:id="2110083516">
      <w:bodyDiv w:val="1"/>
      <w:marLeft w:val="0"/>
      <w:marRight w:val="0"/>
      <w:marTop w:val="0"/>
      <w:marBottom w:val="0"/>
      <w:divBdr>
        <w:top w:val="none" w:sz="0" w:space="0" w:color="auto"/>
        <w:left w:val="none" w:sz="0" w:space="0" w:color="auto"/>
        <w:bottom w:val="none" w:sz="0" w:space="0" w:color="auto"/>
        <w:right w:val="none" w:sz="0" w:space="0" w:color="auto"/>
      </w:divBdr>
    </w:div>
    <w:div w:id="2130395952">
      <w:bodyDiv w:val="1"/>
      <w:marLeft w:val="0"/>
      <w:marRight w:val="0"/>
      <w:marTop w:val="0"/>
      <w:marBottom w:val="0"/>
      <w:divBdr>
        <w:top w:val="none" w:sz="0" w:space="0" w:color="auto"/>
        <w:left w:val="none" w:sz="0" w:space="0" w:color="auto"/>
        <w:bottom w:val="none" w:sz="0" w:space="0" w:color="auto"/>
        <w:right w:val="none" w:sz="0" w:space="0" w:color="auto"/>
      </w:divBdr>
      <w:divsChild>
        <w:div w:id="154229596">
          <w:marLeft w:val="0"/>
          <w:marRight w:val="0"/>
          <w:marTop w:val="0"/>
          <w:marBottom w:val="0"/>
          <w:divBdr>
            <w:top w:val="none" w:sz="0" w:space="0" w:color="auto"/>
            <w:left w:val="none" w:sz="0" w:space="0" w:color="auto"/>
            <w:bottom w:val="none" w:sz="0" w:space="0" w:color="auto"/>
            <w:right w:val="none" w:sz="0" w:space="0" w:color="auto"/>
          </w:divBdr>
          <w:divsChild>
            <w:div w:id="891185973">
              <w:marLeft w:val="0"/>
              <w:marRight w:val="0"/>
              <w:marTop w:val="0"/>
              <w:marBottom w:val="0"/>
              <w:divBdr>
                <w:top w:val="none" w:sz="0" w:space="0" w:color="auto"/>
                <w:left w:val="none" w:sz="0" w:space="0" w:color="auto"/>
                <w:bottom w:val="none" w:sz="0" w:space="0" w:color="auto"/>
                <w:right w:val="none" w:sz="0" w:space="0" w:color="auto"/>
              </w:divBdr>
              <w:divsChild>
                <w:div w:id="924920199">
                  <w:marLeft w:val="0"/>
                  <w:marRight w:val="0"/>
                  <w:marTop w:val="0"/>
                  <w:marBottom w:val="0"/>
                  <w:divBdr>
                    <w:top w:val="none" w:sz="0" w:space="0" w:color="auto"/>
                    <w:left w:val="none" w:sz="0" w:space="0" w:color="auto"/>
                    <w:bottom w:val="none" w:sz="0" w:space="0" w:color="auto"/>
                    <w:right w:val="none" w:sz="0" w:space="0" w:color="auto"/>
                  </w:divBdr>
                  <w:divsChild>
                    <w:div w:id="869799856">
                      <w:marLeft w:val="0"/>
                      <w:marRight w:val="0"/>
                      <w:marTop w:val="0"/>
                      <w:marBottom w:val="0"/>
                      <w:divBdr>
                        <w:top w:val="none" w:sz="0" w:space="0" w:color="auto"/>
                        <w:left w:val="none" w:sz="0" w:space="0" w:color="auto"/>
                        <w:bottom w:val="none" w:sz="0" w:space="0" w:color="auto"/>
                        <w:right w:val="none" w:sz="0" w:space="0" w:color="auto"/>
                      </w:divBdr>
                      <w:divsChild>
                        <w:div w:id="374429667">
                          <w:marLeft w:val="0"/>
                          <w:marRight w:val="0"/>
                          <w:marTop w:val="0"/>
                          <w:marBottom w:val="0"/>
                          <w:divBdr>
                            <w:top w:val="none" w:sz="0" w:space="0" w:color="auto"/>
                            <w:left w:val="none" w:sz="0" w:space="0" w:color="auto"/>
                            <w:bottom w:val="none" w:sz="0" w:space="0" w:color="auto"/>
                            <w:right w:val="none" w:sz="0" w:space="0" w:color="auto"/>
                          </w:divBdr>
                          <w:divsChild>
                            <w:div w:id="982581854">
                              <w:marLeft w:val="0"/>
                              <w:marRight w:val="0"/>
                              <w:marTop w:val="0"/>
                              <w:marBottom w:val="0"/>
                              <w:divBdr>
                                <w:top w:val="none" w:sz="0" w:space="0" w:color="auto"/>
                                <w:left w:val="none" w:sz="0" w:space="0" w:color="auto"/>
                                <w:bottom w:val="none" w:sz="0" w:space="0" w:color="auto"/>
                                <w:right w:val="none" w:sz="0" w:space="0" w:color="auto"/>
                              </w:divBdr>
                              <w:divsChild>
                                <w:div w:id="154225504">
                                  <w:marLeft w:val="0"/>
                                  <w:marRight w:val="0"/>
                                  <w:marTop w:val="0"/>
                                  <w:marBottom w:val="0"/>
                                  <w:divBdr>
                                    <w:top w:val="none" w:sz="0" w:space="0" w:color="auto"/>
                                    <w:left w:val="none" w:sz="0" w:space="0" w:color="auto"/>
                                    <w:bottom w:val="none" w:sz="0" w:space="0" w:color="auto"/>
                                    <w:right w:val="none" w:sz="0" w:space="0" w:color="auto"/>
                                  </w:divBdr>
                                  <w:divsChild>
                                    <w:div w:id="10886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2714">
                              <w:marLeft w:val="0"/>
                              <w:marRight w:val="0"/>
                              <w:marTop w:val="0"/>
                              <w:marBottom w:val="0"/>
                              <w:divBdr>
                                <w:top w:val="none" w:sz="0" w:space="0" w:color="auto"/>
                                <w:left w:val="none" w:sz="0" w:space="0" w:color="auto"/>
                                <w:bottom w:val="none" w:sz="0" w:space="0" w:color="auto"/>
                                <w:right w:val="none" w:sz="0" w:space="0" w:color="auto"/>
                              </w:divBdr>
                              <w:divsChild>
                                <w:div w:id="1043362906">
                                  <w:marLeft w:val="0"/>
                                  <w:marRight w:val="0"/>
                                  <w:marTop w:val="0"/>
                                  <w:marBottom w:val="0"/>
                                  <w:divBdr>
                                    <w:top w:val="none" w:sz="0" w:space="0" w:color="auto"/>
                                    <w:left w:val="none" w:sz="0" w:space="0" w:color="auto"/>
                                    <w:bottom w:val="none" w:sz="0" w:space="0" w:color="auto"/>
                                    <w:right w:val="none" w:sz="0" w:space="0" w:color="auto"/>
                                  </w:divBdr>
                                  <w:divsChild>
                                    <w:div w:id="804079939">
                                      <w:marLeft w:val="0"/>
                                      <w:marRight w:val="0"/>
                                      <w:marTop w:val="0"/>
                                      <w:marBottom w:val="0"/>
                                      <w:divBdr>
                                        <w:top w:val="none" w:sz="0" w:space="0" w:color="auto"/>
                                        <w:left w:val="none" w:sz="0" w:space="0" w:color="auto"/>
                                        <w:bottom w:val="none" w:sz="0" w:space="0" w:color="auto"/>
                                        <w:right w:val="none" w:sz="0" w:space="0" w:color="auto"/>
                                      </w:divBdr>
                                      <w:divsChild>
                                        <w:div w:id="11809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363795">
          <w:marLeft w:val="0"/>
          <w:marRight w:val="0"/>
          <w:marTop w:val="0"/>
          <w:marBottom w:val="0"/>
          <w:divBdr>
            <w:top w:val="none" w:sz="0" w:space="0" w:color="auto"/>
            <w:left w:val="none" w:sz="0" w:space="0" w:color="auto"/>
            <w:bottom w:val="none" w:sz="0" w:space="0" w:color="auto"/>
            <w:right w:val="none" w:sz="0" w:space="0" w:color="auto"/>
          </w:divBdr>
          <w:divsChild>
            <w:div w:id="285892409">
              <w:marLeft w:val="0"/>
              <w:marRight w:val="0"/>
              <w:marTop w:val="0"/>
              <w:marBottom w:val="0"/>
              <w:divBdr>
                <w:top w:val="none" w:sz="0" w:space="0" w:color="auto"/>
                <w:left w:val="none" w:sz="0" w:space="0" w:color="auto"/>
                <w:bottom w:val="none" w:sz="0" w:space="0" w:color="auto"/>
                <w:right w:val="none" w:sz="0" w:space="0" w:color="auto"/>
              </w:divBdr>
              <w:divsChild>
                <w:div w:id="956645417">
                  <w:marLeft w:val="0"/>
                  <w:marRight w:val="0"/>
                  <w:marTop w:val="0"/>
                  <w:marBottom w:val="0"/>
                  <w:divBdr>
                    <w:top w:val="none" w:sz="0" w:space="0" w:color="auto"/>
                    <w:left w:val="none" w:sz="0" w:space="0" w:color="auto"/>
                    <w:bottom w:val="none" w:sz="0" w:space="0" w:color="auto"/>
                    <w:right w:val="none" w:sz="0" w:space="0" w:color="auto"/>
                  </w:divBdr>
                  <w:divsChild>
                    <w:div w:id="1372421258">
                      <w:marLeft w:val="0"/>
                      <w:marRight w:val="0"/>
                      <w:marTop w:val="0"/>
                      <w:marBottom w:val="0"/>
                      <w:divBdr>
                        <w:top w:val="none" w:sz="0" w:space="0" w:color="auto"/>
                        <w:left w:val="none" w:sz="0" w:space="0" w:color="auto"/>
                        <w:bottom w:val="none" w:sz="0" w:space="0" w:color="auto"/>
                        <w:right w:val="none" w:sz="0" w:space="0" w:color="auto"/>
                      </w:divBdr>
                    </w:div>
                    <w:div w:id="17898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srn.com/abstract=106412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ke\Documents\MSc%20Business%20Risk%20and%20Security%20Management\Dissertation\Excel%20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'Part Three'!$G$1</c:f>
              <c:strCache>
                <c:ptCount val="1"/>
                <c:pt idx="0">
                  <c:v>Correct Answer </c:v>
                </c:pt>
              </c:strCache>
            </c:strRef>
          </c:tx>
          <c:spPr>
            <a:ln w="28575" cap="rnd">
              <a:solidFill>
                <a:schemeClr val="accent1"/>
              </a:solidFill>
              <a:round/>
            </a:ln>
            <a:effectLst/>
          </c:spPr>
          <c:marker>
            <c:symbol val="none"/>
          </c:marker>
          <c:dLbls>
            <c:dLbl>
              <c:idx val="1"/>
              <c:layout>
                <c:manualLayout>
                  <c:x val="-5.2596975673898753E-2"/>
                  <c:y val="-9.426115885777659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A54-4211-96AB-C5197DA42147}"/>
                </c:ext>
              </c:extLst>
            </c:dLbl>
            <c:dLbl>
              <c:idx val="2"/>
              <c:layout>
                <c:manualLayout>
                  <c:x val="-6.5746219592373442E-3"/>
                  <c:y val="-2.217909620182977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6A54-4211-96AB-C5197DA421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'Part Three'!$F$2:$F$4</c:f>
              <c:strCache>
                <c:ptCount val="3"/>
                <c:pt idx="0">
                  <c:v>Q10</c:v>
                </c:pt>
                <c:pt idx="1">
                  <c:v>Q11</c:v>
                </c:pt>
                <c:pt idx="2">
                  <c:v>Q12</c:v>
                </c:pt>
              </c:strCache>
            </c:strRef>
          </c:cat>
          <c:val>
            <c:numRef>
              <c:f>'Part Three'!$G$2:$G$4</c:f>
              <c:numCache>
                <c:formatCode>0.00%</c:formatCode>
                <c:ptCount val="3"/>
                <c:pt idx="0">
                  <c:v>0.40100000000000002</c:v>
                </c:pt>
                <c:pt idx="1">
                  <c:v>0.16700000000000001</c:v>
                </c:pt>
                <c:pt idx="2">
                  <c:v>0.27100000000000002</c:v>
                </c:pt>
              </c:numCache>
            </c:numRef>
          </c:val>
          <c:smooth val="0"/>
          <c:extLst>
            <c:ext xmlns:c16="http://schemas.microsoft.com/office/drawing/2014/chart" uri="{C3380CC4-5D6E-409C-BE32-E72D297353CC}">
              <c16:uniqueId val="{00000000-3527-4484-B24A-09E206C97905}"/>
            </c:ext>
          </c:extLst>
        </c:ser>
        <c:ser>
          <c:idx val="1"/>
          <c:order val="1"/>
          <c:tx>
            <c:strRef>
              <c:f>'Part Three'!$H$1</c:f>
              <c:strCache>
                <c:ptCount val="1"/>
                <c:pt idx="0">
                  <c:v>Mean Response </c:v>
                </c:pt>
              </c:strCache>
            </c:strRef>
          </c:tx>
          <c:spPr>
            <a:ln w="28575" cap="rnd">
              <a:solidFill>
                <a:schemeClr val="accent2"/>
              </a:solidFill>
              <a:round/>
            </a:ln>
            <a:effectLst/>
          </c:spPr>
          <c:marker>
            <c:symbol val="none"/>
          </c:marker>
          <c:dLbls>
            <c:dLbl>
              <c:idx val="0"/>
              <c:layout>
                <c:manualLayout>
                  <c:x val="-5.5884286653517391E-2"/>
                  <c:y val="-3.881341835320210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A54-4211-96AB-C5197DA42147}"/>
                </c:ext>
              </c:extLst>
            </c:dLbl>
            <c:dLbl>
              <c:idx val="1"/>
              <c:layout>
                <c:manualLayout>
                  <c:x val="-5.5884286653517426E-2"/>
                  <c:y val="7.20820626559467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A54-4211-96AB-C5197DA42147}"/>
                </c:ext>
              </c:extLst>
            </c:dLbl>
            <c:dLbl>
              <c:idx val="2"/>
              <c:layout>
                <c:manualLayout>
                  <c:x val="-6.5746219592373442E-3"/>
                  <c:y val="-5.0826508310365369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A54-4211-96AB-C5197DA421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 Three'!$F$2:$F$4</c:f>
              <c:strCache>
                <c:ptCount val="3"/>
                <c:pt idx="0">
                  <c:v>Q10</c:v>
                </c:pt>
                <c:pt idx="1">
                  <c:v>Q11</c:v>
                </c:pt>
                <c:pt idx="2">
                  <c:v>Q12</c:v>
                </c:pt>
              </c:strCache>
            </c:strRef>
          </c:cat>
          <c:val>
            <c:numRef>
              <c:f>'Part Three'!$H$2:$H$4</c:f>
              <c:numCache>
                <c:formatCode>0.00%</c:formatCode>
                <c:ptCount val="3"/>
                <c:pt idx="0">
                  <c:v>0.20730000000000001</c:v>
                </c:pt>
                <c:pt idx="1">
                  <c:v>0.14499999999999999</c:v>
                </c:pt>
                <c:pt idx="2" formatCode="0%">
                  <c:v>0.2</c:v>
                </c:pt>
              </c:numCache>
            </c:numRef>
          </c:val>
          <c:smooth val="0"/>
          <c:extLst>
            <c:ext xmlns:c16="http://schemas.microsoft.com/office/drawing/2014/chart" uri="{C3380CC4-5D6E-409C-BE32-E72D297353CC}">
              <c16:uniqueId val="{00000001-3527-4484-B24A-09E206C97905}"/>
            </c:ext>
          </c:extLst>
        </c:ser>
        <c:dLbls>
          <c:showLegendKey val="0"/>
          <c:showVal val="1"/>
          <c:showCatName val="0"/>
          <c:showSerName val="0"/>
          <c:showPercent val="0"/>
          <c:showBubbleSize val="0"/>
        </c:dLbls>
        <c:smooth val="0"/>
        <c:axId val="400291544"/>
        <c:axId val="171144232"/>
      </c:lineChart>
      <c:catAx>
        <c:axId val="400291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44232"/>
        <c:crosses val="autoZero"/>
        <c:auto val="1"/>
        <c:lblAlgn val="ctr"/>
        <c:lblOffset val="100"/>
        <c:noMultiLvlLbl val="0"/>
      </c:catAx>
      <c:valAx>
        <c:axId val="171144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291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B1EDF-00DC-43FC-B53D-96113225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15507</Words>
  <Characters>91082</Characters>
  <Application>Microsoft Office Word</Application>
  <DocSecurity>4</DocSecurity>
  <Lines>759</Lines>
  <Paragraphs>212</Paragraphs>
  <ScaleCrop>false</ScaleCrop>
  <HeadingPairs>
    <vt:vector size="2" baseType="variant">
      <vt:variant>
        <vt:lpstr>Title</vt:lpstr>
      </vt:variant>
      <vt:variant>
        <vt:i4>1</vt:i4>
      </vt:variant>
    </vt:vector>
  </HeadingPairs>
  <TitlesOfParts>
    <vt:vector size="1" baseType="lpstr">
      <vt:lpstr>University of Southampton, Year 2009</vt:lpstr>
    </vt:vector>
  </TitlesOfParts>
  <Company>Heriot-Watt University</Company>
  <LinksUpToDate>false</LinksUpToDate>
  <CharactersWithSpaces>106377</CharactersWithSpaces>
  <SharedDoc>false</SharedDoc>
  <HLinks>
    <vt:vector size="6" baseType="variant">
      <vt:variant>
        <vt:i4>6619248</vt:i4>
      </vt:variant>
      <vt:variant>
        <vt:i4>0</vt:i4>
      </vt:variant>
      <vt:variant>
        <vt:i4>0</vt:i4>
      </vt:variant>
      <vt:variant>
        <vt:i4>5</vt:i4>
      </vt:variant>
      <vt:variant>
        <vt:lpwstr>http://www.chai.org.uk/_db/_documents/04017626.pdf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Southampton, Year 2009</dc:title>
  <dc:creator>Muthalagu</dc:creator>
  <cp:lastModifiedBy>Dawson I.G. (Business School)</cp:lastModifiedBy>
  <cp:revision>2</cp:revision>
  <cp:lastPrinted>2017-11-24T06:29:00Z</cp:lastPrinted>
  <dcterms:created xsi:type="dcterms:W3CDTF">2020-03-10T15:19:00Z</dcterms:created>
  <dcterms:modified xsi:type="dcterms:W3CDTF">2020-03-10T15:19:00Z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