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7AF19" w14:textId="77777777" w:rsidR="009A252E" w:rsidRPr="00A81361" w:rsidRDefault="009A252E" w:rsidP="00C11242">
      <w:pPr>
        <w:pStyle w:val="Heading1"/>
        <w:spacing w:line="276" w:lineRule="auto"/>
        <w:ind w:left="567" w:right="1133" w:firstLine="0"/>
        <w:rPr>
          <w:rFonts w:asciiTheme="minorHAnsi" w:hAnsiTheme="minorHAnsi" w:cstheme="minorHAnsi"/>
          <w:b/>
          <w:color w:val="000000" w:themeColor="text1"/>
          <w:sz w:val="28"/>
          <w:szCs w:val="28"/>
          <w:lang w:val="en-GB"/>
        </w:rPr>
      </w:pPr>
      <w:bookmarkStart w:id="0" w:name="_GoBack"/>
      <w:bookmarkEnd w:id="0"/>
    </w:p>
    <w:p w14:paraId="374E540A" w14:textId="531C4C44" w:rsidR="009A252E" w:rsidRPr="00A81361" w:rsidRDefault="00F31694" w:rsidP="00F31694">
      <w:pPr>
        <w:pStyle w:val="Heading1"/>
        <w:spacing w:line="276" w:lineRule="auto"/>
        <w:ind w:left="567" w:right="1133" w:firstLine="0"/>
        <w:jc w:val="right"/>
        <w:rPr>
          <w:rFonts w:asciiTheme="minorHAnsi" w:hAnsiTheme="minorHAnsi" w:cstheme="minorHAnsi"/>
          <w:i/>
          <w:color w:val="000000" w:themeColor="text1"/>
          <w:sz w:val="20"/>
          <w:szCs w:val="20"/>
          <w:lang w:val="en-GB"/>
        </w:rPr>
      </w:pPr>
      <w:r w:rsidRPr="00A81361">
        <w:rPr>
          <w:rFonts w:asciiTheme="minorHAnsi" w:hAnsiTheme="minorHAnsi" w:cstheme="minorHAnsi"/>
          <w:i/>
          <w:color w:val="000000" w:themeColor="text1"/>
          <w:sz w:val="20"/>
          <w:szCs w:val="20"/>
          <w:lang w:val="en-GB"/>
        </w:rPr>
        <w:t>Kazakhstan FRAX v</w:t>
      </w:r>
      <w:r w:rsidR="002916DE">
        <w:rPr>
          <w:rFonts w:asciiTheme="minorHAnsi" w:hAnsiTheme="minorHAnsi" w:cstheme="minorHAnsi"/>
          <w:i/>
          <w:color w:val="000000" w:themeColor="text1"/>
          <w:sz w:val="20"/>
          <w:szCs w:val="20"/>
          <w:lang w:val="en-GB"/>
        </w:rPr>
        <w:t>3</w:t>
      </w:r>
    </w:p>
    <w:p w14:paraId="3365D20E" w14:textId="3FCB4183" w:rsidR="00D9601A" w:rsidRPr="00A81361" w:rsidRDefault="00D9601A" w:rsidP="00C11242">
      <w:pPr>
        <w:pStyle w:val="Heading1"/>
        <w:spacing w:line="276" w:lineRule="auto"/>
        <w:ind w:left="567" w:right="1133" w:firstLine="0"/>
        <w:rPr>
          <w:rFonts w:asciiTheme="minorHAnsi" w:hAnsiTheme="minorHAnsi" w:cstheme="minorHAnsi"/>
          <w:b/>
          <w:color w:val="000000" w:themeColor="text1"/>
          <w:sz w:val="28"/>
          <w:szCs w:val="28"/>
          <w:lang w:val="en-GB"/>
        </w:rPr>
      </w:pPr>
      <w:r w:rsidRPr="00A81361">
        <w:rPr>
          <w:rFonts w:asciiTheme="minorHAnsi" w:hAnsiTheme="minorHAnsi" w:cstheme="minorHAnsi"/>
          <w:b/>
          <w:color w:val="000000" w:themeColor="text1"/>
          <w:sz w:val="28"/>
          <w:szCs w:val="28"/>
          <w:lang w:val="en-GB"/>
        </w:rPr>
        <w:t xml:space="preserve">Epidemiology of </w:t>
      </w:r>
      <w:r w:rsidR="005D37D4" w:rsidRPr="00A81361">
        <w:rPr>
          <w:rFonts w:asciiTheme="minorHAnsi" w:hAnsiTheme="minorHAnsi" w:cstheme="minorHAnsi"/>
          <w:b/>
          <w:color w:val="000000" w:themeColor="text1"/>
          <w:sz w:val="28"/>
          <w:szCs w:val="28"/>
          <w:lang w:val="en-GB"/>
        </w:rPr>
        <w:t>osteoporotic</w:t>
      </w:r>
      <w:r w:rsidR="00113E92" w:rsidRPr="00A81361">
        <w:rPr>
          <w:rFonts w:asciiTheme="minorHAnsi" w:hAnsiTheme="minorHAnsi" w:cstheme="minorHAnsi"/>
          <w:b/>
          <w:color w:val="000000" w:themeColor="text1"/>
          <w:sz w:val="28"/>
          <w:szCs w:val="28"/>
          <w:lang w:val="en-GB"/>
        </w:rPr>
        <w:t xml:space="preserve"> fracture in </w:t>
      </w:r>
      <w:bookmarkStart w:id="1" w:name="_Hlk8562866"/>
      <w:r w:rsidR="00F31694" w:rsidRPr="00A81361">
        <w:rPr>
          <w:rFonts w:asciiTheme="minorHAnsi" w:hAnsiTheme="minorHAnsi" w:cstheme="minorHAnsi"/>
          <w:b/>
          <w:color w:val="000000" w:themeColor="text1"/>
          <w:sz w:val="28"/>
          <w:szCs w:val="28"/>
          <w:lang w:val="en-GB"/>
        </w:rPr>
        <w:t>Kazakhstan</w:t>
      </w:r>
      <w:bookmarkEnd w:id="1"/>
      <w:r w:rsidR="00113E92" w:rsidRPr="00A81361">
        <w:rPr>
          <w:rFonts w:asciiTheme="minorHAnsi" w:hAnsiTheme="minorHAnsi" w:cstheme="minorHAnsi"/>
          <w:b/>
          <w:color w:val="000000" w:themeColor="text1"/>
          <w:sz w:val="28"/>
          <w:szCs w:val="28"/>
          <w:lang w:val="en-GB"/>
        </w:rPr>
        <w:t xml:space="preserve"> and</w:t>
      </w:r>
      <w:r w:rsidR="002D79C4" w:rsidRPr="00A81361">
        <w:rPr>
          <w:rFonts w:asciiTheme="minorHAnsi" w:hAnsiTheme="minorHAnsi" w:cstheme="minorHAnsi"/>
          <w:b/>
          <w:color w:val="000000" w:themeColor="text1"/>
          <w:sz w:val="28"/>
          <w:szCs w:val="28"/>
          <w:lang w:val="en-GB"/>
        </w:rPr>
        <w:t xml:space="preserve"> </w:t>
      </w:r>
      <w:r w:rsidRPr="00A81361">
        <w:rPr>
          <w:rFonts w:asciiTheme="minorHAnsi" w:hAnsiTheme="minorHAnsi" w:cstheme="minorHAnsi"/>
          <w:b/>
          <w:color w:val="000000" w:themeColor="text1"/>
          <w:sz w:val="28"/>
          <w:szCs w:val="28"/>
          <w:lang w:val="en-GB"/>
        </w:rPr>
        <w:t xml:space="preserve">development of a </w:t>
      </w:r>
      <w:r w:rsidR="00F66E03" w:rsidRPr="00A81361">
        <w:rPr>
          <w:rFonts w:asciiTheme="minorHAnsi" w:hAnsiTheme="minorHAnsi" w:cstheme="minorHAnsi"/>
          <w:b/>
          <w:color w:val="000000" w:themeColor="text1"/>
          <w:sz w:val="28"/>
          <w:szCs w:val="28"/>
          <w:lang w:val="en-GB"/>
        </w:rPr>
        <w:t>country specific</w:t>
      </w:r>
      <w:r w:rsidRPr="00A81361">
        <w:rPr>
          <w:rFonts w:asciiTheme="minorHAnsi" w:hAnsiTheme="minorHAnsi" w:cstheme="minorHAnsi"/>
          <w:b/>
          <w:color w:val="000000" w:themeColor="text1"/>
          <w:sz w:val="28"/>
          <w:szCs w:val="28"/>
          <w:lang w:val="en-GB"/>
        </w:rPr>
        <w:t xml:space="preserve"> FRAX model</w:t>
      </w:r>
    </w:p>
    <w:p w14:paraId="64383C8C" w14:textId="77777777" w:rsidR="00E372F1" w:rsidRPr="00A81361" w:rsidRDefault="00AC3AC7" w:rsidP="00C11242">
      <w:pPr>
        <w:spacing w:line="276" w:lineRule="auto"/>
        <w:ind w:left="567" w:right="1133"/>
        <w:rPr>
          <w:rFonts w:asciiTheme="minorHAnsi" w:hAnsiTheme="minorHAnsi" w:cstheme="minorHAnsi"/>
          <w:lang w:val="en-GB"/>
        </w:rPr>
      </w:pPr>
      <w:r w:rsidRPr="00A81361">
        <w:rPr>
          <w:rFonts w:asciiTheme="minorHAnsi" w:hAnsiTheme="minorHAnsi" w:cstheme="minorHAnsi"/>
          <w:lang w:val="en-GB"/>
        </w:rPr>
        <w:t xml:space="preserve"> </w:t>
      </w:r>
    </w:p>
    <w:p w14:paraId="5C77C26A" w14:textId="77777777" w:rsidR="00D9601A" w:rsidRPr="00A81361" w:rsidRDefault="00D9601A" w:rsidP="00C11242">
      <w:pPr>
        <w:spacing w:line="276" w:lineRule="auto"/>
        <w:ind w:left="567" w:right="1133"/>
        <w:jc w:val="both"/>
        <w:rPr>
          <w:rFonts w:asciiTheme="minorHAnsi" w:hAnsiTheme="minorHAnsi" w:cstheme="minorHAnsi"/>
          <w:lang w:val="en-GB"/>
        </w:rPr>
      </w:pPr>
    </w:p>
    <w:p w14:paraId="324B7B07" w14:textId="77777777" w:rsidR="009B5AFD" w:rsidRPr="00A81361" w:rsidRDefault="009B5AFD" w:rsidP="00C11242">
      <w:pPr>
        <w:spacing w:line="276" w:lineRule="auto"/>
        <w:ind w:left="567" w:right="1133"/>
        <w:jc w:val="both"/>
        <w:rPr>
          <w:rFonts w:asciiTheme="minorHAnsi" w:hAnsiTheme="minorHAnsi" w:cstheme="minorHAnsi"/>
          <w:lang w:val="en-GB"/>
        </w:rPr>
      </w:pPr>
    </w:p>
    <w:p w14:paraId="51A8B99B" w14:textId="2336C563" w:rsidR="009B5AFD" w:rsidRPr="00A81361" w:rsidRDefault="009B5AFD" w:rsidP="009B5AFD">
      <w:pPr>
        <w:suppressAutoHyphens/>
        <w:spacing w:line="360" w:lineRule="auto"/>
        <w:ind w:left="567"/>
        <w:rPr>
          <w:rFonts w:ascii="Calibri" w:eastAsia="Calibri" w:hAnsi="Calibri"/>
          <w:lang w:val="en-GB" w:eastAsia="en-US"/>
        </w:rPr>
      </w:pPr>
      <w:bookmarkStart w:id="2" w:name="_Hlk11400915"/>
      <w:r w:rsidRPr="00A81361">
        <w:rPr>
          <w:rFonts w:ascii="Calibri" w:eastAsia="Calibri" w:hAnsi="Calibri"/>
          <w:lang w:val="en-GB" w:eastAsia="en-US"/>
        </w:rPr>
        <w:t>S. Issayeva</w:t>
      </w:r>
      <w:r w:rsidRPr="00A81361">
        <w:rPr>
          <w:rFonts w:ascii="Calibri" w:eastAsia="Calibri" w:hAnsi="Calibri"/>
          <w:vertAlign w:val="superscript"/>
          <w:lang w:val="en-GB" w:eastAsia="en-US"/>
        </w:rPr>
        <w:t>1</w:t>
      </w:r>
      <w:r w:rsidRPr="00A81361">
        <w:rPr>
          <w:rFonts w:ascii="Calibri" w:eastAsia="Calibri" w:hAnsi="Calibri"/>
          <w:lang w:val="en-GB" w:eastAsia="en-US"/>
        </w:rPr>
        <w:t>, O. Lesnyak</w:t>
      </w:r>
      <w:r w:rsidRPr="00A81361">
        <w:rPr>
          <w:rFonts w:ascii="Calibri" w:eastAsia="Calibri" w:hAnsi="Calibri"/>
          <w:vertAlign w:val="superscript"/>
          <w:lang w:val="en-GB" w:eastAsia="en-US"/>
        </w:rPr>
        <w:t>2</w:t>
      </w:r>
      <w:r w:rsidRPr="00A81361">
        <w:rPr>
          <w:rFonts w:ascii="Calibri" w:eastAsia="Calibri" w:hAnsi="Calibri"/>
          <w:lang w:val="en-GB" w:eastAsia="en-US"/>
        </w:rPr>
        <w:t>, A. Zakroyeva</w:t>
      </w:r>
      <w:r w:rsidRPr="00A81361">
        <w:rPr>
          <w:rFonts w:ascii="Calibri" w:eastAsia="Calibri" w:hAnsi="Calibri"/>
          <w:vertAlign w:val="superscript"/>
          <w:lang w:val="en-GB" w:eastAsia="en-US"/>
        </w:rPr>
        <w:t>3</w:t>
      </w:r>
      <w:r w:rsidRPr="00A81361">
        <w:rPr>
          <w:rFonts w:ascii="Calibri" w:eastAsia="Calibri" w:hAnsi="Calibri"/>
          <w:lang w:val="en-GB" w:eastAsia="en-US"/>
        </w:rPr>
        <w:t>, B. Issayeva</w:t>
      </w:r>
      <w:r w:rsidRPr="00A81361">
        <w:rPr>
          <w:rFonts w:ascii="Calibri" w:eastAsia="Calibri" w:hAnsi="Calibri"/>
          <w:vertAlign w:val="superscript"/>
          <w:lang w:val="en-GB" w:eastAsia="en-US"/>
        </w:rPr>
        <w:t>1</w:t>
      </w:r>
      <w:r w:rsidRPr="00A81361">
        <w:rPr>
          <w:rFonts w:ascii="Calibri" w:eastAsia="Calibri" w:hAnsi="Calibri"/>
          <w:lang w:val="en-GB" w:eastAsia="en-US"/>
        </w:rPr>
        <w:t>, D. Dilmanova</w:t>
      </w:r>
      <w:r w:rsidRPr="00A81361">
        <w:rPr>
          <w:rFonts w:ascii="Calibri" w:eastAsia="Calibri" w:hAnsi="Calibri"/>
          <w:vertAlign w:val="superscript"/>
          <w:lang w:val="en-GB" w:eastAsia="en-US"/>
        </w:rPr>
        <w:t>1</w:t>
      </w:r>
      <w:r w:rsidRPr="00A81361">
        <w:rPr>
          <w:rFonts w:ascii="Calibri" w:eastAsia="Calibri" w:hAnsi="Calibri"/>
          <w:lang w:val="en-GB" w:eastAsia="en-US"/>
        </w:rPr>
        <w:t>, H. Johansson</w:t>
      </w:r>
      <w:r w:rsidRPr="00A81361">
        <w:rPr>
          <w:rFonts w:ascii="Calibri" w:eastAsia="Calibri" w:hAnsi="Calibri"/>
          <w:vertAlign w:val="superscript"/>
          <w:lang w:val="en-GB" w:eastAsia="en-US"/>
        </w:rPr>
        <w:t>4</w:t>
      </w:r>
      <w:r w:rsidRPr="00A81361">
        <w:rPr>
          <w:rFonts w:ascii="Calibri" w:eastAsia="Calibri" w:hAnsi="Calibri"/>
          <w:lang w:val="en-GB" w:eastAsia="en-US"/>
        </w:rPr>
        <w:t xml:space="preserve">, </w:t>
      </w:r>
      <w:r w:rsidR="00137A86">
        <w:rPr>
          <w:rFonts w:ascii="Calibri" w:eastAsia="Calibri" w:hAnsi="Calibri"/>
          <w:lang w:val="en-GB" w:eastAsia="en-US"/>
        </w:rPr>
        <w:t>E</w:t>
      </w:r>
      <w:r w:rsidR="0067328A">
        <w:rPr>
          <w:rFonts w:ascii="Calibri" w:eastAsia="Calibri" w:hAnsi="Calibri"/>
          <w:lang w:val="en-GB" w:eastAsia="en-US"/>
        </w:rPr>
        <w:t>.</w:t>
      </w:r>
      <w:r w:rsidR="00137A86">
        <w:rPr>
          <w:rFonts w:ascii="Calibri" w:eastAsia="Calibri" w:hAnsi="Calibri"/>
          <w:lang w:val="en-GB" w:eastAsia="en-US"/>
        </w:rPr>
        <w:t xml:space="preserve"> Liu</w:t>
      </w:r>
      <w:r w:rsidR="00307A63" w:rsidRPr="00307A63">
        <w:rPr>
          <w:rFonts w:ascii="Calibri" w:eastAsia="Calibri" w:hAnsi="Calibri"/>
          <w:vertAlign w:val="superscript"/>
          <w:lang w:val="en-GB" w:eastAsia="en-US"/>
        </w:rPr>
        <w:t>4</w:t>
      </w:r>
      <w:r w:rsidR="00BE2055">
        <w:rPr>
          <w:rFonts w:ascii="Calibri" w:eastAsia="Calibri" w:hAnsi="Calibri"/>
          <w:lang w:val="en-GB" w:eastAsia="en-US"/>
        </w:rPr>
        <w:t>,</w:t>
      </w:r>
      <w:r w:rsidR="00307A63">
        <w:rPr>
          <w:rFonts w:ascii="Calibri" w:eastAsia="Calibri" w:hAnsi="Calibri"/>
          <w:lang w:val="en-GB" w:eastAsia="en-US"/>
        </w:rPr>
        <w:t xml:space="preserve"> </w:t>
      </w:r>
      <w:r w:rsidR="00F4017E" w:rsidRPr="00F4017E">
        <w:rPr>
          <w:rFonts w:ascii="Calibri" w:eastAsia="Calibri" w:hAnsi="Calibri"/>
          <w:lang w:val="en-GB" w:eastAsia="en-US"/>
        </w:rPr>
        <w:t>M</w:t>
      </w:r>
      <w:r w:rsidR="0067328A">
        <w:rPr>
          <w:rFonts w:ascii="Calibri" w:eastAsia="Calibri" w:hAnsi="Calibri"/>
          <w:lang w:val="en-GB" w:eastAsia="en-US"/>
        </w:rPr>
        <w:t>.</w:t>
      </w:r>
      <w:r w:rsidR="00F4017E" w:rsidRPr="00F4017E">
        <w:rPr>
          <w:rFonts w:ascii="Calibri" w:eastAsia="Calibri" w:hAnsi="Calibri"/>
          <w:lang w:val="en-GB" w:eastAsia="en-US"/>
        </w:rPr>
        <w:t xml:space="preserve"> Lorentzon</w:t>
      </w:r>
      <w:r w:rsidR="00FB053D" w:rsidRPr="00FB053D">
        <w:rPr>
          <w:rFonts w:ascii="Calibri" w:eastAsia="Calibri" w:hAnsi="Calibri"/>
          <w:vertAlign w:val="superscript"/>
          <w:lang w:val="en-GB" w:eastAsia="en-US"/>
        </w:rPr>
        <w:t>4</w:t>
      </w:r>
      <w:r w:rsidR="00E65EE7">
        <w:rPr>
          <w:rFonts w:ascii="Calibri" w:eastAsia="Calibri" w:hAnsi="Calibri"/>
          <w:vertAlign w:val="superscript"/>
          <w:lang w:val="en-GB" w:eastAsia="en-US"/>
        </w:rPr>
        <w:t>,5</w:t>
      </w:r>
      <w:r w:rsidR="00F4017E">
        <w:rPr>
          <w:rFonts w:ascii="Calibri" w:eastAsia="Calibri" w:hAnsi="Calibri"/>
          <w:lang w:val="en-GB" w:eastAsia="en-US"/>
        </w:rPr>
        <w:t>,</w:t>
      </w:r>
      <w:r w:rsidR="00F4017E" w:rsidRPr="00F4017E">
        <w:rPr>
          <w:rFonts w:ascii="Calibri" w:eastAsia="Calibri" w:hAnsi="Calibri"/>
          <w:lang w:val="en-GB" w:eastAsia="en-US"/>
        </w:rPr>
        <w:t xml:space="preserve"> </w:t>
      </w:r>
      <w:r w:rsidRPr="00A81361">
        <w:rPr>
          <w:rFonts w:ascii="Calibri" w:eastAsia="Calibri" w:hAnsi="Calibri"/>
          <w:lang w:val="en-GB" w:eastAsia="en-US"/>
        </w:rPr>
        <w:t>N.C. Harvey</w:t>
      </w:r>
      <w:r w:rsidR="00DA0B5D">
        <w:rPr>
          <w:rFonts w:ascii="Calibri" w:eastAsia="Calibri" w:hAnsi="Calibri"/>
          <w:vertAlign w:val="superscript"/>
          <w:lang w:val="en-GB" w:eastAsia="en-US"/>
        </w:rPr>
        <w:t>6</w:t>
      </w:r>
      <w:r w:rsidRPr="00A81361">
        <w:rPr>
          <w:rFonts w:ascii="Calibri" w:eastAsia="Calibri" w:hAnsi="Calibri"/>
          <w:lang w:val="en-GB" w:eastAsia="en-US"/>
        </w:rPr>
        <w:t>, E. McCloskey</w:t>
      </w:r>
      <w:r w:rsidR="00DA0B5D">
        <w:rPr>
          <w:rFonts w:ascii="Calibri" w:eastAsia="Calibri" w:hAnsi="Calibri"/>
          <w:vertAlign w:val="superscript"/>
          <w:lang w:val="en-GB" w:eastAsia="en-US"/>
        </w:rPr>
        <w:t>7</w:t>
      </w:r>
      <w:r w:rsidRPr="00A81361">
        <w:rPr>
          <w:rFonts w:ascii="Calibri" w:eastAsia="Calibri" w:hAnsi="Calibri"/>
          <w:lang w:val="en-GB" w:eastAsia="en-US"/>
        </w:rPr>
        <w:t>, J.A. Kanis</w:t>
      </w:r>
      <w:r w:rsidRPr="00A81361">
        <w:rPr>
          <w:rFonts w:ascii="Calibri" w:eastAsia="Calibri" w:hAnsi="Calibri"/>
          <w:vertAlign w:val="superscript"/>
          <w:lang w:val="en-GB" w:eastAsia="en-US"/>
        </w:rPr>
        <w:t>4,</w:t>
      </w:r>
      <w:r w:rsidR="00DA0B5D">
        <w:rPr>
          <w:rFonts w:ascii="Calibri" w:eastAsia="Calibri" w:hAnsi="Calibri"/>
          <w:vertAlign w:val="superscript"/>
          <w:lang w:val="en-GB" w:eastAsia="en-US"/>
        </w:rPr>
        <w:t>7</w:t>
      </w:r>
    </w:p>
    <w:bookmarkEnd w:id="2"/>
    <w:p w14:paraId="50E54567" w14:textId="77777777" w:rsidR="009B5AFD" w:rsidRPr="00A81361" w:rsidRDefault="009B5AFD" w:rsidP="009B5AFD">
      <w:pPr>
        <w:suppressAutoHyphens/>
        <w:spacing w:line="360" w:lineRule="auto"/>
        <w:ind w:left="567" w:firstLine="709"/>
        <w:rPr>
          <w:rFonts w:ascii="Calibri" w:eastAsia="Calibri" w:hAnsi="Calibri"/>
          <w:lang w:val="en-GB" w:eastAsia="en-US"/>
        </w:rPr>
      </w:pPr>
    </w:p>
    <w:p w14:paraId="06A44EF2" w14:textId="77777777" w:rsidR="009B5AFD" w:rsidRPr="00A81361" w:rsidRDefault="009B5AFD" w:rsidP="00904F00">
      <w:pPr>
        <w:suppressAutoHyphens/>
        <w:spacing w:line="360" w:lineRule="auto"/>
        <w:ind w:left="709" w:hanging="142"/>
        <w:rPr>
          <w:rFonts w:ascii="Calibri" w:eastAsia="Calibri" w:hAnsi="Calibri"/>
          <w:lang w:val="en-GB" w:eastAsia="en-US"/>
        </w:rPr>
      </w:pPr>
      <w:r w:rsidRPr="00A81361">
        <w:rPr>
          <w:rFonts w:ascii="Calibri" w:eastAsia="Calibri" w:hAnsi="Calibri"/>
          <w:vertAlign w:val="superscript"/>
          <w:lang w:val="en-GB" w:eastAsia="en-US"/>
        </w:rPr>
        <w:t>1</w:t>
      </w:r>
      <w:r w:rsidRPr="00A81361">
        <w:rPr>
          <w:rFonts w:ascii="Calibri" w:eastAsia="Calibri" w:hAnsi="Calibri"/>
          <w:lang w:val="en-GB" w:eastAsia="en-US"/>
        </w:rPr>
        <w:t xml:space="preserve"> Asfendiyarov National Medical University, 94, Tole bi street, 050000, Almaty, Kazakhstan</w:t>
      </w:r>
    </w:p>
    <w:p w14:paraId="68755B2D" w14:textId="77777777" w:rsidR="009B5AFD" w:rsidRPr="00A81361" w:rsidRDefault="009B5AFD" w:rsidP="00904F00">
      <w:pPr>
        <w:suppressAutoHyphens/>
        <w:spacing w:line="360" w:lineRule="auto"/>
        <w:ind w:left="709" w:hanging="142"/>
        <w:rPr>
          <w:rFonts w:ascii="Calibri" w:eastAsia="Calibri" w:hAnsi="Calibri"/>
          <w:lang w:val="en-GB" w:eastAsia="en-US"/>
        </w:rPr>
      </w:pPr>
      <w:r w:rsidRPr="00A81361">
        <w:rPr>
          <w:rFonts w:ascii="Calibri" w:eastAsia="Calibri" w:hAnsi="Calibri"/>
          <w:vertAlign w:val="superscript"/>
          <w:lang w:val="en-GB" w:eastAsia="en-US"/>
        </w:rPr>
        <w:t>2</w:t>
      </w:r>
      <w:r w:rsidRPr="00A81361">
        <w:rPr>
          <w:rFonts w:ascii="Calibri" w:eastAsia="Calibri" w:hAnsi="Calibri"/>
          <w:lang w:val="en-GB" w:eastAsia="en-US"/>
        </w:rPr>
        <w:t xml:space="preserve"> Mechnikov North West State Medical University, 41, Kirochnaya street, 191015, St.Petersburg, Russia </w:t>
      </w:r>
    </w:p>
    <w:p w14:paraId="7937AF33" w14:textId="77777777" w:rsidR="009B5AFD" w:rsidRPr="00A81361" w:rsidRDefault="009B5AFD" w:rsidP="00904F00">
      <w:pPr>
        <w:suppressAutoHyphens/>
        <w:spacing w:line="360" w:lineRule="auto"/>
        <w:ind w:left="709" w:hanging="142"/>
        <w:rPr>
          <w:rFonts w:ascii="Calibri" w:eastAsia="Calibri" w:hAnsi="Calibri"/>
          <w:lang w:val="en-GB" w:eastAsia="en-US"/>
        </w:rPr>
      </w:pPr>
      <w:r w:rsidRPr="00A81361">
        <w:rPr>
          <w:rFonts w:ascii="Calibri" w:eastAsia="Calibri" w:hAnsi="Calibri"/>
          <w:vertAlign w:val="superscript"/>
          <w:lang w:val="en-GB" w:eastAsia="en-US"/>
        </w:rPr>
        <w:t>3</w:t>
      </w:r>
      <w:r w:rsidRPr="00A81361">
        <w:rPr>
          <w:rFonts w:ascii="Calibri" w:eastAsia="Calibri" w:hAnsi="Calibri"/>
          <w:lang w:val="en-GB" w:eastAsia="en-US"/>
        </w:rPr>
        <w:t xml:space="preserve"> Ural State Medical University, 3, Repina street, 620028, Yekaterinburg, Russia</w:t>
      </w:r>
    </w:p>
    <w:p w14:paraId="68494045" w14:textId="073F33D8" w:rsidR="009B5AFD" w:rsidRDefault="009B5AFD" w:rsidP="00904F00">
      <w:pPr>
        <w:suppressAutoHyphens/>
        <w:spacing w:line="360" w:lineRule="auto"/>
        <w:ind w:left="709" w:hanging="142"/>
        <w:rPr>
          <w:rFonts w:ascii="Calibri" w:eastAsia="Calibri" w:hAnsi="Calibri"/>
          <w:lang w:val="en-GB" w:eastAsia="en-US"/>
        </w:rPr>
      </w:pPr>
      <w:r w:rsidRPr="00A81361">
        <w:rPr>
          <w:rFonts w:ascii="Calibri" w:eastAsia="Calibri" w:hAnsi="Calibri"/>
          <w:vertAlign w:val="superscript"/>
          <w:lang w:val="en-GB" w:eastAsia="en-US"/>
        </w:rPr>
        <w:t>4</w:t>
      </w:r>
      <w:r w:rsidRPr="00A81361">
        <w:rPr>
          <w:rFonts w:ascii="Calibri" w:eastAsia="Calibri" w:hAnsi="Calibri"/>
          <w:lang w:val="en-GB" w:eastAsia="en-US"/>
        </w:rPr>
        <w:t xml:space="preserve"> Mary McKillop Health Institute, Australian Catholic University, Melbourne, Australia</w:t>
      </w:r>
    </w:p>
    <w:p w14:paraId="1EB4A6E2" w14:textId="4FA048EB" w:rsidR="00DA0B5D" w:rsidRPr="00A81361" w:rsidRDefault="00DA0B5D" w:rsidP="00904F00">
      <w:pPr>
        <w:suppressAutoHyphens/>
        <w:spacing w:line="360" w:lineRule="auto"/>
        <w:ind w:left="709" w:hanging="142"/>
        <w:rPr>
          <w:rFonts w:ascii="Calibri" w:eastAsia="Calibri" w:hAnsi="Calibri"/>
          <w:lang w:val="en-GB" w:eastAsia="en-US"/>
        </w:rPr>
      </w:pPr>
      <w:r w:rsidRPr="00DA0B5D">
        <w:rPr>
          <w:rFonts w:ascii="Calibri" w:eastAsia="Calibri" w:hAnsi="Calibri"/>
          <w:vertAlign w:val="superscript"/>
          <w:lang w:val="en-GB" w:eastAsia="en-US"/>
        </w:rPr>
        <w:t>5</w:t>
      </w:r>
      <w:r>
        <w:rPr>
          <w:rFonts w:ascii="Calibri" w:eastAsia="Calibri" w:hAnsi="Calibri"/>
          <w:lang w:val="en-GB" w:eastAsia="en-US"/>
        </w:rPr>
        <w:t xml:space="preserve"> </w:t>
      </w:r>
      <w:r w:rsidRPr="00DA0B5D">
        <w:rPr>
          <w:rFonts w:ascii="Calibri" w:eastAsia="Calibri" w:hAnsi="Calibri"/>
          <w:lang w:val="en-GB" w:eastAsia="en-US"/>
        </w:rPr>
        <w:t>Institute of Medicine, University of Gothenburg, Gothenburg, Sweden</w:t>
      </w:r>
    </w:p>
    <w:p w14:paraId="5D3383F0" w14:textId="66B0B024" w:rsidR="009B5AFD" w:rsidRPr="00A81361" w:rsidRDefault="00680988" w:rsidP="00904F00">
      <w:pPr>
        <w:suppressAutoHyphens/>
        <w:spacing w:line="360" w:lineRule="auto"/>
        <w:ind w:left="709" w:hanging="142"/>
        <w:rPr>
          <w:rFonts w:ascii="Calibri" w:eastAsia="Calibri" w:hAnsi="Calibri"/>
          <w:lang w:val="en-GB" w:eastAsia="en-US"/>
        </w:rPr>
      </w:pPr>
      <w:r>
        <w:rPr>
          <w:rFonts w:ascii="Calibri" w:eastAsia="Calibri" w:hAnsi="Calibri"/>
          <w:vertAlign w:val="superscript"/>
          <w:lang w:val="en-GB" w:eastAsia="en-US"/>
        </w:rPr>
        <w:t>6</w:t>
      </w:r>
      <w:r w:rsidR="009B5AFD" w:rsidRPr="00A81361">
        <w:rPr>
          <w:rFonts w:ascii="Calibri" w:eastAsia="Calibri" w:hAnsi="Calibri"/>
          <w:lang w:val="en-GB" w:eastAsia="en-US"/>
        </w:rPr>
        <w:t xml:space="preserve"> MRC Lifecourse Epidemiology Unit, University of Southampton, UK</w:t>
      </w:r>
    </w:p>
    <w:p w14:paraId="1C59651B" w14:textId="09DC9178" w:rsidR="009B5AFD" w:rsidRPr="00A81361" w:rsidRDefault="00680988" w:rsidP="00904F00">
      <w:pPr>
        <w:suppressAutoHyphens/>
        <w:spacing w:line="360" w:lineRule="auto"/>
        <w:ind w:left="709" w:hanging="142"/>
        <w:rPr>
          <w:rFonts w:ascii="Calibri" w:eastAsia="Calibri" w:hAnsi="Calibri"/>
          <w:lang w:val="en-GB" w:eastAsia="en-US"/>
        </w:rPr>
      </w:pPr>
      <w:r>
        <w:rPr>
          <w:rFonts w:ascii="Calibri" w:eastAsia="Calibri" w:hAnsi="Calibri"/>
          <w:vertAlign w:val="superscript"/>
          <w:lang w:val="en-GB" w:eastAsia="en-US"/>
        </w:rPr>
        <w:t>7</w:t>
      </w:r>
      <w:r w:rsidR="009B5AFD" w:rsidRPr="00A81361">
        <w:rPr>
          <w:rFonts w:ascii="Calibri" w:eastAsia="Calibri" w:hAnsi="Calibri"/>
          <w:lang w:val="en-GB" w:eastAsia="en-US"/>
        </w:rPr>
        <w:t xml:space="preserve"> Centre for Metabolic Bone Diseases, University of Sheffield, UK </w:t>
      </w:r>
    </w:p>
    <w:p w14:paraId="6D187F34" w14:textId="77777777" w:rsidR="005D37D4" w:rsidRPr="00A81361" w:rsidRDefault="005D37D4" w:rsidP="00C11242">
      <w:pPr>
        <w:spacing w:line="276" w:lineRule="auto"/>
        <w:ind w:left="567" w:right="1133"/>
        <w:jc w:val="both"/>
        <w:rPr>
          <w:rFonts w:asciiTheme="minorHAnsi" w:hAnsiTheme="minorHAnsi" w:cstheme="minorHAnsi"/>
          <w:lang w:val="en-GB"/>
        </w:rPr>
      </w:pPr>
    </w:p>
    <w:p w14:paraId="5FD4DCC8" w14:textId="77777777" w:rsidR="00772C05" w:rsidRPr="00A81361" w:rsidRDefault="00772C05" w:rsidP="00C11242">
      <w:pPr>
        <w:spacing w:line="276" w:lineRule="auto"/>
        <w:ind w:left="567" w:right="1133"/>
        <w:jc w:val="both"/>
        <w:rPr>
          <w:rFonts w:asciiTheme="minorHAnsi" w:hAnsiTheme="minorHAnsi" w:cstheme="minorHAnsi"/>
          <w:lang w:val="en-GB"/>
        </w:rPr>
      </w:pPr>
      <w:r w:rsidRPr="00A81361">
        <w:rPr>
          <w:rFonts w:asciiTheme="minorHAnsi" w:hAnsiTheme="minorHAnsi" w:cstheme="minorHAnsi"/>
          <w:lang w:val="en-GB"/>
        </w:rPr>
        <w:t xml:space="preserve">Correspondence: </w:t>
      </w:r>
    </w:p>
    <w:p w14:paraId="0426DE45" w14:textId="77777777" w:rsidR="00772C05" w:rsidRPr="00A81361" w:rsidRDefault="00772C05" w:rsidP="00C11242">
      <w:pPr>
        <w:spacing w:line="276" w:lineRule="auto"/>
        <w:ind w:left="567" w:right="1133"/>
        <w:jc w:val="both"/>
        <w:rPr>
          <w:rFonts w:asciiTheme="minorHAnsi" w:hAnsiTheme="minorHAnsi" w:cstheme="minorHAnsi"/>
          <w:lang w:val="en-GB"/>
        </w:rPr>
      </w:pPr>
      <w:r w:rsidRPr="00A81361">
        <w:rPr>
          <w:rFonts w:asciiTheme="minorHAnsi" w:hAnsiTheme="minorHAnsi" w:cstheme="minorHAnsi"/>
          <w:lang w:val="en-GB"/>
        </w:rPr>
        <w:t xml:space="preserve">John A Kanis </w:t>
      </w:r>
    </w:p>
    <w:p w14:paraId="6229A8F9" w14:textId="77777777" w:rsidR="00772C05" w:rsidRPr="00A81361" w:rsidRDefault="00772C05" w:rsidP="00C11242">
      <w:pPr>
        <w:spacing w:line="276" w:lineRule="auto"/>
        <w:ind w:left="567" w:right="1133"/>
        <w:jc w:val="both"/>
        <w:rPr>
          <w:rFonts w:asciiTheme="minorHAnsi" w:hAnsiTheme="minorHAnsi" w:cstheme="minorHAnsi"/>
          <w:lang w:val="en-GB"/>
        </w:rPr>
      </w:pPr>
      <w:r w:rsidRPr="00A81361">
        <w:rPr>
          <w:rFonts w:asciiTheme="minorHAnsi" w:hAnsiTheme="minorHAnsi" w:cstheme="minorHAnsi"/>
          <w:lang w:val="en-GB"/>
        </w:rPr>
        <w:t xml:space="preserve">e-mail: </w:t>
      </w:r>
      <w:hyperlink r:id="rId8" w:history="1">
        <w:r w:rsidRPr="00A81361">
          <w:rPr>
            <w:rStyle w:val="Hyperlink"/>
            <w:rFonts w:asciiTheme="minorHAnsi" w:hAnsiTheme="minorHAnsi" w:cstheme="minorHAnsi"/>
            <w:lang w:val="en-GB"/>
          </w:rPr>
          <w:t>w.j.pontefract@sheffield.ac.uk</w:t>
        </w:r>
      </w:hyperlink>
      <w:r w:rsidRPr="00A81361">
        <w:rPr>
          <w:rFonts w:asciiTheme="minorHAnsi" w:hAnsiTheme="minorHAnsi" w:cstheme="minorHAnsi"/>
          <w:lang w:val="en-GB"/>
        </w:rPr>
        <w:t xml:space="preserve"> </w:t>
      </w:r>
    </w:p>
    <w:p w14:paraId="7344433A" w14:textId="77777777" w:rsidR="00D9601A" w:rsidRPr="00A81361" w:rsidRDefault="00D9601A" w:rsidP="00C11242">
      <w:pPr>
        <w:spacing w:line="276" w:lineRule="auto"/>
        <w:ind w:left="567" w:right="1133"/>
        <w:jc w:val="both"/>
        <w:rPr>
          <w:rFonts w:asciiTheme="minorHAnsi" w:hAnsiTheme="minorHAnsi" w:cstheme="minorHAnsi"/>
          <w:lang w:val="en-GB"/>
        </w:rPr>
      </w:pPr>
    </w:p>
    <w:p w14:paraId="1CD4020E" w14:textId="77777777" w:rsidR="003C4AA2" w:rsidRPr="00A81361" w:rsidRDefault="003C4AA2" w:rsidP="00C11242">
      <w:pPr>
        <w:spacing w:line="276" w:lineRule="auto"/>
        <w:ind w:left="567" w:right="1133"/>
        <w:jc w:val="both"/>
        <w:rPr>
          <w:rFonts w:asciiTheme="minorHAnsi" w:hAnsiTheme="minorHAnsi" w:cstheme="minorHAnsi"/>
          <w:lang w:val="en-GB"/>
        </w:rPr>
      </w:pPr>
      <w:r w:rsidRPr="00A81361">
        <w:rPr>
          <w:rFonts w:asciiTheme="minorHAnsi" w:hAnsiTheme="minorHAnsi" w:cstheme="minorHAnsi"/>
          <w:lang w:val="en-GB"/>
        </w:rPr>
        <w:br w:type="page"/>
      </w:r>
    </w:p>
    <w:p w14:paraId="576D59CB" w14:textId="77777777" w:rsidR="00F6667E" w:rsidRPr="00A81361" w:rsidRDefault="00F6667E" w:rsidP="00F6667E">
      <w:pPr>
        <w:keepNext/>
        <w:keepLines/>
        <w:spacing w:before="200" w:line="276" w:lineRule="auto"/>
        <w:ind w:left="567" w:right="1133"/>
        <w:jc w:val="both"/>
        <w:outlineLvl w:val="1"/>
        <w:rPr>
          <w:rFonts w:asciiTheme="minorHAnsi" w:hAnsiTheme="minorHAnsi" w:cstheme="minorHAnsi"/>
          <w:b/>
          <w:bCs/>
          <w:color w:val="000000"/>
          <w:lang w:val="en-GB"/>
        </w:rPr>
      </w:pPr>
      <w:r w:rsidRPr="00A81361">
        <w:rPr>
          <w:rFonts w:asciiTheme="minorHAnsi" w:hAnsiTheme="minorHAnsi" w:cstheme="minorHAnsi"/>
          <w:b/>
          <w:bCs/>
          <w:color w:val="000000"/>
          <w:lang w:val="en-GB"/>
        </w:rPr>
        <w:lastRenderedPageBreak/>
        <w:t>Mini Abstract</w:t>
      </w:r>
    </w:p>
    <w:p w14:paraId="191A9425" w14:textId="1932B424" w:rsidR="00F6667E" w:rsidRPr="00A81361" w:rsidRDefault="00F6667E" w:rsidP="00F6667E">
      <w:pPr>
        <w:keepNext/>
        <w:keepLines/>
        <w:spacing w:before="200" w:line="276" w:lineRule="auto"/>
        <w:ind w:left="567" w:right="1133"/>
        <w:jc w:val="both"/>
        <w:outlineLvl w:val="1"/>
        <w:rPr>
          <w:rFonts w:asciiTheme="minorHAnsi" w:hAnsiTheme="minorHAnsi" w:cstheme="minorHAnsi"/>
          <w:bCs/>
          <w:color w:val="000000"/>
          <w:lang w:val="en-GB"/>
        </w:rPr>
      </w:pPr>
      <w:r w:rsidRPr="00905AE0">
        <w:rPr>
          <w:rFonts w:asciiTheme="minorHAnsi" w:hAnsiTheme="minorHAnsi" w:cstheme="minorHAnsi"/>
          <w:bCs/>
          <w:color w:val="000000"/>
          <w:lang w:val="en-GB"/>
        </w:rPr>
        <w:t xml:space="preserve">Retrospective </w:t>
      </w:r>
      <w:r w:rsidR="005B1FE1" w:rsidRPr="005B1FE1">
        <w:rPr>
          <w:rFonts w:asciiTheme="minorHAnsi" w:hAnsiTheme="minorHAnsi" w:cstheme="minorHAnsi"/>
          <w:bCs/>
          <w:color w:val="000000"/>
          <w:lang w:val="en-GB"/>
        </w:rPr>
        <w:t xml:space="preserve">and prospective </w:t>
      </w:r>
      <w:r w:rsidRPr="00905AE0">
        <w:rPr>
          <w:rFonts w:asciiTheme="minorHAnsi" w:hAnsiTheme="minorHAnsi" w:cstheme="minorHAnsi"/>
          <w:bCs/>
          <w:color w:val="000000"/>
          <w:lang w:val="en-GB"/>
        </w:rPr>
        <w:t xml:space="preserve">population-based survey in </w:t>
      </w:r>
      <w:r w:rsidR="007B601F">
        <w:rPr>
          <w:rFonts w:asciiTheme="minorHAnsi" w:hAnsiTheme="minorHAnsi" w:cstheme="minorHAnsi"/>
          <w:bCs/>
          <w:color w:val="000000"/>
          <w:lang w:val="en-GB"/>
        </w:rPr>
        <w:t>a</w:t>
      </w:r>
      <w:r w:rsidRPr="00905AE0">
        <w:rPr>
          <w:rFonts w:asciiTheme="minorHAnsi" w:hAnsiTheme="minorHAnsi" w:cstheme="minorHAnsi"/>
          <w:bCs/>
          <w:color w:val="000000"/>
          <w:lang w:val="en-GB"/>
        </w:rPr>
        <w:t xml:space="preserve"> region </w:t>
      </w:r>
      <w:r w:rsidR="00932B47" w:rsidRPr="00905AE0">
        <w:rPr>
          <w:rFonts w:asciiTheme="minorHAnsi" w:hAnsiTheme="minorHAnsi" w:cstheme="minorHAnsi"/>
          <w:bCs/>
          <w:color w:val="000000"/>
          <w:lang w:val="en-GB"/>
        </w:rPr>
        <w:t>of</w:t>
      </w:r>
      <w:r w:rsidR="00F24C17" w:rsidRPr="00905AE0">
        <w:rPr>
          <w:rFonts w:asciiTheme="minorHAnsi" w:hAnsiTheme="minorHAnsi" w:cstheme="minorHAnsi"/>
          <w:bCs/>
          <w:color w:val="000000"/>
          <w:lang w:val="en-GB"/>
        </w:rPr>
        <w:t xml:space="preserve"> the</w:t>
      </w:r>
      <w:r w:rsidRPr="00905AE0">
        <w:rPr>
          <w:rFonts w:asciiTheme="minorHAnsi" w:hAnsiTheme="minorHAnsi" w:cstheme="minorHAnsi"/>
          <w:bCs/>
          <w:color w:val="000000"/>
          <w:lang w:val="en-GB"/>
        </w:rPr>
        <w:t xml:space="preserve"> Republic of </w:t>
      </w:r>
      <w:bookmarkStart w:id="3" w:name="_Hlk11401191"/>
      <w:r w:rsidR="00905AE0" w:rsidRPr="00905AE0">
        <w:rPr>
          <w:rFonts w:asciiTheme="minorHAnsi" w:hAnsiTheme="minorHAnsi" w:cstheme="minorHAnsi"/>
          <w:bCs/>
          <w:color w:val="000000"/>
          <w:lang w:val="en-GB"/>
        </w:rPr>
        <w:t>Kazakhstan</w:t>
      </w:r>
      <w:bookmarkEnd w:id="3"/>
      <w:r w:rsidRPr="00905AE0">
        <w:rPr>
          <w:rFonts w:asciiTheme="minorHAnsi" w:hAnsiTheme="minorHAnsi" w:cstheme="minorHAnsi"/>
          <w:bCs/>
          <w:color w:val="000000"/>
          <w:lang w:val="en-GB"/>
        </w:rPr>
        <w:t xml:space="preserve"> </w:t>
      </w:r>
      <w:r w:rsidR="00EA042C" w:rsidRPr="00905AE0">
        <w:rPr>
          <w:rFonts w:asciiTheme="minorHAnsi" w:hAnsiTheme="minorHAnsi" w:cstheme="minorHAnsi"/>
          <w:bCs/>
          <w:color w:val="000000"/>
          <w:lang w:val="en-GB"/>
        </w:rPr>
        <w:t xml:space="preserve">determined the incidence of fractures at the hip, </w:t>
      </w:r>
      <w:r w:rsidR="0031090C" w:rsidRPr="00905AE0">
        <w:rPr>
          <w:rFonts w:asciiTheme="minorHAnsi" w:hAnsiTheme="minorHAnsi" w:cstheme="minorHAnsi"/>
          <w:bCs/>
          <w:color w:val="000000"/>
          <w:lang w:val="en-GB"/>
        </w:rPr>
        <w:t xml:space="preserve">proximal humerus and distal </w:t>
      </w:r>
      <w:r w:rsidR="0031090C" w:rsidRPr="00D04E90">
        <w:rPr>
          <w:rFonts w:asciiTheme="minorHAnsi" w:hAnsiTheme="minorHAnsi" w:cstheme="minorHAnsi"/>
          <w:bCs/>
          <w:color w:val="000000"/>
          <w:lang w:val="en-GB"/>
        </w:rPr>
        <w:t>forearm</w:t>
      </w:r>
      <w:r w:rsidR="00BA6B29" w:rsidRPr="002C7B73">
        <w:rPr>
          <w:rFonts w:asciiTheme="minorHAnsi" w:hAnsiTheme="minorHAnsi" w:cstheme="minorHAnsi"/>
          <w:bCs/>
          <w:color w:val="000000"/>
          <w:lang w:val="en-GB"/>
        </w:rPr>
        <w:t>.</w:t>
      </w:r>
      <w:r w:rsidRPr="002C7B73">
        <w:rPr>
          <w:rFonts w:asciiTheme="minorHAnsi" w:hAnsiTheme="minorHAnsi" w:cstheme="minorHAnsi"/>
          <w:bCs/>
          <w:color w:val="000000"/>
          <w:lang w:val="en-GB"/>
        </w:rPr>
        <w:t xml:space="preserve"> The </w:t>
      </w:r>
      <w:r w:rsidR="003C085E" w:rsidRPr="002C7B73">
        <w:rPr>
          <w:rFonts w:asciiTheme="minorHAnsi" w:hAnsiTheme="minorHAnsi" w:cstheme="minorHAnsi"/>
          <w:bCs/>
          <w:color w:val="000000"/>
          <w:lang w:val="en-GB"/>
        </w:rPr>
        <w:t xml:space="preserve">hip </w:t>
      </w:r>
      <w:r w:rsidR="00B32AA9" w:rsidRPr="002C7B73">
        <w:rPr>
          <w:rFonts w:asciiTheme="minorHAnsi" w:hAnsiTheme="minorHAnsi" w:cstheme="minorHAnsi"/>
          <w:bCs/>
          <w:color w:val="000000"/>
          <w:lang w:val="en-GB"/>
        </w:rPr>
        <w:t>fracture rates were used</w:t>
      </w:r>
      <w:r w:rsidRPr="002C7B73">
        <w:rPr>
          <w:rFonts w:asciiTheme="minorHAnsi" w:hAnsiTheme="minorHAnsi" w:cstheme="minorHAnsi"/>
          <w:bCs/>
          <w:color w:val="000000"/>
          <w:lang w:val="en-GB"/>
        </w:rPr>
        <w:t xml:space="preserve"> </w:t>
      </w:r>
      <w:r w:rsidR="00B32AA9" w:rsidRPr="002C7B73">
        <w:rPr>
          <w:rFonts w:asciiTheme="minorHAnsi" w:hAnsiTheme="minorHAnsi" w:cstheme="minorHAnsi"/>
          <w:bCs/>
          <w:color w:val="000000"/>
          <w:lang w:val="en-GB"/>
        </w:rPr>
        <w:t xml:space="preserve">to </w:t>
      </w:r>
      <w:r w:rsidRPr="002C7B73">
        <w:rPr>
          <w:rFonts w:asciiTheme="minorHAnsi" w:hAnsiTheme="minorHAnsi" w:cstheme="minorHAnsi"/>
          <w:bCs/>
          <w:color w:val="000000"/>
          <w:lang w:val="en-GB"/>
        </w:rPr>
        <w:t>create</w:t>
      </w:r>
      <w:r w:rsidR="00B32AA9" w:rsidRPr="002C7B73">
        <w:rPr>
          <w:rFonts w:asciiTheme="minorHAnsi" w:hAnsiTheme="minorHAnsi" w:cstheme="minorHAnsi"/>
          <w:bCs/>
          <w:color w:val="000000"/>
          <w:lang w:val="en-GB"/>
        </w:rPr>
        <w:t xml:space="preserve"> a</w:t>
      </w:r>
      <w:r w:rsidRPr="002C7B73">
        <w:rPr>
          <w:rFonts w:asciiTheme="minorHAnsi" w:hAnsiTheme="minorHAnsi" w:cstheme="minorHAnsi"/>
          <w:bCs/>
          <w:color w:val="000000"/>
          <w:lang w:val="en-GB"/>
        </w:rPr>
        <w:t xml:space="preserve"> FRAX</w:t>
      </w:r>
      <w:r w:rsidR="002C7B73" w:rsidRPr="002C7B73">
        <w:rPr>
          <w:rFonts w:asciiTheme="minorHAnsi" w:hAnsiTheme="minorHAnsi" w:cstheme="minorHAnsi"/>
          <w:bCs/>
          <w:color w:val="000000"/>
          <w:lang w:val="en-GB"/>
        </w:rPr>
        <w:t>®</w:t>
      </w:r>
      <w:r w:rsidRPr="002C7B73">
        <w:rPr>
          <w:rFonts w:asciiTheme="minorHAnsi" w:hAnsiTheme="minorHAnsi" w:cstheme="minorHAnsi"/>
          <w:bCs/>
          <w:color w:val="000000"/>
          <w:lang w:val="en-GB"/>
        </w:rPr>
        <w:t xml:space="preserve"> model </w:t>
      </w:r>
      <w:r w:rsidR="00701B1E" w:rsidRPr="002C7B73">
        <w:rPr>
          <w:rFonts w:asciiTheme="minorHAnsi" w:hAnsiTheme="minorHAnsi" w:cstheme="minorHAnsi"/>
          <w:bCs/>
          <w:color w:val="000000"/>
          <w:lang w:val="en-GB"/>
        </w:rPr>
        <w:t>to</w:t>
      </w:r>
      <w:r w:rsidRPr="002C7B73">
        <w:rPr>
          <w:rFonts w:asciiTheme="minorHAnsi" w:hAnsiTheme="minorHAnsi" w:cstheme="minorHAnsi"/>
          <w:bCs/>
          <w:color w:val="000000"/>
          <w:lang w:val="en-GB"/>
        </w:rPr>
        <w:t xml:space="preserve"> enhance </w:t>
      </w:r>
      <w:r w:rsidR="00D04E90" w:rsidRPr="002C7B73">
        <w:rPr>
          <w:rFonts w:asciiTheme="minorHAnsi" w:hAnsiTheme="minorHAnsi" w:cstheme="minorHAnsi"/>
          <w:bCs/>
          <w:color w:val="000000"/>
          <w:lang w:val="en-GB"/>
        </w:rPr>
        <w:t>fracture</w:t>
      </w:r>
      <w:r w:rsidR="00756DF3" w:rsidRPr="002C7B73">
        <w:rPr>
          <w:rFonts w:asciiTheme="minorHAnsi" w:hAnsiTheme="minorHAnsi" w:cstheme="minorHAnsi"/>
          <w:bCs/>
          <w:color w:val="000000"/>
          <w:lang w:val="en-GB"/>
        </w:rPr>
        <w:t xml:space="preserve"> risk assessment</w:t>
      </w:r>
      <w:r w:rsidR="00756DF3" w:rsidRPr="002C7B73">
        <w:t xml:space="preserve"> </w:t>
      </w:r>
      <w:r w:rsidR="002C7B73" w:rsidRPr="002C7B73">
        <w:rPr>
          <w:lang w:val="en-GB"/>
        </w:rPr>
        <w:t xml:space="preserve">in </w:t>
      </w:r>
      <w:r w:rsidR="00756DF3" w:rsidRPr="002C7B73">
        <w:rPr>
          <w:rFonts w:asciiTheme="minorHAnsi" w:hAnsiTheme="minorHAnsi" w:cstheme="minorHAnsi"/>
          <w:bCs/>
          <w:color w:val="000000"/>
          <w:lang w:val="en-GB"/>
        </w:rPr>
        <w:t>Kazakhstan</w:t>
      </w:r>
      <w:r w:rsidRPr="002C7B73">
        <w:rPr>
          <w:rFonts w:asciiTheme="minorHAnsi" w:hAnsiTheme="minorHAnsi" w:cstheme="minorHAnsi"/>
          <w:bCs/>
          <w:color w:val="000000"/>
          <w:lang w:val="en-GB"/>
        </w:rPr>
        <w:t>.</w:t>
      </w:r>
    </w:p>
    <w:p w14:paraId="2BB2094A" w14:textId="77777777" w:rsidR="00F6667E" w:rsidRPr="00A81361" w:rsidRDefault="00F6667E" w:rsidP="00F6667E">
      <w:pPr>
        <w:keepNext/>
        <w:keepLines/>
        <w:spacing w:before="200" w:line="276" w:lineRule="auto"/>
        <w:ind w:left="567" w:right="1133"/>
        <w:jc w:val="both"/>
        <w:outlineLvl w:val="1"/>
        <w:rPr>
          <w:rFonts w:asciiTheme="minorHAnsi" w:hAnsiTheme="minorHAnsi" w:cstheme="minorHAnsi"/>
          <w:b/>
          <w:bCs/>
          <w:color w:val="000000"/>
          <w:lang w:val="en-GB"/>
        </w:rPr>
      </w:pPr>
      <w:r w:rsidRPr="00A81361">
        <w:rPr>
          <w:rFonts w:asciiTheme="minorHAnsi" w:hAnsiTheme="minorHAnsi" w:cstheme="minorHAnsi"/>
          <w:b/>
          <w:bCs/>
          <w:color w:val="000000"/>
          <w:lang w:val="en-GB"/>
        </w:rPr>
        <w:t>Abstract</w:t>
      </w:r>
    </w:p>
    <w:p w14:paraId="681B180C" w14:textId="560D171B" w:rsidR="00F6667E" w:rsidRPr="00A81361" w:rsidRDefault="00F6667E" w:rsidP="00F6667E">
      <w:pPr>
        <w:spacing w:after="200" w:line="276" w:lineRule="auto"/>
        <w:ind w:left="567" w:right="1133"/>
        <w:rPr>
          <w:rFonts w:asciiTheme="minorHAnsi" w:hAnsiTheme="minorHAnsi" w:cstheme="minorHAnsi"/>
          <w:lang w:val="en-GB"/>
        </w:rPr>
      </w:pPr>
      <w:r w:rsidRPr="00A81361">
        <w:rPr>
          <w:rFonts w:asciiTheme="minorHAnsi" w:hAnsiTheme="minorHAnsi" w:cstheme="minorHAnsi"/>
          <w:i/>
          <w:lang w:val="en-GB"/>
        </w:rPr>
        <w:t>Objective</w:t>
      </w:r>
      <w:r w:rsidRPr="00A81361">
        <w:rPr>
          <w:rFonts w:asciiTheme="minorHAnsi" w:hAnsiTheme="minorHAnsi" w:cstheme="minorHAnsi"/>
          <w:lang w:val="en-GB"/>
        </w:rPr>
        <w:t xml:space="preserve"> </w:t>
      </w:r>
      <w:r w:rsidRPr="008D3EF9">
        <w:rPr>
          <w:rFonts w:asciiTheme="minorHAnsi" w:hAnsiTheme="minorHAnsi" w:cstheme="minorHAnsi"/>
          <w:lang w:val="en-GB"/>
        </w:rPr>
        <w:t xml:space="preserve">This paper describes the epidemiology of osteoporotic fractures in Republic of </w:t>
      </w:r>
      <w:r w:rsidR="0033362B" w:rsidRPr="008D3EF9">
        <w:rPr>
          <w:rFonts w:asciiTheme="minorHAnsi" w:hAnsiTheme="minorHAnsi" w:cstheme="minorHAnsi"/>
          <w:lang w:val="en-GB"/>
        </w:rPr>
        <w:t>Kazakhstan</w:t>
      </w:r>
      <w:r w:rsidRPr="008D3EF9">
        <w:rPr>
          <w:rFonts w:asciiTheme="minorHAnsi" w:hAnsiTheme="minorHAnsi" w:cstheme="minorHAnsi"/>
          <w:lang w:val="en-GB"/>
        </w:rPr>
        <w:t xml:space="preserve"> that was used to develop </w:t>
      </w:r>
      <w:r w:rsidR="00292740">
        <w:rPr>
          <w:rFonts w:asciiTheme="minorHAnsi" w:hAnsiTheme="minorHAnsi" w:cstheme="minorHAnsi"/>
          <w:lang w:val="en-GB"/>
        </w:rPr>
        <w:t>a</w:t>
      </w:r>
      <w:r w:rsidRPr="008D3EF9">
        <w:rPr>
          <w:rFonts w:asciiTheme="minorHAnsi" w:hAnsiTheme="minorHAnsi" w:cstheme="minorHAnsi"/>
          <w:lang w:val="en-GB"/>
        </w:rPr>
        <w:t xml:space="preserve"> </w:t>
      </w:r>
      <w:r w:rsidR="00B966B0" w:rsidRPr="008D3EF9">
        <w:rPr>
          <w:rFonts w:asciiTheme="minorHAnsi" w:hAnsiTheme="minorHAnsi" w:cstheme="minorHAnsi"/>
          <w:lang w:val="en-GB"/>
        </w:rPr>
        <w:t>country specific</w:t>
      </w:r>
      <w:r w:rsidRPr="008D3EF9">
        <w:rPr>
          <w:rFonts w:asciiTheme="minorHAnsi" w:hAnsiTheme="minorHAnsi" w:cstheme="minorHAnsi"/>
          <w:lang w:val="en-GB"/>
        </w:rPr>
        <w:t xml:space="preserve"> FRAX® tool</w:t>
      </w:r>
      <w:r w:rsidR="00292740">
        <w:rPr>
          <w:rFonts w:asciiTheme="minorHAnsi" w:hAnsiTheme="minorHAnsi" w:cstheme="minorHAnsi"/>
          <w:lang w:val="en-GB"/>
        </w:rPr>
        <w:t xml:space="preserve"> for</w:t>
      </w:r>
      <w:r w:rsidR="00292740" w:rsidRPr="00292740">
        <w:t xml:space="preserve"> </w:t>
      </w:r>
      <w:r w:rsidR="00292740" w:rsidRPr="00292740">
        <w:rPr>
          <w:rFonts w:asciiTheme="minorHAnsi" w:hAnsiTheme="minorHAnsi" w:cstheme="minorHAnsi"/>
          <w:lang w:val="en-GB"/>
        </w:rPr>
        <w:t>fracture prediction</w:t>
      </w:r>
      <w:r w:rsidR="006450FB" w:rsidRPr="008D3EF9">
        <w:rPr>
          <w:rFonts w:asciiTheme="minorHAnsi" w:hAnsiTheme="minorHAnsi" w:cstheme="minorHAnsi"/>
          <w:lang w:val="en-GB"/>
        </w:rPr>
        <w:t>.</w:t>
      </w:r>
      <w:r w:rsidRPr="00A81361">
        <w:rPr>
          <w:rFonts w:asciiTheme="minorHAnsi" w:hAnsiTheme="minorHAnsi" w:cstheme="minorHAnsi"/>
          <w:lang w:val="en-GB"/>
        </w:rPr>
        <w:t xml:space="preserve"> </w:t>
      </w:r>
    </w:p>
    <w:p w14:paraId="72767F17" w14:textId="742D1CAC" w:rsidR="00F6667E" w:rsidRPr="00A81361" w:rsidRDefault="00F6667E" w:rsidP="00F6667E">
      <w:pPr>
        <w:spacing w:after="200" w:line="276" w:lineRule="auto"/>
        <w:ind w:left="567" w:right="1133"/>
        <w:rPr>
          <w:rFonts w:asciiTheme="minorHAnsi" w:hAnsiTheme="minorHAnsi" w:cstheme="minorHAnsi"/>
          <w:lang w:val="en-GB"/>
        </w:rPr>
      </w:pPr>
      <w:r w:rsidRPr="005D3290">
        <w:rPr>
          <w:rFonts w:asciiTheme="minorHAnsi" w:hAnsiTheme="minorHAnsi" w:cstheme="minorHAnsi"/>
          <w:i/>
          <w:lang w:val="en-GB"/>
        </w:rPr>
        <w:t>Methods</w:t>
      </w:r>
      <w:r w:rsidRPr="005D3290">
        <w:rPr>
          <w:rFonts w:asciiTheme="minorHAnsi" w:hAnsiTheme="minorHAnsi" w:cstheme="minorHAnsi"/>
          <w:lang w:val="en-GB"/>
        </w:rPr>
        <w:t xml:space="preserve"> We carried out a retrospective population-based survey in </w:t>
      </w:r>
      <w:r w:rsidR="0034550C" w:rsidRPr="005D3290">
        <w:rPr>
          <w:rFonts w:asciiTheme="minorHAnsi" w:hAnsiTheme="minorHAnsi" w:cstheme="minorHAnsi"/>
          <w:lang w:val="en-GB"/>
        </w:rPr>
        <w:t>Taldykorgan</w:t>
      </w:r>
      <w:r w:rsidRPr="005D3290">
        <w:rPr>
          <w:rFonts w:asciiTheme="minorHAnsi" w:hAnsiTheme="minorHAnsi" w:cstheme="minorHAnsi"/>
          <w:lang w:val="en-GB"/>
        </w:rPr>
        <w:t xml:space="preserve"> </w:t>
      </w:r>
      <w:r w:rsidR="0034550C" w:rsidRPr="005D3290">
        <w:rPr>
          <w:rFonts w:asciiTheme="minorHAnsi" w:hAnsiTheme="minorHAnsi" w:cstheme="minorHAnsi"/>
          <w:lang w:val="en-GB"/>
        </w:rPr>
        <w:t>in the</w:t>
      </w:r>
      <w:r w:rsidRPr="005D3290">
        <w:rPr>
          <w:rFonts w:asciiTheme="minorHAnsi" w:hAnsiTheme="minorHAnsi" w:cstheme="minorHAnsi"/>
          <w:lang w:val="en-GB"/>
        </w:rPr>
        <w:t xml:space="preserve"> Republic of </w:t>
      </w:r>
      <w:r w:rsidR="001B63AD" w:rsidRPr="005D3290">
        <w:rPr>
          <w:rFonts w:asciiTheme="minorHAnsi" w:hAnsiTheme="minorHAnsi" w:cstheme="minorHAnsi"/>
          <w:lang w:val="en-GB"/>
        </w:rPr>
        <w:t>Kazakhstan</w:t>
      </w:r>
      <w:r w:rsidRPr="005D3290">
        <w:rPr>
          <w:rFonts w:asciiTheme="minorHAnsi" w:hAnsiTheme="minorHAnsi" w:cstheme="minorHAnsi"/>
          <w:lang w:val="en-GB"/>
        </w:rPr>
        <w:t xml:space="preserve"> representing approximately </w:t>
      </w:r>
      <w:r w:rsidR="00AC7841">
        <w:rPr>
          <w:rFonts w:asciiTheme="minorHAnsi" w:hAnsiTheme="minorHAnsi" w:cstheme="minorHAnsi"/>
          <w:lang w:val="en-GB"/>
        </w:rPr>
        <w:t>1</w:t>
      </w:r>
      <w:r w:rsidRPr="005D3290">
        <w:rPr>
          <w:rFonts w:asciiTheme="minorHAnsi" w:hAnsiTheme="minorHAnsi" w:cstheme="minorHAnsi"/>
          <w:lang w:val="en-GB"/>
        </w:rPr>
        <w:t xml:space="preserve">% of the country’s population. </w:t>
      </w:r>
      <w:r w:rsidR="00710841" w:rsidRPr="005D3290">
        <w:rPr>
          <w:rFonts w:asciiTheme="minorHAnsi" w:hAnsiTheme="minorHAnsi" w:cstheme="minorHAnsi"/>
          <w:lang w:val="en-GB"/>
        </w:rPr>
        <w:t>H</w:t>
      </w:r>
      <w:r w:rsidRPr="005D3290">
        <w:rPr>
          <w:rFonts w:asciiTheme="minorHAnsi" w:hAnsiTheme="minorHAnsi" w:cstheme="minorHAnsi"/>
          <w:lang w:val="en-GB"/>
        </w:rPr>
        <w:t xml:space="preserve">ip, forearm and humerus fractures </w:t>
      </w:r>
      <w:r w:rsidR="00710841" w:rsidRPr="005D3290">
        <w:rPr>
          <w:rFonts w:asciiTheme="minorHAnsi" w:hAnsiTheme="minorHAnsi" w:cstheme="minorHAnsi"/>
          <w:lang w:val="en-GB"/>
        </w:rPr>
        <w:t xml:space="preserve">were identified </w:t>
      </w:r>
      <w:r w:rsidR="00517890" w:rsidRPr="005D3290">
        <w:rPr>
          <w:rFonts w:asciiTheme="minorHAnsi" w:hAnsiTheme="minorHAnsi" w:cstheme="minorHAnsi"/>
          <w:lang w:val="en-GB"/>
        </w:rPr>
        <w:t xml:space="preserve">retrospectively </w:t>
      </w:r>
      <w:r w:rsidR="00130314" w:rsidRPr="005D3290">
        <w:rPr>
          <w:rFonts w:asciiTheme="minorHAnsi" w:hAnsiTheme="minorHAnsi" w:cstheme="minorHAnsi"/>
          <w:lang w:val="en-GB"/>
        </w:rPr>
        <w:t>in 2015</w:t>
      </w:r>
      <w:r w:rsidRPr="005D3290">
        <w:rPr>
          <w:rFonts w:asciiTheme="minorHAnsi" w:hAnsiTheme="minorHAnsi" w:cstheme="minorHAnsi"/>
          <w:lang w:val="en-GB"/>
        </w:rPr>
        <w:t xml:space="preserve"> and 201</w:t>
      </w:r>
      <w:r w:rsidR="004430F0" w:rsidRPr="005D3290">
        <w:rPr>
          <w:rFonts w:asciiTheme="minorHAnsi" w:hAnsiTheme="minorHAnsi" w:cstheme="minorHAnsi"/>
          <w:lang w:val="en-GB"/>
        </w:rPr>
        <w:t>6</w:t>
      </w:r>
      <w:r w:rsidRPr="005D3290">
        <w:rPr>
          <w:rFonts w:asciiTheme="minorHAnsi" w:hAnsiTheme="minorHAnsi" w:cstheme="minorHAnsi"/>
          <w:lang w:val="en-GB"/>
        </w:rPr>
        <w:t xml:space="preserve"> from hospital registers and </w:t>
      </w:r>
      <w:r w:rsidR="005C331E" w:rsidRPr="005D3290">
        <w:rPr>
          <w:rFonts w:asciiTheme="minorHAnsi" w:hAnsiTheme="minorHAnsi" w:cstheme="minorHAnsi"/>
          <w:lang w:val="en-GB"/>
        </w:rPr>
        <w:t xml:space="preserve">the </w:t>
      </w:r>
      <w:r w:rsidR="000610D6" w:rsidRPr="005D3290">
        <w:rPr>
          <w:rFonts w:asciiTheme="minorHAnsi" w:hAnsiTheme="minorHAnsi" w:cstheme="minorHAnsi"/>
          <w:lang w:val="en-GB"/>
        </w:rPr>
        <w:t>trauma</w:t>
      </w:r>
      <w:r w:rsidR="005C331E" w:rsidRPr="005D3290">
        <w:rPr>
          <w:rFonts w:asciiTheme="minorHAnsi" w:hAnsiTheme="minorHAnsi" w:cstheme="minorHAnsi"/>
          <w:lang w:val="en-GB"/>
        </w:rPr>
        <w:t xml:space="preserve"> centre. </w:t>
      </w:r>
      <w:r w:rsidR="000610D6" w:rsidRPr="005D3290">
        <w:rPr>
          <w:rFonts w:asciiTheme="minorHAnsi" w:hAnsiTheme="minorHAnsi" w:cstheme="minorHAnsi"/>
          <w:lang w:val="en-GB"/>
        </w:rPr>
        <w:t xml:space="preserve"> </w:t>
      </w:r>
      <w:r w:rsidR="005C331E" w:rsidRPr="005D3290">
        <w:rPr>
          <w:rFonts w:asciiTheme="minorHAnsi" w:hAnsiTheme="minorHAnsi" w:cstheme="minorHAnsi"/>
          <w:lang w:val="en-GB"/>
        </w:rPr>
        <w:t>Hip fractures were</w:t>
      </w:r>
      <w:r w:rsidR="004316B3" w:rsidRPr="005D3290">
        <w:rPr>
          <w:rFonts w:asciiTheme="minorHAnsi" w:hAnsiTheme="minorHAnsi" w:cstheme="minorHAnsi"/>
          <w:lang w:val="en-GB"/>
        </w:rPr>
        <w:t xml:space="preserve"> prospectively i</w:t>
      </w:r>
      <w:r w:rsidR="00BB3963" w:rsidRPr="005D3290">
        <w:rPr>
          <w:rFonts w:asciiTheme="minorHAnsi" w:hAnsiTheme="minorHAnsi" w:cstheme="minorHAnsi"/>
          <w:lang w:val="en-GB"/>
        </w:rPr>
        <w:t xml:space="preserve">dentified in </w:t>
      </w:r>
      <w:r w:rsidR="00B53283" w:rsidRPr="005D3290">
        <w:rPr>
          <w:rFonts w:asciiTheme="minorHAnsi" w:hAnsiTheme="minorHAnsi" w:cstheme="minorHAnsi"/>
          <w:lang w:val="en-GB"/>
        </w:rPr>
        <w:t>201</w:t>
      </w:r>
      <w:r w:rsidR="00B53283">
        <w:rPr>
          <w:rFonts w:asciiTheme="minorHAnsi" w:hAnsiTheme="minorHAnsi" w:cstheme="minorHAnsi"/>
          <w:lang w:val="en-GB"/>
        </w:rPr>
        <w:t>7</w:t>
      </w:r>
      <w:r w:rsidR="00B53283" w:rsidRPr="005D3290">
        <w:rPr>
          <w:rFonts w:asciiTheme="minorHAnsi" w:hAnsiTheme="minorHAnsi" w:cstheme="minorHAnsi"/>
          <w:lang w:val="en-GB"/>
        </w:rPr>
        <w:t xml:space="preserve"> </w:t>
      </w:r>
      <w:r w:rsidR="00443A55">
        <w:rPr>
          <w:rFonts w:asciiTheme="minorHAnsi" w:hAnsiTheme="minorHAnsi" w:cstheme="minorHAnsi"/>
          <w:lang w:val="en-GB"/>
        </w:rPr>
        <w:t>from the same sources</w:t>
      </w:r>
      <w:r w:rsidR="00573401" w:rsidRPr="005D3290">
        <w:rPr>
          <w:rFonts w:asciiTheme="minorHAnsi" w:hAnsiTheme="minorHAnsi" w:cstheme="minorHAnsi"/>
          <w:lang w:val="en-GB"/>
        </w:rPr>
        <w:t xml:space="preserve"> and additionally from </w:t>
      </w:r>
      <w:r w:rsidRPr="005D3290">
        <w:rPr>
          <w:rFonts w:asciiTheme="minorHAnsi" w:hAnsiTheme="minorHAnsi" w:cstheme="minorHAnsi"/>
          <w:lang w:val="en-GB"/>
        </w:rPr>
        <w:t xml:space="preserve">primary care </w:t>
      </w:r>
      <w:r w:rsidR="00493E5A">
        <w:rPr>
          <w:rFonts w:asciiTheme="minorHAnsi" w:hAnsiTheme="minorHAnsi" w:cstheme="minorHAnsi"/>
          <w:lang w:val="en-GB"/>
        </w:rPr>
        <w:t>data</w:t>
      </w:r>
      <w:r w:rsidRPr="005D3290">
        <w:rPr>
          <w:rFonts w:asciiTheme="minorHAnsi" w:hAnsiTheme="minorHAnsi" w:cstheme="minorHAnsi"/>
          <w:lang w:val="en-GB"/>
        </w:rPr>
        <w:t>. Age</w:t>
      </w:r>
      <w:r w:rsidR="006450FB" w:rsidRPr="005D3290">
        <w:rPr>
          <w:rFonts w:asciiTheme="minorHAnsi" w:hAnsiTheme="minorHAnsi" w:cstheme="minorHAnsi"/>
          <w:lang w:val="en-GB"/>
        </w:rPr>
        <w:t>-</w:t>
      </w:r>
      <w:r w:rsidRPr="005D3290">
        <w:rPr>
          <w:rFonts w:asciiTheme="minorHAnsi" w:hAnsiTheme="minorHAnsi" w:cstheme="minorHAnsi"/>
          <w:lang w:val="en-GB"/>
        </w:rPr>
        <w:t xml:space="preserve"> and sex-specific incidence </w:t>
      </w:r>
      <w:r w:rsidR="00DE0D8E" w:rsidRPr="005D3290">
        <w:rPr>
          <w:rFonts w:asciiTheme="minorHAnsi" w:hAnsiTheme="minorHAnsi" w:cstheme="minorHAnsi"/>
          <w:lang w:val="en-GB"/>
        </w:rPr>
        <w:t xml:space="preserve">of hip </w:t>
      </w:r>
      <w:r w:rsidR="00785E10" w:rsidRPr="005D3290">
        <w:rPr>
          <w:rFonts w:asciiTheme="minorHAnsi" w:hAnsiTheme="minorHAnsi" w:cstheme="minorHAnsi"/>
          <w:lang w:val="en-GB"/>
        </w:rPr>
        <w:t xml:space="preserve">fracture </w:t>
      </w:r>
      <w:r w:rsidRPr="005D3290">
        <w:rPr>
          <w:rFonts w:asciiTheme="minorHAnsi" w:hAnsiTheme="minorHAnsi" w:cstheme="minorHAnsi"/>
          <w:lang w:val="en-GB"/>
        </w:rPr>
        <w:t xml:space="preserve">and national mortality rates were incorporated into a FRAX model for </w:t>
      </w:r>
      <w:r w:rsidR="00E048CA" w:rsidRPr="005D3290">
        <w:rPr>
          <w:rFonts w:asciiTheme="minorHAnsi" w:hAnsiTheme="minorHAnsi" w:cstheme="minorHAnsi"/>
          <w:lang w:val="en-GB"/>
        </w:rPr>
        <w:t>Kazakhstan</w:t>
      </w:r>
      <w:r w:rsidRPr="005D3290">
        <w:rPr>
          <w:rFonts w:asciiTheme="minorHAnsi" w:hAnsiTheme="minorHAnsi" w:cstheme="minorHAnsi"/>
          <w:lang w:val="en-GB"/>
        </w:rPr>
        <w:t xml:space="preserve">. Fracture probabilities were compared with those from </w:t>
      </w:r>
      <w:r w:rsidR="00335E6A" w:rsidRPr="005D3290">
        <w:rPr>
          <w:rFonts w:asciiTheme="minorHAnsi" w:hAnsiTheme="minorHAnsi" w:cstheme="minorHAnsi"/>
          <w:lang w:val="en-GB"/>
        </w:rPr>
        <w:t>neighbouring</w:t>
      </w:r>
      <w:r w:rsidR="00D836BA" w:rsidRPr="005D3290">
        <w:rPr>
          <w:rFonts w:asciiTheme="minorHAnsi" w:hAnsiTheme="minorHAnsi" w:cstheme="minorHAnsi"/>
          <w:lang w:val="en-GB"/>
        </w:rPr>
        <w:t xml:space="preserve"> </w:t>
      </w:r>
      <w:r w:rsidRPr="005D3290">
        <w:rPr>
          <w:rFonts w:asciiTheme="minorHAnsi" w:hAnsiTheme="minorHAnsi" w:cstheme="minorHAnsi"/>
          <w:lang w:val="en-GB"/>
        </w:rPr>
        <w:t>countries having FRAX models</w:t>
      </w:r>
      <w:r w:rsidR="00D836BA" w:rsidRPr="005D3290">
        <w:rPr>
          <w:rFonts w:asciiTheme="minorHAnsi" w:hAnsiTheme="minorHAnsi" w:cstheme="minorHAnsi"/>
          <w:lang w:val="en-GB"/>
        </w:rPr>
        <w:t>.</w:t>
      </w:r>
      <w:r w:rsidRPr="00A81361">
        <w:rPr>
          <w:rFonts w:asciiTheme="minorHAnsi" w:hAnsiTheme="minorHAnsi" w:cstheme="minorHAnsi"/>
          <w:lang w:val="en-GB"/>
        </w:rPr>
        <w:t xml:space="preserve"> </w:t>
      </w:r>
    </w:p>
    <w:p w14:paraId="46F6836D" w14:textId="41CBA42B" w:rsidR="00F6667E" w:rsidRPr="004A35DB" w:rsidRDefault="00F6667E" w:rsidP="00F6667E">
      <w:pPr>
        <w:spacing w:after="200" w:line="276" w:lineRule="auto"/>
        <w:ind w:left="567" w:right="1133"/>
        <w:rPr>
          <w:rFonts w:asciiTheme="minorHAnsi" w:hAnsiTheme="minorHAnsi" w:cstheme="minorHAnsi"/>
          <w:lang w:val="en-GB"/>
        </w:rPr>
      </w:pPr>
      <w:r w:rsidRPr="004A35DB">
        <w:rPr>
          <w:rFonts w:asciiTheme="minorHAnsi" w:hAnsiTheme="minorHAnsi" w:cstheme="minorHAnsi"/>
          <w:i/>
          <w:lang w:val="en-GB"/>
        </w:rPr>
        <w:t>Results</w:t>
      </w:r>
      <w:r w:rsidRPr="004A35DB">
        <w:rPr>
          <w:rFonts w:asciiTheme="minorHAnsi" w:hAnsiTheme="minorHAnsi" w:cstheme="minorHAnsi"/>
          <w:lang w:val="en-GB"/>
        </w:rPr>
        <w:t xml:space="preserve"> </w:t>
      </w:r>
      <w:r w:rsidR="00B1788C" w:rsidRPr="004A35DB">
        <w:rPr>
          <w:rFonts w:asciiTheme="minorHAnsi" w:hAnsiTheme="minorHAnsi" w:cstheme="minorHAnsi"/>
          <w:lang w:val="en-GB"/>
        </w:rPr>
        <w:t xml:space="preserve">The difference in hip fracture incidence between the </w:t>
      </w:r>
      <w:r w:rsidR="002501B5" w:rsidRPr="004A35DB">
        <w:rPr>
          <w:rFonts w:asciiTheme="minorHAnsi" w:hAnsiTheme="minorHAnsi" w:cstheme="minorHAnsi"/>
          <w:lang w:val="en-GB"/>
        </w:rPr>
        <w:t xml:space="preserve">retrospective and prospective survey </w:t>
      </w:r>
      <w:r w:rsidR="00D73BD7" w:rsidRPr="004A35DB">
        <w:rPr>
          <w:rFonts w:asciiTheme="minorHAnsi" w:hAnsiTheme="minorHAnsi" w:cstheme="minorHAnsi"/>
          <w:lang w:val="en-GB"/>
        </w:rPr>
        <w:t xml:space="preserve">indicated that </w:t>
      </w:r>
      <w:r w:rsidR="006147EF" w:rsidRPr="004A35DB">
        <w:rPr>
          <w:rFonts w:asciiTheme="minorHAnsi" w:hAnsiTheme="minorHAnsi" w:cstheme="minorHAnsi"/>
          <w:lang w:val="en-GB"/>
        </w:rPr>
        <w:t>approximately</w:t>
      </w:r>
      <w:r w:rsidR="00D73BD7" w:rsidRPr="004A35DB">
        <w:rPr>
          <w:rFonts w:asciiTheme="minorHAnsi" w:hAnsiTheme="minorHAnsi" w:cstheme="minorHAnsi"/>
          <w:lang w:val="en-GB"/>
        </w:rPr>
        <w:t xml:space="preserve"> 25</w:t>
      </w:r>
      <w:r w:rsidR="00914455" w:rsidRPr="004A35DB">
        <w:rPr>
          <w:rFonts w:asciiTheme="minorHAnsi" w:hAnsiTheme="minorHAnsi" w:cstheme="minorHAnsi"/>
          <w:lang w:val="en-GB"/>
        </w:rPr>
        <w:t xml:space="preserve">% of hip fracture cases </w:t>
      </w:r>
      <w:r w:rsidR="006147EF" w:rsidRPr="004A35DB">
        <w:rPr>
          <w:rFonts w:asciiTheme="minorHAnsi" w:hAnsiTheme="minorHAnsi" w:cstheme="minorHAnsi"/>
          <w:lang w:val="en-GB"/>
        </w:rPr>
        <w:t xml:space="preserve">did not come to hospital attention. </w:t>
      </w:r>
      <w:r w:rsidRPr="004A35DB">
        <w:rPr>
          <w:rFonts w:asciiTheme="minorHAnsi" w:hAnsiTheme="minorHAnsi" w:cstheme="minorHAnsi"/>
          <w:lang w:val="en-GB"/>
        </w:rPr>
        <w:t>The incidence of hip fracture</w:t>
      </w:r>
      <w:r w:rsidR="003307AE" w:rsidRPr="004A35DB">
        <w:rPr>
          <w:rFonts w:asciiTheme="minorHAnsi" w:hAnsiTheme="minorHAnsi" w:cstheme="minorHAnsi"/>
          <w:lang w:val="en-GB"/>
        </w:rPr>
        <w:t xml:space="preserve"> applied nationally</w:t>
      </w:r>
      <w:r w:rsidR="00A044E3" w:rsidRPr="004A35DB">
        <w:rPr>
          <w:rFonts w:asciiTheme="minorHAnsi" w:hAnsiTheme="minorHAnsi" w:cstheme="minorHAnsi"/>
          <w:lang w:val="en-GB"/>
        </w:rPr>
        <w:t xml:space="preserve"> suggested that t</w:t>
      </w:r>
      <w:r w:rsidRPr="004A35DB">
        <w:rPr>
          <w:rFonts w:asciiTheme="minorHAnsi" w:hAnsiTheme="minorHAnsi" w:cstheme="minorHAnsi"/>
          <w:lang w:val="en-GB"/>
        </w:rPr>
        <w:t xml:space="preserve">he estimated number of hip fractures nationwide in persons over the age of 50 years for 2015 was </w:t>
      </w:r>
      <w:r w:rsidR="00DA6BD7" w:rsidRPr="004A35DB">
        <w:rPr>
          <w:rFonts w:asciiTheme="minorHAnsi" w:hAnsiTheme="minorHAnsi" w:cstheme="minorHAnsi"/>
          <w:lang w:val="en-GB"/>
        </w:rPr>
        <w:t xml:space="preserve">11690 </w:t>
      </w:r>
      <w:r w:rsidRPr="004A35DB">
        <w:rPr>
          <w:rFonts w:asciiTheme="minorHAnsi" w:hAnsiTheme="minorHAnsi" w:cstheme="minorHAnsi"/>
          <w:lang w:val="en-GB"/>
        </w:rPr>
        <w:t>and is predicted to increase</w:t>
      </w:r>
      <w:r w:rsidR="00E92C10" w:rsidRPr="004A35DB">
        <w:rPr>
          <w:rFonts w:asciiTheme="minorHAnsi" w:hAnsiTheme="minorHAnsi" w:cstheme="minorHAnsi"/>
          <w:lang w:val="en-GB"/>
        </w:rPr>
        <w:t xml:space="preserve"> </w:t>
      </w:r>
      <w:r w:rsidR="001E52F2" w:rsidRPr="004A35DB">
        <w:rPr>
          <w:rFonts w:asciiTheme="minorHAnsi" w:hAnsiTheme="minorHAnsi" w:cstheme="minorHAnsi"/>
          <w:lang w:val="en-GB"/>
        </w:rPr>
        <w:t xml:space="preserve">by </w:t>
      </w:r>
      <w:r w:rsidR="00DA6BD7" w:rsidRPr="004A35DB">
        <w:rPr>
          <w:rFonts w:asciiTheme="minorHAnsi" w:hAnsiTheme="minorHAnsi" w:cstheme="minorHAnsi"/>
          <w:lang w:val="en-GB"/>
        </w:rPr>
        <w:t>14</w:t>
      </w:r>
      <w:r w:rsidR="001E52F2" w:rsidRPr="004A35DB">
        <w:rPr>
          <w:rFonts w:asciiTheme="minorHAnsi" w:hAnsiTheme="minorHAnsi" w:cstheme="minorHAnsi"/>
          <w:lang w:val="en-GB"/>
        </w:rPr>
        <w:t>0%</w:t>
      </w:r>
      <w:r w:rsidRPr="004A35DB">
        <w:rPr>
          <w:rFonts w:asciiTheme="minorHAnsi" w:hAnsiTheme="minorHAnsi" w:cstheme="minorHAnsi"/>
          <w:lang w:val="en-GB"/>
        </w:rPr>
        <w:t xml:space="preserve"> to </w:t>
      </w:r>
      <w:r w:rsidR="00DA6BD7" w:rsidRPr="004A35DB">
        <w:rPr>
          <w:rFonts w:asciiTheme="minorHAnsi" w:hAnsiTheme="minorHAnsi" w:cstheme="minorHAnsi"/>
          <w:lang w:val="en-GB"/>
        </w:rPr>
        <w:t>28</w:t>
      </w:r>
      <w:r w:rsidRPr="004A35DB">
        <w:rPr>
          <w:rFonts w:asciiTheme="minorHAnsi" w:hAnsiTheme="minorHAnsi" w:cstheme="minorHAnsi"/>
          <w:lang w:val="en-GB"/>
        </w:rPr>
        <w:t>,</w:t>
      </w:r>
      <w:r w:rsidR="00DA6BD7" w:rsidRPr="004A35DB">
        <w:rPr>
          <w:rFonts w:asciiTheme="minorHAnsi" w:hAnsiTheme="minorHAnsi" w:cstheme="minorHAnsi"/>
          <w:lang w:val="en-GB"/>
        </w:rPr>
        <w:t>000</w:t>
      </w:r>
      <w:r w:rsidRPr="004A35DB">
        <w:rPr>
          <w:rFonts w:asciiTheme="minorHAnsi" w:hAnsiTheme="minorHAnsi" w:cstheme="minorHAnsi"/>
          <w:lang w:val="en-GB"/>
        </w:rPr>
        <w:t xml:space="preserve"> in 2050.</w:t>
      </w:r>
      <w:r w:rsidR="00F8665B" w:rsidRPr="004A35DB">
        <w:rPr>
          <w:rFonts w:asciiTheme="minorHAnsi" w:hAnsiTheme="minorHAnsi" w:cstheme="minorHAnsi"/>
          <w:lang w:val="en-GB"/>
        </w:rPr>
        <w:t xml:space="preserve"> Hip fracture incidence was a good predictor o</w:t>
      </w:r>
      <w:r w:rsidR="00D016CB" w:rsidRPr="004A35DB">
        <w:rPr>
          <w:rFonts w:asciiTheme="minorHAnsi" w:hAnsiTheme="minorHAnsi" w:cstheme="minorHAnsi"/>
          <w:lang w:val="en-GB"/>
        </w:rPr>
        <w:t>f forearm and humeral fractures</w:t>
      </w:r>
      <w:r w:rsidR="00FE35A9" w:rsidRPr="004A35DB">
        <w:rPr>
          <w:rFonts w:asciiTheme="minorHAnsi" w:hAnsiTheme="minorHAnsi" w:cstheme="minorHAnsi"/>
          <w:lang w:val="en-GB"/>
        </w:rPr>
        <w:t xml:space="preserve"> in men bu</w:t>
      </w:r>
      <w:r w:rsidR="00486B0B">
        <w:rPr>
          <w:rFonts w:asciiTheme="minorHAnsi" w:hAnsiTheme="minorHAnsi" w:cstheme="minorHAnsi"/>
          <w:lang w:val="en-GB"/>
        </w:rPr>
        <w:t>t</w:t>
      </w:r>
      <w:r w:rsidR="00FE35A9" w:rsidRPr="004A35DB">
        <w:rPr>
          <w:rFonts w:asciiTheme="minorHAnsi" w:hAnsiTheme="minorHAnsi" w:cstheme="minorHAnsi"/>
          <w:lang w:val="en-GB"/>
        </w:rPr>
        <w:t xml:space="preserve"> not in women</w:t>
      </w:r>
      <w:r w:rsidR="00D016CB" w:rsidRPr="004A35DB">
        <w:rPr>
          <w:rFonts w:asciiTheme="minorHAnsi" w:hAnsiTheme="minorHAnsi" w:cstheme="minorHAnsi"/>
          <w:lang w:val="en-GB"/>
        </w:rPr>
        <w:t xml:space="preserve">.  </w:t>
      </w:r>
    </w:p>
    <w:p w14:paraId="7A1CBFFD" w14:textId="11F3BEA1" w:rsidR="00F6667E" w:rsidRPr="00A81361" w:rsidRDefault="00F6667E" w:rsidP="00F6667E">
      <w:pPr>
        <w:spacing w:after="200" w:line="276" w:lineRule="auto"/>
        <w:ind w:left="567" w:right="1133"/>
        <w:rPr>
          <w:rFonts w:asciiTheme="minorHAnsi" w:hAnsiTheme="minorHAnsi" w:cstheme="minorHAnsi"/>
          <w:lang w:val="en-GB"/>
        </w:rPr>
      </w:pPr>
      <w:r w:rsidRPr="00BF7AA2">
        <w:rPr>
          <w:rFonts w:asciiTheme="minorHAnsi" w:hAnsiTheme="minorHAnsi" w:cstheme="minorHAnsi"/>
          <w:i/>
          <w:lang w:val="en-GB"/>
        </w:rPr>
        <w:t>Conclusion</w:t>
      </w:r>
      <w:r w:rsidRPr="00BF7AA2">
        <w:rPr>
          <w:rFonts w:asciiTheme="minorHAnsi" w:hAnsiTheme="minorHAnsi" w:cstheme="minorHAnsi"/>
          <w:lang w:val="en-GB"/>
        </w:rPr>
        <w:t xml:space="preserve"> The FRAX model should enhance accuracy of determining fracture probability among the </w:t>
      </w:r>
      <w:r w:rsidR="00BF7AA2" w:rsidRPr="00BF7AA2">
        <w:rPr>
          <w:rFonts w:asciiTheme="minorHAnsi" w:hAnsiTheme="minorHAnsi" w:cstheme="minorHAnsi"/>
          <w:lang w:val="en-GB"/>
        </w:rPr>
        <w:t>Kazakh</w:t>
      </w:r>
      <w:r w:rsidRPr="00BF7AA2">
        <w:rPr>
          <w:rFonts w:asciiTheme="minorHAnsi" w:hAnsiTheme="minorHAnsi" w:cstheme="minorHAnsi"/>
          <w:lang w:val="en-GB"/>
        </w:rPr>
        <w:t xml:space="preserve"> population and help guide decisions about treatment.</w:t>
      </w:r>
    </w:p>
    <w:p w14:paraId="3BFE537B" w14:textId="66CBB466" w:rsidR="00F6667E" w:rsidRPr="00A81361" w:rsidRDefault="00F6667E" w:rsidP="00F6667E">
      <w:pPr>
        <w:spacing w:after="200" w:line="276" w:lineRule="auto"/>
        <w:ind w:left="567" w:right="1133"/>
        <w:jc w:val="both"/>
        <w:rPr>
          <w:rFonts w:asciiTheme="minorHAnsi" w:eastAsia="Calibri" w:hAnsiTheme="minorHAnsi" w:cstheme="minorHAnsi"/>
          <w:bCs/>
          <w:color w:val="000000"/>
          <w:lang w:val="en-GB"/>
        </w:rPr>
      </w:pPr>
      <w:r w:rsidRPr="00A81361">
        <w:rPr>
          <w:rFonts w:asciiTheme="minorHAnsi" w:hAnsiTheme="minorHAnsi" w:cstheme="minorHAnsi"/>
          <w:b/>
          <w:bCs/>
          <w:color w:val="000000"/>
          <w:lang w:val="en-GB"/>
        </w:rPr>
        <w:t xml:space="preserve">Keywords </w:t>
      </w:r>
      <w:r w:rsidR="00AC54C8" w:rsidRPr="00A81361">
        <w:rPr>
          <w:rFonts w:asciiTheme="minorHAnsi" w:eastAsia="Calibri" w:hAnsiTheme="minorHAnsi" w:cstheme="minorHAnsi"/>
          <w:bCs/>
          <w:color w:val="000000"/>
          <w:lang w:val="en-GB"/>
        </w:rPr>
        <w:t>FRAX · Fracture probability · Epidemiology · Hip fracture · Forearm fracture</w:t>
      </w:r>
      <w:bookmarkStart w:id="4" w:name="_Hlk11400826"/>
      <w:r w:rsidR="00AC54C8" w:rsidRPr="00A81361">
        <w:rPr>
          <w:rFonts w:asciiTheme="minorHAnsi" w:eastAsia="Calibri" w:hAnsiTheme="minorHAnsi" w:cstheme="minorHAnsi"/>
          <w:bCs/>
          <w:color w:val="000000"/>
          <w:lang w:val="en-GB"/>
        </w:rPr>
        <w:t xml:space="preserve"> · </w:t>
      </w:r>
      <w:bookmarkEnd w:id="4"/>
      <w:r w:rsidR="00AC54C8" w:rsidRPr="00A81361">
        <w:rPr>
          <w:rFonts w:asciiTheme="minorHAnsi" w:eastAsia="Calibri" w:hAnsiTheme="minorHAnsi" w:cstheme="minorHAnsi"/>
          <w:bCs/>
          <w:color w:val="000000"/>
          <w:lang w:val="en-GB"/>
        </w:rPr>
        <w:t>Humerus fracture</w:t>
      </w:r>
      <w:r w:rsidR="00C205D2" w:rsidRPr="00C205D2">
        <w:rPr>
          <w:rFonts w:asciiTheme="minorHAnsi" w:eastAsia="Calibri" w:hAnsiTheme="minorHAnsi" w:cstheme="minorHAnsi"/>
          <w:bCs/>
          <w:color w:val="000000"/>
          <w:lang w:val="en-GB"/>
        </w:rPr>
        <w:t xml:space="preserve"> ·</w:t>
      </w:r>
      <w:r w:rsidR="00C205D2">
        <w:rPr>
          <w:rFonts w:asciiTheme="minorHAnsi" w:eastAsia="Calibri" w:hAnsiTheme="minorHAnsi" w:cstheme="minorHAnsi"/>
          <w:bCs/>
          <w:color w:val="000000"/>
          <w:lang w:val="en-GB"/>
        </w:rPr>
        <w:t xml:space="preserve"> Ka</w:t>
      </w:r>
      <w:r w:rsidR="000B5F0B">
        <w:rPr>
          <w:rFonts w:asciiTheme="minorHAnsi" w:eastAsia="Calibri" w:hAnsiTheme="minorHAnsi" w:cstheme="minorHAnsi"/>
          <w:bCs/>
          <w:color w:val="000000"/>
          <w:lang w:val="en-GB"/>
        </w:rPr>
        <w:t>zakhstan</w:t>
      </w:r>
    </w:p>
    <w:p w14:paraId="570ABC58" w14:textId="6F0184AA" w:rsidR="003C4AA2" w:rsidRPr="00A81361" w:rsidRDefault="003C4AA2" w:rsidP="00C11242">
      <w:pPr>
        <w:spacing w:line="276" w:lineRule="auto"/>
        <w:ind w:left="567" w:right="1133"/>
        <w:jc w:val="both"/>
        <w:rPr>
          <w:rFonts w:asciiTheme="minorHAnsi" w:hAnsiTheme="minorHAnsi" w:cstheme="minorHAnsi"/>
          <w:lang w:val="en-GB"/>
        </w:rPr>
      </w:pPr>
      <w:r w:rsidRPr="00A81361">
        <w:rPr>
          <w:rFonts w:asciiTheme="minorHAnsi" w:hAnsiTheme="minorHAnsi" w:cstheme="minorHAnsi"/>
          <w:lang w:val="en-GB"/>
        </w:rPr>
        <w:br w:type="page"/>
      </w:r>
    </w:p>
    <w:p w14:paraId="25B00C51" w14:textId="3FA38F3B" w:rsidR="00007904" w:rsidRDefault="006E2F26">
      <w:pPr>
        <w:keepNext/>
        <w:keepLines/>
        <w:spacing w:before="200" w:line="276" w:lineRule="auto"/>
        <w:ind w:left="567" w:right="1133"/>
        <w:outlineLvl w:val="1"/>
        <w:rPr>
          <w:rFonts w:asciiTheme="minorHAnsi" w:hAnsiTheme="minorHAnsi" w:cstheme="minorHAnsi"/>
          <w:b/>
          <w:bCs/>
          <w:color w:val="000000"/>
          <w:lang w:val="en-GB"/>
        </w:rPr>
      </w:pPr>
      <w:r w:rsidRPr="00A81361">
        <w:rPr>
          <w:rFonts w:asciiTheme="minorHAnsi" w:hAnsiTheme="minorHAnsi" w:cstheme="minorHAnsi"/>
          <w:b/>
          <w:bCs/>
          <w:color w:val="000000"/>
          <w:lang w:val="en-GB"/>
        </w:rPr>
        <w:lastRenderedPageBreak/>
        <w:t>Introductio</w:t>
      </w:r>
      <w:r w:rsidR="00AC5172" w:rsidRPr="00A81361">
        <w:rPr>
          <w:rFonts w:asciiTheme="minorHAnsi" w:hAnsiTheme="minorHAnsi" w:cstheme="minorHAnsi"/>
          <w:b/>
          <w:bCs/>
          <w:color w:val="000000"/>
          <w:lang w:val="en-GB"/>
        </w:rPr>
        <w:t>n</w:t>
      </w:r>
    </w:p>
    <w:p w14:paraId="00BAA79C" w14:textId="237C8CD9" w:rsidR="00227D0F" w:rsidRPr="00486B0B" w:rsidRDefault="00227D0F">
      <w:pPr>
        <w:keepNext/>
        <w:keepLines/>
        <w:spacing w:before="200" w:line="276" w:lineRule="auto"/>
        <w:ind w:left="567" w:right="1133"/>
        <w:outlineLvl w:val="1"/>
        <w:rPr>
          <w:rFonts w:asciiTheme="minorHAnsi" w:hAnsiTheme="minorHAnsi" w:cstheme="minorHAnsi"/>
          <w:color w:val="000000"/>
          <w:lang w:val="en-GB"/>
        </w:rPr>
      </w:pPr>
      <w:r w:rsidRPr="003B23E0">
        <w:rPr>
          <w:rFonts w:asciiTheme="minorHAnsi" w:hAnsiTheme="minorHAnsi" w:cstheme="minorHAnsi"/>
          <w:color w:val="000000"/>
          <w:lang w:val="en-GB"/>
        </w:rPr>
        <w:t xml:space="preserve">Osteoporosis is a common, chronic, and costly condition; its only clinical consequence is fracture.  </w:t>
      </w:r>
      <w:r w:rsidR="00866CAE" w:rsidRPr="00866CAE">
        <w:rPr>
          <w:rFonts w:asciiTheme="minorHAnsi" w:hAnsiTheme="minorHAnsi" w:cstheme="minorHAnsi"/>
          <w:color w:val="000000"/>
          <w:lang w:val="en-GB"/>
        </w:rPr>
        <w:t xml:space="preserve">In Europe, the annual cost of fractures associated with osteoporosis exceeded € 37 billion in </w:t>
      </w:r>
      <w:r w:rsidR="00866CAE" w:rsidRPr="00486B0B">
        <w:rPr>
          <w:rFonts w:asciiTheme="minorHAnsi" w:hAnsiTheme="minorHAnsi" w:cstheme="minorHAnsi"/>
          <w:color w:val="000000"/>
          <w:lang w:val="en-GB"/>
        </w:rPr>
        <w:t xml:space="preserve">2010 [1] and disability due to osteoporosis was greater than that caused by any single cancer, with the exception of lung cancer and was comparable or greater than that lost to a variety of chronic noncommunicable diseases, such as rheumatoid arthritis, asthma and high blood pressure related heart disease [2]. </w:t>
      </w:r>
      <w:r w:rsidR="00A471A1" w:rsidRPr="00486B0B">
        <w:rPr>
          <w:rFonts w:asciiTheme="minorHAnsi" w:hAnsiTheme="minorHAnsi" w:cstheme="minorHAnsi"/>
          <w:color w:val="000000"/>
          <w:lang w:val="en-GB"/>
        </w:rPr>
        <w:t xml:space="preserve">Fortunately, a wide variety of treatments is available that favourably affect bone mass and thereby decrease the risk of fractures associated with osteoporosis [3].  The use of such interventions by health care practitioners is assisted by instruments that assess patients’ fracture risk to optimise clinical decisions about prevention and treatment. The most widely used web-based tool FRAX® (https://www.sheffield.ac.uk/FRAX/) meets these requirements and computes the 10-year probability of fragility fractures based on several common clinical risk factors and, optionally a DXA scan result [4, 5].  </w:t>
      </w:r>
      <w:r w:rsidR="00C90748" w:rsidRPr="00486B0B">
        <w:rPr>
          <w:rFonts w:asciiTheme="minorHAnsi" w:hAnsiTheme="minorHAnsi" w:cstheme="minorHAnsi"/>
          <w:color w:val="000000"/>
          <w:lang w:val="en-GB"/>
        </w:rPr>
        <w:t>FRAX</w:t>
      </w:r>
      <w:r w:rsidR="00F75F57" w:rsidRPr="00486B0B">
        <w:rPr>
          <w:rFonts w:asciiTheme="minorHAnsi" w:hAnsiTheme="minorHAnsi" w:cstheme="minorHAnsi"/>
          <w:color w:val="000000"/>
          <w:lang w:val="en-GB"/>
        </w:rPr>
        <w:t xml:space="preserve"> models are available for </w:t>
      </w:r>
      <w:r w:rsidR="00BA4C5F" w:rsidRPr="00486B0B">
        <w:rPr>
          <w:rFonts w:asciiTheme="minorHAnsi" w:hAnsiTheme="minorHAnsi" w:cstheme="minorHAnsi"/>
          <w:color w:val="000000"/>
          <w:lang w:val="en-GB"/>
        </w:rPr>
        <w:t>66</w:t>
      </w:r>
      <w:r w:rsidR="00F75F57" w:rsidRPr="00486B0B">
        <w:rPr>
          <w:rFonts w:asciiTheme="minorHAnsi" w:hAnsiTheme="minorHAnsi" w:cstheme="minorHAnsi"/>
          <w:color w:val="000000"/>
          <w:lang w:val="en-GB"/>
        </w:rPr>
        <w:t xml:space="preserve"> countries</w:t>
      </w:r>
      <w:r w:rsidR="00B3367E" w:rsidRPr="00486B0B">
        <w:rPr>
          <w:rFonts w:asciiTheme="minorHAnsi" w:hAnsiTheme="minorHAnsi" w:cstheme="minorHAnsi"/>
          <w:color w:val="000000"/>
          <w:lang w:val="en-GB"/>
        </w:rPr>
        <w:t xml:space="preserve"> </w:t>
      </w:r>
      <w:r w:rsidR="000679E4">
        <w:rPr>
          <w:rFonts w:asciiTheme="minorHAnsi" w:hAnsiTheme="minorHAnsi" w:cstheme="minorHAnsi"/>
          <w:color w:val="000000"/>
          <w:lang w:val="en-GB"/>
        </w:rPr>
        <w:t xml:space="preserve">in </w:t>
      </w:r>
      <w:r w:rsidR="00767F04">
        <w:rPr>
          <w:rFonts w:asciiTheme="minorHAnsi" w:hAnsiTheme="minorHAnsi" w:cstheme="minorHAnsi"/>
          <w:color w:val="000000"/>
          <w:lang w:val="en-GB"/>
        </w:rPr>
        <w:t xml:space="preserve">2020 </w:t>
      </w:r>
      <w:r w:rsidR="00B3367E" w:rsidRPr="00486B0B">
        <w:rPr>
          <w:rFonts w:asciiTheme="minorHAnsi" w:hAnsiTheme="minorHAnsi" w:cstheme="minorHAnsi"/>
          <w:color w:val="000000"/>
          <w:lang w:val="en-GB"/>
        </w:rPr>
        <w:t xml:space="preserve">covering more than 80% </w:t>
      </w:r>
      <w:r w:rsidR="006C4099" w:rsidRPr="00486B0B">
        <w:rPr>
          <w:rFonts w:asciiTheme="minorHAnsi" w:hAnsiTheme="minorHAnsi" w:cstheme="minorHAnsi"/>
          <w:color w:val="000000"/>
          <w:lang w:val="en-GB"/>
        </w:rPr>
        <w:t xml:space="preserve">of the world population at risk </w:t>
      </w:r>
      <w:r w:rsidR="003B23E0" w:rsidRPr="00486B0B">
        <w:rPr>
          <w:rFonts w:asciiTheme="minorHAnsi" w:hAnsiTheme="minorHAnsi" w:cstheme="minorHAnsi"/>
          <w:color w:val="000000"/>
          <w:lang w:val="en-GB"/>
        </w:rPr>
        <w:t>[</w:t>
      </w:r>
      <w:r w:rsidR="00CB0554" w:rsidRPr="00486B0B">
        <w:rPr>
          <w:rFonts w:asciiTheme="minorHAnsi" w:hAnsiTheme="minorHAnsi" w:cstheme="minorHAnsi"/>
          <w:color w:val="000000"/>
          <w:lang w:val="en-GB"/>
        </w:rPr>
        <w:t>6</w:t>
      </w:r>
      <w:r w:rsidR="003B23E0" w:rsidRPr="00486B0B">
        <w:rPr>
          <w:rFonts w:asciiTheme="minorHAnsi" w:hAnsiTheme="minorHAnsi" w:cstheme="minorHAnsi"/>
          <w:color w:val="000000"/>
          <w:lang w:val="en-GB"/>
        </w:rPr>
        <w:t>]</w:t>
      </w:r>
      <w:r w:rsidR="006C4099" w:rsidRPr="00486B0B">
        <w:rPr>
          <w:rFonts w:asciiTheme="minorHAnsi" w:hAnsiTheme="minorHAnsi" w:cstheme="minorHAnsi"/>
          <w:color w:val="000000"/>
          <w:lang w:val="en-GB"/>
        </w:rPr>
        <w:t xml:space="preserve"> and</w:t>
      </w:r>
      <w:r w:rsidR="00C90748" w:rsidRPr="00486B0B">
        <w:rPr>
          <w:rFonts w:asciiTheme="minorHAnsi" w:hAnsiTheme="minorHAnsi" w:cstheme="minorHAnsi"/>
          <w:color w:val="000000"/>
          <w:lang w:val="en-GB"/>
        </w:rPr>
        <w:t xml:space="preserve"> has been incorporated into more than 100 </w:t>
      </w:r>
      <w:r w:rsidR="00CB4151" w:rsidRPr="00486B0B">
        <w:rPr>
          <w:rFonts w:asciiTheme="minorHAnsi" w:hAnsiTheme="minorHAnsi" w:cstheme="minorHAnsi"/>
          <w:color w:val="000000"/>
          <w:lang w:val="en-GB"/>
        </w:rPr>
        <w:t xml:space="preserve">guidelines </w:t>
      </w:r>
      <w:r w:rsidR="003B23E0" w:rsidRPr="00486B0B">
        <w:rPr>
          <w:rFonts w:asciiTheme="minorHAnsi" w:hAnsiTheme="minorHAnsi" w:cstheme="minorHAnsi"/>
          <w:color w:val="000000"/>
          <w:lang w:val="en-GB"/>
        </w:rPr>
        <w:t>worldwide</w:t>
      </w:r>
      <w:r w:rsidR="00CB4151" w:rsidRPr="00486B0B">
        <w:rPr>
          <w:rFonts w:asciiTheme="minorHAnsi" w:hAnsiTheme="minorHAnsi" w:cstheme="minorHAnsi"/>
          <w:color w:val="000000"/>
          <w:lang w:val="en-GB"/>
        </w:rPr>
        <w:t xml:space="preserve"> [</w:t>
      </w:r>
      <w:r w:rsidR="00DF21BB" w:rsidRPr="00486B0B">
        <w:rPr>
          <w:rFonts w:asciiTheme="minorHAnsi" w:hAnsiTheme="minorHAnsi" w:cstheme="minorHAnsi"/>
          <w:color w:val="000000"/>
          <w:lang w:val="en-GB"/>
        </w:rPr>
        <w:t>7</w:t>
      </w:r>
      <w:r w:rsidR="00CB4151" w:rsidRPr="00486B0B">
        <w:rPr>
          <w:rFonts w:asciiTheme="minorHAnsi" w:hAnsiTheme="minorHAnsi" w:cstheme="minorHAnsi"/>
          <w:color w:val="000000"/>
          <w:lang w:val="en-GB"/>
        </w:rPr>
        <w:t>]</w:t>
      </w:r>
      <w:r w:rsidR="003D3CCC" w:rsidRPr="00486B0B">
        <w:rPr>
          <w:rFonts w:asciiTheme="minorHAnsi" w:hAnsiTheme="minorHAnsi" w:cstheme="minorHAnsi"/>
          <w:color w:val="000000"/>
          <w:lang w:val="en-GB"/>
        </w:rPr>
        <w:t>.</w:t>
      </w:r>
    </w:p>
    <w:p w14:paraId="34EB1E79" w14:textId="02370091" w:rsidR="003D3CCC" w:rsidRPr="00486B0B" w:rsidRDefault="000D607F">
      <w:pPr>
        <w:keepNext/>
        <w:keepLines/>
        <w:spacing w:before="200" w:line="276" w:lineRule="auto"/>
        <w:ind w:left="567" w:right="1133"/>
        <w:outlineLvl w:val="1"/>
        <w:rPr>
          <w:rFonts w:asciiTheme="minorHAnsi" w:hAnsiTheme="minorHAnsi" w:cstheme="minorHAnsi"/>
          <w:color w:val="000000"/>
          <w:lang w:val="en-GB"/>
        </w:rPr>
      </w:pPr>
      <w:r w:rsidRPr="00486B0B">
        <w:rPr>
          <w:rFonts w:asciiTheme="minorHAnsi" w:hAnsiTheme="minorHAnsi" w:cstheme="minorHAnsi"/>
          <w:color w:val="000000"/>
          <w:lang w:val="en-GB"/>
        </w:rPr>
        <w:t>The availability of FRAX has stimulated</w:t>
      </w:r>
      <w:r w:rsidR="00B53AE8" w:rsidRPr="00486B0B">
        <w:rPr>
          <w:rFonts w:asciiTheme="minorHAnsi" w:hAnsiTheme="minorHAnsi" w:cstheme="minorHAnsi"/>
          <w:color w:val="000000"/>
          <w:lang w:val="en-GB"/>
        </w:rPr>
        <w:t xml:space="preserve"> studies that can be used for the generation of </w:t>
      </w:r>
      <w:r w:rsidR="003F515C" w:rsidRPr="00486B0B">
        <w:rPr>
          <w:rFonts w:asciiTheme="minorHAnsi" w:hAnsiTheme="minorHAnsi" w:cstheme="minorHAnsi"/>
          <w:color w:val="000000"/>
          <w:lang w:val="en-GB"/>
        </w:rPr>
        <w:t xml:space="preserve">new </w:t>
      </w:r>
      <w:r w:rsidR="00B53AE8" w:rsidRPr="00486B0B">
        <w:rPr>
          <w:rFonts w:asciiTheme="minorHAnsi" w:hAnsiTheme="minorHAnsi" w:cstheme="minorHAnsi"/>
          <w:color w:val="000000"/>
          <w:lang w:val="en-GB"/>
        </w:rPr>
        <w:t>FRAX models</w:t>
      </w:r>
      <w:r w:rsidR="001B6554" w:rsidRPr="00486B0B">
        <w:rPr>
          <w:rFonts w:asciiTheme="minorHAnsi" w:hAnsiTheme="minorHAnsi" w:cstheme="minorHAnsi"/>
          <w:color w:val="000000"/>
          <w:lang w:val="en-GB"/>
        </w:rPr>
        <w:t xml:space="preserve">.  Specific examples include </w:t>
      </w:r>
      <w:r w:rsidR="00196E9E" w:rsidRPr="00486B0B">
        <w:rPr>
          <w:rFonts w:asciiTheme="minorHAnsi" w:hAnsiTheme="minorHAnsi" w:cstheme="minorHAnsi"/>
          <w:color w:val="000000"/>
          <w:lang w:val="en-GB"/>
        </w:rPr>
        <w:t>Brazil, Mexico</w:t>
      </w:r>
      <w:r w:rsidR="00A010F8" w:rsidRPr="00486B0B">
        <w:rPr>
          <w:rFonts w:asciiTheme="minorHAnsi" w:hAnsiTheme="minorHAnsi" w:cstheme="minorHAnsi"/>
          <w:color w:val="000000"/>
          <w:lang w:val="en-GB"/>
        </w:rPr>
        <w:t xml:space="preserve"> and Turkey </w:t>
      </w:r>
      <w:r w:rsidR="00EC50B4" w:rsidRPr="00486B0B">
        <w:rPr>
          <w:rFonts w:asciiTheme="minorHAnsi" w:hAnsiTheme="minorHAnsi" w:cstheme="minorHAnsi"/>
          <w:color w:val="000000"/>
          <w:lang w:val="en-GB"/>
        </w:rPr>
        <w:t>[</w:t>
      </w:r>
      <w:r w:rsidR="00047E7E" w:rsidRPr="00486B0B">
        <w:rPr>
          <w:rFonts w:asciiTheme="minorHAnsi" w:hAnsiTheme="minorHAnsi" w:cstheme="minorHAnsi"/>
          <w:color w:val="000000"/>
          <w:lang w:val="en-GB"/>
        </w:rPr>
        <w:t>8</w:t>
      </w:r>
      <w:r w:rsidR="00EC50B4" w:rsidRPr="00486B0B">
        <w:rPr>
          <w:rFonts w:asciiTheme="minorHAnsi" w:hAnsiTheme="minorHAnsi" w:cstheme="minorHAnsi"/>
          <w:color w:val="000000"/>
          <w:lang w:val="en-GB"/>
        </w:rPr>
        <w:t>]</w:t>
      </w:r>
      <w:r w:rsidR="000B4BD3" w:rsidRPr="00486B0B">
        <w:rPr>
          <w:rFonts w:asciiTheme="minorHAnsi" w:hAnsiTheme="minorHAnsi" w:cstheme="minorHAnsi"/>
          <w:color w:val="000000"/>
          <w:lang w:val="en-GB"/>
        </w:rPr>
        <w:t xml:space="preserve">. </w:t>
      </w:r>
      <w:r w:rsidR="005707C3" w:rsidRPr="00486B0B">
        <w:rPr>
          <w:rFonts w:asciiTheme="minorHAnsi" w:hAnsiTheme="minorHAnsi" w:cstheme="minorHAnsi"/>
          <w:color w:val="000000"/>
          <w:lang w:val="en-GB"/>
        </w:rPr>
        <w:t>The present study is a component part of the Multicenter Multinational population-based Study in Eurasian Countries (EVA study or ЭВА, in Russian).  The broad aim of the study was to provide epidemiological information on fracture risk so that FRAX models could be created for Russia [</w:t>
      </w:r>
      <w:r w:rsidR="00081823" w:rsidRPr="00486B0B">
        <w:rPr>
          <w:rFonts w:asciiTheme="minorHAnsi" w:hAnsiTheme="minorHAnsi" w:cstheme="minorHAnsi"/>
          <w:color w:val="000000"/>
          <w:lang w:val="en-GB"/>
        </w:rPr>
        <w:t>9</w:t>
      </w:r>
      <w:r w:rsidR="005707C3" w:rsidRPr="00486B0B">
        <w:rPr>
          <w:rFonts w:asciiTheme="minorHAnsi" w:hAnsiTheme="minorHAnsi" w:cstheme="minorHAnsi"/>
          <w:color w:val="000000"/>
          <w:lang w:val="en-GB"/>
        </w:rPr>
        <w:t>], Armenia [</w:t>
      </w:r>
      <w:r w:rsidR="00015350" w:rsidRPr="00486B0B">
        <w:rPr>
          <w:rFonts w:asciiTheme="minorHAnsi" w:hAnsiTheme="minorHAnsi" w:cstheme="minorHAnsi"/>
          <w:color w:val="000000"/>
          <w:lang w:val="en-GB"/>
        </w:rPr>
        <w:t>10</w:t>
      </w:r>
      <w:r w:rsidR="005707C3" w:rsidRPr="00486B0B">
        <w:rPr>
          <w:rFonts w:asciiTheme="minorHAnsi" w:hAnsiTheme="minorHAnsi" w:cstheme="minorHAnsi"/>
          <w:color w:val="000000"/>
          <w:lang w:val="en-GB"/>
        </w:rPr>
        <w:t>], Belarus [</w:t>
      </w:r>
      <w:r w:rsidR="00FA1311" w:rsidRPr="00486B0B">
        <w:rPr>
          <w:rFonts w:asciiTheme="minorHAnsi" w:hAnsiTheme="minorHAnsi" w:cstheme="minorHAnsi"/>
          <w:color w:val="000000"/>
          <w:lang w:val="en-GB"/>
        </w:rPr>
        <w:t>11</w:t>
      </w:r>
      <w:r w:rsidR="005707C3" w:rsidRPr="00486B0B">
        <w:rPr>
          <w:rFonts w:asciiTheme="minorHAnsi" w:hAnsiTheme="minorHAnsi" w:cstheme="minorHAnsi"/>
          <w:color w:val="000000"/>
          <w:lang w:val="en-GB"/>
        </w:rPr>
        <w:t>], Moldova [</w:t>
      </w:r>
      <w:r w:rsidR="00F3541E" w:rsidRPr="00486B0B">
        <w:rPr>
          <w:rFonts w:asciiTheme="minorHAnsi" w:hAnsiTheme="minorHAnsi" w:cstheme="minorHAnsi"/>
          <w:color w:val="000000"/>
          <w:lang w:val="en-GB"/>
        </w:rPr>
        <w:t>12</w:t>
      </w:r>
      <w:r w:rsidR="005707C3" w:rsidRPr="00486B0B">
        <w:rPr>
          <w:rFonts w:asciiTheme="minorHAnsi" w:hAnsiTheme="minorHAnsi" w:cstheme="minorHAnsi"/>
          <w:color w:val="000000"/>
          <w:lang w:val="en-GB"/>
        </w:rPr>
        <w:t xml:space="preserve">], Kazakhstan, and Uzbekistan.  The present report describes the epidemiology of fractures at the hip, forearm and humerus in Kazakhstan and the generation of a </w:t>
      </w:r>
      <w:r w:rsidR="006C7536" w:rsidRPr="00486B0B">
        <w:rPr>
          <w:rFonts w:asciiTheme="minorHAnsi" w:hAnsiTheme="minorHAnsi" w:cstheme="minorHAnsi"/>
          <w:color w:val="000000"/>
          <w:lang w:val="en-GB"/>
        </w:rPr>
        <w:t>country specific</w:t>
      </w:r>
      <w:r w:rsidR="005707C3" w:rsidRPr="00486B0B">
        <w:rPr>
          <w:rFonts w:asciiTheme="minorHAnsi" w:hAnsiTheme="minorHAnsi" w:cstheme="minorHAnsi"/>
          <w:color w:val="000000"/>
          <w:lang w:val="en-GB"/>
        </w:rPr>
        <w:t xml:space="preserve"> FRAX model. </w:t>
      </w:r>
      <w:r w:rsidR="000B4BD3" w:rsidRPr="00486B0B">
        <w:rPr>
          <w:rFonts w:asciiTheme="minorHAnsi" w:hAnsiTheme="minorHAnsi" w:cstheme="minorHAnsi"/>
          <w:color w:val="000000"/>
          <w:lang w:val="en-GB"/>
        </w:rPr>
        <w:t xml:space="preserve"> </w:t>
      </w:r>
    </w:p>
    <w:p w14:paraId="4D1D2E09" w14:textId="77777777" w:rsidR="00227D0F" w:rsidRPr="00486B0B" w:rsidRDefault="00227D0F">
      <w:pPr>
        <w:keepNext/>
        <w:keepLines/>
        <w:spacing w:before="200" w:line="276" w:lineRule="auto"/>
        <w:ind w:left="567" w:right="1133"/>
        <w:outlineLvl w:val="1"/>
        <w:rPr>
          <w:rFonts w:asciiTheme="minorHAnsi" w:hAnsiTheme="minorHAnsi" w:cstheme="minorHAnsi"/>
          <w:b/>
          <w:bCs/>
          <w:color w:val="000000"/>
          <w:lang w:val="en-GB"/>
        </w:rPr>
      </w:pPr>
    </w:p>
    <w:p w14:paraId="266D1EFB" w14:textId="77777777" w:rsidR="006E2F26" w:rsidRPr="00486B0B" w:rsidRDefault="006E2F26" w:rsidP="003C1FDD">
      <w:pPr>
        <w:pStyle w:val="ListParagraph"/>
        <w:spacing w:after="0"/>
        <w:ind w:left="567" w:right="1133" w:firstLine="0"/>
        <w:contextualSpacing/>
        <w:rPr>
          <w:rFonts w:asciiTheme="minorHAnsi" w:hAnsiTheme="minorHAnsi" w:cstheme="minorHAnsi"/>
          <w:b/>
          <w:bCs/>
          <w:color w:val="000000"/>
          <w:sz w:val="24"/>
          <w:szCs w:val="24"/>
          <w:lang w:val="en-GB"/>
        </w:rPr>
      </w:pPr>
      <w:r w:rsidRPr="00486B0B">
        <w:rPr>
          <w:rFonts w:asciiTheme="minorHAnsi" w:hAnsiTheme="minorHAnsi" w:cstheme="minorHAnsi"/>
          <w:b/>
          <w:bCs/>
          <w:color w:val="000000"/>
          <w:sz w:val="24"/>
          <w:szCs w:val="24"/>
          <w:lang w:val="en-GB"/>
        </w:rPr>
        <w:t>Methods</w:t>
      </w:r>
    </w:p>
    <w:p w14:paraId="4F9E89EE" w14:textId="77777777" w:rsidR="00CE4548" w:rsidRPr="00486B0B" w:rsidRDefault="00CE4548" w:rsidP="00C11242">
      <w:pPr>
        <w:spacing w:line="276" w:lineRule="auto"/>
        <w:ind w:left="567" w:right="1133" w:firstLine="567"/>
        <w:rPr>
          <w:rFonts w:asciiTheme="minorHAnsi" w:hAnsiTheme="minorHAnsi" w:cstheme="minorHAnsi"/>
          <w:lang w:val="en-GB"/>
        </w:rPr>
      </w:pPr>
    </w:p>
    <w:p w14:paraId="17CEC95A" w14:textId="131D6743" w:rsidR="00322BF5" w:rsidRPr="00486B0B" w:rsidRDefault="002275A7" w:rsidP="000A02EF">
      <w:pPr>
        <w:spacing w:line="276" w:lineRule="auto"/>
        <w:ind w:left="567" w:right="1133"/>
        <w:rPr>
          <w:rFonts w:asciiTheme="minorHAnsi" w:hAnsiTheme="minorHAnsi" w:cstheme="minorHAnsi"/>
          <w:lang w:val="en-GB"/>
        </w:rPr>
      </w:pPr>
      <w:r w:rsidRPr="00486B0B">
        <w:rPr>
          <w:rFonts w:asciiTheme="minorHAnsi" w:hAnsiTheme="minorHAnsi" w:cstheme="minorHAnsi"/>
          <w:lang w:val="en-GB"/>
        </w:rPr>
        <w:t xml:space="preserve">The Republic of </w:t>
      </w:r>
      <w:r w:rsidR="0012066E" w:rsidRPr="00486B0B">
        <w:rPr>
          <w:rFonts w:asciiTheme="minorHAnsi" w:hAnsiTheme="minorHAnsi" w:cstheme="minorHAnsi"/>
          <w:lang w:val="en-GB"/>
        </w:rPr>
        <w:t>Kazakhstan</w:t>
      </w:r>
      <w:r w:rsidR="0053533F" w:rsidRPr="00486B0B">
        <w:rPr>
          <w:rFonts w:asciiTheme="minorHAnsi" w:hAnsiTheme="minorHAnsi" w:cstheme="minorHAnsi"/>
          <w:lang w:val="en-GB"/>
        </w:rPr>
        <w:t xml:space="preserve"> </w:t>
      </w:r>
      <w:r w:rsidRPr="00486B0B">
        <w:rPr>
          <w:rFonts w:asciiTheme="minorHAnsi" w:hAnsiTheme="minorHAnsi" w:cstheme="minorHAnsi"/>
          <w:lang w:val="en-GB"/>
        </w:rPr>
        <w:t xml:space="preserve">is </w:t>
      </w:r>
      <w:r w:rsidR="0012066E" w:rsidRPr="00486B0B">
        <w:rPr>
          <w:rFonts w:asciiTheme="minorHAnsi" w:hAnsiTheme="minorHAnsi" w:cstheme="minorHAnsi"/>
          <w:lang w:val="en-GB"/>
        </w:rPr>
        <w:t xml:space="preserve">the world's largest landlocked country, and the ninth largest in the world, with an area of 2,724,900 square </w:t>
      </w:r>
      <w:r w:rsidR="003F5601" w:rsidRPr="00486B0B">
        <w:rPr>
          <w:rFonts w:asciiTheme="minorHAnsi" w:hAnsiTheme="minorHAnsi" w:cstheme="minorHAnsi"/>
          <w:lang w:val="en-GB"/>
        </w:rPr>
        <w:t>kilometres</w:t>
      </w:r>
      <w:r w:rsidR="0012066E" w:rsidRPr="00486B0B">
        <w:rPr>
          <w:rFonts w:asciiTheme="minorHAnsi" w:hAnsiTheme="minorHAnsi" w:cstheme="minorHAnsi"/>
          <w:lang w:val="en-GB"/>
        </w:rPr>
        <w:t xml:space="preserve">. </w:t>
      </w:r>
      <w:r w:rsidR="00DC1C53" w:rsidRPr="00486B0B">
        <w:rPr>
          <w:rFonts w:asciiTheme="minorHAnsi" w:hAnsiTheme="minorHAnsi" w:cstheme="minorHAnsi"/>
          <w:lang w:val="en-GB"/>
        </w:rPr>
        <w:t>Kazakhstan shares borders with Russia, China, Kyrgyzstan, Uzbekistan, and Turkmenistan, and the Caspian Sea</w:t>
      </w:r>
      <w:r w:rsidR="007F2708" w:rsidRPr="00486B0B">
        <w:rPr>
          <w:rFonts w:asciiTheme="minorHAnsi" w:hAnsiTheme="minorHAnsi" w:cstheme="minorHAnsi"/>
          <w:lang w:val="en-GB"/>
        </w:rPr>
        <w:t xml:space="preserve">. </w:t>
      </w:r>
      <w:r w:rsidRPr="00486B0B">
        <w:rPr>
          <w:rFonts w:asciiTheme="minorHAnsi" w:hAnsiTheme="minorHAnsi" w:cstheme="minorHAnsi"/>
          <w:lang w:val="en-GB"/>
        </w:rPr>
        <w:t xml:space="preserve">In </w:t>
      </w:r>
      <w:r w:rsidR="00B24F5E" w:rsidRPr="00486B0B">
        <w:rPr>
          <w:rFonts w:asciiTheme="minorHAnsi" w:hAnsiTheme="minorHAnsi" w:cstheme="minorHAnsi"/>
          <w:lang w:val="en-GB"/>
        </w:rPr>
        <w:t>20</w:t>
      </w:r>
      <w:r w:rsidR="0081220C" w:rsidRPr="00486B0B">
        <w:rPr>
          <w:rFonts w:asciiTheme="minorHAnsi" w:hAnsiTheme="minorHAnsi" w:cstheme="minorHAnsi"/>
          <w:lang w:val="en-GB"/>
        </w:rPr>
        <w:t>15</w:t>
      </w:r>
      <w:r w:rsidRPr="00486B0B">
        <w:rPr>
          <w:rFonts w:asciiTheme="minorHAnsi" w:hAnsiTheme="minorHAnsi" w:cstheme="minorHAnsi"/>
          <w:lang w:val="en-GB"/>
        </w:rPr>
        <w:t xml:space="preserve"> the population of </w:t>
      </w:r>
      <w:r w:rsidR="005709D7" w:rsidRPr="00486B0B">
        <w:rPr>
          <w:rFonts w:asciiTheme="minorHAnsi" w:hAnsiTheme="minorHAnsi" w:cstheme="minorHAnsi"/>
          <w:lang w:val="en-GB"/>
        </w:rPr>
        <w:t>Kazakhstan</w:t>
      </w:r>
      <w:r w:rsidRPr="00486B0B">
        <w:rPr>
          <w:rFonts w:asciiTheme="minorHAnsi" w:hAnsiTheme="minorHAnsi" w:cstheme="minorHAnsi"/>
          <w:lang w:val="en-GB"/>
        </w:rPr>
        <w:t xml:space="preserve"> was</w:t>
      </w:r>
      <w:r w:rsidR="005B0931" w:rsidRPr="00486B0B">
        <w:rPr>
          <w:rFonts w:asciiTheme="minorHAnsi" w:hAnsiTheme="minorHAnsi" w:cstheme="minorHAnsi"/>
          <w:lang w:val="en-GB"/>
        </w:rPr>
        <w:t xml:space="preserve"> </w:t>
      </w:r>
      <w:r w:rsidR="0081220C" w:rsidRPr="00486B0B">
        <w:rPr>
          <w:rFonts w:asciiTheme="minorHAnsi" w:hAnsiTheme="minorHAnsi" w:cstheme="minorHAnsi"/>
          <w:color w:val="000000"/>
          <w:shd w:val="clear" w:color="auto" w:fill="FFFFFF"/>
          <w:lang w:val="en-GB"/>
        </w:rPr>
        <w:t>17.75</w:t>
      </w:r>
      <w:r w:rsidR="003410E6" w:rsidRPr="00486B0B">
        <w:rPr>
          <w:rFonts w:asciiTheme="minorHAnsi" w:hAnsiTheme="minorHAnsi" w:cstheme="minorHAnsi"/>
          <w:color w:val="000000"/>
          <w:shd w:val="clear" w:color="auto" w:fill="FFFFFF"/>
          <w:lang w:val="en-GB"/>
        </w:rPr>
        <w:t xml:space="preserve"> million and rose to 18.20 million in </w:t>
      </w:r>
      <w:r w:rsidR="0042115D" w:rsidRPr="00486B0B">
        <w:rPr>
          <w:rFonts w:asciiTheme="minorHAnsi" w:hAnsiTheme="minorHAnsi" w:cstheme="minorHAnsi"/>
          <w:color w:val="000000"/>
          <w:shd w:val="clear" w:color="auto" w:fill="FFFFFF"/>
          <w:lang w:val="en-GB"/>
        </w:rPr>
        <w:t>2</w:t>
      </w:r>
      <w:r w:rsidR="003410E6" w:rsidRPr="00486B0B">
        <w:rPr>
          <w:rFonts w:asciiTheme="minorHAnsi" w:hAnsiTheme="minorHAnsi" w:cstheme="minorHAnsi"/>
          <w:color w:val="000000"/>
          <w:shd w:val="clear" w:color="auto" w:fill="FFFFFF"/>
          <w:lang w:val="en-GB"/>
        </w:rPr>
        <w:t>017</w:t>
      </w:r>
      <w:r w:rsidR="00291000" w:rsidRPr="00486B0B">
        <w:rPr>
          <w:rFonts w:asciiTheme="minorHAnsi" w:hAnsiTheme="minorHAnsi" w:cstheme="minorHAnsi"/>
          <w:color w:val="000000"/>
          <w:shd w:val="clear" w:color="auto" w:fill="FFFFFF"/>
          <w:lang w:val="en-GB"/>
        </w:rPr>
        <w:t xml:space="preserve"> </w:t>
      </w:r>
      <w:bookmarkStart w:id="5" w:name="_Hlk4507466"/>
      <w:r w:rsidR="008F3865" w:rsidRPr="00486B0B">
        <w:rPr>
          <w:rFonts w:asciiTheme="minorHAnsi" w:hAnsiTheme="minorHAnsi" w:cstheme="minorHAnsi"/>
          <w:color w:val="000000"/>
          <w:shd w:val="clear" w:color="auto" w:fill="FFFFFF"/>
          <w:lang w:val="en-GB"/>
        </w:rPr>
        <w:t>[</w:t>
      </w:r>
      <w:r w:rsidR="00E150B7" w:rsidRPr="00486B0B">
        <w:rPr>
          <w:rFonts w:asciiTheme="minorHAnsi" w:hAnsiTheme="minorHAnsi" w:cstheme="minorHAnsi"/>
          <w:color w:val="000000"/>
          <w:shd w:val="clear" w:color="auto" w:fill="FFFFFF"/>
          <w:lang w:val="en-GB"/>
        </w:rPr>
        <w:t>13</w:t>
      </w:r>
      <w:r w:rsidR="00C92CC9" w:rsidRPr="00486B0B">
        <w:rPr>
          <w:rFonts w:asciiTheme="minorHAnsi" w:hAnsiTheme="minorHAnsi" w:cstheme="minorHAnsi"/>
          <w:color w:val="000000"/>
          <w:shd w:val="clear" w:color="auto" w:fill="FFFFFF"/>
          <w:lang w:val="en-GB"/>
        </w:rPr>
        <w:t>]</w:t>
      </w:r>
      <w:r w:rsidR="00B8096B" w:rsidRPr="00486B0B">
        <w:rPr>
          <w:rFonts w:asciiTheme="minorHAnsi" w:hAnsiTheme="minorHAnsi" w:cstheme="minorHAnsi"/>
          <w:color w:val="000000"/>
          <w:shd w:val="clear" w:color="auto" w:fill="FFFFFF"/>
          <w:lang w:val="en-GB"/>
        </w:rPr>
        <w:t>.</w:t>
      </w:r>
      <w:r w:rsidR="00A03B57" w:rsidRPr="00486B0B">
        <w:rPr>
          <w:rFonts w:asciiTheme="minorHAnsi" w:hAnsiTheme="minorHAnsi" w:cstheme="minorHAnsi"/>
          <w:color w:val="000000"/>
          <w:shd w:val="clear" w:color="auto" w:fill="FFFFFF"/>
          <w:lang w:val="en-GB"/>
        </w:rPr>
        <w:t xml:space="preserve"> </w:t>
      </w:r>
      <w:bookmarkEnd w:id="5"/>
    </w:p>
    <w:p w14:paraId="6AF10C98" w14:textId="1A41E171" w:rsidR="00D1174C" w:rsidRPr="00486B0B" w:rsidRDefault="004E17D8" w:rsidP="00C11242">
      <w:pPr>
        <w:spacing w:line="276" w:lineRule="auto"/>
        <w:ind w:left="567" w:right="1133" w:firstLine="284"/>
        <w:rPr>
          <w:rFonts w:asciiTheme="minorHAnsi" w:hAnsiTheme="minorHAnsi" w:cstheme="minorHAnsi"/>
          <w:color w:val="222222"/>
          <w:shd w:val="clear" w:color="auto" w:fill="FFFFFF"/>
          <w:lang w:val="en-GB"/>
        </w:rPr>
      </w:pPr>
      <w:r w:rsidRPr="00486B0B">
        <w:rPr>
          <w:rFonts w:asciiTheme="minorHAnsi" w:hAnsiTheme="minorHAnsi" w:cstheme="minorHAnsi"/>
          <w:lang w:val="en-GB"/>
        </w:rPr>
        <w:t xml:space="preserve"> </w:t>
      </w:r>
    </w:p>
    <w:p w14:paraId="248ED8DA" w14:textId="37BB9462" w:rsidR="00A84FC2" w:rsidRPr="00486B0B" w:rsidRDefault="00B56470" w:rsidP="00E14AEE">
      <w:pPr>
        <w:spacing w:line="276" w:lineRule="auto"/>
        <w:ind w:left="567" w:right="1133"/>
        <w:rPr>
          <w:rFonts w:asciiTheme="minorHAnsi" w:hAnsiTheme="minorHAnsi" w:cstheme="minorHAnsi"/>
          <w:lang w:val="en-GB"/>
        </w:rPr>
      </w:pPr>
      <w:r w:rsidRPr="00486B0B">
        <w:rPr>
          <w:rFonts w:asciiTheme="minorHAnsi" w:hAnsiTheme="minorHAnsi" w:cstheme="minorHAnsi"/>
          <w:lang w:val="en-GB"/>
        </w:rPr>
        <w:t xml:space="preserve">For the present study, </w:t>
      </w:r>
      <w:r w:rsidR="00D80EF0" w:rsidRPr="00486B0B">
        <w:rPr>
          <w:rFonts w:asciiTheme="minorHAnsi" w:hAnsiTheme="minorHAnsi" w:cstheme="minorHAnsi"/>
          <w:lang w:val="en-GB"/>
        </w:rPr>
        <w:t>Taldykorgan</w:t>
      </w:r>
      <w:r w:rsidR="009E204B" w:rsidRPr="00486B0B">
        <w:rPr>
          <w:rFonts w:asciiTheme="minorHAnsi" w:hAnsiTheme="minorHAnsi" w:cstheme="minorHAnsi"/>
          <w:lang w:val="en-GB"/>
        </w:rPr>
        <w:t xml:space="preserve"> (Taldıqorğan</w:t>
      </w:r>
      <w:r w:rsidR="00E468AC" w:rsidRPr="00486B0B">
        <w:rPr>
          <w:rFonts w:asciiTheme="minorHAnsi" w:hAnsiTheme="minorHAnsi" w:cstheme="minorHAnsi"/>
          <w:lang w:val="en-GB"/>
        </w:rPr>
        <w:t xml:space="preserve">), </w:t>
      </w:r>
      <w:r w:rsidR="00AB69F6" w:rsidRPr="00486B0B">
        <w:rPr>
          <w:rFonts w:asciiTheme="minorHAnsi" w:hAnsiTheme="minorHAnsi" w:cstheme="minorHAnsi"/>
          <w:lang w:val="en-GB"/>
        </w:rPr>
        <w:t xml:space="preserve">the administrative </w:t>
      </w:r>
      <w:r w:rsidR="00F65E57" w:rsidRPr="00486B0B">
        <w:rPr>
          <w:rFonts w:asciiTheme="minorHAnsi" w:hAnsiTheme="minorHAnsi" w:cstheme="minorHAnsi"/>
          <w:lang w:val="en-GB"/>
        </w:rPr>
        <w:t>centre</w:t>
      </w:r>
      <w:r w:rsidR="00AB69F6" w:rsidRPr="00486B0B">
        <w:rPr>
          <w:rFonts w:asciiTheme="minorHAnsi" w:hAnsiTheme="minorHAnsi" w:cstheme="minorHAnsi"/>
          <w:lang w:val="en-GB"/>
        </w:rPr>
        <w:t xml:space="preserve"> of Almaty Region</w:t>
      </w:r>
      <w:r w:rsidR="00F65E57" w:rsidRPr="00486B0B">
        <w:rPr>
          <w:rFonts w:asciiTheme="minorHAnsi" w:hAnsiTheme="minorHAnsi" w:cstheme="minorHAnsi"/>
          <w:lang w:val="en-GB"/>
        </w:rPr>
        <w:t xml:space="preserve"> of Kazakhstan</w:t>
      </w:r>
      <w:r w:rsidR="009B7480" w:rsidRPr="00486B0B">
        <w:rPr>
          <w:rFonts w:asciiTheme="minorHAnsi" w:hAnsiTheme="minorHAnsi" w:cstheme="minorHAnsi"/>
          <w:lang w:val="en-GB"/>
        </w:rPr>
        <w:t>,</w:t>
      </w:r>
      <w:r w:rsidR="00AB69F6" w:rsidRPr="00486B0B">
        <w:rPr>
          <w:rFonts w:asciiTheme="minorHAnsi" w:hAnsiTheme="minorHAnsi" w:cstheme="minorHAnsi"/>
          <w:lang w:val="en-GB"/>
        </w:rPr>
        <w:t xml:space="preserve"> </w:t>
      </w:r>
      <w:r w:rsidR="00AD2650" w:rsidRPr="00486B0B">
        <w:rPr>
          <w:rFonts w:asciiTheme="minorHAnsi" w:hAnsiTheme="minorHAnsi" w:cstheme="minorHAnsi"/>
          <w:lang w:val="en-GB"/>
        </w:rPr>
        <w:t xml:space="preserve">was chosen as the </w:t>
      </w:r>
      <w:r w:rsidR="00AB69F6" w:rsidRPr="00486B0B">
        <w:rPr>
          <w:rFonts w:asciiTheme="minorHAnsi" w:hAnsiTheme="minorHAnsi" w:cstheme="minorHAnsi"/>
          <w:lang w:val="en-GB"/>
        </w:rPr>
        <w:t>catchment area</w:t>
      </w:r>
      <w:r w:rsidR="00D80EF0" w:rsidRPr="00486B0B">
        <w:rPr>
          <w:rFonts w:asciiTheme="minorHAnsi" w:hAnsiTheme="minorHAnsi" w:cstheme="minorHAnsi"/>
          <w:lang w:val="en-GB"/>
        </w:rPr>
        <w:t xml:space="preserve">. </w:t>
      </w:r>
      <w:r w:rsidR="006E2A50" w:rsidRPr="00486B0B">
        <w:rPr>
          <w:rFonts w:asciiTheme="minorHAnsi" w:hAnsiTheme="minorHAnsi" w:cstheme="minorHAnsi"/>
          <w:lang w:val="en-GB"/>
        </w:rPr>
        <w:t>Taldykorgan</w:t>
      </w:r>
      <w:r w:rsidR="00962186" w:rsidRPr="00486B0B">
        <w:rPr>
          <w:rFonts w:asciiTheme="minorHAnsi" w:hAnsiTheme="minorHAnsi" w:cstheme="minorHAnsi"/>
          <w:lang w:val="en-GB"/>
        </w:rPr>
        <w:t xml:space="preserve"> was </w:t>
      </w:r>
      <w:r w:rsidR="00B8096B" w:rsidRPr="00486B0B">
        <w:rPr>
          <w:rFonts w:asciiTheme="minorHAnsi" w:hAnsiTheme="minorHAnsi" w:cstheme="minorHAnsi"/>
          <w:lang w:val="en-GB"/>
        </w:rPr>
        <w:t>selected</w:t>
      </w:r>
      <w:r w:rsidR="00962186" w:rsidRPr="00486B0B">
        <w:rPr>
          <w:rFonts w:asciiTheme="minorHAnsi" w:hAnsiTheme="minorHAnsi" w:cstheme="minorHAnsi"/>
          <w:lang w:val="en-GB"/>
        </w:rPr>
        <w:t xml:space="preserve"> </w:t>
      </w:r>
      <w:r w:rsidR="006E2A50" w:rsidRPr="00486B0B">
        <w:rPr>
          <w:rFonts w:asciiTheme="minorHAnsi" w:hAnsiTheme="minorHAnsi" w:cstheme="minorHAnsi"/>
          <w:lang w:val="en-GB"/>
        </w:rPr>
        <w:t xml:space="preserve">because of </w:t>
      </w:r>
      <w:r w:rsidR="009C1D7F" w:rsidRPr="00486B0B">
        <w:rPr>
          <w:rFonts w:asciiTheme="minorHAnsi" w:hAnsiTheme="minorHAnsi" w:cstheme="minorHAnsi"/>
          <w:lang w:val="en-GB"/>
        </w:rPr>
        <w:t>its</w:t>
      </w:r>
      <w:r w:rsidR="006E2A50" w:rsidRPr="00486B0B">
        <w:rPr>
          <w:rFonts w:asciiTheme="minorHAnsi" w:hAnsiTheme="minorHAnsi" w:cstheme="minorHAnsi"/>
          <w:lang w:val="en-GB"/>
        </w:rPr>
        <w:t xml:space="preserve"> </w:t>
      </w:r>
      <w:r w:rsidR="00672B60" w:rsidRPr="00486B0B">
        <w:rPr>
          <w:rFonts w:asciiTheme="minorHAnsi" w:hAnsiTheme="minorHAnsi" w:cstheme="minorHAnsi"/>
          <w:lang w:val="en-GB"/>
        </w:rPr>
        <w:t>long distance</w:t>
      </w:r>
      <w:r w:rsidR="00962186" w:rsidRPr="00486B0B">
        <w:rPr>
          <w:rFonts w:asciiTheme="minorHAnsi" w:hAnsiTheme="minorHAnsi" w:cstheme="minorHAnsi"/>
          <w:lang w:val="en-GB"/>
        </w:rPr>
        <w:t xml:space="preserve"> from other major cities of the Republic and the availability of highly specialized </w:t>
      </w:r>
      <w:r w:rsidR="00BD63D6" w:rsidRPr="00486B0B">
        <w:rPr>
          <w:rFonts w:asciiTheme="minorHAnsi" w:hAnsiTheme="minorHAnsi" w:cstheme="minorHAnsi"/>
          <w:lang w:val="en-GB"/>
        </w:rPr>
        <w:t>orthopaedic</w:t>
      </w:r>
      <w:r w:rsidR="00962186" w:rsidRPr="00486B0B">
        <w:rPr>
          <w:rFonts w:asciiTheme="minorHAnsi" w:hAnsiTheme="minorHAnsi" w:cstheme="minorHAnsi"/>
          <w:lang w:val="en-GB"/>
        </w:rPr>
        <w:t xml:space="preserve"> care for all Taldykorgan </w:t>
      </w:r>
      <w:r w:rsidR="00F46710" w:rsidRPr="00486B0B">
        <w:rPr>
          <w:rFonts w:asciiTheme="minorHAnsi" w:hAnsiTheme="minorHAnsi" w:cstheme="minorHAnsi"/>
          <w:lang w:val="en-GB"/>
        </w:rPr>
        <w:t>residents</w:t>
      </w:r>
      <w:r w:rsidR="00311B54" w:rsidRPr="00486B0B">
        <w:rPr>
          <w:rFonts w:asciiTheme="minorHAnsi" w:hAnsiTheme="minorHAnsi" w:cstheme="minorHAnsi"/>
          <w:lang w:val="en-GB"/>
        </w:rPr>
        <w:t xml:space="preserve">. </w:t>
      </w:r>
      <w:r w:rsidR="00962186" w:rsidRPr="00486B0B">
        <w:rPr>
          <w:rFonts w:asciiTheme="minorHAnsi" w:hAnsiTheme="minorHAnsi" w:cstheme="minorHAnsi"/>
          <w:lang w:val="en-GB"/>
        </w:rPr>
        <w:t xml:space="preserve"> </w:t>
      </w:r>
      <w:r w:rsidR="00311B54" w:rsidRPr="00486B0B">
        <w:rPr>
          <w:rFonts w:asciiTheme="minorHAnsi" w:hAnsiTheme="minorHAnsi" w:cstheme="minorHAnsi"/>
          <w:lang w:val="en-GB"/>
        </w:rPr>
        <w:t>This</w:t>
      </w:r>
      <w:r w:rsidR="00962186" w:rsidRPr="00486B0B">
        <w:rPr>
          <w:rFonts w:asciiTheme="minorHAnsi" w:hAnsiTheme="minorHAnsi" w:cstheme="minorHAnsi"/>
          <w:lang w:val="en-GB"/>
        </w:rPr>
        <w:t xml:space="preserve"> minimized the possibility of residents </w:t>
      </w:r>
      <w:r w:rsidR="00757671" w:rsidRPr="00486B0B">
        <w:rPr>
          <w:rFonts w:asciiTheme="minorHAnsi" w:hAnsiTheme="minorHAnsi" w:cstheme="minorHAnsi"/>
          <w:lang w:val="en-GB"/>
        </w:rPr>
        <w:t>seek</w:t>
      </w:r>
      <w:r w:rsidR="00FA6390" w:rsidRPr="00486B0B">
        <w:rPr>
          <w:rFonts w:asciiTheme="minorHAnsi" w:hAnsiTheme="minorHAnsi" w:cstheme="minorHAnsi"/>
          <w:lang w:val="en-GB"/>
        </w:rPr>
        <w:t>ing</w:t>
      </w:r>
      <w:r w:rsidR="00962186" w:rsidRPr="00486B0B">
        <w:rPr>
          <w:rFonts w:asciiTheme="minorHAnsi" w:hAnsiTheme="minorHAnsi" w:cstheme="minorHAnsi"/>
          <w:lang w:val="en-GB"/>
        </w:rPr>
        <w:t xml:space="preserve"> medical care for their fracture in </w:t>
      </w:r>
      <w:r w:rsidR="00BD63D6" w:rsidRPr="00486B0B">
        <w:rPr>
          <w:rFonts w:asciiTheme="minorHAnsi" w:hAnsiTheme="minorHAnsi" w:cstheme="minorHAnsi"/>
          <w:lang w:val="en-GB"/>
        </w:rPr>
        <w:t>neighbouring</w:t>
      </w:r>
      <w:r w:rsidR="00962186" w:rsidRPr="00486B0B">
        <w:rPr>
          <w:rFonts w:asciiTheme="minorHAnsi" w:hAnsiTheme="minorHAnsi" w:cstheme="minorHAnsi"/>
          <w:lang w:val="en-GB"/>
        </w:rPr>
        <w:t xml:space="preserve"> cities.</w:t>
      </w:r>
      <w:r w:rsidR="00757671" w:rsidRPr="00486B0B">
        <w:rPr>
          <w:rFonts w:asciiTheme="minorHAnsi" w:hAnsiTheme="minorHAnsi" w:cstheme="minorHAnsi"/>
          <w:lang w:val="en-GB"/>
        </w:rPr>
        <w:t xml:space="preserve"> </w:t>
      </w:r>
      <w:r w:rsidR="00307816" w:rsidRPr="00486B0B">
        <w:rPr>
          <w:rFonts w:asciiTheme="minorHAnsi" w:hAnsiTheme="minorHAnsi" w:cstheme="minorHAnsi"/>
          <w:lang w:val="en-GB"/>
        </w:rPr>
        <w:t xml:space="preserve">Each individual in </w:t>
      </w:r>
      <w:r w:rsidR="00917F68" w:rsidRPr="00486B0B">
        <w:rPr>
          <w:rFonts w:asciiTheme="minorHAnsi" w:hAnsiTheme="minorHAnsi" w:cstheme="minorHAnsi"/>
          <w:lang w:val="en-GB"/>
        </w:rPr>
        <w:t xml:space="preserve">Kazakhstan </w:t>
      </w:r>
      <w:r w:rsidR="00307816" w:rsidRPr="00486B0B">
        <w:rPr>
          <w:rFonts w:asciiTheme="minorHAnsi" w:hAnsiTheme="minorHAnsi" w:cstheme="minorHAnsi"/>
          <w:lang w:val="en-GB"/>
        </w:rPr>
        <w:t>has a unique di</w:t>
      </w:r>
      <w:r w:rsidR="008F0F1C" w:rsidRPr="00486B0B">
        <w:rPr>
          <w:rFonts w:asciiTheme="minorHAnsi" w:hAnsiTheme="minorHAnsi" w:cstheme="minorHAnsi"/>
          <w:lang w:val="en-GB"/>
        </w:rPr>
        <w:t>gital code which permits the number of residents to be determined by region, age and sex</w:t>
      </w:r>
      <w:r w:rsidR="00917F68" w:rsidRPr="00486B0B">
        <w:rPr>
          <w:rFonts w:asciiTheme="minorHAnsi" w:hAnsiTheme="minorHAnsi" w:cstheme="minorHAnsi"/>
          <w:lang w:val="en-GB"/>
        </w:rPr>
        <w:t xml:space="preserve"> the precise number of inhabitants counting in any period of time [</w:t>
      </w:r>
      <w:bookmarkStart w:id="6" w:name="_Hlk8576568"/>
      <w:r w:rsidR="00B70EF8" w:rsidRPr="00486B0B">
        <w:rPr>
          <w:rFonts w:asciiTheme="minorHAnsi" w:hAnsiTheme="minorHAnsi" w:cstheme="minorHAnsi"/>
          <w:lang w:val="en-GB"/>
        </w:rPr>
        <w:t>14</w:t>
      </w:r>
      <w:bookmarkEnd w:id="6"/>
      <w:r w:rsidR="00917F68" w:rsidRPr="00486B0B">
        <w:rPr>
          <w:rFonts w:asciiTheme="minorHAnsi" w:hAnsiTheme="minorHAnsi" w:cstheme="minorHAnsi"/>
          <w:lang w:val="en-GB"/>
        </w:rPr>
        <w:t xml:space="preserve">]. </w:t>
      </w:r>
      <w:r w:rsidR="009B5BBB" w:rsidRPr="00486B0B">
        <w:rPr>
          <w:rFonts w:asciiTheme="minorHAnsi" w:hAnsiTheme="minorHAnsi" w:cstheme="minorHAnsi"/>
          <w:lang w:val="en-GB"/>
        </w:rPr>
        <w:t>T</w:t>
      </w:r>
      <w:r w:rsidR="006E2DBE" w:rsidRPr="00486B0B">
        <w:rPr>
          <w:rFonts w:asciiTheme="minorHAnsi" w:hAnsiTheme="minorHAnsi" w:cstheme="minorHAnsi"/>
          <w:lang w:val="en-GB"/>
        </w:rPr>
        <w:t xml:space="preserve">he total </w:t>
      </w:r>
      <w:r w:rsidR="00A64FE8" w:rsidRPr="00486B0B">
        <w:rPr>
          <w:rFonts w:asciiTheme="minorHAnsi" w:hAnsiTheme="minorHAnsi" w:cstheme="minorHAnsi"/>
          <w:lang w:val="en-GB"/>
        </w:rPr>
        <w:t xml:space="preserve">catchment </w:t>
      </w:r>
      <w:r w:rsidR="00251802" w:rsidRPr="00486B0B">
        <w:rPr>
          <w:rFonts w:asciiTheme="minorHAnsi" w:hAnsiTheme="minorHAnsi" w:cstheme="minorHAnsi"/>
          <w:lang w:val="en-GB"/>
        </w:rPr>
        <w:t xml:space="preserve">population of </w:t>
      </w:r>
      <w:r w:rsidR="006E2DBE" w:rsidRPr="00486B0B">
        <w:rPr>
          <w:rFonts w:asciiTheme="minorHAnsi" w:hAnsiTheme="minorHAnsi" w:cstheme="minorHAnsi"/>
          <w:lang w:val="en-GB"/>
        </w:rPr>
        <w:t xml:space="preserve">the </w:t>
      </w:r>
      <w:r w:rsidR="00251802" w:rsidRPr="00486B0B">
        <w:rPr>
          <w:rFonts w:asciiTheme="minorHAnsi" w:hAnsiTheme="minorHAnsi" w:cstheme="minorHAnsi"/>
          <w:lang w:val="en-GB"/>
        </w:rPr>
        <w:t xml:space="preserve">regions </w:t>
      </w:r>
      <w:r w:rsidR="00A64FE8" w:rsidRPr="00486B0B">
        <w:rPr>
          <w:rFonts w:asciiTheme="minorHAnsi" w:hAnsiTheme="minorHAnsi" w:cstheme="minorHAnsi"/>
          <w:lang w:val="en-GB"/>
        </w:rPr>
        <w:t xml:space="preserve">was </w:t>
      </w:r>
      <w:r w:rsidR="00CE38D2" w:rsidRPr="00486B0B">
        <w:rPr>
          <w:rFonts w:asciiTheme="minorHAnsi" w:hAnsiTheme="minorHAnsi" w:cstheme="minorHAnsi"/>
          <w:lang w:val="en-GB"/>
        </w:rPr>
        <w:t xml:space="preserve">165,296 </w:t>
      </w:r>
      <w:r w:rsidR="006E2DBE" w:rsidRPr="00486B0B">
        <w:rPr>
          <w:rFonts w:asciiTheme="minorHAnsi" w:hAnsiTheme="minorHAnsi" w:cstheme="minorHAnsi"/>
          <w:lang w:val="en-GB"/>
        </w:rPr>
        <w:t xml:space="preserve">representing </w:t>
      </w:r>
      <w:r w:rsidR="005F655D" w:rsidRPr="00486B0B">
        <w:rPr>
          <w:rFonts w:asciiTheme="minorHAnsi" w:hAnsiTheme="minorHAnsi" w:cstheme="minorHAnsi"/>
          <w:lang w:val="en-GB"/>
        </w:rPr>
        <w:t>0.</w:t>
      </w:r>
      <w:r w:rsidR="0099611D" w:rsidRPr="00486B0B">
        <w:rPr>
          <w:rFonts w:asciiTheme="minorHAnsi" w:hAnsiTheme="minorHAnsi" w:cstheme="minorHAnsi"/>
          <w:lang w:val="en-GB"/>
        </w:rPr>
        <w:t>9</w:t>
      </w:r>
      <w:r w:rsidR="006E2DBE" w:rsidRPr="00486B0B">
        <w:rPr>
          <w:rFonts w:asciiTheme="minorHAnsi" w:hAnsiTheme="minorHAnsi" w:cstheme="minorHAnsi"/>
          <w:lang w:val="en-GB"/>
        </w:rPr>
        <w:t>% of the total population</w:t>
      </w:r>
      <w:r w:rsidR="00E74492" w:rsidRPr="00486B0B">
        <w:rPr>
          <w:rFonts w:asciiTheme="minorHAnsi" w:hAnsiTheme="minorHAnsi" w:cstheme="minorHAnsi"/>
          <w:lang w:val="en-GB"/>
        </w:rPr>
        <w:t>.</w:t>
      </w:r>
      <w:r w:rsidR="006E0C98" w:rsidRPr="00486B0B">
        <w:rPr>
          <w:rFonts w:asciiTheme="minorHAnsi" w:hAnsiTheme="minorHAnsi" w:cstheme="minorHAnsi"/>
          <w:lang w:val="en-GB"/>
        </w:rPr>
        <w:t xml:space="preserve"> </w:t>
      </w:r>
      <w:r w:rsidR="008D3A96" w:rsidRPr="00486B0B">
        <w:rPr>
          <w:rFonts w:asciiTheme="minorHAnsi" w:hAnsiTheme="minorHAnsi" w:cstheme="minorHAnsi"/>
          <w:lang w:val="en-GB"/>
        </w:rPr>
        <w:t>The age</w:t>
      </w:r>
      <w:r w:rsidR="00CF586E" w:rsidRPr="00486B0B">
        <w:rPr>
          <w:rFonts w:asciiTheme="minorHAnsi" w:hAnsiTheme="minorHAnsi" w:cstheme="minorHAnsi"/>
          <w:lang w:val="en-GB"/>
        </w:rPr>
        <w:t>,</w:t>
      </w:r>
      <w:r w:rsidR="008D3A96" w:rsidRPr="00486B0B">
        <w:rPr>
          <w:rFonts w:asciiTheme="minorHAnsi" w:hAnsiTheme="minorHAnsi" w:cstheme="minorHAnsi"/>
          <w:lang w:val="en-GB"/>
        </w:rPr>
        <w:t xml:space="preserve"> se</w:t>
      </w:r>
      <w:r w:rsidR="00F94319" w:rsidRPr="00486B0B">
        <w:rPr>
          <w:rFonts w:asciiTheme="minorHAnsi" w:hAnsiTheme="minorHAnsi" w:cstheme="minorHAnsi"/>
          <w:lang w:val="en-GB"/>
        </w:rPr>
        <w:t>x</w:t>
      </w:r>
      <w:r w:rsidR="008D3A96" w:rsidRPr="00486B0B">
        <w:rPr>
          <w:rFonts w:asciiTheme="minorHAnsi" w:hAnsiTheme="minorHAnsi" w:cstheme="minorHAnsi"/>
          <w:lang w:val="en-GB"/>
        </w:rPr>
        <w:t xml:space="preserve"> </w:t>
      </w:r>
      <w:r w:rsidR="00D35A8D" w:rsidRPr="00486B0B">
        <w:rPr>
          <w:rFonts w:asciiTheme="minorHAnsi" w:hAnsiTheme="minorHAnsi" w:cstheme="minorHAnsi"/>
          <w:lang w:val="en-GB"/>
        </w:rPr>
        <w:t>and ethnic</w:t>
      </w:r>
      <w:r w:rsidR="002854D8" w:rsidRPr="00486B0B">
        <w:rPr>
          <w:rFonts w:asciiTheme="minorHAnsi" w:hAnsiTheme="minorHAnsi" w:cstheme="minorHAnsi"/>
          <w:lang w:val="en-GB"/>
        </w:rPr>
        <w:t xml:space="preserve"> </w:t>
      </w:r>
      <w:r w:rsidR="008D3A96" w:rsidRPr="00486B0B">
        <w:rPr>
          <w:rFonts w:asciiTheme="minorHAnsi" w:hAnsiTheme="minorHAnsi" w:cstheme="minorHAnsi"/>
          <w:lang w:val="en-GB"/>
        </w:rPr>
        <w:t xml:space="preserve">distribution was very similar to that of the whole country. </w:t>
      </w:r>
      <w:r w:rsidR="00322F15" w:rsidRPr="00486B0B">
        <w:rPr>
          <w:rFonts w:asciiTheme="minorHAnsi" w:hAnsiTheme="minorHAnsi" w:cstheme="minorHAnsi"/>
          <w:lang w:val="en-GB"/>
        </w:rPr>
        <w:t xml:space="preserve">The </w:t>
      </w:r>
      <w:r w:rsidR="008D3A96" w:rsidRPr="00486B0B">
        <w:rPr>
          <w:rFonts w:asciiTheme="minorHAnsi" w:hAnsiTheme="minorHAnsi" w:cstheme="minorHAnsi"/>
          <w:lang w:val="en-GB"/>
        </w:rPr>
        <w:t>ethnic</w:t>
      </w:r>
      <w:r w:rsidR="00322F15" w:rsidRPr="00486B0B">
        <w:rPr>
          <w:rFonts w:asciiTheme="minorHAnsi" w:hAnsiTheme="minorHAnsi" w:cstheme="minorHAnsi"/>
          <w:lang w:val="en-GB"/>
        </w:rPr>
        <w:t xml:space="preserve"> </w:t>
      </w:r>
      <w:r w:rsidR="00EE23AA" w:rsidRPr="00486B0B">
        <w:rPr>
          <w:rFonts w:asciiTheme="minorHAnsi" w:hAnsiTheme="minorHAnsi" w:cstheme="minorHAnsi"/>
          <w:lang w:val="en-GB"/>
        </w:rPr>
        <w:t>distribution</w:t>
      </w:r>
      <w:r w:rsidR="008D3A96" w:rsidRPr="00486B0B">
        <w:rPr>
          <w:rFonts w:asciiTheme="minorHAnsi" w:hAnsiTheme="minorHAnsi" w:cstheme="minorHAnsi"/>
          <w:lang w:val="en-GB"/>
        </w:rPr>
        <w:t xml:space="preserve"> was </w:t>
      </w:r>
      <w:r w:rsidR="002854D8" w:rsidRPr="00486B0B">
        <w:rPr>
          <w:rFonts w:asciiTheme="minorHAnsi" w:hAnsiTheme="minorHAnsi" w:cstheme="minorHAnsi"/>
          <w:lang w:val="en-GB"/>
        </w:rPr>
        <w:t>Kazak</w:t>
      </w:r>
      <w:r w:rsidR="00093D17" w:rsidRPr="00486B0B">
        <w:rPr>
          <w:rFonts w:asciiTheme="minorHAnsi" w:hAnsiTheme="minorHAnsi" w:cstheme="minorHAnsi"/>
          <w:lang w:val="en-GB"/>
        </w:rPr>
        <w:t>h</w:t>
      </w:r>
      <w:r w:rsidR="002854D8" w:rsidRPr="00486B0B">
        <w:rPr>
          <w:rFonts w:asciiTheme="minorHAnsi" w:hAnsiTheme="minorHAnsi" w:cstheme="minorHAnsi"/>
          <w:lang w:val="en-GB"/>
        </w:rPr>
        <w:t>s</w:t>
      </w:r>
      <w:r w:rsidR="00322F15" w:rsidRPr="00486B0B">
        <w:rPr>
          <w:rFonts w:asciiTheme="minorHAnsi" w:hAnsiTheme="minorHAnsi" w:cstheme="minorHAnsi"/>
          <w:lang w:val="en-GB"/>
        </w:rPr>
        <w:t xml:space="preserve"> (</w:t>
      </w:r>
      <w:r w:rsidR="00C3477D" w:rsidRPr="00486B0B">
        <w:rPr>
          <w:rFonts w:asciiTheme="minorHAnsi" w:hAnsiTheme="minorHAnsi" w:cstheme="minorHAnsi"/>
          <w:lang w:val="en-GB"/>
        </w:rPr>
        <w:t>66</w:t>
      </w:r>
      <w:r w:rsidR="003A17B5" w:rsidRPr="00486B0B">
        <w:rPr>
          <w:rFonts w:asciiTheme="minorHAnsi" w:hAnsiTheme="minorHAnsi" w:cstheme="minorHAnsi"/>
          <w:lang w:val="en-GB"/>
        </w:rPr>
        <w:t>.</w:t>
      </w:r>
      <w:r w:rsidR="00322F15" w:rsidRPr="00486B0B">
        <w:rPr>
          <w:rFonts w:asciiTheme="minorHAnsi" w:hAnsiTheme="minorHAnsi" w:cstheme="minorHAnsi"/>
          <w:lang w:val="en-GB"/>
        </w:rPr>
        <w:t>5</w:t>
      </w:r>
      <w:r w:rsidR="00586380" w:rsidRPr="00486B0B">
        <w:rPr>
          <w:rFonts w:asciiTheme="minorHAnsi" w:hAnsiTheme="minorHAnsi" w:cstheme="minorHAnsi"/>
          <w:lang w:val="en-GB"/>
        </w:rPr>
        <w:t>%),</w:t>
      </w:r>
      <w:r w:rsidR="00322F15" w:rsidRPr="00486B0B">
        <w:rPr>
          <w:rFonts w:asciiTheme="minorHAnsi" w:hAnsiTheme="minorHAnsi" w:cstheme="minorHAnsi"/>
          <w:lang w:val="en-GB"/>
        </w:rPr>
        <w:t xml:space="preserve"> and Russian (</w:t>
      </w:r>
      <w:r w:rsidR="00046F45" w:rsidRPr="00486B0B">
        <w:rPr>
          <w:rFonts w:asciiTheme="minorHAnsi" w:hAnsiTheme="minorHAnsi" w:cstheme="minorHAnsi"/>
          <w:lang w:val="en-GB"/>
        </w:rPr>
        <w:t>20.6</w:t>
      </w:r>
      <w:r w:rsidR="00322F15" w:rsidRPr="00486B0B">
        <w:rPr>
          <w:rFonts w:asciiTheme="minorHAnsi" w:hAnsiTheme="minorHAnsi" w:cstheme="minorHAnsi"/>
          <w:lang w:val="en-GB"/>
        </w:rPr>
        <w:t>%)</w:t>
      </w:r>
      <w:r w:rsidR="00AB64D8">
        <w:rPr>
          <w:rFonts w:asciiTheme="minorHAnsi" w:hAnsiTheme="minorHAnsi" w:cstheme="minorHAnsi"/>
          <w:lang w:val="en-GB"/>
        </w:rPr>
        <w:t xml:space="preserve"> and other </w:t>
      </w:r>
      <w:r w:rsidR="00882AC0">
        <w:rPr>
          <w:rFonts w:asciiTheme="minorHAnsi" w:hAnsiTheme="minorHAnsi" w:cstheme="minorHAnsi"/>
          <w:lang w:val="en-GB"/>
        </w:rPr>
        <w:t>ethnicities</w:t>
      </w:r>
      <w:r w:rsidR="00EE23AA" w:rsidRPr="00486B0B">
        <w:rPr>
          <w:rFonts w:asciiTheme="minorHAnsi" w:hAnsiTheme="minorHAnsi" w:cstheme="minorHAnsi"/>
          <w:lang w:val="en-GB"/>
        </w:rPr>
        <w:t xml:space="preserve"> </w:t>
      </w:r>
      <w:r w:rsidR="00A86A8B">
        <w:rPr>
          <w:rFonts w:asciiTheme="minorHAnsi" w:hAnsiTheme="minorHAnsi" w:cstheme="minorHAnsi"/>
          <w:lang w:val="en-GB"/>
        </w:rPr>
        <w:t>(12.</w:t>
      </w:r>
      <w:r w:rsidR="003A31F7">
        <w:rPr>
          <w:rFonts w:asciiTheme="minorHAnsi" w:hAnsiTheme="minorHAnsi" w:cstheme="minorHAnsi"/>
          <w:lang w:val="en-GB"/>
        </w:rPr>
        <w:t xml:space="preserve">9%) </w:t>
      </w:r>
      <w:r w:rsidR="00EE23AA" w:rsidRPr="00486B0B">
        <w:rPr>
          <w:rFonts w:asciiTheme="minorHAnsi" w:hAnsiTheme="minorHAnsi" w:cstheme="minorHAnsi"/>
          <w:lang w:val="en-GB"/>
        </w:rPr>
        <w:t>[</w:t>
      </w:r>
      <w:r w:rsidR="00B70EF8" w:rsidRPr="00486B0B">
        <w:rPr>
          <w:rFonts w:asciiTheme="minorHAnsi" w:hAnsiTheme="minorHAnsi" w:cstheme="minorHAnsi"/>
          <w:lang w:val="en-GB"/>
        </w:rPr>
        <w:t>14</w:t>
      </w:r>
      <w:r w:rsidR="00EE23AA" w:rsidRPr="00486B0B">
        <w:rPr>
          <w:rFonts w:asciiTheme="minorHAnsi" w:hAnsiTheme="minorHAnsi" w:cstheme="minorHAnsi"/>
          <w:lang w:val="en-GB"/>
        </w:rPr>
        <w:t>]</w:t>
      </w:r>
      <w:r w:rsidR="00322F15" w:rsidRPr="00486B0B">
        <w:rPr>
          <w:rFonts w:asciiTheme="minorHAnsi" w:hAnsiTheme="minorHAnsi" w:cstheme="minorHAnsi"/>
          <w:lang w:val="en-GB"/>
        </w:rPr>
        <w:t>.</w:t>
      </w:r>
      <w:r w:rsidR="002D79C4" w:rsidRPr="00486B0B">
        <w:rPr>
          <w:rFonts w:asciiTheme="minorHAnsi" w:hAnsiTheme="minorHAnsi" w:cstheme="minorHAnsi"/>
          <w:lang w:val="en-GB"/>
        </w:rPr>
        <w:t xml:space="preserve"> </w:t>
      </w:r>
    </w:p>
    <w:p w14:paraId="0687564A" w14:textId="77777777" w:rsidR="00586380" w:rsidRPr="00486B0B" w:rsidRDefault="00586380" w:rsidP="003C1FDD">
      <w:pPr>
        <w:spacing w:line="276" w:lineRule="auto"/>
        <w:ind w:left="567" w:right="1133"/>
        <w:rPr>
          <w:rFonts w:asciiTheme="minorHAnsi" w:hAnsiTheme="minorHAnsi" w:cstheme="minorHAnsi"/>
          <w:lang w:val="en-GB"/>
        </w:rPr>
      </w:pPr>
    </w:p>
    <w:p w14:paraId="7612F702" w14:textId="36760DFD" w:rsidR="00696182" w:rsidRPr="00A81361" w:rsidRDefault="00B9404A" w:rsidP="003C1FDD">
      <w:pPr>
        <w:spacing w:line="276" w:lineRule="auto"/>
        <w:ind w:left="567" w:right="1133"/>
        <w:rPr>
          <w:rFonts w:asciiTheme="minorHAnsi" w:hAnsiTheme="minorHAnsi" w:cstheme="minorHAnsi"/>
          <w:highlight w:val="yellow"/>
          <w:lang w:val="en-GB"/>
        </w:rPr>
      </w:pPr>
      <w:r w:rsidRPr="00A81361">
        <w:rPr>
          <w:rFonts w:asciiTheme="minorHAnsi" w:hAnsiTheme="minorHAnsi" w:cstheme="minorHAnsi"/>
          <w:lang w:val="en-GB"/>
        </w:rPr>
        <w:t>The study was organized in two phases. The first was a retrospective survey from 1 January 2015 to 31 December 2016</w:t>
      </w:r>
      <w:r w:rsidR="00443DEC" w:rsidRPr="00A81361">
        <w:rPr>
          <w:rFonts w:asciiTheme="minorHAnsi" w:hAnsiTheme="minorHAnsi" w:cstheme="minorHAnsi"/>
          <w:lang w:val="en-GB"/>
        </w:rPr>
        <w:t xml:space="preserve"> which captured data on </w:t>
      </w:r>
      <w:r w:rsidR="005E5D62" w:rsidRPr="00A81361">
        <w:rPr>
          <w:rFonts w:asciiTheme="minorHAnsi" w:hAnsiTheme="minorHAnsi" w:cstheme="minorHAnsi"/>
          <w:lang w:val="en-GB"/>
        </w:rPr>
        <w:t xml:space="preserve">data on fractures </w:t>
      </w:r>
      <w:r w:rsidR="00817715" w:rsidRPr="00A81361">
        <w:rPr>
          <w:rFonts w:asciiTheme="minorHAnsi" w:hAnsiTheme="minorHAnsi" w:cstheme="minorHAnsi"/>
          <w:lang w:val="en-GB"/>
        </w:rPr>
        <w:t xml:space="preserve">at the </w:t>
      </w:r>
      <w:r w:rsidR="005E5D62" w:rsidRPr="00A81361">
        <w:rPr>
          <w:rFonts w:asciiTheme="minorHAnsi" w:hAnsiTheme="minorHAnsi" w:cstheme="minorHAnsi"/>
          <w:lang w:val="en-GB"/>
        </w:rPr>
        <w:t>hip (ICD-10 codes S72.0, S72.1, S72.2), distal forearm (S52.5, S52.6) and proximal humerus (S 42.2).</w:t>
      </w:r>
      <w:r w:rsidR="0005097C" w:rsidRPr="00A81361">
        <w:rPr>
          <w:rFonts w:asciiTheme="minorHAnsi" w:hAnsiTheme="minorHAnsi" w:cstheme="minorHAnsi"/>
          <w:lang w:val="en-GB"/>
        </w:rPr>
        <w:t xml:space="preserve"> The</w:t>
      </w:r>
      <w:r w:rsidRPr="00A81361">
        <w:rPr>
          <w:rFonts w:asciiTheme="minorHAnsi" w:hAnsiTheme="minorHAnsi" w:cstheme="minorHAnsi"/>
          <w:lang w:val="en-GB"/>
        </w:rPr>
        <w:t xml:space="preserve"> </w:t>
      </w:r>
      <w:r w:rsidR="003B2E76" w:rsidRPr="00A81361">
        <w:rPr>
          <w:rFonts w:asciiTheme="minorHAnsi" w:hAnsiTheme="minorHAnsi" w:cstheme="minorHAnsi"/>
          <w:lang w:val="en-GB"/>
        </w:rPr>
        <w:t xml:space="preserve">second </w:t>
      </w:r>
      <w:r w:rsidR="0005097C" w:rsidRPr="00A81361">
        <w:rPr>
          <w:rFonts w:asciiTheme="minorHAnsi" w:hAnsiTheme="minorHAnsi" w:cstheme="minorHAnsi"/>
          <w:lang w:val="en-GB"/>
        </w:rPr>
        <w:t xml:space="preserve">phase </w:t>
      </w:r>
      <w:r w:rsidR="003B2E76" w:rsidRPr="00A81361">
        <w:rPr>
          <w:rFonts w:asciiTheme="minorHAnsi" w:hAnsiTheme="minorHAnsi" w:cstheme="minorHAnsi"/>
          <w:lang w:val="en-GB"/>
        </w:rPr>
        <w:t>was</w:t>
      </w:r>
      <w:r w:rsidRPr="00A81361">
        <w:rPr>
          <w:rFonts w:asciiTheme="minorHAnsi" w:hAnsiTheme="minorHAnsi" w:cstheme="minorHAnsi"/>
          <w:lang w:val="en-GB"/>
        </w:rPr>
        <w:t xml:space="preserve"> a prospective</w:t>
      </w:r>
      <w:r w:rsidR="003B2E76" w:rsidRPr="00A81361">
        <w:rPr>
          <w:rFonts w:asciiTheme="minorHAnsi" w:hAnsiTheme="minorHAnsi" w:cstheme="minorHAnsi"/>
          <w:lang w:val="en-GB"/>
        </w:rPr>
        <w:t xml:space="preserve"> survey</w:t>
      </w:r>
      <w:r w:rsidR="00492F36" w:rsidRPr="00A81361">
        <w:rPr>
          <w:rFonts w:asciiTheme="minorHAnsi" w:hAnsiTheme="minorHAnsi" w:cstheme="minorHAnsi"/>
          <w:lang w:val="en-GB"/>
        </w:rPr>
        <w:t xml:space="preserve"> </w:t>
      </w:r>
      <w:r w:rsidRPr="00A81361">
        <w:rPr>
          <w:rFonts w:asciiTheme="minorHAnsi" w:hAnsiTheme="minorHAnsi" w:cstheme="minorHAnsi"/>
          <w:lang w:val="en-GB"/>
        </w:rPr>
        <w:t>from 1 March 2017 to 28 February 2018</w:t>
      </w:r>
      <w:r w:rsidR="0005097C" w:rsidRPr="00A81361">
        <w:rPr>
          <w:rFonts w:asciiTheme="minorHAnsi" w:hAnsiTheme="minorHAnsi" w:cstheme="minorHAnsi"/>
          <w:lang w:val="en-GB"/>
        </w:rPr>
        <w:t xml:space="preserve"> that acquired da</w:t>
      </w:r>
      <w:r w:rsidR="00901F66" w:rsidRPr="00A81361">
        <w:rPr>
          <w:rFonts w:asciiTheme="minorHAnsi" w:hAnsiTheme="minorHAnsi" w:cstheme="minorHAnsi"/>
          <w:lang w:val="en-GB"/>
        </w:rPr>
        <w:t>ta on hip fracture alone</w:t>
      </w:r>
      <w:r w:rsidRPr="00A81361">
        <w:rPr>
          <w:rFonts w:asciiTheme="minorHAnsi" w:hAnsiTheme="minorHAnsi" w:cstheme="minorHAnsi"/>
          <w:lang w:val="en-GB"/>
        </w:rPr>
        <w:t>.</w:t>
      </w:r>
      <w:r w:rsidR="006C0C45" w:rsidRPr="00A81361">
        <w:rPr>
          <w:rFonts w:asciiTheme="minorHAnsi" w:hAnsiTheme="minorHAnsi" w:cstheme="minorHAnsi"/>
          <w:lang w:val="en-GB"/>
        </w:rPr>
        <w:t xml:space="preserve"> </w:t>
      </w:r>
    </w:p>
    <w:p w14:paraId="639534E3" w14:textId="77777777" w:rsidR="00696182" w:rsidRPr="00A81361" w:rsidRDefault="00696182" w:rsidP="003C1FDD">
      <w:pPr>
        <w:spacing w:line="276" w:lineRule="auto"/>
        <w:ind w:left="567" w:right="1133"/>
        <w:rPr>
          <w:rFonts w:asciiTheme="minorHAnsi" w:hAnsiTheme="minorHAnsi" w:cstheme="minorHAnsi"/>
          <w:highlight w:val="yellow"/>
          <w:lang w:val="en-GB"/>
        </w:rPr>
      </w:pPr>
    </w:p>
    <w:p w14:paraId="1721FB64" w14:textId="6A7B77E8" w:rsidR="00447A28" w:rsidRPr="00A81361" w:rsidRDefault="00A84FC2" w:rsidP="003C1FDD">
      <w:pPr>
        <w:spacing w:line="276" w:lineRule="auto"/>
        <w:ind w:left="567" w:right="1133"/>
        <w:rPr>
          <w:rFonts w:asciiTheme="minorHAnsi" w:hAnsiTheme="minorHAnsi" w:cstheme="minorHAnsi"/>
          <w:highlight w:val="yellow"/>
          <w:lang w:val="en-GB"/>
        </w:rPr>
      </w:pPr>
      <w:r w:rsidRPr="00A81361">
        <w:rPr>
          <w:rFonts w:asciiTheme="minorHAnsi" w:hAnsiTheme="minorHAnsi" w:cstheme="minorHAnsi"/>
          <w:lang w:val="en-GB"/>
        </w:rPr>
        <w:t xml:space="preserve">In both </w:t>
      </w:r>
      <w:r w:rsidR="00696182" w:rsidRPr="00A81361">
        <w:rPr>
          <w:rFonts w:asciiTheme="minorHAnsi" w:hAnsiTheme="minorHAnsi" w:cstheme="minorHAnsi"/>
          <w:lang w:val="en-GB"/>
        </w:rPr>
        <w:t>phases</w:t>
      </w:r>
      <w:r w:rsidRPr="00A81361">
        <w:rPr>
          <w:rFonts w:asciiTheme="minorHAnsi" w:hAnsiTheme="minorHAnsi" w:cstheme="minorHAnsi"/>
          <w:lang w:val="en-GB"/>
        </w:rPr>
        <w:t xml:space="preserve">, </w:t>
      </w:r>
      <w:r w:rsidR="00447A28" w:rsidRPr="00A81361">
        <w:rPr>
          <w:rFonts w:asciiTheme="minorHAnsi" w:hAnsiTheme="minorHAnsi" w:cstheme="minorHAnsi"/>
          <w:lang w:val="en-GB"/>
        </w:rPr>
        <w:t xml:space="preserve">the medical records of all fractures in men and women aged 40 years or older were </w:t>
      </w:r>
      <w:r w:rsidR="002A3B9D" w:rsidRPr="00A81361">
        <w:rPr>
          <w:rFonts w:asciiTheme="minorHAnsi" w:hAnsiTheme="minorHAnsi" w:cstheme="minorHAnsi"/>
          <w:lang w:val="en-GB"/>
        </w:rPr>
        <w:t xml:space="preserve">retrieved </w:t>
      </w:r>
      <w:r w:rsidR="00447A28" w:rsidRPr="00A81361">
        <w:rPr>
          <w:rFonts w:asciiTheme="minorHAnsi" w:hAnsiTheme="minorHAnsi" w:cstheme="minorHAnsi"/>
          <w:lang w:val="en-GB"/>
        </w:rPr>
        <w:t xml:space="preserve">from the </w:t>
      </w:r>
      <w:r w:rsidR="00DB09AD" w:rsidRPr="00A81361">
        <w:rPr>
          <w:rFonts w:asciiTheme="minorHAnsi" w:hAnsiTheme="minorHAnsi" w:cstheme="minorHAnsi"/>
          <w:lang w:val="en-GB"/>
        </w:rPr>
        <w:t>inpatient electronic health register (EHR)</w:t>
      </w:r>
      <w:r w:rsidR="00192058" w:rsidRPr="00A81361">
        <w:rPr>
          <w:rFonts w:asciiTheme="minorHAnsi" w:hAnsiTheme="minorHAnsi" w:cstheme="minorHAnsi"/>
          <w:lang w:val="en-GB"/>
        </w:rPr>
        <w:t xml:space="preserve"> of the three hospitals in the area</w:t>
      </w:r>
      <w:r w:rsidR="00F96A4C" w:rsidRPr="00A81361">
        <w:rPr>
          <w:rFonts w:asciiTheme="minorHAnsi" w:hAnsiTheme="minorHAnsi" w:cstheme="minorHAnsi"/>
          <w:lang w:val="en-GB"/>
        </w:rPr>
        <w:t xml:space="preserve">, </w:t>
      </w:r>
      <w:r w:rsidR="00192058" w:rsidRPr="00A81361">
        <w:rPr>
          <w:rFonts w:asciiTheme="minorHAnsi" w:hAnsiTheme="minorHAnsi" w:cstheme="minorHAnsi"/>
          <w:lang w:val="en-GB"/>
        </w:rPr>
        <w:t xml:space="preserve">the </w:t>
      </w:r>
      <w:r w:rsidR="000E4406" w:rsidRPr="00A81361">
        <w:rPr>
          <w:rFonts w:asciiTheme="minorHAnsi" w:hAnsiTheme="minorHAnsi" w:cstheme="minorHAnsi"/>
          <w:lang w:val="en-GB"/>
        </w:rPr>
        <w:t xml:space="preserve">outpatient </w:t>
      </w:r>
      <w:r w:rsidR="00192058" w:rsidRPr="00A81361">
        <w:rPr>
          <w:rFonts w:asciiTheme="minorHAnsi" w:hAnsiTheme="minorHAnsi" w:cstheme="minorHAnsi"/>
          <w:lang w:val="en-GB"/>
        </w:rPr>
        <w:t>register of the City Trauma centre</w:t>
      </w:r>
      <w:r w:rsidR="00302B4B" w:rsidRPr="00A81361">
        <w:rPr>
          <w:rFonts w:asciiTheme="minorHAnsi" w:hAnsiTheme="minorHAnsi" w:cstheme="minorHAnsi"/>
          <w:lang w:val="en-GB"/>
        </w:rPr>
        <w:t xml:space="preserve">. </w:t>
      </w:r>
      <w:r w:rsidR="000E4406" w:rsidRPr="00A81361">
        <w:rPr>
          <w:rFonts w:asciiTheme="minorHAnsi" w:hAnsiTheme="minorHAnsi" w:cstheme="minorHAnsi"/>
          <w:lang w:val="en-GB"/>
        </w:rPr>
        <w:t xml:space="preserve"> </w:t>
      </w:r>
      <w:r w:rsidR="00B135CE" w:rsidRPr="00A81361">
        <w:rPr>
          <w:rFonts w:asciiTheme="minorHAnsi" w:hAnsiTheme="minorHAnsi" w:cstheme="minorHAnsi"/>
          <w:lang w:val="en-GB"/>
        </w:rPr>
        <w:t xml:space="preserve">In addition, refusals </w:t>
      </w:r>
      <w:r w:rsidR="007C5CF6" w:rsidRPr="00A81361">
        <w:rPr>
          <w:rFonts w:asciiTheme="minorHAnsi" w:hAnsiTheme="minorHAnsi" w:cstheme="minorHAnsi"/>
          <w:lang w:val="en-GB"/>
        </w:rPr>
        <w:t>of</w:t>
      </w:r>
      <w:r w:rsidR="00B135CE" w:rsidRPr="00A81361">
        <w:rPr>
          <w:rFonts w:asciiTheme="minorHAnsi" w:hAnsiTheme="minorHAnsi" w:cstheme="minorHAnsi"/>
          <w:lang w:val="en-GB"/>
        </w:rPr>
        <w:t xml:space="preserve"> hospitalization (formal documents) were examined from all the hospitals of the city</w:t>
      </w:r>
      <w:r w:rsidR="007C5CF6" w:rsidRPr="00A81361">
        <w:rPr>
          <w:rFonts w:asciiTheme="minorHAnsi" w:hAnsiTheme="minorHAnsi" w:cstheme="minorHAnsi"/>
          <w:lang w:val="en-GB"/>
        </w:rPr>
        <w:t xml:space="preserve">. </w:t>
      </w:r>
      <w:r w:rsidR="00DE3847" w:rsidRPr="00A81361">
        <w:rPr>
          <w:lang w:val="en-GB"/>
        </w:rPr>
        <w:t xml:space="preserve"> </w:t>
      </w:r>
      <w:r w:rsidR="00DE3847" w:rsidRPr="00A81361">
        <w:rPr>
          <w:rFonts w:asciiTheme="minorHAnsi" w:hAnsiTheme="minorHAnsi" w:cstheme="minorHAnsi"/>
          <w:lang w:val="en-GB"/>
        </w:rPr>
        <w:t>Only fractures validated by radiographs were included. To avoid double counting, further admissions for the same fracture site in the observation time were excluded. In some documents, fracture ICD-10 code was not specified. In such cases, radiographs were retrieved and fractures</w:t>
      </w:r>
      <w:r w:rsidR="00565C8B">
        <w:rPr>
          <w:rFonts w:asciiTheme="minorHAnsi" w:hAnsiTheme="minorHAnsi" w:cstheme="minorHAnsi"/>
          <w:lang w:val="en-GB"/>
        </w:rPr>
        <w:t>,</w:t>
      </w:r>
      <w:r w:rsidR="00DE3847" w:rsidRPr="00A81361">
        <w:rPr>
          <w:rFonts w:asciiTheme="minorHAnsi" w:hAnsiTheme="minorHAnsi" w:cstheme="minorHAnsi"/>
          <w:lang w:val="en-GB"/>
        </w:rPr>
        <w:t xml:space="preserve"> </w:t>
      </w:r>
      <w:r w:rsidR="00565C8B">
        <w:rPr>
          <w:rFonts w:asciiTheme="minorHAnsi" w:hAnsiTheme="minorHAnsi" w:cstheme="minorHAnsi"/>
          <w:lang w:val="en-GB"/>
        </w:rPr>
        <w:t xml:space="preserve">if </w:t>
      </w:r>
      <w:r w:rsidR="00565C8B" w:rsidRPr="00565C8B">
        <w:rPr>
          <w:rFonts w:asciiTheme="minorHAnsi" w:hAnsiTheme="minorHAnsi" w:cstheme="minorHAnsi"/>
          <w:lang w:val="en-GB"/>
        </w:rPr>
        <w:t>verified</w:t>
      </w:r>
      <w:r w:rsidR="00565C8B">
        <w:rPr>
          <w:rFonts w:asciiTheme="minorHAnsi" w:hAnsiTheme="minorHAnsi" w:cstheme="minorHAnsi"/>
          <w:lang w:val="en-GB"/>
        </w:rPr>
        <w:t>,</w:t>
      </w:r>
      <w:r w:rsidR="00565C8B" w:rsidRPr="00565C8B">
        <w:rPr>
          <w:rFonts w:asciiTheme="minorHAnsi" w:hAnsiTheme="minorHAnsi" w:cstheme="minorHAnsi"/>
          <w:lang w:val="en-GB"/>
        </w:rPr>
        <w:t xml:space="preserve"> </w:t>
      </w:r>
      <w:r w:rsidR="00DE3847" w:rsidRPr="00A81361">
        <w:rPr>
          <w:rFonts w:asciiTheme="minorHAnsi" w:hAnsiTheme="minorHAnsi" w:cstheme="minorHAnsi"/>
          <w:lang w:val="en-GB"/>
        </w:rPr>
        <w:t>were included in the database. Permanent residence in the region was a criterion for inclusion.</w:t>
      </w:r>
      <w:r w:rsidR="00BD3BF1" w:rsidRPr="00A81361">
        <w:rPr>
          <w:rFonts w:asciiTheme="minorHAnsi" w:hAnsiTheme="minorHAnsi" w:cstheme="minorHAnsi"/>
          <w:lang w:val="en-GB"/>
        </w:rPr>
        <w:t xml:space="preserve"> </w:t>
      </w:r>
      <w:r w:rsidR="00077672" w:rsidRPr="00077672">
        <w:rPr>
          <w:rFonts w:asciiTheme="minorHAnsi" w:hAnsiTheme="minorHAnsi" w:cstheme="minorHAnsi"/>
          <w:lang w:val="en-GB"/>
        </w:rPr>
        <w:t>All hip fracture cases were included irrespective of high or low energy trauma.</w:t>
      </w:r>
      <w:r w:rsidR="004430F0">
        <w:rPr>
          <w:rFonts w:asciiTheme="minorHAnsi" w:hAnsiTheme="minorHAnsi" w:cstheme="minorHAnsi"/>
          <w:lang w:val="en-GB"/>
        </w:rPr>
        <w:t xml:space="preserve"> </w:t>
      </w:r>
      <w:r w:rsidR="00700AFD" w:rsidRPr="00A81361">
        <w:rPr>
          <w:rFonts w:asciiTheme="minorHAnsi" w:hAnsiTheme="minorHAnsi" w:cstheme="minorHAnsi"/>
          <w:lang w:val="en-GB"/>
        </w:rPr>
        <w:t xml:space="preserve">We excluded pathological fractures attributable </w:t>
      </w:r>
      <w:r w:rsidR="009850FE" w:rsidRPr="00A81361">
        <w:rPr>
          <w:rFonts w:asciiTheme="minorHAnsi" w:hAnsiTheme="minorHAnsi" w:cstheme="minorHAnsi"/>
          <w:lang w:val="en-GB"/>
        </w:rPr>
        <w:t>to</w:t>
      </w:r>
      <w:r w:rsidR="00700AFD" w:rsidRPr="00A81361">
        <w:rPr>
          <w:rFonts w:asciiTheme="minorHAnsi" w:hAnsiTheme="minorHAnsi" w:cstheme="minorHAnsi"/>
          <w:lang w:val="en-GB"/>
        </w:rPr>
        <w:t xml:space="preserve"> cancer with metastases</w:t>
      </w:r>
      <w:r w:rsidR="00047F60" w:rsidRPr="00A81361">
        <w:rPr>
          <w:rFonts w:asciiTheme="minorHAnsi" w:hAnsiTheme="minorHAnsi" w:cstheme="minorHAnsi"/>
          <w:lang w:val="en-GB"/>
        </w:rPr>
        <w:t xml:space="preserve"> </w:t>
      </w:r>
      <w:r w:rsidR="00FB515B">
        <w:rPr>
          <w:rFonts w:asciiTheme="minorHAnsi" w:hAnsiTheme="minorHAnsi" w:cstheme="minorHAnsi"/>
          <w:lang w:val="en-GB"/>
        </w:rPr>
        <w:t>or to</w:t>
      </w:r>
      <w:r w:rsidR="00047F60" w:rsidRPr="00A81361">
        <w:rPr>
          <w:rFonts w:asciiTheme="minorHAnsi" w:hAnsiTheme="minorHAnsi" w:cstheme="minorHAnsi"/>
          <w:lang w:val="en-GB"/>
        </w:rPr>
        <w:t xml:space="preserve"> </w:t>
      </w:r>
      <w:r w:rsidR="00700AFD" w:rsidRPr="00A81361">
        <w:rPr>
          <w:rFonts w:asciiTheme="minorHAnsi" w:hAnsiTheme="minorHAnsi" w:cstheme="minorHAnsi"/>
          <w:lang w:val="en-GB"/>
        </w:rPr>
        <w:t>multiple myeloma</w:t>
      </w:r>
      <w:r w:rsidR="00FF7E24" w:rsidRPr="00A81361">
        <w:rPr>
          <w:rFonts w:asciiTheme="minorHAnsi" w:hAnsiTheme="minorHAnsi" w:cstheme="minorHAnsi"/>
          <w:lang w:val="en-GB"/>
        </w:rPr>
        <w:t>.</w:t>
      </w:r>
      <w:r w:rsidR="00700AFD" w:rsidRPr="00A81361">
        <w:rPr>
          <w:rFonts w:asciiTheme="minorHAnsi" w:hAnsiTheme="minorHAnsi" w:cstheme="minorHAnsi"/>
          <w:lang w:val="en-GB"/>
        </w:rPr>
        <w:t xml:space="preserve"> </w:t>
      </w:r>
    </w:p>
    <w:p w14:paraId="0DB5D6CA" w14:textId="77777777" w:rsidR="00794A76" w:rsidRPr="00A81361" w:rsidRDefault="00794A76" w:rsidP="00C11242">
      <w:pPr>
        <w:spacing w:line="276" w:lineRule="auto"/>
        <w:ind w:left="567" w:right="1133" w:firstLine="426"/>
        <w:rPr>
          <w:rFonts w:asciiTheme="minorHAnsi" w:hAnsiTheme="minorHAnsi" w:cstheme="minorHAnsi"/>
          <w:highlight w:val="yellow"/>
          <w:lang w:val="en-GB"/>
        </w:rPr>
      </w:pPr>
    </w:p>
    <w:p w14:paraId="37992FA2" w14:textId="342BF6B5" w:rsidR="008F4E24" w:rsidRPr="00A81361" w:rsidRDefault="008F4E24" w:rsidP="002A3B9D">
      <w:pPr>
        <w:spacing w:line="276" w:lineRule="auto"/>
        <w:ind w:left="567" w:right="1133"/>
        <w:rPr>
          <w:rFonts w:asciiTheme="minorHAnsi" w:hAnsiTheme="minorHAnsi" w:cstheme="minorHAnsi"/>
          <w:highlight w:val="red"/>
          <w:lang w:val="en-GB"/>
        </w:rPr>
      </w:pPr>
      <w:r w:rsidRPr="00A81361">
        <w:rPr>
          <w:rFonts w:asciiTheme="minorHAnsi" w:hAnsiTheme="minorHAnsi" w:cstheme="minorHAnsi"/>
          <w:lang w:val="en-GB"/>
        </w:rPr>
        <w:t>The prospective study identifi</w:t>
      </w:r>
      <w:r w:rsidR="004778B8">
        <w:rPr>
          <w:rFonts w:asciiTheme="minorHAnsi" w:hAnsiTheme="minorHAnsi" w:cstheme="minorHAnsi"/>
          <w:lang w:val="en-GB"/>
        </w:rPr>
        <w:t>ed</w:t>
      </w:r>
      <w:r w:rsidRPr="00A81361">
        <w:rPr>
          <w:rFonts w:asciiTheme="minorHAnsi" w:hAnsiTheme="minorHAnsi" w:cstheme="minorHAnsi"/>
          <w:lang w:val="en-GB"/>
        </w:rPr>
        <w:t xml:space="preserve"> new cases of hip fractures </w:t>
      </w:r>
      <w:r w:rsidR="0028135C" w:rsidRPr="00A81361">
        <w:rPr>
          <w:rFonts w:asciiTheme="minorHAnsi" w:hAnsiTheme="minorHAnsi" w:cstheme="minorHAnsi"/>
          <w:lang w:val="en-GB"/>
        </w:rPr>
        <w:t>using</w:t>
      </w:r>
      <w:r w:rsidRPr="00A81361">
        <w:rPr>
          <w:rFonts w:asciiTheme="minorHAnsi" w:hAnsiTheme="minorHAnsi" w:cstheme="minorHAnsi"/>
          <w:lang w:val="en-GB"/>
        </w:rPr>
        <w:t xml:space="preserve"> the same </w:t>
      </w:r>
      <w:r w:rsidR="0028135C" w:rsidRPr="00A81361">
        <w:rPr>
          <w:rFonts w:asciiTheme="minorHAnsi" w:hAnsiTheme="minorHAnsi" w:cstheme="minorHAnsi"/>
          <w:lang w:val="en-GB"/>
        </w:rPr>
        <w:t>methodology</w:t>
      </w:r>
      <w:r w:rsidRPr="00A81361">
        <w:rPr>
          <w:rFonts w:asciiTheme="minorHAnsi" w:hAnsiTheme="minorHAnsi" w:cstheme="minorHAnsi"/>
          <w:lang w:val="en-GB"/>
        </w:rPr>
        <w:t xml:space="preserve"> as in the retrospective </w:t>
      </w:r>
      <w:r w:rsidR="00962615" w:rsidRPr="00A81361">
        <w:rPr>
          <w:rFonts w:asciiTheme="minorHAnsi" w:hAnsiTheme="minorHAnsi" w:cstheme="minorHAnsi"/>
          <w:lang w:val="en-GB"/>
        </w:rPr>
        <w:t>survey</w:t>
      </w:r>
      <w:r w:rsidRPr="00A81361">
        <w:rPr>
          <w:rFonts w:asciiTheme="minorHAnsi" w:hAnsiTheme="minorHAnsi" w:cstheme="minorHAnsi"/>
          <w:lang w:val="en-GB"/>
        </w:rPr>
        <w:t xml:space="preserve">. In addition, data </w:t>
      </w:r>
      <w:r w:rsidR="00962615" w:rsidRPr="00A81361">
        <w:rPr>
          <w:rFonts w:asciiTheme="minorHAnsi" w:hAnsiTheme="minorHAnsi" w:cstheme="minorHAnsi"/>
          <w:lang w:val="en-GB"/>
        </w:rPr>
        <w:t xml:space="preserve">were gathered </w:t>
      </w:r>
      <w:r w:rsidRPr="00A81361">
        <w:rPr>
          <w:rFonts w:asciiTheme="minorHAnsi" w:hAnsiTheme="minorHAnsi" w:cstheme="minorHAnsi"/>
          <w:lang w:val="en-GB"/>
        </w:rPr>
        <w:t>from the records of the emergency call cent</w:t>
      </w:r>
      <w:r w:rsidR="00B74DA7" w:rsidRPr="00A81361">
        <w:rPr>
          <w:rFonts w:asciiTheme="minorHAnsi" w:hAnsiTheme="minorHAnsi" w:cstheme="minorHAnsi"/>
          <w:lang w:val="en-GB"/>
        </w:rPr>
        <w:t>re</w:t>
      </w:r>
      <w:r w:rsidRPr="00A81361">
        <w:rPr>
          <w:rFonts w:asciiTheme="minorHAnsi" w:hAnsiTheme="minorHAnsi" w:cstheme="minorHAnsi"/>
          <w:lang w:val="en-GB"/>
        </w:rPr>
        <w:t xml:space="preserve">, from the </w:t>
      </w:r>
      <w:r w:rsidR="00EF1AFB" w:rsidRPr="00A81361">
        <w:rPr>
          <w:rFonts w:asciiTheme="minorHAnsi" w:hAnsiTheme="minorHAnsi" w:cstheme="minorHAnsi"/>
          <w:lang w:val="en-GB"/>
        </w:rPr>
        <w:t>r</w:t>
      </w:r>
      <w:r w:rsidR="00C16450" w:rsidRPr="00A81361">
        <w:rPr>
          <w:rFonts w:asciiTheme="minorHAnsi" w:hAnsiTheme="minorHAnsi" w:cstheme="minorHAnsi"/>
          <w:lang w:val="en-GB"/>
        </w:rPr>
        <w:t>ecords</w:t>
      </w:r>
      <w:r w:rsidRPr="00A81361">
        <w:rPr>
          <w:rFonts w:asciiTheme="minorHAnsi" w:hAnsiTheme="minorHAnsi" w:cstheme="minorHAnsi"/>
          <w:lang w:val="en-GB"/>
        </w:rPr>
        <w:t xml:space="preserve"> of home visits to patients by </w:t>
      </w:r>
      <w:r w:rsidR="005704A7" w:rsidRPr="00A81361">
        <w:rPr>
          <w:rFonts w:asciiTheme="minorHAnsi" w:hAnsiTheme="minorHAnsi" w:cstheme="minorHAnsi"/>
          <w:lang w:val="en-GB"/>
        </w:rPr>
        <w:t>orthopaedic</w:t>
      </w:r>
      <w:r w:rsidRPr="00A81361">
        <w:rPr>
          <w:rFonts w:asciiTheme="minorHAnsi" w:hAnsiTheme="minorHAnsi" w:cstheme="minorHAnsi"/>
          <w:lang w:val="en-GB"/>
        </w:rPr>
        <w:t xml:space="preserve"> doctors from the outpatient polyclinic, the records and outpatient </w:t>
      </w:r>
      <w:r w:rsidR="00D7740C" w:rsidRPr="00A81361">
        <w:rPr>
          <w:rFonts w:asciiTheme="minorHAnsi" w:hAnsiTheme="minorHAnsi" w:cstheme="minorHAnsi"/>
          <w:lang w:val="en-GB"/>
        </w:rPr>
        <w:t>electronic health records</w:t>
      </w:r>
      <w:r w:rsidRPr="00A81361">
        <w:rPr>
          <w:rFonts w:asciiTheme="minorHAnsi" w:hAnsiTheme="minorHAnsi" w:cstheme="minorHAnsi"/>
          <w:lang w:val="en-GB"/>
        </w:rPr>
        <w:t xml:space="preserve"> of all </w:t>
      </w:r>
      <w:r w:rsidR="00E05D6D" w:rsidRPr="00A81361">
        <w:rPr>
          <w:rFonts w:asciiTheme="minorHAnsi" w:hAnsiTheme="minorHAnsi" w:cstheme="minorHAnsi"/>
          <w:lang w:val="en-GB"/>
        </w:rPr>
        <w:t xml:space="preserve">(32) </w:t>
      </w:r>
      <w:r w:rsidRPr="00A81361">
        <w:rPr>
          <w:rFonts w:asciiTheme="minorHAnsi" w:hAnsiTheme="minorHAnsi" w:cstheme="minorHAnsi"/>
          <w:lang w:val="en-GB"/>
        </w:rPr>
        <w:t xml:space="preserve">primary care doctors in the city </w:t>
      </w:r>
      <w:r w:rsidR="00C154A5" w:rsidRPr="00A81361">
        <w:rPr>
          <w:rFonts w:asciiTheme="minorHAnsi" w:hAnsiTheme="minorHAnsi" w:cstheme="minorHAnsi"/>
          <w:lang w:val="en-GB"/>
        </w:rPr>
        <w:t xml:space="preserve">and two private primary health care centres </w:t>
      </w:r>
      <w:r w:rsidRPr="00A81361">
        <w:rPr>
          <w:rFonts w:asciiTheme="minorHAnsi" w:hAnsiTheme="minorHAnsi" w:cstheme="minorHAnsi"/>
          <w:lang w:val="en-GB"/>
        </w:rPr>
        <w:t xml:space="preserve">to find additional non-hospitalized patients. </w:t>
      </w:r>
      <w:r w:rsidR="00113395" w:rsidRPr="00A81361">
        <w:rPr>
          <w:rFonts w:asciiTheme="minorHAnsi" w:hAnsiTheme="minorHAnsi" w:cstheme="minorHAnsi"/>
          <w:lang w:val="en-GB"/>
        </w:rPr>
        <w:t xml:space="preserve"> </w:t>
      </w:r>
      <w:r w:rsidRPr="00A81361">
        <w:rPr>
          <w:rFonts w:asciiTheme="minorHAnsi" w:hAnsiTheme="minorHAnsi" w:cstheme="minorHAnsi"/>
          <w:lang w:val="en-GB"/>
        </w:rPr>
        <w:t>These patients were examined at home, and the hip fracture was verified clinical</w:t>
      </w:r>
      <w:r w:rsidR="00C9116F" w:rsidRPr="00A81361">
        <w:rPr>
          <w:rFonts w:asciiTheme="minorHAnsi" w:hAnsiTheme="minorHAnsi" w:cstheme="minorHAnsi"/>
          <w:lang w:val="en-GB"/>
        </w:rPr>
        <w:t>ly</w:t>
      </w:r>
      <w:r w:rsidRPr="00A81361">
        <w:rPr>
          <w:rFonts w:asciiTheme="minorHAnsi" w:hAnsiTheme="minorHAnsi" w:cstheme="minorHAnsi"/>
          <w:lang w:val="en-GB"/>
        </w:rPr>
        <w:t xml:space="preserve"> </w:t>
      </w:r>
      <w:r w:rsidR="00C9116F" w:rsidRPr="00A81361">
        <w:rPr>
          <w:rFonts w:asciiTheme="minorHAnsi" w:hAnsiTheme="minorHAnsi" w:cstheme="minorHAnsi"/>
          <w:lang w:val="en-GB"/>
        </w:rPr>
        <w:t>and, where possible</w:t>
      </w:r>
      <w:r w:rsidRPr="00A81361">
        <w:rPr>
          <w:rFonts w:asciiTheme="minorHAnsi" w:hAnsiTheme="minorHAnsi" w:cstheme="minorHAnsi"/>
          <w:lang w:val="en-GB"/>
        </w:rPr>
        <w:t xml:space="preserve">, </w:t>
      </w:r>
      <w:r w:rsidR="00A70419" w:rsidRPr="00A81361">
        <w:rPr>
          <w:rFonts w:asciiTheme="minorHAnsi" w:hAnsiTheme="minorHAnsi" w:cstheme="minorHAnsi"/>
          <w:lang w:val="en-GB"/>
        </w:rPr>
        <w:t>by radiography</w:t>
      </w:r>
      <w:r w:rsidRPr="00A81361">
        <w:rPr>
          <w:rFonts w:asciiTheme="minorHAnsi" w:hAnsiTheme="minorHAnsi" w:cstheme="minorHAnsi"/>
          <w:lang w:val="en-GB"/>
        </w:rPr>
        <w:t xml:space="preserve">. </w:t>
      </w:r>
    </w:p>
    <w:p w14:paraId="2821C479" w14:textId="77777777" w:rsidR="00DD4BF4" w:rsidRPr="00A81361" w:rsidRDefault="00DD4BF4" w:rsidP="002A3B9D">
      <w:pPr>
        <w:spacing w:line="276" w:lineRule="auto"/>
        <w:ind w:left="567" w:right="1133"/>
        <w:rPr>
          <w:rFonts w:asciiTheme="minorHAnsi" w:hAnsiTheme="minorHAnsi" w:cstheme="minorHAnsi"/>
          <w:highlight w:val="yellow"/>
          <w:lang w:val="en-GB"/>
        </w:rPr>
      </w:pPr>
    </w:p>
    <w:p w14:paraId="49FA1265" w14:textId="5C0A2B4A" w:rsidR="0001695E" w:rsidRPr="00A81361" w:rsidRDefault="00F94319" w:rsidP="002A3B9D">
      <w:pPr>
        <w:spacing w:line="276" w:lineRule="auto"/>
        <w:ind w:left="567" w:right="1133"/>
        <w:rPr>
          <w:rFonts w:asciiTheme="minorHAnsi" w:hAnsiTheme="minorHAnsi" w:cstheme="minorHAnsi"/>
          <w:lang w:val="en-GB"/>
        </w:rPr>
      </w:pPr>
      <w:r w:rsidRPr="00A81361">
        <w:rPr>
          <w:rFonts w:asciiTheme="minorHAnsi" w:hAnsiTheme="minorHAnsi" w:cstheme="minorHAnsi"/>
          <w:lang w:val="en-GB"/>
        </w:rPr>
        <w:t xml:space="preserve">Yearly incidence rates </w:t>
      </w:r>
      <w:r w:rsidR="008E0328" w:rsidRPr="00A81361">
        <w:rPr>
          <w:rFonts w:asciiTheme="minorHAnsi" w:hAnsiTheme="minorHAnsi" w:cstheme="minorHAnsi"/>
          <w:lang w:val="en-GB"/>
        </w:rPr>
        <w:t xml:space="preserve">for </w:t>
      </w:r>
      <w:r w:rsidR="00364A2A" w:rsidRPr="00A81361">
        <w:rPr>
          <w:rFonts w:asciiTheme="minorHAnsi" w:hAnsiTheme="minorHAnsi" w:cstheme="minorHAnsi"/>
          <w:lang w:val="en-GB"/>
        </w:rPr>
        <w:t>fractures of the distal forearm and pro</w:t>
      </w:r>
      <w:r w:rsidR="008739FC" w:rsidRPr="00A81361">
        <w:rPr>
          <w:rFonts w:asciiTheme="minorHAnsi" w:hAnsiTheme="minorHAnsi" w:cstheme="minorHAnsi"/>
          <w:lang w:val="en-GB"/>
        </w:rPr>
        <w:t xml:space="preserve">ximal humerus </w:t>
      </w:r>
      <w:r w:rsidRPr="00A81361">
        <w:rPr>
          <w:rFonts w:asciiTheme="minorHAnsi" w:hAnsiTheme="minorHAnsi" w:cstheme="minorHAnsi"/>
          <w:lang w:val="en-GB"/>
        </w:rPr>
        <w:t xml:space="preserve">were estimated from the number of men and women in </w:t>
      </w:r>
      <w:r w:rsidR="00A83620" w:rsidRPr="00A81361">
        <w:rPr>
          <w:rFonts w:asciiTheme="minorHAnsi" w:hAnsiTheme="minorHAnsi" w:cstheme="minorHAnsi"/>
          <w:lang w:val="en-GB"/>
        </w:rPr>
        <w:t xml:space="preserve">5 or </w:t>
      </w:r>
      <w:r w:rsidR="00084D6F" w:rsidRPr="00A81361">
        <w:rPr>
          <w:rFonts w:asciiTheme="minorHAnsi" w:hAnsiTheme="minorHAnsi" w:cstheme="minorHAnsi"/>
          <w:lang w:val="en-GB"/>
        </w:rPr>
        <w:t>10</w:t>
      </w:r>
      <w:r w:rsidRPr="00A81361">
        <w:rPr>
          <w:rFonts w:asciiTheme="minorHAnsi" w:hAnsiTheme="minorHAnsi" w:cstheme="minorHAnsi"/>
          <w:lang w:val="en-GB"/>
        </w:rPr>
        <w:t>-year age intervals with at least one index fracture in 20</w:t>
      </w:r>
      <w:r w:rsidR="008739FC" w:rsidRPr="00A81361">
        <w:rPr>
          <w:rFonts w:asciiTheme="minorHAnsi" w:hAnsiTheme="minorHAnsi" w:cstheme="minorHAnsi"/>
          <w:lang w:val="en-GB"/>
        </w:rPr>
        <w:t>15</w:t>
      </w:r>
      <w:r w:rsidRPr="00A81361">
        <w:rPr>
          <w:rFonts w:asciiTheme="minorHAnsi" w:hAnsiTheme="minorHAnsi" w:cstheme="minorHAnsi"/>
          <w:lang w:val="en-GB"/>
        </w:rPr>
        <w:t xml:space="preserve"> and 201</w:t>
      </w:r>
      <w:r w:rsidR="00C13DB4" w:rsidRPr="00A81361">
        <w:rPr>
          <w:rFonts w:asciiTheme="minorHAnsi" w:hAnsiTheme="minorHAnsi" w:cstheme="minorHAnsi"/>
          <w:lang w:val="en-GB"/>
        </w:rPr>
        <w:t>6</w:t>
      </w:r>
      <w:r w:rsidRPr="00A81361">
        <w:rPr>
          <w:rFonts w:asciiTheme="minorHAnsi" w:hAnsiTheme="minorHAnsi" w:cstheme="minorHAnsi"/>
          <w:lang w:val="en-GB"/>
        </w:rPr>
        <w:t xml:space="preserve"> divided by the age- and sex-specific population</w:t>
      </w:r>
      <w:r w:rsidR="00C13DB4" w:rsidRPr="00A81361">
        <w:rPr>
          <w:rFonts w:asciiTheme="minorHAnsi" w:hAnsiTheme="minorHAnsi" w:cstheme="minorHAnsi"/>
          <w:lang w:val="en-GB"/>
        </w:rPr>
        <w:t xml:space="preserve"> at risk</w:t>
      </w:r>
      <w:r w:rsidR="00084D6F" w:rsidRPr="00A81361">
        <w:rPr>
          <w:rFonts w:asciiTheme="minorHAnsi" w:hAnsiTheme="minorHAnsi" w:cstheme="minorHAnsi"/>
          <w:lang w:val="en-GB"/>
        </w:rPr>
        <w:t>.</w:t>
      </w:r>
      <w:r w:rsidR="009232E7" w:rsidRPr="00A81361">
        <w:rPr>
          <w:rFonts w:asciiTheme="minorHAnsi" w:hAnsiTheme="minorHAnsi" w:cstheme="minorHAnsi"/>
          <w:lang w:val="en-GB"/>
        </w:rPr>
        <w:t xml:space="preserve">  In the case of hip fracture</w:t>
      </w:r>
      <w:r w:rsidR="00F971A8" w:rsidRPr="00A81361">
        <w:rPr>
          <w:rFonts w:asciiTheme="minorHAnsi" w:hAnsiTheme="minorHAnsi" w:cstheme="minorHAnsi"/>
          <w:lang w:val="en-GB"/>
        </w:rPr>
        <w:t>, the prospective study identified</w:t>
      </w:r>
      <w:r w:rsidR="00AB7E9C" w:rsidRPr="00A81361">
        <w:rPr>
          <w:rFonts w:asciiTheme="minorHAnsi" w:hAnsiTheme="minorHAnsi" w:cstheme="minorHAnsi"/>
          <w:lang w:val="en-GB"/>
        </w:rPr>
        <w:t xml:space="preserve"> more men and women</w:t>
      </w:r>
      <w:r w:rsidR="00235002" w:rsidRPr="00A81361">
        <w:rPr>
          <w:rFonts w:asciiTheme="minorHAnsi" w:hAnsiTheme="minorHAnsi" w:cstheme="minorHAnsi"/>
          <w:lang w:val="en-GB"/>
        </w:rPr>
        <w:t xml:space="preserve"> than</w:t>
      </w:r>
      <w:r w:rsidR="006E012A" w:rsidRPr="00A81361">
        <w:rPr>
          <w:rFonts w:asciiTheme="minorHAnsi" w:hAnsiTheme="minorHAnsi" w:cstheme="minorHAnsi"/>
          <w:lang w:val="en-GB"/>
        </w:rPr>
        <w:t xml:space="preserve"> the retrospective surveys of </w:t>
      </w:r>
      <w:r w:rsidR="009E08DF" w:rsidRPr="00A81361">
        <w:rPr>
          <w:rFonts w:asciiTheme="minorHAnsi" w:hAnsiTheme="minorHAnsi" w:cstheme="minorHAnsi"/>
          <w:lang w:val="en-GB"/>
        </w:rPr>
        <w:t>2015 and 2016.</w:t>
      </w:r>
      <w:r w:rsidR="00E15AC2" w:rsidRPr="00A81361">
        <w:rPr>
          <w:rFonts w:asciiTheme="minorHAnsi" w:hAnsiTheme="minorHAnsi" w:cstheme="minorHAnsi"/>
          <w:lang w:val="en-GB"/>
        </w:rPr>
        <w:t xml:space="preserve">  For </w:t>
      </w:r>
      <w:r w:rsidR="009938C7" w:rsidRPr="00A81361">
        <w:rPr>
          <w:rFonts w:asciiTheme="minorHAnsi" w:hAnsiTheme="minorHAnsi" w:cstheme="minorHAnsi"/>
          <w:lang w:val="en-GB"/>
        </w:rPr>
        <w:t>example, 65 hip fracture cases were i</w:t>
      </w:r>
      <w:r w:rsidR="003174F6" w:rsidRPr="00A81361">
        <w:rPr>
          <w:rFonts w:asciiTheme="minorHAnsi" w:hAnsiTheme="minorHAnsi" w:cstheme="minorHAnsi"/>
          <w:lang w:val="en-GB"/>
        </w:rPr>
        <w:t>d</w:t>
      </w:r>
      <w:r w:rsidR="009938C7" w:rsidRPr="00A81361">
        <w:rPr>
          <w:rFonts w:asciiTheme="minorHAnsi" w:hAnsiTheme="minorHAnsi" w:cstheme="minorHAnsi"/>
          <w:lang w:val="en-GB"/>
        </w:rPr>
        <w:t>entified</w:t>
      </w:r>
      <w:r w:rsidR="00223358" w:rsidRPr="00A81361">
        <w:rPr>
          <w:rFonts w:asciiTheme="minorHAnsi" w:hAnsiTheme="minorHAnsi" w:cstheme="minorHAnsi"/>
          <w:lang w:val="en-GB"/>
        </w:rPr>
        <w:t xml:space="preserve"> in women</w:t>
      </w:r>
      <w:r w:rsidR="003174F6" w:rsidRPr="00A81361">
        <w:rPr>
          <w:rFonts w:asciiTheme="minorHAnsi" w:hAnsiTheme="minorHAnsi" w:cstheme="minorHAnsi"/>
          <w:lang w:val="en-GB"/>
        </w:rPr>
        <w:t xml:space="preserve"> in 2015 and 65 in 2016.  In contrast</w:t>
      </w:r>
      <w:r w:rsidR="00292D94" w:rsidRPr="00A81361">
        <w:rPr>
          <w:rFonts w:asciiTheme="minorHAnsi" w:hAnsiTheme="minorHAnsi" w:cstheme="minorHAnsi"/>
          <w:lang w:val="en-GB"/>
        </w:rPr>
        <w:t xml:space="preserve">, </w:t>
      </w:r>
      <w:r w:rsidR="00354A17" w:rsidRPr="00A81361">
        <w:rPr>
          <w:rFonts w:asciiTheme="minorHAnsi" w:hAnsiTheme="minorHAnsi" w:cstheme="minorHAnsi"/>
          <w:lang w:val="en-GB"/>
        </w:rPr>
        <w:t>an additional 19</w:t>
      </w:r>
      <w:r w:rsidR="00292D94" w:rsidRPr="00A81361">
        <w:rPr>
          <w:rFonts w:asciiTheme="minorHAnsi" w:hAnsiTheme="minorHAnsi" w:cstheme="minorHAnsi"/>
          <w:lang w:val="en-GB"/>
        </w:rPr>
        <w:t xml:space="preserve"> fractures </w:t>
      </w:r>
      <w:r w:rsidR="00035E91" w:rsidRPr="00A81361">
        <w:rPr>
          <w:rFonts w:asciiTheme="minorHAnsi" w:hAnsiTheme="minorHAnsi" w:cstheme="minorHAnsi"/>
          <w:lang w:val="en-GB"/>
        </w:rPr>
        <w:t>w</w:t>
      </w:r>
      <w:r w:rsidR="00292D94" w:rsidRPr="00A81361">
        <w:rPr>
          <w:rFonts w:asciiTheme="minorHAnsi" w:hAnsiTheme="minorHAnsi" w:cstheme="minorHAnsi"/>
          <w:lang w:val="en-GB"/>
        </w:rPr>
        <w:t>ere identified in 20</w:t>
      </w:r>
      <w:r w:rsidR="00035E91" w:rsidRPr="00A81361">
        <w:rPr>
          <w:rFonts w:asciiTheme="minorHAnsi" w:hAnsiTheme="minorHAnsi" w:cstheme="minorHAnsi"/>
          <w:lang w:val="en-GB"/>
        </w:rPr>
        <w:t>17</w:t>
      </w:r>
      <w:r w:rsidR="00C71B4F">
        <w:rPr>
          <w:rFonts w:asciiTheme="minorHAnsi" w:hAnsiTheme="minorHAnsi" w:cstheme="minorHAnsi"/>
          <w:lang w:val="en-GB"/>
        </w:rPr>
        <w:t xml:space="preserve"> (i.e. a total of </w:t>
      </w:r>
      <w:r w:rsidR="00BE24A1">
        <w:rPr>
          <w:rFonts w:asciiTheme="minorHAnsi" w:hAnsiTheme="minorHAnsi" w:cstheme="minorHAnsi"/>
          <w:lang w:val="en-GB"/>
        </w:rPr>
        <w:t>84 hip fractures)</w:t>
      </w:r>
      <w:r w:rsidR="00035E91" w:rsidRPr="00A81361">
        <w:rPr>
          <w:rFonts w:asciiTheme="minorHAnsi" w:hAnsiTheme="minorHAnsi" w:cstheme="minorHAnsi"/>
          <w:lang w:val="en-GB"/>
        </w:rPr>
        <w:t>.  We assumed that</w:t>
      </w:r>
      <w:r w:rsidR="00611B2C" w:rsidRPr="00A81361">
        <w:rPr>
          <w:rFonts w:asciiTheme="minorHAnsi" w:hAnsiTheme="minorHAnsi" w:cstheme="minorHAnsi"/>
          <w:lang w:val="en-GB"/>
        </w:rPr>
        <w:t xml:space="preserve"> a similar number of fractures </w:t>
      </w:r>
      <w:r w:rsidR="00E407BE">
        <w:rPr>
          <w:rFonts w:asciiTheme="minorHAnsi" w:hAnsiTheme="minorHAnsi" w:cstheme="minorHAnsi"/>
          <w:lang w:val="en-GB"/>
        </w:rPr>
        <w:t xml:space="preserve">(19) </w:t>
      </w:r>
      <w:r w:rsidR="00354A17" w:rsidRPr="00A81361">
        <w:rPr>
          <w:rFonts w:asciiTheme="minorHAnsi" w:hAnsiTheme="minorHAnsi" w:cstheme="minorHAnsi"/>
          <w:lang w:val="en-GB"/>
        </w:rPr>
        <w:t>had been</w:t>
      </w:r>
      <w:r w:rsidR="00611B2C" w:rsidRPr="00A81361">
        <w:rPr>
          <w:rFonts w:asciiTheme="minorHAnsi" w:hAnsiTheme="minorHAnsi" w:cstheme="minorHAnsi"/>
          <w:lang w:val="en-GB"/>
        </w:rPr>
        <w:t xml:space="preserve"> missed in </w:t>
      </w:r>
      <w:r w:rsidR="004C3A40" w:rsidRPr="00A81361">
        <w:rPr>
          <w:rFonts w:asciiTheme="minorHAnsi" w:hAnsiTheme="minorHAnsi" w:cstheme="minorHAnsi"/>
          <w:lang w:val="en-GB"/>
        </w:rPr>
        <w:t xml:space="preserve">2015 and 2016 and uplifted the </w:t>
      </w:r>
      <w:r w:rsidR="00375ED7" w:rsidRPr="00A81361">
        <w:rPr>
          <w:rFonts w:asciiTheme="minorHAnsi" w:hAnsiTheme="minorHAnsi" w:cstheme="minorHAnsi"/>
          <w:lang w:val="en-GB"/>
        </w:rPr>
        <w:t xml:space="preserve">incidence rates </w:t>
      </w:r>
      <w:r w:rsidR="008469F6" w:rsidRPr="00A81361">
        <w:rPr>
          <w:rFonts w:asciiTheme="minorHAnsi" w:hAnsiTheme="minorHAnsi" w:cstheme="minorHAnsi"/>
          <w:lang w:val="en-GB"/>
        </w:rPr>
        <w:t xml:space="preserve">in these years </w:t>
      </w:r>
      <w:r w:rsidR="00375ED7" w:rsidRPr="00A81361">
        <w:rPr>
          <w:rFonts w:asciiTheme="minorHAnsi" w:hAnsiTheme="minorHAnsi" w:cstheme="minorHAnsi"/>
          <w:lang w:val="en-GB"/>
        </w:rPr>
        <w:t>by 29%</w:t>
      </w:r>
      <w:r w:rsidR="003174F6" w:rsidRPr="00A81361">
        <w:rPr>
          <w:rFonts w:asciiTheme="minorHAnsi" w:hAnsiTheme="minorHAnsi" w:cstheme="minorHAnsi"/>
          <w:lang w:val="en-GB"/>
        </w:rPr>
        <w:t xml:space="preserve"> </w:t>
      </w:r>
      <w:r w:rsidR="00551E7D" w:rsidRPr="00A81361">
        <w:rPr>
          <w:rFonts w:asciiTheme="minorHAnsi" w:hAnsiTheme="minorHAnsi" w:cstheme="minorHAnsi"/>
          <w:lang w:val="en-GB"/>
        </w:rPr>
        <w:t>(</w:t>
      </w:r>
      <w:r w:rsidR="00976382" w:rsidRPr="00A81361">
        <w:rPr>
          <w:rFonts w:asciiTheme="minorHAnsi" w:hAnsiTheme="minorHAnsi" w:cstheme="minorHAnsi"/>
          <w:lang w:val="en-GB"/>
        </w:rPr>
        <w:t>(65+19</w:t>
      </w:r>
      <w:r w:rsidR="004E5039" w:rsidRPr="00A81361">
        <w:rPr>
          <w:rFonts w:asciiTheme="minorHAnsi" w:hAnsiTheme="minorHAnsi" w:cstheme="minorHAnsi"/>
          <w:lang w:val="en-GB"/>
        </w:rPr>
        <w:t>)/65</w:t>
      </w:r>
      <w:r w:rsidR="008469F6" w:rsidRPr="00A81361">
        <w:rPr>
          <w:rFonts w:asciiTheme="minorHAnsi" w:hAnsiTheme="minorHAnsi" w:cstheme="minorHAnsi"/>
          <w:lang w:val="en-GB"/>
        </w:rPr>
        <w:t xml:space="preserve">).  In the </w:t>
      </w:r>
      <w:r w:rsidR="004B1461" w:rsidRPr="00A81361">
        <w:rPr>
          <w:rFonts w:asciiTheme="minorHAnsi" w:hAnsiTheme="minorHAnsi" w:cstheme="minorHAnsi"/>
          <w:lang w:val="en-GB"/>
        </w:rPr>
        <w:t>case of men, the incidence was upward revi</w:t>
      </w:r>
      <w:r w:rsidR="00183EFC" w:rsidRPr="00A81361">
        <w:rPr>
          <w:rFonts w:asciiTheme="minorHAnsi" w:hAnsiTheme="minorHAnsi" w:cstheme="minorHAnsi"/>
          <w:lang w:val="en-GB"/>
        </w:rPr>
        <w:t>sed by 8%.</w:t>
      </w:r>
    </w:p>
    <w:p w14:paraId="11F9CE6C" w14:textId="3770C4D9" w:rsidR="00084D6F" w:rsidRPr="00A81361" w:rsidRDefault="00084D6F" w:rsidP="002A3B9D">
      <w:pPr>
        <w:spacing w:line="276" w:lineRule="auto"/>
        <w:ind w:left="567" w:right="1133"/>
        <w:rPr>
          <w:rFonts w:asciiTheme="minorHAnsi" w:hAnsiTheme="minorHAnsi" w:cstheme="minorHAnsi"/>
          <w:highlight w:val="yellow"/>
          <w:lang w:val="en-GB"/>
        </w:rPr>
      </w:pPr>
    </w:p>
    <w:p w14:paraId="7C3C9AD6" w14:textId="63C1C69F" w:rsidR="00084D6F" w:rsidRPr="004F08A9" w:rsidRDefault="00084D6F" w:rsidP="003C1FDD">
      <w:pPr>
        <w:spacing w:line="276" w:lineRule="auto"/>
        <w:ind w:left="567" w:right="1133"/>
        <w:rPr>
          <w:rFonts w:asciiTheme="minorHAnsi" w:hAnsiTheme="minorHAnsi" w:cstheme="minorHAnsi"/>
          <w:lang w:val="en-GB"/>
        </w:rPr>
      </w:pPr>
      <w:r w:rsidRPr="00B03133">
        <w:rPr>
          <w:rFonts w:asciiTheme="minorHAnsi" w:hAnsiTheme="minorHAnsi" w:cstheme="minorHAnsi"/>
          <w:lang w:val="en-GB"/>
        </w:rPr>
        <w:t xml:space="preserve">The </w:t>
      </w:r>
      <w:r w:rsidR="004E5B60">
        <w:rPr>
          <w:rFonts w:asciiTheme="minorHAnsi" w:hAnsiTheme="minorHAnsi" w:cstheme="minorHAnsi"/>
          <w:lang w:val="en-GB"/>
        </w:rPr>
        <w:t>ad</w:t>
      </w:r>
      <w:r w:rsidR="00C925F0">
        <w:rPr>
          <w:rFonts w:asciiTheme="minorHAnsi" w:hAnsiTheme="minorHAnsi" w:cstheme="minorHAnsi"/>
          <w:lang w:val="en-GB"/>
        </w:rPr>
        <w:t xml:space="preserve">justed </w:t>
      </w:r>
      <w:r w:rsidRPr="00B03133">
        <w:rPr>
          <w:rFonts w:asciiTheme="minorHAnsi" w:hAnsiTheme="minorHAnsi" w:cstheme="minorHAnsi"/>
          <w:lang w:val="en-GB"/>
        </w:rPr>
        <w:t xml:space="preserve">age and sex-specific incidence in </w:t>
      </w:r>
      <w:r w:rsidRPr="004F08A9">
        <w:rPr>
          <w:rFonts w:asciiTheme="minorHAnsi" w:hAnsiTheme="minorHAnsi" w:cstheme="minorHAnsi"/>
          <w:lang w:val="en-GB"/>
        </w:rPr>
        <w:t>201</w:t>
      </w:r>
      <w:r w:rsidR="001302D4" w:rsidRPr="004F08A9">
        <w:rPr>
          <w:rFonts w:asciiTheme="minorHAnsi" w:hAnsiTheme="minorHAnsi" w:cstheme="minorHAnsi"/>
          <w:lang w:val="en-GB"/>
        </w:rPr>
        <w:t>5</w:t>
      </w:r>
      <w:r w:rsidR="005E5EA4" w:rsidRPr="004F08A9">
        <w:rPr>
          <w:rFonts w:asciiTheme="minorHAnsi" w:hAnsiTheme="minorHAnsi" w:cstheme="minorHAnsi"/>
          <w:lang w:val="en-GB"/>
        </w:rPr>
        <w:t>-17</w:t>
      </w:r>
      <w:r w:rsidRPr="004F08A9">
        <w:rPr>
          <w:rFonts w:asciiTheme="minorHAnsi" w:hAnsiTheme="minorHAnsi" w:cstheme="minorHAnsi"/>
          <w:lang w:val="en-GB"/>
        </w:rPr>
        <w:t xml:space="preserve"> was applied to the </w:t>
      </w:r>
      <w:r w:rsidR="00972024" w:rsidRPr="004F08A9">
        <w:rPr>
          <w:rFonts w:asciiTheme="minorHAnsi" w:hAnsiTheme="minorHAnsi" w:cstheme="minorHAnsi"/>
          <w:lang w:val="en-GB"/>
        </w:rPr>
        <w:t>Kazakh</w:t>
      </w:r>
      <w:r w:rsidRPr="004F08A9">
        <w:rPr>
          <w:rFonts w:asciiTheme="minorHAnsi" w:hAnsiTheme="minorHAnsi" w:cstheme="minorHAnsi"/>
          <w:lang w:val="en-GB"/>
        </w:rPr>
        <w:t xml:space="preserve"> population </w:t>
      </w:r>
      <w:r w:rsidR="005E5EA4" w:rsidRPr="004F08A9">
        <w:rPr>
          <w:rFonts w:asciiTheme="minorHAnsi" w:hAnsiTheme="minorHAnsi" w:cstheme="minorHAnsi"/>
          <w:lang w:val="en-GB"/>
        </w:rPr>
        <w:t>in</w:t>
      </w:r>
      <w:r w:rsidRPr="004F08A9">
        <w:rPr>
          <w:rFonts w:asciiTheme="minorHAnsi" w:hAnsiTheme="minorHAnsi" w:cstheme="minorHAnsi"/>
          <w:lang w:val="en-GB"/>
        </w:rPr>
        <w:t xml:space="preserve"> 2015 to estimate the number of hip fractures nationwide.  Additionally, future projections were estimated </w:t>
      </w:r>
      <w:r w:rsidR="00372D33" w:rsidRPr="004F08A9">
        <w:rPr>
          <w:rFonts w:asciiTheme="minorHAnsi" w:hAnsiTheme="minorHAnsi" w:cstheme="minorHAnsi"/>
          <w:lang w:val="en-GB"/>
        </w:rPr>
        <w:t xml:space="preserve">up to 2050 </w:t>
      </w:r>
      <w:r w:rsidRPr="004F08A9">
        <w:rPr>
          <w:rFonts w:asciiTheme="minorHAnsi" w:hAnsiTheme="minorHAnsi" w:cstheme="minorHAnsi"/>
          <w:lang w:val="en-GB"/>
        </w:rPr>
        <w:t>assuming that the age- and sex-s</w:t>
      </w:r>
      <w:r w:rsidR="00372D33" w:rsidRPr="004F08A9">
        <w:rPr>
          <w:rFonts w:asciiTheme="minorHAnsi" w:hAnsiTheme="minorHAnsi" w:cstheme="minorHAnsi"/>
          <w:lang w:val="en-GB"/>
        </w:rPr>
        <w:t>p</w:t>
      </w:r>
      <w:r w:rsidRPr="004F08A9">
        <w:rPr>
          <w:rFonts w:asciiTheme="minorHAnsi" w:hAnsiTheme="minorHAnsi" w:cstheme="minorHAnsi"/>
          <w:lang w:val="en-GB"/>
        </w:rPr>
        <w:t>ecific incidence remained stable</w:t>
      </w:r>
      <w:r w:rsidR="00372D33" w:rsidRPr="004F08A9">
        <w:rPr>
          <w:rFonts w:asciiTheme="minorHAnsi" w:hAnsiTheme="minorHAnsi" w:cstheme="minorHAnsi"/>
          <w:lang w:val="en-GB"/>
        </w:rPr>
        <w:t>.  Population demography was taken from the United Nations using the medium variant for fertility [</w:t>
      </w:r>
      <w:r w:rsidR="008C496A" w:rsidRPr="004F08A9">
        <w:rPr>
          <w:rFonts w:asciiTheme="minorHAnsi" w:hAnsiTheme="minorHAnsi" w:cstheme="minorHAnsi"/>
          <w:lang w:val="en-GB"/>
        </w:rPr>
        <w:t>15</w:t>
      </w:r>
      <w:r w:rsidR="00372D33" w:rsidRPr="004F08A9">
        <w:rPr>
          <w:rFonts w:asciiTheme="minorHAnsi" w:hAnsiTheme="minorHAnsi" w:cstheme="minorHAnsi"/>
          <w:lang w:val="en-GB"/>
        </w:rPr>
        <w:t>].</w:t>
      </w:r>
      <w:r w:rsidRPr="004F08A9">
        <w:rPr>
          <w:rFonts w:asciiTheme="minorHAnsi" w:hAnsiTheme="minorHAnsi" w:cstheme="minorHAnsi"/>
          <w:lang w:val="en-GB"/>
        </w:rPr>
        <w:t xml:space="preserve"> </w:t>
      </w:r>
    </w:p>
    <w:p w14:paraId="02FF318E" w14:textId="77777777" w:rsidR="00E254B2" w:rsidRPr="004F08A9" w:rsidRDefault="00E254B2" w:rsidP="00C11242">
      <w:pPr>
        <w:spacing w:line="276" w:lineRule="auto"/>
        <w:ind w:left="567" w:right="1133"/>
        <w:rPr>
          <w:rFonts w:asciiTheme="minorHAnsi" w:hAnsiTheme="minorHAnsi" w:cstheme="minorHAnsi"/>
          <w:lang w:val="en-GB"/>
        </w:rPr>
      </w:pPr>
    </w:p>
    <w:p w14:paraId="6B3E3AD9" w14:textId="44DDC790" w:rsidR="00EB17A2" w:rsidRPr="00312CB6" w:rsidRDefault="00084D6F" w:rsidP="006D2317">
      <w:pPr>
        <w:spacing w:line="276" w:lineRule="auto"/>
        <w:ind w:left="567" w:right="1133"/>
        <w:rPr>
          <w:rFonts w:asciiTheme="minorHAnsi" w:eastAsiaTheme="minorHAnsi" w:hAnsiTheme="minorHAnsi" w:cs="AdvTT3713a231"/>
          <w:color w:val="131413"/>
          <w:lang w:val="en-GB" w:eastAsia="en-US"/>
        </w:rPr>
      </w:pPr>
      <w:r w:rsidRPr="004F08A9">
        <w:rPr>
          <w:rFonts w:asciiTheme="minorHAnsi" w:hAnsiTheme="minorHAnsi" w:cstheme="minorHAnsi"/>
          <w:lang w:val="en-GB"/>
        </w:rPr>
        <w:t xml:space="preserve">The </w:t>
      </w:r>
      <w:r w:rsidR="008A2280">
        <w:rPr>
          <w:rFonts w:asciiTheme="minorHAnsi" w:hAnsiTheme="minorHAnsi" w:cstheme="minorHAnsi"/>
          <w:lang w:val="en-GB"/>
        </w:rPr>
        <w:t xml:space="preserve">adjusted </w:t>
      </w:r>
      <w:r w:rsidRPr="004F08A9">
        <w:rPr>
          <w:rFonts w:asciiTheme="minorHAnsi" w:hAnsiTheme="minorHAnsi" w:cstheme="minorHAnsi"/>
          <w:lang w:val="en-GB"/>
        </w:rPr>
        <w:t>data on hip fracture</w:t>
      </w:r>
      <w:r w:rsidR="00F94319" w:rsidRPr="004F08A9">
        <w:rPr>
          <w:rFonts w:asciiTheme="minorHAnsi" w:hAnsiTheme="minorHAnsi" w:cstheme="minorHAnsi"/>
          <w:lang w:val="en-GB"/>
        </w:rPr>
        <w:t xml:space="preserve"> </w:t>
      </w:r>
      <w:r w:rsidRPr="004F08A9">
        <w:rPr>
          <w:rFonts w:asciiTheme="minorHAnsi" w:hAnsiTheme="minorHAnsi" w:cstheme="minorHAnsi"/>
          <w:lang w:val="en-GB"/>
        </w:rPr>
        <w:t>were used to construct the FRAX model.</w:t>
      </w:r>
      <w:r w:rsidR="00372D33" w:rsidRPr="004F08A9">
        <w:rPr>
          <w:rFonts w:asciiTheme="minorHAnsi" w:hAnsiTheme="minorHAnsi" w:cstheme="minorHAnsi"/>
          <w:lang w:val="en-GB"/>
        </w:rPr>
        <w:t xml:space="preserve">  For other major osteoporotic fractures (clinical spine, forearm and humeral fractures) it was assumed that the age- and </w:t>
      </w:r>
      <w:r w:rsidR="006450FB" w:rsidRPr="004F08A9">
        <w:rPr>
          <w:rFonts w:asciiTheme="minorHAnsi" w:hAnsiTheme="minorHAnsi" w:cstheme="minorHAnsi"/>
          <w:lang w:val="en-GB"/>
        </w:rPr>
        <w:t>sex-</w:t>
      </w:r>
      <w:r w:rsidR="00372D33" w:rsidRPr="004F08A9">
        <w:rPr>
          <w:rFonts w:asciiTheme="minorHAnsi" w:hAnsiTheme="minorHAnsi" w:cstheme="minorHAnsi"/>
          <w:lang w:val="en-GB"/>
        </w:rPr>
        <w:t xml:space="preserve">specific ratios </w:t>
      </w:r>
      <w:r w:rsidR="006450FB" w:rsidRPr="004F08A9">
        <w:rPr>
          <w:rFonts w:asciiTheme="minorHAnsi" w:hAnsiTheme="minorHAnsi" w:cstheme="minorHAnsi"/>
          <w:lang w:val="en-GB"/>
        </w:rPr>
        <w:t xml:space="preserve">of </w:t>
      </w:r>
      <w:r w:rsidR="005C699D" w:rsidRPr="004F08A9">
        <w:rPr>
          <w:rFonts w:asciiTheme="minorHAnsi" w:hAnsiTheme="minorHAnsi" w:cstheme="minorHAnsi"/>
          <w:lang w:val="en-GB"/>
        </w:rPr>
        <w:t xml:space="preserve">these fractures to hip fracture risk </w:t>
      </w:r>
      <w:r w:rsidR="00372D33" w:rsidRPr="004F08A9">
        <w:rPr>
          <w:rFonts w:asciiTheme="minorHAnsi" w:hAnsiTheme="minorHAnsi" w:cstheme="minorHAnsi"/>
          <w:lang w:val="en-GB"/>
        </w:rPr>
        <w:t xml:space="preserve">found in Sweden were comparable to those in </w:t>
      </w:r>
      <w:bookmarkStart w:id="7" w:name="_Hlk10455007"/>
      <w:r w:rsidR="00E80C2A" w:rsidRPr="004F08A9">
        <w:rPr>
          <w:rFonts w:asciiTheme="minorHAnsi" w:hAnsiTheme="minorHAnsi" w:cstheme="minorHAnsi"/>
          <w:lang w:val="en-GB"/>
        </w:rPr>
        <w:t>Kazakhstan</w:t>
      </w:r>
      <w:bookmarkEnd w:id="7"/>
      <w:r w:rsidR="00372D33" w:rsidRPr="004F08A9">
        <w:rPr>
          <w:rFonts w:asciiTheme="minorHAnsi" w:hAnsiTheme="minorHAnsi" w:cstheme="minorHAnsi"/>
          <w:lang w:val="en-GB"/>
        </w:rPr>
        <w:t>. This assumption has been used for many of the FRAX models with incomplete epidemiological information</w:t>
      </w:r>
      <w:r w:rsidR="00A0746A" w:rsidRPr="004F08A9">
        <w:rPr>
          <w:rFonts w:asciiTheme="minorHAnsi" w:hAnsiTheme="minorHAnsi" w:cstheme="minorHAnsi"/>
          <w:lang w:val="en-GB"/>
        </w:rPr>
        <w:t xml:space="preserve">. </w:t>
      </w:r>
      <w:r w:rsidR="00F94319" w:rsidRPr="004F08A9">
        <w:rPr>
          <w:rFonts w:asciiTheme="minorHAnsi" w:hAnsiTheme="minorHAnsi" w:cstheme="minorHAnsi"/>
          <w:lang w:val="en-GB"/>
        </w:rPr>
        <w:t xml:space="preserve">Available information suggests that the age- and </w:t>
      </w:r>
      <w:r w:rsidR="006450FB" w:rsidRPr="004F08A9">
        <w:rPr>
          <w:rFonts w:asciiTheme="minorHAnsi" w:hAnsiTheme="minorHAnsi" w:cstheme="minorHAnsi"/>
          <w:lang w:val="en-GB"/>
        </w:rPr>
        <w:t>sex-</w:t>
      </w:r>
      <w:r w:rsidR="00F94319" w:rsidRPr="004F08A9">
        <w:rPr>
          <w:rFonts w:asciiTheme="minorHAnsi" w:hAnsiTheme="minorHAnsi" w:cstheme="minorHAnsi"/>
          <w:lang w:val="en-GB"/>
        </w:rPr>
        <w:t xml:space="preserve">stratified pattern of fracture is very similar in the Western </w:t>
      </w:r>
      <w:r w:rsidR="006C34D8" w:rsidRPr="004F08A9">
        <w:rPr>
          <w:rFonts w:asciiTheme="minorHAnsi" w:hAnsiTheme="minorHAnsi" w:cstheme="minorHAnsi"/>
          <w:lang w:val="en-GB"/>
        </w:rPr>
        <w:t>world</w:t>
      </w:r>
      <w:r w:rsidR="006C34D8">
        <w:rPr>
          <w:rFonts w:asciiTheme="minorHAnsi" w:hAnsiTheme="minorHAnsi" w:cstheme="minorHAnsi"/>
          <w:lang w:val="en-GB"/>
        </w:rPr>
        <w:t xml:space="preserve">, </w:t>
      </w:r>
      <w:r w:rsidR="006C34D8" w:rsidRPr="004F08A9">
        <w:rPr>
          <w:rFonts w:asciiTheme="minorHAnsi" w:hAnsiTheme="minorHAnsi" w:cstheme="minorHAnsi"/>
          <w:lang w:val="en-GB"/>
        </w:rPr>
        <w:t>Australia</w:t>
      </w:r>
      <w:r w:rsidR="00A0746A" w:rsidRPr="004F08A9">
        <w:rPr>
          <w:rFonts w:asciiTheme="minorHAnsi" w:hAnsiTheme="minorHAnsi" w:cstheme="minorHAnsi"/>
          <w:lang w:val="en-GB"/>
        </w:rPr>
        <w:t xml:space="preserve"> </w:t>
      </w:r>
      <w:r w:rsidR="00575E86">
        <w:rPr>
          <w:rFonts w:asciiTheme="minorHAnsi" w:hAnsiTheme="minorHAnsi" w:cstheme="minorHAnsi"/>
          <w:lang w:val="en-GB"/>
        </w:rPr>
        <w:t xml:space="preserve">and </w:t>
      </w:r>
      <w:r w:rsidR="00721069">
        <w:rPr>
          <w:rFonts w:asciiTheme="minorHAnsi" w:hAnsiTheme="minorHAnsi" w:cstheme="minorHAnsi"/>
          <w:lang w:val="en-GB"/>
        </w:rPr>
        <w:t xml:space="preserve">Eastern Europe </w:t>
      </w:r>
      <w:r w:rsidR="00A0746A" w:rsidRPr="004F08A9">
        <w:rPr>
          <w:rFonts w:asciiTheme="minorHAnsi" w:hAnsiTheme="minorHAnsi" w:cstheme="minorHAnsi"/>
          <w:lang w:val="en-GB"/>
        </w:rPr>
        <w:t>[</w:t>
      </w:r>
      <w:r w:rsidR="000002E1" w:rsidRPr="004F08A9">
        <w:rPr>
          <w:rFonts w:asciiTheme="minorHAnsi" w:hAnsiTheme="minorHAnsi" w:cstheme="minorHAnsi"/>
          <w:lang w:val="en-GB"/>
        </w:rPr>
        <w:t>16</w:t>
      </w:r>
      <w:r w:rsidR="000E0E43" w:rsidRPr="004F08A9">
        <w:rPr>
          <w:rFonts w:asciiTheme="minorHAnsi" w:hAnsiTheme="minorHAnsi" w:cstheme="minorHAnsi"/>
          <w:lang w:val="en-GB"/>
        </w:rPr>
        <w:t xml:space="preserve">, </w:t>
      </w:r>
      <w:r w:rsidR="00DC7E4D" w:rsidRPr="004F08A9">
        <w:rPr>
          <w:rFonts w:asciiTheme="minorHAnsi" w:hAnsiTheme="minorHAnsi" w:cstheme="minorHAnsi"/>
          <w:lang w:val="en-GB"/>
        </w:rPr>
        <w:t>1</w:t>
      </w:r>
      <w:r w:rsidR="00141D9F" w:rsidRPr="004F08A9">
        <w:rPr>
          <w:rFonts w:asciiTheme="minorHAnsi" w:hAnsiTheme="minorHAnsi" w:cstheme="minorHAnsi"/>
          <w:lang w:val="en-GB"/>
        </w:rPr>
        <w:t>7</w:t>
      </w:r>
      <w:r w:rsidR="00DC7E4D" w:rsidRPr="004F08A9">
        <w:rPr>
          <w:rFonts w:asciiTheme="minorHAnsi" w:hAnsiTheme="minorHAnsi" w:cstheme="minorHAnsi"/>
          <w:lang w:val="en-GB"/>
        </w:rPr>
        <w:t>,</w:t>
      </w:r>
      <w:r w:rsidR="00ED587C" w:rsidRPr="004F08A9">
        <w:rPr>
          <w:rFonts w:asciiTheme="minorHAnsi" w:hAnsiTheme="minorHAnsi" w:cstheme="minorHAnsi"/>
          <w:lang w:val="en-GB"/>
        </w:rPr>
        <w:t xml:space="preserve"> </w:t>
      </w:r>
      <w:r w:rsidR="00492893" w:rsidRPr="004F08A9">
        <w:rPr>
          <w:rFonts w:asciiTheme="minorHAnsi" w:hAnsiTheme="minorHAnsi" w:cstheme="minorHAnsi"/>
          <w:lang w:val="en-GB"/>
        </w:rPr>
        <w:t>1</w:t>
      </w:r>
      <w:r w:rsidR="00D01680" w:rsidRPr="004F08A9">
        <w:rPr>
          <w:rFonts w:asciiTheme="minorHAnsi" w:hAnsiTheme="minorHAnsi" w:cstheme="minorHAnsi"/>
          <w:lang w:val="en-GB"/>
        </w:rPr>
        <w:t>8</w:t>
      </w:r>
      <w:r w:rsidR="000B2984" w:rsidRPr="004F08A9">
        <w:rPr>
          <w:rFonts w:asciiTheme="minorHAnsi" w:hAnsiTheme="minorHAnsi" w:cstheme="minorHAnsi"/>
          <w:lang w:val="en-GB"/>
        </w:rPr>
        <w:t xml:space="preserve">, </w:t>
      </w:r>
      <w:r w:rsidR="00300304" w:rsidRPr="004F08A9">
        <w:rPr>
          <w:rFonts w:asciiTheme="minorHAnsi" w:hAnsiTheme="minorHAnsi" w:cstheme="minorHAnsi"/>
          <w:lang w:val="en-GB"/>
        </w:rPr>
        <w:t>12</w:t>
      </w:r>
      <w:r w:rsidR="00A0746A" w:rsidRPr="004F08A9">
        <w:rPr>
          <w:rFonts w:asciiTheme="minorHAnsi" w:hAnsiTheme="minorHAnsi" w:cstheme="minorHAnsi"/>
          <w:lang w:val="en-GB"/>
        </w:rPr>
        <w:t>]</w:t>
      </w:r>
      <w:r w:rsidR="00F60F1E" w:rsidRPr="004F08A9">
        <w:rPr>
          <w:rFonts w:asciiTheme="minorHAnsi" w:hAnsiTheme="minorHAnsi" w:cstheme="minorHAnsi"/>
          <w:lang w:val="en-GB"/>
        </w:rPr>
        <w:t xml:space="preserve">. </w:t>
      </w:r>
      <w:r w:rsidR="008D3F5E" w:rsidRPr="004F08A9">
        <w:rPr>
          <w:rFonts w:asciiTheme="minorHAnsi" w:hAnsiTheme="minorHAnsi" w:cstheme="minorHAnsi"/>
          <w:lang w:val="en-GB"/>
        </w:rPr>
        <w:t xml:space="preserve"> In</w:t>
      </w:r>
      <w:r w:rsidR="008D3F5E" w:rsidRPr="000B2984">
        <w:rPr>
          <w:rFonts w:asciiTheme="minorHAnsi" w:hAnsiTheme="minorHAnsi" w:cstheme="minorHAnsi"/>
          <w:lang w:val="en-GB"/>
        </w:rPr>
        <w:t xml:space="preserve"> order to test this</w:t>
      </w:r>
      <w:r w:rsidR="006D2317" w:rsidRPr="000B2984">
        <w:rPr>
          <w:rFonts w:asciiTheme="minorHAnsi" w:hAnsiTheme="minorHAnsi" w:cstheme="minorHAnsi"/>
          <w:lang w:val="en-GB"/>
        </w:rPr>
        <w:t xml:space="preserve"> further,</w:t>
      </w:r>
      <w:r w:rsidR="00F60F1E" w:rsidRPr="000B2984">
        <w:rPr>
          <w:rFonts w:asciiTheme="minorHAnsi" w:hAnsiTheme="minorHAnsi" w:cstheme="minorHAnsi"/>
          <w:lang w:val="en-GB"/>
        </w:rPr>
        <w:t xml:space="preserve"> </w:t>
      </w:r>
      <w:r w:rsidR="00EB17A2" w:rsidRPr="000B2984">
        <w:rPr>
          <w:rFonts w:asciiTheme="minorHAnsi" w:eastAsiaTheme="minorHAnsi" w:hAnsiTheme="minorHAnsi" w:cs="AdvTT3713a231"/>
          <w:color w:val="131413"/>
          <w:lang w:val="en-GB" w:eastAsia="en-US"/>
        </w:rPr>
        <w:t>we compared the incidence</w:t>
      </w:r>
      <w:r w:rsidR="00EB17A2" w:rsidRPr="000B2984">
        <w:rPr>
          <w:rFonts w:ascii="AdvTT3713a231" w:eastAsiaTheme="minorHAnsi" w:hAnsi="AdvTT3713a231" w:cs="AdvTT3713a231"/>
          <w:color w:val="131413"/>
          <w:sz w:val="20"/>
          <w:szCs w:val="20"/>
          <w:lang w:val="en-GB" w:eastAsia="en-US"/>
        </w:rPr>
        <w:t xml:space="preserve"> </w:t>
      </w:r>
      <w:r w:rsidR="00EB17A2" w:rsidRPr="000B2984">
        <w:rPr>
          <w:rFonts w:asciiTheme="minorHAnsi" w:eastAsiaTheme="minorHAnsi" w:hAnsiTheme="minorHAnsi" w:cs="AdvTT3713a231"/>
          <w:color w:val="131413"/>
          <w:lang w:val="en-GB" w:eastAsia="en-US"/>
        </w:rPr>
        <w:t xml:space="preserve">of a </w:t>
      </w:r>
      <w:r w:rsidR="006D2317" w:rsidRPr="000B2984">
        <w:rPr>
          <w:rFonts w:asciiTheme="minorHAnsi" w:eastAsiaTheme="minorHAnsi" w:hAnsiTheme="minorHAnsi" w:cs="AdvTT3713a231"/>
          <w:color w:val="131413"/>
          <w:lang w:val="en-GB" w:eastAsia="en-US"/>
        </w:rPr>
        <w:t>forearm</w:t>
      </w:r>
      <w:r w:rsidR="00EB17A2" w:rsidRPr="000B2984">
        <w:rPr>
          <w:rFonts w:asciiTheme="minorHAnsi" w:eastAsiaTheme="minorHAnsi" w:hAnsiTheme="minorHAnsi" w:cs="AdvTT3713a231"/>
          <w:color w:val="131413"/>
          <w:lang w:val="en-GB" w:eastAsia="en-US"/>
        </w:rPr>
        <w:t xml:space="preserve"> </w:t>
      </w:r>
      <w:r w:rsidR="006D2317" w:rsidRPr="000B2984">
        <w:rPr>
          <w:rFonts w:asciiTheme="minorHAnsi" w:eastAsiaTheme="minorHAnsi" w:hAnsiTheme="minorHAnsi" w:cs="AdvTT3713a231"/>
          <w:color w:val="131413"/>
          <w:lang w:val="en-GB" w:eastAsia="en-US"/>
        </w:rPr>
        <w:t xml:space="preserve">or humeral </w:t>
      </w:r>
      <w:r w:rsidR="00EB17A2" w:rsidRPr="000B2984">
        <w:rPr>
          <w:rFonts w:asciiTheme="minorHAnsi" w:eastAsiaTheme="minorHAnsi" w:hAnsiTheme="minorHAnsi" w:cs="AdvTT3713a231"/>
          <w:color w:val="131413"/>
          <w:lang w:val="en-GB" w:eastAsia="en-US"/>
        </w:rPr>
        <w:t>fracture</w:t>
      </w:r>
      <w:r w:rsidR="006D2317" w:rsidRPr="000B2984">
        <w:rPr>
          <w:rFonts w:asciiTheme="minorHAnsi" w:eastAsiaTheme="minorHAnsi" w:hAnsiTheme="minorHAnsi" w:cs="AdvTT3713a231"/>
          <w:color w:val="131413"/>
          <w:lang w:val="en-GB" w:eastAsia="en-US"/>
        </w:rPr>
        <w:t xml:space="preserve"> </w:t>
      </w:r>
      <w:r w:rsidR="00EB17A2" w:rsidRPr="000B2984">
        <w:rPr>
          <w:rFonts w:asciiTheme="minorHAnsi" w:eastAsiaTheme="minorHAnsi" w:hAnsiTheme="minorHAnsi" w:cs="AdvTT3713a231"/>
          <w:color w:val="131413"/>
          <w:lang w:val="en-GB" w:eastAsia="en-US"/>
        </w:rPr>
        <w:t xml:space="preserve">observed in </w:t>
      </w:r>
      <w:r w:rsidR="00CC180B" w:rsidRPr="00CC180B">
        <w:rPr>
          <w:rFonts w:asciiTheme="minorHAnsi" w:eastAsiaTheme="minorHAnsi" w:hAnsiTheme="minorHAnsi" w:cs="AdvTT3713a231"/>
          <w:color w:val="131413"/>
          <w:lang w:val="en-GB" w:eastAsia="en-US"/>
        </w:rPr>
        <w:t>Kazakhstan</w:t>
      </w:r>
      <w:r w:rsidR="00EB17A2" w:rsidRPr="000B2984">
        <w:rPr>
          <w:rFonts w:asciiTheme="minorHAnsi" w:eastAsiaTheme="minorHAnsi" w:hAnsiTheme="minorHAnsi" w:cs="AdvTT3713a231"/>
          <w:color w:val="131413"/>
          <w:lang w:val="en-GB" w:eastAsia="en-US"/>
        </w:rPr>
        <w:t xml:space="preserve"> with the incidence that</w:t>
      </w:r>
      <w:r w:rsidR="006D2317" w:rsidRPr="000B2984">
        <w:rPr>
          <w:rFonts w:asciiTheme="minorHAnsi" w:eastAsiaTheme="minorHAnsi" w:hAnsiTheme="minorHAnsi" w:cs="AdvTT3713a231"/>
          <w:color w:val="131413"/>
          <w:lang w:val="en-GB" w:eastAsia="en-US"/>
        </w:rPr>
        <w:t xml:space="preserve"> </w:t>
      </w:r>
      <w:r w:rsidR="00EB17A2" w:rsidRPr="000B2984">
        <w:rPr>
          <w:rFonts w:asciiTheme="minorHAnsi" w:eastAsiaTheme="minorHAnsi" w:hAnsiTheme="minorHAnsi" w:cs="AdvTT3713a231"/>
          <w:color w:val="131413"/>
          <w:lang w:val="en-GB" w:eastAsia="en-US"/>
        </w:rPr>
        <w:t>would be predicted</w:t>
      </w:r>
      <w:r w:rsidR="006D2317" w:rsidRPr="000B2984">
        <w:rPr>
          <w:rFonts w:asciiTheme="minorHAnsi" w:eastAsiaTheme="minorHAnsi" w:hAnsiTheme="minorHAnsi" w:cs="AdvTT3713a231"/>
          <w:color w:val="131413"/>
          <w:lang w:val="en-GB" w:eastAsia="en-US"/>
        </w:rPr>
        <w:t xml:space="preserve"> </w:t>
      </w:r>
      <w:r w:rsidR="00EB17A2" w:rsidRPr="000B2984">
        <w:rPr>
          <w:rFonts w:asciiTheme="minorHAnsi" w:eastAsiaTheme="minorHAnsi" w:hAnsiTheme="minorHAnsi" w:cs="AdvTT3713a231"/>
          <w:color w:val="131413"/>
          <w:lang w:val="en-GB" w:eastAsia="en-US"/>
        </w:rPr>
        <w:t>from the pattern of incidence in Malmo applied to the incidence</w:t>
      </w:r>
      <w:r w:rsidR="006D2317" w:rsidRPr="000B2984">
        <w:rPr>
          <w:rFonts w:asciiTheme="minorHAnsi" w:eastAsiaTheme="minorHAnsi" w:hAnsiTheme="minorHAnsi" w:cs="AdvTT3713a231"/>
          <w:color w:val="131413"/>
          <w:lang w:val="en-GB" w:eastAsia="en-US"/>
        </w:rPr>
        <w:t xml:space="preserve"> </w:t>
      </w:r>
      <w:r w:rsidR="00EB17A2" w:rsidRPr="000B2984">
        <w:rPr>
          <w:rFonts w:asciiTheme="minorHAnsi" w:eastAsiaTheme="minorHAnsi" w:hAnsiTheme="minorHAnsi" w:cs="AdvTT3713a231"/>
          <w:color w:val="131413"/>
          <w:lang w:val="en-GB" w:eastAsia="en-US"/>
        </w:rPr>
        <w:t xml:space="preserve">of hip fracture in </w:t>
      </w:r>
      <w:r w:rsidR="000B2984" w:rsidRPr="00312CB6">
        <w:rPr>
          <w:rFonts w:asciiTheme="minorHAnsi" w:eastAsiaTheme="minorHAnsi" w:hAnsiTheme="minorHAnsi" w:cs="AdvTT3713a231"/>
          <w:color w:val="131413"/>
          <w:lang w:val="en-GB" w:eastAsia="en-US"/>
        </w:rPr>
        <w:t>Kazakhstan</w:t>
      </w:r>
      <w:r w:rsidR="00EB17A2" w:rsidRPr="00312CB6">
        <w:rPr>
          <w:rFonts w:asciiTheme="minorHAnsi" w:eastAsiaTheme="minorHAnsi" w:hAnsiTheme="minorHAnsi" w:cs="AdvTT3713a231"/>
          <w:color w:val="131413"/>
          <w:lang w:val="en-GB" w:eastAsia="en-US"/>
        </w:rPr>
        <w:t>. This assumes that the age- and</w:t>
      </w:r>
      <w:r w:rsidR="006D2317" w:rsidRPr="00312CB6">
        <w:rPr>
          <w:rFonts w:asciiTheme="minorHAnsi" w:eastAsiaTheme="minorHAnsi" w:hAnsiTheme="minorHAnsi" w:cs="AdvTT3713a231"/>
          <w:color w:val="131413"/>
          <w:lang w:val="en-GB" w:eastAsia="en-US"/>
        </w:rPr>
        <w:t xml:space="preserve"> </w:t>
      </w:r>
      <w:r w:rsidR="00EB17A2" w:rsidRPr="00312CB6">
        <w:rPr>
          <w:rFonts w:asciiTheme="minorHAnsi" w:eastAsiaTheme="minorHAnsi" w:hAnsiTheme="minorHAnsi" w:cs="AdvTT3713a231"/>
          <w:color w:val="131413"/>
          <w:lang w:val="en-GB" w:eastAsia="en-US"/>
        </w:rPr>
        <w:t>sex-specific pattern of incidence of proximal humerus</w:t>
      </w:r>
      <w:r w:rsidR="006D2317" w:rsidRPr="00312CB6">
        <w:rPr>
          <w:rFonts w:asciiTheme="minorHAnsi" w:eastAsiaTheme="minorHAnsi" w:hAnsiTheme="minorHAnsi" w:cs="AdvTT3713a231"/>
          <w:color w:val="131413"/>
          <w:lang w:val="en-GB" w:eastAsia="en-US"/>
        </w:rPr>
        <w:t xml:space="preserve"> </w:t>
      </w:r>
      <w:r w:rsidR="00EB17A2" w:rsidRPr="00312CB6">
        <w:rPr>
          <w:rFonts w:asciiTheme="minorHAnsi" w:eastAsiaTheme="minorHAnsi" w:hAnsiTheme="minorHAnsi" w:cs="AdvTT3713a231"/>
          <w:color w:val="131413"/>
          <w:lang w:val="en-GB" w:eastAsia="en-US"/>
        </w:rPr>
        <w:t>and forearm fracture (i.e., other major</w:t>
      </w:r>
      <w:r w:rsidR="006D2317" w:rsidRPr="00312CB6">
        <w:rPr>
          <w:rFonts w:asciiTheme="minorHAnsi" w:eastAsiaTheme="minorHAnsi" w:hAnsiTheme="minorHAnsi" w:cs="AdvTT3713a231"/>
          <w:color w:val="131413"/>
          <w:lang w:val="en-GB" w:eastAsia="en-US"/>
        </w:rPr>
        <w:t xml:space="preserve"> </w:t>
      </w:r>
      <w:r w:rsidR="00EB17A2" w:rsidRPr="00312CB6">
        <w:rPr>
          <w:rFonts w:asciiTheme="minorHAnsi" w:eastAsiaTheme="minorHAnsi" w:hAnsiTheme="minorHAnsi" w:cs="AdvTT3713a231"/>
          <w:color w:val="131413"/>
          <w:lang w:val="en-GB" w:eastAsia="en-US"/>
        </w:rPr>
        <w:t xml:space="preserve">fractures; OMF) and </w:t>
      </w:r>
      <w:r w:rsidR="00F50A6E">
        <w:rPr>
          <w:rFonts w:asciiTheme="minorHAnsi" w:eastAsiaTheme="minorHAnsi" w:hAnsiTheme="minorHAnsi" w:cs="AdvTT3713a231"/>
          <w:color w:val="131413"/>
          <w:lang w:val="en-GB" w:eastAsia="en-US"/>
        </w:rPr>
        <w:t xml:space="preserve">the adjusted </w:t>
      </w:r>
      <w:r w:rsidR="00EB17A2" w:rsidRPr="00312CB6">
        <w:rPr>
          <w:rFonts w:asciiTheme="minorHAnsi" w:eastAsiaTheme="minorHAnsi" w:hAnsiTheme="minorHAnsi" w:cs="AdvTT3713a231"/>
          <w:color w:val="131413"/>
          <w:lang w:val="en-GB" w:eastAsia="en-US"/>
        </w:rPr>
        <w:t xml:space="preserve">hip fracture (HF) in </w:t>
      </w:r>
      <w:r w:rsidR="000B2984" w:rsidRPr="00312CB6">
        <w:rPr>
          <w:rFonts w:asciiTheme="minorHAnsi" w:eastAsiaTheme="minorHAnsi" w:hAnsiTheme="minorHAnsi" w:cs="AdvTT3713a231"/>
          <w:color w:val="131413"/>
          <w:lang w:val="en-GB" w:eastAsia="en-US"/>
        </w:rPr>
        <w:t>Kazakhstan</w:t>
      </w:r>
      <w:r w:rsidR="00EB17A2" w:rsidRPr="00312CB6">
        <w:rPr>
          <w:rFonts w:asciiTheme="minorHAnsi" w:eastAsiaTheme="minorHAnsi" w:hAnsiTheme="minorHAnsi" w:cs="AdvTT3713a231"/>
          <w:color w:val="131413"/>
          <w:lang w:val="en-GB" w:eastAsia="en-US"/>
        </w:rPr>
        <w:t xml:space="preserve"> is similar</w:t>
      </w:r>
      <w:r w:rsidR="006D2317" w:rsidRPr="00312CB6">
        <w:rPr>
          <w:rFonts w:asciiTheme="minorHAnsi" w:eastAsiaTheme="minorHAnsi" w:hAnsiTheme="minorHAnsi" w:cs="AdvTT3713a231"/>
          <w:color w:val="131413"/>
          <w:lang w:val="en-GB" w:eastAsia="en-US"/>
        </w:rPr>
        <w:t xml:space="preserve"> </w:t>
      </w:r>
      <w:r w:rsidR="00EB17A2" w:rsidRPr="00312CB6">
        <w:rPr>
          <w:rFonts w:asciiTheme="minorHAnsi" w:eastAsiaTheme="minorHAnsi" w:hAnsiTheme="minorHAnsi" w:cs="AdvTT3713a231"/>
          <w:color w:val="131413"/>
          <w:lang w:val="en-GB" w:eastAsia="en-US"/>
        </w:rPr>
        <w:t xml:space="preserve">to that seen </w:t>
      </w:r>
      <w:r w:rsidR="00EB17A2" w:rsidRPr="004F08A9">
        <w:rPr>
          <w:rFonts w:asciiTheme="minorHAnsi" w:eastAsiaTheme="minorHAnsi" w:hAnsiTheme="minorHAnsi" w:cs="AdvTT3713a231"/>
          <w:color w:val="131413"/>
          <w:lang w:val="en-GB" w:eastAsia="en-US"/>
        </w:rPr>
        <w:t>in Malmo [</w:t>
      </w:r>
      <w:r w:rsidR="005515CD" w:rsidRPr="004F08A9">
        <w:rPr>
          <w:rFonts w:asciiTheme="minorHAnsi" w:eastAsiaTheme="minorHAnsi" w:hAnsiTheme="minorHAnsi" w:cs="AdvTT3713a231"/>
          <w:color w:val="131413"/>
          <w:lang w:val="en-GB" w:eastAsia="en-US"/>
        </w:rPr>
        <w:t>1</w:t>
      </w:r>
      <w:r w:rsidR="00300304" w:rsidRPr="004F08A9">
        <w:rPr>
          <w:rFonts w:asciiTheme="minorHAnsi" w:eastAsiaTheme="minorHAnsi" w:hAnsiTheme="minorHAnsi" w:cs="AdvTT3713a231"/>
          <w:color w:val="131413"/>
          <w:lang w:val="en-GB" w:eastAsia="en-US"/>
        </w:rPr>
        <w:t>6</w:t>
      </w:r>
      <w:r w:rsidR="00EB17A2" w:rsidRPr="004F08A9">
        <w:rPr>
          <w:rFonts w:asciiTheme="minorHAnsi" w:eastAsiaTheme="minorHAnsi" w:hAnsiTheme="minorHAnsi" w:cs="AdvTT3713a231"/>
          <w:color w:val="131413"/>
          <w:lang w:val="en-GB" w:eastAsia="en-US"/>
        </w:rPr>
        <w:t>]. Thus</w:t>
      </w:r>
      <w:r w:rsidR="006D2317" w:rsidRPr="00312CB6">
        <w:rPr>
          <w:rFonts w:asciiTheme="minorHAnsi" w:eastAsiaTheme="minorHAnsi" w:hAnsiTheme="minorHAnsi" w:cs="AdvTT3713a231"/>
          <w:color w:val="131413"/>
          <w:lang w:val="en-GB" w:eastAsia="en-US"/>
        </w:rPr>
        <w:t>,</w:t>
      </w:r>
      <w:r w:rsidR="00EB17A2" w:rsidRPr="00312CB6">
        <w:rPr>
          <w:rFonts w:asciiTheme="minorHAnsi" w:eastAsiaTheme="minorHAnsi" w:hAnsiTheme="minorHAnsi" w:cs="AdvTT3713a231"/>
          <w:color w:val="131413"/>
          <w:lang w:val="en-GB" w:eastAsia="en-US"/>
        </w:rPr>
        <w:t xml:space="preserve"> </w:t>
      </w:r>
      <w:r w:rsidR="00754586" w:rsidRPr="00312CB6">
        <w:rPr>
          <w:rFonts w:asciiTheme="minorHAnsi" w:eastAsiaTheme="minorHAnsi" w:hAnsiTheme="minorHAnsi" w:cs="AdvTT3713a231"/>
          <w:color w:val="131413"/>
          <w:lang w:val="en-GB" w:eastAsia="en-US"/>
        </w:rPr>
        <w:t>for</w:t>
      </w:r>
      <w:r w:rsidR="00EB17A2" w:rsidRPr="00312CB6">
        <w:rPr>
          <w:rFonts w:asciiTheme="minorHAnsi" w:eastAsiaTheme="minorHAnsi" w:hAnsiTheme="minorHAnsi" w:cs="AdvTT3713a231"/>
          <w:color w:val="131413"/>
          <w:lang w:val="en-GB" w:eastAsia="en-US"/>
        </w:rPr>
        <w:t xml:space="preserve"> each age and sex,</w:t>
      </w:r>
    </w:p>
    <w:p w14:paraId="2B502B3F" w14:textId="77777777" w:rsidR="006D2317" w:rsidRPr="00312CB6" w:rsidRDefault="006D2317" w:rsidP="003C1FDD">
      <w:pPr>
        <w:spacing w:line="276" w:lineRule="auto"/>
        <w:ind w:left="567" w:right="1133"/>
        <w:rPr>
          <w:rFonts w:asciiTheme="minorHAnsi" w:eastAsiaTheme="minorHAnsi" w:hAnsiTheme="minorHAnsi" w:cs="AdvTT3713a231"/>
          <w:color w:val="131413"/>
          <w:lang w:val="en-GB" w:eastAsia="en-US"/>
        </w:rPr>
      </w:pPr>
    </w:p>
    <w:p w14:paraId="4D64977C" w14:textId="13692B74" w:rsidR="00EB17A2" w:rsidRPr="00312CB6" w:rsidRDefault="00EB17A2" w:rsidP="003C1FDD">
      <w:pPr>
        <w:autoSpaceDE w:val="0"/>
        <w:autoSpaceDN w:val="0"/>
        <w:adjustRightInd w:val="0"/>
        <w:ind w:left="708" w:firstLine="708"/>
        <w:rPr>
          <w:rFonts w:asciiTheme="minorHAnsi" w:eastAsiaTheme="minorHAnsi" w:hAnsiTheme="minorHAnsi" w:cs="AdvTT3713a231"/>
          <w:color w:val="131413"/>
          <w:u w:val="single"/>
          <w:lang w:val="en-GB" w:eastAsia="en-US"/>
        </w:rPr>
      </w:pPr>
      <w:r w:rsidRPr="00312CB6">
        <w:rPr>
          <w:rFonts w:asciiTheme="minorHAnsi" w:eastAsiaTheme="minorHAnsi" w:hAnsiTheme="minorHAnsi" w:cs="AdvTT3713a231"/>
          <w:color w:val="131413"/>
          <w:u w:val="single"/>
          <w:lang w:val="en-GB" w:eastAsia="en-US"/>
        </w:rPr>
        <w:t>HF</w:t>
      </w:r>
      <w:r w:rsidR="000B2984" w:rsidRPr="00312CB6">
        <w:rPr>
          <w:rFonts w:asciiTheme="minorHAnsi" w:eastAsiaTheme="minorHAnsi" w:hAnsiTheme="minorHAnsi" w:cs="AdvTT3713a231"/>
          <w:color w:val="131413"/>
          <w:u w:val="single"/>
          <w:vertAlign w:val="subscript"/>
          <w:lang w:val="en-GB" w:eastAsia="en-US"/>
        </w:rPr>
        <w:t>Kazakhstan</w:t>
      </w:r>
      <w:r w:rsidRPr="00312CB6">
        <w:rPr>
          <w:rFonts w:asciiTheme="minorHAnsi" w:eastAsiaTheme="minorHAnsi" w:hAnsiTheme="minorHAnsi" w:cs="AdvTT3713a231"/>
          <w:color w:val="131413"/>
          <w:lang w:val="en-GB" w:eastAsia="en-US"/>
        </w:rPr>
        <w:t xml:space="preserve"> = </w:t>
      </w:r>
      <w:r w:rsidRPr="00312CB6">
        <w:rPr>
          <w:rFonts w:asciiTheme="minorHAnsi" w:eastAsiaTheme="minorHAnsi" w:hAnsiTheme="minorHAnsi" w:cs="AdvTT3713a231"/>
          <w:color w:val="131413"/>
          <w:u w:val="single"/>
          <w:lang w:val="en-GB" w:eastAsia="en-US"/>
        </w:rPr>
        <w:t xml:space="preserve">OMF </w:t>
      </w:r>
      <w:r w:rsidR="000B2984" w:rsidRPr="00312CB6">
        <w:rPr>
          <w:rFonts w:asciiTheme="minorHAnsi" w:eastAsiaTheme="minorHAnsi" w:hAnsiTheme="minorHAnsi" w:cs="AdvTT3713a231"/>
          <w:color w:val="131413"/>
          <w:u w:val="single"/>
          <w:vertAlign w:val="subscript"/>
          <w:lang w:val="en-GB" w:eastAsia="en-US"/>
        </w:rPr>
        <w:t>Kazakhstan</w:t>
      </w:r>
    </w:p>
    <w:p w14:paraId="55A8C979" w14:textId="77777777" w:rsidR="003F52BE" w:rsidRPr="00312CB6" w:rsidRDefault="00EB17A2" w:rsidP="003C1FDD">
      <w:pPr>
        <w:autoSpaceDE w:val="0"/>
        <w:autoSpaceDN w:val="0"/>
        <w:adjustRightInd w:val="0"/>
        <w:ind w:left="708" w:firstLine="708"/>
        <w:rPr>
          <w:rFonts w:asciiTheme="minorHAnsi" w:eastAsiaTheme="minorHAnsi" w:hAnsiTheme="minorHAnsi" w:cs="AdvTT3713a231"/>
          <w:color w:val="131413"/>
          <w:lang w:val="en-GB" w:eastAsia="en-US"/>
        </w:rPr>
      </w:pPr>
      <w:r w:rsidRPr="00312CB6">
        <w:rPr>
          <w:rFonts w:asciiTheme="minorHAnsi" w:eastAsiaTheme="minorHAnsi" w:hAnsiTheme="minorHAnsi" w:cs="AdvTT3713a231"/>
          <w:color w:val="131413"/>
          <w:lang w:val="en-GB" w:eastAsia="en-US"/>
        </w:rPr>
        <w:t>HF</w:t>
      </w:r>
      <w:r w:rsidRPr="00312CB6">
        <w:rPr>
          <w:rFonts w:asciiTheme="minorHAnsi" w:eastAsiaTheme="minorHAnsi" w:hAnsiTheme="minorHAnsi" w:cs="AdvTT3713a231"/>
          <w:color w:val="131413"/>
          <w:vertAlign w:val="subscript"/>
          <w:lang w:val="en-GB" w:eastAsia="en-US"/>
        </w:rPr>
        <w:t>Malmo</w:t>
      </w:r>
      <w:r w:rsidRPr="00312CB6">
        <w:rPr>
          <w:rFonts w:asciiTheme="minorHAnsi" w:eastAsiaTheme="minorHAnsi" w:hAnsiTheme="minorHAnsi" w:cs="AdvTT3713a231"/>
          <w:color w:val="131413"/>
          <w:lang w:val="en-GB" w:eastAsia="en-US"/>
        </w:rPr>
        <w:t xml:space="preserve">       </w:t>
      </w:r>
      <w:r w:rsidR="003F52BE" w:rsidRPr="00312CB6">
        <w:rPr>
          <w:rFonts w:asciiTheme="minorHAnsi" w:eastAsiaTheme="minorHAnsi" w:hAnsiTheme="minorHAnsi" w:cs="AdvTT3713a231"/>
          <w:color w:val="131413"/>
          <w:lang w:val="en-GB" w:eastAsia="en-US"/>
        </w:rPr>
        <w:t xml:space="preserve">OMF </w:t>
      </w:r>
      <w:r w:rsidR="003F52BE" w:rsidRPr="00312CB6">
        <w:rPr>
          <w:rFonts w:asciiTheme="minorHAnsi" w:eastAsiaTheme="minorHAnsi" w:hAnsiTheme="minorHAnsi" w:cs="AdvTT3713a231"/>
          <w:color w:val="131413"/>
          <w:vertAlign w:val="subscript"/>
          <w:lang w:val="en-GB" w:eastAsia="en-US"/>
        </w:rPr>
        <w:t>Malmo</w:t>
      </w:r>
      <w:r w:rsidR="003F52BE" w:rsidRPr="00312CB6">
        <w:rPr>
          <w:rFonts w:asciiTheme="minorHAnsi" w:eastAsiaTheme="minorHAnsi" w:hAnsiTheme="minorHAnsi" w:cs="AdvTT3713a231"/>
          <w:color w:val="131413"/>
          <w:lang w:val="en-GB" w:eastAsia="en-US"/>
        </w:rPr>
        <w:t xml:space="preserve"> </w:t>
      </w:r>
      <w:r w:rsidRPr="00312CB6">
        <w:rPr>
          <w:rFonts w:asciiTheme="minorHAnsi" w:eastAsiaTheme="minorHAnsi" w:hAnsiTheme="minorHAnsi" w:cs="AdvTT3713a231"/>
          <w:color w:val="131413"/>
          <w:lang w:val="en-GB" w:eastAsia="en-US"/>
        </w:rPr>
        <w:t xml:space="preserve">  </w:t>
      </w:r>
    </w:p>
    <w:p w14:paraId="2714453E" w14:textId="25DE211B" w:rsidR="00EB17A2" w:rsidRPr="00312CB6" w:rsidRDefault="00EB17A2" w:rsidP="00EB17A2">
      <w:pPr>
        <w:autoSpaceDE w:val="0"/>
        <w:autoSpaceDN w:val="0"/>
        <w:adjustRightInd w:val="0"/>
        <w:rPr>
          <w:rFonts w:asciiTheme="minorHAnsi" w:eastAsiaTheme="minorHAnsi" w:hAnsiTheme="minorHAnsi" w:cs="AdvTT3713a231"/>
          <w:color w:val="131413"/>
          <w:lang w:val="en-GB" w:eastAsia="en-US"/>
        </w:rPr>
      </w:pPr>
      <w:r w:rsidRPr="00312CB6">
        <w:rPr>
          <w:rFonts w:asciiTheme="minorHAnsi" w:eastAsiaTheme="minorHAnsi" w:hAnsiTheme="minorHAnsi" w:cs="AdvTT3713a231"/>
          <w:color w:val="131413"/>
          <w:lang w:val="en-GB" w:eastAsia="en-US"/>
        </w:rPr>
        <w:t xml:space="preserve">    </w:t>
      </w:r>
    </w:p>
    <w:p w14:paraId="30E99877" w14:textId="3D97D32C" w:rsidR="00EB17A2" w:rsidRPr="00312CB6" w:rsidRDefault="00EB17A2" w:rsidP="003C1FDD">
      <w:pPr>
        <w:autoSpaceDE w:val="0"/>
        <w:autoSpaceDN w:val="0"/>
        <w:adjustRightInd w:val="0"/>
        <w:ind w:left="567" w:firstLine="141"/>
        <w:rPr>
          <w:rFonts w:asciiTheme="minorHAnsi" w:eastAsiaTheme="minorHAnsi" w:hAnsiTheme="minorHAnsi" w:cs="AdvTT3713a231"/>
          <w:color w:val="131413"/>
          <w:lang w:val="en-GB" w:eastAsia="en-US"/>
        </w:rPr>
      </w:pPr>
      <w:r w:rsidRPr="00312CB6">
        <w:rPr>
          <w:rFonts w:asciiTheme="minorHAnsi" w:eastAsiaTheme="minorHAnsi" w:hAnsiTheme="minorHAnsi" w:cs="AdvTT3713a231"/>
          <w:color w:val="131413"/>
          <w:lang w:val="en-GB" w:eastAsia="en-US"/>
        </w:rPr>
        <w:t>therefore,</w:t>
      </w:r>
    </w:p>
    <w:p w14:paraId="048D1D2C" w14:textId="77777777" w:rsidR="006D2317" w:rsidRPr="00312CB6" w:rsidRDefault="006D2317" w:rsidP="00EB17A2">
      <w:pPr>
        <w:autoSpaceDE w:val="0"/>
        <w:autoSpaceDN w:val="0"/>
        <w:adjustRightInd w:val="0"/>
        <w:rPr>
          <w:rFonts w:asciiTheme="minorHAnsi" w:eastAsiaTheme="minorHAnsi" w:hAnsiTheme="minorHAnsi" w:cs="AdvTT3713a231"/>
          <w:color w:val="131413"/>
          <w:lang w:val="en-GB" w:eastAsia="en-US"/>
        </w:rPr>
      </w:pPr>
    </w:p>
    <w:p w14:paraId="0C8ACD26" w14:textId="6D1D2D8B" w:rsidR="00EB17A2" w:rsidRPr="00312CB6" w:rsidRDefault="00EB17A2" w:rsidP="003C1FDD">
      <w:pPr>
        <w:autoSpaceDE w:val="0"/>
        <w:autoSpaceDN w:val="0"/>
        <w:adjustRightInd w:val="0"/>
        <w:ind w:firstLine="1416"/>
        <w:rPr>
          <w:rFonts w:asciiTheme="minorHAnsi" w:eastAsiaTheme="minorHAnsi" w:hAnsiTheme="minorHAnsi" w:cs="AdvTT3713a231"/>
          <w:color w:val="131413"/>
          <w:lang w:val="en-GB" w:eastAsia="en-US"/>
        </w:rPr>
      </w:pPr>
      <w:r w:rsidRPr="00312CB6">
        <w:rPr>
          <w:rFonts w:asciiTheme="minorHAnsi" w:eastAsiaTheme="minorHAnsi" w:hAnsiTheme="minorHAnsi" w:cs="AdvTT3713a231"/>
          <w:color w:val="131413"/>
          <w:lang w:val="en-GB" w:eastAsia="en-US"/>
        </w:rPr>
        <w:t>OMF</w:t>
      </w:r>
      <w:r w:rsidR="000B2984" w:rsidRPr="00312CB6">
        <w:t xml:space="preserve"> </w:t>
      </w:r>
      <w:r w:rsidR="000B2984" w:rsidRPr="00312CB6">
        <w:rPr>
          <w:rFonts w:asciiTheme="minorHAnsi" w:eastAsiaTheme="minorHAnsi" w:hAnsiTheme="minorHAnsi" w:cs="AdvTT3713a231"/>
          <w:color w:val="131413"/>
          <w:vertAlign w:val="subscript"/>
          <w:lang w:val="en-GB" w:eastAsia="en-US"/>
        </w:rPr>
        <w:t>Kazakhstan</w:t>
      </w:r>
      <w:r w:rsidRPr="00312CB6">
        <w:rPr>
          <w:rFonts w:asciiTheme="minorHAnsi" w:eastAsiaTheme="minorHAnsi" w:hAnsiTheme="minorHAnsi" w:cs="AdvTT3713a231"/>
          <w:color w:val="131413"/>
          <w:lang w:val="en-GB" w:eastAsia="en-US"/>
        </w:rPr>
        <w:t xml:space="preserve"> </w:t>
      </w:r>
      <w:r w:rsidR="003F52BE" w:rsidRPr="00312CB6">
        <w:rPr>
          <w:rFonts w:asciiTheme="minorHAnsi" w:eastAsiaTheme="minorHAnsi" w:hAnsiTheme="minorHAnsi" w:cs="AdvP4C4E74"/>
          <w:color w:val="131413"/>
          <w:lang w:val="en-GB" w:eastAsia="en-US"/>
        </w:rPr>
        <w:t>=</w:t>
      </w:r>
      <w:r w:rsidRPr="00312CB6">
        <w:rPr>
          <w:rFonts w:asciiTheme="minorHAnsi" w:eastAsiaTheme="minorHAnsi" w:hAnsiTheme="minorHAnsi" w:cs="AdvP4C4E74"/>
          <w:color w:val="131413"/>
          <w:lang w:val="en-GB" w:eastAsia="en-US"/>
        </w:rPr>
        <w:t xml:space="preserve"> </w:t>
      </w:r>
      <w:r w:rsidRPr="00312CB6">
        <w:rPr>
          <w:rFonts w:asciiTheme="minorHAnsi" w:eastAsiaTheme="minorHAnsi" w:hAnsiTheme="minorHAnsi" w:cs="AdvTT3713a231"/>
          <w:color w:val="131413"/>
          <w:u w:val="single"/>
          <w:lang w:val="en-GB" w:eastAsia="en-US"/>
        </w:rPr>
        <w:t>HF</w:t>
      </w:r>
      <w:r w:rsidR="000B2984" w:rsidRPr="00312CB6">
        <w:rPr>
          <w:rFonts w:asciiTheme="minorHAnsi" w:eastAsiaTheme="minorHAnsi" w:hAnsiTheme="minorHAnsi" w:cs="AdvTT3713a231"/>
          <w:color w:val="131413"/>
          <w:u w:val="single"/>
          <w:vertAlign w:val="subscript"/>
          <w:lang w:val="en-GB" w:eastAsia="en-US"/>
        </w:rPr>
        <w:t>Kazakhstan</w:t>
      </w:r>
      <w:r w:rsidRPr="00312CB6">
        <w:rPr>
          <w:rFonts w:asciiTheme="minorHAnsi" w:eastAsiaTheme="minorHAnsi" w:hAnsiTheme="minorHAnsi" w:cs="AdvTT3713a231"/>
          <w:color w:val="131413"/>
          <w:u w:val="single"/>
          <w:lang w:val="en-GB" w:eastAsia="en-US"/>
        </w:rPr>
        <w:t xml:space="preserve"> </w:t>
      </w:r>
      <w:r w:rsidR="003F52BE" w:rsidRPr="00312CB6">
        <w:rPr>
          <w:rFonts w:asciiTheme="minorHAnsi" w:eastAsiaTheme="minorHAnsi" w:hAnsiTheme="minorHAnsi" w:cs="AdvP4C4E74"/>
          <w:color w:val="131413"/>
          <w:u w:val="single"/>
          <w:lang w:val="en-GB" w:eastAsia="en-US"/>
        </w:rPr>
        <w:t xml:space="preserve"> x</w:t>
      </w:r>
      <w:r w:rsidRPr="00312CB6">
        <w:rPr>
          <w:rFonts w:asciiTheme="minorHAnsi" w:eastAsiaTheme="minorHAnsi" w:hAnsiTheme="minorHAnsi" w:cs="AdvP4C4E74"/>
          <w:color w:val="131413"/>
          <w:u w:val="single"/>
          <w:lang w:val="en-GB" w:eastAsia="en-US"/>
        </w:rPr>
        <w:t xml:space="preserve"> </w:t>
      </w:r>
      <w:r w:rsidRPr="00312CB6">
        <w:rPr>
          <w:rFonts w:asciiTheme="minorHAnsi" w:eastAsiaTheme="minorHAnsi" w:hAnsiTheme="minorHAnsi" w:cs="AdvTT3713a231"/>
          <w:color w:val="131413"/>
          <w:u w:val="single"/>
          <w:lang w:val="en-GB" w:eastAsia="en-US"/>
        </w:rPr>
        <w:t>OMF</w:t>
      </w:r>
      <w:r w:rsidRPr="00312CB6">
        <w:rPr>
          <w:rFonts w:asciiTheme="minorHAnsi" w:eastAsiaTheme="minorHAnsi" w:hAnsiTheme="minorHAnsi" w:cs="AdvTT3713a231"/>
          <w:color w:val="131413"/>
          <w:u w:val="single"/>
          <w:vertAlign w:val="subscript"/>
          <w:lang w:val="en-GB" w:eastAsia="en-US"/>
        </w:rPr>
        <w:t>Malmo</w:t>
      </w:r>
    </w:p>
    <w:p w14:paraId="43ECDBF5" w14:textId="4186BB7B" w:rsidR="00EB17A2" w:rsidRPr="00312CB6" w:rsidRDefault="003F52BE" w:rsidP="00EB17A2">
      <w:pPr>
        <w:autoSpaceDE w:val="0"/>
        <w:autoSpaceDN w:val="0"/>
        <w:adjustRightInd w:val="0"/>
        <w:rPr>
          <w:rFonts w:asciiTheme="minorHAnsi" w:eastAsiaTheme="minorHAnsi" w:hAnsiTheme="minorHAnsi" w:cs="AdvTT3713a231"/>
          <w:color w:val="131413"/>
          <w:vertAlign w:val="subscript"/>
          <w:lang w:val="en-GB" w:eastAsia="en-US"/>
        </w:rPr>
      </w:pPr>
      <w:r w:rsidRPr="00312CB6">
        <w:rPr>
          <w:rFonts w:asciiTheme="minorHAnsi" w:eastAsiaTheme="minorHAnsi" w:hAnsiTheme="minorHAnsi" w:cs="AdvTT3713a231"/>
          <w:color w:val="131413"/>
          <w:lang w:val="en-GB" w:eastAsia="en-US"/>
        </w:rPr>
        <w:t xml:space="preserve">                                 </w:t>
      </w:r>
      <w:r w:rsidR="006D2317" w:rsidRPr="00312CB6">
        <w:rPr>
          <w:rFonts w:asciiTheme="minorHAnsi" w:eastAsiaTheme="minorHAnsi" w:hAnsiTheme="minorHAnsi" w:cs="AdvTT3713a231"/>
          <w:color w:val="131413"/>
          <w:lang w:val="en-GB" w:eastAsia="en-US"/>
        </w:rPr>
        <w:tab/>
      </w:r>
      <w:r w:rsidR="006D2317" w:rsidRPr="00312CB6">
        <w:rPr>
          <w:rFonts w:asciiTheme="minorHAnsi" w:eastAsiaTheme="minorHAnsi" w:hAnsiTheme="minorHAnsi" w:cs="AdvTT3713a231"/>
          <w:color w:val="131413"/>
          <w:lang w:val="en-GB" w:eastAsia="en-US"/>
        </w:rPr>
        <w:tab/>
      </w:r>
      <w:r w:rsidR="006D2317" w:rsidRPr="00312CB6">
        <w:rPr>
          <w:rFonts w:asciiTheme="minorHAnsi" w:eastAsiaTheme="minorHAnsi" w:hAnsiTheme="minorHAnsi" w:cs="AdvTT3713a231"/>
          <w:color w:val="131413"/>
          <w:lang w:val="en-GB" w:eastAsia="en-US"/>
        </w:rPr>
        <w:tab/>
      </w:r>
      <w:r w:rsidR="00EB17A2" w:rsidRPr="00312CB6">
        <w:rPr>
          <w:rFonts w:asciiTheme="minorHAnsi" w:eastAsiaTheme="minorHAnsi" w:hAnsiTheme="minorHAnsi" w:cs="AdvTT3713a231"/>
          <w:color w:val="131413"/>
          <w:lang w:val="en-GB" w:eastAsia="en-US"/>
        </w:rPr>
        <w:t>HF</w:t>
      </w:r>
      <w:r w:rsidR="00EB17A2" w:rsidRPr="00312CB6">
        <w:rPr>
          <w:rFonts w:asciiTheme="minorHAnsi" w:eastAsiaTheme="minorHAnsi" w:hAnsiTheme="minorHAnsi" w:cs="AdvTT3713a231"/>
          <w:color w:val="131413"/>
          <w:vertAlign w:val="subscript"/>
          <w:lang w:val="en-GB" w:eastAsia="en-US"/>
        </w:rPr>
        <w:t>Malmo</w:t>
      </w:r>
    </w:p>
    <w:p w14:paraId="4747F214" w14:textId="77777777" w:rsidR="005B1502" w:rsidRPr="00312CB6" w:rsidRDefault="005B1502" w:rsidP="003C1FDD">
      <w:pPr>
        <w:autoSpaceDE w:val="0"/>
        <w:autoSpaceDN w:val="0"/>
        <w:adjustRightInd w:val="0"/>
        <w:ind w:left="567"/>
        <w:rPr>
          <w:rFonts w:asciiTheme="minorHAnsi" w:eastAsiaTheme="minorHAnsi" w:hAnsiTheme="minorHAnsi" w:cs="AdvTT3713a231"/>
          <w:color w:val="131413"/>
          <w:lang w:val="en-GB" w:eastAsia="en-US"/>
        </w:rPr>
      </w:pPr>
    </w:p>
    <w:p w14:paraId="66901CDE" w14:textId="480166E3" w:rsidR="00EB17A2" w:rsidRPr="00CC4C27" w:rsidRDefault="00EB17A2" w:rsidP="004F08A9">
      <w:pPr>
        <w:autoSpaceDE w:val="0"/>
        <w:autoSpaceDN w:val="0"/>
        <w:adjustRightInd w:val="0"/>
        <w:spacing w:line="276" w:lineRule="auto"/>
        <w:ind w:left="567"/>
        <w:rPr>
          <w:rFonts w:asciiTheme="minorHAnsi" w:eastAsiaTheme="minorHAnsi" w:hAnsiTheme="minorHAnsi" w:cs="AdvTT3713a231"/>
          <w:color w:val="131413"/>
          <w:lang w:val="en-GB" w:eastAsia="en-US"/>
        </w:rPr>
      </w:pPr>
      <w:r w:rsidRPr="00CC4C27">
        <w:rPr>
          <w:rFonts w:asciiTheme="minorHAnsi" w:eastAsiaTheme="minorHAnsi" w:hAnsiTheme="minorHAnsi" w:cs="AdvTT3713a231"/>
          <w:color w:val="131413"/>
          <w:lang w:val="en-GB" w:eastAsia="en-US"/>
        </w:rPr>
        <w:t xml:space="preserve">From this, the incidence of a </w:t>
      </w:r>
      <w:r w:rsidR="00EC146D" w:rsidRPr="00CC4C27">
        <w:rPr>
          <w:rFonts w:asciiTheme="minorHAnsi" w:eastAsiaTheme="minorHAnsi" w:hAnsiTheme="minorHAnsi" w:cs="AdvTT3713a231"/>
          <w:color w:val="131413"/>
          <w:lang w:val="en-GB" w:eastAsia="en-US"/>
        </w:rPr>
        <w:t>forearm or humerus fracture</w:t>
      </w:r>
      <w:r w:rsidRPr="00CC4C27">
        <w:rPr>
          <w:rFonts w:asciiTheme="minorHAnsi" w:eastAsiaTheme="minorHAnsi" w:hAnsiTheme="minorHAnsi" w:cs="AdvTT3713a231"/>
          <w:color w:val="131413"/>
          <w:lang w:val="en-GB" w:eastAsia="en-US"/>
        </w:rPr>
        <w:t>,</w:t>
      </w:r>
      <w:r w:rsidR="00EC146D" w:rsidRPr="00CC4C27">
        <w:rPr>
          <w:rFonts w:asciiTheme="minorHAnsi" w:eastAsiaTheme="minorHAnsi" w:hAnsiTheme="minorHAnsi" w:cs="AdvTT3713a231"/>
          <w:color w:val="131413"/>
          <w:lang w:val="en-GB" w:eastAsia="en-US"/>
        </w:rPr>
        <w:t xml:space="preserve"> </w:t>
      </w:r>
      <w:r w:rsidRPr="00CC4C27">
        <w:rPr>
          <w:rFonts w:asciiTheme="minorHAnsi" w:eastAsiaTheme="minorHAnsi" w:hAnsiTheme="minorHAnsi" w:cs="AdvTT3713a231"/>
          <w:color w:val="131413"/>
          <w:lang w:val="en-GB" w:eastAsia="en-US"/>
        </w:rPr>
        <w:t>estimated using the Malmo ratios, was compared with the</w:t>
      </w:r>
      <w:r w:rsidR="00EC146D" w:rsidRPr="00CC4C27">
        <w:rPr>
          <w:rFonts w:asciiTheme="minorHAnsi" w:eastAsiaTheme="minorHAnsi" w:hAnsiTheme="minorHAnsi" w:cs="AdvTT3713a231"/>
          <w:color w:val="131413"/>
          <w:lang w:val="en-GB" w:eastAsia="en-US"/>
        </w:rPr>
        <w:t xml:space="preserve"> </w:t>
      </w:r>
      <w:r w:rsidRPr="00CC4C27">
        <w:rPr>
          <w:rFonts w:asciiTheme="minorHAnsi" w:eastAsiaTheme="minorHAnsi" w:hAnsiTheme="minorHAnsi" w:cs="AdvTT3713a231"/>
          <w:color w:val="131413"/>
          <w:lang w:val="en-GB" w:eastAsia="en-US"/>
        </w:rPr>
        <w:t xml:space="preserve">empirical data from </w:t>
      </w:r>
      <w:r w:rsidR="00F8220B" w:rsidRPr="00CC4C27">
        <w:rPr>
          <w:rFonts w:asciiTheme="minorHAnsi" w:eastAsiaTheme="minorHAnsi" w:hAnsiTheme="minorHAnsi" w:cs="AdvTT3713a231"/>
          <w:color w:val="131413"/>
          <w:lang w:val="en-GB" w:eastAsia="en-US"/>
        </w:rPr>
        <w:t>Kazakhstan</w:t>
      </w:r>
      <w:r w:rsidR="00146B35">
        <w:rPr>
          <w:rFonts w:asciiTheme="minorHAnsi" w:eastAsiaTheme="minorHAnsi" w:hAnsiTheme="minorHAnsi" w:cs="AdvTT3713a231"/>
          <w:color w:val="131413"/>
          <w:lang w:val="en-GB" w:eastAsia="en-US"/>
        </w:rPr>
        <w:t xml:space="preserve"> from the ages of </w:t>
      </w:r>
      <w:r w:rsidR="00930903">
        <w:rPr>
          <w:rFonts w:asciiTheme="minorHAnsi" w:eastAsiaTheme="minorHAnsi" w:hAnsiTheme="minorHAnsi" w:cs="AdvTT3713a231"/>
          <w:color w:val="131413"/>
          <w:lang w:val="en-GB" w:eastAsia="en-US"/>
        </w:rPr>
        <w:t>50-90 years</w:t>
      </w:r>
      <w:r w:rsidR="00EC146D" w:rsidRPr="00CC4C27">
        <w:rPr>
          <w:rFonts w:asciiTheme="minorHAnsi" w:eastAsiaTheme="minorHAnsi" w:hAnsiTheme="minorHAnsi" w:cs="AdvTT3713a231"/>
          <w:color w:val="131413"/>
          <w:lang w:val="en-GB" w:eastAsia="en-US"/>
        </w:rPr>
        <w:t>.</w:t>
      </w:r>
      <w:r w:rsidR="008E03B2" w:rsidRPr="00CC4C27">
        <w:rPr>
          <w:rFonts w:asciiTheme="minorHAnsi" w:eastAsiaTheme="minorHAnsi" w:hAnsiTheme="minorHAnsi" w:cs="AdvTT3713a231"/>
          <w:color w:val="131413"/>
          <w:lang w:val="en-GB" w:eastAsia="en-US"/>
        </w:rPr>
        <w:t xml:space="preserve">  </w:t>
      </w:r>
    </w:p>
    <w:p w14:paraId="2034B844" w14:textId="77777777" w:rsidR="00EB17A2" w:rsidRPr="00A81361" w:rsidRDefault="00EB17A2" w:rsidP="00F94319">
      <w:pPr>
        <w:spacing w:line="276" w:lineRule="auto"/>
        <w:ind w:left="567" w:right="1133"/>
        <w:rPr>
          <w:rFonts w:asciiTheme="minorHAnsi" w:hAnsiTheme="minorHAnsi" w:cstheme="minorHAnsi"/>
          <w:highlight w:val="yellow"/>
          <w:lang w:val="en-GB"/>
        </w:rPr>
      </w:pPr>
    </w:p>
    <w:p w14:paraId="638DEB5A" w14:textId="74710C2C" w:rsidR="00F94319" w:rsidRPr="0085084C" w:rsidRDefault="00F94319" w:rsidP="00A77212">
      <w:pPr>
        <w:tabs>
          <w:tab w:val="left" w:pos="8647"/>
        </w:tabs>
        <w:spacing w:line="276" w:lineRule="auto"/>
        <w:ind w:left="567" w:right="1133"/>
        <w:rPr>
          <w:rFonts w:asciiTheme="minorHAnsi" w:hAnsiTheme="minorHAnsi" w:cstheme="minorHAnsi"/>
          <w:lang w:val="en-GB"/>
        </w:rPr>
      </w:pPr>
      <w:r w:rsidRPr="004F08A9">
        <w:rPr>
          <w:rFonts w:asciiTheme="minorHAnsi" w:hAnsiTheme="minorHAnsi" w:cstheme="minorHAnsi"/>
          <w:lang w:val="en-GB"/>
        </w:rPr>
        <w:t>The development and validation of FRAX have been</w:t>
      </w:r>
      <w:r w:rsidR="000E50FB" w:rsidRPr="004F08A9">
        <w:rPr>
          <w:rFonts w:asciiTheme="minorHAnsi" w:hAnsiTheme="minorHAnsi" w:cstheme="minorHAnsi"/>
          <w:lang w:val="en-GB"/>
        </w:rPr>
        <w:t xml:space="preserve"> </w:t>
      </w:r>
      <w:r w:rsidRPr="004F08A9">
        <w:rPr>
          <w:rFonts w:asciiTheme="minorHAnsi" w:hAnsiTheme="minorHAnsi" w:cstheme="minorHAnsi"/>
          <w:lang w:val="en-GB"/>
        </w:rPr>
        <w:t>extensively described</w:t>
      </w:r>
      <w:r w:rsidR="00EC146D" w:rsidRPr="004F08A9">
        <w:rPr>
          <w:rFonts w:asciiTheme="minorHAnsi" w:hAnsiTheme="minorHAnsi" w:cstheme="minorHAnsi"/>
          <w:lang w:val="en-GB"/>
        </w:rPr>
        <w:t xml:space="preserve"> [</w:t>
      </w:r>
      <w:r w:rsidR="00EB251C" w:rsidRPr="004F08A9">
        <w:rPr>
          <w:rFonts w:asciiTheme="minorHAnsi" w:hAnsiTheme="minorHAnsi" w:cstheme="minorHAnsi"/>
          <w:lang w:val="en-GB"/>
        </w:rPr>
        <w:t>4, 5</w:t>
      </w:r>
      <w:r w:rsidR="00EC146D" w:rsidRPr="004F08A9">
        <w:rPr>
          <w:rFonts w:asciiTheme="minorHAnsi" w:hAnsiTheme="minorHAnsi" w:cstheme="minorHAnsi"/>
          <w:lang w:val="en-GB"/>
        </w:rPr>
        <w:t>]</w:t>
      </w:r>
      <w:r w:rsidRPr="004F08A9">
        <w:rPr>
          <w:rFonts w:asciiTheme="minorHAnsi" w:hAnsiTheme="minorHAnsi" w:cstheme="minorHAnsi"/>
          <w:lang w:val="en-GB"/>
        </w:rPr>
        <w:t>. The risk factors used were</w:t>
      </w:r>
      <w:r w:rsidR="000E50FB" w:rsidRPr="004F08A9">
        <w:rPr>
          <w:rFonts w:asciiTheme="minorHAnsi" w:hAnsiTheme="minorHAnsi" w:cstheme="minorHAnsi"/>
          <w:lang w:val="en-GB"/>
        </w:rPr>
        <w:t xml:space="preserve"> </w:t>
      </w:r>
      <w:r w:rsidRPr="004F08A9">
        <w:rPr>
          <w:rFonts w:asciiTheme="minorHAnsi" w:hAnsiTheme="minorHAnsi" w:cstheme="minorHAnsi"/>
          <w:lang w:val="en-GB"/>
        </w:rPr>
        <w:t xml:space="preserve">based on a systematic set of meta-analyses of </w:t>
      </w:r>
      <w:r w:rsidR="000E50FB" w:rsidRPr="004F08A9">
        <w:rPr>
          <w:rFonts w:asciiTheme="minorHAnsi" w:hAnsiTheme="minorHAnsi" w:cstheme="minorHAnsi"/>
          <w:lang w:val="en-GB"/>
        </w:rPr>
        <w:t>population</w:t>
      </w:r>
      <w:r w:rsidR="000E50FB" w:rsidRPr="00511E38">
        <w:rPr>
          <w:rFonts w:asciiTheme="minorHAnsi" w:hAnsiTheme="minorHAnsi" w:cstheme="minorHAnsi"/>
          <w:lang w:val="en-GB"/>
        </w:rPr>
        <w:t xml:space="preserve">-based </w:t>
      </w:r>
      <w:r w:rsidRPr="00511E38">
        <w:rPr>
          <w:rFonts w:asciiTheme="minorHAnsi" w:hAnsiTheme="minorHAnsi" w:cstheme="minorHAnsi"/>
          <w:lang w:val="en-GB"/>
        </w:rPr>
        <w:t>cohorts worldwide and validated in independent</w:t>
      </w:r>
      <w:r w:rsidR="000E50FB" w:rsidRPr="00511E38">
        <w:rPr>
          <w:rFonts w:asciiTheme="minorHAnsi" w:hAnsiTheme="minorHAnsi" w:cstheme="minorHAnsi"/>
          <w:lang w:val="en-GB"/>
        </w:rPr>
        <w:t xml:space="preserve"> </w:t>
      </w:r>
      <w:r w:rsidRPr="00511E38">
        <w:rPr>
          <w:rFonts w:asciiTheme="minorHAnsi" w:hAnsiTheme="minorHAnsi" w:cstheme="minorHAnsi"/>
          <w:lang w:val="en-GB"/>
        </w:rPr>
        <w:t>cohorts with over 1 million patient-years of follow-up. The</w:t>
      </w:r>
      <w:r w:rsidR="000E50FB" w:rsidRPr="00511E38">
        <w:rPr>
          <w:rFonts w:asciiTheme="minorHAnsi" w:hAnsiTheme="minorHAnsi" w:cstheme="minorHAnsi"/>
          <w:lang w:val="en-GB"/>
        </w:rPr>
        <w:t xml:space="preserve"> </w:t>
      </w:r>
      <w:r w:rsidRPr="00511E38">
        <w:rPr>
          <w:rFonts w:asciiTheme="minorHAnsi" w:hAnsiTheme="minorHAnsi" w:cstheme="minorHAnsi"/>
          <w:lang w:val="en-GB"/>
        </w:rPr>
        <w:t xml:space="preserve">construct of the FRAX model for </w:t>
      </w:r>
      <w:r w:rsidR="006B46F5" w:rsidRPr="006B46F5">
        <w:rPr>
          <w:rFonts w:asciiTheme="minorHAnsi" w:hAnsiTheme="minorHAnsi" w:cstheme="minorHAnsi"/>
          <w:lang w:val="en-GB"/>
        </w:rPr>
        <w:t>Kazakhstan</w:t>
      </w:r>
      <w:r w:rsidRPr="00511E38">
        <w:rPr>
          <w:rFonts w:asciiTheme="minorHAnsi" w:hAnsiTheme="minorHAnsi" w:cstheme="minorHAnsi"/>
          <w:lang w:val="en-GB"/>
        </w:rPr>
        <w:t xml:space="preserve"> re</w:t>
      </w:r>
      <w:r w:rsidR="00EC146D" w:rsidRPr="00511E38">
        <w:rPr>
          <w:rFonts w:asciiTheme="minorHAnsi" w:hAnsiTheme="minorHAnsi" w:cstheme="minorHAnsi"/>
          <w:lang w:val="en-GB"/>
        </w:rPr>
        <w:t>tained</w:t>
      </w:r>
      <w:r w:rsidRPr="00511E38">
        <w:rPr>
          <w:rFonts w:asciiTheme="minorHAnsi" w:hAnsiTheme="minorHAnsi" w:cstheme="minorHAnsi"/>
          <w:lang w:val="en-GB"/>
        </w:rPr>
        <w:t xml:space="preserve"> the beta</w:t>
      </w:r>
      <w:r w:rsidR="000E50FB" w:rsidRPr="00511E38">
        <w:rPr>
          <w:rFonts w:asciiTheme="minorHAnsi" w:hAnsiTheme="minorHAnsi" w:cstheme="minorHAnsi"/>
          <w:lang w:val="en-GB"/>
        </w:rPr>
        <w:t xml:space="preserve"> </w:t>
      </w:r>
      <w:r w:rsidRPr="00511E38">
        <w:rPr>
          <w:rFonts w:asciiTheme="minorHAnsi" w:hAnsiTheme="minorHAnsi" w:cstheme="minorHAnsi"/>
          <w:lang w:val="en-GB"/>
        </w:rPr>
        <w:t>coefficients of the risk factors in the original FRAX model</w:t>
      </w:r>
      <w:r w:rsidR="000E50FB" w:rsidRPr="00511E38">
        <w:rPr>
          <w:rFonts w:asciiTheme="minorHAnsi" w:hAnsiTheme="minorHAnsi" w:cstheme="minorHAnsi"/>
          <w:lang w:val="en-GB"/>
        </w:rPr>
        <w:t xml:space="preserve"> </w:t>
      </w:r>
      <w:r w:rsidR="00EC146D" w:rsidRPr="00511E38">
        <w:rPr>
          <w:rFonts w:asciiTheme="minorHAnsi" w:hAnsiTheme="minorHAnsi" w:cstheme="minorHAnsi"/>
          <w:lang w:val="en-GB"/>
        </w:rPr>
        <w:t>with</w:t>
      </w:r>
      <w:r w:rsidRPr="00511E38">
        <w:rPr>
          <w:rFonts w:asciiTheme="minorHAnsi" w:hAnsiTheme="minorHAnsi" w:cstheme="minorHAnsi"/>
          <w:lang w:val="en-GB"/>
        </w:rPr>
        <w:t xml:space="preserve"> the incidence rates of hip fracture and mortality rates for</w:t>
      </w:r>
      <w:r w:rsidR="000E50FB" w:rsidRPr="00511E38">
        <w:rPr>
          <w:rFonts w:asciiTheme="minorHAnsi" w:hAnsiTheme="minorHAnsi" w:cstheme="minorHAnsi"/>
          <w:lang w:val="en-GB"/>
        </w:rPr>
        <w:t xml:space="preserve"> </w:t>
      </w:r>
      <w:r w:rsidR="006B46F5" w:rsidRPr="006B46F5">
        <w:rPr>
          <w:rFonts w:asciiTheme="minorHAnsi" w:hAnsiTheme="minorHAnsi" w:cstheme="minorHAnsi"/>
          <w:lang w:val="en-GB"/>
        </w:rPr>
        <w:t>Kazakhsta</w:t>
      </w:r>
      <w:r w:rsidR="006B46F5" w:rsidRPr="00D16135">
        <w:rPr>
          <w:rFonts w:asciiTheme="minorHAnsi" w:hAnsiTheme="minorHAnsi" w:cstheme="minorHAnsi"/>
          <w:lang w:val="en-GB"/>
        </w:rPr>
        <w:t>n</w:t>
      </w:r>
      <w:r w:rsidRPr="00D16135">
        <w:rPr>
          <w:rFonts w:asciiTheme="minorHAnsi" w:hAnsiTheme="minorHAnsi" w:cstheme="minorHAnsi"/>
          <w:lang w:val="en-GB"/>
        </w:rPr>
        <w:t xml:space="preserve">. </w:t>
      </w:r>
      <w:r w:rsidR="00FC0062" w:rsidRPr="00091967">
        <w:rPr>
          <w:rFonts w:asciiTheme="minorHAnsi" w:hAnsiTheme="minorHAnsi" w:cstheme="minorHAnsi"/>
          <w:lang w:val="en-GB"/>
        </w:rPr>
        <w:t xml:space="preserve">National mortality rates used data from the </w:t>
      </w:r>
      <w:r w:rsidR="00D55E62">
        <w:rPr>
          <w:rFonts w:asciiTheme="minorHAnsi" w:hAnsiTheme="minorHAnsi" w:cstheme="minorHAnsi"/>
          <w:lang w:val="en-GB"/>
        </w:rPr>
        <w:t>World Health Organization</w:t>
      </w:r>
      <w:r w:rsidR="00FC0062" w:rsidRPr="00091967">
        <w:rPr>
          <w:rFonts w:asciiTheme="minorHAnsi" w:hAnsiTheme="minorHAnsi" w:cstheme="minorHAnsi"/>
          <w:lang w:val="en-GB"/>
        </w:rPr>
        <w:t xml:space="preserve"> for 20</w:t>
      </w:r>
      <w:r w:rsidR="00A14B89">
        <w:rPr>
          <w:rFonts w:asciiTheme="minorHAnsi" w:hAnsiTheme="minorHAnsi" w:cstheme="minorHAnsi"/>
          <w:lang w:val="en-GB"/>
        </w:rPr>
        <w:t>1</w:t>
      </w:r>
      <w:r w:rsidR="00CA4161">
        <w:rPr>
          <w:rFonts w:asciiTheme="minorHAnsi" w:hAnsiTheme="minorHAnsi" w:cstheme="minorHAnsi"/>
          <w:lang w:val="en-GB"/>
        </w:rPr>
        <w:t>5</w:t>
      </w:r>
      <w:r w:rsidR="00FC0062" w:rsidRPr="00091967">
        <w:rPr>
          <w:rFonts w:asciiTheme="minorHAnsi" w:hAnsiTheme="minorHAnsi" w:cstheme="minorHAnsi"/>
          <w:lang w:val="en-GB"/>
        </w:rPr>
        <w:t xml:space="preserve"> [</w:t>
      </w:r>
      <w:r w:rsidR="00E6658D" w:rsidRPr="00091967">
        <w:rPr>
          <w:rFonts w:asciiTheme="minorHAnsi" w:hAnsiTheme="minorHAnsi" w:cstheme="minorHAnsi"/>
          <w:lang w:val="en-GB"/>
        </w:rPr>
        <w:t>19</w:t>
      </w:r>
      <w:r w:rsidR="00FC0062" w:rsidRPr="00091967">
        <w:rPr>
          <w:rFonts w:asciiTheme="minorHAnsi" w:hAnsiTheme="minorHAnsi" w:cstheme="minorHAnsi"/>
          <w:lang w:val="en-GB"/>
        </w:rPr>
        <w:t xml:space="preserve">]. </w:t>
      </w:r>
      <w:r w:rsidR="001A00A2" w:rsidRPr="00091967">
        <w:rPr>
          <w:rFonts w:asciiTheme="minorHAnsi" w:hAnsiTheme="minorHAnsi" w:cstheme="minorHAnsi"/>
          <w:lang w:val="en-GB"/>
        </w:rPr>
        <w:t>Ten-year</w:t>
      </w:r>
      <w:r w:rsidR="00FC0062" w:rsidRPr="0085084C">
        <w:rPr>
          <w:rFonts w:asciiTheme="minorHAnsi" w:hAnsiTheme="minorHAnsi" w:cstheme="minorHAnsi"/>
          <w:lang w:val="en-GB"/>
        </w:rPr>
        <w:t xml:space="preserve"> fracture probabilities were compared to </w:t>
      </w:r>
      <w:r w:rsidR="001A00A2" w:rsidRPr="0085084C">
        <w:rPr>
          <w:rFonts w:asciiTheme="minorHAnsi" w:hAnsiTheme="minorHAnsi" w:cstheme="minorHAnsi"/>
          <w:lang w:val="en-GB"/>
        </w:rPr>
        <w:t>t</w:t>
      </w:r>
      <w:r w:rsidR="00FC0062" w:rsidRPr="0085084C">
        <w:rPr>
          <w:rFonts w:asciiTheme="minorHAnsi" w:hAnsiTheme="minorHAnsi" w:cstheme="minorHAnsi"/>
          <w:lang w:val="en-GB"/>
        </w:rPr>
        <w:t>hose of neighbouring countries</w:t>
      </w:r>
      <w:r w:rsidR="008204E5">
        <w:rPr>
          <w:rFonts w:asciiTheme="minorHAnsi" w:hAnsiTheme="minorHAnsi" w:cstheme="minorHAnsi"/>
          <w:lang w:val="en-GB"/>
        </w:rPr>
        <w:t xml:space="preserve"> where a FRAX model was available</w:t>
      </w:r>
      <w:r w:rsidR="00FC0062" w:rsidRPr="0085084C">
        <w:rPr>
          <w:rFonts w:asciiTheme="minorHAnsi" w:hAnsiTheme="minorHAnsi" w:cstheme="minorHAnsi"/>
          <w:lang w:val="en-GB"/>
        </w:rPr>
        <w:t xml:space="preserve"> (</w:t>
      </w:r>
      <w:r w:rsidR="0085084C" w:rsidRPr="0085084C">
        <w:rPr>
          <w:rFonts w:asciiTheme="minorHAnsi" w:hAnsiTheme="minorHAnsi" w:cstheme="minorHAnsi"/>
          <w:lang w:val="en-GB"/>
        </w:rPr>
        <w:t>China</w:t>
      </w:r>
      <w:r w:rsidR="00FC0062" w:rsidRPr="0085084C">
        <w:rPr>
          <w:rFonts w:asciiTheme="minorHAnsi" w:hAnsiTheme="minorHAnsi" w:cstheme="minorHAnsi"/>
          <w:lang w:val="en-GB"/>
        </w:rPr>
        <w:t xml:space="preserve"> and </w:t>
      </w:r>
      <w:r w:rsidR="0085084C" w:rsidRPr="0085084C">
        <w:rPr>
          <w:rFonts w:asciiTheme="minorHAnsi" w:hAnsiTheme="minorHAnsi" w:cstheme="minorHAnsi"/>
          <w:lang w:val="en-GB"/>
        </w:rPr>
        <w:t>Russia</w:t>
      </w:r>
      <w:r w:rsidR="00FC0062" w:rsidRPr="0085084C">
        <w:rPr>
          <w:rFonts w:asciiTheme="minorHAnsi" w:hAnsiTheme="minorHAnsi" w:cstheme="minorHAnsi"/>
          <w:lang w:val="en-GB"/>
        </w:rPr>
        <w:t>).</w:t>
      </w:r>
    </w:p>
    <w:p w14:paraId="14CC06E0" w14:textId="723073AC" w:rsidR="000E50FB" w:rsidRPr="00A81361" w:rsidRDefault="000E50FB" w:rsidP="00F94319">
      <w:pPr>
        <w:spacing w:line="276" w:lineRule="auto"/>
        <w:ind w:left="567" w:right="1133"/>
        <w:rPr>
          <w:rFonts w:asciiTheme="minorHAnsi" w:hAnsiTheme="minorHAnsi" w:cstheme="minorHAnsi"/>
          <w:highlight w:val="yellow"/>
          <w:lang w:val="en-GB"/>
        </w:rPr>
      </w:pPr>
    </w:p>
    <w:p w14:paraId="47D28572" w14:textId="2FECE294" w:rsidR="000E50FB" w:rsidRPr="008204E5" w:rsidRDefault="000E50FB" w:rsidP="000E50FB">
      <w:pPr>
        <w:spacing w:line="276" w:lineRule="auto"/>
        <w:ind w:left="567" w:right="1133"/>
        <w:rPr>
          <w:rFonts w:asciiTheme="minorHAnsi" w:hAnsiTheme="minorHAnsi" w:cstheme="minorHAnsi"/>
          <w:lang w:val="en-GB"/>
        </w:rPr>
      </w:pPr>
      <w:r w:rsidRPr="008204E5">
        <w:rPr>
          <w:rFonts w:asciiTheme="minorHAnsi" w:hAnsiTheme="minorHAnsi" w:cstheme="minorHAnsi"/>
          <w:lang w:val="en-GB"/>
        </w:rPr>
        <w:t xml:space="preserve">In order to compare </w:t>
      </w:r>
      <w:r w:rsidR="008204E5" w:rsidRPr="008204E5">
        <w:rPr>
          <w:rFonts w:asciiTheme="minorHAnsi" w:hAnsiTheme="minorHAnsi" w:cstheme="minorHAnsi"/>
          <w:lang w:val="en-GB"/>
        </w:rPr>
        <w:t>Kazakh</w:t>
      </w:r>
      <w:r w:rsidRPr="008204E5">
        <w:rPr>
          <w:rFonts w:asciiTheme="minorHAnsi" w:hAnsiTheme="minorHAnsi" w:cstheme="minorHAnsi"/>
          <w:lang w:val="en-GB"/>
        </w:rPr>
        <w:t xml:space="preserve"> hip fracture probabilities with those of other regions of the world, the remaining lifetime probability of hip fracture from the age of 50 years was calculated for men and women, as described </w:t>
      </w:r>
      <w:r w:rsidR="00717523">
        <w:rPr>
          <w:rFonts w:asciiTheme="minorHAnsi" w:hAnsiTheme="minorHAnsi" w:cstheme="minorHAnsi"/>
          <w:lang w:val="en-GB"/>
        </w:rPr>
        <w:t>p</w:t>
      </w:r>
      <w:r w:rsidR="00C05FAC">
        <w:rPr>
          <w:rFonts w:asciiTheme="minorHAnsi" w:hAnsiTheme="minorHAnsi" w:cstheme="minorHAnsi"/>
          <w:lang w:val="en-GB"/>
        </w:rPr>
        <w:t>reviously</w:t>
      </w:r>
      <w:r w:rsidRPr="008204E5">
        <w:rPr>
          <w:rFonts w:asciiTheme="minorHAnsi" w:hAnsiTheme="minorHAnsi" w:cstheme="minorHAnsi"/>
          <w:lang w:val="en-GB"/>
        </w:rPr>
        <w:t xml:space="preserve"> [</w:t>
      </w:r>
      <w:r w:rsidR="00107C3C">
        <w:rPr>
          <w:rFonts w:asciiTheme="minorHAnsi" w:hAnsiTheme="minorHAnsi" w:cstheme="minorHAnsi"/>
          <w:lang w:val="en-GB"/>
        </w:rPr>
        <w:t>20</w:t>
      </w:r>
      <w:r w:rsidRPr="008204E5">
        <w:rPr>
          <w:rFonts w:asciiTheme="minorHAnsi" w:hAnsiTheme="minorHAnsi" w:cstheme="minorHAnsi"/>
          <w:lang w:val="en-GB"/>
        </w:rPr>
        <w:t xml:space="preserve">]. In the present analysis, values for </w:t>
      </w:r>
      <w:r w:rsidR="00271EBA" w:rsidRPr="00271EBA">
        <w:rPr>
          <w:rFonts w:asciiTheme="minorHAnsi" w:hAnsiTheme="minorHAnsi" w:cstheme="minorHAnsi"/>
          <w:lang w:val="en-GB"/>
        </w:rPr>
        <w:t>Kazakhstan</w:t>
      </w:r>
      <w:r w:rsidRPr="008204E5">
        <w:rPr>
          <w:rFonts w:asciiTheme="minorHAnsi" w:hAnsiTheme="minorHAnsi" w:cstheme="minorHAnsi"/>
          <w:lang w:val="en-GB"/>
        </w:rPr>
        <w:t xml:space="preserve"> were compared with those of China (with and without inclusion of Hong Kong), Canada, Denmark, Finland, France, Hungary, Mexico, </w:t>
      </w:r>
      <w:r w:rsidR="008204E5" w:rsidRPr="008204E5">
        <w:rPr>
          <w:rFonts w:asciiTheme="minorHAnsi" w:hAnsiTheme="minorHAnsi" w:cstheme="minorHAnsi"/>
          <w:lang w:val="en-GB"/>
        </w:rPr>
        <w:t xml:space="preserve">Moldova, </w:t>
      </w:r>
      <w:r w:rsidRPr="008204E5">
        <w:rPr>
          <w:rFonts w:asciiTheme="minorHAnsi" w:hAnsiTheme="minorHAnsi" w:cstheme="minorHAnsi"/>
          <w:lang w:val="en-GB"/>
        </w:rPr>
        <w:t xml:space="preserve">Poland, Portugal, </w:t>
      </w:r>
      <w:r w:rsidR="008B3727" w:rsidRPr="008204E5">
        <w:rPr>
          <w:rFonts w:asciiTheme="minorHAnsi" w:hAnsiTheme="minorHAnsi" w:cstheme="minorHAnsi"/>
          <w:lang w:val="en-GB"/>
        </w:rPr>
        <w:t xml:space="preserve">Russia, </w:t>
      </w:r>
      <w:r w:rsidRPr="008204E5">
        <w:rPr>
          <w:rFonts w:asciiTheme="minorHAnsi" w:hAnsiTheme="minorHAnsi" w:cstheme="minorHAnsi"/>
          <w:lang w:val="en-GB"/>
        </w:rPr>
        <w:t xml:space="preserve">Spain, Sweden, </w:t>
      </w:r>
      <w:r w:rsidR="00BB4B5A" w:rsidRPr="008204E5">
        <w:rPr>
          <w:rFonts w:asciiTheme="minorHAnsi" w:hAnsiTheme="minorHAnsi" w:cstheme="minorHAnsi"/>
          <w:lang w:val="en-GB"/>
        </w:rPr>
        <w:t>Turkey, Ukraine</w:t>
      </w:r>
      <w:r w:rsidR="008B3727" w:rsidRPr="008204E5">
        <w:rPr>
          <w:rFonts w:asciiTheme="minorHAnsi" w:hAnsiTheme="minorHAnsi" w:cstheme="minorHAnsi"/>
          <w:lang w:val="en-GB"/>
        </w:rPr>
        <w:t xml:space="preserve">, </w:t>
      </w:r>
      <w:r w:rsidRPr="008204E5">
        <w:rPr>
          <w:rFonts w:asciiTheme="minorHAnsi" w:hAnsiTheme="minorHAnsi" w:cstheme="minorHAnsi"/>
          <w:lang w:val="en-GB"/>
        </w:rPr>
        <w:t>United Kingdom, and the United States.</w:t>
      </w:r>
    </w:p>
    <w:p w14:paraId="54E37832" w14:textId="77777777" w:rsidR="000E50FB" w:rsidRPr="00A81361" w:rsidRDefault="000E50FB" w:rsidP="00F94319">
      <w:pPr>
        <w:spacing w:line="276" w:lineRule="auto"/>
        <w:ind w:left="567" w:right="1133"/>
        <w:rPr>
          <w:rFonts w:asciiTheme="minorHAnsi" w:hAnsiTheme="minorHAnsi" w:cstheme="minorHAnsi"/>
          <w:highlight w:val="yellow"/>
          <w:lang w:val="en-GB"/>
        </w:rPr>
      </w:pPr>
    </w:p>
    <w:p w14:paraId="19A08ABB" w14:textId="0083734E" w:rsidR="00286D3C" w:rsidRPr="008204E5" w:rsidRDefault="00147509" w:rsidP="00C11242">
      <w:pPr>
        <w:spacing w:line="276" w:lineRule="auto"/>
        <w:ind w:left="567" w:right="1133"/>
        <w:rPr>
          <w:rFonts w:asciiTheme="minorHAnsi" w:hAnsiTheme="minorHAnsi" w:cstheme="minorHAnsi"/>
          <w:b/>
          <w:lang w:val="en-GB"/>
        </w:rPr>
      </w:pPr>
      <w:r w:rsidRPr="008204E5">
        <w:rPr>
          <w:rFonts w:asciiTheme="minorHAnsi" w:hAnsiTheme="minorHAnsi" w:cstheme="minorHAnsi"/>
          <w:b/>
          <w:lang w:val="en-GB"/>
        </w:rPr>
        <w:t>Results</w:t>
      </w:r>
      <w:r w:rsidR="00286D3C" w:rsidRPr="008204E5">
        <w:rPr>
          <w:rFonts w:asciiTheme="minorHAnsi" w:hAnsiTheme="minorHAnsi" w:cstheme="minorHAnsi"/>
          <w:b/>
          <w:lang w:val="en-GB"/>
        </w:rPr>
        <w:t xml:space="preserve"> </w:t>
      </w:r>
    </w:p>
    <w:p w14:paraId="3EF6D9D6" w14:textId="6809392F" w:rsidR="00403D97" w:rsidRPr="00A81361" w:rsidRDefault="00194F68" w:rsidP="00E34D8C">
      <w:pPr>
        <w:spacing w:line="276" w:lineRule="auto"/>
        <w:ind w:left="567" w:right="1133"/>
        <w:rPr>
          <w:rFonts w:asciiTheme="minorHAnsi" w:hAnsiTheme="minorHAnsi" w:cstheme="minorHAnsi"/>
          <w:lang w:val="en-GB"/>
        </w:rPr>
      </w:pPr>
      <w:r w:rsidRPr="00A81361">
        <w:rPr>
          <w:rFonts w:asciiTheme="minorHAnsi" w:hAnsiTheme="minorHAnsi" w:cstheme="minorHAnsi"/>
          <w:lang w:val="en-GB"/>
        </w:rPr>
        <w:t>A</w:t>
      </w:r>
      <w:r w:rsidR="00A84FC2" w:rsidRPr="00A81361">
        <w:rPr>
          <w:rFonts w:asciiTheme="minorHAnsi" w:hAnsiTheme="minorHAnsi" w:cstheme="minorHAnsi"/>
          <w:lang w:val="en-GB"/>
        </w:rPr>
        <w:t xml:space="preserve"> total of </w:t>
      </w:r>
      <w:r w:rsidR="00363689" w:rsidRPr="00A81361">
        <w:rPr>
          <w:rFonts w:asciiTheme="minorHAnsi" w:hAnsiTheme="minorHAnsi" w:cstheme="minorHAnsi"/>
          <w:lang w:val="en-GB"/>
        </w:rPr>
        <w:t>10</w:t>
      </w:r>
      <w:r w:rsidR="00363689">
        <w:rPr>
          <w:rFonts w:asciiTheme="minorHAnsi" w:hAnsiTheme="minorHAnsi" w:cstheme="minorHAnsi"/>
          <w:lang w:val="en-GB"/>
        </w:rPr>
        <w:t>58</w:t>
      </w:r>
      <w:r w:rsidR="00363689" w:rsidRPr="00A81361">
        <w:rPr>
          <w:rFonts w:asciiTheme="minorHAnsi" w:hAnsiTheme="minorHAnsi" w:cstheme="minorHAnsi"/>
          <w:lang w:val="en-GB"/>
        </w:rPr>
        <w:t xml:space="preserve"> </w:t>
      </w:r>
      <w:r w:rsidR="00A84FC2" w:rsidRPr="00A81361">
        <w:rPr>
          <w:rFonts w:asciiTheme="minorHAnsi" w:hAnsiTheme="minorHAnsi" w:cstheme="minorHAnsi"/>
          <w:lang w:val="en-GB"/>
        </w:rPr>
        <w:t xml:space="preserve">fractures </w:t>
      </w:r>
      <w:r w:rsidR="00147509" w:rsidRPr="00A81361">
        <w:rPr>
          <w:rFonts w:asciiTheme="minorHAnsi" w:hAnsiTheme="minorHAnsi" w:cstheme="minorHAnsi"/>
          <w:lang w:val="en-GB"/>
        </w:rPr>
        <w:t xml:space="preserve">were identified in individuals </w:t>
      </w:r>
      <w:r w:rsidR="003C53D7" w:rsidRPr="00A81361">
        <w:rPr>
          <w:rFonts w:asciiTheme="minorHAnsi" w:hAnsiTheme="minorHAnsi" w:cstheme="minorHAnsi"/>
          <w:lang w:val="en-GB"/>
        </w:rPr>
        <w:t>age</w:t>
      </w:r>
      <w:r w:rsidR="00147509" w:rsidRPr="00A81361">
        <w:rPr>
          <w:rFonts w:asciiTheme="minorHAnsi" w:hAnsiTheme="minorHAnsi" w:cstheme="minorHAnsi"/>
          <w:lang w:val="en-GB"/>
        </w:rPr>
        <w:t xml:space="preserve"> 40 years</w:t>
      </w:r>
      <w:r w:rsidR="003C53D7" w:rsidRPr="00A81361">
        <w:rPr>
          <w:rFonts w:asciiTheme="minorHAnsi" w:hAnsiTheme="minorHAnsi" w:cstheme="minorHAnsi"/>
          <w:lang w:val="en-GB"/>
        </w:rPr>
        <w:t xml:space="preserve"> or more</w:t>
      </w:r>
      <w:r w:rsidR="00147509" w:rsidRPr="00A81361">
        <w:rPr>
          <w:rFonts w:asciiTheme="minorHAnsi" w:hAnsiTheme="minorHAnsi" w:cstheme="minorHAnsi"/>
          <w:lang w:val="en-GB"/>
        </w:rPr>
        <w:t xml:space="preserve">.  These </w:t>
      </w:r>
      <w:r w:rsidR="003C53D7" w:rsidRPr="00A81361">
        <w:rPr>
          <w:rFonts w:asciiTheme="minorHAnsi" w:hAnsiTheme="minorHAnsi" w:cstheme="minorHAnsi"/>
          <w:lang w:val="en-GB"/>
        </w:rPr>
        <w:t>comprised 34</w:t>
      </w:r>
      <w:r w:rsidR="007E4752" w:rsidRPr="00A81361">
        <w:rPr>
          <w:rFonts w:asciiTheme="minorHAnsi" w:hAnsiTheme="minorHAnsi" w:cstheme="minorHAnsi"/>
          <w:lang w:val="en-GB"/>
        </w:rPr>
        <w:t>8</w:t>
      </w:r>
      <w:r w:rsidR="00A84FC2" w:rsidRPr="00A81361">
        <w:rPr>
          <w:rFonts w:asciiTheme="minorHAnsi" w:hAnsiTheme="minorHAnsi" w:cstheme="minorHAnsi"/>
          <w:lang w:val="en-GB"/>
        </w:rPr>
        <w:t xml:space="preserve"> hip</w:t>
      </w:r>
      <w:r w:rsidR="00147509" w:rsidRPr="00A81361">
        <w:rPr>
          <w:rFonts w:asciiTheme="minorHAnsi" w:hAnsiTheme="minorHAnsi" w:cstheme="minorHAnsi"/>
          <w:lang w:val="en-GB"/>
        </w:rPr>
        <w:t xml:space="preserve"> fractures</w:t>
      </w:r>
      <w:r w:rsidR="00841EC8">
        <w:rPr>
          <w:rFonts w:asciiTheme="minorHAnsi" w:hAnsiTheme="minorHAnsi" w:cstheme="minorHAnsi"/>
          <w:lang w:val="en-GB"/>
        </w:rPr>
        <w:t xml:space="preserve"> (</w:t>
      </w:r>
      <w:r w:rsidR="00BB1377" w:rsidRPr="00BB1377">
        <w:rPr>
          <w:rFonts w:asciiTheme="minorHAnsi" w:hAnsiTheme="minorHAnsi" w:cstheme="minorHAnsi"/>
          <w:lang w:val="en-GB"/>
        </w:rPr>
        <w:t>2015, 2016 and 2017</w:t>
      </w:r>
      <w:r w:rsidR="00EA3DBB">
        <w:rPr>
          <w:rFonts w:asciiTheme="minorHAnsi" w:hAnsiTheme="minorHAnsi" w:cstheme="minorHAnsi"/>
          <w:lang w:val="en-GB"/>
        </w:rPr>
        <w:t>)</w:t>
      </w:r>
      <w:r w:rsidR="00A84FC2" w:rsidRPr="00A81361">
        <w:rPr>
          <w:rFonts w:asciiTheme="minorHAnsi" w:hAnsiTheme="minorHAnsi" w:cstheme="minorHAnsi"/>
          <w:lang w:val="en-GB"/>
        </w:rPr>
        <w:t xml:space="preserve">, </w:t>
      </w:r>
      <w:r w:rsidR="00D81CC8" w:rsidRPr="00A81361">
        <w:rPr>
          <w:rFonts w:asciiTheme="minorHAnsi" w:hAnsiTheme="minorHAnsi" w:cstheme="minorHAnsi"/>
          <w:lang w:val="en-GB"/>
        </w:rPr>
        <w:t>17</w:t>
      </w:r>
      <w:r w:rsidR="00D81CC8">
        <w:rPr>
          <w:rFonts w:asciiTheme="minorHAnsi" w:hAnsiTheme="minorHAnsi" w:cstheme="minorHAnsi"/>
          <w:lang w:val="en-GB"/>
        </w:rPr>
        <w:t>4</w:t>
      </w:r>
      <w:r w:rsidR="00D81CC8" w:rsidRPr="00A81361">
        <w:rPr>
          <w:rFonts w:asciiTheme="minorHAnsi" w:hAnsiTheme="minorHAnsi" w:cstheme="minorHAnsi"/>
          <w:lang w:val="en-GB"/>
        </w:rPr>
        <w:t xml:space="preserve"> </w:t>
      </w:r>
      <w:r w:rsidR="003C53D7" w:rsidRPr="00A81361">
        <w:rPr>
          <w:rFonts w:asciiTheme="minorHAnsi" w:hAnsiTheme="minorHAnsi" w:cstheme="minorHAnsi"/>
          <w:lang w:val="en-GB"/>
        </w:rPr>
        <w:t>humerus</w:t>
      </w:r>
      <w:r w:rsidR="00147509" w:rsidRPr="00A81361">
        <w:rPr>
          <w:rFonts w:asciiTheme="minorHAnsi" w:hAnsiTheme="minorHAnsi" w:cstheme="minorHAnsi"/>
          <w:lang w:val="en-GB"/>
        </w:rPr>
        <w:t xml:space="preserve"> and </w:t>
      </w:r>
      <w:r w:rsidR="000B5BF9" w:rsidRPr="00A81361">
        <w:rPr>
          <w:rFonts w:asciiTheme="minorHAnsi" w:hAnsiTheme="minorHAnsi" w:cstheme="minorHAnsi"/>
          <w:lang w:val="en-GB"/>
        </w:rPr>
        <w:t>53</w:t>
      </w:r>
      <w:r w:rsidR="000B5BF9">
        <w:rPr>
          <w:rFonts w:asciiTheme="minorHAnsi" w:hAnsiTheme="minorHAnsi" w:cstheme="minorHAnsi"/>
          <w:lang w:val="en-GB"/>
        </w:rPr>
        <w:t>6</w:t>
      </w:r>
      <w:r w:rsidR="000B5BF9" w:rsidRPr="00A81361">
        <w:rPr>
          <w:rFonts w:asciiTheme="minorHAnsi" w:hAnsiTheme="minorHAnsi" w:cstheme="minorHAnsi"/>
          <w:lang w:val="en-GB"/>
        </w:rPr>
        <w:t xml:space="preserve"> </w:t>
      </w:r>
      <w:r w:rsidR="003C53D7" w:rsidRPr="00A81361">
        <w:rPr>
          <w:rFonts w:asciiTheme="minorHAnsi" w:hAnsiTheme="minorHAnsi" w:cstheme="minorHAnsi"/>
          <w:lang w:val="en-GB"/>
        </w:rPr>
        <w:t>distal</w:t>
      </w:r>
      <w:r w:rsidR="00770655" w:rsidRPr="00A81361">
        <w:rPr>
          <w:rFonts w:asciiTheme="minorHAnsi" w:hAnsiTheme="minorHAnsi" w:cstheme="minorHAnsi"/>
          <w:lang w:val="en-GB"/>
        </w:rPr>
        <w:t xml:space="preserve"> forearm</w:t>
      </w:r>
      <w:r w:rsidR="00A84FC2" w:rsidRPr="00A81361">
        <w:rPr>
          <w:rFonts w:asciiTheme="minorHAnsi" w:hAnsiTheme="minorHAnsi" w:cstheme="minorHAnsi"/>
          <w:lang w:val="en-GB"/>
        </w:rPr>
        <w:t xml:space="preserve"> </w:t>
      </w:r>
      <w:r w:rsidR="00147509" w:rsidRPr="00A81361">
        <w:rPr>
          <w:rFonts w:asciiTheme="minorHAnsi" w:hAnsiTheme="minorHAnsi" w:cstheme="minorHAnsi"/>
          <w:lang w:val="en-GB"/>
        </w:rPr>
        <w:t>fractures</w:t>
      </w:r>
      <w:r w:rsidR="00EA3DBB">
        <w:rPr>
          <w:rFonts w:asciiTheme="minorHAnsi" w:hAnsiTheme="minorHAnsi" w:cstheme="minorHAnsi"/>
          <w:lang w:val="en-GB"/>
        </w:rPr>
        <w:t xml:space="preserve"> (</w:t>
      </w:r>
      <w:r w:rsidR="00EA3DBB" w:rsidRPr="00EA3DBB">
        <w:rPr>
          <w:rFonts w:asciiTheme="minorHAnsi" w:hAnsiTheme="minorHAnsi" w:cstheme="minorHAnsi"/>
          <w:lang w:val="en-GB"/>
        </w:rPr>
        <w:t>2015 and 2016</w:t>
      </w:r>
      <w:r w:rsidR="00EA3DBB">
        <w:rPr>
          <w:rFonts w:asciiTheme="minorHAnsi" w:hAnsiTheme="minorHAnsi" w:cstheme="minorHAnsi"/>
          <w:lang w:val="en-GB"/>
        </w:rPr>
        <w:t>)</w:t>
      </w:r>
      <w:r w:rsidR="00147509" w:rsidRPr="00A81361">
        <w:rPr>
          <w:rFonts w:asciiTheme="minorHAnsi" w:hAnsiTheme="minorHAnsi" w:cstheme="minorHAnsi"/>
          <w:lang w:val="en-GB"/>
        </w:rPr>
        <w:t xml:space="preserve">. </w:t>
      </w:r>
    </w:p>
    <w:p w14:paraId="584816A7" w14:textId="41E2C979" w:rsidR="00C91C96" w:rsidRPr="00A81361" w:rsidRDefault="00C91C96" w:rsidP="001D60DB">
      <w:pPr>
        <w:pStyle w:val="Heading3"/>
        <w:spacing w:after="0" w:afterAutospacing="0" w:line="276" w:lineRule="auto"/>
        <w:ind w:left="567" w:right="1133" w:firstLine="0"/>
        <w:rPr>
          <w:rFonts w:asciiTheme="minorHAnsi" w:hAnsiTheme="minorHAnsi" w:cstheme="minorHAnsi"/>
          <w:b w:val="0"/>
          <w:i/>
          <w:sz w:val="24"/>
          <w:szCs w:val="24"/>
          <w:lang w:val="en-GB"/>
        </w:rPr>
      </w:pPr>
      <w:r w:rsidRPr="00A81361">
        <w:rPr>
          <w:rFonts w:asciiTheme="minorHAnsi" w:hAnsiTheme="minorHAnsi" w:cstheme="minorHAnsi"/>
          <w:b w:val="0"/>
          <w:i/>
          <w:sz w:val="24"/>
          <w:szCs w:val="24"/>
          <w:lang w:val="en-GB"/>
        </w:rPr>
        <w:t>Hip fracture</w:t>
      </w:r>
    </w:p>
    <w:p w14:paraId="1E6156F3" w14:textId="7CEFAC9C" w:rsidR="00915ADE" w:rsidRPr="00A81361" w:rsidRDefault="00B76E1E">
      <w:pPr>
        <w:spacing w:line="276" w:lineRule="auto"/>
        <w:ind w:left="567" w:right="1133"/>
        <w:rPr>
          <w:rFonts w:asciiTheme="minorHAnsi" w:eastAsia="Calibri" w:hAnsiTheme="minorHAnsi" w:cstheme="minorHAnsi"/>
          <w:highlight w:val="yellow"/>
          <w:lang w:val="en-GB" w:bidi="lo-LA"/>
        </w:rPr>
      </w:pPr>
      <w:r w:rsidRPr="00A81361">
        <w:rPr>
          <w:rFonts w:asciiTheme="minorHAnsi" w:eastAsia="Calibri" w:hAnsiTheme="minorHAnsi" w:cstheme="minorHAnsi"/>
          <w:lang w:val="en-GB" w:bidi="lo-LA"/>
        </w:rPr>
        <w:t xml:space="preserve">A total of </w:t>
      </w:r>
      <w:r w:rsidR="003F4E2B" w:rsidRPr="00A81361">
        <w:rPr>
          <w:rFonts w:asciiTheme="minorHAnsi" w:eastAsia="Calibri" w:hAnsiTheme="minorHAnsi" w:cstheme="minorHAnsi"/>
          <w:lang w:val="en-GB" w:bidi="lo-LA"/>
        </w:rPr>
        <w:t>134</w:t>
      </w:r>
      <w:r w:rsidRPr="00A81361">
        <w:rPr>
          <w:rFonts w:asciiTheme="minorHAnsi" w:eastAsia="Calibri" w:hAnsiTheme="minorHAnsi" w:cstheme="minorHAnsi"/>
          <w:lang w:val="en-GB" w:bidi="lo-LA"/>
        </w:rPr>
        <w:t xml:space="preserve"> hip fractures were identified in men and </w:t>
      </w:r>
      <w:r w:rsidR="003F4E2B" w:rsidRPr="00A81361">
        <w:rPr>
          <w:rFonts w:asciiTheme="minorHAnsi" w:eastAsia="Calibri" w:hAnsiTheme="minorHAnsi" w:cstheme="minorHAnsi"/>
          <w:lang w:val="en-GB" w:bidi="lo-LA"/>
        </w:rPr>
        <w:t>214</w:t>
      </w:r>
      <w:r w:rsidRPr="00A81361">
        <w:rPr>
          <w:rFonts w:asciiTheme="minorHAnsi" w:eastAsia="Calibri" w:hAnsiTheme="minorHAnsi" w:cstheme="minorHAnsi"/>
          <w:lang w:val="en-GB" w:bidi="lo-LA"/>
        </w:rPr>
        <w:t xml:space="preserve"> in women</w:t>
      </w:r>
      <w:r w:rsidR="00774C41" w:rsidRPr="00A81361">
        <w:rPr>
          <w:rFonts w:asciiTheme="minorHAnsi" w:eastAsia="Calibri" w:hAnsiTheme="minorHAnsi" w:cstheme="minorHAnsi"/>
          <w:lang w:val="en-GB" w:bidi="lo-LA"/>
        </w:rPr>
        <w:t xml:space="preserve"> </w:t>
      </w:r>
      <w:r w:rsidRPr="00A81361">
        <w:rPr>
          <w:rFonts w:asciiTheme="minorHAnsi" w:eastAsia="Calibri" w:hAnsiTheme="minorHAnsi" w:cstheme="minorHAnsi"/>
          <w:lang w:val="en-GB" w:bidi="lo-LA"/>
        </w:rPr>
        <w:t>(female/male ratio 1.</w:t>
      </w:r>
      <w:r w:rsidR="00822978" w:rsidRPr="00A81361">
        <w:rPr>
          <w:rFonts w:asciiTheme="minorHAnsi" w:eastAsia="Calibri" w:hAnsiTheme="minorHAnsi" w:cstheme="minorHAnsi"/>
          <w:lang w:val="en-GB" w:bidi="lo-LA"/>
        </w:rPr>
        <w:t>6</w:t>
      </w:r>
      <w:r w:rsidRPr="00A81361">
        <w:rPr>
          <w:rFonts w:asciiTheme="minorHAnsi" w:eastAsia="Calibri" w:hAnsiTheme="minorHAnsi" w:cstheme="minorHAnsi"/>
          <w:lang w:val="en-GB" w:bidi="lo-LA"/>
        </w:rPr>
        <w:t xml:space="preserve">). Below the age of 70 years, hip fractures were more </w:t>
      </w:r>
      <w:r w:rsidR="000019F2">
        <w:rPr>
          <w:rFonts w:asciiTheme="minorHAnsi" w:eastAsia="Calibri" w:hAnsiTheme="minorHAnsi" w:cstheme="minorHAnsi"/>
          <w:lang w:val="en-GB" w:bidi="lo-LA"/>
        </w:rPr>
        <w:t>common</w:t>
      </w:r>
      <w:r w:rsidRPr="00A81361">
        <w:rPr>
          <w:rFonts w:asciiTheme="minorHAnsi" w:eastAsia="Calibri" w:hAnsiTheme="minorHAnsi" w:cstheme="minorHAnsi"/>
          <w:lang w:val="en-GB" w:bidi="lo-LA"/>
        </w:rPr>
        <w:t xml:space="preserve"> in men than in women </w:t>
      </w:r>
      <w:bookmarkStart w:id="8" w:name="_Hlk1304622"/>
      <w:r w:rsidRPr="00A81361">
        <w:rPr>
          <w:rFonts w:asciiTheme="minorHAnsi" w:eastAsia="Calibri" w:hAnsiTheme="minorHAnsi" w:cstheme="minorHAnsi"/>
          <w:lang w:val="en-GB" w:bidi="lo-LA"/>
        </w:rPr>
        <w:t xml:space="preserve">(female/male ratio 0.8) </w:t>
      </w:r>
      <w:bookmarkEnd w:id="8"/>
      <w:r w:rsidRPr="00A81361">
        <w:rPr>
          <w:rFonts w:asciiTheme="minorHAnsi" w:eastAsia="Calibri" w:hAnsiTheme="minorHAnsi" w:cstheme="minorHAnsi"/>
          <w:lang w:val="en-GB" w:bidi="lo-LA"/>
        </w:rPr>
        <w:t xml:space="preserve">but thereafter were more </w:t>
      </w:r>
      <w:r w:rsidR="00C70BCD" w:rsidRPr="00A81361">
        <w:rPr>
          <w:rFonts w:asciiTheme="minorHAnsi" w:eastAsia="Calibri" w:hAnsiTheme="minorHAnsi" w:cstheme="minorHAnsi"/>
          <w:lang w:val="en-GB" w:bidi="lo-LA"/>
        </w:rPr>
        <w:t>frequent</w:t>
      </w:r>
      <w:r w:rsidRPr="00A81361">
        <w:rPr>
          <w:rFonts w:asciiTheme="minorHAnsi" w:eastAsia="Calibri" w:hAnsiTheme="minorHAnsi" w:cstheme="minorHAnsi"/>
          <w:lang w:val="en-GB" w:bidi="lo-LA"/>
        </w:rPr>
        <w:t xml:space="preserve"> in women </w:t>
      </w:r>
      <w:r w:rsidR="00915ADE" w:rsidRPr="00A81361">
        <w:rPr>
          <w:rFonts w:asciiTheme="minorHAnsi" w:eastAsia="Calibri" w:hAnsiTheme="minorHAnsi" w:cstheme="minorHAnsi"/>
          <w:lang w:val="en-GB" w:bidi="lo-LA"/>
        </w:rPr>
        <w:t>(female/male ratio 3.</w:t>
      </w:r>
      <w:r w:rsidR="00EB2F10" w:rsidRPr="00A81361">
        <w:rPr>
          <w:rFonts w:asciiTheme="minorHAnsi" w:eastAsia="Calibri" w:hAnsiTheme="minorHAnsi" w:cstheme="minorHAnsi"/>
          <w:lang w:val="en-GB" w:bidi="lo-LA"/>
        </w:rPr>
        <w:t>1</w:t>
      </w:r>
      <w:r w:rsidR="00915ADE" w:rsidRPr="00A81361">
        <w:rPr>
          <w:rFonts w:asciiTheme="minorHAnsi" w:eastAsia="Calibri" w:hAnsiTheme="minorHAnsi" w:cstheme="minorHAnsi"/>
          <w:lang w:val="en-GB" w:bidi="lo-LA"/>
        </w:rPr>
        <w:t>). The incidence of hip fracture increased with age in men and women, though more markedly in women (Table 1)</w:t>
      </w:r>
      <w:r w:rsidR="00791431" w:rsidRPr="00A81361">
        <w:rPr>
          <w:rFonts w:asciiTheme="minorHAnsi" w:eastAsia="Calibri" w:hAnsiTheme="minorHAnsi" w:cstheme="minorHAnsi"/>
          <w:lang w:val="en-GB" w:bidi="lo-LA"/>
        </w:rPr>
        <w:t xml:space="preserve">. </w:t>
      </w:r>
      <w:r w:rsidR="00915ADE" w:rsidRPr="00A81361">
        <w:rPr>
          <w:rFonts w:asciiTheme="minorHAnsi" w:eastAsia="Calibri" w:hAnsiTheme="minorHAnsi" w:cstheme="minorHAnsi"/>
          <w:lang w:val="en-GB" w:bidi="lo-LA"/>
        </w:rPr>
        <w:t xml:space="preserve">Of the </w:t>
      </w:r>
      <w:r w:rsidR="00E44543" w:rsidRPr="00A81361">
        <w:rPr>
          <w:rFonts w:asciiTheme="minorHAnsi" w:eastAsia="Calibri" w:hAnsiTheme="minorHAnsi" w:cstheme="minorHAnsi"/>
          <w:lang w:val="en-GB" w:bidi="lo-LA"/>
        </w:rPr>
        <w:t>348</w:t>
      </w:r>
      <w:r w:rsidR="00915ADE" w:rsidRPr="00A81361">
        <w:rPr>
          <w:rFonts w:asciiTheme="minorHAnsi" w:eastAsia="Calibri" w:hAnsiTheme="minorHAnsi" w:cstheme="minorHAnsi"/>
          <w:lang w:val="en-GB" w:bidi="lo-LA"/>
        </w:rPr>
        <w:t xml:space="preserve"> cases </w:t>
      </w:r>
      <w:r w:rsidR="00E44543" w:rsidRPr="00A81361">
        <w:rPr>
          <w:rFonts w:asciiTheme="minorHAnsi" w:eastAsia="Calibri" w:hAnsiTheme="minorHAnsi" w:cstheme="minorHAnsi"/>
          <w:lang w:val="en-GB" w:bidi="lo-LA"/>
        </w:rPr>
        <w:t>of</w:t>
      </w:r>
      <w:r w:rsidR="00915ADE" w:rsidRPr="00A81361">
        <w:rPr>
          <w:rFonts w:asciiTheme="minorHAnsi" w:eastAsia="Calibri" w:hAnsiTheme="minorHAnsi" w:cstheme="minorHAnsi"/>
          <w:lang w:val="en-GB" w:bidi="lo-LA"/>
        </w:rPr>
        <w:t xml:space="preserve"> hip fractures</w:t>
      </w:r>
      <w:r w:rsidR="00BD2692" w:rsidRPr="00A81361">
        <w:rPr>
          <w:rFonts w:asciiTheme="minorHAnsi" w:eastAsia="Calibri" w:hAnsiTheme="minorHAnsi" w:cstheme="minorHAnsi"/>
          <w:lang w:val="en-GB" w:bidi="lo-LA"/>
        </w:rPr>
        <w:t>,</w:t>
      </w:r>
      <w:r w:rsidR="00915ADE" w:rsidRPr="00A81361">
        <w:rPr>
          <w:rFonts w:asciiTheme="minorHAnsi" w:eastAsia="Calibri" w:hAnsiTheme="minorHAnsi" w:cstheme="minorHAnsi"/>
          <w:lang w:val="en-GB" w:bidi="lo-LA"/>
        </w:rPr>
        <w:t xml:space="preserve"> </w:t>
      </w:r>
      <w:r w:rsidR="00887DD7" w:rsidRPr="00A81361">
        <w:rPr>
          <w:rFonts w:asciiTheme="minorHAnsi" w:eastAsia="Calibri" w:hAnsiTheme="minorHAnsi" w:cstheme="minorHAnsi"/>
          <w:lang w:val="en-GB" w:bidi="lo-LA"/>
        </w:rPr>
        <w:t xml:space="preserve">82 </w:t>
      </w:r>
      <w:r w:rsidR="00914DAC" w:rsidRPr="00A81361">
        <w:rPr>
          <w:rFonts w:asciiTheme="minorHAnsi" w:eastAsia="Calibri" w:hAnsiTheme="minorHAnsi" w:cstheme="minorHAnsi"/>
          <w:lang w:val="en-GB" w:bidi="lo-LA"/>
        </w:rPr>
        <w:t>cases formally</w:t>
      </w:r>
      <w:r w:rsidR="005332EB" w:rsidRPr="00A81361">
        <w:rPr>
          <w:rFonts w:asciiTheme="minorHAnsi" w:eastAsia="Calibri" w:hAnsiTheme="minorHAnsi" w:cstheme="minorHAnsi"/>
          <w:lang w:val="en-GB" w:bidi="lo-LA"/>
        </w:rPr>
        <w:t xml:space="preserve"> </w:t>
      </w:r>
      <w:r w:rsidR="0011696E" w:rsidRPr="00A81361">
        <w:rPr>
          <w:rFonts w:asciiTheme="minorHAnsi" w:eastAsia="Calibri" w:hAnsiTheme="minorHAnsi" w:cstheme="minorHAnsi"/>
          <w:lang w:val="en-GB" w:bidi="lo-LA"/>
        </w:rPr>
        <w:t>(</w:t>
      </w:r>
      <w:r w:rsidR="003360DC" w:rsidRPr="00A81361">
        <w:rPr>
          <w:rFonts w:asciiTheme="minorHAnsi" w:eastAsia="Calibri" w:hAnsiTheme="minorHAnsi" w:cstheme="minorHAnsi"/>
          <w:lang w:val="en-GB" w:bidi="lo-LA"/>
        </w:rPr>
        <w:t>24</w:t>
      </w:r>
      <w:r w:rsidR="006025F4" w:rsidRPr="00A81361">
        <w:rPr>
          <w:rFonts w:asciiTheme="minorHAnsi" w:eastAsia="Calibri" w:hAnsiTheme="minorHAnsi" w:cstheme="minorHAnsi"/>
          <w:lang w:val="en-GB" w:bidi="lo-LA"/>
        </w:rPr>
        <w:t xml:space="preserve">%) </w:t>
      </w:r>
      <w:r w:rsidR="005332EB" w:rsidRPr="00A81361">
        <w:rPr>
          <w:rFonts w:asciiTheme="minorHAnsi" w:eastAsia="Calibri" w:hAnsiTheme="minorHAnsi" w:cstheme="minorHAnsi"/>
          <w:lang w:val="en-GB" w:bidi="lo-LA"/>
        </w:rPr>
        <w:t>refused hospital admission</w:t>
      </w:r>
      <w:r w:rsidR="004B71B0" w:rsidRPr="00A81361">
        <w:rPr>
          <w:rFonts w:asciiTheme="minorHAnsi" w:eastAsia="Calibri" w:hAnsiTheme="minorHAnsi" w:cstheme="minorHAnsi"/>
          <w:lang w:val="en-GB" w:bidi="lo-LA"/>
        </w:rPr>
        <w:t xml:space="preserve"> (27 m</w:t>
      </w:r>
      <w:r w:rsidR="00516FFF" w:rsidRPr="00A81361">
        <w:rPr>
          <w:rFonts w:asciiTheme="minorHAnsi" w:eastAsia="Calibri" w:hAnsiTheme="minorHAnsi" w:cstheme="minorHAnsi"/>
          <w:lang w:val="en-GB" w:bidi="lo-LA"/>
        </w:rPr>
        <w:t>e</w:t>
      </w:r>
      <w:r w:rsidR="004B71B0" w:rsidRPr="00A81361">
        <w:rPr>
          <w:rFonts w:asciiTheme="minorHAnsi" w:eastAsia="Calibri" w:hAnsiTheme="minorHAnsi" w:cstheme="minorHAnsi"/>
          <w:lang w:val="en-GB" w:bidi="lo-LA"/>
        </w:rPr>
        <w:t xml:space="preserve">n and </w:t>
      </w:r>
      <w:r w:rsidR="00516FFF" w:rsidRPr="00A81361">
        <w:rPr>
          <w:rFonts w:asciiTheme="minorHAnsi" w:eastAsia="Calibri" w:hAnsiTheme="minorHAnsi" w:cstheme="minorHAnsi"/>
          <w:lang w:val="en-GB" w:bidi="lo-LA"/>
        </w:rPr>
        <w:t>55 women)</w:t>
      </w:r>
      <w:r w:rsidR="006025F4" w:rsidRPr="00A81361">
        <w:rPr>
          <w:rFonts w:asciiTheme="minorHAnsi" w:eastAsia="Calibri" w:hAnsiTheme="minorHAnsi" w:cstheme="minorHAnsi"/>
          <w:lang w:val="en-GB" w:bidi="lo-LA"/>
        </w:rPr>
        <w:t>.</w:t>
      </w:r>
      <w:r w:rsidR="00516FFF" w:rsidRPr="00A81361">
        <w:rPr>
          <w:rFonts w:asciiTheme="minorHAnsi" w:eastAsia="Calibri" w:hAnsiTheme="minorHAnsi" w:cstheme="minorHAnsi"/>
          <w:lang w:val="en-GB" w:bidi="lo-LA"/>
        </w:rPr>
        <w:t xml:space="preserve"> </w:t>
      </w:r>
      <w:r w:rsidR="0041103E" w:rsidRPr="00A81361">
        <w:rPr>
          <w:rFonts w:asciiTheme="minorHAnsi" w:eastAsia="Calibri" w:hAnsiTheme="minorHAnsi" w:cstheme="minorHAnsi"/>
          <w:lang w:val="en-GB" w:bidi="lo-LA"/>
        </w:rPr>
        <w:t>The cases</w:t>
      </w:r>
      <w:r w:rsidR="009903BB" w:rsidRPr="00A81361">
        <w:rPr>
          <w:rFonts w:asciiTheme="minorHAnsi" w:eastAsia="Calibri" w:hAnsiTheme="minorHAnsi" w:cstheme="minorHAnsi"/>
          <w:lang w:val="en-GB" w:bidi="lo-LA"/>
        </w:rPr>
        <w:t xml:space="preserve"> that decli</w:t>
      </w:r>
      <w:r w:rsidR="0099275B" w:rsidRPr="00A81361">
        <w:rPr>
          <w:rFonts w:asciiTheme="minorHAnsi" w:eastAsia="Calibri" w:hAnsiTheme="minorHAnsi" w:cstheme="minorHAnsi"/>
          <w:lang w:val="en-GB" w:bidi="lo-LA"/>
        </w:rPr>
        <w:t>ned admission</w:t>
      </w:r>
      <w:r w:rsidR="0041103E" w:rsidRPr="00A81361">
        <w:rPr>
          <w:rFonts w:asciiTheme="minorHAnsi" w:eastAsia="Calibri" w:hAnsiTheme="minorHAnsi" w:cstheme="minorHAnsi"/>
          <w:lang w:val="en-GB" w:bidi="lo-LA"/>
        </w:rPr>
        <w:t xml:space="preserve"> increased in </w:t>
      </w:r>
      <w:r w:rsidR="00953314" w:rsidRPr="00A81361">
        <w:rPr>
          <w:rFonts w:asciiTheme="minorHAnsi" w:eastAsia="Calibri" w:hAnsiTheme="minorHAnsi" w:cstheme="minorHAnsi"/>
          <w:lang w:val="en-GB" w:bidi="lo-LA"/>
        </w:rPr>
        <w:t>frequency with age.</w:t>
      </w:r>
      <w:r w:rsidR="0099275B" w:rsidRPr="00A81361">
        <w:rPr>
          <w:rFonts w:asciiTheme="minorHAnsi" w:eastAsia="Calibri" w:hAnsiTheme="minorHAnsi" w:cstheme="minorHAnsi"/>
          <w:lang w:val="en-GB" w:bidi="lo-LA"/>
        </w:rPr>
        <w:t xml:space="preserve">  Of the 266 patients admitted to hospital</w:t>
      </w:r>
      <w:r w:rsidR="00AF69EC" w:rsidRPr="00A81361">
        <w:rPr>
          <w:rFonts w:asciiTheme="minorHAnsi" w:eastAsia="Calibri" w:hAnsiTheme="minorHAnsi" w:cstheme="minorHAnsi"/>
          <w:lang w:val="en-GB" w:bidi="lo-LA"/>
        </w:rPr>
        <w:t>,</w:t>
      </w:r>
      <w:r w:rsidR="00D73E89" w:rsidRPr="00A81361">
        <w:rPr>
          <w:rFonts w:asciiTheme="minorHAnsi" w:eastAsia="Calibri" w:hAnsiTheme="minorHAnsi" w:cstheme="minorHAnsi"/>
          <w:lang w:val="en-GB" w:bidi="lo-LA"/>
        </w:rPr>
        <w:t xml:space="preserve"> 200</w:t>
      </w:r>
      <w:r w:rsidR="008A65AE" w:rsidRPr="00A81361">
        <w:rPr>
          <w:rFonts w:asciiTheme="minorHAnsi" w:eastAsia="Calibri" w:hAnsiTheme="minorHAnsi" w:cstheme="minorHAnsi"/>
          <w:lang w:val="en-GB" w:bidi="lo-LA"/>
        </w:rPr>
        <w:t xml:space="preserve"> (75%</w:t>
      </w:r>
      <w:r w:rsidR="0063715A" w:rsidRPr="00A81361">
        <w:rPr>
          <w:rFonts w:asciiTheme="minorHAnsi" w:eastAsia="Calibri" w:hAnsiTheme="minorHAnsi" w:cstheme="minorHAnsi"/>
          <w:lang w:val="en-GB" w:bidi="lo-LA"/>
        </w:rPr>
        <w:t>)</w:t>
      </w:r>
      <w:r w:rsidR="008A65AE" w:rsidRPr="00A81361">
        <w:rPr>
          <w:rFonts w:asciiTheme="minorHAnsi" w:eastAsia="Calibri" w:hAnsiTheme="minorHAnsi" w:cstheme="minorHAnsi"/>
          <w:lang w:val="en-GB" w:bidi="lo-LA"/>
        </w:rPr>
        <w:t xml:space="preserve"> underwent surgery</w:t>
      </w:r>
      <w:r w:rsidR="0063715A" w:rsidRPr="00A81361">
        <w:rPr>
          <w:rFonts w:asciiTheme="minorHAnsi" w:eastAsia="Calibri" w:hAnsiTheme="minorHAnsi" w:cstheme="minorHAnsi"/>
          <w:lang w:val="en-GB" w:bidi="lo-LA"/>
        </w:rPr>
        <w:t>.  In total</w:t>
      </w:r>
      <w:r w:rsidR="00914DAC" w:rsidRPr="00A81361">
        <w:rPr>
          <w:rFonts w:asciiTheme="minorHAnsi" w:eastAsia="Calibri" w:hAnsiTheme="minorHAnsi" w:cstheme="minorHAnsi"/>
          <w:lang w:val="en-GB" w:bidi="lo-LA"/>
        </w:rPr>
        <w:t xml:space="preserve"> </w:t>
      </w:r>
      <w:r w:rsidR="00DF2794" w:rsidRPr="00A81361">
        <w:rPr>
          <w:rFonts w:asciiTheme="minorHAnsi" w:eastAsia="Calibri" w:hAnsiTheme="minorHAnsi" w:cstheme="minorHAnsi"/>
          <w:lang w:val="en-GB" w:bidi="lo-LA"/>
        </w:rPr>
        <w:t>43</w:t>
      </w:r>
      <w:r w:rsidR="004C3659" w:rsidRPr="00A81361">
        <w:rPr>
          <w:rFonts w:asciiTheme="minorHAnsi" w:eastAsia="Calibri" w:hAnsiTheme="minorHAnsi" w:cstheme="minorHAnsi"/>
          <w:lang w:val="en-GB" w:bidi="lo-LA"/>
        </w:rPr>
        <w:t xml:space="preserve">% of hip fracture cases were </w:t>
      </w:r>
      <w:r w:rsidR="00BD2692" w:rsidRPr="00A81361">
        <w:rPr>
          <w:rFonts w:asciiTheme="minorHAnsi" w:eastAsia="Calibri" w:hAnsiTheme="minorHAnsi" w:cstheme="minorHAnsi"/>
          <w:lang w:val="en-GB" w:bidi="lo-LA"/>
        </w:rPr>
        <w:t>e</w:t>
      </w:r>
      <w:r w:rsidR="004C3659" w:rsidRPr="00A81361">
        <w:rPr>
          <w:rFonts w:asciiTheme="minorHAnsi" w:eastAsia="Calibri" w:hAnsiTheme="minorHAnsi" w:cstheme="minorHAnsi"/>
          <w:lang w:val="en-GB" w:bidi="lo-LA"/>
        </w:rPr>
        <w:t>ither untreated or managed conservatively.</w:t>
      </w:r>
    </w:p>
    <w:p w14:paraId="093BF3EE" w14:textId="4A8A4457" w:rsidR="00A75BB1" w:rsidRPr="00A81361" w:rsidRDefault="00A75BB1" w:rsidP="00C05B08">
      <w:pPr>
        <w:spacing w:line="276" w:lineRule="auto"/>
        <w:ind w:right="141"/>
        <w:rPr>
          <w:rFonts w:asciiTheme="minorHAnsi" w:hAnsiTheme="minorHAnsi" w:cstheme="minorHAnsi"/>
          <w:b/>
          <w:highlight w:val="yellow"/>
          <w:lang w:val="en-GB"/>
        </w:rPr>
      </w:pPr>
      <w:bookmarkStart w:id="9" w:name="_Hlk1224717"/>
    </w:p>
    <w:p w14:paraId="3E5DF7FE" w14:textId="7913DA15" w:rsidR="00187528" w:rsidRPr="001C5DB0" w:rsidRDefault="00A75BB1" w:rsidP="0030661D">
      <w:pPr>
        <w:spacing w:line="276" w:lineRule="auto"/>
        <w:ind w:left="567" w:right="141"/>
        <w:rPr>
          <w:rFonts w:asciiTheme="minorHAnsi" w:hAnsiTheme="minorHAnsi" w:cstheme="minorHAnsi"/>
          <w:b/>
          <w:sz w:val="22"/>
          <w:szCs w:val="22"/>
          <w:lang w:val="en-GB"/>
        </w:rPr>
      </w:pPr>
      <w:r w:rsidRPr="001C5DB0">
        <w:rPr>
          <w:rFonts w:asciiTheme="minorHAnsi" w:hAnsiTheme="minorHAnsi" w:cstheme="minorHAnsi"/>
          <w:b/>
          <w:sz w:val="22"/>
          <w:szCs w:val="22"/>
          <w:lang w:val="en-GB"/>
        </w:rPr>
        <w:t xml:space="preserve"> Table 1. </w:t>
      </w:r>
      <w:r w:rsidR="00210EE3" w:rsidRPr="001C5DB0">
        <w:rPr>
          <w:rFonts w:asciiTheme="minorHAnsi" w:hAnsiTheme="minorHAnsi" w:cstheme="minorHAnsi"/>
          <w:sz w:val="22"/>
          <w:szCs w:val="22"/>
          <w:lang w:val="en-GB"/>
        </w:rPr>
        <w:t>Populatio</w:t>
      </w:r>
      <w:r w:rsidR="00BA5D17" w:rsidRPr="001C5DB0">
        <w:rPr>
          <w:rFonts w:asciiTheme="minorHAnsi" w:hAnsiTheme="minorHAnsi" w:cstheme="minorHAnsi"/>
          <w:sz w:val="22"/>
          <w:szCs w:val="22"/>
          <w:lang w:val="en-GB"/>
        </w:rPr>
        <w:t xml:space="preserve">n of the </w:t>
      </w:r>
      <w:r w:rsidR="00C20040" w:rsidRPr="001C5DB0">
        <w:rPr>
          <w:rFonts w:asciiTheme="minorHAnsi" w:hAnsiTheme="minorHAnsi" w:cstheme="minorHAnsi"/>
          <w:sz w:val="22"/>
          <w:szCs w:val="22"/>
          <w:lang w:val="en-GB"/>
        </w:rPr>
        <w:t>catchment</w:t>
      </w:r>
      <w:r w:rsidR="00BA5D17" w:rsidRPr="001C5DB0">
        <w:rPr>
          <w:rFonts w:asciiTheme="minorHAnsi" w:hAnsiTheme="minorHAnsi" w:cstheme="minorHAnsi"/>
          <w:sz w:val="22"/>
          <w:szCs w:val="22"/>
          <w:lang w:val="en-GB"/>
        </w:rPr>
        <w:t xml:space="preserve"> area, number of </w:t>
      </w:r>
      <w:r w:rsidR="00C20040" w:rsidRPr="001C5DB0">
        <w:rPr>
          <w:rFonts w:asciiTheme="minorHAnsi" w:hAnsiTheme="minorHAnsi" w:cstheme="minorHAnsi"/>
          <w:sz w:val="22"/>
          <w:szCs w:val="22"/>
          <w:lang w:val="en-GB"/>
        </w:rPr>
        <w:t>hip fractures and a</w:t>
      </w:r>
      <w:r w:rsidRPr="001C5DB0">
        <w:rPr>
          <w:rFonts w:asciiTheme="minorHAnsi" w:hAnsiTheme="minorHAnsi" w:cstheme="minorHAnsi"/>
          <w:sz w:val="22"/>
          <w:szCs w:val="22"/>
          <w:lang w:val="en-GB"/>
        </w:rPr>
        <w:t xml:space="preserve">nnual incidence of hip fractures (rate/100,000) in men and </w:t>
      </w:r>
      <w:r w:rsidR="0018004A" w:rsidRPr="001C5DB0">
        <w:rPr>
          <w:rFonts w:asciiTheme="minorHAnsi" w:hAnsiTheme="minorHAnsi" w:cstheme="minorHAnsi"/>
          <w:sz w:val="22"/>
          <w:szCs w:val="22"/>
          <w:lang w:val="en-GB"/>
        </w:rPr>
        <w:t xml:space="preserve">in </w:t>
      </w:r>
      <w:r w:rsidRPr="001C5DB0">
        <w:rPr>
          <w:rFonts w:asciiTheme="minorHAnsi" w:hAnsiTheme="minorHAnsi" w:cstheme="minorHAnsi"/>
          <w:sz w:val="22"/>
          <w:szCs w:val="22"/>
          <w:lang w:val="en-GB"/>
        </w:rPr>
        <w:t xml:space="preserve">women </w:t>
      </w:r>
      <w:r w:rsidR="0018004A" w:rsidRPr="001C5DB0">
        <w:rPr>
          <w:rFonts w:asciiTheme="minorHAnsi" w:hAnsiTheme="minorHAnsi" w:cstheme="minorHAnsi"/>
          <w:sz w:val="22"/>
          <w:szCs w:val="22"/>
          <w:lang w:val="en-GB"/>
        </w:rPr>
        <w:t>from</w:t>
      </w:r>
      <w:r w:rsidRPr="001C5DB0">
        <w:rPr>
          <w:rFonts w:asciiTheme="minorHAnsi" w:hAnsiTheme="minorHAnsi" w:cstheme="minorHAnsi"/>
          <w:sz w:val="22"/>
          <w:szCs w:val="22"/>
          <w:lang w:val="en-GB"/>
        </w:rPr>
        <w:t xml:space="preserve"> </w:t>
      </w:r>
      <w:r w:rsidR="00AE52B3" w:rsidRPr="001C5DB0">
        <w:rPr>
          <w:rFonts w:asciiTheme="minorHAnsi" w:hAnsiTheme="minorHAnsi" w:cstheme="minorHAnsi"/>
          <w:sz w:val="22"/>
          <w:szCs w:val="22"/>
          <w:lang w:val="en-GB"/>
        </w:rPr>
        <w:t>Taldykorgan, Kazakhstan</w:t>
      </w:r>
      <w:r w:rsidRPr="001C5DB0">
        <w:rPr>
          <w:rFonts w:asciiTheme="minorHAnsi" w:hAnsiTheme="minorHAnsi" w:cstheme="minorHAnsi"/>
          <w:sz w:val="22"/>
          <w:szCs w:val="22"/>
          <w:lang w:val="en-GB"/>
        </w:rPr>
        <w:t xml:space="preserve"> by age for </w:t>
      </w:r>
      <w:r w:rsidR="00900423" w:rsidRPr="001C5DB0">
        <w:rPr>
          <w:rFonts w:asciiTheme="minorHAnsi" w:hAnsiTheme="minorHAnsi" w:cstheme="minorHAnsi"/>
          <w:sz w:val="22"/>
          <w:szCs w:val="22"/>
          <w:lang w:val="en-GB"/>
        </w:rPr>
        <w:t>2015, 2016 and 2017 combined</w:t>
      </w:r>
      <w:r w:rsidRPr="001C5DB0">
        <w:rPr>
          <w:rFonts w:asciiTheme="minorHAnsi" w:hAnsiTheme="minorHAnsi" w:cstheme="minorHAnsi"/>
          <w:sz w:val="22"/>
          <w:szCs w:val="22"/>
          <w:lang w:val="en-GB"/>
        </w:rPr>
        <w:t>.</w:t>
      </w:r>
    </w:p>
    <w:p w14:paraId="5DBFD299" w14:textId="77777777" w:rsidR="00C70BCD" w:rsidRPr="00A81361" w:rsidRDefault="00C70BCD" w:rsidP="00C05B08">
      <w:pPr>
        <w:spacing w:line="276" w:lineRule="auto"/>
        <w:ind w:right="141"/>
        <w:rPr>
          <w:rFonts w:asciiTheme="minorHAnsi" w:hAnsiTheme="minorHAnsi" w:cstheme="minorHAnsi"/>
          <w:b/>
          <w:sz w:val="20"/>
          <w:szCs w:val="20"/>
          <w:lang w:val="en-GB"/>
        </w:rPr>
      </w:pPr>
      <w:bookmarkStart w:id="10" w:name="_Hlk1226777"/>
      <w:bookmarkEnd w:id="9"/>
    </w:p>
    <w:tbl>
      <w:tblPr>
        <w:tblpPr w:leftFromText="180" w:rightFromText="180" w:bottomFromText="160" w:vertAnchor="text" w:horzAnchor="page" w:tblpX="1906" w:tblpY="88"/>
        <w:tblW w:w="8217" w:type="dxa"/>
        <w:tblBorders>
          <w:top w:val="single" w:sz="4" w:space="0" w:color="auto"/>
          <w:bottom w:val="single" w:sz="4" w:space="0" w:color="auto"/>
        </w:tblBorders>
        <w:tblLayout w:type="fixed"/>
        <w:tblLook w:val="04A0" w:firstRow="1" w:lastRow="0" w:firstColumn="1" w:lastColumn="0" w:noHBand="0" w:noVBand="1"/>
      </w:tblPr>
      <w:tblGrid>
        <w:gridCol w:w="1088"/>
        <w:gridCol w:w="1561"/>
        <w:gridCol w:w="1560"/>
        <w:gridCol w:w="1985"/>
        <w:gridCol w:w="2023"/>
      </w:tblGrid>
      <w:tr w:rsidR="00235BFD" w:rsidRPr="00E16FF6" w14:paraId="743F2E6E" w14:textId="77777777" w:rsidTr="0018004A">
        <w:trPr>
          <w:trHeight w:val="300"/>
        </w:trPr>
        <w:tc>
          <w:tcPr>
            <w:tcW w:w="1088" w:type="dxa"/>
            <w:tcBorders>
              <w:top w:val="single" w:sz="4" w:space="0" w:color="auto"/>
              <w:bottom w:val="single" w:sz="4" w:space="0" w:color="auto"/>
            </w:tcBorders>
            <w:vAlign w:val="center"/>
            <w:hideMark/>
          </w:tcPr>
          <w:bookmarkEnd w:id="10"/>
          <w:p w14:paraId="63C436DF" w14:textId="77777777" w:rsidR="00235BFD" w:rsidRPr="00E16FF6" w:rsidRDefault="00235BFD" w:rsidP="00235BFD">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Age (years)</w:t>
            </w:r>
          </w:p>
        </w:tc>
        <w:tc>
          <w:tcPr>
            <w:tcW w:w="1561" w:type="dxa"/>
            <w:tcBorders>
              <w:top w:val="single" w:sz="4" w:space="0" w:color="auto"/>
              <w:bottom w:val="single" w:sz="4" w:space="0" w:color="auto"/>
            </w:tcBorders>
            <w:noWrap/>
            <w:hideMark/>
          </w:tcPr>
          <w:p w14:paraId="797A0829" w14:textId="77777777" w:rsidR="00235BFD" w:rsidRPr="00E16FF6" w:rsidRDefault="00235BFD" w:rsidP="00235BFD">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Population</w:t>
            </w:r>
          </w:p>
        </w:tc>
        <w:tc>
          <w:tcPr>
            <w:tcW w:w="1560" w:type="dxa"/>
            <w:tcBorders>
              <w:top w:val="single" w:sz="4" w:space="0" w:color="auto"/>
              <w:bottom w:val="single" w:sz="4" w:space="0" w:color="auto"/>
            </w:tcBorders>
            <w:noWrap/>
            <w:hideMark/>
          </w:tcPr>
          <w:p w14:paraId="59981676" w14:textId="7A31DD70" w:rsidR="00235BFD" w:rsidRPr="00E16FF6" w:rsidRDefault="00235BFD" w:rsidP="00235BFD">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Fractures</w:t>
            </w:r>
            <w:r w:rsidR="00196DAE" w:rsidRPr="00E16FF6">
              <w:rPr>
                <w:rFonts w:asciiTheme="minorHAnsi" w:hAnsiTheme="minorHAnsi" w:cstheme="minorHAnsi"/>
                <w:sz w:val="22"/>
                <w:szCs w:val="22"/>
                <w:vertAlign w:val="superscript"/>
                <w:lang w:val="en-GB"/>
              </w:rPr>
              <w:t>a</w:t>
            </w:r>
          </w:p>
        </w:tc>
        <w:tc>
          <w:tcPr>
            <w:tcW w:w="1985" w:type="dxa"/>
            <w:tcBorders>
              <w:top w:val="single" w:sz="4" w:space="0" w:color="auto"/>
              <w:bottom w:val="single" w:sz="4" w:space="0" w:color="auto"/>
            </w:tcBorders>
            <w:noWrap/>
            <w:hideMark/>
          </w:tcPr>
          <w:p w14:paraId="3AA29997" w14:textId="02EE9229" w:rsidR="00235BFD" w:rsidRPr="00E16FF6" w:rsidRDefault="00235BFD" w:rsidP="00235BFD">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Incidence/100,000</w:t>
            </w:r>
            <w:r w:rsidR="006C0275" w:rsidRPr="00E16FF6">
              <w:rPr>
                <w:rFonts w:asciiTheme="minorHAnsi" w:hAnsiTheme="minorHAnsi" w:cstheme="minorHAnsi"/>
                <w:sz w:val="22"/>
                <w:szCs w:val="22"/>
                <w:vertAlign w:val="superscript"/>
                <w:lang w:val="en-GB"/>
              </w:rPr>
              <w:t>b</w:t>
            </w:r>
          </w:p>
        </w:tc>
        <w:tc>
          <w:tcPr>
            <w:tcW w:w="2023" w:type="dxa"/>
            <w:tcBorders>
              <w:top w:val="single" w:sz="4" w:space="0" w:color="auto"/>
              <w:bottom w:val="single" w:sz="4" w:space="0" w:color="auto"/>
            </w:tcBorders>
            <w:noWrap/>
            <w:hideMark/>
          </w:tcPr>
          <w:p w14:paraId="0AEAFED7" w14:textId="77777777" w:rsidR="00235BFD" w:rsidRPr="00E16FF6" w:rsidRDefault="00235BFD" w:rsidP="00235BFD">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95% CI</w:t>
            </w:r>
          </w:p>
        </w:tc>
      </w:tr>
      <w:tr w:rsidR="00235BFD" w:rsidRPr="00E16FF6" w14:paraId="2B496950" w14:textId="77777777" w:rsidTr="0018004A">
        <w:trPr>
          <w:trHeight w:val="300"/>
        </w:trPr>
        <w:tc>
          <w:tcPr>
            <w:tcW w:w="1088" w:type="dxa"/>
            <w:tcBorders>
              <w:top w:val="single" w:sz="4" w:space="0" w:color="auto"/>
            </w:tcBorders>
            <w:vAlign w:val="center"/>
            <w:hideMark/>
          </w:tcPr>
          <w:p w14:paraId="36E5383C" w14:textId="77777777" w:rsidR="00235BFD" w:rsidRPr="00E16FF6" w:rsidRDefault="00235BFD" w:rsidP="00235BFD">
            <w:pPr>
              <w:spacing w:line="256" w:lineRule="auto"/>
              <w:rPr>
                <w:rFonts w:asciiTheme="minorHAnsi" w:hAnsiTheme="minorHAnsi" w:cstheme="minorHAnsi"/>
                <w:i/>
                <w:sz w:val="22"/>
                <w:szCs w:val="22"/>
                <w:lang w:val="en-GB"/>
              </w:rPr>
            </w:pPr>
            <w:r w:rsidRPr="00E16FF6">
              <w:rPr>
                <w:rFonts w:asciiTheme="minorHAnsi" w:hAnsiTheme="minorHAnsi" w:cstheme="minorHAnsi"/>
                <w:i/>
                <w:sz w:val="22"/>
                <w:szCs w:val="22"/>
                <w:lang w:val="en-GB"/>
              </w:rPr>
              <w:t>Men</w:t>
            </w:r>
          </w:p>
        </w:tc>
        <w:tc>
          <w:tcPr>
            <w:tcW w:w="1561" w:type="dxa"/>
            <w:tcBorders>
              <w:top w:val="single" w:sz="4" w:space="0" w:color="auto"/>
            </w:tcBorders>
            <w:noWrap/>
          </w:tcPr>
          <w:p w14:paraId="12AB1C75" w14:textId="77777777" w:rsidR="00235BFD" w:rsidRPr="00E16FF6" w:rsidRDefault="00235BFD" w:rsidP="00235BFD">
            <w:pPr>
              <w:spacing w:line="256" w:lineRule="auto"/>
              <w:jc w:val="right"/>
              <w:rPr>
                <w:rFonts w:asciiTheme="minorHAnsi" w:hAnsiTheme="minorHAnsi" w:cstheme="minorHAnsi"/>
                <w:sz w:val="22"/>
                <w:szCs w:val="22"/>
                <w:lang w:val="en-GB"/>
              </w:rPr>
            </w:pPr>
          </w:p>
        </w:tc>
        <w:tc>
          <w:tcPr>
            <w:tcW w:w="1560" w:type="dxa"/>
            <w:tcBorders>
              <w:top w:val="single" w:sz="4" w:space="0" w:color="auto"/>
            </w:tcBorders>
            <w:noWrap/>
          </w:tcPr>
          <w:p w14:paraId="496F72FE" w14:textId="77777777" w:rsidR="00235BFD" w:rsidRPr="00E16FF6" w:rsidRDefault="00235BFD" w:rsidP="00235BFD">
            <w:pPr>
              <w:spacing w:line="256" w:lineRule="auto"/>
              <w:jc w:val="right"/>
              <w:rPr>
                <w:rFonts w:asciiTheme="minorHAnsi" w:hAnsiTheme="minorHAnsi" w:cstheme="minorHAnsi"/>
                <w:sz w:val="22"/>
                <w:szCs w:val="22"/>
                <w:lang w:val="en-GB"/>
              </w:rPr>
            </w:pPr>
          </w:p>
        </w:tc>
        <w:tc>
          <w:tcPr>
            <w:tcW w:w="1985" w:type="dxa"/>
            <w:tcBorders>
              <w:top w:val="single" w:sz="4" w:space="0" w:color="auto"/>
            </w:tcBorders>
            <w:noWrap/>
          </w:tcPr>
          <w:p w14:paraId="539B66D8" w14:textId="77777777" w:rsidR="00235BFD" w:rsidRPr="00E16FF6" w:rsidRDefault="00235BFD" w:rsidP="00235BFD">
            <w:pPr>
              <w:spacing w:line="256" w:lineRule="auto"/>
              <w:jc w:val="right"/>
              <w:rPr>
                <w:rFonts w:asciiTheme="minorHAnsi" w:hAnsiTheme="minorHAnsi" w:cstheme="minorHAnsi"/>
                <w:sz w:val="22"/>
                <w:szCs w:val="22"/>
                <w:lang w:val="en-GB"/>
              </w:rPr>
            </w:pPr>
          </w:p>
        </w:tc>
        <w:tc>
          <w:tcPr>
            <w:tcW w:w="2023" w:type="dxa"/>
            <w:tcBorders>
              <w:top w:val="single" w:sz="4" w:space="0" w:color="auto"/>
            </w:tcBorders>
            <w:noWrap/>
          </w:tcPr>
          <w:p w14:paraId="0BC54DE1" w14:textId="77777777" w:rsidR="00235BFD" w:rsidRPr="00E16FF6" w:rsidRDefault="00235BFD" w:rsidP="00235BFD">
            <w:pPr>
              <w:spacing w:line="256" w:lineRule="auto"/>
              <w:jc w:val="right"/>
              <w:rPr>
                <w:rFonts w:asciiTheme="minorHAnsi" w:hAnsiTheme="minorHAnsi" w:cstheme="minorHAnsi"/>
                <w:sz w:val="22"/>
                <w:szCs w:val="22"/>
                <w:lang w:val="en-GB"/>
              </w:rPr>
            </w:pPr>
          </w:p>
        </w:tc>
      </w:tr>
      <w:tr w:rsidR="00077019" w:rsidRPr="00E16FF6" w14:paraId="1D808C1F" w14:textId="77777777" w:rsidTr="0018004A">
        <w:trPr>
          <w:trHeight w:val="300"/>
        </w:trPr>
        <w:tc>
          <w:tcPr>
            <w:tcW w:w="1088" w:type="dxa"/>
            <w:hideMark/>
          </w:tcPr>
          <w:p w14:paraId="3A59DADC" w14:textId="61A433B0" w:rsidR="00077019" w:rsidRPr="00E16FF6" w:rsidRDefault="00077019" w:rsidP="00077019">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40-44</w:t>
            </w:r>
          </w:p>
        </w:tc>
        <w:tc>
          <w:tcPr>
            <w:tcW w:w="1561" w:type="dxa"/>
            <w:noWrap/>
            <w:hideMark/>
          </w:tcPr>
          <w:p w14:paraId="242DF7A0" w14:textId="220DE6D8"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15668</w:t>
            </w:r>
          </w:p>
        </w:tc>
        <w:tc>
          <w:tcPr>
            <w:tcW w:w="1560" w:type="dxa"/>
            <w:noWrap/>
            <w:hideMark/>
          </w:tcPr>
          <w:p w14:paraId="12817677" w14:textId="07061AD8"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10</w:t>
            </w:r>
          </w:p>
        </w:tc>
        <w:tc>
          <w:tcPr>
            <w:tcW w:w="1985" w:type="dxa"/>
            <w:noWrap/>
            <w:hideMark/>
          </w:tcPr>
          <w:p w14:paraId="0BAA75B2" w14:textId="51DC21DC"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6</w:t>
            </w:r>
            <w:r w:rsidR="00D84D68" w:rsidRPr="00E16FF6">
              <w:rPr>
                <w:rFonts w:asciiTheme="minorHAnsi" w:hAnsiTheme="minorHAnsi" w:cstheme="minorHAnsi"/>
                <w:sz w:val="22"/>
                <w:szCs w:val="22"/>
                <w:lang w:val="en-GB"/>
              </w:rPr>
              <w:t>7</w:t>
            </w:r>
          </w:p>
        </w:tc>
        <w:tc>
          <w:tcPr>
            <w:tcW w:w="2023" w:type="dxa"/>
            <w:noWrap/>
            <w:vAlign w:val="bottom"/>
          </w:tcPr>
          <w:p w14:paraId="2571E590" w14:textId="7CF6590E"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31-117</w:t>
            </w:r>
          </w:p>
        </w:tc>
      </w:tr>
      <w:tr w:rsidR="00077019" w:rsidRPr="00E16FF6" w14:paraId="335E9BD3" w14:textId="77777777" w:rsidTr="0018004A">
        <w:trPr>
          <w:trHeight w:val="300"/>
        </w:trPr>
        <w:tc>
          <w:tcPr>
            <w:tcW w:w="1088" w:type="dxa"/>
            <w:hideMark/>
          </w:tcPr>
          <w:p w14:paraId="678C4DB0" w14:textId="3EDA5CC8" w:rsidR="00077019" w:rsidRPr="00E16FF6" w:rsidRDefault="00077019" w:rsidP="00077019">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45-49</w:t>
            </w:r>
          </w:p>
        </w:tc>
        <w:tc>
          <w:tcPr>
            <w:tcW w:w="1561" w:type="dxa"/>
            <w:noWrap/>
            <w:hideMark/>
          </w:tcPr>
          <w:p w14:paraId="0C8D3D45" w14:textId="457770F5"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14234</w:t>
            </w:r>
          </w:p>
        </w:tc>
        <w:tc>
          <w:tcPr>
            <w:tcW w:w="1560" w:type="dxa"/>
            <w:noWrap/>
            <w:hideMark/>
          </w:tcPr>
          <w:p w14:paraId="21743BDD" w14:textId="1903CAB5"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9</w:t>
            </w:r>
          </w:p>
        </w:tc>
        <w:tc>
          <w:tcPr>
            <w:tcW w:w="1985" w:type="dxa"/>
            <w:noWrap/>
            <w:hideMark/>
          </w:tcPr>
          <w:p w14:paraId="03293ED1" w14:textId="33653F31"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6</w:t>
            </w:r>
            <w:r w:rsidR="00B6672B" w:rsidRPr="00E16FF6">
              <w:rPr>
                <w:rFonts w:asciiTheme="minorHAnsi" w:hAnsiTheme="minorHAnsi" w:cstheme="minorHAnsi"/>
                <w:sz w:val="22"/>
                <w:szCs w:val="22"/>
                <w:lang w:val="en-GB"/>
              </w:rPr>
              <w:t>8</w:t>
            </w:r>
          </w:p>
        </w:tc>
        <w:tc>
          <w:tcPr>
            <w:tcW w:w="2023" w:type="dxa"/>
            <w:noWrap/>
            <w:vAlign w:val="bottom"/>
          </w:tcPr>
          <w:p w14:paraId="605B8DDF" w14:textId="32C4371E"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29-120</w:t>
            </w:r>
          </w:p>
        </w:tc>
      </w:tr>
      <w:tr w:rsidR="00077019" w:rsidRPr="00E16FF6" w14:paraId="339F0399" w14:textId="77777777" w:rsidTr="0018004A">
        <w:trPr>
          <w:trHeight w:val="300"/>
        </w:trPr>
        <w:tc>
          <w:tcPr>
            <w:tcW w:w="1088" w:type="dxa"/>
            <w:hideMark/>
          </w:tcPr>
          <w:p w14:paraId="4F8CC924" w14:textId="050244CD" w:rsidR="00077019" w:rsidRPr="00E16FF6" w:rsidRDefault="00077019" w:rsidP="00077019">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50-54</w:t>
            </w:r>
          </w:p>
        </w:tc>
        <w:tc>
          <w:tcPr>
            <w:tcW w:w="1561" w:type="dxa"/>
            <w:noWrap/>
            <w:hideMark/>
          </w:tcPr>
          <w:p w14:paraId="670D3B99" w14:textId="1E02E74B"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13691</w:t>
            </w:r>
          </w:p>
        </w:tc>
        <w:tc>
          <w:tcPr>
            <w:tcW w:w="1560" w:type="dxa"/>
            <w:noWrap/>
            <w:hideMark/>
          </w:tcPr>
          <w:p w14:paraId="01B44E67" w14:textId="0714F475"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10</w:t>
            </w:r>
          </w:p>
        </w:tc>
        <w:tc>
          <w:tcPr>
            <w:tcW w:w="1985" w:type="dxa"/>
            <w:noWrap/>
            <w:hideMark/>
          </w:tcPr>
          <w:p w14:paraId="7D307585" w14:textId="4E360282"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77</w:t>
            </w:r>
          </w:p>
        </w:tc>
        <w:tc>
          <w:tcPr>
            <w:tcW w:w="2023" w:type="dxa"/>
            <w:noWrap/>
            <w:vAlign w:val="bottom"/>
          </w:tcPr>
          <w:p w14:paraId="471960AF" w14:textId="331B84B9"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35-134</w:t>
            </w:r>
          </w:p>
        </w:tc>
      </w:tr>
      <w:tr w:rsidR="00077019" w:rsidRPr="00E16FF6" w14:paraId="1545C90E" w14:textId="77777777" w:rsidTr="0018004A">
        <w:trPr>
          <w:trHeight w:val="300"/>
        </w:trPr>
        <w:tc>
          <w:tcPr>
            <w:tcW w:w="1088" w:type="dxa"/>
            <w:hideMark/>
          </w:tcPr>
          <w:p w14:paraId="7659DF3E" w14:textId="412B1217" w:rsidR="00077019" w:rsidRPr="00E16FF6" w:rsidRDefault="00077019" w:rsidP="00077019">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55-59</w:t>
            </w:r>
          </w:p>
        </w:tc>
        <w:tc>
          <w:tcPr>
            <w:tcW w:w="1561" w:type="dxa"/>
            <w:noWrap/>
            <w:hideMark/>
          </w:tcPr>
          <w:p w14:paraId="70D6457B" w14:textId="0F8C2B87"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11371</w:t>
            </w:r>
          </w:p>
        </w:tc>
        <w:tc>
          <w:tcPr>
            <w:tcW w:w="1560" w:type="dxa"/>
            <w:noWrap/>
            <w:hideMark/>
          </w:tcPr>
          <w:p w14:paraId="6734788A" w14:textId="03204D89"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18</w:t>
            </w:r>
          </w:p>
        </w:tc>
        <w:tc>
          <w:tcPr>
            <w:tcW w:w="1985" w:type="dxa"/>
            <w:noWrap/>
            <w:hideMark/>
          </w:tcPr>
          <w:p w14:paraId="630145E2" w14:textId="1FBC6EAC"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167</w:t>
            </w:r>
          </w:p>
        </w:tc>
        <w:tc>
          <w:tcPr>
            <w:tcW w:w="2023" w:type="dxa"/>
            <w:noWrap/>
            <w:vAlign w:val="bottom"/>
          </w:tcPr>
          <w:p w14:paraId="42E2E3B1" w14:textId="15ED0379" w:rsidR="00077019" w:rsidRPr="00E16FF6" w:rsidRDefault="00B6672B"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101</w:t>
            </w:r>
            <w:r w:rsidR="00077019" w:rsidRPr="00E16FF6">
              <w:rPr>
                <w:rFonts w:asciiTheme="minorHAnsi" w:hAnsiTheme="minorHAnsi" w:cstheme="minorHAnsi"/>
                <w:sz w:val="22"/>
                <w:szCs w:val="22"/>
                <w:lang w:val="en-GB"/>
              </w:rPr>
              <w:t>-2</w:t>
            </w:r>
            <w:r w:rsidRPr="00E16FF6">
              <w:rPr>
                <w:rFonts w:asciiTheme="minorHAnsi" w:hAnsiTheme="minorHAnsi" w:cstheme="minorHAnsi"/>
                <w:sz w:val="22"/>
                <w:szCs w:val="22"/>
                <w:lang w:val="en-GB"/>
              </w:rPr>
              <w:t>61</w:t>
            </w:r>
          </w:p>
        </w:tc>
      </w:tr>
      <w:tr w:rsidR="00077019" w:rsidRPr="00E16FF6" w14:paraId="10E92DBA" w14:textId="77777777" w:rsidTr="0018004A">
        <w:trPr>
          <w:trHeight w:val="300"/>
        </w:trPr>
        <w:tc>
          <w:tcPr>
            <w:tcW w:w="1088" w:type="dxa"/>
            <w:hideMark/>
          </w:tcPr>
          <w:p w14:paraId="313EEA11" w14:textId="3FBC5556" w:rsidR="00077019" w:rsidRPr="00E16FF6" w:rsidRDefault="00077019" w:rsidP="00077019">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60-64</w:t>
            </w:r>
          </w:p>
        </w:tc>
        <w:tc>
          <w:tcPr>
            <w:tcW w:w="1561" w:type="dxa"/>
            <w:noWrap/>
            <w:hideMark/>
          </w:tcPr>
          <w:p w14:paraId="55A648B2" w14:textId="1F99B498"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8377</w:t>
            </w:r>
          </w:p>
        </w:tc>
        <w:tc>
          <w:tcPr>
            <w:tcW w:w="1560" w:type="dxa"/>
            <w:noWrap/>
            <w:hideMark/>
          </w:tcPr>
          <w:p w14:paraId="673FA92E" w14:textId="24FDA81D"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18</w:t>
            </w:r>
          </w:p>
        </w:tc>
        <w:tc>
          <w:tcPr>
            <w:tcW w:w="1985" w:type="dxa"/>
            <w:noWrap/>
            <w:hideMark/>
          </w:tcPr>
          <w:p w14:paraId="104A45B8" w14:textId="42F45472"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225</w:t>
            </w:r>
          </w:p>
        </w:tc>
        <w:tc>
          <w:tcPr>
            <w:tcW w:w="2023" w:type="dxa"/>
            <w:noWrap/>
            <w:vAlign w:val="bottom"/>
          </w:tcPr>
          <w:p w14:paraId="0C616EED" w14:textId="3711DA66"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127-3</w:t>
            </w:r>
            <w:r w:rsidR="00EE4BD0" w:rsidRPr="00E16FF6">
              <w:rPr>
                <w:rFonts w:asciiTheme="minorHAnsi" w:hAnsiTheme="minorHAnsi" w:cstheme="minorHAnsi"/>
                <w:sz w:val="22"/>
                <w:szCs w:val="22"/>
                <w:lang w:val="en-GB"/>
              </w:rPr>
              <w:t>53</w:t>
            </w:r>
          </w:p>
        </w:tc>
      </w:tr>
      <w:tr w:rsidR="00077019" w:rsidRPr="00E16FF6" w14:paraId="6BB53FB0" w14:textId="77777777" w:rsidTr="0018004A">
        <w:trPr>
          <w:trHeight w:val="300"/>
        </w:trPr>
        <w:tc>
          <w:tcPr>
            <w:tcW w:w="1088" w:type="dxa"/>
            <w:hideMark/>
          </w:tcPr>
          <w:p w14:paraId="5C8BF1D0" w14:textId="47594ED1" w:rsidR="00077019" w:rsidRPr="00E16FF6" w:rsidRDefault="00077019" w:rsidP="00077019">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65-69</w:t>
            </w:r>
          </w:p>
        </w:tc>
        <w:tc>
          <w:tcPr>
            <w:tcW w:w="1561" w:type="dxa"/>
            <w:noWrap/>
            <w:hideMark/>
          </w:tcPr>
          <w:p w14:paraId="7FC8B012" w14:textId="52A78E17"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6387</w:t>
            </w:r>
          </w:p>
        </w:tc>
        <w:tc>
          <w:tcPr>
            <w:tcW w:w="1560" w:type="dxa"/>
            <w:noWrap/>
            <w:hideMark/>
          </w:tcPr>
          <w:p w14:paraId="511797E0" w14:textId="2541D2B9"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23</w:t>
            </w:r>
          </w:p>
        </w:tc>
        <w:tc>
          <w:tcPr>
            <w:tcW w:w="1985" w:type="dxa"/>
            <w:noWrap/>
            <w:hideMark/>
          </w:tcPr>
          <w:p w14:paraId="112A579A" w14:textId="174A9419"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37</w:t>
            </w:r>
            <w:r w:rsidR="00E44687" w:rsidRPr="00E16FF6">
              <w:rPr>
                <w:rFonts w:asciiTheme="minorHAnsi" w:hAnsiTheme="minorHAnsi" w:cstheme="minorHAnsi"/>
                <w:sz w:val="22"/>
                <w:szCs w:val="22"/>
                <w:lang w:val="en-GB"/>
              </w:rPr>
              <w:t>8</w:t>
            </w:r>
            <w:r w:rsidRPr="00E16FF6">
              <w:rPr>
                <w:rFonts w:asciiTheme="minorHAnsi" w:hAnsiTheme="minorHAnsi" w:cstheme="minorHAnsi"/>
                <w:sz w:val="22"/>
                <w:szCs w:val="22"/>
              </w:rPr>
              <w:t xml:space="preserve"> </w:t>
            </w:r>
          </w:p>
        </w:tc>
        <w:tc>
          <w:tcPr>
            <w:tcW w:w="2023" w:type="dxa"/>
            <w:noWrap/>
            <w:vAlign w:val="bottom"/>
          </w:tcPr>
          <w:p w14:paraId="206F5FA7" w14:textId="61911E77"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2</w:t>
            </w:r>
            <w:r w:rsidR="00E44687" w:rsidRPr="00E16FF6">
              <w:rPr>
                <w:rFonts w:asciiTheme="minorHAnsi" w:hAnsiTheme="minorHAnsi" w:cstheme="minorHAnsi"/>
                <w:sz w:val="22"/>
                <w:szCs w:val="22"/>
                <w:lang w:val="en-GB"/>
              </w:rPr>
              <w:t>41</w:t>
            </w:r>
            <w:r w:rsidRPr="00E16FF6">
              <w:rPr>
                <w:rFonts w:asciiTheme="minorHAnsi" w:hAnsiTheme="minorHAnsi" w:cstheme="minorHAnsi"/>
                <w:sz w:val="22"/>
                <w:szCs w:val="22"/>
                <w:lang w:val="en-GB"/>
              </w:rPr>
              <w:t>-5</w:t>
            </w:r>
            <w:r w:rsidR="00E44687" w:rsidRPr="00E16FF6">
              <w:rPr>
                <w:rFonts w:asciiTheme="minorHAnsi" w:hAnsiTheme="minorHAnsi" w:cstheme="minorHAnsi"/>
                <w:sz w:val="22"/>
                <w:szCs w:val="22"/>
                <w:lang w:val="en-GB"/>
              </w:rPr>
              <w:t>62</w:t>
            </w:r>
          </w:p>
        </w:tc>
      </w:tr>
      <w:tr w:rsidR="00077019" w:rsidRPr="00E16FF6" w14:paraId="0B2E961D" w14:textId="77777777" w:rsidTr="0018004A">
        <w:trPr>
          <w:trHeight w:val="300"/>
        </w:trPr>
        <w:tc>
          <w:tcPr>
            <w:tcW w:w="1088" w:type="dxa"/>
            <w:hideMark/>
          </w:tcPr>
          <w:p w14:paraId="235941B8" w14:textId="2E0CD0B9" w:rsidR="00077019" w:rsidRPr="00E16FF6" w:rsidRDefault="00077019" w:rsidP="00077019">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70-74</w:t>
            </w:r>
          </w:p>
        </w:tc>
        <w:tc>
          <w:tcPr>
            <w:tcW w:w="1561" w:type="dxa"/>
            <w:noWrap/>
            <w:hideMark/>
          </w:tcPr>
          <w:p w14:paraId="323AF035" w14:textId="699D87F3"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3279</w:t>
            </w:r>
          </w:p>
        </w:tc>
        <w:tc>
          <w:tcPr>
            <w:tcW w:w="1560" w:type="dxa"/>
            <w:noWrap/>
            <w:hideMark/>
          </w:tcPr>
          <w:p w14:paraId="1A1DFC38" w14:textId="0143E5EA"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8</w:t>
            </w:r>
          </w:p>
        </w:tc>
        <w:tc>
          <w:tcPr>
            <w:tcW w:w="1985" w:type="dxa"/>
            <w:noWrap/>
            <w:hideMark/>
          </w:tcPr>
          <w:p w14:paraId="0B61B774" w14:textId="284C816E"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254 </w:t>
            </w:r>
          </w:p>
        </w:tc>
        <w:tc>
          <w:tcPr>
            <w:tcW w:w="2023" w:type="dxa"/>
            <w:noWrap/>
            <w:vAlign w:val="bottom"/>
          </w:tcPr>
          <w:p w14:paraId="3EC79F14" w14:textId="4E4A0826"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105-481</w:t>
            </w:r>
          </w:p>
        </w:tc>
      </w:tr>
      <w:tr w:rsidR="00077019" w:rsidRPr="00E16FF6" w14:paraId="49C12A87" w14:textId="77777777" w:rsidTr="0018004A">
        <w:trPr>
          <w:trHeight w:val="300"/>
        </w:trPr>
        <w:tc>
          <w:tcPr>
            <w:tcW w:w="1088" w:type="dxa"/>
            <w:hideMark/>
          </w:tcPr>
          <w:p w14:paraId="154193D4" w14:textId="4882FFF8" w:rsidR="00077019" w:rsidRPr="00E16FF6" w:rsidRDefault="00077019" w:rsidP="00077019">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75-79</w:t>
            </w:r>
          </w:p>
        </w:tc>
        <w:tc>
          <w:tcPr>
            <w:tcW w:w="1561" w:type="dxa"/>
            <w:hideMark/>
          </w:tcPr>
          <w:p w14:paraId="0FD0F5D3" w14:textId="4342D72A"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2665</w:t>
            </w:r>
          </w:p>
        </w:tc>
        <w:tc>
          <w:tcPr>
            <w:tcW w:w="1560" w:type="dxa"/>
            <w:hideMark/>
          </w:tcPr>
          <w:p w14:paraId="5E734FE8" w14:textId="0E66EB67"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13</w:t>
            </w:r>
          </w:p>
        </w:tc>
        <w:tc>
          <w:tcPr>
            <w:tcW w:w="1985" w:type="dxa"/>
            <w:hideMark/>
          </w:tcPr>
          <w:p w14:paraId="08CD503A" w14:textId="70B2ECC0"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52</w:t>
            </w:r>
            <w:r w:rsidR="00E44687" w:rsidRPr="00E16FF6">
              <w:rPr>
                <w:rFonts w:asciiTheme="minorHAnsi" w:hAnsiTheme="minorHAnsi" w:cstheme="minorHAnsi"/>
                <w:sz w:val="22"/>
                <w:szCs w:val="22"/>
                <w:lang w:val="en-GB"/>
              </w:rPr>
              <w:t>7</w:t>
            </w:r>
            <w:r w:rsidRPr="00E16FF6">
              <w:rPr>
                <w:rFonts w:asciiTheme="minorHAnsi" w:hAnsiTheme="minorHAnsi" w:cstheme="minorHAnsi"/>
                <w:sz w:val="22"/>
                <w:szCs w:val="22"/>
              </w:rPr>
              <w:t xml:space="preserve"> </w:t>
            </w:r>
          </w:p>
        </w:tc>
        <w:tc>
          <w:tcPr>
            <w:tcW w:w="2023" w:type="dxa"/>
            <w:vAlign w:val="center"/>
          </w:tcPr>
          <w:p w14:paraId="478B657C" w14:textId="0C569586"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2</w:t>
            </w:r>
            <w:r w:rsidR="00E44687" w:rsidRPr="00E16FF6">
              <w:rPr>
                <w:rFonts w:asciiTheme="minorHAnsi" w:hAnsiTheme="minorHAnsi" w:cstheme="minorHAnsi"/>
                <w:sz w:val="22"/>
                <w:szCs w:val="22"/>
                <w:lang w:val="en-GB"/>
              </w:rPr>
              <w:t>87</w:t>
            </w:r>
            <w:r w:rsidRPr="00E16FF6">
              <w:rPr>
                <w:rFonts w:asciiTheme="minorHAnsi" w:hAnsiTheme="minorHAnsi" w:cstheme="minorHAnsi"/>
                <w:sz w:val="22"/>
                <w:szCs w:val="22"/>
                <w:lang w:val="en-GB"/>
              </w:rPr>
              <w:t>-8</w:t>
            </w:r>
            <w:r w:rsidR="00436825" w:rsidRPr="00E16FF6">
              <w:rPr>
                <w:rFonts w:asciiTheme="minorHAnsi" w:hAnsiTheme="minorHAnsi" w:cstheme="minorHAnsi"/>
                <w:sz w:val="22"/>
                <w:szCs w:val="22"/>
                <w:lang w:val="en-GB"/>
              </w:rPr>
              <w:t>84</w:t>
            </w:r>
          </w:p>
        </w:tc>
      </w:tr>
      <w:tr w:rsidR="00077019" w:rsidRPr="00E16FF6" w14:paraId="628D2010" w14:textId="77777777" w:rsidTr="0018004A">
        <w:trPr>
          <w:trHeight w:val="300"/>
        </w:trPr>
        <w:tc>
          <w:tcPr>
            <w:tcW w:w="1088" w:type="dxa"/>
          </w:tcPr>
          <w:p w14:paraId="5AC6EA32" w14:textId="64A29998" w:rsidR="00077019" w:rsidRPr="00E16FF6" w:rsidRDefault="00077019" w:rsidP="00077019">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80-84</w:t>
            </w:r>
          </w:p>
        </w:tc>
        <w:tc>
          <w:tcPr>
            <w:tcW w:w="1561" w:type="dxa"/>
          </w:tcPr>
          <w:p w14:paraId="1C135642" w14:textId="76454E68"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1323</w:t>
            </w:r>
          </w:p>
        </w:tc>
        <w:tc>
          <w:tcPr>
            <w:tcW w:w="1560" w:type="dxa"/>
          </w:tcPr>
          <w:p w14:paraId="2CE0F081" w14:textId="3F63BF94"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10</w:t>
            </w:r>
          </w:p>
        </w:tc>
        <w:tc>
          <w:tcPr>
            <w:tcW w:w="1985" w:type="dxa"/>
          </w:tcPr>
          <w:p w14:paraId="4C774620" w14:textId="1B317A80"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780</w:t>
            </w:r>
          </w:p>
        </w:tc>
        <w:tc>
          <w:tcPr>
            <w:tcW w:w="2023" w:type="dxa"/>
            <w:vAlign w:val="center"/>
          </w:tcPr>
          <w:p w14:paraId="16CA1B7C" w14:textId="485D40EA"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362-1390</w:t>
            </w:r>
          </w:p>
        </w:tc>
      </w:tr>
      <w:tr w:rsidR="00077019" w:rsidRPr="00E16FF6" w14:paraId="252164CF" w14:textId="77777777" w:rsidTr="0018004A">
        <w:trPr>
          <w:trHeight w:val="300"/>
        </w:trPr>
        <w:tc>
          <w:tcPr>
            <w:tcW w:w="1088" w:type="dxa"/>
          </w:tcPr>
          <w:p w14:paraId="619C6F09" w14:textId="4CEB4784" w:rsidR="00077019" w:rsidRPr="00E16FF6" w:rsidRDefault="00077019" w:rsidP="00077019">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85-89</w:t>
            </w:r>
          </w:p>
        </w:tc>
        <w:tc>
          <w:tcPr>
            <w:tcW w:w="1561" w:type="dxa"/>
          </w:tcPr>
          <w:p w14:paraId="495C8489" w14:textId="5BDDD80D"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593</w:t>
            </w:r>
          </w:p>
        </w:tc>
        <w:tc>
          <w:tcPr>
            <w:tcW w:w="1560" w:type="dxa"/>
          </w:tcPr>
          <w:p w14:paraId="7D55548E" w14:textId="11969C67"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12</w:t>
            </w:r>
          </w:p>
        </w:tc>
        <w:tc>
          <w:tcPr>
            <w:tcW w:w="1985" w:type="dxa"/>
          </w:tcPr>
          <w:p w14:paraId="4D99D527" w14:textId="63FFE523"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207</w:t>
            </w:r>
            <w:r w:rsidR="00436825" w:rsidRPr="00E16FF6">
              <w:rPr>
                <w:rFonts w:asciiTheme="minorHAnsi" w:hAnsiTheme="minorHAnsi" w:cstheme="minorHAnsi"/>
                <w:sz w:val="22"/>
                <w:szCs w:val="22"/>
                <w:lang w:val="en-GB"/>
              </w:rPr>
              <w:t>8</w:t>
            </w:r>
            <w:r w:rsidRPr="00E16FF6">
              <w:rPr>
                <w:rFonts w:asciiTheme="minorHAnsi" w:hAnsiTheme="minorHAnsi" w:cstheme="minorHAnsi"/>
                <w:sz w:val="22"/>
                <w:szCs w:val="22"/>
              </w:rPr>
              <w:t xml:space="preserve"> </w:t>
            </w:r>
          </w:p>
        </w:tc>
        <w:tc>
          <w:tcPr>
            <w:tcW w:w="2023" w:type="dxa"/>
            <w:vAlign w:val="center"/>
          </w:tcPr>
          <w:p w14:paraId="219325E4" w14:textId="37D19725"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104</w:t>
            </w:r>
            <w:r w:rsidR="005726AF" w:rsidRPr="00E16FF6">
              <w:rPr>
                <w:rFonts w:asciiTheme="minorHAnsi" w:hAnsiTheme="minorHAnsi" w:cstheme="minorHAnsi"/>
                <w:sz w:val="22"/>
                <w:szCs w:val="22"/>
                <w:lang w:val="en-GB"/>
              </w:rPr>
              <w:t>6</w:t>
            </w:r>
            <w:r w:rsidRPr="00E16FF6">
              <w:rPr>
                <w:rFonts w:asciiTheme="minorHAnsi" w:hAnsiTheme="minorHAnsi" w:cstheme="minorHAnsi"/>
                <w:sz w:val="22"/>
                <w:szCs w:val="22"/>
                <w:lang w:val="en-GB"/>
              </w:rPr>
              <w:t>-3</w:t>
            </w:r>
            <w:r w:rsidR="005726AF" w:rsidRPr="00E16FF6">
              <w:rPr>
                <w:rFonts w:asciiTheme="minorHAnsi" w:hAnsiTheme="minorHAnsi" w:cstheme="minorHAnsi"/>
                <w:sz w:val="22"/>
                <w:szCs w:val="22"/>
                <w:lang w:val="en-GB"/>
              </w:rPr>
              <w:t>605</w:t>
            </w:r>
          </w:p>
        </w:tc>
      </w:tr>
      <w:tr w:rsidR="00077019" w:rsidRPr="00E16FF6" w14:paraId="00885D34" w14:textId="77777777" w:rsidTr="0018004A">
        <w:trPr>
          <w:trHeight w:val="300"/>
        </w:trPr>
        <w:tc>
          <w:tcPr>
            <w:tcW w:w="1088" w:type="dxa"/>
          </w:tcPr>
          <w:p w14:paraId="32B5396C" w14:textId="792370FC" w:rsidR="00077019" w:rsidRPr="00E16FF6" w:rsidRDefault="00077019" w:rsidP="00077019">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90-94</w:t>
            </w:r>
          </w:p>
        </w:tc>
        <w:tc>
          <w:tcPr>
            <w:tcW w:w="1561" w:type="dxa"/>
          </w:tcPr>
          <w:p w14:paraId="6D68A27F" w14:textId="68B656B1"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211</w:t>
            </w:r>
          </w:p>
        </w:tc>
        <w:tc>
          <w:tcPr>
            <w:tcW w:w="1560" w:type="dxa"/>
          </w:tcPr>
          <w:p w14:paraId="622EE02A" w14:textId="06FF6BEF"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3</w:t>
            </w:r>
          </w:p>
        </w:tc>
        <w:tc>
          <w:tcPr>
            <w:tcW w:w="1985" w:type="dxa"/>
          </w:tcPr>
          <w:p w14:paraId="3B5A992E" w14:textId="415BACA1"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153</w:t>
            </w:r>
            <w:r w:rsidR="005726AF" w:rsidRPr="00E16FF6">
              <w:rPr>
                <w:rFonts w:asciiTheme="minorHAnsi" w:hAnsiTheme="minorHAnsi" w:cstheme="minorHAnsi"/>
                <w:sz w:val="22"/>
                <w:szCs w:val="22"/>
                <w:lang w:val="en-GB"/>
              </w:rPr>
              <w:t>6</w:t>
            </w:r>
          </w:p>
        </w:tc>
        <w:tc>
          <w:tcPr>
            <w:tcW w:w="2023" w:type="dxa"/>
            <w:vAlign w:val="center"/>
          </w:tcPr>
          <w:p w14:paraId="1DB33F19" w14:textId="04AECF84"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2</w:t>
            </w:r>
            <w:r w:rsidR="005726AF" w:rsidRPr="00E16FF6">
              <w:rPr>
                <w:rFonts w:asciiTheme="minorHAnsi" w:hAnsiTheme="minorHAnsi" w:cstheme="minorHAnsi"/>
                <w:sz w:val="22"/>
                <w:szCs w:val="22"/>
                <w:lang w:val="en-GB"/>
              </w:rPr>
              <w:t>89</w:t>
            </w:r>
            <w:r w:rsidRPr="00E16FF6">
              <w:rPr>
                <w:rFonts w:asciiTheme="minorHAnsi" w:hAnsiTheme="minorHAnsi" w:cstheme="minorHAnsi"/>
                <w:sz w:val="22"/>
                <w:szCs w:val="22"/>
                <w:lang w:val="en-GB"/>
              </w:rPr>
              <w:t>-415</w:t>
            </w:r>
            <w:r w:rsidR="005726AF" w:rsidRPr="00E16FF6">
              <w:rPr>
                <w:rFonts w:asciiTheme="minorHAnsi" w:hAnsiTheme="minorHAnsi" w:cstheme="minorHAnsi"/>
                <w:sz w:val="22"/>
                <w:szCs w:val="22"/>
                <w:lang w:val="en-GB"/>
              </w:rPr>
              <w:t>6</w:t>
            </w:r>
          </w:p>
        </w:tc>
      </w:tr>
      <w:tr w:rsidR="00077019" w:rsidRPr="00E16FF6" w14:paraId="669CA8E6" w14:textId="77777777" w:rsidTr="0018004A">
        <w:trPr>
          <w:trHeight w:val="300"/>
        </w:trPr>
        <w:tc>
          <w:tcPr>
            <w:tcW w:w="1088" w:type="dxa"/>
          </w:tcPr>
          <w:p w14:paraId="2897A695" w14:textId="67F40B9F" w:rsidR="00077019" w:rsidRPr="00E16FF6" w:rsidRDefault="00077019" w:rsidP="00077019">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95+</w:t>
            </w:r>
          </w:p>
        </w:tc>
        <w:tc>
          <w:tcPr>
            <w:tcW w:w="1561" w:type="dxa"/>
          </w:tcPr>
          <w:p w14:paraId="5CDE6E1B" w14:textId="1397CFA1"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150</w:t>
            </w:r>
          </w:p>
        </w:tc>
        <w:tc>
          <w:tcPr>
            <w:tcW w:w="1560" w:type="dxa"/>
          </w:tcPr>
          <w:p w14:paraId="5C32E2B1" w14:textId="1644825A"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0</w:t>
            </w:r>
          </w:p>
        </w:tc>
        <w:tc>
          <w:tcPr>
            <w:tcW w:w="1985" w:type="dxa"/>
          </w:tcPr>
          <w:p w14:paraId="272F74D2" w14:textId="7B4DA5BB"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w:t>
            </w:r>
          </w:p>
        </w:tc>
        <w:tc>
          <w:tcPr>
            <w:tcW w:w="2023" w:type="dxa"/>
            <w:vAlign w:val="center"/>
          </w:tcPr>
          <w:p w14:paraId="62A171EE" w14:textId="6CDC01A0"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w:t>
            </w:r>
          </w:p>
        </w:tc>
      </w:tr>
      <w:tr w:rsidR="00124B91" w:rsidRPr="00E16FF6" w14:paraId="059D5942" w14:textId="77777777" w:rsidTr="0018004A">
        <w:trPr>
          <w:trHeight w:val="300"/>
        </w:trPr>
        <w:tc>
          <w:tcPr>
            <w:tcW w:w="1088" w:type="dxa"/>
          </w:tcPr>
          <w:p w14:paraId="3E92C5F1" w14:textId="2C279A9F" w:rsidR="00124B91" w:rsidRPr="00E16FF6" w:rsidRDefault="00124B91" w:rsidP="00124B91">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40+</w:t>
            </w:r>
          </w:p>
        </w:tc>
        <w:tc>
          <w:tcPr>
            <w:tcW w:w="1561" w:type="dxa"/>
          </w:tcPr>
          <w:p w14:paraId="1FC076B6" w14:textId="762BB4CA" w:rsidR="00124B91" w:rsidRPr="00E16FF6" w:rsidRDefault="00124B91" w:rsidP="00124B91">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fldChar w:fldCharType="begin"/>
            </w:r>
            <w:r w:rsidRPr="00E16FF6">
              <w:rPr>
                <w:rFonts w:asciiTheme="minorHAnsi" w:hAnsiTheme="minorHAnsi" w:cstheme="minorHAnsi"/>
                <w:sz w:val="22"/>
                <w:szCs w:val="22"/>
                <w:lang w:val="en-GB"/>
              </w:rPr>
              <w:instrText xml:space="preserve"> =SUM(ABOVE) </w:instrText>
            </w:r>
            <w:r w:rsidRPr="00E16FF6">
              <w:rPr>
                <w:rFonts w:asciiTheme="minorHAnsi" w:hAnsiTheme="minorHAnsi" w:cstheme="minorHAnsi"/>
                <w:sz w:val="22"/>
                <w:szCs w:val="22"/>
                <w:lang w:val="en-GB"/>
              </w:rPr>
              <w:fldChar w:fldCharType="separate"/>
            </w:r>
            <w:r w:rsidRPr="00E16FF6">
              <w:rPr>
                <w:rFonts w:asciiTheme="minorHAnsi" w:hAnsiTheme="minorHAnsi" w:cstheme="minorHAnsi"/>
                <w:noProof/>
                <w:sz w:val="22"/>
                <w:szCs w:val="22"/>
                <w:lang w:val="en-GB"/>
              </w:rPr>
              <w:t>77949</w:t>
            </w:r>
            <w:r w:rsidRPr="00E16FF6">
              <w:rPr>
                <w:rFonts w:asciiTheme="minorHAnsi" w:hAnsiTheme="minorHAnsi" w:cstheme="minorHAnsi"/>
                <w:sz w:val="22"/>
                <w:szCs w:val="22"/>
                <w:lang w:val="en-GB"/>
              </w:rPr>
              <w:fldChar w:fldCharType="end"/>
            </w:r>
          </w:p>
        </w:tc>
        <w:tc>
          <w:tcPr>
            <w:tcW w:w="1560" w:type="dxa"/>
          </w:tcPr>
          <w:p w14:paraId="3596D486" w14:textId="277413EC" w:rsidR="00124B91" w:rsidRPr="00E16FF6" w:rsidRDefault="00124B91" w:rsidP="00124B91">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fldChar w:fldCharType="begin"/>
            </w:r>
            <w:r w:rsidRPr="00E16FF6">
              <w:rPr>
                <w:rFonts w:asciiTheme="minorHAnsi" w:hAnsiTheme="minorHAnsi" w:cstheme="minorHAnsi"/>
                <w:sz w:val="22"/>
                <w:szCs w:val="22"/>
                <w:lang w:val="en-GB"/>
              </w:rPr>
              <w:instrText xml:space="preserve"> =SUM(ABOVE) </w:instrText>
            </w:r>
            <w:r w:rsidRPr="00E16FF6">
              <w:rPr>
                <w:rFonts w:asciiTheme="minorHAnsi" w:hAnsiTheme="minorHAnsi" w:cstheme="minorHAnsi"/>
                <w:sz w:val="22"/>
                <w:szCs w:val="22"/>
                <w:lang w:val="en-GB"/>
              </w:rPr>
              <w:fldChar w:fldCharType="separate"/>
            </w:r>
            <w:r w:rsidRPr="00E16FF6">
              <w:rPr>
                <w:rFonts w:asciiTheme="minorHAnsi" w:hAnsiTheme="minorHAnsi" w:cstheme="minorHAnsi"/>
                <w:noProof/>
                <w:sz w:val="22"/>
                <w:szCs w:val="22"/>
                <w:lang w:val="en-GB"/>
              </w:rPr>
              <w:t>134</w:t>
            </w:r>
            <w:r w:rsidRPr="00E16FF6">
              <w:rPr>
                <w:rFonts w:asciiTheme="minorHAnsi" w:hAnsiTheme="minorHAnsi" w:cstheme="minorHAnsi"/>
                <w:sz w:val="22"/>
                <w:szCs w:val="22"/>
                <w:lang w:val="en-GB"/>
              </w:rPr>
              <w:fldChar w:fldCharType="end"/>
            </w:r>
          </w:p>
        </w:tc>
        <w:tc>
          <w:tcPr>
            <w:tcW w:w="1985" w:type="dxa"/>
          </w:tcPr>
          <w:p w14:paraId="7663D931" w14:textId="6B3C4B6D" w:rsidR="00124B91" w:rsidRPr="00E16FF6" w:rsidRDefault="00124B91" w:rsidP="00124B91">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181</w:t>
            </w:r>
          </w:p>
        </w:tc>
        <w:tc>
          <w:tcPr>
            <w:tcW w:w="2023" w:type="dxa"/>
            <w:vAlign w:val="center"/>
          </w:tcPr>
          <w:p w14:paraId="6F9015B3" w14:textId="03269268" w:rsidR="00124B91" w:rsidRPr="00E16FF6" w:rsidRDefault="00124B91" w:rsidP="00124B91">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152-213</w:t>
            </w:r>
          </w:p>
        </w:tc>
      </w:tr>
      <w:tr w:rsidR="00077019" w:rsidRPr="00E16FF6" w14:paraId="04092B5A" w14:textId="77777777" w:rsidTr="0018004A">
        <w:trPr>
          <w:trHeight w:val="300"/>
        </w:trPr>
        <w:tc>
          <w:tcPr>
            <w:tcW w:w="1088" w:type="dxa"/>
            <w:vAlign w:val="center"/>
            <w:hideMark/>
          </w:tcPr>
          <w:p w14:paraId="128946C7" w14:textId="77777777" w:rsidR="00077019" w:rsidRPr="00E16FF6" w:rsidRDefault="00077019" w:rsidP="00077019">
            <w:pPr>
              <w:spacing w:line="256" w:lineRule="auto"/>
              <w:rPr>
                <w:rFonts w:asciiTheme="minorHAnsi" w:hAnsiTheme="minorHAnsi" w:cstheme="minorHAnsi"/>
                <w:i/>
                <w:sz w:val="22"/>
                <w:szCs w:val="22"/>
                <w:lang w:val="en-GB"/>
              </w:rPr>
            </w:pPr>
            <w:r w:rsidRPr="00E16FF6">
              <w:rPr>
                <w:rFonts w:asciiTheme="minorHAnsi" w:hAnsiTheme="minorHAnsi" w:cstheme="minorHAnsi"/>
                <w:i/>
                <w:sz w:val="22"/>
                <w:szCs w:val="22"/>
                <w:lang w:val="en-GB"/>
              </w:rPr>
              <w:t>Women</w:t>
            </w:r>
          </w:p>
        </w:tc>
        <w:tc>
          <w:tcPr>
            <w:tcW w:w="1561" w:type="dxa"/>
            <w:vAlign w:val="center"/>
          </w:tcPr>
          <w:p w14:paraId="376CE994" w14:textId="77777777" w:rsidR="00077019" w:rsidRPr="00E16FF6" w:rsidRDefault="00077019" w:rsidP="00077019">
            <w:pPr>
              <w:spacing w:line="256" w:lineRule="auto"/>
              <w:jc w:val="right"/>
              <w:rPr>
                <w:rFonts w:asciiTheme="minorHAnsi" w:hAnsiTheme="minorHAnsi" w:cstheme="minorHAnsi"/>
                <w:sz w:val="22"/>
                <w:szCs w:val="22"/>
                <w:lang w:val="en-GB"/>
              </w:rPr>
            </w:pPr>
          </w:p>
        </w:tc>
        <w:tc>
          <w:tcPr>
            <w:tcW w:w="1560" w:type="dxa"/>
            <w:vAlign w:val="center"/>
          </w:tcPr>
          <w:p w14:paraId="6849AFD3" w14:textId="77777777" w:rsidR="00077019" w:rsidRPr="00E16FF6" w:rsidRDefault="00077019" w:rsidP="00077019">
            <w:pPr>
              <w:spacing w:line="256" w:lineRule="auto"/>
              <w:jc w:val="right"/>
              <w:rPr>
                <w:rFonts w:asciiTheme="minorHAnsi" w:hAnsiTheme="minorHAnsi" w:cstheme="minorHAnsi"/>
                <w:sz w:val="22"/>
                <w:szCs w:val="22"/>
                <w:lang w:val="en-GB"/>
              </w:rPr>
            </w:pPr>
          </w:p>
        </w:tc>
        <w:tc>
          <w:tcPr>
            <w:tcW w:w="1985" w:type="dxa"/>
            <w:vAlign w:val="bottom"/>
          </w:tcPr>
          <w:p w14:paraId="6DEB226B" w14:textId="77777777" w:rsidR="00077019" w:rsidRPr="00E16FF6" w:rsidRDefault="00077019" w:rsidP="00077019">
            <w:pPr>
              <w:spacing w:line="256" w:lineRule="auto"/>
              <w:jc w:val="right"/>
              <w:rPr>
                <w:rFonts w:asciiTheme="minorHAnsi" w:hAnsiTheme="minorHAnsi" w:cstheme="minorHAnsi"/>
                <w:sz w:val="22"/>
                <w:szCs w:val="22"/>
                <w:lang w:val="en-GB"/>
              </w:rPr>
            </w:pPr>
          </w:p>
        </w:tc>
        <w:tc>
          <w:tcPr>
            <w:tcW w:w="2023" w:type="dxa"/>
            <w:vAlign w:val="center"/>
          </w:tcPr>
          <w:p w14:paraId="70944ADE" w14:textId="77777777" w:rsidR="00077019" w:rsidRPr="00E16FF6" w:rsidRDefault="00077019" w:rsidP="00077019">
            <w:pPr>
              <w:spacing w:line="256" w:lineRule="auto"/>
              <w:jc w:val="right"/>
              <w:rPr>
                <w:rFonts w:asciiTheme="minorHAnsi" w:hAnsiTheme="minorHAnsi" w:cstheme="minorHAnsi"/>
                <w:sz w:val="22"/>
                <w:szCs w:val="22"/>
                <w:lang w:val="en-GB"/>
              </w:rPr>
            </w:pPr>
          </w:p>
        </w:tc>
      </w:tr>
      <w:tr w:rsidR="00060D35" w:rsidRPr="00E16FF6" w14:paraId="0F66F71F" w14:textId="77777777" w:rsidTr="0018004A">
        <w:trPr>
          <w:trHeight w:val="300"/>
        </w:trPr>
        <w:tc>
          <w:tcPr>
            <w:tcW w:w="1088" w:type="dxa"/>
            <w:hideMark/>
          </w:tcPr>
          <w:p w14:paraId="6ED0C32E" w14:textId="3BB345CA" w:rsidR="00060D35" w:rsidRPr="00E16FF6" w:rsidRDefault="00060D35" w:rsidP="00060D35">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40-44</w:t>
            </w:r>
          </w:p>
        </w:tc>
        <w:tc>
          <w:tcPr>
            <w:tcW w:w="1561" w:type="dxa"/>
            <w:hideMark/>
          </w:tcPr>
          <w:p w14:paraId="59DCB159" w14:textId="0DE905A0"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19142</w:t>
            </w:r>
          </w:p>
        </w:tc>
        <w:tc>
          <w:tcPr>
            <w:tcW w:w="1560" w:type="dxa"/>
            <w:hideMark/>
          </w:tcPr>
          <w:p w14:paraId="028C8412" w14:textId="614784E4"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5</w:t>
            </w:r>
          </w:p>
        </w:tc>
        <w:tc>
          <w:tcPr>
            <w:tcW w:w="1985" w:type="dxa"/>
          </w:tcPr>
          <w:p w14:paraId="63B346C2" w14:textId="0B4C8CE8"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3</w:t>
            </w:r>
            <w:r w:rsidRPr="00E16FF6">
              <w:rPr>
                <w:rFonts w:asciiTheme="minorHAnsi" w:hAnsiTheme="minorHAnsi" w:cstheme="minorHAnsi"/>
                <w:sz w:val="22"/>
                <w:szCs w:val="22"/>
                <w:lang w:val="en-GB"/>
              </w:rPr>
              <w:t>1</w:t>
            </w:r>
          </w:p>
        </w:tc>
        <w:tc>
          <w:tcPr>
            <w:tcW w:w="2023" w:type="dxa"/>
            <w:vAlign w:val="center"/>
          </w:tcPr>
          <w:p w14:paraId="6FAE5E5D" w14:textId="713DA834"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8-61</w:t>
            </w:r>
          </w:p>
        </w:tc>
      </w:tr>
      <w:tr w:rsidR="00060D35" w:rsidRPr="00E16FF6" w14:paraId="30CC61B4" w14:textId="77777777" w:rsidTr="0018004A">
        <w:trPr>
          <w:trHeight w:val="300"/>
        </w:trPr>
        <w:tc>
          <w:tcPr>
            <w:tcW w:w="1088" w:type="dxa"/>
            <w:hideMark/>
          </w:tcPr>
          <w:p w14:paraId="7C2311F0" w14:textId="1370BEE0" w:rsidR="00060D35" w:rsidRPr="00E16FF6" w:rsidRDefault="00060D35" w:rsidP="00060D35">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45-49</w:t>
            </w:r>
          </w:p>
        </w:tc>
        <w:tc>
          <w:tcPr>
            <w:tcW w:w="1561" w:type="dxa"/>
            <w:hideMark/>
          </w:tcPr>
          <w:p w14:paraId="68740E6F" w14:textId="174F3CB1"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17874</w:t>
            </w:r>
          </w:p>
        </w:tc>
        <w:tc>
          <w:tcPr>
            <w:tcW w:w="1560" w:type="dxa"/>
            <w:hideMark/>
          </w:tcPr>
          <w:p w14:paraId="475AA80B" w14:textId="2144F496"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4</w:t>
            </w:r>
          </w:p>
        </w:tc>
        <w:tc>
          <w:tcPr>
            <w:tcW w:w="1985" w:type="dxa"/>
          </w:tcPr>
          <w:p w14:paraId="7BED812A" w14:textId="47D06A35"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27</w:t>
            </w:r>
            <w:r w:rsidRPr="00E16FF6">
              <w:rPr>
                <w:rFonts w:asciiTheme="minorHAnsi" w:hAnsiTheme="minorHAnsi" w:cstheme="minorHAnsi"/>
                <w:sz w:val="22"/>
                <w:szCs w:val="22"/>
                <w:lang w:val="en-GB"/>
              </w:rPr>
              <w:t>1</w:t>
            </w:r>
          </w:p>
        </w:tc>
        <w:tc>
          <w:tcPr>
            <w:tcW w:w="2023" w:type="dxa"/>
            <w:vAlign w:val="center"/>
          </w:tcPr>
          <w:p w14:paraId="618119EC" w14:textId="61B70F98"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6-57</w:t>
            </w:r>
          </w:p>
        </w:tc>
      </w:tr>
      <w:tr w:rsidR="00060D35" w:rsidRPr="00E16FF6" w14:paraId="4BC571F0" w14:textId="77777777" w:rsidTr="0018004A">
        <w:trPr>
          <w:trHeight w:val="300"/>
        </w:trPr>
        <w:tc>
          <w:tcPr>
            <w:tcW w:w="1088" w:type="dxa"/>
            <w:hideMark/>
          </w:tcPr>
          <w:p w14:paraId="2BCD109B" w14:textId="1CE1E7B8" w:rsidR="00060D35" w:rsidRPr="00E16FF6" w:rsidRDefault="00060D35" w:rsidP="00060D35">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50-54</w:t>
            </w:r>
          </w:p>
        </w:tc>
        <w:tc>
          <w:tcPr>
            <w:tcW w:w="1561" w:type="dxa"/>
            <w:hideMark/>
          </w:tcPr>
          <w:p w14:paraId="7502D875" w14:textId="5C59A9D7"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17099</w:t>
            </w:r>
          </w:p>
        </w:tc>
        <w:tc>
          <w:tcPr>
            <w:tcW w:w="1560" w:type="dxa"/>
            <w:hideMark/>
          </w:tcPr>
          <w:p w14:paraId="0936EBA8" w14:textId="45111032"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6</w:t>
            </w:r>
          </w:p>
        </w:tc>
        <w:tc>
          <w:tcPr>
            <w:tcW w:w="1985" w:type="dxa"/>
          </w:tcPr>
          <w:p w14:paraId="1AFB35EB" w14:textId="57520A2D"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4</w:t>
            </w:r>
            <w:r w:rsidRPr="00E16FF6">
              <w:rPr>
                <w:rFonts w:asciiTheme="minorHAnsi" w:hAnsiTheme="minorHAnsi" w:cstheme="minorHAnsi"/>
                <w:sz w:val="22"/>
                <w:szCs w:val="22"/>
                <w:lang w:val="en-GB"/>
              </w:rPr>
              <w:t>2</w:t>
            </w:r>
            <w:r w:rsidRPr="00E16FF6">
              <w:rPr>
                <w:rFonts w:asciiTheme="minorHAnsi" w:hAnsiTheme="minorHAnsi" w:cstheme="minorHAnsi"/>
                <w:sz w:val="22"/>
                <w:szCs w:val="22"/>
              </w:rPr>
              <w:t xml:space="preserve"> </w:t>
            </w:r>
          </w:p>
        </w:tc>
        <w:tc>
          <w:tcPr>
            <w:tcW w:w="2023" w:type="dxa"/>
            <w:vAlign w:val="center"/>
          </w:tcPr>
          <w:p w14:paraId="32504074" w14:textId="40B03CFB"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w:t>
            </w:r>
            <w:r w:rsidR="008E4F29" w:rsidRPr="00E16FF6">
              <w:rPr>
                <w:rFonts w:asciiTheme="minorHAnsi" w:hAnsiTheme="minorHAnsi" w:cstheme="minorHAnsi"/>
                <w:sz w:val="22"/>
                <w:szCs w:val="22"/>
                <w:lang w:val="en-GB"/>
              </w:rPr>
              <w:t>7</w:t>
            </w:r>
            <w:r w:rsidRPr="00E16FF6">
              <w:rPr>
                <w:rFonts w:asciiTheme="minorHAnsi" w:hAnsiTheme="minorHAnsi" w:cstheme="minorHAnsi"/>
                <w:sz w:val="22"/>
                <w:szCs w:val="22"/>
                <w:lang w:val="en-GB"/>
              </w:rPr>
              <w:t>-</w:t>
            </w:r>
            <w:r w:rsidR="008E4F29" w:rsidRPr="00E16FF6">
              <w:rPr>
                <w:rFonts w:asciiTheme="minorHAnsi" w:hAnsiTheme="minorHAnsi" w:cstheme="minorHAnsi"/>
                <w:sz w:val="22"/>
                <w:szCs w:val="22"/>
                <w:lang w:val="en-GB"/>
              </w:rPr>
              <w:t>84</w:t>
            </w:r>
          </w:p>
        </w:tc>
      </w:tr>
      <w:tr w:rsidR="00060D35" w:rsidRPr="00E16FF6" w14:paraId="0AAECF57" w14:textId="77777777" w:rsidTr="0018004A">
        <w:trPr>
          <w:trHeight w:val="300"/>
        </w:trPr>
        <w:tc>
          <w:tcPr>
            <w:tcW w:w="1088" w:type="dxa"/>
            <w:hideMark/>
          </w:tcPr>
          <w:p w14:paraId="70B0EF2F" w14:textId="45661627" w:rsidR="00060D35" w:rsidRPr="00E16FF6" w:rsidRDefault="00060D35" w:rsidP="00060D35">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55-59</w:t>
            </w:r>
          </w:p>
        </w:tc>
        <w:tc>
          <w:tcPr>
            <w:tcW w:w="1561" w:type="dxa"/>
            <w:hideMark/>
          </w:tcPr>
          <w:p w14:paraId="4ED4C699" w14:textId="7A90C1EC"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15231</w:t>
            </w:r>
          </w:p>
        </w:tc>
        <w:tc>
          <w:tcPr>
            <w:tcW w:w="1560" w:type="dxa"/>
            <w:hideMark/>
          </w:tcPr>
          <w:p w14:paraId="53D3C468" w14:textId="37499BF8"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14</w:t>
            </w:r>
          </w:p>
        </w:tc>
        <w:tc>
          <w:tcPr>
            <w:tcW w:w="1985" w:type="dxa"/>
          </w:tcPr>
          <w:p w14:paraId="7E22A80A" w14:textId="1687158A"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109 </w:t>
            </w:r>
          </w:p>
        </w:tc>
        <w:tc>
          <w:tcPr>
            <w:tcW w:w="2023" w:type="dxa"/>
            <w:vAlign w:val="center"/>
          </w:tcPr>
          <w:p w14:paraId="129574CE" w14:textId="375D6F64" w:rsidR="00060D35" w:rsidRPr="00E16FF6" w:rsidRDefault="008E4F29"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6</w:t>
            </w:r>
            <w:r w:rsidR="00060D35" w:rsidRPr="00E16FF6">
              <w:rPr>
                <w:rFonts w:asciiTheme="minorHAnsi" w:hAnsiTheme="minorHAnsi" w:cstheme="minorHAnsi"/>
                <w:sz w:val="22"/>
                <w:szCs w:val="22"/>
                <w:lang w:val="en-GB"/>
              </w:rPr>
              <w:t>0-1</w:t>
            </w:r>
            <w:r w:rsidRPr="00E16FF6">
              <w:rPr>
                <w:rFonts w:asciiTheme="minorHAnsi" w:hAnsiTheme="minorHAnsi" w:cstheme="minorHAnsi"/>
                <w:sz w:val="22"/>
                <w:szCs w:val="22"/>
                <w:lang w:val="en-GB"/>
              </w:rPr>
              <w:t>76</w:t>
            </w:r>
          </w:p>
        </w:tc>
      </w:tr>
      <w:tr w:rsidR="00060D35" w:rsidRPr="00E16FF6" w14:paraId="3AF2D9DA" w14:textId="77777777" w:rsidTr="0018004A">
        <w:trPr>
          <w:trHeight w:val="300"/>
        </w:trPr>
        <w:tc>
          <w:tcPr>
            <w:tcW w:w="1088" w:type="dxa"/>
            <w:hideMark/>
          </w:tcPr>
          <w:p w14:paraId="6F550189" w14:textId="7DD12113" w:rsidR="00060D35" w:rsidRPr="00E16FF6" w:rsidRDefault="00060D35" w:rsidP="00060D35">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60-64</w:t>
            </w:r>
          </w:p>
        </w:tc>
        <w:tc>
          <w:tcPr>
            <w:tcW w:w="1561" w:type="dxa"/>
            <w:hideMark/>
          </w:tcPr>
          <w:p w14:paraId="2B28E92B" w14:textId="4139AC01"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11984</w:t>
            </w:r>
          </w:p>
        </w:tc>
        <w:tc>
          <w:tcPr>
            <w:tcW w:w="1560" w:type="dxa"/>
            <w:hideMark/>
          </w:tcPr>
          <w:p w14:paraId="5B85EEF6" w14:textId="4F211FD2"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16</w:t>
            </w:r>
          </w:p>
        </w:tc>
        <w:tc>
          <w:tcPr>
            <w:tcW w:w="1985" w:type="dxa"/>
          </w:tcPr>
          <w:p w14:paraId="3C2D3320" w14:textId="1332E689"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w:t>
            </w:r>
            <w:r w:rsidR="008E4F29" w:rsidRPr="00E16FF6">
              <w:rPr>
                <w:rFonts w:asciiTheme="minorHAnsi" w:hAnsiTheme="minorHAnsi" w:cstheme="minorHAnsi"/>
                <w:sz w:val="22"/>
                <w:szCs w:val="22"/>
                <w:lang w:val="en-GB"/>
              </w:rPr>
              <w:t>158</w:t>
            </w:r>
            <w:r w:rsidRPr="00E16FF6">
              <w:rPr>
                <w:rFonts w:asciiTheme="minorHAnsi" w:hAnsiTheme="minorHAnsi" w:cstheme="minorHAnsi"/>
                <w:sz w:val="22"/>
                <w:szCs w:val="22"/>
              </w:rPr>
              <w:t xml:space="preserve"> </w:t>
            </w:r>
          </w:p>
        </w:tc>
        <w:tc>
          <w:tcPr>
            <w:tcW w:w="2023" w:type="dxa"/>
            <w:vAlign w:val="center"/>
          </w:tcPr>
          <w:p w14:paraId="2D0F31B6" w14:textId="4C0C695D" w:rsidR="00060D35" w:rsidRPr="00E16FF6" w:rsidRDefault="008E4F29"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89</w:t>
            </w:r>
            <w:r w:rsidR="00060D35" w:rsidRPr="00E16FF6">
              <w:rPr>
                <w:rFonts w:asciiTheme="minorHAnsi" w:hAnsiTheme="minorHAnsi" w:cstheme="minorHAnsi"/>
                <w:sz w:val="22"/>
                <w:szCs w:val="22"/>
                <w:lang w:val="en-GB"/>
              </w:rPr>
              <w:t>-2</w:t>
            </w:r>
            <w:r w:rsidRPr="00E16FF6">
              <w:rPr>
                <w:rFonts w:asciiTheme="minorHAnsi" w:hAnsiTheme="minorHAnsi" w:cstheme="minorHAnsi"/>
                <w:sz w:val="22"/>
                <w:szCs w:val="22"/>
                <w:lang w:val="en-GB"/>
              </w:rPr>
              <w:t>4</w:t>
            </w:r>
            <w:r w:rsidR="00060D35" w:rsidRPr="00E16FF6">
              <w:rPr>
                <w:rFonts w:asciiTheme="minorHAnsi" w:hAnsiTheme="minorHAnsi" w:cstheme="minorHAnsi"/>
                <w:sz w:val="22"/>
                <w:szCs w:val="22"/>
                <w:lang w:val="en-GB"/>
              </w:rPr>
              <w:t>7</w:t>
            </w:r>
          </w:p>
        </w:tc>
      </w:tr>
      <w:tr w:rsidR="00060D35" w:rsidRPr="00E16FF6" w14:paraId="188472B9" w14:textId="77777777" w:rsidTr="0018004A">
        <w:trPr>
          <w:trHeight w:val="300"/>
        </w:trPr>
        <w:tc>
          <w:tcPr>
            <w:tcW w:w="1088" w:type="dxa"/>
          </w:tcPr>
          <w:p w14:paraId="237E3960" w14:textId="5AEED342" w:rsidR="00060D35" w:rsidRPr="00E16FF6" w:rsidRDefault="00060D35" w:rsidP="00060D35">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65-69</w:t>
            </w:r>
          </w:p>
        </w:tc>
        <w:tc>
          <w:tcPr>
            <w:tcW w:w="1561" w:type="dxa"/>
          </w:tcPr>
          <w:p w14:paraId="3C6BF037" w14:textId="5C88899D"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10058</w:t>
            </w:r>
          </w:p>
        </w:tc>
        <w:tc>
          <w:tcPr>
            <w:tcW w:w="1560" w:type="dxa"/>
          </w:tcPr>
          <w:p w14:paraId="13EB4DBE" w14:textId="44CEA6D0"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25</w:t>
            </w:r>
          </w:p>
        </w:tc>
        <w:tc>
          <w:tcPr>
            <w:tcW w:w="1985" w:type="dxa"/>
          </w:tcPr>
          <w:p w14:paraId="45122ABF" w14:textId="5C69E236"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2</w:t>
            </w:r>
            <w:r w:rsidR="008E4F29" w:rsidRPr="00E16FF6">
              <w:rPr>
                <w:rFonts w:asciiTheme="minorHAnsi" w:hAnsiTheme="minorHAnsi" w:cstheme="minorHAnsi"/>
                <w:sz w:val="22"/>
                <w:szCs w:val="22"/>
                <w:lang w:val="en-GB"/>
              </w:rPr>
              <w:t>92</w:t>
            </w:r>
            <w:r w:rsidRPr="00E16FF6">
              <w:rPr>
                <w:rFonts w:asciiTheme="minorHAnsi" w:hAnsiTheme="minorHAnsi" w:cstheme="minorHAnsi"/>
                <w:sz w:val="22"/>
                <w:szCs w:val="22"/>
              </w:rPr>
              <w:t xml:space="preserve"> </w:t>
            </w:r>
          </w:p>
        </w:tc>
        <w:tc>
          <w:tcPr>
            <w:tcW w:w="2023" w:type="dxa"/>
            <w:vAlign w:val="center"/>
          </w:tcPr>
          <w:p w14:paraId="64FEA81E" w14:textId="1A5F7DCD"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w:t>
            </w:r>
            <w:r w:rsidR="008E4F29" w:rsidRPr="00E16FF6">
              <w:rPr>
                <w:rFonts w:asciiTheme="minorHAnsi" w:hAnsiTheme="minorHAnsi" w:cstheme="minorHAnsi"/>
                <w:sz w:val="22"/>
                <w:szCs w:val="22"/>
                <w:lang w:val="en-GB"/>
              </w:rPr>
              <w:t>93</w:t>
            </w:r>
            <w:r w:rsidRPr="00E16FF6">
              <w:rPr>
                <w:rFonts w:asciiTheme="minorHAnsi" w:hAnsiTheme="minorHAnsi" w:cstheme="minorHAnsi"/>
                <w:sz w:val="22"/>
                <w:szCs w:val="22"/>
                <w:lang w:val="en-GB"/>
              </w:rPr>
              <w:t>-</w:t>
            </w:r>
            <w:r w:rsidR="008E4F29" w:rsidRPr="00E16FF6">
              <w:rPr>
                <w:rFonts w:asciiTheme="minorHAnsi" w:hAnsiTheme="minorHAnsi" w:cstheme="minorHAnsi"/>
                <w:sz w:val="22"/>
                <w:szCs w:val="22"/>
                <w:lang w:val="en-GB"/>
              </w:rPr>
              <w:t>418</w:t>
            </w:r>
          </w:p>
        </w:tc>
      </w:tr>
      <w:tr w:rsidR="00060D35" w:rsidRPr="00E16FF6" w14:paraId="39FDBBF9" w14:textId="77777777" w:rsidTr="0018004A">
        <w:trPr>
          <w:trHeight w:val="300"/>
        </w:trPr>
        <w:tc>
          <w:tcPr>
            <w:tcW w:w="1088" w:type="dxa"/>
          </w:tcPr>
          <w:p w14:paraId="08939CFF" w14:textId="172B6079" w:rsidR="00060D35" w:rsidRPr="00E16FF6" w:rsidRDefault="00060D35" w:rsidP="00060D35">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70-74</w:t>
            </w:r>
          </w:p>
        </w:tc>
        <w:tc>
          <w:tcPr>
            <w:tcW w:w="1561" w:type="dxa"/>
          </w:tcPr>
          <w:p w14:paraId="21FA91C5" w14:textId="7D143169"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5169</w:t>
            </w:r>
          </w:p>
        </w:tc>
        <w:tc>
          <w:tcPr>
            <w:tcW w:w="1560" w:type="dxa"/>
          </w:tcPr>
          <w:p w14:paraId="24B6EFB6" w14:textId="46E24624"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21</w:t>
            </w:r>
          </w:p>
        </w:tc>
        <w:tc>
          <w:tcPr>
            <w:tcW w:w="1985" w:type="dxa"/>
          </w:tcPr>
          <w:p w14:paraId="1916D4FD" w14:textId="40E9CCF8"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50</w:t>
            </w:r>
            <w:r w:rsidR="008E4F29" w:rsidRPr="00E16FF6">
              <w:rPr>
                <w:rFonts w:asciiTheme="minorHAnsi" w:hAnsiTheme="minorHAnsi" w:cstheme="minorHAnsi"/>
                <w:sz w:val="22"/>
                <w:szCs w:val="22"/>
                <w:lang w:val="en-GB"/>
              </w:rPr>
              <w:t>2</w:t>
            </w:r>
            <w:r w:rsidRPr="00E16FF6">
              <w:rPr>
                <w:rFonts w:asciiTheme="minorHAnsi" w:hAnsiTheme="minorHAnsi" w:cstheme="minorHAnsi"/>
                <w:sz w:val="22"/>
                <w:szCs w:val="22"/>
              </w:rPr>
              <w:t xml:space="preserve"> </w:t>
            </w:r>
          </w:p>
        </w:tc>
        <w:tc>
          <w:tcPr>
            <w:tcW w:w="2023" w:type="dxa"/>
            <w:vAlign w:val="center"/>
          </w:tcPr>
          <w:p w14:paraId="1BF5A669" w14:textId="7251A312" w:rsidR="00060D35" w:rsidRPr="00E16FF6" w:rsidRDefault="008E4F29"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313</w:t>
            </w:r>
            <w:r w:rsidR="00060D35" w:rsidRPr="00E16FF6">
              <w:rPr>
                <w:rFonts w:asciiTheme="minorHAnsi" w:hAnsiTheme="minorHAnsi" w:cstheme="minorHAnsi"/>
                <w:sz w:val="22"/>
                <w:szCs w:val="22"/>
                <w:lang w:val="en-GB"/>
              </w:rPr>
              <w:t>-</w:t>
            </w:r>
            <w:r w:rsidR="00C35E69" w:rsidRPr="00E16FF6">
              <w:rPr>
                <w:rFonts w:asciiTheme="minorHAnsi" w:hAnsiTheme="minorHAnsi" w:cstheme="minorHAnsi"/>
                <w:sz w:val="22"/>
                <w:szCs w:val="22"/>
                <w:lang w:val="en-GB"/>
              </w:rPr>
              <w:t>736</w:t>
            </w:r>
          </w:p>
        </w:tc>
      </w:tr>
      <w:tr w:rsidR="00060D35" w:rsidRPr="00E16FF6" w14:paraId="10F85427" w14:textId="77777777" w:rsidTr="0018004A">
        <w:trPr>
          <w:trHeight w:val="300"/>
        </w:trPr>
        <w:tc>
          <w:tcPr>
            <w:tcW w:w="1088" w:type="dxa"/>
          </w:tcPr>
          <w:p w14:paraId="1B65BA48" w14:textId="7620BF18" w:rsidR="00060D35" w:rsidRPr="00E16FF6" w:rsidRDefault="00060D35" w:rsidP="00060D35">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75-79</w:t>
            </w:r>
          </w:p>
        </w:tc>
        <w:tc>
          <w:tcPr>
            <w:tcW w:w="1561" w:type="dxa"/>
          </w:tcPr>
          <w:p w14:paraId="28A80D3C" w14:textId="0AB88022"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5665</w:t>
            </w:r>
          </w:p>
        </w:tc>
        <w:tc>
          <w:tcPr>
            <w:tcW w:w="1560" w:type="dxa"/>
          </w:tcPr>
          <w:p w14:paraId="52108FA9" w14:textId="71A99EFA"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44</w:t>
            </w:r>
          </w:p>
        </w:tc>
        <w:tc>
          <w:tcPr>
            <w:tcW w:w="1985" w:type="dxa"/>
          </w:tcPr>
          <w:p w14:paraId="60643091" w14:textId="161A0A1F"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925 </w:t>
            </w:r>
          </w:p>
        </w:tc>
        <w:tc>
          <w:tcPr>
            <w:tcW w:w="2023" w:type="dxa"/>
            <w:vAlign w:val="center"/>
          </w:tcPr>
          <w:p w14:paraId="7EA81346" w14:textId="77B5D785" w:rsidR="00060D35" w:rsidRPr="00E16FF6" w:rsidRDefault="00C35E69"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692</w:t>
            </w:r>
            <w:r w:rsidR="00060D35" w:rsidRPr="00E16FF6">
              <w:rPr>
                <w:rFonts w:asciiTheme="minorHAnsi" w:hAnsiTheme="minorHAnsi" w:cstheme="minorHAnsi"/>
                <w:sz w:val="22"/>
                <w:szCs w:val="22"/>
                <w:lang w:val="en-GB"/>
              </w:rPr>
              <w:t>-</w:t>
            </w:r>
            <w:r w:rsidR="00616E25" w:rsidRPr="00E16FF6">
              <w:rPr>
                <w:rFonts w:asciiTheme="minorHAnsi" w:hAnsiTheme="minorHAnsi" w:cstheme="minorHAnsi"/>
                <w:sz w:val="22"/>
                <w:szCs w:val="22"/>
                <w:lang w:val="en-GB"/>
              </w:rPr>
              <w:t>1212</w:t>
            </w:r>
          </w:p>
        </w:tc>
      </w:tr>
      <w:tr w:rsidR="00060D35" w:rsidRPr="00E16FF6" w14:paraId="567F0BF5" w14:textId="77777777" w:rsidTr="0018004A">
        <w:trPr>
          <w:trHeight w:val="300"/>
        </w:trPr>
        <w:tc>
          <w:tcPr>
            <w:tcW w:w="1088" w:type="dxa"/>
          </w:tcPr>
          <w:p w14:paraId="1FD84A06" w14:textId="61500450" w:rsidR="00060D35" w:rsidRPr="00E16FF6" w:rsidRDefault="00060D35" w:rsidP="00060D35">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80-84</w:t>
            </w:r>
          </w:p>
        </w:tc>
        <w:tc>
          <w:tcPr>
            <w:tcW w:w="1561" w:type="dxa"/>
          </w:tcPr>
          <w:p w14:paraId="479C822D" w14:textId="63185CE9"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2833</w:t>
            </w:r>
          </w:p>
        </w:tc>
        <w:tc>
          <w:tcPr>
            <w:tcW w:w="1560" w:type="dxa"/>
          </w:tcPr>
          <w:p w14:paraId="5A3AC273" w14:textId="1344DD1A"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38</w:t>
            </w:r>
          </w:p>
        </w:tc>
        <w:tc>
          <w:tcPr>
            <w:tcW w:w="1985" w:type="dxa"/>
          </w:tcPr>
          <w:p w14:paraId="1B42A845" w14:textId="048EEB48"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1515 </w:t>
            </w:r>
          </w:p>
        </w:tc>
        <w:tc>
          <w:tcPr>
            <w:tcW w:w="2023" w:type="dxa"/>
            <w:vAlign w:val="center"/>
          </w:tcPr>
          <w:p w14:paraId="673E2785" w14:textId="2C40042B" w:rsidR="00060D35" w:rsidRPr="00E16FF6" w:rsidRDefault="00616E2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1096</w:t>
            </w:r>
            <w:r w:rsidR="00060D35" w:rsidRPr="00E16FF6">
              <w:rPr>
                <w:rFonts w:asciiTheme="minorHAnsi" w:hAnsiTheme="minorHAnsi" w:cstheme="minorHAnsi"/>
                <w:sz w:val="22"/>
                <w:szCs w:val="22"/>
                <w:lang w:val="en-GB"/>
              </w:rPr>
              <w:t>-</w:t>
            </w:r>
            <w:r w:rsidR="00344C0C" w:rsidRPr="00E16FF6">
              <w:rPr>
                <w:rFonts w:asciiTheme="minorHAnsi" w:hAnsiTheme="minorHAnsi" w:cstheme="minorHAnsi"/>
                <w:sz w:val="22"/>
                <w:szCs w:val="22"/>
                <w:lang w:val="en-GB"/>
              </w:rPr>
              <w:t>2042</w:t>
            </w:r>
          </w:p>
        </w:tc>
      </w:tr>
      <w:tr w:rsidR="00060D35" w:rsidRPr="00E16FF6" w14:paraId="6BC3F618" w14:textId="77777777" w:rsidTr="0018004A">
        <w:trPr>
          <w:trHeight w:val="300"/>
        </w:trPr>
        <w:tc>
          <w:tcPr>
            <w:tcW w:w="1088" w:type="dxa"/>
          </w:tcPr>
          <w:p w14:paraId="4DE29CEA" w14:textId="55C24FFF" w:rsidR="00060D35" w:rsidRPr="00E16FF6" w:rsidRDefault="00060D35" w:rsidP="00060D35">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85-89</w:t>
            </w:r>
          </w:p>
        </w:tc>
        <w:tc>
          <w:tcPr>
            <w:tcW w:w="1561" w:type="dxa"/>
          </w:tcPr>
          <w:p w14:paraId="09AA9008" w14:textId="38B13834"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1360</w:t>
            </w:r>
          </w:p>
        </w:tc>
        <w:tc>
          <w:tcPr>
            <w:tcW w:w="1560" w:type="dxa"/>
          </w:tcPr>
          <w:p w14:paraId="6F644045" w14:textId="53E2E0B9"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31</w:t>
            </w:r>
          </w:p>
        </w:tc>
        <w:tc>
          <w:tcPr>
            <w:tcW w:w="1985" w:type="dxa"/>
          </w:tcPr>
          <w:p w14:paraId="74028E33" w14:textId="79E4CD32"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2663 </w:t>
            </w:r>
          </w:p>
        </w:tc>
        <w:tc>
          <w:tcPr>
            <w:tcW w:w="2023" w:type="dxa"/>
            <w:vAlign w:val="center"/>
          </w:tcPr>
          <w:p w14:paraId="2116338A" w14:textId="131415A4" w:rsidR="00060D35" w:rsidRPr="00E16FF6" w:rsidRDefault="00344C0C"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1867</w:t>
            </w:r>
            <w:r w:rsidR="00060D35" w:rsidRPr="00E16FF6">
              <w:rPr>
                <w:rFonts w:asciiTheme="minorHAnsi" w:hAnsiTheme="minorHAnsi" w:cstheme="minorHAnsi"/>
                <w:sz w:val="22"/>
                <w:szCs w:val="22"/>
                <w:lang w:val="en-GB"/>
              </w:rPr>
              <w:t>-3</w:t>
            </w:r>
            <w:r w:rsidRPr="00E16FF6">
              <w:rPr>
                <w:rFonts w:asciiTheme="minorHAnsi" w:hAnsiTheme="minorHAnsi" w:cstheme="minorHAnsi"/>
                <w:sz w:val="22"/>
                <w:szCs w:val="22"/>
                <w:lang w:val="en-GB"/>
              </w:rPr>
              <w:t>684</w:t>
            </w:r>
          </w:p>
        </w:tc>
      </w:tr>
      <w:tr w:rsidR="00060D35" w:rsidRPr="00E16FF6" w14:paraId="7BD83335" w14:textId="77777777" w:rsidTr="0018004A">
        <w:trPr>
          <w:trHeight w:val="300"/>
        </w:trPr>
        <w:tc>
          <w:tcPr>
            <w:tcW w:w="1088" w:type="dxa"/>
          </w:tcPr>
          <w:p w14:paraId="38DA3CB6" w14:textId="1A83C8CC" w:rsidR="00060D35" w:rsidRPr="00E16FF6" w:rsidRDefault="00060D35" w:rsidP="00060D35">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90-94</w:t>
            </w:r>
          </w:p>
        </w:tc>
        <w:tc>
          <w:tcPr>
            <w:tcW w:w="1561" w:type="dxa"/>
          </w:tcPr>
          <w:p w14:paraId="2757E763" w14:textId="01C5E967"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357</w:t>
            </w:r>
          </w:p>
        </w:tc>
        <w:tc>
          <w:tcPr>
            <w:tcW w:w="1560" w:type="dxa"/>
          </w:tcPr>
          <w:p w14:paraId="72548F90" w14:textId="41D3EE7A"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10</w:t>
            </w:r>
          </w:p>
        </w:tc>
        <w:tc>
          <w:tcPr>
            <w:tcW w:w="1985" w:type="dxa"/>
          </w:tcPr>
          <w:p w14:paraId="311475E8" w14:textId="0B43E0FE"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rPr>
              <w:t xml:space="preserve"> 3207 </w:t>
            </w:r>
          </w:p>
        </w:tc>
        <w:tc>
          <w:tcPr>
            <w:tcW w:w="2023" w:type="dxa"/>
            <w:vAlign w:val="center"/>
          </w:tcPr>
          <w:p w14:paraId="78FC2303" w14:textId="2D1149AB" w:rsidR="00060D35" w:rsidRPr="00E16FF6" w:rsidRDefault="00060D35" w:rsidP="00060D35">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w:t>
            </w:r>
            <w:r w:rsidR="004B597D" w:rsidRPr="00E16FF6">
              <w:rPr>
                <w:rFonts w:asciiTheme="minorHAnsi" w:hAnsiTheme="minorHAnsi" w:cstheme="minorHAnsi"/>
                <w:sz w:val="22"/>
                <w:szCs w:val="22"/>
                <w:lang w:val="en-GB"/>
              </w:rPr>
              <w:t>537</w:t>
            </w:r>
            <w:r w:rsidRPr="00E16FF6">
              <w:rPr>
                <w:rFonts w:asciiTheme="minorHAnsi" w:hAnsiTheme="minorHAnsi" w:cstheme="minorHAnsi"/>
                <w:sz w:val="22"/>
                <w:szCs w:val="22"/>
                <w:lang w:val="en-GB"/>
              </w:rPr>
              <w:t>-5</w:t>
            </w:r>
            <w:r w:rsidR="004B597D" w:rsidRPr="00E16FF6">
              <w:rPr>
                <w:rFonts w:asciiTheme="minorHAnsi" w:hAnsiTheme="minorHAnsi" w:cstheme="minorHAnsi"/>
                <w:sz w:val="22"/>
                <w:szCs w:val="22"/>
                <w:lang w:val="en-GB"/>
              </w:rPr>
              <w:t>514</w:t>
            </w:r>
          </w:p>
        </w:tc>
      </w:tr>
      <w:tr w:rsidR="00077019" w:rsidRPr="00E16FF6" w14:paraId="309D1CCB" w14:textId="77777777" w:rsidTr="0018004A">
        <w:trPr>
          <w:trHeight w:val="300"/>
        </w:trPr>
        <w:tc>
          <w:tcPr>
            <w:tcW w:w="1088" w:type="dxa"/>
          </w:tcPr>
          <w:p w14:paraId="67E2EBC1" w14:textId="3EA448C0" w:rsidR="00077019" w:rsidRPr="00E16FF6" w:rsidRDefault="00077019" w:rsidP="00077019">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95+</w:t>
            </w:r>
          </w:p>
        </w:tc>
        <w:tc>
          <w:tcPr>
            <w:tcW w:w="1561" w:type="dxa"/>
          </w:tcPr>
          <w:p w14:paraId="077B3909" w14:textId="7513C397"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108</w:t>
            </w:r>
          </w:p>
        </w:tc>
        <w:tc>
          <w:tcPr>
            <w:tcW w:w="1560" w:type="dxa"/>
          </w:tcPr>
          <w:p w14:paraId="1D47D3A8" w14:textId="7A708CEB"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 xml:space="preserve">  0</w:t>
            </w:r>
          </w:p>
        </w:tc>
        <w:tc>
          <w:tcPr>
            <w:tcW w:w="1985" w:type="dxa"/>
            <w:vAlign w:val="bottom"/>
          </w:tcPr>
          <w:p w14:paraId="678F8F26" w14:textId="11BDCA00"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w:t>
            </w:r>
          </w:p>
        </w:tc>
        <w:tc>
          <w:tcPr>
            <w:tcW w:w="2023" w:type="dxa"/>
            <w:vAlign w:val="center"/>
          </w:tcPr>
          <w:p w14:paraId="09738AB6" w14:textId="38FB2DE7" w:rsidR="00077019" w:rsidRPr="00E16FF6" w:rsidRDefault="00077019" w:rsidP="00077019">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w:t>
            </w:r>
          </w:p>
        </w:tc>
      </w:tr>
      <w:tr w:rsidR="00B5038A" w:rsidRPr="00E16FF6" w14:paraId="0BB0D4DD" w14:textId="77777777" w:rsidTr="0018004A">
        <w:trPr>
          <w:trHeight w:val="300"/>
        </w:trPr>
        <w:tc>
          <w:tcPr>
            <w:tcW w:w="1088" w:type="dxa"/>
            <w:hideMark/>
          </w:tcPr>
          <w:p w14:paraId="119C45A8" w14:textId="0B2F9B62" w:rsidR="00B5038A" w:rsidRPr="00E16FF6" w:rsidRDefault="00B5038A" w:rsidP="00B5038A">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lang w:val="en-GB"/>
              </w:rPr>
              <w:t>40+</w:t>
            </w:r>
          </w:p>
        </w:tc>
        <w:tc>
          <w:tcPr>
            <w:tcW w:w="1561" w:type="dxa"/>
          </w:tcPr>
          <w:p w14:paraId="3329001E" w14:textId="5D3D0B04" w:rsidR="00B5038A" w:rsidRPr="00E16FF6" w:rsidRDefault="00B5038A" w:rsidP="00B5038A">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fldChar w:fldCharType="begin"/>
            </w:r>
            <w:r w:rsidRPr="00E16FF6">
              <w:rPr>
                <w:rFonts w:asciiTheme="minorHAnsi" w:hAnsiTheme="minorHAnsi" w:cstheme="minorHAnsi"/>
                <w:sz w:val="22"/>
                <w:szCs w:val="22"/>
                <w:lang w:val="en-GB"/>
              </w:rPr>
              <w:instrText xml:space="preserve"> =SUM(ABOVE) </w:instrText>
            </w:r>
            <w:r w:rsidRPr="00E16FF6">
              <w:rPr>
                <w:rFonts w:asciiTheme="minorHAnsi" w:hAnsiTheme="minorHAnsi" w:cstheme="minorHAnsi"/>
                <w:sz w:val="22"/>
                <w:szCs w:val="22"/>
                <w:lang w:val="en-GB"/>
              </w:rPr>
              <w:fldChar w:fldCharType="separate"/>
            </w:r>
            <w:r w:rsidRPr="00E16FF6">
              <w:rPr>
                <w:rFonts w:asciiTheme="minorHAnsi" w:hAnsiTheme="minorHAnsi" w:cstheme="minorHAnsi"/>
                <w:noProof/>
                <w:sz w:val="22"/>
                <w:szCs w:val="22"/>
                <w:lang w:val="en-GB"/>
              </w:rPr>
              <w:t>106880</w:t>
            </w:r>
            <w:r w:rsidRPr="00E16FF6">
              <w:rPr>
                <w:rFonts w:asciiTheme="minorHAnsi" w:hAnsiTheme="minorHAnsi" w:cstheme="minorHAnsi"/>
                <w:sz w:val="22"/>
                <w:szCs w:val="22"/>
                <w:lang w:val="en-GB"/>
              </w:rPr>
              <w:fldChar w:fldCharType="end"/>
            </w:r>
          </w:p>
        </w:tc>
        <w:tc>
          <w:tcPr>
            <w:tcW w:w="1560" w:type="dxa"/>
          </w:tcPr>
          <w:p w14:paraId="46F660AE" w14:textId="371B954D" w:rsidR="00B5038A" w:rsidRPr="00E16FF6" w:rsidRDefault="00B5038A" w:rsidP="00B5038A">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fldChar w:fldCharType="begin"/>
            </w:r>
            <w:r w:rsidRPr="00E16FF6">
              <w:rPr>
                <w:rFonts w:asciiTheme="minorHAnsi" w:hAnsiTheme="minorHAnsi" w:cstheme="minorHAnsi"/>
                <w:sz w:val="22"/>
                <w:szCs w:val="22"/>
                <w:lang w:val="en-GB"/>
              </w:rPr>
              <w:instrText xml:space="preserve"> =SUM(ABOVE) </w:instrText>
            </w:r>
            <w:r w:rsidRPr="00E16FF6">
              <w:rPr>
                <w:rFonts w:asciiTheme="minorHAnsi" w:hAnsiTheme="minorHAnsi" w:cstheme="minorHAnsi"/>
                <w:sz w:val="22"/>
                <w:szCs w:val="22"/>
                <w:lang w:val="en-GB"/>
              </w:rPr>
              <w:fldChar w:fldCharType="separate"/>
            </w:r>
            <w:r w:rsidRPr="00E16FF6">
              <w:rPr>
                <w:rFonts w:asciiTheme="minorHAnsi" w:hAnsiTheme="minorHAnsi" w:cstheme="minorHAnsi"/>
                <w:noProof/>
                <w:sz w:val="22"/>
                <w:szCs w:val="22"/>
                <w:lang w:val="en-GB"/>
              </w:rPr>
              <w:t>214</w:t>
            </w:r>
            <w:r w:rsidRPr="00E16FF6">
              <w:rPr>
                <w:rFonts w:asciiTheme="minorHAnsi" w:hAnsiTheme="minorHAnsi" w:cstheme="minorHAnsi"/>
                <w:sz w:val="22"/>
                <w:szCs w:val="22"/>
                <w:lang w:val="en-GB"/>
              </w:rPr>
              <w:fldChar w:fldCharType="end"/>
            </w:r>
          </w:p>
        </w:tc>
        <w:tc>
          <w:tcPr>
            <w:tcW w:w="1985" w:type="dxa"/>
            <w:shd w:val="clear" w:color="auto" w:fill="auto"/>
            <w:vAlign w:val="bottom"/>
          </w:tcPr>
          <w:p w14:paraId="74E7CE9F" w14:textId="415A447D" w:rsidR="00B5038A" w:rsidRPr="00E16FF6" w:rsidRDefault="00B5038A" w:rsidP="00B5038A">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236</w:t>
            </w:r>
          </w:p>
        </w:tc>
        <w:tc>
          <w:tcPr>
            <w:tcW w:w="2023" w:type="dxa"/>
            <w:shd w:val="clear" w:color="auto" w:fill="auto"/>
            <w:vAlign w:val="center"/>
          </w:tcPr>
          <w:p w14:paraId="7BEE9AAD" w14:textId="3F0238EA" w:rsidR="00B5038A" w:rsidRPr="00E16FF6" w:rsidRDefault="00B5038A" w:rsidP="00B5038A">
            <w:pPr>
              <w:spacing w:line="256" w:lineRule="auto"/>
              <w:jc w:val="right"/>
              <w:rPr>
                <w:rFonts w:asciiTheme="minorHAnsi" w:hAnsiTheme="minorHAnsi" w:cstheme="minorHAnsi"/>
                <w:sz w:val="22"/>
                <w:szCs w:val="22"/>
                <w:lang w:val="en-GB"/>
              </w:rPr>
            </w:pPr>
            <w:r w:rsidRPr="00E16FF6">
              <w:rPr>
                <w:rFonts w:asciiTheme="minorHAnsi" w:hAnsiTheme="minorHAnsi" w:cstheme="minorHAnsi"/>
                <w:sz w:val="22"/>
                <w:szCs w:val="22"/>
                <w:lang w:val="en-GB"/>
              </w:rPr>
              <w:t>207-266</w:t>
            </w:r>
          </w:p>
        </w:tc>
      </w:tr>
      <w:tr w:rsidR="00C83ACB" w:rsidRPr="00E16FF6" w14:paraId="28748E7E" w14:textId="77777777" w:rsidTr="0018004A">
        <w:trPr>
          <w:trHeight w:val="300"/>
        </w:trPr>
        <w:tc>
          <w:tcPr>
            <w:tcW w:w="4209" w:type="dxa"/>
            <w:gridSpan w:val="3"/>
            <w:vAlign w:val="center"/>
          </w:tcPr>
          <w:p w14:paraId="19AB9066" w14:textId="77777777" w:rsidR="00C83ACB" w:rsidRPr="00E16FF6" w:rsidRDefault="00CD45BD" w:rsidP="00CD45BD">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vertAlign w:val="superscript"/>
                <w:lang w:val="en-GB"/>
              </w:rPr>
              <w:t xml:space="preserve">a </w:t>
            </w:r>
            <w:r w:rsidRPr="00E16FF6">
              <w:rPr>
                <w:rFonts w:asciiTheme="minorHAnsi" w:hAnsiTheme="minorHAnsi" w:cstheme="minorHAnsi"/>
                <w:sz w:val="22"/>
                <w:szCs w:val="22"/>
                <w:lang w:val="en-GB"/>
              </w:rPr>
              <w:t>Unadjusted numbers</w:t>
            </w:r>
          </w:p>
          <w:p w14:paraId="60568D2B" w14:textId="5613F331" w:rsidR="00767C19" w:rsidRPr="00E16FF6" w:rsidRDefault="003D5CD6" w:rsidP="00CD45BD">
            <w:pPr>
              <w:spacing w:line="256" w:lineRule="auto"/>
              <w:rPr>
                <w:rFonts w:asciiTheme="minorHAnsi" w:hAnsiTheme="minorHAnsi" w:cstheme="minorHAnsi"/>
                <w:sz w:val="22"/>
                <w:szCs w:val="22"/>
                <w:lang w:val="en-GB"/>
              </w:rPr>
            </w:pPr>
            <w:r w:rsidRPr="00E16FF6">
              <w:rPr>
                <w:rFonts w:asciiTheme="minorHAnsi" w:hAnsiTheme="minorHAnsi" w:cstheme="minorHAnsi"/>
                <w:sz w:val="22"/>
                <w:szCs w:val="22"/>
                <w:vertAlign w:val="superscript"/>
                <w:lang w:val="en-GB"/>
              </w:rPr>
              <w:t>b</w:t>
            </w:r>
            <w:r w:rsidRPr="00E16FF6">
              <w:rPr>
                <w:rFonts w:asciiTheme="minorHAnsi" w:hAnsiTheme="minorHAnsi" w:cstheme="minorHAnsi"/>
                <w:sz w:val="22"/>
                <w:szCs w:val="22"/>
                <w:lang w:val="en-GB"/>
              </w:rPr>
              <w:t xml:space="preserve"> </w:t>
            </w:r>
            <w:r w:rsidRPr="00E16FF6">
              <w:rPr>
                <w:rFonts w:asciiTheme="minorHAnsi" w:hAnsiTheme="minorHAnsi" w:cstheme="minorHAnsi"/>
                <w:sz w:val="22"/>
                <w:szCs w:val="22"/>
              </w:rPr>
              <w:t>Includes</w:t>
            </w:r>
            <w:r w:rsidR="004651FE" w:rsidRPr="00E16FF6">
              <w:rPr>
                <w:rFonts w:asciiTheme="minorHAnsi" w:hAnsiTheme="minorHAnsi" w:cstheme="minorHAnsi"/>
                <w:sz w:val="22"/>
                <w:szCs w:val="22"/>
                <w:lang w:val="en-GB"/>
              </w:rPr>
              <w:t xml:space="preserve"> adjusted i</w:t>
            </w:r>
            <w:r w:rsidR="005027F0" w:rsidRPr="00E16FF6">
              <w:rPr>
                <w:rFonts w:asciiTheme="minorHAnsi" w:hAnsiTheme="minorHAnsi" w:cstheme="minorHAnsi"/>
                <w:sz w:val="22"/>
                <w:szCs w:val="22"/>
                <w:lang w:val="en-GB"/>
              </w:rPr>
              <w:t>ncidence for 2015 and 2016</w:t>
            </w:r>
          </w:p>
        </w:tc>
        <w:tc>
          <w:tcPr>
            <w:tcW w:w="1985" w:type="dxa"/>
            <w:vAlign w:val="bottom"/>
          </w:tcPr>
          <w:p w14:paraId="73728954" w14:textId="3E86C721" w:rsidR="00C83ACB" w:rsidRPr="00E16FF6" w:rsidRDefault="00C83ACB" w:rsidP="00077019">
            <w:pPr>
              <w:spacing w:line="256" w:lineRule="auto"/>
              <w:jc w:val="right"/>
              <w:rPr>
                <w:rFonts w:asciiTheme="minorHAnsi" w:hAnsiTheme="minorHAnsi" w:cstheme="minorHAnsi"/>
                <w:sz w:val="22"/>
                <w:szCs w:val="22"/>
                <w:lang w:val="en-GB"/>
              </w:rPr>
            </w:pPr>
          </w:p>
        </w:tc>
        <w:tc>
          <w:tcPr>
            <w:tcW w:w="2023" w:type="dxa"/>
            <w:vAlign w:val="center"/>
          </w:tcPr>
          <w:p w14:paraId="0C0B4C23" w14:textId="117B3401" w:rsidR="00C83ACB" w:rsidRPr="00E16FF6" w:rsidRDefault="00C83ACB" w:rsidP="00077019">
            <w:pPr>
              <w:spacing w:line="256" w:lineRule="auto"/>
              <w:jc w:val="right"/>
              <w:rPr>
                <w:rFonts w:asciiTheme="minorHAnsi" w:hAnsiTheme="minorHAnsi" w:cstheme="minorHAnsi"/>
                <w:sz w:val="22"/>
                <w:szCs w:val="22"/>
                <w:lang w:val="en-GB"/>
              </w:rPr>
            </w:pPr>
          </w:p>
        </w:tc>
      </w:tr>
    </w:tbl>
    <w:p w14:paraId="7C323400" w14:textId="2D01E21B" w:rsidR="00637229" w:rsidRPr="00A81361" w:rsidRDefault="00637229" w:rsidP="003C53D7">
      <w:pPr>
        <w:ind w:left="567" w:right="141"/>
        <w:rPr>
          <w:rFonts w:asciiTheme="minorHAnsi" w:eastAsia="MS Mincho" w:hAnsiTheme="minorHAnsi" w:cstheme="minorHAnsi"/>
          <w:highlight w:val="yellow"/>
          <w:lang w:val="en-GB"/>
        </w:rPr>
      </w:pPr>
    </w:p>
    <w:p w14:paraId="3C4BF442" w14:textId="77777777" w:rsidR="00637229" w:rsidRPr="00A81361" w:rsidRDefault="00637229" w:rsidP="003C53D7">
      <w:pPr>
        <w:ind w:left="567" w:right="141"/>
        <w:rPr>
          <w:rFonts w:asciiTheme="minorHAnsi" w:eastAsia="MS Mincho" w:hAnsiTheme="minorHAnsi" w:cstheme="minorHAnsi"/>
          <w:highlight w:val="yellow"/>
          <w:lang w:val="en-GB"/>
        </w:rPr>
      </w:pPr>
    </w:p>
    <w:p w14:paraId="0337F394" w14:textId="77777777" w:rsidR="001B4A9C" w:rsidRPr="00A81361" w:rsidRDefault="001B4A9C" w:rsidP="003C53D7">
      <w:pPr>
        <w:ind w:left="567" w:right="141"/>
        <w:rPr>
          <w:rFonts w:asciiTheme="minorHAnsi" w:eastAsia="MS Mincho" w:hAnsiTheme="minorHAnsi" w:cstheme="minorHAnsi"/>
          <w:highlight w:val="yellow"/>
          <w:lang w:val="en-GB"/>
        </w:rPr>
      </w:pPr>
    </w:p>
    <w:p w14:paraId="35FF96BA" w14:textId="23D18A4D" w:rsidR="00187528" w:rsidRPr="00A81361" w:rsidRDefault="00187528" w:rsidP="0030661D">
      <w:pPr>
        <w:spacing w:line="276" w:lineRule="auto"/>
        <w:ind w:left="567" w:right="141"/>
        <w:rPr>
          <w:rFonts w:asciiTheme="minorHAnsi" w:eastAsia="Calibri" w:hAnsiTheme="minorHAnsi" w:cstheme="minorHAnsi"/>
          <w:highlight w:val="yellow"/>
          <w:lang w:val="en-GB" w:bidi="lo-LA"/>
        </w:rPr>
      </w:pPr>
      <w:r w:rsidRPr="00A81361">
        <w:rPr>
          <w:rFonts w:asciiTheme="minorHAnsi" w:eastAsia="Calibri" w:hAnsiTheme="minorHAnsi" w:cstheme="minorHAnsi"/>
          <w:highlight w:val="yellow"/>
          <w:lang w:val="en-GB" w:bidi="lo-LA"/>
        </w:rPr>
        <w:t xml:space="preserve"> </w:t>
      </w:r>
    </w:p>
    <w:p w14:paraId="09274AA9" w14:textId="7C6EA246" w:rsidR="00132515" w:rsidRDefault="00132515" w:rsidP="0030661D">
      <w:pPr>
        <w:spacing w:line="276" w:lineRule="auto"/>
        <w:ind w:left="567" w:right="1275"/>
        <w:rPr>
          <w:rFonts w:asciiTheme="minorHAnsi" w:hAnsiTheme="minorHAnsi" w:cstheme="minorHAnsi"/>
          <w:i/>
          <w:highlight w:val="yellow"/>
          <w:lang w:val="en-GB"/>
        </w:rPr>
      </w:pPr>
    </w:p>
    <w:p w14:paraId="011982BC" w14:textId="77777777" w:rsidR="006146AB" w:rsidRPr="00137389" w:rsidRDefault="006146AB" w:rsidP="006146AB">
      <w:pPr>
        <w:spacing w:line="276" w:lineRule="auto"/>
        <w:ind w:left="567" w:right="1275"/>
        <w:rPr>
          <w:rFonts w:asciiTheme="minorHAnsi" w:hAnsiTheme="minorHAnsi" w:cstheme="minorHAnsi"/>
          <w:i/>
          <w:lang w:val="en-GB"/>
        </w:rPr>
      </w:pPr>
      <w:r w:rsidRPr="00137389">
        <w:rPr>
          <w:rFonts w:asciiTheme="minorHAnsi" w:hAnsiTheme="minorHAnsi" w:cstheme="minorHAnsi"/>
          <w:i/>
          <w:lang w:val="en-GB"/>
        </w:rPr>
        <w:t>Forearm and humeral fractures</w:t>
      </w:r>
    </w:p>
    <w:p w14:paraId="4AB9064A" w14:textId="77777777" w:rsidR="006146AB" w:rsidRPr="004A462D" w:rsidRDefault="006146AB" w:rsidP="006146AB">
      <w:pPr>
        <w:spacing w:line="276" w:lineRule="auto"/>
        <w:ind w:left="567"/>
        <w:jc w:val="both"/>
        <w:rPr>
          <w:rFonts w:ascii="Calibri" w:eastAsia="Calibri" w:hAnsi="Calibri" w:cs="Calibri"/>
          <w:lang w:val="en-GB" w:eastAsia="en-US"/>
        </w:rPr>
      </w:pPr>
      <w:r w:rsidRPr="004A462D">
        <w:rPr>
          <w:rFonts w:asciiTheme="minorHAnsi" w:hAnsiTheme="minorHAnsi" w:cstheme="minorHAnsi"/>
          <w:lang w:val="en-GB"/>
        </w:rPr>
        <w:t>Fractures at the distal forearm were more frequent in women than in men (female/male ratio = 4.3).  There was no clear age-dependent trend in incidence in women or men (Table 2).</w:t>
      </w:r>
    </w:p>
    <w:p w14:paraId="3733343A" w14:textId="6A38B56D" w:rsidR="006146AB" w:rsidRPr="004A462D" w:rsidRDefault="006146AB" w:rsidP="006146AB">
      <w:pPr>
        <w:spacing w:line="276" w:lineRule="auto"/>
        <w:ind w:left="567" w:right="1275"/>
        <w:rPr>
          <w:rFonts w:asciiTheme="minorHAnsi" w:hAnsiTheme="minorHAnsi" w:cstheme="minorHAnsi"/>
          <w:lang w:val="en-GB"/>
        </w:rPr>
      </w:pPr>
      <w:r w:rsidRPr="004A462D">
        <w:rPr>
          <w:rFonts w:asciiTheme="minorHAnsi" w:hAnsiTheme="minorHAnsi" w:cstheme="minorHAnsi"/>
          <w:lang w:val="en-GB"/>
        </w:rPr>
        <w:t xml:space="preserve"> The annual incidence of proximal humerus fractures was lower in men than in women (female/male ratio = 2.6).  Humeral fractures were less common than forearm fractures and, in women, increased with age.   </w:t>
      </w:r>
    </w:p>
    <w:p w14:paraId="3B54528A" w14:textId="2CEF3C65" w:rsidR="006146AB" w:rsidRDefault="006146AB" w:rsidP="0030661D">
      <w:pPr>
        <w:spacing w:line="276" w:lineRule="auto"/>
        <w:ind w:left="567" w:right="1275"/>
        <w:rPr>
          <w:rFonts w:asciiTheme="minorHAnsi" w:hAnsiTheme="minorHAnsi" w:cstheme="minorHAnsi"/>
          <w:i/>
          <w:highlight w:val="yellow"/>
          <w:lang w:val="en-GB"/>
        </w:rPr>
      </w:pPr>
    </w:p>
    <w:p w14:paraId="70ECB45F" w14:textId="77777777" w:rsidR="006146AB" w:rsidRPr="00A81361" w:rsidRDefault="006146AB" w:rsidP="0030661D">
      <w:pPr>
        <w:spacing w:line="276" w:lineRule="auto"/>
        <w:ind w:left="567" w:right="1275"/>
        <w:rPr>
          <w:rFonts w:asciiTheme="minorHAnsi" w:hAnsiTheme="minorHAnsi" w:cstheme="minorHAnsi"/>
          <w:i/>
          <w:highlight w:val="yellow"/>
          <w:lang w:val="en-GB"/>
        </w:rPr>
      </w:pPr>
    </w:p>
    <w:p w14:paraId="20239DCE" w14:textId="7E452D1E" w:rsidR="00243CD8" w:rsidRPr="00770D6C" w:rsidRDefault="00243CD8" w:rsidP="00AF10FF">
      <w:pPr>
        <w:spacing w:line="276" w:lineRule="auto"/>
        <w:ind w:left="567" w:right="1133"/>
        <w:rPr>
          <w:rFonts w:asciiTheme="minorHAnsi" w:hAnsiTheme="minorHAnsi" w:cstheme="minorHAnsi"/>
          <w:b/>
          <w:sz w:val="22"/>
          <w:szCs w:val="22"/>
          <w:lang w:val="en-GB"/>
        </w:rPr>
      </w:pPr>
      <w:r w:rsidRPr="00770D6C">
        <w:rPr>
          <w:rFonts w:asciiTheme="minorHAnsi" w:hAnsiTheme="minorHAnsi" w:cstheme="minorHAnsi"/>
          <w:b/>
          <w:sz w:val="22"/>
          <w:szCs w:val="22"/>
          <w:lang w:val="en-GB"/>
        </w:rPr>
        <w:t xml:space="preserve">Table 2. </w:t>
      </w:r>
      <w:r w:rsidR="00A82832" w:rsidRPr="00770D6C">
        <w:rPr>
          <w:rFonts w:asciiTheme="minorHAnsi" w:hAnsiTheme="minorHAnsi" w:cstheme="minorHAnsi"/>
          <w:sz w:val="22"/>
          <w:szCs w:val="22"/>
          <w:lang w:val="en-GB"/>
        </w:rPr>
        <w:t>Num</w:t>
      </w:r>
      <w:r w:rsidR="0050055A" w:rsidRPr="00770D6C">
        <w:rPr>
          <w:rFonts w:asciiTheme="minorHAnsi" w:hAnsiTheme="minorHAnsi" w:cstheme="minorHAnsi"/>
          <w:sz w:val="22"/>
          <w:szCs w:val="22"/>
          <w:lang w:val="en-GB"/>
        </w:rPr>
        <w:t>ber and</w:t>
      </w:r>
      <w:r w:rsidR="0050055A" w:rsidRPr="00770D6C">
        <w:rPr>
          <w:rFonts w:asciiTheme="minorHAnsi" w:hAnsiTheme="minorHAnsi" w:cstheme="minorHAnsi"/>
          <w:b/>
          <w:sz w:val="22"/>
          <w:szCs w:val="22"/>
          <w:lang w:val="en-GB"/>
        </w:rPr>
        <w:t xml:space="preserve"> </w:t>
      </w:r>
      <w:r w:rsidR="0050055A" w:rsidRPr="00770D6C">
        <w:rPr>
          <w:rFonts w:asciiTheme="minorHAnsi" w:hAnsiTheme="minorHAnsi" w:cstheme="minorHAnsi"/>
          <w:sz w:val="22"/>
          <w:szCs w:val="22"/>
          <w:lang w:val="en-GB"/>
        </w:rPr>
        <w:t>a</w:t>
      </w:r>
      <w:r w:rsidRPr="00770D6C">
        <w:rPr>
          <w:rFonts w:asciiTheme="minorHAnsi" w:hAnsiTheme="minorHAnsi" w:cstheme="minorHAnsi"/>
          <w:sz w:val="22"/>
          <w:szCs w:val="22"/>
          <w:lang w:val="en-GB"/>
        </w:rPr>
        <w:t xml:space="preserve">nnual incidence of forearm and humeral fractures (rate/100,000) in men and women in </w:t>
      </w:r>
      <w:r w:rsidR="00386F3C" w:rsidRPr="00770D6C">
        <w:rPr>
          <w:rFonts w:asciiTheme="minorHAnsi" w:hAnsiTheme="minorHAnsi" w:cstheme="minorHAnsi"/>
          <w:sz w:val="22"/>
          <w:szCs w:val="22"/>
          <w:lang w:val="en-GB"/>
        </w:rPr>
        <w:t>in men and women in Taldykorgan, Kazakhstan by age for 2015 and 2016 combined</w:t>
      </w:r>
      <w:r w:rsidRPr="00770D6C">
        <w:rPr>
          <w:rFonts w:asciiTheme="minorHAnsi" w:hAnsiTheme="minorHAnsi" w:cstheme="minorHAnsi"/>
          <w:sz w:val="22"/>
          <w:szCs w:val="22"/>
          <w:lang w:val="en-GB"/>
        </w:rPr>
        <w:t xml:space="preserve">. </w:t>
      </w:r>
    </w:p>
    <w:p w14:paraId="2D3B6AB1" w14:textId="2082629D" w:rsidR="00F53689" w:rsidRPr="00A81361" w:rsidRDefault="00F53689" w:rsidP="00F53689">
      <w:pPr>
        <w:spacing w:line="276" w:lineRule="auto"/>
        <w:jc w:val="both"/>
        <w:rPr>
          <w:rFonts w:ascii="Calibri" w:eastAsia="Calibri" w:hAnsi="Calibri" w:cs="Calibri"/>
          <w:highlight w:val="yellow"/>
          <w:lang w:val="en-GB" w:eastAsia="en-US"/>
        </w:rPr>
      </w:pPr>
    </w:p>
    <w:tbl>
      <w:tblPr>
        <w:tblW w:w="8364" w:type="dxa"/>
        <w:tblInd w:w="562" w:type="dxa"/>
        <w:tblBorders>
          <w:top w:val="single" w:sz="4" w:space="0" w:color="auto"/>
          <w:bottom w:val="single" w:sz="4" w:space="0" w:color="auto"/>
        </w:tblBorders>
        <w:tblLayout w:type="fixed"/>
        <w:tblLook w:val="04A0" w:firstRow="1" w:lastRow="0" w:firstColumn="1" w:lastColumn="0" w:noHBand="0" w:noVBand="1"/>
      </w:tblPr>
      <w:tblGrid>
        <w:gridCol w:w="1229"/>
        <w:gridCol w:w="1181"/>
        <w:gridCol w:w="1134"/>
        <w:gridCol w:w="1134"/>
        <w:gridCol w:w="284"/>
        <w:gridCol w:w="1134"/>
        <w:gridCol w:w="1134"/>
        <w:gridCol w:w="1134"/>
      </w:tblGrid>
      <w:tr w:rsidR="00E17696" w:rsidRPr="006F74FD" w14:paraId="5D4BE721" w14:textId="77777777" w:rsidTr="006F74FD">
        <w:trPr>
          <w:trHeight w:val="300"/>
        </w:trPr>
        <w:tc>
          <w:tcPr>
            <w:tcW w:w="1229" w:type="dxa"/>
            <w:tcBorders>
              <w:bottom w:val="nil"/>
            </w:tcBorders>
            <w:shd w:val="clear" w:color="auto" w:fill="auto"/>
            <w:vAlign w:val="center"/>
          </w:tcPr>
          <w:p w14:paraId="67C785B3" w14:textId="77777777" w:rsidR="00E17696" w:rsidRPr="006F74FD" w:rsidRDefault="00E17696" w:rsidP="006F74FD">
            <w:pPr>
              <w:spacing w:line="276" w:lineRule="auto"/>
              <w:rPr>
                <w:rFonts w:asciiTheme="minorHAnsi" w:hAnsiTheme="minorHAnsi" w:cstheme="minorHAnsi"/>
                <w:sz w:val="22"/>
                <w:szCs w:val="22"/>
                <w:lang w:val="en-GB"/>
              </w:rPr>
            </w:pPr>
          </w:p>
        </w:tc>
        <w:tc>
          <w:tcPr>
            <w:tcW w:w="3449" w:type="dxa"/>
            <w:gridSpan w:val="3"/>
            <w:tcBorders>
              <w:bottom w:val="nil"/>
            </w:tcBorders>
            <w:shd w:val="clear" w:color="auto" w:fill="auto"/>
            <w:noWrap/>
          </w:tcPr>
          <w:p w14:paraId="61029539" w14:textId="3203978F" w:rsidR="00E17696" w:rsidRPr="006F74FD" w:rsidRDefault="00E17696"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Forearm</w:t>
            </w:r>
          </w:p>
        </w:tc>
        <w:tc>
          <w:tcPr>
            <w:tcW w:w="284" w:type="dxa"/>
          </w:tcPr>
          <w:p w14:paraId="3B2988C0" w14:textId="77777777" w:rsidR="00E17696" w:rsidRPr="006F74FD" w:rsidRDefault="00E17696" w:rsidP="006F74FD">
            <w:pPr>
              <w:spacing w:line="276" w:lineRule="auto"/>
              <w:rPr>
                <w:rFonts w:asciiTheme="minorHAnsi" w:hAnsiTheme="minorHAnsi" w:cstheme="minorHAnsi"/>
                <w:sz w:val="22"/>
                <w:szCs w:val="22"/>
                <w:lang w:val="en-GB"/>
              </w:rPr>
            </w:pPr>
          </w:p>
        </w:tc>
        <w:tc>
          <w:tcPr>
            <w:tcW w:w="3402" w:type="dxa"/>
            <w:gridSpan w:val="3"/>
            <w:tcBorders>
              <w:bottom w:val="nil"/>
            </w:tcBorders>
            <w:shd w:val="clear" w:color="auto" w:fill="auto"/>
            <w:noWrap/>
          </w:tcPr>
          <w:p w14:paraId="6F7E59E7" w14:textId="1B55E7AC" w:rsidR="00E17696" w:rsidRPr="006F74FD" w:rsidRDefault="00E17696"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Humerus</w:t>
            </w:r>
          </w:p>
        </w:tc>
      </w:tr>
      <w:tr w:rsidR="00C60708" w:rsidRPr="006F74FD" w14:paraId="42DC00EE" w14:textId="5847DBC5" w:rsidTr="006F74FD">
        <w:trPr>
          <w:trHeight w:val="300"/>
        </w:trPr>
        <w:tc>
          <w:tcPr>
            <w:tcW w:w="1229" w:type="dxa"/>
            <w:tcBorders>
              <w:top w:val="nil"/>
              <w:bottom w:val="single" w:sz="4" w:space="0" w:color="auto"/>
            </w:tcBorders>
            <w:shd w:val="clear" w:color="auto" w:fill="auto"/>
            <w:vAlign w:val="center"/>
          </w:tcPr>
          <w:p w14:paraId="2606876E" w14:textId="77777777" w:rsidR="00C60708" w:rsidRPr="006F74FD" w:rsidRDefault="00C60708"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Age (years)</w:t>
            </w:r>
          </w:p>
        </w:tc>
        <w:tc>
          <w:tcPr>
            <w:tcW w:w="1181" w:type="dxa"/>
            <w:tcBorders>
              <w:top w:val="nil"/>
              <w:bottom w:val="single" w:sz="4" w:space="0" w:color="auto"/>
            </w:tcBorders>
            <w:shd w:val="clear" w:color="auto" w:fill="auto"/>
            <w:noWrap/>
          </w:tcPr>
          <w:p w14:paraId="63864FB7" w14:textId="31D11053" w:rsidR="00C60708" w:rsidRPr="006F74FD" w:rsidRDefault="00C6070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Fractures</w:t>
            </w:r>
          </w:p>
        </w:tc>
        <w:tc>
          <w:tcPr>
            <w:tcW w:w="1134" w:type="dxa"/>
            <w:tcBorders>
              <w:top w:val="nil"/>
              <w:bottom w:val="single" w:sz="4" w:space="0" w:color="auto"/>
            </w:tcBorders>
            <w:shd w:val="clear" w:color="auto" w:fill="auto"/>
            <w:noWrap/>
          </w:tcPr>
          <w:p w14:paraId="32AD07A2" w14:textId="7BE3C87B" w:rsidR="00C60708" w:rsidRPr="006F74FD" w:rsidRDefault="00C6070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Incidence</w:t>
            </w:r>
          </w:p>
        </w:tc>
        <w:tc>
          <w:tcPr>
            <w:tcW w:w="1134" w:type="dxa"/>
            <w:tcBorders>
              <w:top w:val="nil"/>
              <w:bottom w:val="single" w:sz="4" w:space="0" w:color="auto"/>
            </w:tcBorders>
            <w:shd w:val="clear" w:color="auto" w:fill="auto"/>
            <w:noWrap/>
          </w:tcPr>
          <w:p w14:paraId="330A97C3" w14:textId="3FCEBD7D" w:rsidR="00C60708" w:rsidRPr="006F74FD" w:rsidRDefault="00C6070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95% CI</w:t>
            </w:r>
          </w:p>
        </w:tc>
        <w:tc>
          <w:tcPr>
            <w:tcW w:w="284" w:type="dxa"/>
          </w:tcPr>
          <w:p w14:paraId="73EA78D6" w14:textId="77777777" w:rsidR="00C60708" w:rsidRPr="006F74FD" w:rsidRDefault="00C60708" w:rsidP="006F74FD">
            <w:pPr>
              <w:spacing w:line="276" w:lineRule="auto"/>
              <w:jc w:val="center"/>
              <w:rPr>
                <w:rFonts w:asciiTheme="minorHAnsi" w:hAnsiTheme="minorHAnsi" w:cstheme="minorHAnsi"/>
                <w:sz w:val="22"/>
                <w:szCs w:val="22"/>
                <w:lang w:val="en-GB"/>
              </w:rPr>
            </w:pPr>
          </w:p>
        </w:tc>
        <w:tc>
          <w:tcPr>
            <w:tcW w:w="1134" w:type="dxa"/>
            <w:tcBorders>
              <w:top w:val="nil"/>
              <w:bottom w:val="single" w:sz="4" w:space="0" w:color="auto"/>
            </w:tcBorders>
            <w:shd w:val="clear" w:color="auto" w:fill="auto"/>
            <w:noWrap/>
          </w:tcPr>
          <w:p w14:paraId="386CD960" w14:textId="2E14ED90" w:rsidR="00C60708" w:rsidRPr="006F74FD" w:rsidRDefault="00C6070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Fractures</w:t>
            </w:r>
          </w:p>
        </w:tc>
        <w:tc>
          <w:tcPr>
            <w:tcW w:w="1134" w:type="dxa"/>
            <w:tcBorders>
              <w:top w:val="nil"/>
              <w:bottom w:val="single" w:sz="4" w:space="0" w:color="auto"/>
            </w:tcBorders>
            <w:shd w:val="clear" w:color="auto" w:fill="auto"/>
          </w:tcPr>
          <w:p w14:paraId="779BC763" w14:textId="1AE5C5D9" w:rsidR="00C60708" w:rsidRPr="006F74FD" w:rsidRDefault="00C6070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Incidence</w:t>
            </w:r>
          </w:p>
        </w:tc>
        <w:tc>
          <w:tcPr>
            <w:tcW w:w="1134" w:type="dxa"/>
            <w:tcBorders>
              <w:top w:val="nil"/>
              <w:bottom w:val="single" w:sz="4" w:space="0" w:color="auto"/>
            </w:tcBorders>
            <w:shd w:val="clear" w:color="auto" w:fill="auto"/>
          </w:tcPr>
          <w:p w14:paraId="57C6ED95" w14:textId="5445F571" w:rsidR="00C60708" w:rsidRPr="006F74FD" w:rsidRDefault="00C6070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95% CI</w:t>
            </w:r>
          </w:p>
        </w:tc>
      </w:tr>
      <w:tr w:rsidR="00C60708" w:rsidRPr="006F74FD" w14:paraId="57A05084" w14:textId="05953EE1" w:rsidTr="006F74FD">
        <w:trPr>
          <w:trHeight w:val="300"/>
        </w:trPr>
        <w:tc>
          <w:tcPr>
            <w:tcW w:w="1229" w:type="dxa"/>
            <w:tcBorders>
              <w:top w:val="single" w:sz="4" w:space="0" w:color="auto"/>
            </w:tcBorders>
            <w:shd w:val="clear" w:color="auto" w:fill="auto"/>
            <w:vAlign w:val="center"/>
          </w:tcPr>
          <w:p w14:paraId="0D1C8820" w14:textId="77777777" w:rsidR="00C60708" w:rsidRPr="006F74FD" w:rsidRDefault="00C60708" w:rsidP="006F74FD">
            <w:pPr>
              <w:spacing w:line="276" w:lineRule="auto"/>
              <w:rPr>
                <w:rFonts w:asciiTheme="minorHAnsi" w:hAnsiTheme="minorHAnsi" w:cstheme="minorHAnsi"/>
                <w:i/>
                <w:sz w:val="22"/>
                <w:szCs w:val="22"/>
                <w:lang w:val="en-GB"/>
              </w:rPr>
            </w:pPr>
            <w:r w:rsidRPr="006F74FD">
              <w:rPr>
                <w:rFonts w:asciiTheme="minorHAnsi" w:hAnsiTheme="minorHAnsi" w:cstheme="minorHAnsi"/>
                <w:i/>
                <w:sz w:val="22"/>
                <w:szCs w:val="22"/>
                <w:lang w:val="en-GB"/>
              </w:rPr>
              <w:t>Men</w:t>
            </w:r>
          </w:p>
        </w:tc>
        <w:tc>
          <w:tcPr>
            <w:tcW w:w="1181" w:type="dxa"/>
            <w:tcBorders>
              <w:top w:val="single" w:sz="4" w:space="0" w:color="auto"/>
            </w:tcBorders>
            <w:shd w:val="clear" w:color="auto" w:fill="auto"/>
            <w:noWrap/>
          </w:tcPr>
          <w:p w14:paraId="1A9EE90D" w14:textId="77777777" w:rsidR="00C60708" w:rsidRPr="006F74FD" w:rsidRDefault="00C60708" w:rsidP="006F74FD">
            <w:pPr>
              <w:spacing w:line="276" w:lineRule="auto"/>
              <w:jc w:val="center"/>
              <w:rPr>
                <w:rFonts w:asciiTheme="minorHAnsi" w:hAnsiTheme="minorHAnsi" w:cstheme="minorHAnsi"/>
                <w:sz w:val="22"/>
                <w:szCs w:val="22"/>
                <w:lang w:val="en-GB"/>
              </w:rPr>
            </w:pPr>
          </w:p>
        </w:tc>
        <w:tc>
          <w:tcPr>
            <w:tcW w:w="1134" w:type="dxa"/>
            <w:tcBorders>
              <w:top w:val="single" w:sz="4" w:space="0" w:color="auto"/>
            </w:tcBorders>
            <w:shd w:val="clear" w:color="auto" w:fill="auto"/>
            <w:noWrap/>
          </w:tcPr>
          <w:p w14:paraId="5D5F5EC1" w14:textId="77777777" w:rsidR="00C60708" w:rsidRPr="006F74FD" w:rsidRDefault="00C60708" w:rsidP="006F74FD">
            <w:pPr>
              <w:spacing w:line="276" w:lineRule="auto"/>
              <w:jc w:val="center"/>
              <w:rPr>
                <w:rFonts w:asciiTheme="minorHAnsi" w:hAnsiTheme="minorHAnsi" w:cstheme="minorHAnsi"/>
                <w:sz w:val="22"/>
                <w:szCs w:val="22"/>
                <w:lang w:val="en-GB"/>
              </w:rPr>
            </w:pPr>
          </w:p>
        </w:tc>
        <w:tc>
          <w:tcPr>
            <w:tcW w:w="1134" w:type="dxa"/>
            <w:tcBorders>
              <w:top w:val="single" w:sz="4" w:space="0" w:color="auto"/>
            </w:tcBorders>
            <w:shd w:val="clear" w:color="auto" w:fill="auto"/>
            <w:noWrap/>
          </w:tcPr>
          <w:p w14:paraId="2EC2F372" w14:textId="77777777" w:rsidR="00C60708" w:rsidRPr="006F74FD" w:rsidRDefault="00C60708" w:rsidP="006F74FD">
            <w:pPr>
              <w:spacing w:line="276" w:lineRule="auto"/>
              <w:jc w:val="center"/>
              <w:rPr>
                <w:rFonts w:asciiTheme="minorHAnsi" w:hAnsiTheme="minorHAnsi" w:cstheme="minorHAnsi"/>
                <w:sz w:val="22"/>
                <w:szCs w:val="22"/>
                <w:lang w:val="en-GB"/>
              </w:rPr>
            </w:pPr>
          </w:p>
        </w:tc>
        <w:tc>
          <w:tcPr>
            <w:tcW w:w="284" w:type="dxa"/>
            <w:tcBorders>
              <w:top w:val="single" w:sz="4" w:space="0" w:color="auto"/>
            </w:tcBorders>
          </w:tcPr>
          <w:p w14:paraId="3BD310F3" w14:textId="77777777" w:rsidR="00C60708" w:rsidRPr="006F74FD" w:rsidRDefault="00C60708" w:rsidP="006F74FD">
            <w:pPr>
              <w:spacing w:line="276" w:lineRule="auto"/>
              <w:jc w:val="center"/>
              <w:rPr>
                <w:rFonts w:asciiTheme="minorHAnsi" w:hAnsiTheme="minorHAnsi" w:cstheme="minorHAnsi"/>
                <w:sz w:val="22"/>
                <w:szCs w:val="22"/>
                <w:lang w:val="en-GB"/>
              </w:rPr>
            </w:pPr>
          </w:p>
        </w:tc>
        <w:tc>
          <w:tcPr>
            <w:tcW w:w="1134" w:type="dxa"/>
            <w:tcBorders>
              <w:top w:val="single" w:sz="4" w:space="0" w:color="auto"/>
            </w:tcBorders>
            <w:shd w:val="clear" w:color="auto" w:fill="auto"/>
            <w:noWrap/>
          </w:tcPr>
          <w:p w14:paraId="08023462" w14:textId="16906082" w:rsidR="00C60708" w:rsidRPr="006F74FD" w:rsidRDefault="00C60708" w:rsidP="006F74FD">
            <w:pPr>
              <w:spacing w:line="276" w:lineRule="auto"/>
              <w:jc w:val="center"/>
              <w:rPr>
                <w:rFonts w:asciiTheme="minorHAnsi" w:hAnsiTheme="minorHAnsi" w:cstheme="minorHAnsi"/>
                <w:sz w:val="22"/>
                <w:szCs w:val="22"/>
                <w:lang w:val="en-GB"/>
              </w:rPr>
            </w:pPr>
          </w:p>
        </w:tc>
        <w:tc>
          <w:tcPr>
            <w:tcW w:w="1134" w:type="dxa"/>
            <w:tcBorders>
              <w:top w:val="single" w:sz="4" w:space="0" w:color="auto"/>
            </w:tcBorders>
          </w:tcPr>
          <w:p w14:paraId="76CD075E" w14:textId="77777777" w:rsidR="00C60708" w:rsidRPr="006F74FD" w:rsidRDefault="00C60708" w:rsidP="006F74FD">
            <w:pPr>
              <w:spacing w:line="276" w:lineRule="auto"/>
              <w:jc w:val="center"/>
              <w:rPr>
                <w:rFonts w:asciiTheme="minorHAnsi" w:hAnsiTheme="minorHAnsi" w:cstheme="minorHAnsi"/>
                <w:sz w:val="22"/>
                <w:szCs w:val="22"/>
                <w:lang w:val="en-GB"/>
              </w:rPr>
            </w:pPr>
          </w:p>
        </w:tc>
        <w:tc>
          <w:tcPr>
            <w:tcW w:w="1134" w:type="dxa"/>
            <w:tcBorders>
              <w:top w:val="single" w:sz="4" w:space="0" w:color="auto"/>
            </w:tcBorders>
          </w:tcPr>
          <w:p w14:paraId="4999F7BC" w14:textId="77777777" w:rsidR="00C60708" w:rsidRPr="006F74FD" w:rsidRDefault="00C60708" w:rsidP="006F74FD">
            <w:pPr>
              <w:spacing w:line="276" w:lineRule="auto"/>
              <w:jc w:val="center"/>
              <w:rPr>
                <w:rFonts w:asciiTheme="minorHAnsi" w:hAnsiTheme="minorHAnsi" w:cstheme="minorHAnsi"/>
                <w:sz w:val="22"/>
                <w:szCs w:val="22"/>
                <w:lang w:val="en-GB"/>
              </w:rPr>
            </w:pPr>
          </w:p>
        </w:tc>
      </w:tr>
      <w:tr w:rsidR="00A02154" w:rsidRPr="006F74FD" w14:paraId="65D4CCA9" w14:textId="32C1B167" w:rsidTr="006F74FD">
        <w:trPr>
          <w:trHeight w:val="300"/>
        </w:trPr>
        <w:tc>
          <w:tcPr>
            <w:tcW w:w="1229" w:type="dxa"/>
            <w:shd w:val="clear" w:color="auto" w:fill="auto"/>
            <w:vAlign w:val="center"/>
            <w:hideMark/>
          </w:tcPr>
          <w:p w14:paraId="3C3DCBA5" w14:textId="77777777" w:rsidR="00A02154" w:rsidRPr="006F74FD" w:rsidRDefault="00A02154"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40-49</w:t>
            </w:r>
          </w:p>
        </w:tc>
        <w:tc>
          <w:tcPr>
            <w:tcW w:w="1181" w:type="dxa"/>
            <w:shd w:val="clear" w:color="auto" w:fill="auto"/>
            <w:noWrap/>
          </w:tcPr>
          <w:p w14:paraId="29BA3DCD" w14:textId="32F7563D"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38</w:t>
            </w:r>
          </w:p>
        </w:tc>
        <w:tc>
          <w:tcPr>
            <w:tcW w:w="1134" w:type="dxa"/>
            <w:noWrap/>
          </w:tcPr>
          <w:p w14:paraId="68E1B88A" w14:textId="11F7E2AA"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192</w:t>
            </w:r>
          </w:p>
        </w:tc>
        <w:tc>
          <w:tcPr>
            <w:tcW w:w="1134" w:type="dxa"/>
            <w:shd w:val="clear" w:color="auto" w:fill="auto"/>
            <w:noWrap/>
            <w:vAlign w:val="bottom"/>
          </w:tcPr>
          <w:p w14:paraId="36716285" w14:textId="22830D87"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136-264</w:t>
            </w:r>
          </w:p>
        </w:tc>
        <w:tc>
          <w:tcPr>
            <w:tcW w:w="284" w:type="dxa"/>
          </w:tcPr>
          <w:p w14:paraId="39E6F8B9" w14:textId="77777777" w:rsidR="00A02154" w:rsidRPr="006F74FD" w:rsidRDefault="00A02154" w:rsidP="006F74FD">
            <w:pPr>
              <w:spacing w:line="276" w:lineRule="auto"/>
              <w:jc w:val="center"/>
              <w:rPr>
                <w:rFonts w:asciiTheme="minorHAnsi" w:hAnsiTheme="minorHAnsi" w:cstheme="minorHAnsi"/>
                <w:sz w:val="22"/>
                <w:szCs w:val="22"/>
                <w:lang w:val="en-GB"/>
              </w:rPr>
            </w:pPr>
          </w:p>
        </w:tc>
        <w:tc>
          <w:tcPr>
            <w:tcW w:w="1134" w:type="dxa"/>
            <w:shd w:val="clear" w:color="auto" w:fill="auto"/>
            <w:noWrap/>
          </w:tcPr>
          <w:p w14:paraId="36DD60BC" w14:textId="7BF4C812"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13</w:t>
            </w:r>
          </w:p>
        </w:tc>
        <w:tc>
          <w:tcPr>
            <w:tcW w:w="1134" w:type="dxa"/>
          </w:tcPr>
          <w:p w14:paraId="558C0056" w14:textId="78AC5053"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66</w:t>
            </w:r>
          </w:p>
        </w:tc>
        <w:tc>
          <w:tcPr>
            <w:tcW w:w="1134" w:type="dxa"/>
            <w:shd w:val="clear" w:color="auto" w:fill="auto"/>
          </w:tcPr>
          <w:p w14:paraId="4BBF888B" w14:textId="6C5C6278"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35-113</w:t>
            </w:r>
          </w:p>
        </w:tc>
      </w:tr>
      <w:tr w:rsidR="00A02154" w:rsidRPr="006F74FD" w14:paraId="1539BD27" w14:textId="0DE62B52" w:rsidTr="006F74FD">
        <w:trPr>
          <w:trHeight w:val="300"/>
        </w:trPr>
        <w:tc>
          <w:tcPr>
            <w:tcW w:w="1229" w:type="dxa"/>
            <w:shd w:val="clear" w:color="auto" w:fill="auto"/>
            <w:vAlign w:val="center"/>
            <w:hideMark/>
          </w:tcPr>
          <w:p w14:paraId="2FBC4A5C" w14:textId="77777777" w:rsidR="00A02154" w:rsidRPr="006F74FD" w:rsidRDefault="00A02154"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50-59</w:t>
            </w:r>
          </w:p>
        </w:tc>
        <w:tc>
          <w:tcPr>
            <w:tcW w:w="1181" w:type="dxa"/>
            <w:shd w:val="clear" w:color="auto" w:fill="auto"/>
            <w:noWrap/>
          </w:tcPr>
          <w:p w14:paraId="657D7287" w14:textId="6481A93D"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38</w:t>
            </w:r>
          </w:p>
        </w:tc>
        <w:tc>
          <w:tcPr>
            <w:tcW w:w="1134" w:type="dxa"/>
            <w:noWrap/>
          </w:tcPr>
          <w:p w14:paraId="189F8D59" w14:textId="6DBF492E"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229</w:t>
            </w:r>
          </w:p>
        </w:tc>
        <w:tc>
          <w:tcPr>
            <w:tcW w:w="1134" w:type="dxa"/>
            <w:shd w:val="clear" w:color="auto" w:fill="auto"/>
            <w:noWrap/>
            <w:vAlign w:val="bottom"/>
          </w:tcPr>
          <w:p w14:paraId="3BFE3CD0" w14:textId="6FB518FE"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162-315</w:t>
            </w:r>
          </w:p>
        </w:tc>
        <w:tc>
          <w:tcPr>
            <w:tcW w:w="284" w:type="dxa"/>
          </w:tcPr>
          <w:p w14:paraId="65A8B182" w14:textId="77777777" w:rsidR="00A02154" w:rsidRPr="006F74FD" w:rsidRDefault="00A02154" w:rsidP="006F74FD">
            <w:pPr>
              <w:spacing w:line="276" w:lineRule="auto"/>
              <w:jc w:val="center"/>
              <w:rPr>
                <w:rFonts w:asciiTheme="minorHAnsi" w:hAnsiTheme="minorHAnsi" w:cstheme="minorHAnsi"/>
                <w:sz w:val="22"/>
                <w:szCs w:val="22"/>
                <w:lang w:val="en-GB"/>
              </w:rPr>
            </w:pPr>
          </w:p>
        </w:tc>
        <w:tc>
          <w:tcPr>
            <w:tcW w:w="1134" w:type="dxa"/>
            <w:shd w:val="clear" w:color="auto" w:fill="auto"/>
            <w:noWrap/>
          </w:tcPr>
          <w:p w14:paraId="236FDB38" w14:textId="5DAC9353"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18</w:t>
            </w:r>
          </w:p>
        </w:tc>
        <w:tc>
          <w:tcPr>
            <w:tcW w:w="1134" w:type="dxa"/>
          </w:tcPr>
          <w:p w14:paraId="501B157E" w14:textId="409CC4FF"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109</w:t>
            </w:r>
          </w:p>
        </w:tc>
        <w:tc>
          <w:tcPr>
            <w:tcW w:w="1134" w:type="dxa"/>
          </w:tcPr>
          <w:p w14:paraId="52188EB4" w14:textId="35656885"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64-172</w:t>
            </w:r>
          </w:p>
        </w:tc>
      </w:tr>
      <w:tr w:rsidR="00A02154" w:rsidRPr="006F74FD" w14:paraId="3BD0546F" w14:textId="132765C9" w:rsidTr="006F74FD">
        <w:trPr>
          <w:trHeight w:val="300"/>
        </w:trPr>
        <w:tc>
          <w:tcPr>
            <w:tcW w:w="1229" w:type="dxa"/>
            <w:shd w:val="clear" w:color="auto" w:fill="auto"/>
            <w:vAlign w:val="center"/>
            <w:hideMark/>
          </w:tcPr>
          <w:p w14:paraId="631A316C" w14:textId="77777777" w:rsidR="00A02154" w:rsidRPr="006F74FD" w:rsidRDefault="00A02154"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60-69</w:t>
            </w:r>
          </w:p>
        </w:tc>
        <w:tc>
          <w:tcPr>
            <w:tcW w:w="1181" w:type="dxa"/>
            <w:shd w:val="clear" w:color="auto" w:fill="auto"/>
            <w:noWrap/>
          </w:tcPr>
          <w:p w14:paraId="7EE6D52C" w14:textId="05DD2DFF"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20</w:t>
            </w:r>
          </w:p>
        </w:tc>
        <w:tc>
          <w:tcPr>
            <w:tcW w:w="1134" w:type="dxa"/>
            <w:noWrap/>
          </w:tcPr>
          <w:p w14:paraId="788CEA1F" w14:textId="3D858824"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206</w:t>
            </w:r>
          </w:p>
        </w:tc>
        <w:tc>
          <w:tcPr>
            <w:tcW w:w="1134" w:type="dxa"/>
            <w:shd w:val="clear" w:color="auto" w:fill="auto"/>
            <w:noWrap/>
            <w:vAlign w:val="bottom"/>
          </w:tcPr>
          <w:p w14:paraId="50FEB241" w14:textId="0ED34FDB"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126-318</w:t>
            </w:r>
          </w:p>
        </w:tc>
        <w:tc>
          <w:tcPr>
            <w:tcW w:w="284" w:type="dxa"/>
          </w:tcPr>
          <w:p w14:paraId="1E4CDF5B" w14:textId="77777777" w:rsidR="00A02154" w:rsidRPr="006F74FD" w:rsidRDefault="00A02154" w:rsidP="006F74FD">
            <w:pPr>
              <w:spacing w:line="276" w:lineRule="auto"/>
              <w:jc w:val="center"/>
              <w:rPr>
                <w:rFonts w:asciiTheme="minorHAnsi" w:hAnsiTheme="minorHAnsi" w:cstheme="minorHAnsi"/>
                <w:sz w:val="22"/>
                <w:szCs w:val="22"/>
                <w:lang w:val="en-GB"/>
              </w:rPr>
            </w:pPr>
          </w:p>
        </w:tc>
        <w:tc>
          <w:tcPr>
            <w:tcW w:w="1134" w:type="dxa"/>
            <w:shd w:val="clear" w:color="auto" w:fill="auto"/>
            <w:noWrap/>
          </w:tcPr>
          <w:p w14:paraId="56093F5A" w14:textId="46797B1C"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15</w:t>
            </w:r>
          </w:p>
        </w:tc>
        <w:tc>
          <w:tcPr>
            <w:tcW w:w="1134" w:type="dxa"/>
          </w:tcPr>
          <w:p w14:paraId="3CAFE7FF" w14:textId="43F79F96"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154</w:t>
            </w:r>
          </w:p>
        </w:tc>
        <w:tc>
          <w:tcPr>
            <w:tcW w:w="1134" w:type="dxa"/>
          </w:tcPr>
          <w:p w14:paraId="6978940D" w14:textId="759E09A8"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86-255</w:t>
            </w:r>
          </w:p>
        </w:tc>
      </w:tr>
      <w:tr w:rsidR="00A02154" w:rsidRPr="006F74FD" w14:paraId="5C2E6E13" w14:textId="51D4B43A" w:rsidTr="006F74FD">
        <w:trPr>
          <w:trHeight w:val="300"/>
        </w:trPr>
        <w:tc>
          <w:tcPr>
            <w:tcW w:w="1229" w:type="dxa"/>
            <w:shd w:val="clear" w:color="auto" w:fill="auto"/>
            <w:vAlign w:val="center"/>
            <w:hideMark/>
          </w:tcPr>
          <w:p w14:paraId="42440003" w14:textId="77777777" w:rsidR="00A02154" w:rsidRPr="006F74FD" w:rsidRDefault="00A02154"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70-79</w:t>
            </w:r>
          </w:p>
        </w:tc>
        <w:tc>
          <w:tcPr>
            <w:tcW w:w="1181" w:type="dxa"/>
            <w:shd w:val="clear" w:color="auto" w:fill="auto"/>
            <w:noWrap/>
          </w:tcPr>
          <w:p w14:paraId="45C15D30" w14:textId="1838663F"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3</w:t>
            </w:r>
          </w:p>
        </w:tc>
        <w:tc>
          <w:tcPr>
            <w:tcW w:w="1134" w:type="dxa"/>
            <w:noWrap/>
          </w:tcPr>
          <w:p w14:paraId="2620DC12" w14:textId="076BC09A"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78</w:t>
            </w:r>
          </w:p>
        </w:tc>
        <w:tc>
          <w:tcPr>
            <w:tcW w:w="1134" w:type="dxa"/>
            <w:shd w:val="clear" w:color="auto" w:fill="auto"/>
            <w:noWrap/>
            <w:vAlign w:val="bottom"/>
          </w:tcPr>
          <w:p w14:paraId="55A76C04" w14:textId="77681438"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16-226</w:t>
            </w:r>
          </w:p>
        </w:tc>
        <w:tc>
          <w:tcPr>
            <w:tcW w:w="284" w:type="dxa"/>
          </w:tcPr>
          <w:p w14:paraId="2D80C277" w14:textId="77777777" w:rsidR="00A02154" w:rsidRPr="006F74FD" w:rsidRDefault="00A02154" w:rsidP="006F74FD">
            <w:pPr>
              <w:spacing w:line="276" w:lineRule="auto"/>
              <w:jc w:val="center"/>
              <w:rPr>
                <w:rFonts w:asciiTheme="minorHAnsi" w:hAnsiTheme="minorHAnsi" w:cstheme="minorHAnsi"/>
                <w:sz w:val="22"/>
                <w:szCs w:val="22"/>
                <w:lang w:val="en-GB"/>
              </w:rPr>
            </w:pPr>
          </w:p>
        </w:tc>
        <w:tc>
          <w:tcPr>
            <w:tcW w:w="1134" w:type="dxa"/>
            <w:shd w:val="clear" w:color="auto" w:fill="auto"/>
            <w:noWrap/>
          </w:tcPr>
          <w:p w14:paraId="12E7A841" w14:textId="05891A4B"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2</w:t>
            </w:r>
          </w:p>
        </w:tc>
        <w:tc>
          <w:tcPr>
            <w:tcW w:w="1134" w:type="dxa"/>
          </w:tcPr>
          <w:p w14:paraId="6E823FAE" w14:textId="77C26EB5"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52</w:t>
            </w:r>
          </w:p>
        </w:tc>
        <w:tc>
          <w:tcPr>
            <w:tcW w:w="1134" w:type="dxa"/>
          </w:tcPr>
          <w:p w14:paraId="6812F86C" w14:textId="28E5620F"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6-187</w:t>
            </w:r>
          </w:p>
        </w:tc>
      </w:tr>
      <w:tr w:rsidR="00A02154" w:rsidRPr="006F74FD" w14:paraId="73AA1EF3" w14:textId="3AD141E5" w:rsidTr="006F74FD">
        <w:trPr>
          <w:trHeight w:val="300"/>
        </w:trPr>
        <w:tc>
          <w:tcPr>
            <w:tcW w:w="1229" w:type="dxa"/>
            <w:shd w:val="clear" w:color="auto" w:fill="auto"/>
            <w:vAlign w:val="center"/>
            <w:hideMark/>
          </w:tcPr>
          <w:p w14:paraId="7C41AC09" w14:textId="77777777" w:rsidR="00A02154" w:rsidRPr="006F74FD" w:rsidRDefault="00A02154"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80-89</w:t>
            </w:r>
          </w:p>
        </w:tc>
        <w:tc>
          <w:tcPr>
            <w:tcW w:w="1181" w:type="dxa"/>
            <w:shd w:val="clear" w:color="auto" w:fill="auto"/>
            <w:noWrap/>
          </w:tcPr>
          <w:p w14:paraId="7E71CD00" w14:textId="2B857D7C"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2</w:t>
            </w:r>
          </w:p>
        </w:tc>
        <w:tc>
          <w:tcPr>
            <w:tcW w:w="1134" w:type="dxa"/>
            <w:noWrap/>
          </w:tcPr>
          <w:p w14:paraId="6ED28364" w14:textId="66425471"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1658</w:t>
            </w:r>
          </w:p>
        </w:tc>
        <w:tc>
          <w:tcPr>
            <w:tcW w:w="1134" w:type="dxa"/>
            <w:shd w:val="clear" w:color="auto" w:fill="auto"/>
            <w:noWrap/>
            <w:vAlign w:val="bottom"/>
          </w:tcPr>
          <w:p w14:paraId="1D07800D" w14:textId="5AF17793"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20-598</w:t>
            </w:r>
          </w:p>
        </w:tc>
        <w:tc>
          <w:tcPr>
            <w:tcW w:w="284" w:type="dxa"/>
          </w:tcPr>
          <w:p w14:paraId="2E8F18F4" w14:textId="77777777" w:rsidR="00A02154" w:rsidRPr="006F74FD" w:rsidRDefault="00A02154" w:rsidP="006F74FD">
            <w:pPr>
              <w:spacing w:line="276" w:lineRule="auto"/>
              <w:jc w:val="center"/>
              <w:rPr>
                <w:rFonts w:asciiTheme="minorHAnsi" w:hAnsiTheme="minorHAnsi" w:cstheme="minorHAnsi"/>
                <w:sz w:val="22"/>
                <w:szCs w:val="22"/>
                <w:lang w:val="en-GB"/>
              </w:rPr>
            </w:pPr>
          </w:p>
        </w:tc>
        <w:tc>
          <w:tcPr>
            <w:tcW w:w="1134" w:type="dxa"/>
            <w:shd w:val="clear" w:color="auto" w:fill="auto"/>
            <w:noWrap/>
          </w:tcPr>
          <w:p w14:paraId="43C83BC7" w14:textId="115FD3C9"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0</w:t>
            </w:r>
          </w:p>
        </w:tc>
        <w:tc>
          <w:tcPr>
            <w:tcW w:w="1134" w:type="dxa"/>
          </w:tcPr>
          <w:p w14:paraId="2E9D03A9" w14:textId="50F0BEAE"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w:t>
            </w:r>
          </w:p>
        </w:tc>
        <w:tc>
          <w:tcPr>
            <w:tcW w:w="1134" w:type="dxa"/>
          </w:tcPr>
          <w:p w14:paraId="08D9AEEF" w14:textId="574D696D" w:rsidR="00A02154" w:rsidRPr="006F74FD" w:rsidRDefault="00A0215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w:t>
            </w:r>
          </w:p>
        </w:tc>
      </w:tr>
      <w:tr w:rsidR="00CD16BA" w:rsidRPr="006F74FD" w14:paraId="6E624A2C" w14:textId="77777777" w:rsidTr="006F74FD">
        <w:trPr>
          <w:trHeight w:val="300"/>
        </w:trPr>
        <w:tc>
          <w:tcPr>
            <w:tcW w:w="1229" w:type="dxa"/>
            <w:shd w:val="clear" w:color="auto" w:fill="auto"/>
            <w:vAlign w:val="center"/>
          </w:tcPr>
          <w:p w14:paraId="32D5BBCB" w14:textId="6ECA7A2A" w:rsidR="00CD16BA" w:rsidRPr="006F74FD" w:rsidRDefault="00666E80"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90+</w:t>
            </w:r>
          </w:p>
        </w:tc>
        <w:tc>
          <w:tcPr>
            <w:tcW w:w="1181" w:type="dxa"/>
            <w:shd w:val="clear" w:color="auto" w:fill="auto"/>
            <w:noWrap/>
          </w:tcPr>
          <w:p w14:paraId="4C923615" w14:textId="1E8D0E76" w:rsidR="00CD16BA" w:rsidRPr="006F74FD" w:rsidRDefault="004B2B77"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0</w:t>
            </w:r>
          </w:p>
        </w:tc>
        <w:tc>
          <w:tcPr>
            <w:tcW w:w="1134" w:type="dxa"/>
            <w:noWrap/>
          </w:tcPr>
          <w:p w14:paraId="2031AD94" w14:textId="77777777" w:rsidR="00CD16BA" w:rsidRPr="006F74FD" w:rsidRDefault="00CD16BA" w:rsidP="006F74FD">
            <w:pPr>
              <w:spacing w:line="276" w:lineRule="auto"/>
              <w:jc w:val="center"/>
              <w:rPr>
                <w:rFonts w:asciiTheme="minorHAnsi" w:hAnsiTheme="minorHAnsi" w:cstheme="minorHAnsi"/>
                <w:sz w:val="22"/>
                <w:szCs w:val="22"/>
                <w:lang w:val="en-GB"/>
              </w:rPr>
            </w:pPr>
          </w:p>
        </w:tc>
        <w:tc>
          <w:tcPr>
            <w:tcW w:w="1134" w:type="dxa"/>
            <w:shd w:val="clear" w:color="auto" w:fill="auto"/>
            <w:noWrap/>
            <w:vAlign w:val="bottom"/>
          </w:tcPr>
          <w:p w14:paraId="2CDCDA76" w14:textId="77777777" w:rsidR="00CD16BA" w:rsidRPr="006F74FD" w:rsidRDefault="00CD16BA" w:rsidP="006F74FD">
            <w:pPr>
              <w:spacing w:line="276" w:lineRule="auto"/>
              <w:jc w:val="center"/>
              <w:rPr>
                <w:rFonts w:asciiTheme="minorHAnsi" w:hAnsiTheme="minorHAnsi" w:cstheme="minorHAnsi"/>
                <w:sz w:val="22"/>
                <w:szCs w:val="22"/>
                <w:lang w:val="en-GB"/>
              </w:rPr>
            </w:pPr>
          </w:p>
        </w:tc>
        <w:tc>
          <w:tcPr>
            <w:tcW w:w="284" w:type="dxa"/>
          </w:tcPr>
          <w:p w14:paraId="2FB5B696" w14:textId="77777777" w:rsidR="00CD16BA" w:rsidRPr="006F74FD" w:rsidRDefault="00CD16BA" w:rsidP="006F74FD">
            <w:pPr>
              <w:spacing w:line="276" w:lineRule="auto"/>
              <w:jc w:val="center"/>
              <w:rPr>
                <w:rFonts w:asciiTheme="minorHAnsi" w:hAnsiTheme="minorHAnsi" w:cstheme="minorHAnsi"/>
                <w:sz w:val="22"/>
                <w:szCs w:val="22"/>
                <w:lang w:val="en-GB"/>
              </w:rPr>
            </w:pPr>
          </w:p>
        </w:tc>
        <w:tc>
          <w:tcPr>
            <w:tcW w:w="1134" w:type="dxa"/>
            <w:shd w:val="clear" w:color="auto" w:fill="auto"/>
            <w:noWrap/>
          </w:tcPr>
          <w:p w14:paraId="692A6A89" w14:textId="2DDE80CD" w:rsidR="00CD16BA" w:rsidRPr="006F74FD" w:rsidRDefault="00A47C02"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w:t>
            </w:r>
          </w:p>
        </w:tc>
        <w:tc>
          <w:tcPr>
            <w:tcW w:w="1134" w:type="dxa"/>
          </w:tcPr>
          <w:p w14:paraId="1B460601" w14:textId="4E019A71" w:rsidR="00CD16BA" w:rsidRPr="006F74FD" w:rsidRDefault="004175F4"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424</w:t>
            </w:r>
          </w:p>
        </w:tc>
        <w:tc>
          <w:tcPr>
            <w:tcW w:w="1134" w:type="dxa"/>
          </w:tcPr>
          <w:p w14:paraId="68610DFB" w14:textId="1E60AE42" w:rsidR="00CD16BA" w:rsidRPr="006F74FD" w:rsidRDefault="00F17045"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8</w:t>
            </w:r>
            <w:r w:rsidR="009F1FD0" w:rsidRPr="006F74FD">
              <w:rPr>
                <w:rFonts w:asciiTheme="minorHAnsi" w:hAnsiTheme="minorHAnsi" w:cstheme="minorHAnsi"/>
                <w:sz w:val="22"/>
                <w:szCs w:val="22"/>
                <w:lang w:val="en-GB"/>
              </w:rPr>
              <w:t>-2364</w:t>
            </w:r>
          </w:p>
        </w:tc>
      </w:tr>
      <w:tr w:rsidR="000764FD" w:rsidRPr="006F74FD" w14:paraId="71E08498" w14:textId="3D7E76C1" w:rsidTr="006F74FD">
        <w:trPr>
          <w:trHeight w:val="300"/>
        </w:trPr>
        <w:tc>
          <w:tcPr>
            <w:tcW w:w="1229" w:type="dxa"/>
            <w:shd w:val="clear" w:color="auto" w:fill="auto"/>
            <w:vAlign w:val="center"/>
            <w:hideMark/>
          </w:tcPr>
          <w:p w14:paraId="373DE9AA" w14:textId="77777777" w:rsidR="000764FD" w:rsidRPr="006F74FD" w:rsidRDefault="000764FD"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40+</w:t>
            </w:r>
          </w:p>
        </w:tc>
        <w:tc>
          <w:tcPr>
            <w:tcW w:w="1181" w:type="dxa"/>
            <w:shd w:val="clear" w:color="auto" w:fill="auto"/>
            <w:vAlign w:val="center"/>
          </w:tcPr>
          <w:p w14:paraId="5D39E929" w14:textId="07284AFC" w:rsidR="000764FD" w:rsidRPr="006F74FD" w:rsidRDefault="000764FD"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fldChar w:fldCharType="begin"/>
            </w:r>
            <w:r w:rsidRPr="006F74FD">
              <w:rPr>
                <w:rFonts w:asciiTheme="minorHAnsi" w:hAnsiTheme="minorHAnsi" w:cstheme="minorHAnsi"/>
                <w:sz w:val="22"/>
                <w:szCs w:val="22"/>
                <w:lang w:val="en-GB"/>
              </w:rPr>
              <w:instrText xml:space="preserve"> =SUM(ABOVE) </w:instrText>
            </w:r>
            <w:r w:rsidRPr="006F74FD">
              <w:rPr>
                <w:rFonts w:asciiTheme="minorHAnsi" w:hAnsiTheme="minorHAnsi" w:cstheme="minorHAnsi"/>
                <w:sz w:val="22"/>
                <w:szCs w:val="22"/>
                <w:lang w:val="en-GB"/>
              </w:rPr>
              <w:fldChar w:fldCharType="separate"/>
            </w:r>
            <w:r w:rsidRPr="006F74FD">
              <w:rPr>
                <w:rFonts w:asciiTheme="minorHAnsi" w:hAnsiTheme="minorHAnsi" w:cstheme="minorHAnsi"/>
                <w:noProof/>
                <w:sz w:val="22"/>
                <w:szCs w:val="22"/>
                <w:lang w:val="en-GB"/>
              </w:rPr>
              <w:t>101</w:t>
            </w:r>
            <w:r w:rsidRPr="006F74FD">
              <w:rPr>
                <w:rFonts w:asciiTheme="minorHAnsi" w:hAnsiTheme="minorHAnsi" w:cstheme="minorHAnsi"/>
                <w:sz w:val="22"/>
                <w:szCs w:val="22"/>
                <w:lang w:val="en-GB"/>
              </w:rPr>
              <w:fldChar w:fldCharType="end"/>
            </w:r>
          </w:p>
        </w:tc>
        <w:tc>
          <w:tcPr>
            <w:tcW w:w="1134" w:type="dxa"/>
            <w:shd w:val="clear" w:color="auto" w:fill="auto"/>
            <w:vAlign w:val="bottom"/>
          </w:tcPr>
          <w:p w14:paraId="11B2B1E6" w14:textId="07E0C04D" w:rsidR="000764FD" w:rsidRPr="006F74FD" w:rsidRDefault="000764FD"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197</w:t>
            </w:r>
          </w:p>
        </w:tc>
        <w:tc>
          <w:tcPr>
            <w:tcW w:w="1134" w:type="dxa"/>
            <w:shd w:val="clear" w:color="auto" w:fill="auto"/>
          </w:tcPr>
          <w:p w14:paraId="0F5F7C88" w14:textId="76307BC7" w:rsidR="000764FD" w:rsidRPr="006F74FD" w:rsidRDefault="000764FD"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rPr>
              <w:t>160-239</w:t>
            </w:r>
          </w:p>
        </w:tc>
        <w:tc>
          <w:tcPr>
            <w:tcW w:w="284" w:type="dxa"/>
          </w:tcPr>
          <w:p w14:paraId="2A2519F5" w14:textId="77777777" w:rsidR="000764FD" w:rsidRPr="006F74FD" w:rsidRDefault="000764FD" w:rsidP="006F74FD">
            <w:pPr>
              <w:spacing w:line="276" w:lineRule="auto"/>
              <w:jc w:val="center"/>
              <w:rPr>
                <w:rFonts w:asciiTheme="minorHAnsi" w:hAnsiTheme="minorHAnsi" w:cstheme="minorHAnsi"/>
                <w:sz w:val="22"/>
                <w:szCs w:val="22"/>
                <w:lang w:val="en-GB"/>
              </w:rPr>
            </w:pPr>
          </w:p>
        </w:tc>
        <w:tc>
          <w:tcPr>
            <w:tcW w:w="1134" w:type="dxa"/>
            <w:shd w:val="clear" w:color="auto" w:fill="auto"/>
          </w:tcPr>
          <w:p w14:paraId="5D3914D1" w14:textId="244C9179" w:rsidR="000764FD" w:rsidRPr="006F74FD" w:rsidRDefault="000764FD"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rPr>
              <w:t>49</w:t>
            </w:r>
          </w:p>
        </w:tc>
        <w:tc>
          <w:tcPr>
            <w:tcW w:w="1134" w:type="dxa"/>
            <w:shd w:val="clear" w:color="auto" w:fill="auto"/>
          </w:tcPr>
          <w:p w14:paraId="17E7B181" w14:textId="2D7DDC21" w:rsidR="000764FD" w:rsidRPr="006F74FD" w:rsidRDefault="000764FD"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rPr>
              <w:t>95</w:t>
            </w:r>
          </w:p>
        </w:tc>
        <w:tc>
          <w:tcPr>
            <w:tcW w:w="1134" w:type="dxa"/>
            <w:shd w:val="clear" w:color="auto" w:fill="auto"/>
          </w:tcPr>
          <w:p w14:paraId="379E9D49" w14:textId="5072BBF3" w:rsidR="000764FD" w:rsidRPr="006F74FD" w:rsidRDefault="000764FD"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rPr>
              <w:t>71-126</w:t>
            </w:r>
          </w:p>
        </w:tc>
      </w:tr>
      <w:tr w:rsidR="00C60708" w:rsidRPr="006F74FD" w14:paraId="0EE9DD54" w14:textId="5B04C4D2" w:rsidTr="006F74FD">
        <w:trPr>
          <w:trHeight w:val="300"/>
        </w:trPr>
        <w:tc>
          <w:tcPr>
            <w:tcW w:w="1229" w:type="dxa"/>
            <w:shd w:val="clear" w:color="auto" w:fill="auto"/>
            <w:vAlign w:val="center"/>
          </w:tcPr>
          <w:p w14:paraId="4D4B9FEC" w14:textId="77777777" w:rsidR="00C60708" w:rsidRPr="006F74FD" w:rsidRDefault="00C60708" w:rsidP="006F74FD">
            <w:pPr>
              <w:spacing w:line="276" w:lineRule="auto"/>
              <w:rPr>
                <w:rFonts w:asciiTheme="minorHAnsi" w:hAnsiTheme="minorHAnsi" w:cstheme="minorHAnsi"/>
                <w:i/>
                <w:sz w:val="22"/>
                <w:szCs w:val="22"/>
                <w:lang w:val="en-GB"/>
              </w:rPr>
            </w:pPr>
            <w:r w:rsidRPr="006F74FD">
              <w:rPr>
                <w:rFonts w:asciiTheme="minorHAnsi" w:hAnsiTheme="minorHAnsi" w:cstheme="minorHAnsi"/>
                <w:i/>
                <w:sz w:val="22"/>
                <w:szCs w:val="22"/>
                <w:lang w:val="en-GB"/>
              </w:rPr>
              <w:t>Women</w:t>
            </w:r>
          </w:p>
        </w:tc>
        <w:tc>
          <w:tcPr>
            <w:tcW w:w="1181" w:type="dxa"/>
            <w:shd w:val="clear" w:color="auto" w:fill="auto"/>
            <w:vAlign w:val="center"/>
          </w:tcPr>
          <w:p w14:paraId="6942FF5E" w14:textId="77777777" w:rsidR="00C60708" w:rsidRPr="006F74FD" w:rsidRDefault="00C60708" w:rsidP="006F74FD">
            <w:pPr>
              <w:spacing w:line="276" w:lineRule="auto"/>
              <w:jc w:val="center"/>
              <w:rPr>
                <w:rFonts w:asciiTheme="minorHAnsi" w:hAnsiTheme="minorHAnsi" w:cstheme="minorHAnsi"/>
                <w:sz w:val="22"/>
                <w:szCs w:val="22"/>
                <w:lang w:val="en-GB"/>
              </w:rPr>
            </w:pPr>
          </w:p>
        </w:tc>
        <w:tc>
          <w:tcPr>
            <w:tcW w:w="1134" w:type="dxa"/>
            <w:shd w:val="clear" w:color="auto" w:fill="auto"/>
            <w:vAlign w:val="center"/>
          </w:tcPr>
          <w:p w14:paraId="4A4BA2CC" w14:textId="77777777" w:rsidR="00C60708" w:rsidRPr="006F74FD" w:rsidRDefault="00C60708" w:rsidP="006F74FD">
            <w:pPr>
              <w:spacing w:line="276" w:lineRule="auto"/>
              <w:jc w:val="center"/>
              <w:rPr>
                <w:rFonts w:asciiTheme="minorHAnsi" w:hAnsiTheme="minorHAnsi" w:cstheme="minorHAnsi"/>
                <w:sz w:val="22"/>
                <w:szCs w:val="22"/>
                <w:lang w:val="en-GB"/>
              </w:rPr>
            </w:pPr>
          </w:p>
        </w:tc>
        <w:tc>
          <w:tcPr>
            <w:tcW w:w="1134" w:type="dxa"/>
            <w:shd w:val="clear" w:color="auto" w:fill="auto"/>
            <w:vAlign w:val="bottom"/>
          </w:tcPr>
          <w:p w14:paraId="52B14A4B" w14:textId="77777777" w:rsidR="00C60708" w:rsidRPr="006F74FD" w:rsidRDefault="00C60708" w:rsidP="006F74FD">
            <w:pPr>
              <w:spacing w:line="276" w:lineRule="auto"/>
              <w:jc w:val="center"/>
              <w:rPr>
                <w:rFonts w:asciiTheme="minorHAnsi" w:hAnsiTheme="minorHAnsi" w:cstheme="minorHAnsi"/>
                <w:sz w:val="22"/>
                <w:szCs w:val="22"/>
                <w:lang w:val="en-GB"/>
              </w:rPr>
            </w:pPr>
          </w:p>
        </w:tc>
        <w:tc>
          <w:tcPr>
            <w:tcW w:w="284" w:type="dxa"/>
          </w:tcPr>
          <w:p w14:paraId="08B8B045" w14:textId="77777777" w:rsidR="00C60708" w:rsidRPr="006F74FD" w:rsidRDefault="00C60708" w:rsidP="006F74FD">
            <w:pPr>
              <w:spacing w:line="276" w:lineRule="auto"/>
              <w:jc w:val="center"/>
              <w:rPr>
                <w:rFonts w:asciiTheme="minorHAnsi" w:hAnsiTheme="minorHAnsi" w:cstheme="minorHAnsi"/>
                <w:sz w:val="22"/>
                <w:szCs w:val="22"/>
                <w:lang w:val="en-GB"/>
              </w:rPr>
            </w:pPr>
          </w:p>
        </w:tc>
        <w:tc>
          <w:tcPr>
            <w:tcW w:w="1134" w:type="dxa"/>
            <w:shd w:val="clear" w:color="auto" w:fill="auto"/>
            <w:vAlign w:val="center"/>
          </w:tcPr>
          <w:p w14:paraId="767C0572" w14:textId="6A45897F" w:rsidR="00C60708" w:rsidRPr="006F74FD" w:rsidRDefault="00C60708" w:rsidP="006F74FD">
            <w:pPr>
              <w:spacing w:line="276" w:lineRule="auto"/>
              <w:jc w:val="center"/>
              <w:rPr>
                <w:rFonts w:asciiTheme="minorHAnsi" w:hAnsiTheme="minorHAnsi" w:cstheme="minorHAnsi"/>
                <w:sz w:val="22"/>
                <w:szCs w:val="22"/>
                <w:lang w:val="en-GB"/>
              </w:rPr>
            </w:pPr>
          </w:p>
        </w:tc>
        <w:tc>
          <w:tcPr>
            <w:tcW w:w="1134" w:type="dxa"/>
            <w:shd w:val="clear" w:color="auto" w:fill="auto"/>
          </w:tcPr>
          <w:p w14:paraId="19AEC5D5" w14:textId="77777777" w:rsidR="00C60708" w:rsidRPr="006F74FD" w:rsidRDefault="00C60708" w:rsidP="006F74FD">
            <w:pPr>
              <w:spacing w:line="276" w:lineRule="auto"/>
              <w:jc w:val="center"/>
              <w:rPr>
                <w:rFonts w:asciiTheme="minorHAnsi" w:hAnsiTheme="minorHAnsi" w:cstheme="minorHAnsi"/>
                <w:sz w:val="22"/>
                <w:szCs w:val="22"/>
                <w:lang w:val="en-GB"/>
              </w:rPr>
            </w:pPr>
          </w:p>
        </w:tc>
        <w:tc>
          <w:tcPr>
            <w:tcW w:w="1134" w:type="dxa"/>
            <w:shd w:val="clear" w:color="auto" w:fill="auto"/>
          </w:tcPr>
          <w:p w14:paraId="60FF9B2E" w14:textId="77777777" w:rsidR="00C60708" w:rsidRPr="006F74FD" w:rsidRDefault="00C60708" w:rsidP="006F74FD">
            <w:pPr>
              <w:spacing w:line="276" w:lineRule="auto"/>
              <w:jc w:val="center"/>
              <w:rPr>
                <w:rFonts w:asciiTheme="minorHAnsi" w:hAnsiTheme="minorHAnsi" w:cstheme="minorHAnsi"/>
                <w:sz w:val="22"/>
                <w:szCs w:val="22"/>
                <w:lang w:val="en-GB"/>
              </w:rPr>
            </w:pPr>
          </w:p>
        </w:tc>
      </w:tr>
      <w:tr w:rsidR="00794841" w:rsidRPr="006F74FD" w14:paraId="7CC08751" w14:textId="48F12D52" w:rsidTr="006F74FD">
        <w:trPr>
          <w:trHeight w:val="300"/>
        </w:trPr>
        <w:tc>
          <w:tcPr>
            <w:tcW w:w="1229" w:type="dxa"/>
            <w:shd w:val="clear" w:color="auto" w:fill="auto"/>
            <w:vAlign w:val="center"/>
          </w:tcPr>
          <w:p w14:paraId="3CDC9D2F" w14:textId="77777777" w:rsidR="00794841" w:rsidRPr="006F74FD" w:rsidRDefault="00794841"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40-49</w:t>
            </w:r>
          </w:p>
        </w:tc>
        <w:tc>
          <w:tcPr>
            <w:tcW w:w="1181" w:type="dxa"/>
          </w:tcPr>
          <w:p w14:paraId="7686DA5B" w14:textId="1E310075"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90</w:t>
            </w:r>
          </w:p>
        </w:tc>
        <w:tc>
          <w:tcPr>
            <w:tcW w:w="1134" w:type="dxa"/>
          </w:tcPr>
          <w:p w14:paraId="2E73BD6F" w14:textId="4F3B9354"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366</w:t>
            </w:r>
          </w:p>
        </w:tc>
        <w:tc>
          <w:tcPr>
            <w:tcW w:w="1134" w:type="dxa"/>
            <w:shd w:val="clear" w:color="auto" w:fill="auto"/>
            <w:vAlign w:val="bottom"/>
          </w:tcPr>
          <w:p w14:paraId="29372637" w14:textId="4D9B3841"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294-450</w:t>
            </w:r>
          </w:p>
        </w:tc>
        <w:tc>
          <w:tcPr>
            <w:tcW w:w="284" w:type="dxa"/>
          </w:tcPr>
          <w:p w14:paraId="0C6B888F" w14:textId="77777777" w:rsidR="00794841" w:rsidRPr="006F74FD" w:rsidRDefault="00794841" w:rsidP="006F74FD">
            <w:pPr>
              <w:spacing w:line="276" w:lineRule="auto"/>
              <w:jc w:val="center"/>
              <w:rPr>
                <w:rFonts w:asciiTheme="minorHAnsi" w:hAnsiTheme="minorHAnsi" w:cstheme="minorHAnsi"/>
                <w:sz w:val="22"/>
                <w:szCs w:val="22"/>
                <w:lang w:val="en-GB"/>
              </w:rPr>
            </w:pPr>
          </w:p>
        </w:tc>
        <w:tc>
          <w:tcPr>
            <w:tcW w:w="1134" w:type="dxa"/>
          </w:tcPr>
          <w:p w14:paraId="43C1CC1F" w14:textId="4458119A"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14</w:t>
            </w:r>
          </w:p>
        </w:tc>
        <w:tc>
          <w:tcPr>
            <w:tcW w:w="1134" w:type="dxa"/>
          </w:tcPr>
          <w:p w14:paraId="49D66FD2" w14:textId="01A813F8"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57</w:t>
            </w:r>
          </w:p>
        </w:tc>
        <w:tc>
          <w:tcPr>
            <w:tcW w:w="1134" w:type="dxa"/>
            <w:shd w:val="clear" w:color="auto" w:fill="auto"/>
          </w:tcPr>
          <w:p w14:paraId="6764750F" w14:textId="3AD74BE3"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31-96</w:t>
            </w:r>
          </w:p>
        </w:tc>
      </w:tr>
      <w:tr w:rsidR="00794841" w:rsidRPr="006F74FD" w14:paraId="1B6086E9" w14:textId="13EBAB3A" w:rsidTr="006F74FD">
        <w:trPr>
          <w:trHeight w:val="300"/>
        </w:trPr>
        <w:tc>
          <w:tcPr>
            <w:tcW w:w="1229" w:type="dxa"/>
            <w:shd w:val="clear" w:color="auto" w:fill="auto"/>
            <w:vAlign w:val="center"/>
          </w:tcPr>
          <w:p w14:paraId="01142843" w14:textId="77777777" w:rsidR="00794841" w:rsidRPr="006F74FD" w:rsidRDefault="00794841"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50-59</w:t>
            </w:r>
          </w:p>
        </w:tc>
        <w:tc>
          <w:tcPr>
            <w:tcW w:w="1181" w:type="dxa"/>
          </w:tcPr>
          <w:p w14:paraId="7D59534D" w14:textId="75CC162C"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172</w:t>
            </w:r>
          </w:p>
        </w:tc>
        <w:tc>
          <w:tcPr>
            <w:tcW w:w="1134" w:type="dxa"/>
          </w:tcPr>
          <w:p w14:paraId="66DD9D51" w14:textId="167F642B"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8046</w:t>
            </w:r>
          </w:p>
        </w:tc>
        <w:tc>
          <w:tcPr>
            <w:tcW w:w="1134" w:type="dxa"/>
            <w:shd w:val="clear" w:color="auto" w:fill="auto"/>
            <w:vAlign w:val="bottom"/>
          </w:tcPr>
          <w:p w14:paraId="5EE92AD4" w14:textId="41FEB7B0"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689-934</w:t>
            </w:r>
          </w:p>
        </w:tc>
        <w:tc>
          <w:tcPr>
            <w:tcW w:w="284" w:type="dxa"/>
          </w:tcPr>
          <w:p w14:paraId="56F80695" w14:textId="77777777" w:rsidR="00794841" w:rsidRPr="006F74FD" w:rsidRDefault="00794841" w:rsidP="006F74FD">
            <w:pPr>
              <w:spacing w:line="276" w:lineRule="auto"/>
              <w:jc w:val="center"/>
              <w:rPr>
                <w:rFonts w:asciiTheme="minorHAnsi" w:hAnsiTheme="minorHAnsi" w:cstheme="minorHAnsi"/>
                <w:sz w:val="22"/>
                <w:szCs w:val="22"/>
                <w:lang w:val="en-GB"/>
              </w:rPr>
            </w:pPr>
          </w:p>
        </w:tc>
        <w:tc>
          <w:tcPr>
            <w:tcW w:w="1134" w:type="dxa"/>
          </w:tcPr>
          <w:p w14:paraId="321CF144" w14:textId="748755A3"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35</w:t>
            </w:r>
          </w:p>
        </w:tc>
        <w:tc>
          <w:tcPr>
            <w:tcW w:w="1134" w:type="dxa"/>
          </w:tcPr>
          <w:p w14:paraId="29234F1A" w14:textId="06ED5294"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164</w:t>
            </w:r>
          </w:p>
        </w:tc>
        <w:tc>
          <w:tcPr>
            <w:tcW w:w="1134" w:type="dxa"/>
            <w:shd w:val="clear" w:color="auto" w:fill="auto"/>
            <w:vAlign w:val="bottom"/>
          </w:tcPr>
          <w:p w14:paraId="53147D53" w14:textId="343BE1F5"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114-228</w:t>
            </w:r>
          </w:p>
        </w:tc>
      </w:tr>
      <w:tr w:rsidR="00794841" w:rsidRPr="006F74FD" w14:paraId="169B2288" w14:textId="5418CE44" w:rsidTr="006F74FD">
        <w:trPr>
          <w:trHeight w:val="300"/>
        </w:trPr>
        <w:tc>
          <w:tcPr>
            <w:tcW w:w="1229" w:type="dxa"/>
            <w:shd w:val="clear" w:color="auto" w:fill="auto"/>
            <w:vAlign w:val="center"/>
          </w:tcPr>
          <w:p w14:paraId="61245DE0" w14:textId="77777777" w:rsidR="00794841" w:rsidRPr="006F74FD" w:rsidRDefault="00794841"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60-69</w:t>
            </w:r>
          </w:p>
        </w:tc>
        <w:tc>
          <w:tcPr>
            <w:tcW w:w="1181" w:type="dxa"/>
          </w:tcPr>
          <w:p w14:paraId="4B325448" w14:textId="5EB3E56C"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97</w:t>
            </w:r>
          </w:p>
        </w:tc>
        <w:tc>
          <w:tcPr>
            <w:tcW w:w="1134" w:type="dxa"/>
          </w:tcPr>
          <w:p w14:paraId="64D83C4D" w14:textId="1B230858"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6736</w:t>
            </w:r>
          </w:p>
        </w:tc>
        <w:tc>
          <w:tcPr>
            <w:tcW w:w="1134" w:type="dxa"/>
            <w:shd w:val="clear" w:color="auto" w:fill="auto"/>
            <w:vAlign w:val="bottom"/>
          </w:tcPr>
          <w:p w14:paraId="568E3043" w14:textId="6EAB06DC"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546-821</w:t>
            </w:r>
          </w:p>
        </w:tc>
        <w:tc>
          <w:tcPr>
            <w:tcW w:w="284" w:type="dxa"/>
          </w:tcPr>
          <w:p w14:paraId="2F643C17" w14:textId="77777777" w:rsidR="00794841" w:rsidRPr="006F74FD" w:rsidRDefault="00794841" w:rsidP="006F74FD">
            <w:pPr>
              <w:spacing w:line="276" w:lineRule="auto"/>
              <w:jc w:val="center"/>
              <w:rPr>
                <w:rFonts w:asciiTheme="minorHAnsi" w:hAnsiTheme="minorHAnsi" w:cstheme="minorHAnsi"/>
                <w:sz w:val="22"/>
                <w:szCs w:val="22"/>
                <w:lang w:val="en-GB"/>
              </w:rPr>
            </w:pPr>
          </w:p>
        </w:tc>
        <w:tc>
          <w:tcPr>
            <w:tcW w:w="1134" w:type="dxa"/>
          </w:tcPr>
          <w:p w14:paraId="27DE4F76" w14:textId="7A29629F"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39</w:t>
            </w:r>
          </w:p>
        </w:tc>
        <w:tc>
          <w:tcPr>
            <w:tcW w:w="1134" w:type="dxa"/>
          </w:tcPr>
          <w:p w14:paraId="37F2B5F7" w14:textId="20B95DC8"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271</w:t>
            </w:r>
          </w:p>
        </w:tc>
        <w:tc>
          <w:tcPr>
            <w:tcW w:w="1134" w:type="dxa"/>
            <w:shd w:val="clear" w:color="auto" w:fill="auto"/>
            <w:vAlign w:val="bottom"/>
          </w:tcPr>
          <w:p w14:paraId="56ADDCDF" w14:textId="1C100C19"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192-370</w:t>
            </w:r>
          </w:p>
        </w:tc>
      </w:tr>
      <w:tr w:rsidR="00794841" w:rsidRPr="006F74FD" w14:paraId="374E98E5" w14:textId="66FF2C81" w:rsidTr="006F74FD">
        <w:trPr>
          <w:trHeight w:val="300"/>
        </w:trPr>
        <w:tc>
          <w:tcPr>
            <w:tcW w:w="1229" w:type="dxa"/>
            <w:shd w:val="clear" w:color="auto" w:fill="auto"/>
            <w:vAlign w:val="center"/>
          </w:tcPr>
          <w:p w14:paraId="58888BE1" w14:textId="77777777" w:rsidR="00794841" w:rsidRPr="006F74FD" w:rsidRDefault="00794841"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70-79</w:t>
            </w:r>
          </w:p>
        </w:tc>
        <w:tc>
          <w:tcPr>
            <w:tcW w:w="1181" w:type="dxa"/>
          </w:tcPr>
          <w:p w14:paraId="096B13BA" w14:textId="1CF91331"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53</w:t>
            </w:r>
          </w:p>
        </w:tc>
        <w:tc>
          <w:tcPr>
            <w:tcW w:w="1134" w:type="dxa"/>
          </w:tcPr>
          <w:p w14:paraId="6BE08A01" w14:textId="6F69DD08"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743</w:t>
            </w:r>
          </w:p>
        </w:tc>
        <w:tc>
          <w:tcPr>
            <w:tcW w:w="1134" w:type="dxa"/>
            <w:shd w:val="clear" w:color="auto" w:fill="auto"/>
            <w:vAlign w:val="bottom"/>
          </w:tcPr>
          <w:p w14:paraId="201B347D" w14:textId="54E1EB8D"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556-971</w:t>
            </w:r>
          </w:p>
        </w:tc>
        <w:tc>
          <w:tcPr>
            <w:tcW w:w="284" w:type="dxa"/>
          </w:tcPr>
          <w:p w14:paraId="44A06D0E" w14:textId="77777777" w:rsidR="00794841" w:rsidRPr="006F74FD" w:rsidRDefault="00794841" w:rsidP="006F74FD">
            <w:pPr>
              <w:spacing w:line="276" w:lineRule="auto"/>
              <w:jc w:val="center"/>
              <w:rPr>
                <w:rFonts w:asciiTheme="minorHAnsi" w:hAnsiTheme="minorHAnsi" w:cstheme="minorHAnsi"/>
                <w:sz w:val="22"/>
                <w:szCs w:val="22"/>
                <w:lang w:val="en-GB"/>
              </w:rPr>
            </w:pPr>
          </w:p>
        </w:tc>
        <w:tc>
          <w:tcPr>
            <w:tcW w:w="1134" w:type="dxa"/>
          </w:tcPr>
          <w:p w14:paraId="4EB95715" w14:textId="407DC64C"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21</w:t>
            </w:r>
          </w:p>
        </w:tc>
        <w:tc>
          <w:tcPr>
            <w:tcW w:w="1134" w:type="dxa"/>
          </w:tcPr>
          <w:p w14:paraId="09704D89" w14:textId="40EC25DA"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294</w:t>
            </w:r>
          </w:p>
        </w:tc>
        <w:tc>
          <w:tcPr>
            <w:tcW w:w="1134" w:type="dxa"/>
            <w:shd w:val="clear" w:color="auto" w:fill="auto"/>
            <w:vAlign w:val="bottom"/>
          </w:tcPr>
          <w:p w14:paraId="665B345E" w14:textId="4B08FD25" w:rsidR="00794841" w:rsidRPr="006F74FD" w:rsidRDefault="00794841"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182-450</w:t>
            </w:r>
          </w:p>
        </w:tc>
      </w:tr>
      <w:tr w:rsidR="00B13758" w:rsidRPr="006F74FD" w14:paraId="37AB9A77" w14:textId="53F4DC61" w:rsidTr="006F74FD">
        <w:trPr>
          <w:trHeight w:val="300"/>
        </w:trPr>
        <w:tc>
          <w:tcPr>
            <w:tcW w:w="1229" w:type="dxa"/>
            <w:shd w:val="clear" w:color="auto" w:fill="auto"/>
            <w:vAlign w:val="center"/>
          </w:tcPr>
          <w:p w14:paraId="5D4C61FB" w14:textId="6DAC0DAE" w:rsidR="00B13758" w:rsidRPr="006F74FD" w:rsidRDefault="00B13758"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lang w:val="en-GB"/>
              </w:rPr>
              <w:t>80-89</w:t>
            </w:r>
          </w:p>
        </w:tc>
        <w:tc>
          <w:tcPr>
            <w:tcW w:w="1181" w:type="dxa"/>
          </w:tcPr>
          <w:p w14:paraId="5657BD63" w14:textId="7C95ADC4" w:rsidR="00B13758" w:rsidRPr="006F74FD" w:rsidRDefault="00B1375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20</w:t>
            </w:r>
          </w:p>
        </w:tc>
        <w:tc>
          <w:tcPr>
            <w:tcW w:w="1134" w:type="dxa"/>
          </w:tcPr>
          <w:p w14:paraId="7F096BAF" w14:textId="1538253A" w:rsidR="00B13758" w:rsidRPr="006F74FD" w:rsidRDefault="00B1375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748</w:t>
            </w:r>
          </w:p>
        </w:tc>
        <w:tc>
          <w:tcPr>
            <w:tcW w:w="1134" w:type="dxa"/>
            <w:shd w:val="clear" w:color="auto" w:fill="auto"/>
            <w:vAlign w:val="bottom"/>
          </w:tcPr>
          <w:p w14:paraId="277507EB" w14:textId="25F8E0A3" w:rsidR="00B13758" w:rsidRPr="006F74FD" w:rsidRDefault="00B1375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457-1156</w:t>
            </w:r>
          </w:p>
        </w:tc>
        <w:tc>
          <w:tcPr>
            <w:tcW w:w="284" w:type="dxa"/>
          </w:tcPr>
          <w:p w14:paraId="6E593C6D" w14:textId="77777777" w:rsidR="00B13758" w:rsidRPr="006F74FD" w:rsidRDefault="00B13758" w:rsidP="006F74FD">
            <w:pPr>
              <w:spacing w:line="276" w:lineRule="auto"/>
              <w:jc w:val="center"/>
              <w:rPr>
                <w:rFonts w:asciiTheme="minorHAnsi" w:hAnsiTheme="minorHAnsi" w:cstheme="minorHAnsi"/>
                <w:sz w:val="22"/>
                <w:szCs w:val="22"/>
                <w:lang w:val="en-GB"/>
              </w:rPr>
            </w:pPr>
          </w:p>
        </w:tc>
        <w:tc>
          <w:tcPr>
            <w:tcW w:w="1134" w:type="dxa"/>
          </w:tcPr>
          <w:p w14:paraId="4FBD9936" w14:textId="29EF9358" w:rsidR="00B13758" w:rsidRPr="006F74FD" w:rsidRDefault="00B1375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rPr>
              <w:t>1</w:t>
            </w:r>
            <w:r w:rsidRPr="006F74FD">
              <w:rPr>
                <w:rFonts w:asciiTheme="minorHAnsi" w:hAnsiTheme="minorHAnsi" w:cstheme="minorHAnsi"/>
                <w:sz w:val="22"/>
                <w:szCs w:val="22"/>
                <w:lang w:val="sv-SE"/>
              </w:rPr>
              <w:t>6</w:t>
            </w:r>
          </w:p>
        </w:tc>
        <w:tc>
          <w:tcPr>
            <w:tcW w:w="1134" w:type="dxa"/>
          </w:tcPr>
          <w:p w14:paraId="2B93D3AE" w14:textId="66F472AE" w:rsidR="00B13758" w:rsidRPr="006F74FD" w:rsidRDefault="00B1375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599</w:t>
            </w:r>
          </w:p>
        </w:tc>
        <w:tc>
          <w:tcPr>
            <w:tcW w:w="1134" w:type="dxa"/>
            <w:shd w:val="clear" w:color="auto" w:fill="auto"/>
            <w:vAlign w:val="bottom"/>
          </w:tcPr>
          <w:p w14:paraId="73B75418" w14:textId="5FB3D4BD" w:rsidR="00B13758" w:rsidRPr="006F74FD" w:rsidRDefault="00B1375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342-972</w:t>
            </w:r>
          </w:p>
        </w:tc>
      </w:tr>
      <w:tr w:rsidR="00B13758" w:rsidRPr="006F74FD" w14:paraId="1D5242D3" w14:textId="77777777" w:rsidTr="006F74FD">
        <w:trPr>
          <w:trHeight w:val="300"/>
        </w:trPr>
        <w:tc>
          <w:tcPr>
            <w:tcW w:w="1229" w:type="dxa"/>
            <w:shd w:val="clear" w:color="auto" w:fill="auto"/>
            <w:vAlign w:val="center"/>
          </w:tcPr>
          <w:p w14:paraId="1BD7E262" w14:textId="28526FE2" w:rsidR="00B13758" w:rsidRPr="006F74FD" w:rsidRDefault="00B13758"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rPr>
              <w:t>90+</w:t>
            </w:r>
          </w:p>
        </w:tc>
        <w:tc>
          <w:tcPr>
            <w:tcW w:w="1181" w:type="dxa"/>
          </w:tcPr>
          <w:p w14:paraId="441490C9" w14:textId="3EA3C0DF" w:rsidR="00B13758" w:rsidRPr="006F74FD" w:rsidRDefault="00B1375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rPr>
              <w:t>3</w:t>
            </w:r>
          </w:p>
        </w:tc>
        <w:tc>
          <w:tcPr>
            <w:tcW w:w="1134" w:type="dxa"/>
          </w:tcPr>
          <w:p w14:paraId="640337EC" w14:textId="2C54B1A5" w:rsidR="00B13758" w:rsidRPr="006F74FD" w:rsidRDefault="00B1375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952</w:t>
            </w:r>
          </w:p>
        </w:tc>
        <w:tc>
          <w:tcPr>
            <w:tcW w:w="1134" w:type="dxa"/>
            <w:shd w:val="clear" w:color="auto" w:fill="auto"/>
            <w:vAlign w:val="bottom"/>
          </w:tcPr>
          <w:p w14:paraId="6A854ED2" w14:textId="6DB2C2A4" w:rsidR="00B13758" w:rsidRPr="006F74FD" w:rsidRDefault="00B1375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196-2785</w:t>
            </w:r>
          </w:p>
        </w:tc>
        <w:tc>
          <w:tcPr>
            <w:tcW w:w="284" w:type="dxa"/>
          </w:tcPr>
          <w:p w14:paraId="172DB252" w14:textId="77777777" w:rsidR="00B13758" w:rsidRPr="006F74FD" w:rsidRDefault="00B13758" w:rsidP="006F74FD">
            <w:pPr>
              <w:spacing w:line="276" w:lineRule="auto"/>
              <w:jc w:val="center"/>
              <w:rPr>
                <w:rFonts w:asciiTheme="minorHAnsi" w:hAnsiTheme="minorHAnsi" w:cstheme="minorHAnsi"/>
                <w:sz w:val="22"/>
                <w:szCs w:val="22"/>
                <w:lang w:val="en-GB"/>
              </w:rPr>
            </w:pPr>
          </w:p>
        </w:tc>
        <w:tc>
          <w:tcPr>
            <w:tcW w:w="1134" w:type="dxa"/>
          </w:tcPr>
          <w:p w14:paraId="4F1EBA12" w14:textId="29105326" w:rsidR="00B13758" w:rsidRPr="006F74FD" w:rsidRDefault="00B1375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sv-SE"/>
              </w:rPr>
              <w:t>0</w:t>
            </w:r>
          </w:p>
        </w:tc>
        <w:tc>
          <w:tcPr>
            <w:tcW w:w="1134" w:type="dxa"/>
          </w:tcPr>
          <w:p w14:paraId="68D52CE9" w14:textId="667FF96F" w:rsidR="00B13758" w:rsidRPr="006F74FD" w:rsidRDefault="00B1375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w:t>
            </w:r>
          </w:p>
        </w:tc>
        <w:tc>
          <w:tcPr>
            <w:tcW w:w="1134" w:type="dxa"/>
            <w:shd w:val="clear" w:color="auto" w:fill="auto"/>
            <w:vAlign w:val="bottom"/>
          </w:tcPr>
          <w:p w14:paraId="5528E7D2" w14:textId="15CAB888" w:rsidR="00B13758" w:rsidRPr="006F74FD" w:rsidRDefault="00B13758"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w:t>
            </w:r>
          </w:p>
        </w:tc>
      </w:tr>
      <w:tr w:rsidR="008D35CD" w:rsidRPr="006F74FD" w14:paraId="07C6161C" w14:textId="65CAAD74" w:rsidTr="006F74FD">
        <w:trPr>
          <w:trHeight w:val="300"/>
        </w:trPr>
        <w:tc>
          <w:tcPr>
            <w:tcW w:w="1229" w:type="dxa"/>
            <w:shd w:val="clear" w:color="auto" w:fill="auto"/>
            <w:vAlign w:val="center"/>
          </w:tcPr>
          <w:p w14:paraId="759E35C2" w14:textId="4DD325D7" w:rsidR="008D35CD" w:rsidRPr="006F74FD" w:rsidRDefault="008D35CD" w:rsidP="006F74FD">
            <w:pPr>
              <w:spacing w:line="276" w:lineRule="auto"/>
              <w:rPr>
                <w:rFonts w:asciiTheme="minorHAnsi" w:hAnsiTheme="minorHAnsi" w:cstheme="minorHAnsi"/>
                <w:sz w:val="22"/>
                <w:szCs w:val="22"/>
                <w:lang w:val="en-GB"/>
              </w:rPr>
            </w:pPr>
            <w:r w:rsidRPr="006F74FD">
              <w:rPr>
                <w:rFonts w:asciiTheme="minorHAnsi" w:hAnsiTheme="minorHAnsi" w:cstheme="minorHAnsi"/>
                <w:sz w:val="22"/>
                <w:szCs w:val="22"/>
              </w:rPr>
              <w:t>40 +</w:t>
            </w:r>
          </w:p>
        </w:tc>
        <w:tc>
          <w:tcPr>
            <w:tcW w:w="1181" w:type="dxa"/>
            <w:shd w:val="clear" w:color="auto" w:fill="auto"/>
            <w:vAlign w:val="center"/>
          </w:tcPr>
          <w:p w14:paraId="51814B96" w14:textId="385F99A6" w:rsidR="008D35CD" w:rsidRPr="006F74FD" w:rsidRDefault="008D35CD"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rPr>
              <w:t>435</w:t>
            </w:r>
          </w:p>
        </w:tc>
        <w:tc>
          <w:tcPr>
            <w:tcW w:w="1134" w:type="dxa"/>
            <w:shd w:val="clear" w:color="auto" w:fill="auto"/>
            <w:vAlign w:val="center"/>
          </w:tcPr>
          <w:p w14:paraId="683D99EC" w14:textId="46964866" w:rsidR="008D35CD" w:rsidRPr="006F74FD" w:rsidRDefault="008D35CD"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617</w:t>
            </w:r>
          </w:p>
        </w:tc>
        <w:tc>
          <w:tcPr>
            <w:tcW w:w="1134" w:type="dxa"/>
            <w:shd w:val="clear" w:color="auto" w:fill="auto"/>
            <w:vAlign w:val="bottom"/>
          </w:tcPr>
          <w:p w14:paraId="1E46EA2C" w14:textId="0E645BC2" w:rsidR="008D35CD" w:rsidRPr="006F74FD" w:rsidRDefault="008D35CD"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560-678</w:t>
            </w:r>
          </w:p>
        </w:tc>
        <w:tc>
          <w:tcPr>
            <w:tcW w:w="284" w:type="dxa"/>
          </w:tcPr>
          <w:p w14:paraId="2B985989" w14:textId="77777777" w:rsidR="008D35CD" w:rsidRPr="006F74FD" w:rsidRDefault="008D35CD" w:rsidP="006F74FD">
            <w:pPr>
              <w:spacing w:line="276" w:lineRule="auto"/>
              <w:jc w:val="center"/>
              <w:rPr>
                <w:rFonts w:asciiTheme="minorHAnsi" w:hAnsiTheme="minorHAnsi" w:cstheme="minorHAnsi"/>
                <w:sz w:val="22"/>
                <w:szCs w:val="22"/>
                <w:lang w:val="en-GB"/>
              </w:rPr>
            </w:pPr>
          </w:p>
        </w:tc>
        <w:tc>
          <w:tcPr>
            <w:tcW w:w="1134" w:type="dxa"/>
            <w:shd w:val="clear" w:color="auto" w:fill="auto"/>
            <w:vAlign w:val="center"/>
          </w:tcPr>
          <w:p w14:paraId="219261FE" w14:textId="3B20C7C4" w:rsidR="008D35CD" w:rsidRPr="006F74FD" w:rsidRDefault="008D35CD"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fldChar w:fldCharType="begin"/>
            </w:r>
            <w:r w:rsidRPr="006F74FD">
              <w:rPr>
                <w:rFonts w:asciiTheme="minorHAnsi" w:hAnsiTheme="minorHAnsi" w:cstheme="minorHAnsi"/>
                <w:sz w:val="22"/>
                <w:szCs w:val="22"/>
                <w:lang w:val="en-GB"/>
              </w:rPr>
              <w:instrText xml:space="preserve"> =SUM(ABOVE) </w:instrText>
            </w:r>
            <w:r w:rsidRPr="006F74FD">
              <w:rPr>
                <w:rFonts w:asciiTheme="minorHAnsi" w:hAnsiTheme="minorHAnsi" w:cstheme="minorHAnsi"/>
                <w:sz w:val="22"/>
                <w:szCs w:val="22"/>
                <w:lang w:val="en-GB"/>
              </w:rPr>
              <w:fldChar w:fldCharType="separate"/>
            </w:r>
            <w:r w:rsidRPr="006F74FD">
              <w:rPr>
                <w:rFonts w:asciiTheme="minorHAnsi" w:hAnsiTheme="minorHAnsi" w:cstheme="minorHAnsi"/>
                <w:noProof/>
                <w:sz w:val="22"/>
                <w:szCs w:val="22"/>
                <w:lang w:val="en-GB"/>
              </w:rPr>
              <w:t>125</w:t>
            </w:r>
            <w:r w:rsidRPr="006F74FD">
              <w:rPr>
                <w:rFonts w:asciiTheme="minorHAnsi" w:hAnsiTheme="minorHAnsi" w:cstheme="minorHAnsi"/>
                <w:sz w:val="22"/>
                <w:szCs w:val="22"/>
                <w:lang w:val="en-GB"/>
              </w:rPr>
              <w:fldChar w:fldCharType="end"/>
            </w:r>
          </w:p>
        </w:tc>
        <w:tc>
          <w:tcPr>
            <w:tcW w:w="1134" w:type="dxa"/>
            <w:shd w:val="clear" w:color="auto" w:fill="auto"/>
          </w:tcPr>
          <w:p w14:paraId="536DFEA5" w14:textId="739C7D12" w:rsidR="008D35CD" w:rsidRPr="006F74FD" w:rsidRDefault="008D35CD"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177</w:t>
            </w:r>
          </w:p>
        </w:tc>
        <w:tc>
          <w:tcPr>
            <w:tcW w:w="1134" w:type="dxa"/>
            <w:shd w:val="clear" w:color="auto" w:fill="auto"/>
          </w:tcPr>
          <w:p w14:paraId="2B6D22EB" w14:textId="557717B2" w:rsidR="008D35CD" w:rsidRPr="006F74FD" w:rsidRDefault="008D35CD" w:rsidP="006F74FD">
            <w:pPr>
              <w:spacing w:line="276" w:lineRule="auto"/>
              <w:jc w:val="center"/>
              <w:rPr>
                <w:rFonts w:asciiTheme="minorHAnsi" w:hAnsiTheme="minorHAnsi" w:cstheme="minorHAnsi"/>
                <w:sz w:val="22"/>
                <w:szCs w:val="22"/>
                <w:lang w:val="en-GB"/>
              </w:rPr>
            </w:pPr>
            <w:r w:rsidRPr="006F74FD">
              <w:rPr>
                <w:rFonts w:asciiTheme="minorHAnsi" w:hAnsiTheme="minorHAnsi" w:cstheme="minorHAnsi"/>
                <w:sz w:val="22"/>
                <w:szCs w:val="22"/>
                <w:lang w:val="en-GB"/>
              </w:rPr>
              <w:t>148-211</w:t>
            </w:r>
          </w:p>
        </w:tc>
      </w:tr>
    </w:tbl>
    <w:p w14:paraId="069CDCA2" w14:textId="3424DFF3" w:rsidR="005E450B" w:rsidRPr="00A81361" w:rsidRDefault="005E450B" w:rsidP="00F53689">
      <w:pPr>
        <w:spacing w:line="276" w:lineRule="auto"/>
        <w:jc w:val="both"/>
        <w:rPr>
          <w:rFonts w:ascii="Calibri" w:eastAsia="Calibri" w:hAnsi="Calibri" w:cs="Calibri"/>
          <w:highlight w:val="yellow"/>
          <w:lang w:val="en-GB" w:eastAsia="en-US"/>
        </w:rPr>
      </w:pPr>
    </w:p>
    <w:p w14:paraId="621B9838" w14:textId="77777777" w:rsidR="00F53689" w:rsidRPr="00A81361" w:rsidRDefault="00F53689" w:rsidP="0030661D">
      <w:pPr>
        <w:spacing w:line="276" w:lineRule="auto"/>
        <w:ind w:left="567" w:right="1275"/>
        <w:rPr>
          <w:rFonts w:asciiTheme="minorHAnsi" w:hAnsiTheme="minorHAnsi" w:cstheme="minorHAnsi"/>
          <w:i/>
          <w:highlight w:val="yellow"/>
          <w:lang w:val="en-GB"/>
        </w:rPr>
      </w:pPr>
    </w:p>
    <w:p w14:paraId="624CEED0" w14:textId="023054C6" w:rsidR="003E3E64" w:rsidRPr="00A81361" w:rsidRDefault="003E3E64" w:rsidP="00657EB4">
      <w:pPr>
        <w:jc w:val="both"/>
        <w:rPr>
          <w:rFonts w:asciiTheme="minorHAnsi" w:hAnsiTheme="minorHAnsi" w:cstheme="minorHAnsi"/>
          <w:b/>
          <w:highlight w:val="yellow"/>
          <w:lang w:val="en-GB"/>
        </w:rPr>
      </w:pPr>
    </w:p>
    <w:p w14:paraId="1330D373" w14:textId="12EA4933" w:rsidR="00E34B38" w:rsidRPr="00C4706F" w:rsidRDefault="001A3C47" w:rsidP="00C92323">
      <w:pPr>
        <w:ind w:left="567"/>
        <w:jc w:val="both"/>
        <w:rPr>
          <w:rFonts w:asciiTheme="minorHAnsi" w:hAnsiTheme="minorHAnsi" w:cstheme="minorHAnsi"/>
          <w:i/>
          <w:lang w:val="en-GB"/>
        </w:rPr>
      </w:pPr>
      <w:r w:rsidRPr="00C4706F">
        <w:rPr>
          <w:rFonts w:asciiTheme="minorHAnsi" w:hAnsiTheme="minorHAnsi" w:cstheme="minorHAnsi"/>
          <w:i/>
          <w:lang w:val="en-GB"/>
        </w:rPr>
        <w:t>F</w:t>
      </w:r>
      <w:r w:rsidR="006F0FF8" w:rsidRPr="00C4706F">
        <w:rPr>
          <w:rFonts w:asciiTheme="minorHAnsi" w:hAnsiTheme="minorHAnsi" w:cstheme="minorHAnsi"/>
          <w:i/>
          <w:lang w:val="en-GB"/>
        </w:rPr>
        <w:t>racture</w:t>
      </w:r>
      <w:r w:rsidRPr="00C4706F">
        <w:rPr>
          <w:rFonts w:asciiTheme="minorHAnsi" w:hAnsiTheme="minorHAnsi" w:cstheme="minorHAnsi"/>
          <w:i/>
          <w:lang w:val="en-GB"/>
        </w:rPr>
        <w:t xml:space="preserve"> projections</w:t>
      </w:r>
    </w:p>
    <w:p w14:paraId="49C0386F" w14:textId="77777777" w:rsidR="00F53689" w:rsidRPr="00C4706F" w:rsidRDefault="00F53689" w:rsidP="00C05B08">
      <w:pPr>
        <w:spacing w:line="276" w:lineRule="auto"/>
        <w:ind w:right="1133"/>
        <w:rPr>
          <w:rFonts w:asciiTheme="minorHAnsi" w:hAnsiTheme="minorHAnsi" w:cstheme="minorHAnsi"/>
          <w:i/>
          <w:lang w:val="en-GB"/>
        </w:rPr>
      </w:pPr>
    </w:p>
    <w:p w14:paraId="5F448D22" w14:textId="51790E04" w:rsidR="00E7143D" w:rsidRPr="006146AB" w:rsidRDefault="002C230A" w:rsidP="0030661D">
      <w:pPr>
        <w:spacing w:line="276" w:lineRule="auto"/>
        <w:ind w:left="567" w:right="1275"/>
        <w:rPr>
          <w:rFonts w:asciiTheme="minorHAnsi" w:eastAsia="Calibri" w:hAnsiTheme="minorHAnsi" w:cstheme="minorHAnsi"/>
          <w:lang w:val="en-GB" w:bidi="lo-LA"/>
        </w:rPr>
      </w:pPr>
      <w:r w:rsidRPr="00C4706F">
        <w:rPr>
          <w:rFonts w:asciiTheme="minorHAnsi" w:eastAsia="Calibri" w:hAnsiTheme="minorHAnsi" w:cstheme="minorHAnsi"/>
          <w:lang w:val="en-GB" w:bidi="lo-LA"/>
        </w:rPr>
        <w:t xml:space="preserve">Assuming that </w:t>
      </w:r>
      <w:r w:rsidR="00882DAB" w:rsidRPr="00C4706F">
        <w:rPr>
          <w:rFonts w:asciiTheme="minorHAnsi" w:eastAsia="Calibri" w:hAnsiTheme="minorHAnsi" w:cstheme="minorHAnsi"/>
          <w:lang w:val="en-GB" w:bidi="lo-LA"/>
        </w:rPr>
        <w:t xml:space="preserve">the </w:t>
      </w:r>
      <w:r w:rsidRPr="00C4706F">
        <w:rPr>
          <w:rFonts w:asciiTheme="minorHAnsi" w:eastAsia="Calibri" w:hAnsiTheme="minorHAnsi" w:cstheme="minorHAnsi"/>
          <w:lang w:val="en-GB" w:bidi="lo-LA"/>
        </w:rPr>
        <w:t xml:space="preserve">fracture rates in </w:t>
      </w:r>
      <w:r w:rsidR="008556D5" w:rsidRPr="00C4706F">
        <w:rPr>
          <w:rFonts w:asciiTheme="minorHAnsi" w:hAnsiTheme="minorHAnsi" w:cstheme="minorHAnsi"/>
          <w:lang w:val="en-GB"/>
        </w:rPr>
        <w:t>Taldykorgan</w:t>
      </w:r>
      <w:r w:rsidR="008556D5" w:rsidRPr="00C4706F">
        <w:rPr>
          <w:rFonts w:asciiTheme="minorHAnsi" w:eastAsia="Calibri" w:hAnsiTheme="minorHAnsi" w:cstheme="minorHAnsi"/>
          <w:lang w:val="en-GB"/>
        </w:rPr>
        <w:t xml:space="preserve"> </w:t>
      </w:r>
      <w:r w:rsidR="008556D5" w:rsidRPr="00C4706F">
        <w:rPr>
          <w:rFonts w:asciiTheme="minorHAnsi" w:eastAsia="Calibri" w:hAnsiTheme="minorHAnsi" w:cstheme="minorHAnsi"/>
          <w:lang w:val="en-GB" w:bidi="lo-LA"/>
        </w:rPr>
        <w:t>was</w:t>
      </w:r>
      <w:r w:rsidRPr="00C4706F">
        <w:rPr>
          <w:rFonts w:asciiTheme="minorHAnsi" w:eastAsia="Calibri" w:hAnsiTheme="minorHAnsi" w:cstheme="minorHAnsi"/>
          <w:lang w:val="en-GB" w:bidi="lo-LA"/>
        </w:rPr>
        <w:t xml:space="preserve"> representative for </w:t>
      </w:r>
      <w:r w:rsidR="00882DAB" w:rsidRPr="00C4706F">
        <w:rPr>
          <w:rFonts w:asciiTheme="minorHAnsi" w:eastAsia="Calibri" w:hAnsiTheme="minorHAnsi" w:cstheme="minorHAnsi"/>
          <w:lang w:val="en-GB" w:bidi="lo-LA"/>
        </w:rPr>
        <w:t>the whole country</w:t>
      </w:r>
      <w:r w:rsidRPr="00C4706F">
        <w:rPr>
          <w:rFonts w:asciiTheme="minorHAnsi" w:eastAsia="Calibri" w:hAnsiTheme="minorHAnsi" w:cstheme="minorHAnsi"/>
          <w:lang w:val="en-GB" w:bidi="lo-LA"/>
        </w:rPr>
        <w:t xml:space="preserve">, </w:t>
      </w:r>
      <w:r w:rsidR="00003F34" w:rsidRPr="00C4706F">
        <w:rPr>
          <w:rFonts w:asciiTheme="minorHAnsi" w:eastAsia="Calibri" w:hAnsiTheme="minorHAnsi" w:cstheme="minorHAnsi"/>
          <w:lang w:val="en-GB" w:bidi="lo-LA"/>
        </w:rPr>
        <w:t xml:space="preserve">and based on the UN estimates of </w:t>
      </w:r>
      <w:r w:rsidR="008556D5" w:rsidRPr="00C4706F">
        <w:rPr>
          <w:rFonts w:asciiTheme="minorHAnsi" w:eastAsia="Calibri" w:hAnsiTheme="minorHAnsi" w:cstheme="minorHAnsi"/>
          <w:lang w:val="en-GB" w:bidi="lo-LA"/>
        </w:rPr>
        <w:t>Kazakh</w:t>
      </w:r>
      <w:r w:rsidR="00003F34" w:rsidRPr="00C4706F">
        <w:rPr>
          <w:rFonts w:asciiTheme="minorHAnsi" w:eastAsia="Calibri" w:hAnsiTheme="minorHAnsi" w:cstheme="minorHAnsi"/>
          <w:lang w:val="en-GB" w:bidi="lo-LA"/>
        </w:rPr>
        <w:t xml:space="preserve"> population </w:t>
      </w:r>
      <w:r w:rsidR="00003F34" w:rsidRPr="00C4706F">
        <w:rPr>
          <w:rFonts w:asciiTheme="minorHAnsi" w:hAnsiTheme="minorHAnsi" w:cstheme="minorHAnsi"/>
          <w:lang w:val="en-GB"/>
        </w:rPr>
        <w:t>for 2015</w:t>
      </w:r>
      <w:r w:rsidR="00406F03" w:rsidRPr="00C4706F">
        <w:rPr>
          <w:rFonts w:asciiTheme="minorHAnsi" w:hAnsiTheme="minorHAnsi" w:cstheme="minorHAnsi"/>
          <w:lang w:val="en-GB"/>
        </w:rPr>
        <w:t>,</w:t>
      </w:r>
      <w:r w:rsidR="00003F34" w:rsidRPr="00C4706F">
        <w:rPr>
          <w:rFonts w:asciiTheme="minorHAnsi" w:hAnsiTheme="minorHAnsi" w:cstheme="minorHAnsi"/>
          <w:lang w:val="en-GB"/>
        </w:rPr>
        <w:t xml:space="preserve"> </w:t>
      </w:r>
      <w:r w:rsidRPr="00C4706F">
        <w:rPr>
          <w:rFonts w:asciiTheme="minorHAnsi" w:eastAsia="Calibri" w:hAnsiTheme="minorHAnsi" w:cstheme="minorHAnsi"/>
          <w:lang w:val="en-GB" w:bidi="lo-LA"/>
        </w:rPr>
        <w:t xml:space="preserve">we estimated that the annual number of </w:t>
      </w:r>
      <w:r w:rsidR="004F7C02" w:rsidRPr="004F7C02">
        <w:rPr>
          <w:rFonts w:asciiTheme="minorHAnsi" w:eastAsia="Calibri" w:hAnsiTheme="minorHAnsi" w:cstheme="minorHAnsi"/>
          <w:lang w:val="en-GB" w:bidi="lo-LA"/>
        </w:rPr>
        <w:t xml:space="preserve">hip fractures </w:t>
      </w:r>
      <w:r w:rsidR="00003F34" w:rsidRPr="004F7C02">
        <w:rPr>
          <w:rFonts w:asciiTheme="minorHAnsi" w:eastAsia="Calibri" w:hAnsiTheme="minorHAnsi" w:cstheme="minorHAnsi"/>
          <w:lang w:val="en-GB" w:bidi="lo-LA"/>
        </w:rPr>
        <w:t xml:space="preserve">in </w:t>
      </w:r>
      <w:r w:rsidR="00406F03" w:rsidRPr="004F7C02">
        <w:rPr>
          <w:rFonts w:asciiTheme="minorHAnsi" w:eastAsia="Calibri" w:hAnsiTheme="minorHAnsi" w:cstheme="minorHAnsi"/>
          <w:lang w:val="en-GB" w:bidi="lo-LA"/>
        </w:rPr>
        <w:t>men and women age</w:t>
      </w:r>
      <w:r w:rsidR="00003F34" w:rsidRPr="004F7C02">
        <w:rPr>
          <w:rFonts w:asciiTheme="minorHAnsi" w:eastAsia="Calibri" w:hAnsiTheme="minorHAnsi" w:cstheme="minorHAnsi"/>
          <w:lang w:val="en-GB" w:bidi="lo-LA"/>
        </w:rPr>
        <w:t xml:space="preserve"> 50 years and </w:t>
      </w:r>
      <w:r w:rsidR="00003F34" w:rsidRPr="00BF3665">
        <w:rPr>
          <w:rFonts w:asciiTheme="minorHAnsi" w:eastAsia="Calibri" w:hAnsiTheme="minorHAnsi" w:cstheme="minorHAnsi"/>
          <w:lang w:val="en-GB" w:bidi="lo-LA"/>
        </w:rPr>
        <w:t xml:space="preserve">older in </w:t>
      </w:r>
      <w:r w:rsidR="00D82F00" w:rsidRPr="00BF3665">
        <w:rPr>
          <w:rFonts w:asciiTheme="minorHAnsi" w:eastAsia="Calibri" w:hAnsiTheme="minorHAnsi" w:cstheme="minorHAnsi"/>
          <w:lang w:val="en-GB" w:bidi="lo-LA"/>
        </w:rPr>
        <w:t>Kazakhstan</w:t>
      </w:r>
      <w:r w:rsidR="00003F34" w:rsidRPr="00BF3665">
        <w:rPr>
          <w:rFonts w:asciiTheme="minorHAnsi" w:eastAsia="Calibri" w:hAnsiTheme="minorHAnsi" w:cstheme="minorHAnsi"/>
          <w:lang w:val="en-GB" w:bidi="lo-LA"/>
        </w:rPr>
        <w:t xml:space="preserve"> in 2015 was </w:t>
      </w:r>
      <w:r w:rsidR="00406F03" w:rsidRPr="00BF3665">
        <w:rPr>
          <w:rFonts w:asciiTheme="minorHAnsi" w:eastAsia="Calibri" w:hAnsiTheme="minorHAnsi" w:cstheme="minorHAnsi"/>
          <w:lang w:val="en-GB" w:bidi="lo-LA"/>
        </w:rPr>
        <w:t>11,</w:t>
      </w:r>
      <w:r w:rsidR="001B5167">
        <w:rPr>
          <w:rFonts w:asciiTheme="minorHAnsi" w:eastAsia="Calibri" w:hAnsiTheme="minorHAnsi" w:cstheme="minorHAnsi"/>
          <w:lang w:val="en-GB" w:bidi="lo-LA"/>
        </w:rPr>
        <w:t>690</w:t>
      </w:r>
      <w:r w:rsidR="00003F34" w:rsidRPr="00BF3665">
        <w:rPr>
          <w:rFonts w:asciiTheme="minorHAnsi" w:eastAsia="Calibri" w:hAnsiTheme="minorHAnsi" w:cstheme="minorHAnsi"/>
          <w:lang w:val="en-GB" w:bidi="lo-LA"/>
        </w:rPr>
        <w:t xml:space="preserve">, </w:t>
      </w:r>
      <w:r w:rsidR="00406F03" w:rsidRPr="00BF3665">
        <w:rPr>
          <w:rFonts w:asciiTheme="minorHAnsi" w:eastAsia="Calibri" w:hAnsiTheme="minorHAnsi" w:cstheme="minorHAnsi"/>
          <w:lang w:val="en-GB" w:bidi="lo-LA"/>
        </w:rPr>
        <w:t xml:space="preserve">comprising </w:t>
      </w:r>
      <w:r w:rsidR="00003F34" w:rsidRPr="00BF3665">
        <w:rPr>
          <w:rFonts w:asciiTheme="minorHAnsi" w:eastAsia="Calibri" w:hAnsiTheme="minorHAnsi" w:cstheme="minorHAnsi"/>
          <w:lang w:val="en-GB" w:bidi="lo-LA"/>
        </w:rPr>
        <w:t>3</w:t>
      </w:r>
      <w:r w:rsidR="00AB4509" w:rsidRPr="00BF3665">
        <w:rPr>
          <w:rFonts w:asciiTheme="minorHAnsi" w:eastAsia="Calibri" w:hAnsiTheme="minorHAnsi" w:cstheme="minorHAnsi"/>
          <w:lang w:val="en-GB" w:bidi="lo-LA"/>
        </w:rPr>
        <w:t>,</w:t>
      </w:r>
      <w:r w:rsidR="00D552DC" w:rsidRPr="00BF3665">
        <w:rPr>
          <w:rFonts w:asciiTheme="minorHAnsi" w:eastAsia="Calibri" w:hAnsiTheme="minorHAnsi" w:cstheme="minorHAnsi"/>
          <w:lang w:val="en-GB" w:bidi="lo-LA"/>
        </w:rPr>
        <w:t>815</w:t>
      </w:r>
      <w:r w:rsidR="00406F03" w:rsidRPr="00BF3665">
        <w:rPr>
          <w:rFonts w:asciiTheme="minorHAnsi" w:eastAsia="Calibri" w:hAnsiTheme="minorHAnsi" w:cstheme="minorHAnsi"/>
          <w:lang w:val="en-GB" w:bidi="lo-LA"/>
        </w:rPr>
        <w:t xml:space="preserve"> </w:t>
      </w:r>
      <w:r w:rsidR="00D552DC" w:rsidRPr="00BF3665">
        <w:rPr>
          <w:rFonts w:asciiTheme="minorHAnsi" w:eastAsia="Calibri" w:hAnsiTheme="minorHAnsi" w:cstheme="minorHAnsi"/>
          <w:lang w:val="en-GB" w:bidi="lo-LA"/>
        </w:rPr>
        <w:t xml:space="preserve">in men and </w:t>
      </w:r>
      <w:r w:rsidR="00BF3665" w:rsidRPr="00BF3665">
        <w:rPr>
          <w:rFonts w:asciiTheme="minorHAnsi" w:eastAsia="Calibri" w:hAnsiTheme="minorHAnsi" w:cstheme="minorHAnsi"/>
          <w:lang w:val="en-GB" w:bidi="lo-LA"/>
        </w:rPr>
        <w:t>7875</w:t>
      </w:r>
      <w:r w:rsidR="00003F34" w:rsidRPr="00BF3665">
        <w:rPr>
          <w:rFonts w:asciiTheme="minorHAnsi" w:eastAsia="Calibri" w:hAnsiTheme="minorHAnsi" w:cstheme="minorHAnsi"/>
          <w:lang w:val="en-GB" w:bidi="lo-LA"/>
        </w:rPr>
        <w:t xml:space="preserve"> fractures</w:t>
      </w:r>
      <w:r w:rsidR="00BF3665" w:rsidRPr="00BF3665">
        <w:rPr>
          <w:rFonts w:asciiTheme="minorHAnsi" w:eastAsia="Calibri" w:hAnsiTheme="minorHAnsi" w:cstheme="minorHAnsi"/>
          <w:lang w:val="en-GB" w:bidi="lo-LA"/>
        </w:rPr>
        <w:t xml:space="preserve"> in women. </w:t>
      </w:r>
      <w:r w:rsidR="00406F03" w:rsidRPr="006146AB">
        <w:rPr>
          <w:rFonts w:asciiTheme="minorHAnsi" w:eastAsia="Calibri" w:hAnsiTheme="minorHAnsi" w:cstheme="minorHAnsi"/>
          <w:lang w:val="en-GB" w:bidi="lo-LA"/>
        </w:rPr>
        <w:t xml:space="preserve">The number of </w:t>
      </w:r>
      <w:r w:rsidR="00345024" w:rsidRPr="006146AB">
        <w:rPr>
          <w:rFonts w:asciiTheme="minorHAnsi" w:eastAsia="Calibri" w:hAnsiTheme="minorHAnsi" w:cstheme="minorHAnsi"/>
          <w:lang w:val="en-GB" w:bidi="lo-LA"/>
        </w:rPr>
        <w:t xml:space="preserve">hip </w:t>
      </w:r>
      <w:r w:rsidR="00406F03" w:rsidRPr="006146AB">
        <w:rPr>
          <w:rFonts w:asciiTheme="minorHAnsi" w:eastAsia="Calibri" w:hAnsiTheme="minorHAnsi" w:cstheme="minorHAnsi"/>
          <w:lang w:val="en-GB" w:bidi="lo-LA"/>
        </w:rPr>
        <w:t>fractures is</w:t>
      </w:r>
      <w:r w:rsidR="000C0EA4" w:rsidRPr="006146AB">
        <w:rPr>
          <w:rFonts w:asciiTheme="minorHAnsi" w:eastAsia="Calibri" w:hAnsiTheme="minorHAnsi" w:cstheme="minorHAnsi"/>
          <w:lang w:val="en-GB" w:bidi="lo-LA"/>
        </w:rPr>
        <w:t xml:space="preserve"> </w:t>
      </w:r>
      <w:r w:rsidR="00406F03" w:rsidRPr="006146AB">
        <w:rPr>
          <w:rFonts w:asciiTheme="minorHAnsi" w:eastAsia="Calibri" w:hAnsiTheme="minorHAnsi" w:cstheme="minorHAnsi"/>
          <w:lang w:val="en-GB" w:bidi="lo-LA"/>
        </w:rPr>
        <w:t>expected to in</w:t>
      </w:r>
      <w:r w:rsidR="000C0EA4" w:rsidRPr="006146AB">
        <w:rPr>
          <w:rFonts w:asciiTheme="minorHAnsi" w:eastAsia="Calibri" w:hAnsiTheme="minorHAnsi" w:cstheme="minorHAnsi"/>
          <w:lang w:val="en-GB" w:bidi="lo-LA"/>
        </w:rPr>
        <w:t xml:space="preserve">crease progressively </w:t>
      </w:r>
      <w:r w:rsidR="00546EAE" w:rsidRPr="006146AB">
        <w:rPr>
          <w:rFonts w:asciiTheme="minorHAnsi" w:eastAsia="Calibri" w:hAnsiTheme="minorHAnsi" w:cstheme="minorHAnsi"/>
          <w:lang w:val="en-GB" w:bidi="lo-LA"/>
        </w:rPr>
        <w:t>by</w:t>
      </w:r>
      <w:r w:rsidR="000C0EA4" w:rsidRPr="006146AB">
        <w:rPr>
          <w:rFonts w:asciiTheme="minorHAnsi" w:eastAsia="Calibri" w:hAnsiTheme="minorHAnsi" w:cstheme="minorHAnsi"/>
          <w:lang w:val="en-GB" w:bidi="lo-LA"/>
        </w:rPr>
        <w:t xml:space="preserve"> calendar year with an increase of </w:t>
      </w:r>
      <w:r w:rsidR="003A3785" w:rsidRPr="006146AB">
        <w:rPr>
          <w:rFonts w:asciiTheme="minorHAnsi" w:eastAsia="Calibri" w:hAnsiTheme="minorHAnsi" w:cstheme="minorHAnsi"/>
          <w:lang w:val="en-GB" w:bidi="lo-LA"/>
        </w:rPr>
        <w:t>1</w:t>
      </w:r>
      <w:r w:rsidR="00345024" w:rsidRPr="006146AB">
        <w:rPr>
          <w:rFonts w:asciiTheme="minorHAnsi" w:eastAsia="Calibri" w:hAnsiTheme="minorHAnsi" w:cstheme="minorHAnsi"/>
          <w:lang w:val="en-GB" w:bidi="lo-LA"/>
        </w:rPr>
        <w:t>40</w:t>
      </w:r>
      <w:r w:rsidR="000C0EA4" w:rsidRPr="006146AB">
        <w:rPr>
          <w:rFonts w:asciiTheme="minorHAnsi" w:eastAsia="Calibri" w:hAnsiTheme="minorHAnsi" w:cstheme="minorHAnsi"/>
          <w:lang w:val="en-GB" w:bidi="lo-LA"/>
        </w:rPr>
        <w:t>% by 2050</w:t>
      </w:r>
      <w:r w:rsidR="00751B8E" w:rsidRPr="006146AB">
        <w:rPr>
          <w:rFonts w:asciiTheme="minorHAnsi" w:eastAsia="Calibri" w:hAnsiTheme="minorHAnsi" w:cstheme="minorHAnsi"/>
          <w:lang w:val="en-GB" w:bidi="lo-LA"/>
        </w:rPr>
        <w:t xml:space="preserve"> (Table 3)</w:t>
      </w:r>
      <w:r w:rsidR="000C0EA4" w:rsidRPr="006146AB">
        <w:rPr>
          <w:rFonts w:asciiTheme="minorHAnsi" w:eastAsia="Calibri" w:hAnsiTheme="minorHAnsi" w:cstheme="minorHAnsi"/>
          <w:lang w:val="en-GB" w:bidi="lo-LA"/>
        </w:rPr>
        <w:t xml:space="preserve">.  The increase in hip fracture numbers </w:t>
      </w:r>
      <w:r w:rsidR="00C5587E">
        <w:rPr>
          <w:rFonts w:asciiTheme="minorHAnsi" w:eastAsia="Calibri" w:hAnsiTheme="minorHAnsi" w:cstheme="minorHAnsi"/>
          <w:lang w:val="en-GB" w:bidi="lo-LA"/>
        </w:rPr>
        <w:t>is</w:t>
      </w:r>
      <w:r w:rsidR="00C5587E" w:rsidRPr="006146AB">
        <w:rPr>
          <w:rFonts w:asciiTheme="minorHAnsi" w:eastAsia="Calibri" w:hAnsiTheme="minorHAnsi" w:cstheme="minorHAnsi"/>
          <w:lang w:val="en-GB" w:bidi="lo-LA"/>
        </w:rPr>
        <w:t xml:space="preserve"> </w:t>
      </w:r>
      <w:r w:rsidR="000C0EA4" w:rsidRPr="006146AB">
        <w:rPr>
          <w:rFonts w:asciiTheme="minorHAnsi" w:eastAsia="Calibri" w:hAnsiTheme="minorHAnsi" w:cstheme="minorHAnsi"/>
          <w:lang w:val="en-GB" w:bidi="lo-LA"/>
        </w:rPr>
        <w:t>particularly great in women (</w:t>
      </w:r>
      <w:r w:rsidR="00004A57" w:rsidRPr="006146AB">
        <w:rPr>
          <w:rFonts w:asciiTheme="minorHAnsi" w:eastAsia="Calibri" w:hAnsiTheme="minorHAnsi" w:cstheme="minorHAnsi"/>
          <w:lang w:val="en-GB" w:bidi="lo-LA"/>
        </w:rPr>
        <w:t>153</w:t>
      </w:r>
      <w:r w:rsidR="000C0EA4" w:rsidRPr="006146AB">
        <w:rPr>
          <w:rFonts w:asciiTheme="minorHAnsi" w:eastAsia="Calibri" w:hAnsiTheme="minorHAnsi" w:cstheme="minorHAnsi"/>
          <w:lang w:val="en-GB" w:bidi="lo-LA"/>
        </w:rPr>
        <w:t>%</w:t>
      </w:r>
      <w:r w:rsidR="00004A57" w:rsidRPr="006146AB">
        <w:rPr>
          <w:rFonts w:asciiTheme="minorHAnsi" w:eastAsia="Calibri" w:hAnsiTheme="minorHAnsi" w:cstheme="minorHAnsi"/>
          <w:lang w:val="en-GB" w:bidi="lo-LA"/>
        </w:rPr>
        <w:t xml:space="preserve"> in women and </w:t>
      </w:r>
      <w:r w:rsidR="006146AB" w:rsidRPr="006146AB">
        <w:rPr>
          <w:rFonts w:asciiTheme="minorHAnsi" w:eastAsia="Calibri" w:hAnsiTheme="minorHAnsi" w:cstheme="minorHAnsi"/>
          <w:lang w:val="en-GB" w:bidi="lo-LA"/>
        </w:rPr>
        <w:t>112% in men</w:t>
      </w:r>
      <w:r w:rsidR="000C0EA4" w:rsidRPr="006146AB">
        <w:rPr>
          <w:rFonts w:asciiTheme="minorHAnsi" w:eastAsia="Calibri" w:hAnsiTheme="minorHAnsi" w:cstheme="minorHAnsi"/>
          <w:lang w:val="en-GB" w:bidi="lo-LA"/>
        </w:rPr>
        <w:t>) due to the high age dependency of hip fracture incidence.</w:t>
      </w:r>
    </w:p>
    <w:p w14:paraId="6D02B9AB" w14:textId="77777777" w:rsidR="00710E1B" w:rsidRPr="00A81361" w:rsidRDefault="00710E1B" w:rsidP="0030661D">
      <w:pPr>
        <w:spacing w:line="276" w:lineRule="auto"/>
        <w:ind w:left="567" w:right="1275"/>
        <w:rPr>
          <w:rFonts w:asciiTheme="minorHAnsi" w:eastAsia="Calibri" w:hAnsiTheme="minorHAnsi" w:cstheme="minorHAnsi"/>
          <w:highlight w:val="yellow"/>
          <w:lang w:val="en-GB" w:bidi="lo-LA"/>
        </w:rPr>
      </w:pPr>
    </w:p>
    <w:p w14:paraId="1DC1F0D8" w14:textId="183D4A5F" w:rsidR="00A61146" w:rsidRPr="006F74FD" w:rsidRDefault="00A61146" w:rsidP="007A247A">
      <w:pPr>
        <w:ind w:left="567" w:right="1700"/>
        <w:rPr>
          <w:rFonts w:ascii="Calibri" w:eastAsia="Calibri" w:hAnsi="Calibri"/>
          <w:sz w:val="22"/>
          <w:szCs w:val="22"/>
          <w:lang w:val="en-GB" w:eastAsia="en-US"/>
        </w:rPr>
      </w:pPr>
      <w:r w:rsidRPr="006F74FD">
        <w:rPr>
          <w:rFonts w:ascii="Calibri" w:eastAsia="Calibri" w:hAnsi="Calibri"/>
          <w:b/>
          <w:sz w:val="22"/>
          <w:szCs w:val="22"/>
          <w:lang w:val="en-GB" w:eastAsia="en-US"/>
        </w:rPr>
        <w:t>Table 3.</w:t>
      </w:r>
      <w:r w:rsidRPr="006F74FD">
        <w:rPr>
          <w:rFonts w:ascii="Calibri" w:eastAsia="Calibri" w:hAnsi="Calibri"/>
          <w:sz w:val="22"/>
          <w:szCs w:val="22"/>
          <w:lang w:val="en-GB" w:eastAsia="en-US"/>
        </w:rPr>
        <w:t xml:space="preserve"> Estimated total number of hip fractures </w:t>
      </w:r>
      <w:r w:rsidR="000D3FE1" w:rsidRPr="006F74FD">
        <w:rPr>
          <w:rFonts w:ascii="Calibri" w:eastAsia="Calibri" w:hAnsi="Calibri"/>
          <w:sz w:val="22"/>
          <w:szCs w:val="22"/>
          <w:lang w:val="en-GB" w:eastAsia="en-US"/>
        </w:rPr>
        <w:t xml:space="preserve">(ICD-10 codes S72.0, S72.1, S72.2) </w:t>
      </w:r>
      <w:r w:rsidRPr="006F74FD">
        <w:rPr>
          <w:rFonts w:ascii="Calibri" w:eastAsia="Calibri" w:hAnsi="Calibri"/>
          <w:sz w:val="22"/>
          <w:szCs w:val="22"/>
          <w:lang w:val="en-GB" w:eastAsia="en-US"/>
        </w:rPr>
        <w:t xml:space="preserve">in men and in women age 50 years and older in 2015 projected up to 2050 in Kazakhstan. </w:t>
      </w:r>
    </w:p>
    <w:tbl>
      <w:tblPr>
        <w:tblStyle w:val="TableGrid2"/>
        <w:tblW w:w="0" w:type="auto"/>
        <w:tblInd w:w="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48"/>
        <w:gridCol w:w="1191"/>
        <w:gridCol w:w="1191"/>
        <w:gridCol w:w="1191"/>
        <w:gridCol w:w="1191"/>
      </w:tblGrid>
      <w:tr w:rsidR="00A61146" w:rsidRPr="00026E23" w14:paraId="0AC39C12" w14:textId="77777777" w:rsidTr="00D947B1">
        <w:tc>
          <w:tcPr>
            <w:tcW w:w="1980" w:type="dxa"/>
          </w:tcPr>
          <w:p w14:paraId="3441628A" w14:textId="77777777" w:rsidR="00A61146" w:rsidRPr="00EE7C66" w:rsidRDefault="00A61146" w:rsidP="007A2E9B">
            <w:pPr>
              <w:spacing w:line="360" w:lineRule="auto"/>
              <w:rPr>
                <w:rFonts w:ascii="Calibri" w:eastAsia="Calibri" w:hAnsi="Calibri"/>
                <w:sz w:val="22"/>
                <w:szCs w:val="22"/>
                <w:lang w:eastAsia="en-US"/>
              </w:rPr>
            </w:pPr>
          </w:p>
        </w:tc>
        <w:tc>
          <w:tcPr>
            <w:tcW w:w="1048" w:type="dxa"/>
            <w:tcBorders>
              <w:top w:val="single" w:sz="4" w:space="0" w:color="auto"/>
              <w:bottom w:val="single" w:sz="4" w:space="0" w:color="auto"/>
            </w:tcBorders>
            <w:hideMark/>
          </w:tcPr>
          <w:p w14:paraId="4B6E1A54" w14:textId="77777777" w:rsidR="00A61146" w:rsidRPr="00EE7C66" w:rsidRDefault="00A61146" w:rsidP="007A2E9B">
            <w:pPr>
              <w:spacing w:line="360" w:lineRule="auto"/>
              <w:jc w:val="center"/>
              <w:rPr>
                <w:rFonts w:ascii="Calibri" w:eastAsia="Calibri" w:hAnsi="Calibri"/>
                <w:sz w:val="22"/>
                <w:szCs w:val="22"/>
                <w:lang w:eastAsia="en-US"/>
              </w:rPr>
            </w:pPr>
            <w:r w:rsidRPr="00EE7C66">
              <w:rPr>
                <w:rFonts w:ascii="Calibri" w:eastAsia="Calibri" w:hAnsi="Calibri"/>
                <w:sz w:val="22"/>
                <w:szCs w:val="22"/>
                <w:lang w:eastAsia="en-US"/>
              </w:rPr>
              <w:t>2015</w:t>
            </w:r>
          </w:p>
        </w:tc>
        <w:tc>
          <w:tcPr>
            <w:tcW w:w="1191" w:type="dxa"/>
            <w:tcBorders>
              <w:top w:val="single" w:sz="4" w:space="0" w:color="auto"/>
              <w:bottom w:val="single" w:sz="4" w:space="0" w:color="auto"/>
            </w:tcBorders>
            <w:hideMark/>
          </w:tcPr>
          <w:p w14:paraId="59F4EC52" w14:textId="77777777" w:rsidR="00A61146" w:rsidRPr="00EE7C66" w:rsidRDefault="00A61146" w:rsidP="007A2E9B">
            <w:pPr>
              <w:spacing w:line="360" w:lineRule="auto"/>
              <w:jc w:val="center"/>
              <w:rPr>
                <w:rFonts w:ascii="Calibri" w:eastAsia="Calibri" w:hAnsi="Calibri"/>
                <w:sz w:val="22"/>
                <w:szCs w:val="22"/>
                <w:lang w:eastAsia="en-US"/>
              </w:rPr>
            </w:pPr>
            <w:r w:rsidRPr="00EE7C66">
              <w:rPr>
                <w:rFonts w:ascii="Calibri" w:eastAsia="Calibri" w:hAnsi="Calibri"/>
                <w:sz w:val="22"/>
                <w:szCs w:val="22"/>
                <w:lang w:eastAsia="en-US"/>
              </w:rPr>
              <w:t>2020</w:t>
            </w:r>
          </w:p>
        </w:tc>
        <w:tc>
          <w:tcPr>
            <w:tcW w:w="1191" w:type="dxa"/>
            <w:tcBorders>
              <w:top w:val="single" w:sz="4" w:space="0" w:color="auto"/>
              <w:bottom w:val="single" w:sz="4" w:space="0" w:color="auto"/>
            </w:tcBorders>
            <w:hideMark/>
          </w:tcPr>
          <w:p w14:paraId="241ADD88" w14:textId="77777777" w:rsidR="00A61146" w:rsidRPr="00EE7C66" w:rsidRDefault="00A61146" w:rsidP="007A2E9B">
            <w:pPr>
              <w:spacing w:line="360" w:lineRule="auto"/>
              <w:jc w:val="center"/>
              <w:rPr>
                <w:rFonts w:ascii="Calibri" w:eastAsia="Calibri" w:hAnsi="Calibri"/>
                <w:sz w:val="22"/>
                <w:szCs w:val="22"/>
                <w:lang w:eastAsia="en-US"/>
              </w:rPr>
            </w:pPr>
            <w:r w:rsidRPr="00EE7C66">
              <w:rPr>
                <w:rFonts w:ascii="Calibri" w:eastAsia="Calibri" w:hAnsi="Calibri"/>
                <w:sz w:val="22"/>
                <w:szCs w:val="22"/>
                <w:lang w:eastAsia="en-US"/>
              </w:rPr>
              <w:t>2030</w:t>
            </w:r>
          </w:p>
        </w:tc>
        <w:tc>
          <w:tcPr>
            <w:tcW w:w="1191" w:type="dxa"/>
            <w:tcBorders>
              <w:top w:val="single" w:sz="4" w:space="0" w:color="auto"/>
              <w:bottom w:val="single" w:sz="4" w:space="0" w:color="auto"/>
            </w:tcBorders>
            <w:hideMark/>
          </w:tcPr>
          <w:p w14:paraId="35B178C8" w14:textId="77777777" w:rsidR="00A61146" w:rsidRPr="00EE7C66" w:rsidRDefault="00A61146" w:rsidP="007A2E9B">
            <w:pPr>
              <w:spacing w:line="360" w:lineRule="auto"/>
              <w:jc w:val="center"/>
              <w:rPr>
                <w:rFonts w:ascii="Calibri" w:eastAsia="Calibri" w:hAnsi="Calibri"/>
                <w:sz w:val="22"/>
                <w:szCs w:val="22"/>
                <w:lang w:eastAsia="en-US"/>
              </w:rPr>
            </w:pPr>
            <w:r w:rsidRPr="00EE7C66">
              <w:rPr>
                <w:rFonts w:ascii="Calibri" w:eastAsia="Calibri" w:hAnsi="Calibri"/>
                <w:sz w:val="22"/>
                <w:szCs w:val="22"/>
                <w:lang w:eastAsia="en-US"/>
              </w:rPr>
              <w:t>2040</w:t>
            </w:r>
          </w:p>
        </w:tc>
        <w:tc>
          <w:tcPr>
            <w:tcW w:w="1191" w:type="dxa"/>
            <w:tcBorders>
              <w:top w:val="single" w:sz="4" w:space="0" w:color="auto"/>
              <w:bottom w:val="single" w:sz="4" w:space="0" w:color="auto"/>
            </w:tcBorders>
            <w:hideMark/>
          </w:tcPr>
          <w:p w14:paraId="74736A58" w14:textId="77777777" w:rsidR="00A61146" w:rsidRPr="00B2606F" w:rsidRDefault="00A61146" w:rsidP="007A2E9B">
            <w:pPr>
              <w:spacing w:line="360" w:lineRule="auto"/>
              <w:jc w:val="center"/>
              <w:rPr>
                <w:rFonts w:ascii="Calibri" w:eastAsia="Calibri" w:hAnsi="Calibri"/>
                <w:sz w:val="22"/>
                <w:szCs w:val="22"/>
                <w:lang w:eastAsia="en-US"/>
              </w:rPr>
            </w:pPr>
            <w:r w:rsidRPr="00B2606F">
              <w:rPr>
                <w:rFonts w:ascii="Calibri" w:eastAsia="Calibri" w:hAnsi="Calibri"/>
                <w:sz w:val="22"/>
                <w:szCs w:val="22"/>
                <w:lang w:eastAsia="en-US"/>
              </w:rPr>
              <w:t>2050</w:t>
            </w:r>
          </w:p>
        </w:tc>
      </w:tr>
      <w:tr w:rsidR="00A61146" w:rsidRPr="00026E23" w14:paraId="10440F49" w14:textId="77777777" w:rsidTr="00D947B1">
        <w:tc>
          <w:tcPr>
            <w:tcW w:w="1980" w:type="dxa"/>
            <w:hideMark/>
          </w:tcPr>
          <w:p w14:paraId="0A52FB42" w14:textId="77777777" w:rsidR="00A61146" w:rsidRPr="00EE7C66" w:rsidRDefault="00A61146" w:rsidP="007A2E9B">
            <w:pPr>
              <w:spacing w:line="360" w:lineRule="auto"/>
              <w:rPr>
                <w:rFonts w:ascii="Calibri" w:eastAsia="Calibri" w:hAnsi="Calibri"/>
                <w:sz w:val="22"/>
                <w:szCs w:val="22"/>
                <w:lang w:eastAsia="en-US"/>
              </w:rPr>
            </w:pPr>
            <w:r w:rsidRPr="00EE7C66">
              <w:rPr>
                <w:rFonts w:ascii="Calibri" w:eastAsia="Calibri" w:hAnsi="Calibri"/>
                <w:sz w:val="22"/>
                <w:szCs w:val="22"/>
                <w:lang w:eastAsia="en-US"/>
              </w:rPr>
              <w:t>Men</w:t>
            </w:r>
          </w:p>
        </w:tc>
        <w:tc>
          <w:tcPr>
            <w:tcW w:w="1048" w:type="dxa"/>
            <w:tcBorders>
              <w:top w:val="single" w:sz="4" w:space="0" w:color="auto"/>
            </w:tcBorders>
            <w:hideMark/>
          </w:tcPr>
          <w:p w14:paraId="2C7DD690" w14:textId="77777777" w:rsidR="00A61146" w:rsidRPr="00360352" w:rsidRDefault="00A61146" w:rsidP="007A2E9B">
            <w:pPr>
              <w:spacing w:line="360" w:lineRule="auto"/>
              <w:jc w:val="center"/>
              <w:rPr>
                <w:rFonts w:ascii="Calibri" w:eastAsia="Calibri" w:hAnsi="Calibri"/>
                <w:sz w:val="22"/>
                <w:szCs w:val="22"/>
                <w:lang w:eastAsia="en-US"/>
              </w:rPr>
            </w:pPr>
            <w:r w:rsidRPr="00360352">
              <w:rPr>
                <w:rFonts w:ascii="Calibri" w:eastAsia="Calibri" w:hAnsi="Calibri"/>
                <w:sz w:val="22"/>
                <w:szCs w:val="22"/>
                <w:lang w:eastAsia="en-US"/>
              </w:rPr>
              <w:t>3815</w:t>
            </w:r>
          </w:p>
        </w:tc>
        <w:tc>
          <w:tcPr>
            <w:tcW w:w="1191" w:type="dxa"/>
            <w:tcBorders>
              <w:top w:val="single" w:sz="4" w:space="0" w:color="auto"/>
            </w:tcBorders>
            <w:hideMark/>
          </w:tcPr>
          <w:p w14:paraId="729D2601" w14:textId="77777777" w:rsidR="00A61146" w:rsidRPr="00360352" w:rsidRDefault="00A61146" w:rsidP="007A2E9B">
            <w:pPr>
              <w:spacing w:line="360" w:lineRule="auto"/>
              <w:jc w:val="center"/>
              <w:rPr>
                <w:rFonts w:ascii="Calibri" w:eastAsia="Calibri" w:hAnsi="Calibri"/>
                <w:sz w:val="22"/>
                <w:szCs w:val="22"/>
                <w:lang w:eastAsia="en-US"/>
              </w:rPr>
            </w:pPr>
            <w:r w:rsidRPr="00360352">
              <w:rPr>
                <w:rFonts w:ascii="Calibri" w:eastAsia="Calibri" w:hAnsi="Calibri"/>
                <w:sz w:val="22"/>
                <w:szCs w:val="22"/>
                <w:lang w:eastAsia="en-US"/>
              </w:rPr>
              <w:t>4298</w:t>
            </w:r>
          </w:p>
        </w:tc>
        <w:tc>
          <w:tcPr>
            <w:tcW w:w="1191" w:type="dxa"/>
            <w:tcBorders>
              <w:top w:val="single" w:sz="4" w:space="0" w:color="auto"/>
            </w:tcBorders>
            <w:hideMark/>
          </w:tcPr>
          <w:p w14:paraId="11C7F073" w14:textId="77777777" w:rsidR="00A61146" w:rsidRPr="00360352" w:rsidRDefault="00A61146" w:rsidP="007A2E9B">
            <w:pPr>
              <w:spacing w:line="360" w:lineRule="auto"/>
              <w:jc w:val="center"/>
              <w:rPr>
                <w:rFonts w:ascii="Calibri" w:eastAsia="Calibri" w:hAnsi="Calibri"/>
                <w:sz w:val="22"/>
                <w:szCs w:val="22"/>
                <w:lang w:eastAsia="en-US"/>
              </w:rPr>
            </w:pPr>
            <w:r w:rsidRPr="00360352">
              <w:rPr>
                <w:rFonts w:ascii="Calibri" w:eastAsia="Calibri" w:hAnsi="Calibri"/>
                <w:sz w:val="22"/>
                <w:szCs w:val="22"/>
                <w:lang w:eastAsia="en-US"/>
              </w:rPr>
              <w:t>5234</w:t>
            </w:r>
          </w:p>
        </w:tc>
        <w:tc>
          <w:tcPr>
            <w:tcW w:w="1191" w:type="dxa"/>
            <w:tcBorders>
              <w:top w:val="single" w:sz="4" w:space="0" w:color="auto"/>
            </w:tcBorders>
            <w:hideMark/>
          </w:tcPr>
          <w:p w14:paraId="3E601776" w14:textId="77777777" w:rsidR="00A61146" w:rsidRPr="00360352" w:rsidRDefault="00A61146" w:rsidP="007A2E9B">
            <w:pPr>
              <w:spacing w:line="360" w:lineRule="auto"/>
              <w:jc w:val="center"/>
              <w:rPr>
                <w:rFonts w:ascii="Calibri" w:eastAsia="Calibri" w:hAnsi="Calibri"/>
                <w:sz w:val="22"/>
                <w:szCs w:val="22"/>
                <w:lang w:eastAsia="en-US"/>
              </w:rPr>
            </w:pPr>
            <w:r w:rsidRPr="00360352">
              <w:rPr>
                <w:rFonts w:ascii="Calibri" w:eastAsia="Calibri" w:hAnsi="Calibri"/>
                <w:sz w:val="22"/>
                <w:szCs w:val="22"/>
                <w:lang w:eastAsia="en-US"/>
              </w:rPr>
              <w:t>6645</w:t>
            </w:r>
          </w:p>
        </w:tc>
        <w:tc>
          <w:tcPr>
            <w:tcW w:w="1191" w:type="dxa"/>
            <w:tcBorders>
              <w:top w:val="single" w:sz="4" w:space="0" w:color="auto"/>
            </w:tcBorders>
            <w:hideMark/>
          </w:tcPr>
          <w:p w14:paraId="0770DFBD" w14:textId="77777777" w:rsidR="00A61146" w:rsidRPr="00360352" w:rsidRDefault="00A61146" w:rsidP="007A2E9B">
            <w:pPr>
              <w:spacing w:line="360" w:lineRule="auto"/>
              <w:jc w:val="center"/>
              <w:rPr>
                <w:rFonts w:ascii="Calibri" w:eastAsia="Calibri" w:hAnsi="Calibri"/>
                <w:sz w:val="22"/>
                <w:szCs w:val="22"/>
                <w:lang w:eastAsia="en-US"/>
              </w:rPr>
            </w:pPr>
            <w:r w:rsidRPr="00360352">
              <w:rPr>
                <w:rFonts w:ascii="Calibri" w:eastAsia="Calibri" w:hAnsi="Calibri"/>
                <w:sz w:val="22"/>
                <w:szCs w:val="22"/>
                <w:lang w:eastAsia="en-US"/>
              </w:rPr>
              <w:t>8110</w:t>
            </w:r>
          </w:p>
        </w:tc>
      </w:tr>
      <w:tr w:rsidR="00A61146" w:rsidRPr="00026E23" w14:paraId="65DC1DF8" w14:textId="77777777" w:rsidTr="00D947B1">
        <w:tc>
          <w:tcPr>
            <w:tcW w:w="1980" w:type="dxa"/>
            <w:hideMark/>
          </w:tcPr>
          <w:p w14:paraId="1E0B0AC9" w14:textId="77777777" w:rsidR="00A61146" w:rsidRPr="00EE7C66" w:rsidRDefault="00A61146" w:rsidP="007A2E9B">
            <w:pPr>
              <w:spacing w:line="360" w:lineRule="auto"/>
              <w:rPr>
                <w:rFonts w:ascii="Calibri" w:eastAsia="Calibri" w:hAnsi="Calibri"/>
                <w:sz w:val="22"/>
                <w:szCs w:val="22"/>
                <w:lang w:eastAsia="en-US"/>
              </w:rPr>
            </w:pPr>
            <w:r w:rsidRPr="00EE7C66">
              <w:rPr>
                <w:rFonts w:ascii="Calibri" w:eastAsia="Calibri" w:hAnsi="Calibri"/>
                <w:sz w:val="22"/>
                <w:szCs w:val="22"/>
                <w:lang w:eastAsia="en-US"/>
              </w:rPr>
              <w:t>Women</w:t>
            </w:r>
          </w:p>
        </w:tc>
        <w:tc>
          <w:tcPr>
            <w:tcW w:w="1048" w:type="dxa"/>
            <w:hideMark/>
          </w:tcPr>
          <w:p w14:paraId="28A97B64" w14:textId="77777777" w:rsidR="00A61146" w:rsidRPr="00360352" w:rsidRDefault="00A61146" w:rsidP="007A2E9B">
            <w:pPr>
              <w:spacing w:line="360" w:lineRule="auto"/>
              <w:jc w:val="center"/>
              <w:rPr>
                <w:rFonts w:ascii="Calibri" w:eastAsia="Calibri" w:hAnsi="Calibri"/>
                <w:sz w:val="22"/>
                <w:szCs w:val="22"/>
                <w:lang w:eastAsia="en-US"/>
              </w:rPr>
            </w:pPr>
            <w:r w:rsidRPr="00360352">
              <w:rPr>
                <w:rFonts w:ascii="Calibri" w:eastAsia="Calibri" w:hAnsi="Calibri"/>
                <w:sz w:val="22"/>
                <w:szCs w:val="22"/>
                <w:lang w:eastAsia="en-US"/>
              </w:rPr>
              <w:t>7875</w:t>
            </w:r>
          </w:p>
        </w:tc>
        <w:tc>
          <w:tcPr>
            <w:tcW w:w="1191" w:type="dxa"/>
            <w:hideMark/>
          </w:tcPr>
          <w:p w14:paraId="08EF71EA" w14:textId="77777777" w:rsidR="00A61146" w:rsidRPr="00360352" w:rsidRDefault="00A61146" w:rsidP="007A2E9B">
            <w:pPr>
              <w:spacing w:line="360" w:lineRule="auto"/>
              <w:jc w:val="center"/>
              <w:rPr>
                <w:rFonts w:ascii="Calibri" w:eastAsia="Calibri" w:hAnsi="Calibri"/>
                <w:sz w:val="22"/>
                <w:szCs w:val="22"/>
                <w:lang w:eastAsia="en-US"/>
              </w:rPr>
            </w:pPr>
            <w:r w:rsidRPr="00360352">
              <w:rPr>
                <w:rFonts w:ascii="Calibri" w:eastAsia="Calibri" w:hAnsi="Calibri"/>
                <w:sz w:val="22"/>
                <w:szCs w:val="22"/>
                <w:lang w:eastAsia="en-US"/>
              </w:rPr>
              <w:t>8653</w:t>
            </w:r>
          </w:p>
        </w:tc>
        <w:tc>
          <w:tcPr>
            <w:tcW w:w="1191" w:type="dxa"/>
            <w:hideMark/>
          </w:tcPr>
          <w:p w14:paraId="64F1D587" w14:textId="77777777" w:rsidR="00A61146" w:rsidRPr="00360352" w:rsidRDefault="00A61146" w:rsidP="007A2E9B">
            <w:pPr>
              <w:spacing w:line="360" w:lineRule="auto"/>
              <w:jc w:val="center"/>
              <w:rPr>
                <w:rFonts w:ascii="Calibri" w:eastAsia="Calibri" w:hAnsi="Calibri"/>
                <w:sz w:val="22"/>
                <w:szCs w:val="22"/>
                <w:lang w:eastAsia="en-US"/>
              </w:rPr>
            </w:pPr>
            <w:r w:rsidRPr="00360352">
              <w:rPr>
                <w:rFonts w:ascii="Calibri" w:eastAsia="Calibri" w:hAnsi="Calibri"/>
                <w:sz w:val="22"/>
                <w:szCs w:val="22"/>
                <w:lang w:eastAsia="en-US"/>
              </w:rPr>
              <w:t>11293</w:t>
            </w:r>
          </w:p>
        </w:tc>
        <w:tc>
          <w:tcPr>
            <w:tcW w:w="1191" w:type="dxa"/>
            <w:hideMark/>
          </w:tcPr>
          <w:p w14:paraId="2C998CBD" w14:textId="77777777" w:rsidR="00A61146" w:rsidRPr="00360352" w:rsidRDefault="00A61146" w:rsidP="007A2E9B">
            <w:pPr>
              <w:spacing w:line="360" w:lineRule="auto"/>
              <w:jc w:val="center"/>
              <w:rPr>
                <w:rFonts w:ascii="Calibri" w:eastAsia="Calibri" w:hAnsi="Calibri"/>
                <w:sz w:val="22"/>
                <w:szCs w:val="22"/>
                <w:lang w:eastAsia="en-US"/>
              </w:rPr>
            </w:pPr>
            <w:r w:rsidRPr="00360352">
              <w:rPr>
                <w:rFonts w:ascii="Calibri" w:eastAsia="Calibri" w:hAnsi="Calibri"/>
                <w:sz w:val="22"/>
                <w:szCs w:val="22"/>
                <w:lang w:eastAsia="en-US"/>
              </w:rPr>
              <w:t>15837</w:t>
            </w:r>
          </w:p>
        </w:tc>
        <w:tc>
          <w:tcPr>
            <w:tcW w:w="1191" w:type="dxa"/>
            <w:hideMark/>
          </w:tcPr>
          <w:p w14:paraId="19B8E955" w14:textId="77777777" w:rsidR="00A61146" w:rsidRPr="00360352" w:rsidRDefault="00A61146" w:rsidP="007A2E9B">
            <w:pPr>
              <w:spacing w:line="360" w:lineRule="auto"/>
              <w:jc w:val="center"/>
              <w:rPr>
                <w:rFonts w:ascii="Calibri" w:eastAsia="Calibri" w:hAnsi="Calibri"/>
                <w:sz w:val="22"/>
                <w:szCs w:val="22"/>
                <w:lang w:eastAsia="en-US"/>
              </w:rPr>
            </w:pPr>
            <w:r w:rsidRPr="00360352">
              <w:rPr>
                <w:rFonts w:ascii="Calibri" w:eastAsia="Calibri" w:hAnsi="Calibri"/>
                <w:sz w:val="22"/>
                <w:szCs w:val="22"/>
                <w:lang w:eastAsia="en-US"/>
              </w:rPr>
              <w:t>19938</w:t>
            </w:r>
          </w:p>
        </w:tc>
      </w:tr>
      <w:tr w:rsidR="00A61146" w:rsidRPr="00026E23" w14:paraId="181FB108" w14:textId="77777777" w:rsidTr="00D947B1">
        <w:tc>
          <w:tcPr>
            <w:tcW w:w="1980" w:type="dxa"/>
          </w:tcPr>
          <w:p w14:paraId="4876A6DC" w14:textId="77777777" w:rsidR="00A61146" w:rsidRPr="00EE7C66" w:rsidRDefault="00A61146" w:rsidP="007A2E9B">
            <w:pPr>
              <w:spacing w:line="360" w:lineRule="auto"/>
              <w:rPr>
                <w:rFonts w:ascii="Calibri" w:eastAsia="Calibri" w:hAnsi="Calibri"/>
                <w:sz w:val="22"/>
                <w:szCs w:val="22"/>
                <w:lang w:eastAsia="en-US"/>
              </w:rPr>
            </w:pPr>
            <w:r>
              <w:rPr>
                <w:rFonts w:ascii="Calibri" w:eastAsia="Calibri" w:hAnsi="Calibri"/>
                <w:sz w:val="22"/>
                <w:szCs w:val="22"/>
                <w:lang w:eastAsia="en-US"/>
              </w:rPr>
              <w:t>Total</w:t>
            </w:r>
          </w:p>
        </w:tc>
        <w:tc>
          <w:tcPr>
            <w:tcW w:w="1048" w:type="dxa"/>
          </w:tcPr>
          <w:p w14:paraId="0AEC11C1" w14:textId="77777777" w:rsidR="00A61146" w:rsidRPr="00360352" w:rsidRDefault="00A61146" w:rsidP="007A2E9B">
            <w:pPr>
              <w:spacing w:line="360" w:lineRule="auto"/>
              <w:jc w:val="center"/>
              <w:rPr>
                <w:rFonts w:ascii="Calibri" w:eastAsia="Calibri" w:hAnsi="Calibri"/>
                <w:sz w:val="22"/>
                <w:szCs w:val="22"/>
                <w:lang w:eastAsia="en-US"/>
              </w:rPr>
            </w:pPr>
            <w:r>
              <w:rPr>
                <w:rFonts w:ascii="Calibri" w:eastAsia="Calibri" w:hAnsi="Calibri"/>
                <w:sz w:val="22"/>
                <w:szCs w:val="22"/>
                <w:lang w:eastAsia="en-US"/>
              </w:rPr>
              <w:fldChar w:fldCharType="begin"/>
            </w:r>
            <w:r>
              <w:rPr>
                <w:rFonts w:ascii="Calibri" w:eastAsia="Calibri" w:hAnsi="Calibri"/>
                <w:sz w:val="22"/>
                <w:szCs w:val="22"/>
                <w:lang w:eastAsia="en-US"/>
              </w:rPr>
              <w:instrText xml:space="preserve"> =SUM(ABOVE) </w:instrText>
            </w:r>
            <w:r>
              <w:rPr>
                <w:rFonts w:ascii="Calibri" w:eastAsia="Calibri" w:hAnsi="Calibri"/>
                <w:sz w:val="22"/>
                <w:szCs w:val="22"/>
                <w:lang w:eastAsia="en-US"/>
              </w:rPr>
              <w:fldChar w:fldCharType="separate"/>
            </w:r>
            <w:r>
              <w:rPr>
                <w:rFonts w:ascii="Calibri" w:eastAsia="Calibri" w:hAnsi="Calibri"/>
                <w:noProof/>
                <w:sz w:val="22"/>
                <w:szCs w:val="22"/>
                <w:lang w:eastAsia="en-US"/>
              </w:rPr>
              <w:t>11690</w:t>
            </w:r>
            <w:r>
              <w:rPr>
                <w:rFonts w:ascii="Calibri" w:eastAsia="Calibri" w:hAnsi="Calibri"/>
                <w:sz w:val="22"/>
                <w:szCs w:val="22"/>
                <w:lang w:eastAsia="en-US"/>
              </w:rPr>
              <w:fldChar w:fldCharType="end"/>
            </w:r>
          </w:p>
        </w:tc>
        <w:tc>
          <w:tcPr>
            <w:tcW w:w="1191" w:type="dxa"/>
          </w:tcPr>
          <w:p w14:paraId="1D71C5B3" w14:textId="77777777" w:rsidR="00A61146" w:rsidRPr="00360352" w:rsidRDefault="00A61146" w:rsidP="007A2E9B">
            <w:pPr>
              <w:spacing w:line="360" w:lineRule="auto"/>
              <w:jc w:val="center"/>
              <w:rPr>
                <w:rFonts w:ascii="Calibri" w:eastAsia="Calibri" w:hAnsi="Calibri"/>
                <w:sz w:val="22"/>
                <w:szCs w:val="22"/>
                <w:lang w:eastAsia="en-US"/>
              </w:rPr>
            </w:pPr>
            <w:r>
              <w:rPr>
                <w:rFonts w:ascii="Calibri" w:eastAsia="Calibri" w:hAnsi="Calibri"/>
                <w:sz w:val="22"/>
                <w:szCs w:val="22"/>
                <w:lang w:eastAsia="en-US"/>
              </w:rPr>
              <w:fldChar w:fldCharType="begin"/>
            </w:r>
            <w:r>
              <w:rPr>
                <w:rFonts w:ascii="Calibri" w:eastAsia="Calibri" w:hAnsi="Calibri"/>
                <w:sz w:val="22"/>
                <w:szCs w:val="22"/>
                <w:lang w:eastAsia="en-US"/>
              </w:rPr>
              <w:instrText xml:space="preserve"> =SUM(ABOVE) </w:instrText>
            </w:r>
            <w:r>
              <w:rPr>
                <w:rFonts w:ascii="Calibri" w:eastAsia="Calibri" w:hAnsi="Calibri"/>
                <w:sz w:val="22"/>
                <w:szCs w:val="22"/>
                <w:lang w:eastAsia="en-US"/>
              </w:rPr>
              <w:fldChar w:fldCharType="separate"/>
            </w:r>
            <w:r>
              <w:rPr>
                <w:rFonts w:ascii="Calibri" w:eastAsia="Calibri" w:hAnsi="Calibri"/>
                <w:noProof/>
                <w:sz w:val="22"/>
                <w:szCs w:val="22"/>
                <w:lang w:eastAsia="en-US"/>
              </w:rPr>
              <w:t>12951</w:t>
            </w:r>
            <w:r>
              <w:rPr>
                <w:rFonts w:ascii="Calibri" w:eastAsia="Calibri" w:hAnsi="Calibri"/>
                <w:sz w:val="22"/>
                <w:szCs w:val="22"/>
                <w:lang w:eastAsia="en-US"/>
              </w:rPr>
              <w:fldChar w:fldCharType="end"/>
            </w:r>
          </w:p>
        </w:tc>
        <w:tc>
          <w:tcPr>
            <w:tcW w:w="1191" w:type="dxa"/>
          </w:tcPr>
          <w:p w14:paraId="30BA1A6D" w14:textId="77777777" w:rsidR="00A61146" w:rsidRPr="00360352" w:rsidRDefault="00A61146" w:rsidP="007A2E9B">
            <w:pPr>
              <w:spacing w:line="360" w:lineRule="auto"/>
              <w:jc w:val="center"/>
              <w:rPr>
                <w:rFonts w:ascii="Calibri" w:eastAsia="Calibri" w:hAnsi="Calibri"/>
                <w:sz w:val="22"/>
                <w:szCs w:val="22"/>
                <w:lang w:eastAsia="en-US"/>
              </w:rPr>
            </w:pPr>
            <w:r>
              <w:rPr>
                <w:rFonts w:ascii="Calibri" w:eastAsia="Calibri" w:hAnsi="Calibri"/>
                <w:sz w:val="22"/>
                <w:szCs w:val="22"/>
                <w:lang w:eastAsia="en-US"/>
              </w:rPr>
              <w:fldChar w:fldCharType="begin"/>
            </w:r>
            <w:r>
              <w:rPr>
                <w:rFonts w:ascii="Calibri" w:eastAsia="Calibri" w:hAnsi="Calibri"/>
                <w:sz w:val="22"/>
                <w:szCs w:val="22"/>
                <w:lang w:eastAsia="en-US"/>
              </w:rPr>
              <w:instrText xml:space="preserve"> =SUM(ABOVE) </w:instrText>
            </w:r>
            <w:r>
              <w:rPr>
                <w:rFonts w:ascii="Calibri" w:eastAsia="Calibri" w:hAnsi="Calibri"/>
                <w:sz w:val="22"/>
                <w:szCs w:val="22"/>
                <w:lang w:eastAsia="en-US"/>
              </w:rPr>
              <w:fldChar w:fldCharType="separate"/>
            </w:r>
            <w:r>
              <w:rPr>
                <w:rFonts w:ascii="Calibri" w:eastAsia="Calibri" w:hAnsi="Calibri"/>
                <w:noProof/>
                <w:sz w:val="22"/>
                <w:szCs w:val="22"/>
                <w:lang w:eastAsia="en-US"/>
              </w:rPr>
              <w:t>16527</w:t>
            </w:r>
            <w:r>
              <w:rPr>
                <w:rFonts w:ascii="Calibri" w:eastAsia="Calibri" w:hAnsi="Calibri"/>
                <w:sz w:val="22"/>
                <w:szCs w:val="22"/>
                <w:lang w:eastAsia="en-US"/>
              </w:rPr>
              <w:fldChar w:fldCharType="end"/>
            </w:r>
          </w:p>
        </w:tc>
        <w:tc>
          <w:tcPr>
            <w:tcW w:w="1191" w:type="dxa"/>
          </w:tcPr>
          <w:p w14:paraId="6E949C7D" w14:textId="77777777" w:rsidR="00A61146" w:rsidRPr="00360352" w:rsidRDefault="00A61146" w:rsidP="007A2E9B">
            <w:pPr>
              <w:spacing w:line="360" w:lineRule="auto"/>
              <w:jc w:val="center"/>
              <w:rPr>
                <w:rFonts w:ascii="Calibri" w:eastAsia="Calibri" w:hAnsi="Calibri"/>
                <w:sz w:val="22"/>
                <w:szCs w:val="22"/>
                <w:lang w:eastAsia="en-US"/>
              </w:rPr>
            </w:pPr>
            <w:r>
              <w:rPr>
                <w:rFonts w:ascii="Calibri" w:eastAsia="Calibri" w:hAnsi="Calibri"/>
                <w:sz w:val="22"/>
                <w:szCs w:val="22"/>
                <w:lang w:eastAsia="en-US"/>
              </w:rPr>
              <w:fldChar w:fldCharType="begin"/>
            </w:r>
            <w:r>
              <w:rPr>
                <w:rFonts w:ascii="Calibri" w:eastAsia="Calibri" w:hAnsi="Calibri"/>
                <w:sz w:val="22"/>
                <w:szCs w:val="22"/>
                <w:lang w:eastAsia="en-US"/>
              </w:rPr>
              <w:instrText xml:space="preserve"> =SUM(ABOVE) </w:instrText>
            </w:r>
            <w:r>
              <w:rPr>
                <w:rFonts w:ascii="Calibri" w:eastAsia="Calibri" w:hAnsi="Calibri"/>
                <w:sz w:val="22"/>
                <w:szCs w:val="22"/>
                <w:lang w:eastAsia="en-US"/>
              </w:rPr>
              <w:fldChar w:fldCharType="separate"/>
            </w:r>
            <w:r>
              <w:rPr>
                <w:rFonts w:ascii="Calibri" w:eastAsia="Calibri" w:hAnsi="Calibri"/>
                <w:noProof/>
                <w:sz w:val="22"/>
                <w:szCs w:val="22"/>
                <w:lang w:eastAsia="en-US"/>
              </w:rPr>
              <w:t>22482</w:t>
            </w:r>
            <w:r>
              <w:rPr>
                <w:rFonts w:ascii="Calibri" w:eastAsia="Calibri" w:hAnsi="Calibri"/>
                <w:sz w:val="22"/>
                <w:szCs w:val="22"/>
                <w:lang w:eastAsia="en-US"/>
              </w:rPr>
              <w:fldChar w:fldCharType="end"/>
            </w:r>
          </w:p>
        </w:tc>
        <w:tc>
          <w:tcPr>
            <w:tcW w:w="1191" w:type="dxa"/>
          </w:tcPr>
          <w:p w14:paraId="56445FE5" w14:textId="77777777" w:rsidR="00A61146" w:rsidRPr="00360352" w:rsidRDefault="00A61146" w:rsidP="007A2E9B">
            <w:pPr>
              <w:spacing w:line="360" w:lineRule="auto"/>
              <w:jc w:val="center"/>
              <w:rPr>
                <w:rFonts w:ascii="Calibri" w:eastAsia="Calibri" w:hAnsi="Calibri"/>
                <w:sz w:val="22"/>
                <w:szCs w:val="22"/>
                <w:lang w:eastAsia="en-US"/>
              </w:rPr>
            </w:pPr>
            <w:r>
              <w:rPr>
                <w:rFonts w:ascii="Calibri" w:eastAsia="Calibri" w:hAnsi="Calibri"/>
                <w:sz w:val="22"/>
                <w:szCs w:val="22"/>
                <w:lang w:eastAsia="en-US"/>
              </w:rPr>
              <w:fldChar w:fldCharType="begin"/>
            </w:r>
            <w:r>
              <w:rPr>
                <w:rFonts w:ascii="Calibri" w:eastAsia="Calibri" w:hAnsi="Calibri"/>
                <w:sz w:val="22"/>
                <w:szCs w:val="22"/>
                <w:lang w:eastAsia="en-US"/>
              </w:rPr>
              <w:instrText xml:space="preserve"> =SUM(ABOVE) </w:instrText>
            </w:r>
            <w:r>
              <w:rPr>
                <w:rFonts w:ascii="Calibri" w:eastAsia="Calibri" w:hAnsi="Calibri"/>
                <w:sz w:val="22"/>
                <w:szCs w:val="22"/>
                <w:lang w:eastAsia="en-US"/>
              </w:rPr>
              <w:fldChar w:fldCharType="separate"/>
            </w:r>
            <w:r>
              <w:rPr>
                <w:rFonts w:ascii="Calibri" w:eastAsia="Calibri" w:hAnsi="Calibri"/>
                <w:noProof/>
                <w:sz w:val="22"/>
                <w:szCs w:val="22"/>
                <w:lang w:eastAsia="en-US"/>
              </w:rPr>
              <w:t>28048</w:t>
            </w:r>
            <w:r>
              <w:rPr>
                <w:rFonts w:ascii="Calibri" w:eastAsia="Calibri" w:hAnsi="Calibri"/>
                <w:sz w:val="22"/>
                <w:szCs w:val="22"/>
                <w:lang w:eastAsia="en-US"/>
              </w:rPr>
              <w:fldChar w:fldCharType="end"/>
            </w:r>
          </w:p>
        </w:tc>
      </w:tr>
      <w:tr w:rsidR="00A61146" w:rsidRPr="00026E23" w14:paraId="21B0F0FD" w14:textId="77777777" w:rsidTr="00D947B1">
        <w:tc>
          <w:tcPr>
            <w:tcW w:w="1980" w:type="dxa"/>
          </w:tcPr>
          <w:p w14:paraId="12D73568" w14:textId="77777777" w:rsidR="00A61146" w:rsidRDefault="00A61146" w:rsidP="007A2E9B">
            <w:pPr>
              <w:spacing w:line="360" w:lineRule="auto"/>
              <w:rPr>
                <w:rFonts w:ascii="Calibri" w:eastAsia="Calibri" w:hAnsi="Calibri"/>
                <w:sz w:val="22"/>
                <w:szCs w:val="22"/>
                <w:lang w:eastAsia="en-US"/>
              </w:rPr>
            </w:pPr>
            <w:r>
              <w:rPr>
                <w:rFonts w:ascii="Calibri" w:eastAsia="Calibri" w:hAnsi="Calibri"/>
                <w:sz w:val="22"/>
                <w:szCs w:val="22"/>
                <w:lang w:eastAsia="en-US"/>
              </w:rPr>
              <w:t>Increase (%)</w:t>
            </w:r>
          </w:p>
        </w:tc>
        <w:tc>
          <w:tcPr>
            <w:tcW w:w="1048" w:type="dxa"/>
          </w:tcPr>
          <w:p w14:paraId="6528A4C8" w14:textId="77777777" w:rsidR="00A61146" w:rsidRDefault="00A61146" w:rsidP="007A2E9B">
            <w:pPr>
              <w:spacing w:line="360" w:lineRule="auto"/>
              <w:jc w:val="center"/>
              <w:rPr>
                <w:rFonts w:ascii="Calibri" w:eastAsia="Calibri" w:hAnsi="Calibri"/>
                <w:sz w:val="22"/>
                <w:szCs w:val="22"/>
                <w:lang w:eastAsia="en-US"/>
              </w:rPr>
            </w:pPr>
            <w:r>
              <w:rPr>
                <w:rFonts w:ascii="Calibri" w:eastAsia="Calibri" w:hAnsi="Calibri"/>
                <w:sz w:val="22"/>
                <w:szCs w:val="22"/>
                <w:lang w:eastAsia="en-US"/>
              </w:rPr>
              <w:t>-</w:t>
            </w:r>
          </w:p>
        </w:tc>
        <w:tc>
          <w:tcPr>
            <w:tcW w:w="1191" w:type="dxa"/>
          </w:tcPr>
          <w:p w14:paraId="634669DD" w14:textId="39F3807E" w:rsidR="00A61146" w:rsidRDefault="00A61146" w:rsidP="007A2E9B">
            <w:pPr>
              <w:spacing w:line="360" w:lineRule="auto"/>
              <w:jc w:val="center"/>
              <w:rPr>
                <w:rFonts w:ascii="Calibri" w:eastAsia="Calibri" w:hAnsi="Calibri"/>
                <w:sz w:val="22"/>
                <w:szCs w:val="22"/>
                <w:lang w:eastAsia="en-US"/>
              </w:rPr>
            </w:pPr>
            <w:r>
              <w:rPr>
                <w:rFonts w:ascii="Calibri" w:eastAsia="Calibri" w:hAnsi="Calibri"/>
                <w:sz w:val="22"/>
                <w:szCs w:val="22"/>
                <w:lang w:eastAsia="en-US"/>
              </w:rPr>
              <w:t>1</w:t>
            </w:r>
            <w:r w:rsidR="007E5997">
              <w:rPr>
                <w:rFonts w:ascii="Calibri" w:eastAsia="Calibri" w:hAnsi="Calibri"/>
                <w:sz w:val="22"/>
                <w:szCs w:val="22"/>
                <w:lang w:eastAsia="en-US"/>
              </w:rPr>
              <w:t>1</w:t>
            </w:r>
          </w:p>
        </w:tc>
        <w:tc>
          <w:tcPr>
            <w:tcW w:w="1191" w:type="dxa"/>
          </w:tcPr>
          <w:p w14:paraId="1F5841FE" w14:textId="77777777" w:rsidR="00A61146" w:rsidRDefault="00A61146" w:rsidP="007A2E9B">
            <w:pPr>
              <w:spacing w:line="360" w:lineRule="auto"/>
              <w:jc w:val="center"/>
              <w:rPr>
                <w:rFonts w:ascii="Calibri" w:eastAsia="Calibri" w:hAnsi="Calibri"/>
                <w:sz w:val="22"/>
                <w:szCs w:val="22"/>
                <w:lang w:eastAsia="en-US"/>
              </w:rPr>
            </w:pPr>
            <w:r>
              <w:rPr>
                <w:rFonts w:ascii="Calibri" w:eastAsia="Calibri" w:hAnsi="Calibri"/>
                <w:sz w:val="22"/>
                <w:szCs w:val="22"/>
                <w:lang w:eastAsia="en-US"/>
              </w:rPr>
              <w:t>41</w:t>
            </w:r>
          </w:p>
        </w:tc>
        <w:tc>
          <w:tcPr>
            <w:tcW w:w="1191" w:type="dxa"/>
          </w:tcPr>
          <w:p w14:paraId="17E866AC" w14:textId="77777777" w:rsidR="00A61146" w:rsidRDefault="00A61146" w:rsidP="007A2E9B">
            <w:pPr>
              <w:spacing w:line="360" w:lineRule="auto"/>
              <w:jc w:val="center"/>
              <w:rPr>
                <w:rFonts w:ascii="Calibri" w:eastAsia="Calibri" w:hAnsi="Calibri"/>
                <w:sz w:val="22"/>
                <w:szCs w:val="22"/>
                <w:lang w:eastAsia="en-US"/>
              </w:rPr>
            </w:pPr>
            <w:r>
              <w:rPr>
                <w:rFonts w:ascii="Calibri" w:eastAsia="Calibri" w:hAnsi="Calibri"/>
                <w:sz w:val="22"/>
                <w:szCs w:val="22"/>
                <w:lang w:eastAsia="en-US"/>
              </w:rPr>
              <w:t>92</w:t>
            </w:r>
          </w:p>
        </w:tc>
        <w:tc>
          <w:tcPr>
            <w:tcW w:w="1191" w:type="dxa"/>
          </w:tcPr>
          <w:p w14:paraId="49B78D34" w14:textId="77777777" w:rsidR="00A61146" w:rsidRDefault="00A61146" w:rsidP="007A2E9B">
            <w:pPr>
              <w:spacing w:line="360" w:lineRule="auto"/>
              <w:jc w:val="center"/>
              <w:rPr>
                <w:rFonts w:ascii="Calibri" w:eastAsia="Calibri" w:hAnsi="Calibri"/>
                <w:sz w:val="22"/>
                <w:szCs w:val="22"/>
                <w:lang w:eastAsia="en-US"/>
              </w:rPr>
            </w:pPr>
            <w:r>
              <w:rPr>
                <w:rFonts w:ascii="Calibri" w:eastAsia="Calibri" w:hAnsi="Calibri"/>
                <w:sz w:val="22"/>
                <w:szCs w:val="22"/>
                <w:lang w:eastAsia="en-US"/>
              </w:rPr>
              <w:t>140</w:t>
            </w:r>
          </w:p>
        </w:tc>
      </w:tr>
    </w:tbl>
    <w:p w14:paraId="08EE0FA3" w14:textId="77777777" w:rsidR="00A61146" w:rsidRDefault="00A61146" w:rsidP="00045C87">
      <w:pPr>
        <w:ind w:right="1275"/>
        <w:rPr>
          <w:rFonts w:ascii="Calibri" w:eastAsia="Calibri" w:hAnsi="Calibri"/>
          <w:b/>
          <w:sz w:val="20"/>
          <w:szCs w:val="20"/>
          <w:lang w:val="en-GB" w:eastAsia="en-US"/>
        </w:rPr>
      </w:pPr>
    </w:p>
    <w:p w14:paraId="707D522B" w14:textId="77777777" w:rsidR="00A61146" w:rsidRDefault="00A61146" w:rsidP="00045C87">
      <w:pPr>
        <w:ind w:right="1275"/>
        <w:rPr>
          <w:rFonts w:ascii="Calibri" w:eastAsia="Calibri" w:hAnsi="Calibri"/>
          <w:b/>
          <w:sz w:val="20"/>
          <w:szCs w:val="20"/>
          <w:lang w:val="en-GB" w:eastAsia="en-US"/>
        </w:rPr>
      </w:pPr>
    </w:p>
    <w:p w14:paraId="530D819C" w14:textId="77777777" w:rsidR="00C62768" w:rsidRPr="00A81361" w:rsidRDefault="00C62768" w:rsidP="00146696">
      <w:pPr>
        <w:spacing w:line="276" w:lineRule="auto"/>
        <w:jc w:val="both"/>
        <w:rPr>
          <w:rFonts w:asciiTheme="minorHAnsi" w:hAnsiTheme="minorHAnsi" w:cstheme="minorHAnsi"/>
          <w:highlight w:val="yellow"/>
          <w:lang w:val="en-GB"/>
        </w:rPr>
      </w:pPr>
    </w:p>
    <w:p w14:paraId="52913147" w14:textId="73F9AFB2" w:rsidR="0085273D" w:rsidRPr="00DA04F6" w:rsidRDefault="0085273D" w:rsidP="0030661D">
      <w:pPr>
        <w:spacing w:after="200" w:line="276" w:lineRule="auto"/>
        <w:ind w:left="567" w:right="1275"/>
        <w:rPr>
          <w:rFonts w:asciiTheme="minorHAnsi" w:hAnsiTheme="minorHAnsi" w:cstheme="minorHAnsi"/>
          <w:i/>
          <w:lang w:val="en-GB"/>
        </w:rPr>
      </w:pPr>
      <w:r w:rsidRPr="00DA04F6">
        <w:rPr>
          <w:rFonts w:asciiTheme="minorHAnsi" w:hAnsiTheme="minorHAnsi" w:cstheme="minorHAnsi"/>
          <w:i/>
          <w:lang w:val="en-GB"/>
        </w:rPr>
        <w:t>Fracture probability</w:t>
      </w:r>
    </w:p>
    <w:p w14:paraId="390251D6" w14:textId="5CEFD5EA" w:rsidR="000C0EA4" w:rsidRPr="003B5CEA" w:rsidRDefault="00DA04F6" w:rsidP="0030661D">
      <w:pPr>
        <w:spacing w:after="200" w:line="276" w:lineRule="auto"/>
        <w:ind w:left="567" w:right="1275"/>
        <w:rPr>
          <w:rFonts w:asciiTheme="minorHAnsi" w:hAnsiTheme="minorHAnsi" w:cstheme="minorHAnsi"/>
          <w:lang w:val="en-GB"/>
        </w:rPr>
      </w:pPr>
      <w:r>
        <w:rPr>
          <w:rFonts w:asciiTheme="minorHAnsi" w:hAnsiTheme="minorHAnsi" w:cstheme="minorHAnsi"/>
          <w:lang w:val="en-GB"/>
        </w:rPr>
        <w:t xml:space="preserve">In </w:t>
      </w:r>
      <w:r w:rsidR="00A767DF">
        <w:rPr>
          <w:rFonts w:asciiTheme="minorHAnsi" w:hAnsiTheme="minorHAnsi" w:cstheme="minorHAnsi"/>
          <w:lang w:val="en-GB"/>
        </w:rPr>
        <w:t>men, t</w:t>
      </w:r>
      <w:r w:rsidR="000C0EA4" w:rsidRPr="00DA04F6">
        <w:rPr>
          <w:rFonts w:asciiTheme="minorHAnsi" w:hAnsiTheme="minorHAnsi" w:cstheme="minorHAnsi"/>
          <w:lang w:val="en-GB"/>
        </w:rPr>
        <w:t xml:space="preserve">he incidence of forearm and humeral fractures was very similar to that predicted from the epidemiology of fracture in </w:t>
      </w:r>
      <w:r w:rsidR="000C0EA4" w:rsidRPr="00235078">
        <w:rPr>
          <w:rFonts w:asciiTheme="minorHAnsi" w:hAnsiTheme="minorHAnsi" w:cstheme="minorHAnsi"/>
          <w:lang w:val="en-GB"/>
        </w:rPr>
        <w:t xml:space="preserve">Malmo (Table </w:t>
      </w:r>
      <w:r w:rsidR="00B501AC" w:rsidRPr="00235078">
        <w:rPr>
          <w:rFonts w:asciiTheme="minorHAnsi" w:hAnsiTheme="minorHAnsi" w:cstheme="minorHAnsi"/>
          <w:lang w:val="en-GB"/>
        </w:rPr>
        <w:t>4</w:t>
      </w:r>
      <w:r w:rsidR="00A767DF" w:rsidRPr="00235078">
        <w:rPr>
          <w:rFonts w:asciiTheme="minorHAnsi" w:hAnsiTheme="minorHAnsi" w:cstheme="minorHAnsi"/>
          <w:lang w:val="en-GB"/>
        </w:rPr>
        <w:t>)</w:t>
      </w:r>
      <w:r w:rsidR="002669BA">
        <w:rPr>
          <w:rFonts w:asciiTheme="minorHAnsi" w:hAnsiTheme="minorHAnsi" w:cstheme="minorHAnsi"/>
          <w:lang w:val="en-GB"/>
        </w:rPr>
        <w:t>.</w:t>
      </w:r>
      <w:r w:rsidR="00235078">
        <w:rPr>
          <w:rFonts w:asciiTheme="minorHAnsi" w:hAnsiTheme="minorHAnsi" w:cstheme="minorHAnsi"/>
          <w:lang w:val="en-GB"/>
        </w:rPr>
        <w:t xml:space="preserve">  In women, however,</w:t>
      </w:r>
      <w:r w:rsidR="006E7C7B">
        <w:rPr>
          <w:rFonts w:asciiTheme="minorHAnsi" w:hAnsiTheme="minorHAnsi" w:cstheme="minorHAnsi"/>
          <w:lang w:val="en-GB"/>
        </w:rPr>
        <w:t xml:space="preserve"> the observed fracture rates exceeded th</w:t>
      </w:r>
      <w:r w:rsidR="002669BA">
        <w:rPr>
          <w:rFonts w:asciiTheme="minorHAnsi" w:hAnsiTheme="minorHAnsi" w:cstheme="minorHAnsi"/>
          <w:lang w:val="en-GB"/>
        </w:rPr>
        <w:t>ose</w:t>
      </w:r>
      <w:r w:rsidR="006E7C7B">
        <w:rPr>
          <w:rFonts w:asciiTheme="minorHAnsi" w:hAnsiTheme="minorHAnsi" w:cstheme="minorHAnsi"/>
          <w:lang w:val="en-GB"/>
        </w:rPr>
        <w:t xml:space="preserve"> </w:t>
      </w:r>
      <w:r w:rsidR="003E17DB">
        <w:rPr>
          <w:rFonts w:asciiTheme="minorHAnsi" w:hAnsiTheme="minorHAnsi" w:cstheme="minorHAnsi"/>
          <w:lang w:val="en-GB"/>
        </w:rPr>
        <w:t>predicted from the Malmo ratios</w:t>
      </w:r>
      <w:r w:rsidR="00813576">
        <w:rPr>
          <w:rFonts w:asciiTheme="minorHAnsi" w:hAnsiTheme="minorHAnsi" w:cstheme="minorHAnsi"/>
          <w:lang w:val="en-GB"/>
        </w:rPr>
        <w:t>, in some cases significantly so (Table 4)</w:t>
      </w:r>
      <w:r w:rsidR="002E0BF0">
        <w:rPr>
          <w:rFonts w:asciiTheme="minorHAnsi" w:hAnsiTheme="minorHAnsi" w:cstheme="minorHAnsi"/>
          <w:lang w:val="en-GB"/>
        </w:rPr>
        <w:t xml:space="preserve">. </w:t>
      </w:r>
      <w:r w:rsidR="00DD1502">
        <w:rPr>
          <w:rFonts w:asciiTheme="minorHAnsi" w:hAnsiTheme="minorHAnsi" w:cstheme="minorHAnsi"/>
          <w:lang w:val="en-GB"/>
        </w:rPr>
        <w:t xml:space="preserve"> </w:t>
      </w:r>
      <w:r w:rsidR="00D7335D">
        <w:rPr>
          <w:rFonts w:asciiTheme="minorHAnsi" w:hAnsiTheme="minorHAnsi" w:cstheme="minorHAnsi"/>
          <w:lang w:val="en-GB"/>
        </w:rPr>
        <w:t xml:space="preserve">Because of the discordance in the findings between men and </w:t>
      </w:r>
      <w:r w:rsidR="00274907">
        <w:rPr>
          <w:rFonts w:asciiTheme="minorHAnsi" w:hAnsiTheme="minorHAnsi" w:cstheme="minorHAnsi"/>
          <w:lang w:val="en-GB"/>
        </w:rPr>
        <w:t>women, the</w:t>
      </w:r>
      <w:r w:rsidR="00674F3E">
        <w:rPr>
          <w:rFonts w:asciiTheme="minorHAnsi" w:hAnsiTheme="minorHAnsi" w:cstheme="minorHAnsi"/>
          <w:lang w:val="en-GB"/>
        </w:rPr>
        <w:t xml:space="preserve"> FRAX model was based on the data on hip fracture and the </w:t>
      </w:r>
      <w:r w:rsidR="00487330">
        <w:rPr>
          <w:rFonts w:asciiTheme="minorHAnsi" w:hAnsiTheme="minorHAnsi" w:cstheme="minorHAnsi"/>
          <w:lang w:val="en-GB"/>
        </w:rPr>
        <w:t xml:space="preserve">assumed incidence </w:t>
      </w:r>
      <w:r w:rsidR="008E7960">
        <w:rPr>
          <w:rFonts w:asciiTheme="minorHAnsi" w:hAnsiTheme="minorHAnsi" w:cstheme="minorHAnsi"/>
          <w:lang w:val="en-GB"/>
        </w:rPr>
        <w:t xml:space="preserve">of the other major </w:t>
      </w:r>
      <w:r w:rsidR="00ED1730">
        <w:rPr>
          <w:rFonts w:asciiTheme="minorHAnsi" w:hAnsiTheme="minorHAnsi" w:cstheme="minorHAnsi"/>
          <w:lang w:val="en-GB"/>
        </w:rPr>
        <w:t xml:space="preserve">osteoporotic fractures </w:t>
      </w:r>
      <w:r w:rsidR="005D4BC7" w:rsidRPr="003B5CEA">
        <w:rPr>
          <w:rFonts w:asciiTheme="minorHAnsi" w:hAnsiTheme="minorHAnsi" w:cstheme="minorHAnsi"/>
          <w:lang w:val="en-GB"/>
        </w:rPr>
        <w:t>was determined</w:t>
      </w:r>
      <w:r w:rsidR="00ED1730" w:rsidRPr="003B5CEA">
        <w:rPr>
          <w:rFonts w:asciiTheme="minorHAnsi" w:hAnsiTheme="minorHAnsi" w:cstheme="minorHAnsi"/>
          <w:lang w:val="en-GB"/>
        </w:rPr>
        <w:t xml:space="preserve"> from</w:t>
      </w:r>
      <w:r w:rsidR="000C0EA4" w:rsidRPr="003B5CEA">
        <w:rPr>
          <w:rFonts w:asciiTheme="minorHAnsi" w:hAnsiTheme="minorHAnsi" w:cstheme="minorHAnsi"/>
          <w:lang w:val="en-GB"/>
        </w:rPr>
        <w:t xml:space="preserve"> the Malmo</w:t>
      </w:r>
      <w:r w:rsidR="0085273D" w:rsidRPr="003B5CEA">
        <w:rPr>
          <w:rFonts w:asciiTheme="minorHAnsi" w:hAnsiTheme="minorHAnsi" w:cstheme="minorHAnsi"/>
          <w:lang w:val="en-GB"/>
        </w:rPr>
        <w:t xml:space="preserve"> ratios</w:t>
      </w:r>
      <w:r w:rsidR="003B5CEA" w:rsidRPr="003B5CEA">
        <w:rPr>
          <w:rFonts w:asciiTheme="minorHAnsi" w:hAnsiTheme="minorHAnsi" w:cstheme="minorHAnsi"/>
          <w:lang w:val="en-GB"/>
        </w:rPr>
        <w:t xml:space="preserve">. </w:t>
      </w:r>
      <w:r w:rsidR="0085273D" w:rsidRPr="003B5CEA">
        <w:rPr>
          <w:rFonts w:asciiTheme="minorHAnsi" w:hAnsiTheme="minorHAnsi" w:cstheme="minorHAnsi"/>
          <w:lang w:val="en-GB"/>
        </w:rPr>
        <w:t xml:space="preserve"> </w:t>
      </w:r>
    </w:p>
    <w:p w14:paraId="73DE59A6" w14:textId="77777777" w:rsidR="00EA74AE" w:rsidRPr="00A81361" w:rsidRDefault="00EA74AE" w:rsidP="0030661D">
      <w:pPr>
        <w:spacing w:line="276" w:lineRule="auto"/>
        <w:ind w:left="567" w:right="1275"/>
        <w:rPr>
          <w:rFonts w:asciiTheme="minorHAnsi" w:hAnsiTheme="minorHAnsi" w:cstheme="minorHAnsi"/>
          <w:highlight w:val="yellow"/>
          <w:lang w:val="en-GB"/>
        </w:rPr>
      </w:pPr>
    </w:p>
    <w:p w14:paraId="2ABA6C2E" w14:textId="77777777" w:rsidR="00086809" w:rsidRDefault="00086809" w:rsidP="00045C87">
      <w:pPr>
        <w:ind w:left="567" w:right="1133"/>
        <w:rPr>
          <w:rFonts w:ascii="Calibri" w:eastAsia="Calibri" w:hAnsi="Calibri"/>
          <w:b/>
          <w:sz w:val="22"/>
          <w:szCs w:val="22"/>
          <w:lang w:val="en-GB" w:eastAsia="en-US"/>
        </w:rPr>
      </w:pPr>
    </w:p>
    <w:p w14:paraId="21E1C1CB" w14:textId="77777777" w:rsidR="00086809" w:rsidRDefault="00086809" w:rsidP="00045C87">
      <w:pPr>
        <w:ind w:left="567" w:right="1133"/>
        <w:rPr>
          <w:rFonts w:ascii="Calibri" w:eastAsia="Calibri" w:hAnsi="Calibri"/>
          <w:b/>
          <w:sz w:val="22"/>
          <w:szCs w:val="22"/>
          <w:lang w:val="en-GB" w:eastAsia="en-US"/>
        </w:rPr>
      </w:pPr>
    </w:p>
    <w:p w14:paraId="52C0EE11" w14:textId="4CD4FC59" w:rsidR="001D5D96" w:rsidRPr="00A81361" w:rsidRDefault="001D5D96" w:rsidP="00086809">
      <w:pPr>
        <w:spacing w:after="240"/>
        <w:ind w:left="567" w:right="1133"/>
        <w:rPr>
          <w:rFonts w:ascii="Calibri" w:eastAsia="Calibri" w:hAnsi="Calibri"/>
          <w:sz w:val="22"/>
          <w:szCs w:val="22"/>
          <w:lang w:val="en-GB" w:eastAsia="en-US"/>
        </w:rPr>
      </w:pPr>
      <w:r w:rsidRPr="00A81361">
        <w:rPr>
          <w:rFonts w:ascii="Calibri" w:eastAsia="Calibri" w:hAnsi="Calibri"/>
          <w:b/>
          <w:sz w:val="22"/>
          <w:szCs w:val="22"/>
          <w:lang w:val="en-GB" w:eastAsia="en-US"/>
        </w:rPr>
        <w:t xml:space="preserve">Table </w:t>
      </w:r>
      <w:r w:rsidR="00B501AC" w:rsidRPr="00A81361">
        <w:rPr>
          <w:rFonts w:ascii="Calibri" w:eastAsia="Calibri" w:hAnsi="Calibri"/>
          <w:b/>
          <w:sz w:val="22"/>
          <w:szCs w:val="22"/>
          <w:lang w:val="en-GB" w:eastAsia="en-US"/>
        </w:rPr>
        <w:t>4</w:t>
      </w:r>
      <w:r w:rsidR="00AD3856">
        <w:rPr>
          <w:rFonts w:ascii="Calibri" w:eastAsia="Calibri" w:hAnsi="Calibri"/>
          <w:b/>
          <w:sz w:val="22"/>
          <w:szCs w:val="22"/>
          <w:lang w:val="en-GB" w:eastAsia="en-US"/>
        </w:rPr>
        <w:t>.</w:t>
      </w:r>
      <w:r w:rsidRPr="00A81361">
        <w:rPr>
          <w:rFonts w:ascii="Calibri" w:eastAsia="Calibri" w:hAnsi="Calibri"/>
          <w:sz w:val="22"/>
          <w:szCs w:val="22"/>
          <w:lang w:val="en-GB" w:eastAsia="en-US"/>
        </w:rPr>
        <w:t xml:space="preserve">  The </w:t>
      </w:r>
      <w:r w:rsidR="003F70B2" w:rsidRPr="00A81361">
        <w:rPr>
          <w:rFonts w:ascii="Calibri" w:eastAsia="Calibri" w:hAnsi="Calibri"/>
          <w:sz w:val="22"/>
          <w:szCs w:val="22"/>
          <w:lang w:val="en-GB" w:eastAsia="en-US"/>
        </w:rPr>
        <w:t xml:space="preserve">annual </w:t>
      </w:r>
      <w:r w:rsidRPr="00A81361">
        <w:rPr>
          <w:rFonts w:ascii="Calibri" w:eastAsia="Calibri" w:hAnsi="Calibri"/>
          <w:sz w:val="22"/>
          <w:szCs w:val="22"/>
          <w:lang w:val="en-GB" w:eastAsia="en-US"/>
        </w:rPr>
        <w:t xml:space="preserve">incidence </w:t>
      </w:r>
      <w:r w:rsidR="00122D6B">
        <w:rPr>
          <w:rFonts w:ascii="Calibri" w:eastAsia="Calibri" w:hAnsi="Calibri"/>
          <w:sz w:val="22"/>
          <w:szCs w:val="22"/>
          <w:lang w:val="en-GB" w:eastAsia="en-US"/>
        </w:rPr>
        <w:t>(</w:t>
      </w:r>
      <w:r w:rsidR="00E61C6A">
        <w:rPr>
          <w:rFonts w:ascii="Calibri" w:eastAsia="Calibri" w:hAnsi="Calibri"/>
          <w:sz w:val="22"/>
          <w:szCs w:val="22"/>
          <w:lang w:val="en-GB" w:eastAsia="en-US"/>
        </w:rPr>
        <w:t xml:space="preserve">/100,000) </w:t>
      </w:r>
      <w:r w:rsidRPr="00A81361">
        <w:rPr>
          <w:rFonts w:ascii="Calibri" w:eastAsia="Calibri" w:hAnsi="Calibri"/>
          <w:sz w:val="22"/>
          <w:szCs w:val="22"/>
          <w:lang w:val="en-GB" w:eastAsia="en-US"/>
        </w:rPr>
        <w:t>of forearm and humeral fractures in women predicted from the epidemiology in Malmo (see methods) and that observed in the present study with 95% confidence intervals (CI).  The observation</w:t>
      </w:r>
      <w:r w:rsidR="007613BB">
        <w:rPr>
          <w:rFonts w:ascii="Calibri" w:eastAsia="Calibri" w:hAnsi="Calibri"/>
          <w:sz w:val="22"/>
          <w:szCs w:val="22"/>
          <w:lang w:val="en-GB" w:eastAsia="en-US"/>
        </w:rPr>
        <w:t>s</w:t>
      </w:r>
      <w:r w:rsidRPr="00A81361">
        <w:rPr>
          <w:rFonts w:ascii="Calibri" w:eastAsia="Calibri" w:hAnsi="Calibri"/>
          <w:sz w:val="22"/>
          <w:szCs w:val="22"/>
          <w:lang w:val="en-GB" w:eastAsia="en-US"/>
        </w:rPr>
        <w:t xml:space="preserve"> in bold denote a </w:t>
      </w:r>
      <w:r w:rsidR="003F70B2" w:rsidRPr="00A81361">
        <w:rPr>
          <w:rFonts w:ascii="Calibri" w:eastAsia="Calibri" w:hAnsi="Calibri"/>
          <w:sz w:val="22"/>
          <w:szCs w:val="22"/>
          <w:lang w:val="en-GB" w:eastAsia="en-US"/>
        </w:rPr>
        <w:t xml:space="preserve">significant </w:t>
      </w:r>
      <w:r w:rsidRPr="00A81361">
        <w:rPr>
          <w:rFonts w:ascii="Calibri" w:eastAsia="Calibri" w:hAnsi="Calibri"/>
          <w:sz w:val="22"/>
          <w:szCs w:val="22"/>
          <w:lang w:val="en-GB" w:eastAsia="en-US"/>
        </w:rPr>
        <w:t>difference between observed and predicted estimates.</w:t>
      </w:r>
    </w:p>
    <w:tbl>
      <w:tblPr>
        <w:tblStyle w:val="TableGrid3"/>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
        <w:gridCol w:w="294"/>
        <w:gridCol w:w="1275"/>
        <w:gridCol w:w="1131"/>
        <w:gridCol w:w="1191"/>
        <w:gridCol w:w="368"/>
        <w:gridCol w:w="1134"/>
        <w:gridCol w:w="1418"/>
        <w:gridCol w:w="1366"/>
      </w:tblGrid>
      <w:tr w:rsidR="0019046B" w:rsidRPr="0030503C" w14:paraId="46BF0900" w14:textId="77777777" w:rsidTr="00E36B8D">
        <w:trPr>
          <w:trHeight w:val="340"/>
          <w:jc w:val="center"/>
        </w:trPr>
        <w:tc>
          <w:tcPr>
            <w:tcW w:w="929" w:type="dxa"/>
            <w:vMerge w:val="restart"/>
            <w:hideMark/>
          </w:tcPr>
          <w:p w14:paraId="2DC4BF61" w14:textId="77777777" w:rsidR="0019046B" w:rsidRPr="0030503C" w:rsidRDefault="0019046B"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Age</w:t>
            </w:r>
            <w:r w:rsidRPr="0030503C">
              <w:rPr>
                <w:rFonts w:asciiTheme="minorHAnsi" w:eastAsia="Calibri" w:hAnsiTheme="minorHAnsi" w:cstheme="minorHAnsi"/>
                <w:sz w:val="22"/>
                <w:szCs w:val="22"/>
                <w:lang w:eastAsia="en-US"/>
              </w:rPr>
              <w:br/>
              <w:t>(years)</w:t>
            </w:r>
          </w:p>
        </w:tc>
        <w:tc>
          <w:tcPr>
            <w:tcW w:w="294" w:type="dxa"/>
          </w:tcPr>
          <w:p w14:paraId="6FEEC374" w14:textId="77777777" w:rsidR="0019046B" w:rsidRPr="0030503C" w:rsidRDefault="0019046B" w:rsidP="000678CF">
            <w:pPr>
              <w:rPr>
                <w:rFonts w:asciiTheme="minorHAnsi" w:eastAsia="Calibri" w:hAnsiTheme="minorHAnsi" w:cstheme="minorHAnsi"/>
                <w:sz w:val="22"/>
                <w:szCs w:val="22"/>
                <w:lang w:eastAsia="en-US"/>
              </w:rPr>
            </w:pPr>
          </w:p>
        </w:tc>
        <w:tc>
          <w:tcPr>
            <w:tcW w:w="3597" w:type="dxa"/>
            <w:gridSpan w:val="3"/>
            <w:tcBorders>
              <w:bottom w:val="nil"/>
            </w:tcBorders>
            <w:hideMark/>
          </w:tcPr>
          <w:p w14:paraId="35CD2377" w14:textId="77777777" w:rsidR="0019046B" w:rsidRPr="0030503C" w:rsidRDefault="0019046B"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Forearm</w:t>
            </w:r>
          </w:p>
        </w:tc>
        <w:tc>
          <w:tcPr>
            <w:tcW w:w="368" w:type="dxa"/>
            <w:tcBorders>
              <w:bottom w:val="nil"/>
            </w:tcBorders>
          </w:tcPr>
          <w:p w14:paraId="19D65C7B" w14:textId="77777777" w:rsidR="0019046B" w:rsidRPr="0030503C" w:rsidRDefault="0019046B" w:rsidP="000678CF">
            <w:pPr>
              <w:rPr>
                <w:rFonts w:asciiTheme="minorHAnsi" w:eastAsia="Calibri" w:hAnsiTheme="minorHAnsi" w:cstheme="minorHAnsi"/>
                <w:sz w:val="22"/>
                <w:szCs w:val="22"/>
                <w:lang w:eastAsia="en-US"/>
              </w:rPr>
            </w:pPr>
          </w:p>
        </w:tc>
        <w:tc>
          <w:tcPr>
            <w:tcW w:w="3918" w:type="dxa"/>
            <w:gridSpan w:val="3"/>
            <w:tcBorders>
              <w:bottom w:val="nil"/>
            </w:tcBorders>
            <w:hideMark/>
          </w:tcPr>
          <w:p w14:paraId="4FA6A2C4" w14:textId="77777777" w:rsidR="0019046B" w:rsidRPr="0030503C" w:rsidRDefault="0019046B"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Humerus</w:t>
            </w:r>
          </w:p>
        </w:tc>
      </w:tr>
      <w:tr w:rsidR="0019046B" w:rsidRPr="0030503C" w14:paraId="2F23376F" w14:textId="77777777" w:rsidTr="00E36B8D">
        <w:trPr>
          <w:trHeight w:val="340"/>
          <w:jc w:val="center"/>
        </w:trPr>
        <w:tc>
          <w:tcPr>
            <w:tcW w:w="0" w:type="auto"/>
            <w:vMerge/>
            <w:hideMark/>
          </w:tcPr>
          <w:p w14:paraId="29C93000" w14:textId="77777777" w:rsidR="0019046B" w:rsidRPr="0030503C" w:rsidRDefault="0019046B" w:rsidP="000678CF">
            <w:pPr>
              <w:rPr>
                <w:rFonts w:asciiTheme="minorHAnsi" w:eastAsia="Calibri" w:hAnsiTheme="minorHAnsi" w:cstheme="minorHAnsi"/>
                <w:sz w:val="22"/>
                <w:szCs w:val="22"/>
                <w:lang w:eastAsia="en-US"/>
              </w:rPr>
            </w:pPr>
          </w:p>
        </w:tc>
        <w:tc>
          <w:tcPr>
            <w:tcW w:w="294" w:type="dxa"/>
          </w:tcPr>
          <w:p w14:paraId="2643322A" w14:textId="77777777" w:rsidR="0019046B" w:rsidRPr="0030503C" w:rsidRDefault="0019046B" w:rsidP="000678CF">
            <w:pPr>
              <w:rPr>
                <w:rFonts w:asciiTheme="minorHAnsi" w:eastAsia="Calibri" w:hAnsiTheme="minorHAnsi" w:cstheme="minorHAnsi"/>
                <w:sz w:val="22"/>
                <w:szCs w:val="22"/>
                <w:lang w:eastAsia="en-US"/>
              </w:rPr>
            </w:pPr>
          </w:p>
        </w:tc>
        <w:tc>
          <w:tcPr>
            <w:tcW w:w="1275" w:type="dxa"/>
            <w:tcBorders>
              <w:top w:val="nil"/>
              <w:bottom w:val="single" w:sz="4" w:space="0" w:color="auto"/>
            </w:tcBorders>
            <w:hideMark/>
          </w:tcPr>
          <w:p w14:paraId="7AE837A4" w14:textId="77777777" w:rsidR="0019046B" w:rsidRPr="0030503C" w:rsidRDefault="0019046B"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Predicted</w:t>
            </w:r>
          </w:p>
        </w:tc>
        <w:tc>
          <w:tcPr>
            <w:tcW w:w="1131" w:type="dxa"/>
            <w:tcBorders>
              <w:top w:val="nil"/>
              <w:bottom w:val="single" w:sz="4" w:space="0" w:color="auto"/>
            </w:tcBorders>
            <w:hideMark/>
          </w:tcPr>
          <w:p w14:paraId="39AB8C3C" w14:textId="77777777" w:rsidR="0019046B" w:rsidRPr="0030503C" w:rsidRDefault="0019046B"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Observed</w:t>
            </w:r>
          </w:p>
        </w:tc>
        <w:tc>
          <w:tcPr>
            <w:tcW w:w="1191" w:type="dxa"/>
            <w:tcBorders>
              <w:top w:val="nil"/>
              <w:bottom w:val="single" w:sz="4" w:space="0" w:color="auto"/>
            </w:tcBorders>
            <w:hideMark/>
          </w:tcPr>
          <w:p w14:paraId="052FA4CE" w14:textId="77777777" w:rsidR="0019046B" w:rsidRPr="0030503C" w:rsidRDefault="0019046B"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95% CI</w:t>
            </w:r>
          </w:p>
        </w:tc>
        <w:tc>
          <w:tcPr>
            <w:tcW w:w="368" w:type="dxa"/>
            <w:tcBorders>
              <w:top w:val="nil"/>
              <w:bottom w:val="nil"/>
            </w:tcBorders>
          </w:tcPr>
          <w:p w14:paraId="0FD21F7F" w14:textId="77777777" w:rsidR="0019046B" w:rsidRPr="0030503C" w:rsidRDefault="0019046B" w:rsidP="000678CF">
            <w:pPr>
              <w:rPr>
                <w:rFonts w:asciiTheme="minorHAnsi" w:eastAsia="Calibri" w:hAnsiTheme="minorHAnsi" w:cstheme="minorHAnsi"/>
                <w:sz w:val="22"/>
                <w:szCs w:val="22"/>
                <w:lang w:eastAsia="en-US"/>
              </w:rPr>
            </w:pPr>
          </w:p>
        </w:tc>
        <w:tc>
          <w:tcPr>
            <w:tcW w:w="1134" w:type="dxa"/>
            <w:tcBorders>
              <w:top w:val="nil"/>
              <w:bottom w:val="single" w:sz="4" w:space="0" w:color="auto"/>
            </w:tcBorders>
            <w:hideMark/>
          </w:tcPr>
          <w:p w14:paraId="0B0F0882" w14:textId="77777777" w:rsidR="0019046B" w:rsidRPr="0030503C" w:rsidRDefault="0019046B"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Predicted</w:t>
            </w:r>
          </w:p>
        </w:tc>
        <w:tc>
          <w:tcPr>
            <w:tcW w:w="1418" w:type="dxa"/>
            <w:tcBorders>
              <w:top w:val="nil"/>
              <w:bottom w:val="single" w:sz="4" w:space="0" w:color="auto"/>
            </w:tcBorders>
            <w:hideMark/>
          </w:tcPr>
          <w:p w14:paraId="5AC60DA2" w14:textId="77777777" w:rsidR="0019046B" w:rsidRPr="0030503C" w:rsidRDefault="0019046B"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Observed</w:t>
            </w:r>
          </w:p>
        </w:tc>
        <w:tc>
          <w:tcPr>
            <w:tcW w:w="1366" w:type="dxa"/>
            <w:tcBorders>
              <w:top w:val="nil"/>
              <w:bottom w:val="single" w:sz="4" w:space="0" w:color="auto"/>
            </w:tcBorders>
            <w:hideMark/>
          </w:tcPr>
          <w:p w14:paraId="7B05F8B5" w14:textId="77777777" w:rsidR="0019046B" w:rsidRPr="0030503C" w:rsidRDefault="0019046B"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95% CI</w:t>
            </w:r>
          </w:p>
        </w:tc>
      </w:tr>
      <w:tr w:rsidR="0019046B" w:rsidRPr="0030503C" w14:paraId="0062B822" w14:textId="77777777" w:rsidTr="00E36B8D">
        <w:trPr>
          <w:trHeight w:val="340"/>
          <w:jc w:val="center"/>
        </w:trPr>
        <w:tc>
          <w:tcPr>
            <w:tcW w:w="0" w:type="auto"/>
          </w:tcPr>
          <w:p w14:paraId="75126494" w14:textId="77777777" w:rsidR="0019046B" w:rsidRPr="0030503C" w:rsidRDefault="0019046B"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Men</w:t>
            </w:r>
          </w:p>
        </w:tc>
        <w:tc>
          <w:tcPr>
            <w:tcW w:w="294" w:type="dxa"/>
          </w:tcPr>
          <w:p w14:paraId="5DA97800" w14:textId="77777777" w:rsidR="0019046B" w:rsidRPr="0030503C" w:rsidRDefault="0019046B" w:rsidP="000678CF">
            <w:pPr>
              <w:rPr>
                <w:rFonts w:asciiTheme="minorHAnsi" w:eastAsia="Calibri" w:hAnsiTheme="minorHAnsi" w:cstheme="minorHAnsi"/>
                <w:sz w:val="22"/>
                <w:szCs w:val="22"/>
                <w:lang w:eastAsia="en-US"/>
              </w:rPr>
            </w:pPr>
          </w:p>
        </w:tc>
        <w:tc>
          <w:tcPr>
            <w:tcW w:w="1275" w:type="dxa"/>
            <w:tcBorders>
              <w:top w:val="single" w:sz="4" w:space="0" w:color="auto"/>
            </w:tcBorders>
          </w:tcPr>
          <w:p w14:paraId="496D8A1E" w14:textId="77777777" w:rsidR="0019046B" w:rsidRPr="0030503C" w:rsidRDefault="0019046B" w:rsidP="000678CF">
            <w:pPr>
              <w:rPr>
                <w:rFonts w:asciiTheme="minorHAnsi" w:eastAsia="Calibri" w:hAnsiTheme="minorHAnsi" w:cstheme="minorHAnsi"/>
                <w:sz w:val="22"/>
                <w:szCs w:val="22"/>
                <w:lang w:eastAsia="en-US"/>
              </w:rPr>
            </w:pPr>
          </w:p>
        </w:tc>
        <w:tc>
          <w:tcPr>
            <w:tcW w:w="1131" w:type="dxa"/>
            <w:tcBorders>
              <w:top w:val="nil"/>
            </w:tcBorders>
          </w:tcPr>
          <w:p w14:paraId="0A586CE1" w14:textId="77777777" w:rsidR="0019046B" w:rsidRPr="0030503C" w:rsidRDefault="0019046B" w:rsidP="000678CF">
            <w:pPr>
              <w:rPr>
                <w:rFonts w:asciiTheme="minorHAnsi" w:eastAsia="Calibri" w:hAnsiTheme="minorHAnsi" w:cstheme="minorHAnsi"/>
                <w:sz w:val="22"/>
                <w:szCs w:val="22"/>
                <w:lang w:eastAsia="en-US"/>
              </w:rPr>
            </w:pPr>
          </w:p>
        </w:tc>
        <w:tc>
          <w:tcPr>
            <w:tcW w:w="1191" w:type="dxa"/>
            <w:tcBorders>
              <w:top w:val="nil"/>
            </w:tcBorders>
          </w:tcPr>
          <w:p w14:paraId="7D55AE41" w14:textId="77777777" w:rsidR="0019046B" w:rsidRPr="0030503C" w:rsidRDefault="0019046B" w:rsidP="000678CF">
            <w:pPr>
              <w:rPr>
                <w:rFonts w:asciiTheme="minorHAnsi" w:eastAsia="Calibri" w:hAnsiTheme="minorHAnsi" w:cstheme="minorHAnsi"/>
                <w:sz w:val="22"/>
                <w:szCs w:val="22"/>
                <w:lang w:eastAsia="en-US"/>
              </w:rPr>
            </w:pPr>
          </w:p>
        </w:tc>
        <w:tc>
          <w:tcPr>
            <w:tcW w:w="368" w:type="dxa"/>
            <w:tcBorders>
              <w:top w:val="nil"/>
            </w:tcBorders>
          </w:tcPr>
          <w:p w14:paraId="5B0AEE7F" w14:textId="77777777" w:rsidR="0019046B" w:rsidRPr="0030503C" w:rsidRDefault="0019046B" w:rsidP="000678CF">
            <w:pPr>
              <w:rPr>
                <w:rFonts w:asciiTheme="minorHAnsi" w:eastAsia="Calibri" w:hAnsiTheme="minorHAnsi" w:cstheme="minorHAnsi"/>
                <w:sz w:val="22"/>
                <w:szCs w:val="22"/>
                <w:lang w:eastAsia="en-US"/>
              </w:rPr>
            </w:pPr>
          </w:p>
        </w:tc>
        <w:tc>
          <w:tcPr>
            <w:tcW w:w="1134" w:type="dxa"/>
            <w:tcBorders>
              <w:top w:val="single" w:sz="4" w:space="0" w:color="auto"/>
            </w:tcBorders>
          </w:tcPr>
          <w:p w14:paraId="4D6C53C7" w14:textId="77777777" w:rsidR="0019046B" w:rsidRPr="0030503C" w:rsidRDefault="0019046B" w:rsidP="000678CF">
            <w:pPr>
              <w:rPr>
                <w:rFonts w:asciiTheme="minorHAnsi" w:eastAsia="Calibri" w:hAnsiTheme="minorHAnsi" w:cstheme="minorHAnsi"/>
                <w:sz w:val="22"/>
                <w:szCs w:val="22"/>
                <w:lang w:eastAsia="en-US"/>
              </w:rPr>
            </w:pPr>
          </w:p>
        </w:tc>
        <w:tc>
          <w:tcPr>
            <w:tcW w:w="1418" w:type="dxa"/>
            <w:tcBorders>
              <w:top w:val="single" w:sz="4" w:space="0" w:color="auto"/>
            </w:tcBorders>
          </w:tcPr>
          <w:p w14:paraId="4FD6EABC" w14:textId="77777777" w:rsidR="0019046B" w:rsidRPr="0030503C" w:rsidRDefault="0019046B" w:rsidP="000678CF">
            <w:pPr>
              <w:rPr>
                <w:rFonts w:asciiTheme="minorHAnsi" w:eastAsia="Calibri" w:hAnsiTheme="minorHAnsi" w:cstheme="minorHAnsi"/>
                <w:sz w:val="22"/>
                <w:szCs w:val="22"/>
                <w:lang w:eastAsia="en-US"/>
              </w:rPr>
            </w:pPr>
          </w:p>
        </w:tc>
        <w:tc>
          <w:tcPr>
            <w:tcW w:w="1366" w:type="dxa"/>
            <w:tcBorders>
              <w:top w:val="single" w:sz="4" w:space="0" w:color="auto"/>
            </w:tcBorders>
          </w:tcPr>
          <w:p w14:paraId="02F8084A" w14:textId="77777777" w:rsidR="0019046B" w:rsidRPr="0030503C" w:rsidRDefault="0019046B" w:rsidP="000678CF">
            <w:pPr>
              <w:rPr>
                <w:rFonts w:asciiTheme="minorHAnsi" w:eastAsia="Calibri" w:hAnsiTheme="minorHAnsi" w:cstheme="minorHAnsi"/>
                <w:sz w:val="22"/>
                <w:szCs w:val="22"/>
                <w:lang w:eastAsia="en-US"/>
              </w:rPr>
            </w:pPr>
          </w:p>
        </w:tc>
      </w:tr>
      <w:tr w:rsidR="0030503C" w:rsidRPr="0030503C" w14:paraId="19754480" w14:textId="77777777" w:rsidTr="00E36B8D">
        <w:trPr>
          <w:trHeight w:val="340"/>
          <w:jc w:val="center"/>
        </w:trPr>
        <w:tc>
          <w:tcPr>
            <w:tcW w:w="929" w:type="dxa"/>
            <w:hideMark/>
          </w:tcPr>
          <w:p w14:paraId="663E9B23"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50-59</w:t>
            </w:r>
          </w:p>
        </w:tc>
        <w:tc>
          <w:tcPr>
            <w:tcW w:w="294" w:type="dxa"/>
          </w:tcPr>
          <w:p w14:paraId="0AD273B1" w14:textId="77777777" w:rsidR="0030503C" w:rsidRPr="0030503C" w:rsidRDefault="0030503C" w:rsidP="000678CF">
            <w:pPr>
              <w:rPr>
                <w:rFonts w:asciiTheme="minorHAnsi" w:eastAsia="Calibri" w:hAnsiTheme="minorHAnsi" w:cstheme="minorHAnsi"/>
                <w:color w:val="FF0000"/>
                <w:sz w:val="22"/>
                <w:szCs w:val="22"/>
                <w:lang w:eastAsia="en-US"/>
              </w:rPr>
            </w:pPr>
          </w:p>
        </w:tc>
        <w:tc>
          <w:tcPr>
            <w:tcW w:w="1275" w:type="dxa"/>
          </w:tcPr>
          <w:p w14:paraId="46ACF8AF" w14:textId="1A148EE7"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sz w:val="22"/>
                <w:szCs w:val="22"/>
              </w:rPr>
              <w:t>298</w:t>
            </w:r>
          </w:p>
        </w:tc>
        <w:tc>
          <w:tcPr>
            <w:tcW w:w="1131" w:type="dxa"/>
          </w:tcPr>
          <w:p w14:paraId="74CD31EE"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229</w:t>
            </w:r>
          </w:p>
        </w:tc>
        <w:tc>
          <w:tcPr>
            <w:tcW w:w="1191" w:type="dxa"/>
          </w:tcPr>
          <w:p w14:paraId="7F0167ED"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162-315</w:t>
            </w:r>
          </w:p>
        </w:tc>
        <w:tc>
          <w:tcPr>
            <w:tcW w:w="368" w:type="dxa"/>
          </w:tcPr>
          <w:p w14:paraId="73FCE1A9" w14:textId="77777777" w:rsidR="0030503C" w:rsidRPr="0030503C" w:rsidRDefault="0030503C" w:rsidP="000678CF">
            <w:pPr>
              <w:rPr>
                <w:rFonts w:asciiTheme="minorHAnsi" w:eastAsia="Calibri" w:hAnsiTheme="minorHAnsi" w:cstheme="minorHAnsi"/>
                <w:sz w:val="22"/>
                <w:szCs w:val="22"/>
                <w:lang w:eastAsia="en-US"/>
              </w:rPr>
            </w:pPr>
          </w:p>
        </w:tc>
        <w:tc>
          <w:tcPr>
            <w:tcW w:w="1134" w:type="dxa"/>
          </w:tcPr>
          <w:p w14:paraId="476A0642" w14:textId="2E23FEB9"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rPr>
              <w:t>113</w:t>
            </w:r>
          </w:p>
        </w:tc>
        <w:tc>
          <w:tcPr>
            <w:tcW w:w="1418" w:type="dxa"/>
          </w:tcPr>
          <w:p w14:paraId="497EE12D"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109</w:t>
            </w:r>
          </w:p>
        </w:tc>
        <w:tc>
          <w:tcPr>
            <w:tcW w:w="1366" w:type="dxa"/>
          </w:tcPr>
          <w:p w14:paraId="239154F7"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64-172</w:t>
            </w:r>
          </w:p>
        </w:tc>
      </w:tr>
      <w:tr w:rsidR="0030503C" w:rsidRPr="0030503C" w14:paraId="1C42FF57" w14:textId="77777777" w:rsidTr="00E36B8D">
        <w:trPr>
          <w:trHeight w:val="340"/>
          <w:jc w:val="center"/>
        </w:trPr>
        <w:tc>
          <w:tcPr>
            <w:tcW w:w="929" w:type="dxa"/>
            <w:hideMark/>
          </w:tcPr>
          <w:p w14:paraId="42D1A1E4"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60-69</w:t>
            </w:r>
          </w:p>
        </w:tc>
        <w:tc>
          <w:tcPr>
            <w:tcW w:w="294" w:type="dxa"/>
          </w:tcPr>
          <w:p w14:paraId="7F3C74ED" w14:textId="77777777" w:rsidR="0030503C" w:rsidRPr="0030503C" w:rsidRDefault="0030503C" w:rsidP="000678CF">
            <w:pPr>
              <w:rPr>
                <w:rFonts w:asciiTheme="minorHAnsi" w:eastAsia="Calibri" w:hAnsiTheme="minorHAnsi" w:cstheme="minorHAnsi"/>
                <w:color w:val="FF0000"/>
                <w:sz w:val="22"/>
                <w:szCs w:val="22"/>
                <w:lang w:eastAsia="en-US"/>
              </w:rPr>
            </w:pPr>
          </w:p>
        </w:tc>
        <w:tc>
          <w:tcPr>
            <w:tcW w:w="1275" w:type="dxa"/>
          </w:tcPr>
          <w:p w14:paraId="4D5EA4C7" w14:textId="1CBBB1AB"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sz w:val="22"/>
                <w:szCs w:val="22"/>
              </w:rPr>
              <w:t>286</w:t>
            </w:r>
          </w:p>
        </w:tc>
        <w:tc>
          <w:tcPr>
            <w:tcW w:w="1131" w:type="dxa"/>
          </w:tcPr>
          <w:p w14:paraId="42E449B9"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206</w:t>
            </w:r>
          </w:p>
        </w:tc>
        <w:tc>
          <w:tcPr>
            <w:tcW w:w="1191" w:type="dxa"/>
          </w:tcPr>
          <w:p w14:paraId="4AED1978"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126-318</w:t>
            </w:r>
          </w:p>
        </w:tc>
        <w:tc>
          <w:tcPr>
            <w:tcW w:w="368" w:type="dxa"/>
          </w:tcPr>
          <w:p w14:paraId="04F6F394" w14:textId="77777777" w:rsidR="0030503C" w:rsidRPr="0030503C" w:rsidRDefault="0030503C" w:rsidP="000678CF">
            <w:pPr>
              <w:rPr>
                <w:rFonts w:asciiTheme="minorHAnsi" w:eastAsia="Calibri" w:hAnsiTheme="minorHAnsi" w:cstheme="minorHAnsi"/>
                <w:sz w:val="22"/>
                <w:szCs w:val="22"/>
                <w:lang w:eastAsia="en-US"/>
              </w:rPr>
            </w:pPr>
          </w:p>
        </w:tc>
        <w:tc>
          <w:tcPr>
            <w:tcW w:w="1134" w:type="dxa"/>
          </w:tcPr>
          <w:p w14:paraId="10EB2639" w14:textId="4A9D931B"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rPr>
              <w:t>103</w:t>
            </w:r>
          </w:p>
        </w:tc>
        <w:tc>
          <w:tcPr>
            <w:tcW w:w="1418" w:type="dxa"/>
          </w:tcPr>
          <w:p w14:paraId="282607B0"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154</w:t>
            </w:r>
          </w:p>
        </w:tc>
        <w:tc>
          <w:tcPr>
            <w:tcW w:w="1366" w:type="dxa"/>
          </w:tcPr>
          <w:p w14:paraId="5601C081"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85-255</w:t>
            </w:r>
          </w:p>
        </w:tc>
      </w:tr>
      <w:tr w:rsidR="0030503C" w:rsidRPr="0030503C" w14:paraId="3EA011CF" w14:textId="77777777" w:rsidTr="00E36B8D">
        <w:trPr>
          <w:trHeight w:val="340"/>
          <w:jc w:val="center"/>
        </w:trPr>
        <w:tc>
          <w:tcPr>
            <w:tcW w:w="929" w:type="dxa"/>
            <w:hideMark/>
          </w:tcPr>
          <w:p w14:paraId="514A645A"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70-79</w:t>
            </w:r>
          </w:p>
        </w:tc>
        <w:tc>
          <w:tcPr>
            <w:tcW w:w="294" w:type="dxa"/>
          </w:tcPr>
          <w:p w14:paraId="2DF8AFEE" w14:textId="77777777" w:rsidR="0030503C" w:rsidRPr="0030503C" w:rsidRDefault="0030503C" w:rsidP="000678CF">
            <w:pPr>
              <w:rPr>
                <w:rFonts w:asciiTheme="minorHAnsi" w:eastAsia="Calibri" w:hAnsiTheme="minorHAnsi" w:cstheme="minorHAnsi"/>
                <w:color w:val="FF0000"/>
                <w:sz w:val="22"/>
                <w:szCs w:val="22"/>
                <w:lang w:eastAsia="en-US"/>
              </w:rPr>
            </w:pPr>
          </w:p>
        </w:tc>
        <w:tc>
          <w:tcPr>
            <w:tcW w:w="1275" w:type="dxa"/>
          </w:tcPr>
          <w:p w14:paraId="38821221" w14:textId="5CC82D13"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sz w:val="22"/>
                <w:szCs w:val="22"/>
              </w:rPr>
              <w:t>85</w:t>
            </w:r>
          </w:p>
        </w:tc>
        <w:tc>
          <w:tcPr>
            <w:tcW w:w="1131" w:type="dxa"/>
          </w:tcPr>
          <w:p w14:paraId="70FE5F91"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78</w:t>
            </w:r>
          </w:p>
        </w:tc>
        <w:tc>
          <w:tcPr>
            <w:tcW w:w="1191" w:type="dxa"/>
          </w:tcPr>
          <w:p w14:paraId="69A526DF"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16-226</w:t>
            </w:r>
          </w:p>
        </w:tc>
        <w:tc>
          <w:tcPr>
            <w:tcW w:w="368" w:type="dxa"/>
          </w:tcPr>
          <w:p w14:paraId="7FD13A1C" w14:textId="77777777" w:rsidR="0030503C" w:rsidRPr="0030503C" w:rsidRDefault="0030503C" w:rsidP="000678CF">
            <w:pPr>
              <w:rPr>
                <w:rFonts w:asciiTheme="minorHAnsi" w:eastAsia="Calibri" w:hAnsiTheme="minorHAnsi" w:cstheme="minorHAnsi"/>
                <w:sz w:val="22"/>
                <w:szCs w:val="22"/>
                <w:lang w:eastAsia="en-US"/>
              </w:rPr>
            </w:pPr>
          </w:p>
        </w:tc>
        <w:tc>
          <w:tcPr>
            <w:tcW w:w="1134" w:type="dxa"/>
          </w:tcPr>
          <w:p w14:paraId="18AF431A" w14:textId="0864268D"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rPr>
              <w:t>128</w:t>
            </w:r>
          </w:p>
        </w:tc>
        <w:tc>
          <w:tcPr>
            <w:tcW w:w="1418" w:type="dxa"/>
          </w:tcPr>
          <w:p w14:paraId="16AE0AE6"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52</w:t>
            </w:r>
          </w:p>
        </w:tc>
        <w:tc>
          <w:tcPr>
            <w:tcW w:w="1366" w:type="dxa"/>
          </w:tcPr>
          <w:p w14:paraId="2DE4D3DA"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6-187</w:t>
            </w:r>
          </w:p>
        </w:tc>
      </w:tr>
      <w:tr w:rsidR="0030503C" w:rsidRPr="0030503C" w14:paraId="4C89BC70" w14:textId="77777777" w:rsidTr="00E36B8D">
        <w:trPr>
          <w:trHeight w:val="340"/>
          <w:jc w:val="center"/>
        </w:trPr>
        <w:tc>
          <w:tcPr>
            <w:tcW w:w="929" w:type="dxa"/>
            <w:hideMark/>
          </w:tcPr>
          <w:p w14:paraId="1DD81435"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80-89</w:t>
            </w:r>
          </w:p>
        </w:tc>
        <w:tc>
          <w:tcPr>
            <w:tcW w:w="294" w:type="dxa"/>
          </w:tcPr>
          <w:p w14:paraId="058BFF36" w14:textId="77777777" w:rsidR="0030503C" w:rsidRPr="0030503C" w:rsidRDefault="0030503C" w:rsidP="000678CF">
            <w:pPr>
              <w:rPr>
                <w:rFonts w:asciiTheme="minorHAnsi" w:eastAsia="Calibri" w:hAnsiTheme="minorHAnsi" w:cstheme="minorHAnsi"/>
                <w:color w:val="FF0000"/>
                <w:sz w:val="22"/>
                <w:szCs w:val="22"/>
                <w:lang w:eastAsia="en-US"/>
              </w:rPr>
            </w:pPr>
          </w:p>
        </w:tc>
        <w:tc>
          <w:tcPr>
            <w:tcW w:w="1275" w:type="dxa"/>
          </w:tcPr>
          <w:p w14:paraId="66CA78CE" w14:textId="7B737542"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sz w:val="22"/>
                <w:szCs w:val="22"/>
              </w:rPr>
              <w:t>79</w:t>
            </w:r>
          </w:p>
        </w:tc>
        <w:tc>
          <w:tcPr>
            <w:tcW w:w="1131" w:type="dxa"/>
          </w:tcPr>
          <w:p w14:paraId="00896DE7"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165</w:t>
            </w:r>
          </w:p>
        </w:tc>
        <w:tc>
          <w:tcPr>
            <w:tcW w:w="1191" w:type="dxa"/>
          </w:tcPr>
          <w:p w14:paraId="3349DC15"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20-598</w:t>
            </w:r>
          </w:p>
        </w:tc>
        <w:tc>
          <w:tcPr>
            <w:tcW w:w="368" w:type="dxa"/>
          </w:tcPr>
          <w:p w14:paraId="338CEF11" w14:textId="77777777" w:rsidR="0030503C" w:rsidRPr="0030503C" w:rsidRDefault="0030503C" w:rsidP="000678CF">
            <w:pPr>
              <w:rPr>
                <w:rFonts w:asciiTheme="minorHAnsi" w:eastAsia="Calibri" w:hAnsiTheme="minorHAnsi" w:cstheme="minorHAnsi"/>
                <w:sz w:val="22"/>
                <w:szCs w:val="22"/>
                <w:lang w:eastAsia="en-US"/>
              </w:rPr>
            </w:pPr>
          </w:p>
        </w:tc>
        <w:tc>
          <w:tcPr>
            <w:tcW w:w="1134" w:type="dxa"/>
          </w:tcPr>
          <w:p w14:paraId="40BC318F" w14:textId="5EE3E451"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rPr>
              <w:t>100</w:t>
            </w:r>
          </w:p>
        </w:tc>
        <w:tc>
          <w:tcPr>
            <w:tcW w:w="1418" w:type="dxa"/>
          </w:tcPr>
          <w:p w14:paraId="0EC61CFF"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0</w:t>
            </w:r>
          </w:p>
        </w:tc>
        <w:tc>
          <w:tcPr>
            <w:tcW w:w="1366" w:type="dxa"/>
          </w:tcPr>
          <w:p w14:paraId="61531CEE"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0-305</w:t>
            </w:r>
          </w:p>
        </w:tc>
      </w:tr>
      <w:tr w:rsidR="0030503C" w:rsidRPr="0030503C" w14:paraId="7AAC0469" w14:textId="77777777" w:rsidTr="00E36B8D">
        <w:trPr>
          <w:trHeight w:val="340"/>
          <w:jc w:val="center"/>
        </w:trPr>
        <w:tc>
          <w:tcPr>
            <w:tcW w:w="929" w:type="dxa"/>
            <w:hideMark/>
          </w:tcPr>
          <w:p w14:paraId="5B0EF6B1"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Women</w:t>
            </w:r>
          </w:p>
        </w:tc>
        <w:tc>
          <w:tcPr>
            <w:tcW w:w="294" w:type="dxa"/>
          </w:tcPr>
          <w:p w14:paraId="681AD49E" w14:textId="77777777" w:rsidR="0030503C" w:rsidRPr="0030503C" w:rsidRDefault="0030503C" w:rsidP="000678CF">
            <w:pPr>
              <w:rPr>
                <w:rFonts w:asciiTheme="minorHAnsi" w:eastAsia="Calibri" w:hAnsiTheme="minorHAnsi" w:cstheme="minorHAnsi"/>
                <w:color w:val="FF0000"/>
                <w:sz w:val="22"/>
                <w:szCs w:val="22"/>
                <w:lang w:eastAsia="en-US"/>
              </w:rPr>
            </w:pPr>
          </w:p>
        </w:tc>
        <w:tc>
          <w:tcPr>
            <w:tcW w:w="1275" w:type="dxa"/>
          </w:tcPr>
          <w:p w14:paraId="685B95F3" w14:textId="77777777" w:rsidR="0030503C" w:rsidRPr="0030503C" w:rsidRDefault="0030503C" w:rsidP="000678CF">
            <w:pPr>
              <w:rPr>
                <w:rFonts w:asciiTheme="minorHAnsi" w:eastAsia="Calibri" w:hAnsiTheme="minorHAnsi" w:cstheme="minorHAnsi"/>
                <w:sz w:val="22"/>
                <w:szCs w:val="22"/>
                <w:lang w:eastAsia="en-US"/>
              </w:rPr>
            </w:pPr>
          </w:p>
        </w:tc>
        <w:tc>
          <w:tcPr>
            <w:tcW w:w="1131" w:type="dxa"/>
          </w:tcPr>
          <w:p w14:paraId="1C948257" w14:textId="77777777" w:rsidR="0030503C" w:rsidRPr="0030503C" w:rsidRDefault="0030503C" w:rsidP="000678CF">
            <w:pPr>
              <w:rPr>
                <w:rFonts w:asciiTheme="minorHAnsi" w:eastAsia="Calibri" w:hAnsiTheme="minorHAnsi" w:cstheme="minorHAnsi"/>
                <w:sz w:val="22"/>
                <w:szCs w:val="22"/>
                <w:lang w:eastAsia="en-US"/>
              </w:rPr>
            </w:pPr>
          </w:p>
        </w:tc>
        <w:tc>
          <w:tcPr>
            <w:tcW w:w="1191" w:type="dxa"/>
          </w:tcPr>
          <w:p w14:paraId="08590F23" w14:textId="77777777" w:rsidR="0030503C" w:rsidRPr="0030503C" w:rsidRDefault="0030503C" w:rsidP="000678CF">
            <w:pPr>
              <w:rPr>
                <w:rFonts w:asciiTheme="minorHAnsi" w:eastAsia="Calibri" w:hAnsiTheme="minorHAnsi" w:cstheme="minorHAnsi"/>
                <w:sz w:val="22"/>
                <w:szCs w:val="22"/>
                <w:lang w:eastAsia="en-US"/>
              </w:rPr>
            </w:pPr>
          </w:p>
        </w:tc>
        <w:tc>
          <w:tcPr>
            <w:tcW w:w="368" w:type="dxa"/>
          </w:tcPr>
          <w:p w14:paraId="5BA668C9" w14:textId="77777777" w:rsidR="0030503C" w:rsidRPr="0030503C" w:rsidRDefault="0030503C" w:rsidP="000678CF">
            <w:pPr>
              <w:rPr>
                <w:rFonts w:asciiTheme="minorHAnsi" w:eastAsia="Calibri" w:hAnsiTheme="minorHAnsi" w:cstheme="minorHAnsi"/>
                <w:sz w:val="22"/>
                <w:szCs w:val="22"/>
                <w:lang w:eastAsia="en-US"/>
              </w:rPr>
            </w:pPr>
          </w:p>
        </w:tc>
        <w:tc>
          <w:tcPr>
            <w:tcW w:w="1134" w:type="dxa"/>
          </w:tcPr>
          <w:p w14:paraId="1A0ED445" w14:textId="77777777" w:rsidR="0030503C" w:rsidRPr="0030503C" w:rsidRDefault="0030503C" w:rsidP="000678CF">
            <w:pPr>
              <w:rPr>
                <w:rFonts w:asciiTheme="minorHAnsi" w:eastAsia="Calibri" w:hAnsiTheme="minorHAnsi" w:cstheme="minorHAnsi"/>
                <w:sz w:val="22"/>
                <w:szCs w:val="22"/>
                <w:lang w:eastAsia="en-US"/>
              </w:rPr>
            </w:pPr>
          </w:p>
        </w:tc>
        <w:tc>
          <w:tcPr>
            <w:tcW w:w="1418" w:type="dxa"/>
          </w:tcPr>
          <w:p w14:paraId="45F20819" w14:textId="77777777" w:rsidR="0030503C" w:rsidRPr="0030503C" w:rsidRDefault="0030503C" w:rsidP="000678CF">
            <w:pPr>
              <w:rPr>
                <w:rFonts w:asciiTheme="minorHAnsi" w:eastAsia="Calibri" w:hAnsiTheme="minorHAnsi" w:cstheme="minorHAnsi"/>
                <w:sz w:val="22"/>
                <w:szCs w:val="22"/>
                <w:lang w:eastAsia="en-US"/>
              </w:rPr>
            </w:pPr>
          </w:p>
        </w:tc>
        <w:tc>
          <w:tcPr>
            <w:tcW w:w="1366" w:type="dxa"/>
          </w:tcPr>
          <w:p w14:paraId="712D874A" w14:textId="77777777" w:rsidR="0030503C" w:rsidRPr="0030503C" w:rsidRDefault="0030503C" w:rsidP="000678CF">
            <w:pPr>
              <w:rPr>
                <w:rFonts w:asciiTheme="minorHAnsi" w:eastAsia="Calibri" w:hAnsiTheme="minorHAnsi" w:cstheme="minorHAnsi"/>
                <w:sz w:val="22"/>
                <w:szCs w:val="22"/>
                <w:lang w:eastAsia="en-US"/>
              </w:rPr>
            </w:pPr>
          </w:p>
        </w:tc>
      </w:tr>
      <w:tr w:rsidR="0030503C" w:rsidRPr="0030503C" w14:paraId="21732BB4" w14:textId="77777777" w:rsidTr="00E36B8D">
        <w:trPr>
          <w:trHeight w:val="340"/>
          <w:jc w:val="center"/>
        </w:trPr>
        <w:tc>
          <w:tcPr>
            <w:tcW w:w="929" w:type="dxa"/>
            <w:hideMark/>
          </w:tcPr>
          <w:p w14:paraId="34322AF4"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50-59</w:t>
            </w:r>
          </w:p>
        </w:tc>
        <w:tc>
          <w:tcPr>
            <w:tcW w:w="294" w:type="dxa"/>
          </w:tcPr>
          <w:p w14:paraId="03A6A165" w14:textId="77777777" w:rsidR="0030503C" w:rsidRPr="0030503C" w:rsidRDefault="0030503C" w:rsidP="000678CF">
            <w:pPr>
              <w:rPr>
                <w:rFonts w:asciiTheme="minorHAnsi" w:eastAsia="Calibri" w:hAnsiTheme="minorHAnsi" w:cstheme="minorHAnsi"/>
                <w:color w:val="FF0000"/>
                <w:sz w:val="22"/>
                <w:szCs w:val="22"/>
                <w:lang w:eastAsia="en-US"/>
              </w:rPr>
            </w:pPr>
          </w:p>
        </w:tc>
        <w:tc>
          <w:tcPr>
            <w:tcW w:w="1275" w:type="dxa"/>
          </w:tcPr>
          <w:p w14:paraId="2A8A4F7F" w14:textId="4E5B666C"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sz w:val="22"/>
                <w:szCs w:val="22"/>
              </w:rPr>
              <w:t>516</w:t>
            </w:r>
          </w:p>
        </w:tc>
        <w:tc>
          <w:tcPr>
            <w:tcW w:w="1131" w:type="dxa"/>
          </w:tcPr>
          <w:p w14:paraId="171890A2" w14:textId="77777777" w:rsidR="0030503C" w:rsidRPr="0030503C" w:rsidRDefault="0030503C" w:rsidP="000678CF">
            <w:pPr>
              <w:rPr>
                <w:rFonts w:asciiTheme="minorHAnsi" w:eastAsia="Calibri" w:hAnsiTheme="minorHAnsi" w:cstheme="minorHAnsi"/>
                <w:b/>
                <w:sz w:val="22"/>
                <w:szCs w:val="22"/>
                <w:lang w:eastAsia="en-US"/>
              </w:rPr>
            </w:pPr>
            <w:r w:rsidRPr="0030503C">
              <w:rPr>
                <w:rFonts w:asciiTheme="minorHAnsi" w:eastAsia="Calibri" w:hAnsiTheme="minorHAnsi" w:cstheme="minorHAnsi"/>
                <w:b/>
                <w:sz w:val="22"/>
                <w:szCs w:val="22"/>
                <w:lang w:eastAsia="en-US"/>
              </w:rPr>
              <w:t>804</w:t>
            </w:r>
          </w:p>
        </w:tc>
        <w:tc>
          <w:tcPr>
            <w:tcW w:w="1191" w:type="dxa"/>
          </w:tcPr>
          <w:p w14:paraId="247153FF" w14:textId="77777777" w:rsidR="0030503C" w:rsidRPr="0030503C" w:rsidRDefault="0030503C" w:rsidP="000678CF">
            <w:pPr>
              <w:rPr>
                <w:rFonts w:asciiTheme="minorHAnsi" w:eastAsia="Calibri" w:hAnsiTheme="minorHAnsi" w:cstheme="minorHAnsi"/>
                <w:b/>
                <w:sz w:val="22"/>
                <w:szCs w:val="22"/>
                <w:lang w:eastAsia="en-US"/>
              </w:rPr>
            </w:pPr>
            <w:r w:rsidRPr="0030503C">
              <w:rPr>
                <w:rFonts w:asciiTheme="minorHAnsi" w:eastAsia="Calibri" w:hAnsiTheme="minorHAnsi" w:cstheme="minorHAnsi"/>
                <w:b/>
                <w:sz w:val="22"/>
                <w:szCs w:val="22"/>
                <w:lang w:eastAsia="en-US"/>
              </w:rPr>
              <w:t>689-934</w:t>
            </w:r>
          </w:p>
        </w:tc>
        <w:tc>
          <w:tcPr>
            <w:tcW w:w="368" w:type="dxa"/>
          </w:tcPr>
          <w:p w14:paraId="2AB01982" w14:textId="77777777" w:rsidR="0030503C" w:rsidRPr="0030503C" w:rsidRDefault="0030503C" w:rsidP="000678CF">
            <w:pPr>
              <w:rPr>
                <w:rFonts w:asciiTheme="minorHAnsi" w:eastAsia="Calibri" w:hAnsiTheme="minorHAnsi" w:cstheme="minorHAnsi"/>
                <w:sz w:val="22"/>
                <w:szCs w:val="22"/>
                <w:lang w:eastAsia="en-US"/>
              </w:rPr>
            </w:pPr>
          </w:p>
        </w:tc>
        <w:tc>
          <w:tcPr>
            <w:tcW w:w="1134" w:type="dxa"/>
          </w:tcPr>
          <w:p w14:paraId="40CF48B9" w14:textId="05682A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rPr>
              <w:t>148</w:t>
            </w:r>
          </w:p>
        </w:tc>
        <w:tc>
          <w:tcPr>
            <w:tcW w:w="1418" w:type="dxa"/>
          </w:tcPr>
          <w:p w14:paraId="6B25B965"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164</w:t>
            </w:r>
          </w:p>
        </w:tc>
        <w:tc>
          <w:tcPr>
            <w:tcW w:w="1366" w:type="dxa"/>
          </w:tcPr>
          <w:p w14:paraId="21464FE1"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114-228</w:t>
            </w:r>
          </w:p>
        </w:tc>
      </w:tr>
      <w:tr w:rsidR="0030503C" w:rsidRPr="0030503C" w14:paraId="398D283D" w14:textId="77777777" w:rsidTr="00E36B8D">
        <w:trPr>
          <w:trHeight w:val="340"/>
          <w:jc w:val="center"/>
        </w:trPr>
        <w:tc>
          <w:tcPr>
            <w:tcW w:w="929" w:type="dxa"/>
            <w:hideMark/>
          </w:tcPr>
          <w:p w14:paraId="5A605E5F"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60-69</w:t>
            </w:r>
          </w:p>
        </w:tc>
        <w:tc>
          <w:tcPr>
            <w:tcW w:w="294" w:type="dxa"/>
          </w:tcPr>
          <w:p w14:paraId="3E115561" w14:textId="77777777" w:rsidR="0030503C" w:rsidRPr="0030503C" w:rsidRDefault="0030503C" w:rsidP="000678CF">
            <w:pPr>
              <w:rPr>
                <w:rFonts w:asciiTheme="minorHAnsi" w:eastAsia="Calibri" w:hAnsiTheme="minorHAnsi" w:cstheme="minorHAnsi"/>
                <w:color w:val="FF0000"/>
                <w:sz w:val="22"/>
                <w:szCs w:val="22"/>
                <w:lang w:eastAsia="en-US"/>
              </w:rPr>
            </w:pPr>
          </w:p>
        </w:tc>
        <w:tc>
          <w:tcPr>
            <w:tcW w:w="1275" w:type="dxa"/>
          </w:tcPr>
          <w:p w14:paraId="3A052F2C" w14:textId="5FCC1102"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sz w:val="22"/>
                <w:szCs w:val="22"/>
              </w:rPr>
              <w:t>497</w:t>
            </w:r>
          </w:p>
        </w:tc>
        <w:tc>
          <w:tcPr>
            <w:tcW w:w="1131" w:type="dxa"/>
          </w:tcPr>
          <w:p w14:paraId="73EF8904" w14:textId="77777777" w:rsidR="0030503C" w:rsidRPr="0030503C" w:rsidRDefault="0030503C" w:rsidP="000678CF">
            <w:pPr>
              <w:rPr>
                <w:rFonts w:asciiTheme="minorHAnsi" w:eastAsia="Calibri" w:hAnsiTheme="minorHAnsi" w:cstheme="minorHAnsi"/>
                <w:b/>
                <w:sz w:val="22"/>
                <w:szCs w:val="22"/>
                <w:lang w:eastAsia="en-US"/>
              </w:rPr>
            </w:pPr>
            <w:r w:rsidRPr="0030503C">
              <w:rPr>
                <w:rFonts w:asciiTheme="minorHAnsi" w:eastAsia="Calibri" w:hAnsiTheme="minorHAnsi" w:cstheme="minorHAnsi"/>
                <w:b/>
                <w:sz w:val="22"/>
                <w:szCs w:val="22"/>
                <w:lang w:eastAsia="en-US"/>
              </w:rPr>
              <w:t>673</w:t>
            </w:r>
          </w:p>
        </w:tc>
        <w:tc>
          <w:tcPr>
            <w:tcW w:w="1191" w:type="dxa"/>
          </w:tcPr>
          <w:p w14:paraId="47685D15" w14:textId="77777777" w:rsidR="0030503C" w:rsidRPr="0030503C" w:rsidRDefault="0030503C" w:rsidP="000678CF">
            <w:pPr>
              <w:rPr>
                <w:rFonts w:asciiTheme="minorHAnsi" w:eastAsia="Calibri" w:hAnsiTheme="minorHAnsi" w:cstheme="minorHAnsi"/>
                <w:b/>
                <w:sz w:val="22"/>
                <w:szCs w:val="22"/>
                <w:lang w:eastAsia="en-US"/>
              </w:rPr>
            </w:pPr>
            <w:r w:rsidRPr="0030503C">
              <w:rPr>
                <w:rFonts w:asciiTheme="minorHAnsi" w:eastAsia="Calibri" w:hAnsiTheme="minorHAnsi" w:cstheme="minorHAnsi"/>
                <w:b/>
                <w:sz w:val="22"/>
                <w:szCs w:val="22"/>
                <w:lang w:eastAsia="en-US"/>
              </w:rPr>
              <w:t>546-821</w:t>
            </w:r>
          </w:p>
        </w:tc>
        <w:tc>
          <w:tcPr>
            <w:tcW w:w="368" w:type="dxa"/>
          </w:tcPr>
          <w:p w14:paraId="09C7C793" w14:textId="77777777" w:rsidR="0030503C" w:rsidRPr="0030503C" w:rsidRDefault="0030503C" w:rsidP="000678CF">
            <w:pPr>
              <w:rPr>
                <w:rFonts w:asciiTheme="minorHAnsi" w:eastAsia="Calibri" w:hAnsiTheme="minorHAnsi" w:cstheme="minorHAnsi"/>
                <w:sz w:val="22"/>
                <w:szCs w:val="22"/>
                <w:lang w:eastAsia="en-US"/>
              </w:rPr>
            </w:pPr>
          </w:p>
        </w:tc>
        <w:tc>
          <w:tcPr>
            <w:tcW w:w="1134" w:type="dxa"/>
          </w:tcPr>
          <w:p w14:paraId="503FF6D1" w14:textId="78B059A1"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rPr>
              <w:t>188</w:t>
            </w:r>
          </w:p>
        </w:tc>
        <w:tc>
          <w:tcPr>
            <w:tcW w:w="1418" w:type="dxa"/>
          </w:tcPr>
          <w:p w14:paraId="40EC9468" w14:textId="77777777" w:rsidR="0030503C" w:rsidRPr="0030503C" w:rsidRDefault="0030503C" w:rsidP="000678CF">
            <w:pPr>
              <w:rPr>
                <w:rFonts w:asciiTheme="minorHAnsi" w:eastAsia="Calibri" w:hAnsiTheme="minorHAnsi" w:cstheme="minorHAnsi"/>
                <w:b/>
                <w:sz w:val="22"/>
                <w:szCs w:val="22"/>
                <w:lang w:eastAsia="en-US"/>
              </w:rPr>
            </w:pPr>
            <w:r w:rsidRPr="0030503C">
              <w:rPr>
                <w:rFonts w:asciiTheme="minorHAnsi" w:eastAsia="Calibri" w:hAnsiTheme="minorHAnsi" w:cstheme="minorHAnsi"/>
                <w:b/>
                <w:sz w:val="22"/>
                <w:szCs w:val="22"/>
                <w:lang w:eastAsia="en-US"/>
              </w:rPr>
              <w:t>271</w:t>
            </w:r>
          </w:p>
        </w:tc>
        <w:tc>
          <w:tcPr>
            <w:tcW w:w="1366" w:type="dxa"/>
          </w:tcPr>
          <w:p w14:paraId="4F062383" w14:textId="77777777" w:rsidR="0030503C" w:rsidRPr="0030503C" w:rsidRDefault="0030503C" w:rsidP="000678CF">
            <w:pPr>
              <w:rPr>
                <w:rFonts w:asciiTheme="minorHAnsi" w:eastAsia="Calibri" w:hAnsiTheme="minorHAnsi" w:cstheme="minorHAnsi"/>
                <w:b/>
                <w:sz w:val="22"/>
                <w:szCs w:val="22"/>
                <w:lang w:eastAsia="en-US"/>
              </w:rPr>
            </w:pPr>
            <w:r w:rsidRPr="0030503C">
              <w:rPr>
                <w:rFonts w:asciiTheme="minorHAnsi" w:eastAsia="Calibri" w:hAnsiTheme="minorHAnsi" w:cstheme="minorHAnsi"/>
                <w:b/>
                <w:sz w:val="22"/>
                <w:szCs w:val="22"/>
                <w:lang w:eastAsia="en-US"/>
              </w:rPr>
              <w:t>192-370</w:t>
            </w:r>
          </w:p>
        </w:tc>
      </w:tr>
      <w:tr w:rsidR="0030503C" w:rsidRPr="0030503C" w14:paraId="314FEE86" w14:textId="77777777" w:rsidTr="00E36B8D">
        <w:trPr>
          <w:trHeight w:val="340"/>
          <w:jc w:val="center"/>
        </w:trPr>
        <w:tc>
          <w:tcPr>
            <w:tcW w:w="929" w:type="dxa"/>
            <w:hideMark/>
          </w:tcPr>
          <w:p w14:paraId="774D8938"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70-79</w:t>
            </w:r>
          </w:p>
        </w:tc>
        <w:tc>
          <w:tcPr>
            <w:tcW w:w="294" w:type="dxa"/>
          </w:tcPr>
          <w:p w14:paraId="74961A1C" w14:textId="77777777" w:rsidR="0030503C" w:rsidRPr="0030503C" w:rsidRDefault="0030503C" w:rsidP="000678CF">
            <w:pPr>
              <w:rPr>
                <w:rFonts w:asciiTheme="minorHAnsi" w:eastAsia="Calibri" w:hAnsiTheme="minorHAnsi" w:cstheme="minorHAnsi"/>
                <w:color w:val="FF0000"/>
                <w:sz w:val="22"/>
                <w:szCs w:val="22"/>
                <w:lang w:eastAsia="en-US"/>
              </w:rPr>
            </w:pPr>
          </w:p>
        </w:tc>
        <w:tc>
          <w:tcPr>
            <w:tcW w:w="1275" w:type="dxa"/>
          </w:tcPr>
          <w:p w14:paraId="3D748C3F" w14:textId="768C5735"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sz w:val="22"/>
                <w:szCs w:val="22"/>
              </w:rPr>
              <w:t>640</w:t>
            </w:r>
          </w:p>
        </w:tc>
        <w:tc>
          <w:tcPr>
            <w:tcW w:w="1131" w:type="dxa"/>
          </w:tcPr>
          <w:p w14:paraId="3B353244"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743</w:t>
            </w:r>
          </w:p>
        </w:tc>
        <w:tc>
          <w:tcPr>
            <w:tcW w:w="1191" w:type="dxa"/>
          </w:tcPr>
          <w:p w14:paraId="02D62B54"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556-971</w:t>
            </w:r>
          </w:p>
        </w:tc>
        <w:tc>
          <w:tcPr>
            <w:tcW w:w="368" w:type="dxa"/>
          </w:tcPr>
          <w:p w14:paraId="6D48FA13" w14:textId="77777777" w:rsidR="0030503C" w:rsidRPr="0030503C" w:rsidRDefault="0030503C" w:rsidP="000678CF">
            <w:pPr>
              <w:rPr>
                <w:rFonts w:asciiTheme="minorHAnsi" w:eastAsia="Calibri" w:hAnsiTheme="minorHAnsi" w:cstheme="minorHAnsi"/>
                <w:sz w:val="22"/>
                <w:szCs w:val="22"/>
                <w:lang w:eastAsia="en-US"/>
              </w:rPr>
            </w:pPr>
          </w:p>
        </w:tc>
        <w:tc>
          <w:tcPr>
            <w:tcW w:w="1134" w:type="dxa"/>
          </w:tcPr>
          <w:p w14:paraId="23AE8C77" w14:textId="56638F7A"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rPr>
              <w:t>332</w:t>
            </w:r>
          </w:p>
        </w:tc>
        <w:tc>
          <w:tcPr>
            <w:tcW w:w="1418" w:type="dxa"/>
          </w:tcPr>
          <w:p w14:paraId="7A4F6873"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294</w:t>
            </w:r>
          </w:p>
        </w:tc>
        <w:tc>
          <w:tcPr>
            <w:tcW w:w="1366" w:type="dxa"/>
          </w:tcPr>
          <w:p w14:paraId="5366FEF5"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182-450</w:t>
            </w:r>
          </w:p>
        </w:tc>
      </w:tr>
      <w:tr w:rsidR="0030503C" w:rsidRPr="0030503C" w14:paraId="03599248" w14:textId="77777777" w:rsidTr="00E36B8D">
        <w:trPr>
          <w:trHeight w:val="340"/>
          <w:jc w:val="center"/>
        </w:trPr>
        <w:tc>
          <w:tcPr>
            <w:tcW w:w="929" w:type="dxa"/>
          </w:tcPr>
          <w:p w14:paraId="627E4546"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80-89</w:t>
            </w:r>
          </w:p>
        </w:tc>
        <w:tc>
          <w:tcPr>
            <w:tcW w:w="294" w:type="dxa"/>
          </w:tcPr>
          <w:p w14:paraId="213469EB" w14:textId="77777777" w:rsidR="0030503C" w:rsidRPr="0030503C" w:rsidRDefault="0030503C" w:rsidP="000678CF">
            <w:pPr>
              <w:rPr>
                <w:rFonts w:asciiTheme="minorHAnsi" w:eastAsia="Calibri" w:hAnsiTheme="minorHAnsi" w:cstheme="minorHAnsi"/>
                <w:color w:val="FF0000"/>
                <w:sz w:val="22"/>
                <w:szCs w:val="22"/>
                <w:lang w:eastAsia="en-US"/>
              </w:rPr>
            </w:pPr>
          </w:p>
        </w:tc>
        <w:tc>
          <w:tcPr>
            <w:tcW w:w="1275" w:type="dxa"/>
          </w:tcPr>
          <w:p w14:paraId="72D02DE4" w14:textId="2721D3DF"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sz w:val="22"/>
                <w:szCs w:val="22"/>
              </w:rPr>
              <w:t>507</w:t>
            </w:r>
          </w:p>
        </w:tc>
        <w:tc>
          <w:tcPr>
            <w:tcW w:w="1131" w:type="dxa"/>
          </w:tcPr>
          <w:p w14:paraId="377D75A5"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748</w:t>
            </w:r>
          </w:p>
        </w:tc>
        <w:tc>
          <w:tcPr>
            <w:tcW w:w="1191" w:type="dxa"/>
          </w:tcPr>
          <w:p w14:paraId="6317117B" w14:textId="77777777" w:rsidR="0030503C" w:rsidRPr="0030503C" w:rsidRDefault="0030503C" w:rsidP="000678CF">
            <w:pPr>
              <w:rPr>
                <w:rFonts w:asciiTheme="minorHAnsi" w:eastAsia="Calibri" w:hAnsiTheme="minorHAnsi" w:cstheme="minorHAnsi"/>
                <w:sz w:val="22"/>
                <w:szCs w:val="22"/>
                <w:lang w:eastAsia="en-US"/>
              </w:rPr>
            </w:pPr>
            <w:r w:rsidRPr="0030503C">
              <w:rPr>
                <w:rFonts w:asciiTheme="minorHAnsi" w:eastAsia="Calibri" w:hAnsiTheme="minorHAnsi" w:cstheme="minorHAnsi"/>
                <w:sz w:val="22"/>
                <w:szCs w:val="22"/>
                <w:lang w:eastAsia="en-US"/>
              </w:rPr>
              <w:t>457-1156</w:t>
            </w:r>
          </w:p>
        </w:tc>
        <w:tc>
          <w:tcPr>
            <w:tcW w:w="368" w:type="dxa"/>
          </w:tcPr>
          <w:p w14:paraId="07069406" w14:textId="77777777" w:rsidR="0030503C" w:rsidRPr="0030503C" w:rsidRDefault="0030503C" w:rsidP="000678CF">
            <w:pPr>
              <w:rPr>
                <w:rFonts w:asciiTheme="minorHAnsi" w:eastAsia="Calibri" w:hAnsiTheme="minorHAnsi" w:cstheme="minorHAnsi"/>
                <w:sz w:val="22"/>
                <w:szCs w:val="22"/>
                <w:lang w:eastAsia="en-US"/>
              </w:rPr>
            </w:pPr>
          </w:p>
        </w:tc>
        <w:tc>
          <w:tcPr>
            <w:tcW w:w="1134" w:type="dxa"/>
          </w:tcPr>
          <w:p w14:paraId="226952B8" w14:textId="1B7168F5" w:rsidR="0030503C" w:rsidRPr="0030503C" w:rsidRDefault="0030503C" w:rsidP="000678CF">
            <w:pPr>
              <w:rPr>
                <w:rFonts w:asciiTheme="minorHAnsi" w:eastAsia="Calibri" w:hAnsiTheme="minorHAnsi" w:cstheme="minorHAnsi"/>
                <w:sz w:val="22"/>
                <w:szCs w:val="22"/>
                <w:lang w:eastAsia="en-US"/>
              </w:rPr>
            </w:pPr>
            <w:r w:rsidRPr="0030503C">
              <w:rPr>
                <w:rFonts w:asciiTheme="minorHAnsi" w:hAnsiTheme="minorHAnsi"/>
              </w:rPr>
              <w:t>338</w:t>
            </w:r>
          </w:p>
        </w:tc>
        <w:tc>
          <w:tcPr>
            <w:tcW w:w="1418" w:type="dxa"/>
          </w:tcPr>
          <w:p w14:paraId="3D971A96" w14:textId="77777777" w:rsidR="0030503C" w:rsidRPr="0030503C" w:rsidRDefault="0030503C" w:rsidP="000678CF">
            <w:pPr>
              <w:rPr>
                <w:rFonts w:asciiTheme="minorHAnsi" w:eastAsia="Calibri" w:hAnsiTheme="minorHAnsi" w:cstheme="minorHAnsi"/>
                <w:b/>
                <w:sz w:val="22"/>
                <w:szCs w:val="22"/>
                <w:lang w:eastAsia="en-US"/>
              </w:rPr>
            </w:pPr>
            <w:r w:rsidRPr="0030503C">
              <w:rPr>
                <w:rFonts w:asciiTheme="minorHAnsi" w:eastAsia="Calibri" w:hAnsiTheme="minorHAnsi" w:cstheme="minorHAnsi"/>
                <w:b/>
                <w:sz w:val="22"/>
                <w:szCs w:val="22"/>
                <w:lang w:eastAsia="en-US"/>
              </w:rPr>
              <w:t>599</w:t>
            </w:r>
          </w:p>
        </w:tc>
        <w:tc>
          <w:tcPr>
            <w:tcW w:w="1366" w:type="dxa"/>
          </w:tcPr>
          <w:p w14:paraId="68E3B9BE" w14:textId="77777777" w:rsidR="0030503C" w:rsidRPr="0030503C" w:rsidRDefault="0030503C" w:rsidP="000678CF">
            <w:pPr>
              <w:rPr>
                <w:rFonts w:asciiTheme="minorHAnsi" w:eastAsia="Calibri" w:hAnsiTheme="minorHAnsi" w:cstheme="minorHAnsi"/>
                <w:b/>
                <w:sz w:val="22"/>
                <w:szCs w:val="22"/>
                <w:lang w:eastAsia="en-US"/>
              </w:rPr>
            </w:pPr>
            <w:r w:rsidRPr="0030503C">
              <w:rPr>
                <w:rFonts w:asciiTheme="minorHAnsi" w:eastAsia="Calibri" w:hAnsiTheme="minorHAnsi" w:cstheme="minorHAnsi"/>
                <w:b/>
                <w:sz w:val="22"/>
                <w:szCs w:val="22"/>
                <w:lang w:eastAsia="en-US"/>
              </w:rPr>
              <w:t>342-972</w:t>
            </w:r>
          </w:p>
        </w:tc>
      </w:tr>
    </w:tbl>
    <w:p w14:paraId="029AF85D" w14:textId="0E36A982" w:rsidR="0019046B" w:rsidRPr="00A81361" w:rsidRDefault="0019046B" w:rsidP="00045C87">
      <w:pPr>
        <w:ind w:left="567" w:right="1133"/>
        <w:rPr>
          <w:rFonts w:ascii="Calibri" w:eastAsia="Calibri" w:hAnsi="Calibri"/>
          <w:sz w:val="22"/>
          <w:szCs w:val="22"/>
          <w:lang w:val="en-GB" w:eastAsia="en-US"/>
        </w:rPr>
      </w:pPr>
    </w:p>
    <w:p w14:paraId="6968C935" w14:textId="77777777" w:rsidR="001D5D96" w:rsidRPr="00A81361" w:rsidRDefault="001D5D96" w:rsidP="00D15FBC">
      <w:pPr>
        <w:spacing w:line="276" w:lineRule="auto"/>
        <w:ind w:right="1275"/>
        <w:rPr>
          <w:rFonts w:asciiTheme="minorHAnsi" w:hAnsiTheme="minorHAnsi" w:cstheme="minorHAnsi"/>
          <w:highlight w:val="yellow"/>
          <w:lang w:val="en-GB"/>
        </w:rPr>
      </w:pPr>
    </w:p>
    <w:p w14:paraId="4F045FEF" w14:textId="75E134A1" w:rsidR="0085273D" w:rsidRPr="00A81361" w:rsidRDefault="0085273D" w:rsidP="0030661D">
      <w:pPr>
        <w:spacing w:line="276" w:lineRule="auto"/>
        <w:ind w:left="567" w:right="1275"/>
        <w:rPr>
          <w:rFonts w:asciiTheme="minorHAnsi" w:hAnsiTheme="minorHAnsi" w:cstheme="minorHAnsi"/>
          <w:highlight w:val="yellow"/>
          <w:lang w:val="en-GB"/>
        </w:rPr>
      </w:pPr>
    </w:p>
    <w:p w14:paraId="5BACF867" w14:textId="67D84B9C" w:rsidR="0085273D" w:rsidRDefault="00CF7D2E" w:rsidP="0030661D">
      <w:pPr>
        <w:spacing w:line="276" w:lineRule="auto"/>
        <w:ind w:left="567" w:right="1275"/>
        <w:rPr>
          <w:rFonts w:asciiTheme="minorHAnsi" w:hAnsiTheme="minorHAnsi" w:cstheme="minorHAnsi"/>
          <w:lang w:val="en-GB"/>
        </w:rPr>
      </w:pPr>
      <w:r w:rsidRPr="00CF7D2E">
        <w:rPr>
          <w:rFonts w:asciiTheme="minorHAnsi" w:hAnsiTheme="minorHAnsi" w:cstheme="minorHAnsi"/>
          <w:noProof/>
          <w:lang w:val="en-GB" w:eastAsia="en-GB"/>
        </w:rPr>
        <w:drawing>
          <wp:anchor distT="0" distB="0" distL="114300" distR="114300" simplePos="0" relativeHeight="251658240" behindDoc="0" locked="0" layoutInCell="1" allowOverlap="1" wp14:anchorId="1CDE3035" wp14:editId="27D00178">
            <wp:simplePos x="0" y="0"/>
            <wp:positionH relativeFrom="column">
              <wp:posOffset>337185</wp:posOffset>
            </wp:positionH>
            <wp:positionV relativeFrom="paragraph">
              <wp:posOffset>1439545</wp:posOffset>
            </wp:positionV>
            <wp:extent cx="5323840" cy="252857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25000" b="11666"/>
                    <a:stretch/>
                  </pic:blipFill>
                  <pic:spPr bwMode="auto">
                    <a:xfrm>
                      <a:off x="0" y="0"/>
                      <a:ext cx="5323840" cy="2528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273D" w:rsidRPr="00A04623">
        <w:rPr>
          <w:rFonts w:asciiTheme="minorHAnsi" w:hAnsiTheme="minorHAnsi" w:cstheme="minorHAnsi"/>
          <w:lang w:val="en-GB"/>
        </w:rPr>
        <w:t xml:space="preserve">The 10-year probability of major osteoporotic fracture and hip fracture in </w:t>
      </w:r>
      <w:r w:rsidR="009B22FE" w:rsidRPr="00A04623">
        <w:rPr>
          <w:rFonts w:asciiTheme="minorHAnsi" w:hAnsiTheme="minorHAnsi" w:cstheme="minorHAnsi"/>
          <w:lang w:val="en-GB"/>
        </w:rPr>
        <w:t>Kaza</w:t>
      </w:r>
      <w:r w:rsidR="00A04623" w:rsidRPr="00A04623">
        <w:rPr>
          <w:rFonts w:asciiTheme="minorHAnsi" w:hAnsiTheme="minorHAnsi" w:cstheme="minorHAnsi"/>
          <w:lang w:val="en-GB"/>
        </w:rPr>
        <w:t xml:space="preserve">khstan </w:t>
      </w:r>
      <w:r w:rsidR="0085273D" w:rsidRPr="00A04623">
        <w:rPr>
          <w:rFonts w:asciiTheme="minorHAnsi" w:hAnsiTheme="minorHAnsi" w:cstheme="minorHAnsi"/>
          <w:lang w:val="en-GB"/>
        </w:rPr>
        <w:t xml:space="preserve">and neighbouring countries is shown in figure </w:t>
      </w:r>
      <w:r w:rsidR="00440930">
        <w:rPr>
          <w:rFonts w:asciiTheme="minorHAnsi" w:hAnsiTheme="minorHAnsi" w:cstheme="minorHAnsi"/>
          <w:lang w:val="en-GB"/>
        </w:rPr>
        <w:t>1</w:t>
      </w:r>
      <w:r w:rsidR="0085273D" w:rsidRPr="00A04623">
        <w:rPr>
          <w:lang w:val="en-GB"/>
        </w:rPr>
        <w:t xml:space="preserve"> </w:t>
      </w:r>
      <w:r w:rsidR="0085273D" w:rsidRPr="00A04623">
        <w:rPr>
          <w:rFonts w:asciiTheme="minorHAnsi" w:hAnsiTheme="minorHAnsi" w:cstheme="minorHAnsi"/>
          <w:lang w:val="en-GB"/>
        </w:rPr>
        <w:t xml:space="preserve">in women with a prior fracture by age.  </w:t>
      </w:r>
      <w:r w:rsidR="002C59A2" w:rsidRPr="00A04623">
        <w:rPr>
          <w:rFonts w:asciiTheme="minorHAnsi" w:hAnsiTheme="minorHAnsi" w:cstheme="minorHAnsi"/>
          <w:lang w:val="en-GB"/>
        </w:rPr>
        <w:t>Ten-year</w:t>
      </w:r>
      <w:r w:rsidR="0085273D" w:rsidRPr="00A04623">
        <w:rPr>
          <w:rFonts w:asciiTheme="minorHAnsi" w:hAnsiTheme="minorHAnsi" w:cstheme="minorHAnsi"/>
          <w:lang w:val="en-GB"/>
        </w:rPr>
        <w:t xml:space="preserve"> probabilities were consistently higher than in the </w:t>
      </w:r>
      <w:r w:rsidR="00440930" w:rsidRPr="00A04623">
        <w:rPr>
          <w:rFonts w:asciiTheme="minorHAnsi" w:hAnsiTheme="minorHAnsi" w:cstheme="minorHAnsi"/>
          <w:lang w:val="en-GB"/>
        </w:rPr>
        <w:t>neighbouring</w:t>
      </w:r>
      <w:r w:rsidR="0085273D" w:rsidRPr="00A04623">
        <w:rPr>
          <w:rFonts w:asciiTheme="minorHAnsi" w:hAnsiTheme="minorHAnsi" w:cstheme="minorHAnsi"/>
          <w:lang w:val="en-GB"/>
        </w:rPr>
        <w:t xml:space="preserve"> countr</w:t>
      </w:r>
      <w:r w:rsidR="004865BB">
        <w:rPr>
          <w:rFonts w:asciiTheme="minorHAnsi" w:hAnsiTheme="minorHAnsi" w:cstheme="minorHAnsi"/>
          <w:lang w:val="en-GB"/>
        </w:rPr>
        <w:t>y</w:t>
      </w:r>
      <w:r w:rsidR="0085273D" w:rsidRPr="00A04623">
        <w:rPr>
          <w:rFonts w:asciiTheme="minorHAnsi" w:hAnsiTheme="minorHAnsi" w:cstheme="minorHAnsi"/>
          <w:lang w:val="en-GB"/>
        </w:rPr>
        <w:t xml:space="preserve"> of </w:t>
      </w:r>
      <w:r w:rsidR="004865BB">
        <w:rPr>
          <w:rFonts w:asciiTheme="minorHAnsi" w:hAnsiTheme="minorHAnsi" w:cstheme="minorHAnsi"/>
          <w:lang w:val="en-GB"/>
        </w:rPr>
        <w:t>China</w:t>
      </w:r>
      <w:r w:rsidR="00F95C13">
        <w:rPr>
          <w:rFonts w:asciiTheme="minorHAnsi" w:hAnsiTheme="minorHAnsi" w:cstheme="minorHAnsi"/>
          <w:lang w:val="en-GB"/>
        </w:rPr>
        <w:t xml:space="preserve">.  In the case of </w:t>
      </w:r>
      <w:r w:rsidR="00E676F6">
        <w:rPr>
          <w:rFonts w:asciiTheme="minorHAnsi" w:hAnsiTheme="minorHAnsi" w:cstheme="minorHAnsi"/>
          <w:lang w:val="en-GB"/>
        </w:rPr>
        <w:t xml:space="preserve">Russia, </w:t>
      </w:r>
      <w:r w:rsidR="00E676F6" w:rsidRPr="00A04623">
        <w:rPr>
          <w:rFonts w:asciiTheme="minorHAnsi" w:hAnsiTheme="minorHAnsi" w:cstheme="minorHAnsi"/>
          <w:lang w:val="en-GB"/>
        </w:rPr>
        <w:t>10</w:t>
      </w:r>
      <w:r w:rsidR="003E02E3">
        <w:rPr>
          <w:rFonts w:asciiTheme="minorHAnsi" w:hAnsiTheme="minorHAnsi" w:cstheme="minorHAnsi"/>
          <w:lang w:val="en-GB"/>
        </w:rPr>
        <w:t>-year probabilities o</w:t>
      </w:r>
      <w:r w:rsidR="00EA7B58">
        <w:rPr>
          <w:rFonts w:asciiTheme="minorHAnsi" w:hAnsiTheme="minorHAnsi" w:cstheme="minorHAnsi"/>
          <w:lang w:val="en-GB"/>
        </w:rPr>
        <w:t>f a major fracture were similar to those of Kaza</w:t>
      </w:r>
      <w:r w:rsidR="003944DD">
        <w:rPr>
          <w:rFonts w:asciiTheme="minorHAnsi" w:hAnsiTheme="minorHAnsi" w:cstheme="minorHAnsi"/>
          <w:lang w:val="en-GB"/>
        </w:rPr>
        <w:t>khstan</w:t>
      </w:r>
      <w:r w:rsidR="003E0EA6">
        <w:rPr>
          <w:rFonts w:asciiTheme="minorHAnsi" w:hAnsiTheme="minorHAnsi" w:cstheme="minorHAnsi"/>
          <w:lang w:val="en-GB"/>
        </w:rPr>
        <w:t xml:space="preserve"> but for hip fracture, the probabilities in Russia were </w:t>
      </w:r>
      <w:r w:rsidR="000D6C42">
        <w:rPr>
          <w:rFonts w:asciiTheme="minorHAnsi" w:hAnsiTheme="minorHAnsi" w:cstheme="minorHAnsi"/>
          <w:lang w:val="en-GB"/>
        </w:rPr>
        <w:t>substantially lower than thos</w:t>
      </w:r>
      <w:r w:rsidR="00F643DF">
        <w:rPr>
          <w:rFonts w:asciiTheme="minorHAnsi" w:hAnsiTheme="minorHAnsi" w:cstheme="minorHAnsi"/>
          <w:lang w:val="en-GB"/>
        </w:rPr>
        <w:t>e</w:t>
      </w:r>
      <w:r w:rsidR="000D6C42">
        <w:rPr>
          <w:rFonts w:asciiTheme="minorHAnsi" w:hAnsiTheme="minorHAnsi" w:cstheme="minorHAnsi"/>
          <w:lang w:val="en-GB"/>
        </w:rPr>
        <w:t xml:space="preserve"> in </w:t>
      </w:r>
      <w:r w:rsidR="00F643DF" w:rsidRPr="00F643DF">
        <w:rPr>
          <w:rFonts w:asciiTheme="minorHAnsi" w:hAnsiTheme="minorHAnsi" w:cstheme="minorHAnsi"/>
          <w:lang w:val="en-GB"/>
        </w:rPr>
        <w:t>Kazakhstan</w:t>
      </w:r>
      <w:r w:rsidR="0085273D" w:rsidRPr="00A04623">
        <w:rPr>
          <w:rFonts w:asciiTheme="minorHAnsi" w:hAnsiTheme="minorHAnsi" w:cstheme="minorHAnsi"/>
          <w:lang w:val="en-GB"/>
        </w:rPr>
        <w:t>.</w:t>
      </w:r>
    </w:p>
    <w:p w14:paraId="7419CA8C" w14:textId="05494B3E" w:rsidR="00E42E40" w:rsidRPr="00E676F6" w:rsidRDefault="00E42E40" w:rsidP="00EC23E2">
      <w:pPr>
        <w:pStyle w:val="Heading1"/>
        <w:spacing w:line="276" w:lineRule="auto"/>
        <w:ind w:left="567" w:right="1275" w:firstLine="0"/>
        <w:jc w:val="left"/>
        <w:rPr>
          <w:rFonts w:asciiTheme="minorHAnsi" w:hAnsiTheme="minorHAnsi" w:cstheme="minorHAnsi"/>
          <w:color w:val="auto"/>
          <w:sz w:val="22"/>
          <w:szCs w:val="22"/>
          <w:lang w:val="en-GB"/>
        </w:rPr>
      </w:pPr>
      <w:r w:rsidRPr="00E676F6">
        <w:rPr>
          <w:rFonts w:asciiTheme="minorHAnsi" w:hAnsiTheme="minorHAnsi" w:cstheme="minorHAnsi"/>
          <w:b/>
          <w:color w:val="auto"/>
          <w:sz w:val="22"/>
          <w:szCs w:val="22"/>
          <w:lang w:val="en-GB"/>
        </w:rPr>
        <w:t xml:space="preserve">Fig. </w:t>
      </w:r>
      <w:r w:rsidR="00501803" w:rsidRPr="00E676F6">
        <w:rPr>
          <w:rFonts w:asciiTheme="minorHAnsi" w:hAnsiTheme="minorHAnsi" w:cstheme="minorHAnsi"/>
          <w:b/>
          <w:color w:val="auto"/>
          <w:sz w:val="22"/>
          <w:szCs w:val="22"/>
          <w:lang w:val="en-GB"/>
        </w:rPr>
        <w:t>1</w:t>
      </w:r>
      <w:r w:rsidRPr="00E676F6">
        <w:rPr>
          <w:rFonts w:asciiTheme="minorHAnsi" w:hAnsiTheme="minorHAnsi" w:cstheme="minorHAnsi"/>
          <w:color w:val="auto"/>
          <w:sz w:val="22"/>
          <w:szCs w:val="22"/>
          <w:lang w:val="en-GB"/>
        </w:rPr>
        <w:t xml:space="preserve"> 10-year probability of a major osteoporotic fracture</w:t>
      </w:r>
      <w:r w:rsidR="00EC23E2" w:rsidRPr="00E676F6">
        <w:rPr>
          <w:rFonts w:asciiTheme="minorHAnsi" w:hAnsiTheme="minorHAnsi" w:cstheme="minorHAnsi"/>
          <w:color w:val="auto"/>
          <w:sz w:val="22"/>
          <w:szCs w:val="22"/>
          <w:lang w:val="en-GB"/>
        </w:rPr>
        <w:t xml:space="preserve"> (left hand panel) and hip fracture (right)</w:t>
      </w:r>
      <w:r w:rsidRPr="00E676F6">
        <w:rPr>
          <w:rFonts w:asciiTheme="minorHAnsi" w:hAnsiTheme="minorHAnsi" w:cstheme="minorHAnsi"/>
          <w:color w:val="auto"/>
          <w:sz w:val="22"/>
          <w:szCs w:val="22"/>
          <w:lang w:val="en-GB"/>
        </w:rPr>
        <w:t xml:space="preserve"> </w:t>
      </w:r>
      <w:bookmarkStart w:id="11" w:name="_Hlk1749373"/>
      <w:r w:rsidRPr="00E676F6">
        <w:rPr>
          <w:rFonts w:asciiTheme="minorHAnsi" w:hAnsiTheme="minorHAnsi" w:cstheme="minorHAnsi"/>
          <w:color w:val="auto"/>
          <w:sz w:val="22"/>
          <w:szCs w:val="22"/>
          <w:lang w:val="en-GB"/>
        </w:rPr>
        <w:t xml:space="preserve">in women with a prior fracture by age </w:t>
      </w:r>
      <w:bookmarkEnd w:id="11"/>
      <w:r w:rsidRPr="00E676F6">
        <w:rPr>
          <w:rFonts w:asciiTheme="minorHAnsi" w:hAnsiTheme="minorHAnsi" w:cstheme="minorHAnsi"/>
          <w:color w:val="auto"/>
          <w:sz w:val="22"/>
          <w:szCs w:val="22"/>
          <w:lang w:val="en-GB"/>
        </w:rPr>
        <w:t xml:space="preserve">from </w:t>
      </w:r>
      <w:r w:rsidR="00CF5D72" w:rsidRPr="00E676F6">
        <w:rPr>
          <w:rFonts w:asciiTheme="minorHAnsi" w:hAnsiTheme="minorHAnsi" w:cstheme="minorHAnsi"/>
          <w:color w:val="auto"/>
          <w:sz w:val="22"/>
          <w:szCs w:val="22"/>
          <w:lang w:val="en-GB"/>
        </w:rPr>
        <w:t>Kazakhstan</w:t>
      </w:r>
      <w:r w:rsidRPr="00E676F6">
        <w:rPr>
          <w:rFonts w:asciiTheme="minorHAnsi" w:hAnsiTheme="minorHAnsi" w:cstheme="minorHAnsi"/>
          <w:color w:val="auto"/>
          <w:sz w:val="22"/>
          <w:szCs w:val="22"/>
          <w:lang w:val="en-GB"/>
        </w:rPr>
        <w:t xml:space="preserve">, </w:t>
      </w:r>
      <w:r w:rsidR="00CF5D72" w:rsidRPr="00E676F6">
        <w:rPr>
          <w:rFonts w:asciiTheme="minorHAnsi" w:hAnsiTheme="minorHAnsi" w:cstheme="minorHAnsi"/>
          <w:color w:val="auto"/>
          <w:sz w:val="22"/>
          <w:szCs w:val="22"/>
          <w:lang w:val="en-GB"/>
        </w:rPr>
        <w:t>Russi</w:t>
      </w:r>
      <w:r w:rsidR="00251D64">
        <w:rPr>
          <w:rFonts w:asciiTheme="minorHAnsi" w:hAnsiTheme="minorHAnsi" w:cstheme="minorHAnsi"/>
          <w:color w:val="auto"/>
          <w:sz w:val="22"/>
          <w:szCs w:val="22"/>
          <w:lang w:val="en-GB"/>
        </w:rPr>
        <w:t>a</w:t>
      </w:r>
      <w:r w:rsidRPr="00E676F6">
        <w:rPr>
          <w:rFonts w:asciiTheme="minorHAnsi" w:hAnsiTheme="minorHAnsi" w:cstheme="minorHAnsi"/>
          <w:color w:val="auto"/>
          <w:sz w:val="22"/>
          <w:szCs w:val="22"/>
          <w:lang w:val="en-GB"/>
        </w:rPr>
        <w:t xml:space="preserve"> and </w:t>
      </w:r>
      <w:r w:rsidR="00CF5D72" w:rsidRPr="00E676F6">
        <w:rPr>
          <w:rFonts w:asciiTheme="minorHAnsi" w:hAnsiTheme="minorHAnsi" w:cstheme="minorHAnsi"/>
          <w:color w:val="auto"/>
          <w:sz w:val="22"/>
          <w:szCs w:val="22"/>
          <w:lang w:val="en-GB"/>
        </w:rPr>
        <w:t>China</w:t>
      </w:r>
      <w:r w:rsidR="00EC23E2" w:rsidRPr="00E676F6">
        <w:rPr>
          <w:rFonts w:asciiTheme="minorHAnsi" w:hAnsiTheme="minorHAnsi" w:cstheme="minorHAnsi"/>
          <w:color w:val="auto"/>
          <w:sz w:val="22"/>
          <w:szCs w:val="22"/>
          <w:lang w:val="en-GB"/>
        </w:rPr>
        <w:t>.  Body mass index set to</w:t>
      </w:r>
      <w:r w:rsidR="00251D64">
        <w:rPr>
          <w:rFonts w:asciiTheme="minorHAnsi" w:hAnsiTheme="minorHAnsi" w:cstheme="minorHAnsi"/>
          <w:color w:val="auto"/>
          <w:sz w:val="22"/>
          <w:szCs w:val="22"/>
          <w:lang w:val="en-GB"/>
        </w:rPr>
        <w:t xml:space="preserve"> </w:t>
      </w:r>
      <w:r w:rsidR="00EC23E2" w:rsidRPr="00E676F6">
        <w:rPr>
          <w:rFonts w:asciiTheme="minorHAnsi" w:hAnsiTheme="minorHAnsi" w:cstheme="minorHAnsi"/>
          <w:color w:val="auto"/>
          <w:sz w:val="22"/>
          <w:szCs w:val="22"/>
          <w:lang w:val="en-GB"/>
        </w:rPr>
        <w:t>25kg/m</w:t>
      </w:r>
      <w:r w:rsidR="00EC23E2" w:rsidRPr="00E676F6">
        <w:rPr>
          <w:rFonts w:asciiTheme="minorHAnsi" w:hAnsiTheme="minorHAnsi" w:cstheme="minorHAnsi"/>
          <w:color w:val="auto"/>
          <w:sz w:val="22"/>
          <w:szCs w:val="22"/>
          <w:vertAlign w:val="superscript"/>
          <w:lang w:val="en-GB"/>
        </w:rPr>
        <w:t>2</w:t>
      </w:r>
      <w:r w:rsidR="00EC23E2" w:rsidRPr="00E676F6">
        <w:rPr>
          <w:rFonts w:asciiTheme="minorHAnsi" w:hAnsiTheme="minorHAnsi" w:cstheme="minorHAnsi"/>
          <w:color w:val="auto"/>
          <w:sz w:val="22"/>
          <w:szCs w:val="22"/>
          <w:lang w:val="en-GB"/>
        </w:rPr>
        <w:t>.</w:t>
      </w:r>
    </w:p>
    <w:p w14:paraId="791C5AD1" w14:textId="77777777" w:rsidR="00203E50" w:rsidRPr="00A81361" w:rsidRDefault="00203E50" w:rsidP="00203E50">
      <w:pPr>
        <w:rPr>
          <w:highlight w:val="yellow"/>
          <w:lang w:val="en-GB" w:eastAsia="en-US"/>
        </w:rPr>
      </w:pPr>
    </w:p>
    <w:p w14:paraId="38B692E5" w14:textId="17682A2C" w:rsidR="0085273D" w:rsidRPr="0035502E" w:rsidRDefault="0085273D" w:rsidP="0035502E">
      <w:pPr>
        <w:autoSpaceDE w:val="0"/>
        <w:autoSpaceDN w:val="0"/>
        <w:adjustRightInd w:val="0"/>
        <w:spacing w:after="120" w:line="276" w:lineRule="auto"/>
        <w:ind w:left="567"/>
        <w:rPr>
          <w:rFonts w:asciiTheme="minorHAnsi" w:eastAsia="MS Mincho" w:hAnsiTheme="minorHAnsi" w:cstheme="minorHAnsi"/>
          <w:color w:val="000000"/>
          <w:lang w:val="en-GB" w:eastAsia="ja-JP"/>
        </w:rPr>
      </w:pPr>
      <w:r w:rsidRPr="0035502E">
        <w:rPr>
          <w:rFonts w:asciiTheme="minorHAnsi" w:eastAsia="MS Mincho" w:hAnsiTheme="minorHAnsi" w:cstheme="minorHAnsi"/>
          <w:color w:val="000000"/>
          <w:lang w:val="en-GB" w:eastAsia="ja-JP"/>
        </w:rPr>
        <w:t xml:space="preserve">Lifetime probabilities for hip fracture are shown in Table </w:t>
      </w:r>
      <w:r w:rsidR="00A110D3" w:rsidRPr="0035502E">
        <w:rPr>
          <w:rFonts w:asciiTheme="minorHAnsi" w:eastAsia="MS Mincho" w:hAnsiTheme="minorHAnsi" w:cstheme="minorHAnsi"/>
          <w:color w:val="000000"/>
          <w:lang w:val="en-GB" w:eastAsia="ja-JP"/>
        </w:rPr>
        <w:t>5</w:t>
      </w:r>
      <w:r w:rsidR="005D646E" w:rsidRPr="0035502E">
        <w:rPr>
          <w:rFonts w:asciiTheme="minorHAnsi" w:eastAsia="MS Mincho" w:hAnsiTheme="minorHAnsi" w:cstheme="minorHAnsi"/>
          <w:color w:val="000000"/>
          <w:lang w:val="en-GB" w:eastAsia="ja-JP"/>
        </w:rPr>
        <w:t xml:space="preserve">.  As was the case for </w:t>
      </w:r>
      <w:r w:rsidR="002049ED" w:rsidRPr="0035502E">
        <w:rPr>
          <w:rFonts w:asciiTheme="minorHAnsi" w:eastAsia="MS Mincho" w:hAnsiTheme="minorHAnsi" w:cstheme="minorHAnsi"/>
          <w:color w:val="000000"/>
          <w:lang w:val="en-GB" w:eastAsia="ja-JP"/>
        </w:rPr>
        <w:t xml:space="preserve">10-year probabilities, </w:t>
      </w:r>
      <w:r w:rsidR="00251D64" w:rsidRPr="0035502E">
        <w:rPr>
          <w:rFonts w:asciiTheme="minorHAnsi" w:eastAsia="MS Mincho" w:hAnsiTheme="minorHAnsi" w:cstheme="minorHAnsi"/>
          <w:color w:val="000000"/>
          <w:lang w:val="en-GB" w:eastAsia="ja-JP"/>
        </w:rPr>
        <w:t>lifetime probability</w:t>
      </w:r>
      <w:r w:rsidR="00F013C5" w:rsidRPr="0035502E">
        <w:rPr>
          <w:rFonts w:asciiTheme="minorHAnsi" w:eastAsia="MS Mincho" w:hAnsiTheme="minorHAnsi" w:cstheme="minorHAnsi"/>
          <w:color w:val="000000"/>
          <w:lang w:val="en-GB" w:eastAsia="ja-JP"/>
        </w:rPr>
        <w:t xml:space="preserve"> of hip fracture</w:t>
      </w:r>
      <w:r w:rsidR="006D46A0" w:rsidRPr="0035502E">
        <w:rPr>
          <w:rFonts w:asciiTheme="minorHAnsi" w:eastAsia="MS Mincho" w:hAnsiTheme="minorHAnsi" w:cstheme="minorHAnsi"/>
          <w:color w:val="000000"/>
          <w:lang w:val="en-GB" w:eastAsia="ja-JP"/>
        </w:rPr>
        <w:t xml:space="preserve"> was</w:t>
      </w:r>
      <w:r w:rsidR="009C5BF9" w:rsidRPr="0035502E">
        <w:rPr>
          <w:rFonts w:asciiTheme="minorHAnsi" w:eastAsia="MS Mincho" w:hAnsiTheme="minorHAnsi" w:cstheme="minorHAnsi"/>
          <w:color w:val="000000"/>
          <w:lang w:val="en-GB" w:eastAsia="ja-JP"/>
        </w:rPr>
        <w:t xml:space="preserve"> higher than that of </w:t>
      </w:r>
      <w:r w:rsidR="00E926B3" w:rsidRPr="0035502E">
        <w:rPr>
          <w:rFonts w:asciiTheme="minorHAnsi" w:eastAsia="MS Mincho" w:hAnsiTheme="minorHAnsi" w:cstheme="minorHAnsi"/>
          <w:color w:val="000000"/>
          <w:lang w:val="en-GB" w:eastAsia="ja-JP"/>
        </w:rPr>
        <w:t>Russians or Chinese</w:t>
      </w:r>
      <w:r w:rsidR="002B2DB8" w:rsidRPr="0035502E">
        <w:rPr>
          <w:rFonts w:asciiTheme="minorHAnsi" w:eastAsia="MS Mincho" w:hAnsiTheme="minorHAnsi" w:cstheme="minorHAnsi"/>
          <w:color w:val="000000"/>
          <w:lang w:val="en-GB" w:eastAsia="ja-JP"/>
        </w:rPr>
        <w:t xml:space="preserve"> but substantially lower than </w:t>
      </w:r>
      <w:r w:rsidR="001A46B5" w:rsidRPr="0035502E">
        <w:rPr>
          <w:rFonts w:asciiTheme="minorHAnsi" w:eastAsia="MS Mincho" w:hAnsiTheme="minorHAnsi" w:cstheme="minorHAnsi"/>
          <w:color w:val="000000"/>
          <w:lang w:val="en-GB" w:eastAsia="ja-JP"/>
        </w:rPr>
        <w:t>rates in Western Europe an</w:t>
      </w:r>
      <w:r w:rsidR="003A7979" w:rsidRPr="0035502E">
        <w:rPr>
          <w:rFonts w:asciiTheme="minorHAnsi" w:eastAsia="MS Mincho" w:hAnsiTheme="minorHAnsi" w:cstheme="minorHAnsi"/>
          <w:color w:val="000000"/>
          <w:lang w:val="en-GB" w:eastAsia="ja-JP"/>
        </w:rPr>
        <w:t>d</w:t>
      </w:r>
      <w:r w:rsidR="001A46B5" w:rsidRPr="0035502E">
        <w:rPr>
          <w:rFonts w:asciiTheme="minorHAnsi" w:eastAsia="MS Mincho" w:hAnsiTheme="minorHAnsi" w:cstheme="minorHAnsi"/>
          <w:color w:val="000000"/>
          <w:lang w:val="en-GB" w:eastAsia="ja-JP"/>
        </w:rPr>
        <w:t xml:space="preserve"> </w:t>
      </w:r>
      <w:r w:rsidR="003A7979" w:rsidRPr="0035502E">
        <w:rPr>
          <w:rFonts w:asciiTheme="minorHAnsi" w:eastAsia="MS Mincho" w:hAnsiTheme="minorHAnsi" w:cstheme="minorHAnsi"/>
          <w:color w:val="000000"/>
          <w:lang w:val="en-GB" w:eastAsia="ja-JP"/>
        </w:rPr>
        <w:t>N</w:t>
      </w:r>
      <w:r w:rsidR="001A46B5" w:rsidRPr="0035502E">
        <w:rPr>
          <w:rFonts w:asciiTheme="minorHAnsi" w:eastAsia="MS Mincho" w:hAnsiTheme="minorHAnsi" w:cstheme="minorHAnsi"/>
          <w:color w:val="000000"/>
          <w:lang w:val="en-GB" w:eastAsia="ja-JP"/>
        </w:rPr>
        <w:t>orth America</w:t>
      </w:r>
      <w:r w:rsidR="00A92E8D" w:rsidRPr="0035502E">
        <w:rPr>
          <w:rFonts w:asciiTheme="minorHAnsi" w:eastAsia="MS Mincho" w:hAnsiTheme="minorHAnsi" w:cstheme="minorHAnsi"/>
          <w:color w:val="000000"/>
          <w:lang w:val="en-GB" w:eastAsia="ja-JP"/>
        </w:rPr>
        <w:t>.</w:t>
      </w:r>
    </w:p>
    <w:p w14:paraId="31BDAD79" w14:textId="77777777" w:rsidR="005F700B" w:rsidRPr="00A110D3" w:rsidRDefault="005F700B" w:rsidP="001A00A2">
      <w:pPr>
        <w:autoSpaceDE w:val="0"/>
        <w:autoSpaceDN w:val="0"/>
        <w:adjustRightInd w:val="0"/>
        <w:spacing w:after="120" w:line="360" w:lineRule="auto"/>
        <w:rPr>
          <w:rFonts w:ascii="Arial" w:eastAsia="MS Mincho" w:hAnsi="Arial" w:cs="AdvTimes-b"/>
          <w:color w:val="000000"/>
          <w:sz w:val="20"/>
          <w:szCs w:val="20"/>
          <w:lang w:val="en-GB" w:eastAsia="ja-JP"/>
        </w:rPr>
      </w:pPr>
    </w:p>
    <w:p w14:paraId="7D185225" w14:textId="2DBD2581" w:rsidR="001A00A2" w:rsidRPr="005B61EE" w:rsidRDefault="001A00A2" w:rsidP="00856E94">
      <w:pPr>
        <w:autoSpaceDE w:val="0"/>
        <w:autoSpaceDN w:val="0"/>
        <w:adjustRightInd w:val="0"/>
        <w:spacing w:after="120" w:line="360" w:lineRule="auto"/>
        <w:ind w:left="567"/>
        <w:rPr>
          <w:rFonts w:ascii="Arial" w:eastAsia="MS Mincho" w:hAnsi="Arial" w:cs="AdvTimes"/>
          <w:color w:val="000000"/>
          <w:sz w:val="20"/>
          <w:szCs w:val="20"/>
          <w:lang w:val="en-GB" w:eastAsia="ja-JP"/>
        </w:rPr>
      </w:pPr>
      <w:r w:rsidRPr="005B61EE">
        <w:rPr>
          <w:rFonts w:ascii="Arial" w:eastAsia="MS Mincho" w:hAnsi="Arial" w:cs="AdvTimes-b"/>
          <w:b/>
          <w:color w:val="000000"/>
          <w:sz w:val="20"/>
          <w:szCs w:val="20"/>
          <w:lang w:val="en-GB" w:eastAsia="ja-JP"/>
        </w:rPr>
        <w:t xml:space="preserve">Table </w:t>
      </w:r>
      <w:r w:rsidR="00640A1B" w:rsidRPr="005B61EE">
        <w:rPr>
          <w:rFonts w:ascii="Arial" w:eastAsia="MS Mincho" w:hAnsi="Arial" w:cs="AdvTimes-b"/>
          <w:b/>
          <w:color w:val="000000"/>
          <w:sz w:val="20"/>
          <w:szCs w:val="20"/>
          <w:lang w:val="en-GB" w:eastAsia="ja-JP"/>
        </w:rPr>
        <w:t>5</w:t>
      </w:r>
      <w:r w:rsidRPr="005B61EE">
        <w:rPr>
          <w:rFonts w:ascii="Arial" w:eastAsia="MS Mincho" w:hAnsi="Arial" w:cs="AdvTimes-b"/>
          <w:b/>
          <w:color w:val="000000"/>
          <w:sz w:val="20"/>
          <w:szCs w:val="20"/>
          <w:lang w:val="en-GB" w:eastAsia="ja-JP"/>
        </w:rPr>
        <w:t>.</w:t>
      </w:r>
      <w:r w:rsidRPr="005B61EE">
        <w:rPr>
          <w:rFonts w:ascii="Arial" w:eastAsia="MS Mincho" w:hAnsi="Arial" w:cs="AdvTimes-b"/>
          <w:color w:val="000000"/>
          <w:sz w:val="20"/>
          <w:szCs w:val="20"/>
          <w:lang w:val="en-GB" w:eastAsia="ja-JP"/>
        </w:rPr>
        <w:t xml:space="preserve"> </w:t>
      </w:r>
      <w:r w:rsidRPr="005B61EE">
        <w:rPr>
          <w:rFonts w:ascii="Arial" w:eastAsia="MS Mincho" w:hAnsi="Arial" w:cs="AdvTimes"/>
          <w:color w:val="000000"/>
          <w:sz w:val="20"/>
          <w:szCs w:val="20"/>
          <w:lang w:val="en-GB" w:eastAsia="ja-JP"/>
        </w:rPr>
        <w:t xml:space="preserve">Life-time probability of hip fracture in the </w:t>
      </w:r>
      <w:r w:rsidR="009C0DB1">
        <w:rPr>
          <w:rFonts w:ascii="Arial" w:eastAsia="MS Mincho" w:hAnsi="Arial" w:cs="AdvTimes"/>
          <w:color w:val="000000"/>
          <w:sz w:val="20"/>
          <w:szCs w:val="20"/>
          <w:lang w:val="en-GB" w:eastAsia="ja-JP"/>
        </w:rPr>
        <w:t>Kazakh</w:t>
      </w:r>
      <w:r w:rsidR="009C0DB1" w:rsidRPr="005B61EE">
        <w:rPr>
          <w:rFonts w:ascii="Arial" w:eastAsia="MS Mincho" w:hAnsi="Arial" w:cs="AdvTimes"/>
          <w:color w:val="000000"/>
          <w:sz w:val="20"/>
          <w:szCs w:val="20"/>
          <w:lang w:val="en-GB" w:eastAsia="ja-JP"/>
        </w:rPr>
        <w:t xml:space="preserve"> </w:t>
      </w:r>
      <w:r w:rsidRPr="005B61EE">
        <w:rPr>
          <w:rFonts w:ascii="Arial" w:eastAsia="MS Mincho" w:hAnsi="Arial" w:cs="AdvTimes"/>
          <w:color w:val="000000"/>
          <w:sz w:val="20"/>
          <w:szCs w:val="20"/>
          <w:lang w:val="en-GB" w:eastAsia="ja-JP"/>
        </w:rPr>
        <w:t xml:space="preserve">population </w:t>
      </w:r>
      <w:r w:rsidR="007C5486" w:rsidRPr="005B61EE">
        <w:rPr>
          <w:rFonts w:ascii="Arial" w:eastAsia="MS Mincho" w:hAnsi="Arial" w:cs="AdvTimes"/>
          <w:color w:val="000000"/>
          <w:sz w:val="20"/>
          <w:szCs w:val="20"/>
          <w:lang w:val="en-GB" w:eastAsia="ja-JP"/>
        </w:rPr>
        <w:t xml:space="preserve">from the age of 50 years </w:t>
      </w:r>
      <w:r w:rsidRPr="005B61EE">
        <w:rPr>
          <w:rFonts w:ascii="Arial" w:eastAsia="MS Mincho" w:hAnsi="Arial" w:cs="AdvTimes"/>
          <w:color w:val="000000"/>
          <w:sz w:val="20"/>
          <w:szCs w:val="20"/>
          <w:lang w:val="en-GB" w:eastAsia="ja-JP"/>
        </w:rPr>
        <w:t>compared with selected countries</w:t>
      </w:r>
      <w:r w:rsidR="007C5486" w:rsidRPr="005B61EE">
        <w:rPr>
          <w:rFonts w:ascii="Arial" w:eastAsia="MS Mincho" w:hAnsi="Arial" w:cs="AdvTimes"/>
          <w:color w:val="000000"/>
          <w:sz w:val="20"/>
          <w:szCs w:val="20"/>
          <w:lang w:val="en-GB" w:eastAsia="ja-JP"/>
        </w:rPr>
        <w:t>.</w:t>
      </w:r>
      <w:r w:rsidRPr="005B61EE">
        <w:rPr>
          <w:rFonts w:ascii="Arial" w:eastAsia="MS Mincho" w:hAnsi="Arial" w:cs="AdvTimes"/>
          <w:color w:val="000000"/>
          <w:sz w:val="20"/>
          <w:szCs w:val="20"/>
          <w:lang w:val="en-GB" w:eastAsia="ja-JP"/>
        </w:rPr>
        <w:t xml:space="preserve"> </w:t>
      </w:r>
      <w:r w:rsidR="007C5486" w:rsidRPr="00F50A6E">
        <w:rPr>
          <w:rFonts w:ascii="Arial" w:eastAsia="MS Mincho" w:hAnsi="Arial" w:cs="AdvTimes"/>
          <w:color w:val="000000"/>
          <w:sz w:val="20"/>
          <w:szCs w:val="20"/>
          <w:lang w:val="en-GB" w:eastAsia="ja-JP"/>
        </w:rPr>
        <w:t xml:space="preserve">From </w:t>
      </w:r>
      <w:r w:rsidRPr="00F50A6E">
        <w:rPr>
          <w:rFonts w:ascii="Arial" w:eastAsia="MS Mincho" w:hAnsi="Arial" w:cs="AdvTimes"/>
          <w:color w:val="000000"/>
          <w:sz w:val="20"/>
          <w:szCs w:val="20"/>
          <w:lang w:val="en-GB" w:eastAsia="ja-JP"/>
        </w:rPr>
        <w:t>[</w:t>
      </w:r>
      <w:r w:rsidR="009D5892" w:rsidRPr="00F50A6E">
        <w:rPr>
          <w:rFonts w:ascii="Arial" w:eastAsia="MS Mincho" w:hAnsi="Arial" w:cs="AdvTimes"/>
          <w:color w:val="000000"/>
          <w:sz w:val="20"/>
          <w:szCs w:val="20"/>
          <w:lang w:val="en-GB" w:eastAsia="ja-JP"/>
        </w:rPr>
        <w:t>20</w:t>
      </w:r>
      <w:r w:rsidRPr="00F50A6E">
        <w:rPr>
          <w:rFonts w:ascii="Arial" w:eastAsia="MS Mincho" w:hAnsi="Arial" w:cs="AdvTimes"/>
          <w:color w:val="000000"/>
          <w:sz w:val="20"/>
          <w:szCs w:val="20"/>
          <w:lang w:val="en-GB" w:eastAsia="ja-JP"/>
        </w:rPr>
        <w:t>]</w:t>
      </w:r>
      <w:r w:rsidR="007C5486" w:rsidRPr="00F50A6E">
        <w:rPr>
          <w:rFonts w:ascii="Arial" w:eastAsia="MS Mincho" w:hAnsi="Arial" w:cs="AdvTimes"/>
          <w:color w:val="000000"/>
          <w:sz w:val="20"/>
          <w:szCs w:val="20"/>
          <w:lang w:val="en-GB" w:eastAsia="ja-JP"/>
        </w:rPr>
        <w:t xml:space="preserve"> except</w:t>
      </w:r>
      <w:r w:rsidR="007C5486" w:rsidRPr="005B61EE">
        <w:rPr>
          <w:rFonts w:ascii="Arial" w:eastAsia="MS Mincho" w:hAnsi="Arial" w:cs="AdvTimes"/>
          <w:color w:val="000000"/>
          <w:sz w:val="20"/>
          <w:szCs w:val="20"/>
          <w:lang w:val="en-GB" w:eastAsia="ja-JP"/>
        </w:rPr>
        <w:t xml:space="preserve"> where indicated.</w:t>
      </w:r>
    </w:p>
    <w:tbl>
      <w:tblPr>
        <w:tblStyle w:val="TableGrid1"/>
        <w:tblW w:w="0" w:type="auto"/>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0"/>
        <w:gridCol w:w="2841"/>
        <w:gridCol w:w="2841"/>
      </w:tblGrid>
      <w:tr w:rsidR="001A00A2" w:rsidRPr="004658DE" w14:paraId="312E7497" w14:textId="77777777" w:rsidTr="00856E94">
        <w:tc>
          <w:tcPr>
            <w:tcW w:w="2840" w:type="dxa"/>
            <w:tcBorders>
              <w:top w:val="single" w:sz="12" w:space="0" w:color="auto"/>
            </w:tcBorders>
          </w:tcPr>
          <w:p w14:paraId="29145977" w14:textId="77777777" w:rsidR="001A00A2" w:rsidRPr="004658DE" w:rsidRDefault="001A00A2" w:rsidP="001A00A2">
            <w:pPr>
              <w:spacing w:before="60" w:after="60"/>
              <w:rPr>
                <w:rFonts w:asciiTheme="minorHAnsi" w:eastAsia="MS Mincho" w:hAnsiTheme="minorHAnsi" w:cstheme="minorHAnsi"/>
                <w:sz w:val="22"/>
                <w:szCs w:val="22"/>
                <w:lang w:eastAsia="ja-JP"/>
              </w:rPr>
            </w:pPr>
            <w:r w:rsidRPr="004658DE">
              <w:rPr>
                <w:rFonts w:asciiTheme="minorHAnsi" w:eastAsia="MS Mincho" w:hAnsiTheme="minorHAnsi" w:cstheme="minorHAnsi"/>
                <w:color w:val="000000"/>
                <w:sz w:val="22"/>
                <w:szCs w:val="22"/>
                <w:lang w:eastAsia="ja-JP"/>
              </w:rPr>
              <w:t>Country</w:t>
            </w:r>
          </w:p>
        </w:tc>
        <w:tc>
          <w:tcPr>
            <w:tcW w:w="5682" w:type="dxa"/>
            <w:gridSpan w:val="2"/>
            <w:tcBorders>
              <w:top w:val="single" w:sz="12" w:space="0" w:color="auto"/>
              <w:bottom w:val="single" w:sz="12" w:space="0" w:color="auto"/>
            </w:tcBorders>
          </w:tcPr>
          <w:p w14:paraId="0CB9062C" w14:textId="77777777" w:rsidR="001A00A2" w:rsidRPr="004658DE" w:rsidRDefault="001A00A2" w:rsidP="001A00A2">
            <w:pPr>
              <w:spacing w:before="60" w:after="60"/>
              <w:jc w:val="center"/>
              <w:rPr>
                <w:rFonts w:asciiTheme="minorHAnsi" w:eastAsia="MS Mincho" w:hAnsiTheme="minorHAnsi" w:cstheme="minorHAnsi"/>
                <w:sz w:val="22"/>
                <w:szCs w:val="22"/>
                <w:lang w:eastAsia="ja-JP"/>
              </w:rPr>
            </w:pPr>
            <w:r w:rsidRPr="004658DE">
              <w:rPr>
                <w:rFonts w:asciiTheme="minorHAnsi" w:eastAsia="MS Mincho" w:hAnsiTheme="minorHAnsi" w:cstheme="minorHAnsi"/>
                <w:color w:val="000000"/>
                <w:sz w:val="22"/>
                <w:szCs w:val="22"/>
                <w:lang w:eastAsia="ja-JP"/>
              </w:rPr>
              <w:t>Life-time risk at 50 years %</w:t>
            </w:r>
          </w:p>
        </w:tc>
      </w:tr>
      <w:tr w:rsidR="001A00A2" w:rsidRPr="004658DE" w14:paraId="450D430D" w14:textId="77777777" w:rsidTr="00856E94">
        <w:tc>
          <w:tcPr>
            <w:tcW w:w="2840" w:type="dxa"/>
            <w:tcBorders>
              <w:bottom w:val="single" w:sz="12" w:space="0" w:color="auto"/>
            </w:tcBorders>
          </w:tcPr>
          <w:p w14:paraId="5E3B9DF2" w14:textId="77777777" w:rsidR="001A00A2" w:rsidRPr="004658DE" w:rsidRDefault="001A00A2" w:rsidP="001A00A2">
            <w:pPr>
              <w:spacing w:before="60" w:after="60"/>
              <w:rPr>
                <w:rFonts w:asciiTheme="minorHAnsi" w:eastAsia="MS Mincho" w:hAnsiTheme="minorHAnsi" w:cstheme="minorHAnsi"/>
                <w:sz w:val="22"/>
                <w:szCs w:val="22"/>
                <w:lang w:eastAsia="ja-JP"/>
              </w:rPr>
            </w:pPr>
          </w:p>
        </w:tc>
        <w:tc>
          <w:tcPr>
            <w:tcW w:w="2841" w:type="dxa"/>
            <w:tcBorders>
              <w:top w:val="single" w:sz="12" w:space="0" w:color="auto"/>
              <w:bottom w:val="single" w:sz="12" w:space="0" w:color="auto"/>
            </w:tcBorders>
          </w:tcPr>
          <w:p w14:paraId="302725A1" w14:textId="77777777" w:rsidR="001A00A2" w:rsidRPr="004658DE" w:rsidRDefault="001A00A2" w:rsidP="001A00A2">
            <w:pPr>
              <w:spacing w:before="60" w:after="60"/>
              <w:jc w:val="center"/>
              <w:rPr>
                <w:rFonts w:asciiTheme="minorHAnsi" w:eastAsia="MS Mincho" w:hAnsiTheme="minorHAnsi" w:cstheme="minorHAnsi"/>
                <w:sz w:val="22"/>
                <w:szCs w:val="22"/>
                <w:lang w:eastAsia="ja-JP"/>
              </w:rPr>
            </w:pPr>
            <w:r w:rsidRPr="004658DE">
              <w:rPr>
                <w:rFonts w:asciiTheme="minorHAnsi" w:eastAsia="MS Mincho" w:hAnsiTheme="minorHAnsi" w:cstheme="minorHAnsi"/>
                <w:color w:val="000000"/>
                <w:sz w:val="22"/>
                <w:szCs w:val="22"/>
                <w:lang w:eastAsia="ja-JP"/>
              </w:rPr>
              <w:t>Women</w:t>
            </w:r>
          </w:p>
        </w:tc>
        <w:tc>
          <w:tcPr>
            <w:tcW w:w="2841" w:type="dxa"/>
            <w:tcBorders>
              <w:top w:val="single" w:sz="12" w:space="0" w:color="auto"/>
              <w:bottom w:val="single" w:sz="12" w:space="0" w:color="auto"/>
            </w:tcBorders>
          </w:tcPr>
          <w:p w14:paraId="68DB6DB9" w14:textId="77777777" w:rsidR="001A00A2" w:rsidRPr="004658DE" w:rsidRDefault="001A00A2" w:rsidP="001A00A2">
            <w:pPr>
              <w:spacing w:before="60" w:after="60"/>
              <w:jc w:val="center"/>
              <w:rPr>
                <w:rFonts w:asciiTheme="minorHAnsi" w:eastAsia="MS Mincho" w:hAnsiTheme="minorHAnsi" w:cstheme="minorHAnsi"/>
                <w:sz w:val="22"/>
                <w:szCs w:val="22"/>
                <w:lang w:eastAsia="ja-JP"/>
              </w:rPr>
            </w:pPr>
            <w:r w:rsidRPr="004658DE">
              <w:rPr>
                <w:rFonts w:asciiTheme="minorHAnsi" w:eastAsia="MS Mincho" w:hAnsiTheme="minorHAnsi" w:cstheme="minorHAnsi"/>
                <w:color w:val="000000"/>
                <w:sz w:val="22"/>
                <w:szCs w:val="22"/>
                <w:lang w:eastAsia="ja-JP"/>
              </w:rPr>
              <w:t>Men</w:t>
            </w:r>
          </w:p>
        </w:tc>
      </w:tr>
      <w:tr w:rsidR="00260553" w:rsidRPr="004658DE" w14:paraId="67305EC6" w14:textId="77777777" w:rsidTr="00137172">
        <w:tc>
          <w:tcPr>
            <w:tcW w:w="2840" w:type="dxa"/>
          </w:tcPr>
          <w:p w14:paraId="28D21254" w14:textId="19F70BBD"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Sweden</w:t>
            </w:r>
          </w:p>
        </w:tc>
        <w:tc>
          <w:tcPr>
            <w:tcW w:w="2841" w:type="dxa"/>
          </w:tcPr>
          <w:p w14:paraId="1E15FABB" w14:textId="2AE86792"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25.6</w:t>
            </w:r>
          </w:p>
        </w:tc>
        <w:tc>
          <w:tcPr>
            <w:tcW w:w="2841" w:type="dxa"/>
          </w:tcPr>
          <w:p w14:paraId="4C40A615" w14:textId="15E1C7AD"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11.0</w:t>
            </w:r>
          </w:p>
        </w:tc>
      </w:tr>
      <w:tr w:rsidR="00260553" w:rsidRPr="004658DE" w14:paraId="74112BE7" w14:textId="77777777" w:rsidTr="00856E94">
        <w:tc>
          <w:tcPr>
            <w:tcW w:w="2840" w:type="dxa"/>
          </w:tcPr>
          <w:p w14:paraId="45B0C864" w14:textId="0A2AAA71" w:rsidR="00260553" w:rsidRPr="004658DE" w:rsidRDefault="00260553" w:rsidP="00260553">
            <w:pPr>
              <w:spacing w:before="60" w:after="60"/>
              <w:rPr>
                <w:rFonts w:asciiTheme="minorHAnsi" w:eastAsia="Calibri" w:hAnsiTheme="minorHAnsi" w:cstheme="minorHAnsi"/>
                <w:sz w:val="22"/>
                <w:szCs w:val="22"/>
                <w:lang w:eastAsia="en-US"/>
              </w:rPr>
            </w:pPr>
            <w:r w:rsidRPr="004658DE">
              <w:rPr>
                <w:rFonts w:asciiTheme="minorHAnsi" w:hAnsiTheme="minorHAnsi" w:cstheme="minorHAnsi"/>
                <w:sz w:val="22"/>
                <w:szCs w:val="22"/>
              </w:rPr>
              <w:t>Denmark</w:t>
            </w:r>
          </w:p>
        </w:tc>
        <w:tc>
          <w:tcPr>
            <w:tcW w:w="2841" w:type="dxa"/>
          </w:tcPr>
          <w:p w14:paraId="2A0484D6" w14:textId="3A1A4F5D" w:rsidR="00260553" w:rsidRPr="004658DE" w:rsidRDefault="00260553" w:rsidP="00260553">
            <w:pPr>
              <w:spacing w:before="60" w:after="60"/>
              <w:jc w:val="center"/>
              <w:rPr>
                <w:rFonts w:asciiTheme="minorHAnsi" w:eastAsia="Calibri" w:hAnsiTheme="minorHAnsi" w:cstheme="minorHAnsi"/>
                <w:color w:val="000000"/>
                <w:sz w:val="22"/>
                <w:szCs w:val="22"/>
                <w:lang w:eastAsia="en-US"/>
              </w:rPr>
            </w:pPr>
            <w:r w:rsidRPr="004658DE">
              <w:rPr>
                <w:rFonts w:asciiTheme="minorHAnsi" w:hAnsiTheme="minorHAnsi" w:cstheme="minorHAnsi"/>
                <w:sz w:val="22"/>
                <w:szCs w:val="22"/>
              </w:rPr>
              <w:t>23.0</w:t>
            </w:r>
          </w:p>
        </w:tc>
        <w:tc>
          <w:tcPr>
            <w:tcW w:w="2841" w:type="dxa"/>
          </w:tcPr>
          <w:p w14:paraId="0A68DDC9" w14:textId="0DF17FB8" w:rsidR="00260553" w:rsidRPr="004658DE" w:rsidRDefault="00260553" w:rsidP="00260553">
            <w:pPr>
              <w:spacing w:before="60" w:after="60"/>
              <w:jc w:val="center"/>
              <w:rPr>
                <w:rFonts w:asciiTheme="minorHAnsi" w:eastAsia="Calibri" w:hAnsiTheme="minorHAnsi" w:cstheme="minorHAnsi"/>
                <w:color w:val="000000"/>
                <w:sz w:val="22"/>
                <w:szCs w:val="22"/>
                <w:lang w:eastAsia="en-US"/>
              </w:rPr>
            </w:pPr>
            <w:r w:rsidRPr="004658DE">
              <w:rPr>
                <w:rFonts w:asciiTheme="minorHAnsi" w:hAnsiTheme="minorHAnsi" w:cstheme="minorHAnsi"/>
                <w:sz w:val="22"/>
                <w:szCs w:val="22"/>
              </w:rPr>
              <w:t>11.3</w:t>
            </w:r>
          </w:p>
        </w:tc>
      </w:tr>
      <w:tr w:rsidR="00260553" w:rsidRPr="004658DE" w14:paraId="759A8214" w14:textId="77777777" w:rsidTr="00856E94">
        <w:tc>
          <w:tcPr>
            <w:tcW w:w="2840" w:type="dxa"/>
          </w:tcPr>
          <w:p w14:paraId="51CE2C7C" w14:textId="2EDDBF17"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France</w:t>
            </w:r>
          </w:p>
        </w:tc>
        <w:tc>
          <w:tcPr>
            <w:tcW w:w="2841" w:type="dxa"/>
          </w:tcPr>
          <w:p w14:paraId="6D8D7CB7" w14:textId="66300025"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19.3</w:t>
            </w:r>
          </w:p>
        </w:tc>
        <w:tc>
          <w:tcPr>
            <w:tcW w:w="2841" w:type="dxa"/>
          </w:tcPr>
          <w:p w14:paraId="67F6795B" w14:textId="744CE020"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5.9</w:t>
            </w:r>
          </w:p>
        </w:tc>
      </w:tr>
      <w:tr w:rsidR="00260553" w:rsidRPr="004658DE" w14:paraId="0325B7C3" w14:textId="77777777" w:rsidTr="00856E94">
        <w:tc>
          <w:tcPr>
            <w:tcW w:w="2840" w:type="dxa"/>
          </w:tcPr>
          <w:p w14:paraId="71113E59" w14:textId="5EBC1EF4"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China (Hong Kong)</w:t>
            </w:r>
          </w:p>
        </w:tc>
        <w:tc>
          <w:tcPr>
            <w:tcW w:w="2841" w:type="dxa"/>
          </w:tcPr>
          <w:p w14:paraId="3D91C921" w14:textId="5A59EB76"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17.7</w:t>
            </w:r>
          </w:p>
        </w:tc>
        <w:tc>
          <w:tcPr>
            <w:tcW w:w="2841" w:type="dxa"/>
          </w:tcPr>
          <w:p w14:paraId="1CDDC6F0" w14:textId="4744ACF8"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7.6</w:t>
            </w:r>
          </w:p>
        </w:tc>
      </w:tr>
      <w:tr w:rsidR="00260553" w:rsidRPr="004658DE" w14:paraId="7B4160F4" w14:textId="77777777" w:rsidTr="00856E94">
        <w:tc>
          <w:tcPr>
            <w:tcW w:w="2840" w:type="dxa"/>
          </w:tcPr>
          <w:p w14:paraId="437D3A4B" w14:textId="7C0F1DA8" w:rsidR="00260553" w:rsidRPr="004658DE" w:rsidRDefault="00260553" w:rsidP="00260553">
            <w:pPr>
              <w:spacing w:before="60" w:after="60"/>
              <w:rPr>
                <w:rFonts w:asciiTheme="minorHAnsi" w:eastAsia="Calibri" w:hAnsiTheme="minorHAnsi" w:cstheme="minorHAnsi"/>
                <w:sz w:val="22"/>
                <w:szCs w:val="22"/>
                <w:lang w:eastAsia="en-US"/>
              </w:rPr>
            </w:pPr>
            <w:r w:rsidRPr="004658DE">
              <w:rPr>
                <w:rFonts w:asciiTheme="minorHAnsi" w:hAnsiTheme="minorHAnsi" w:cstheme="minorHAnsi"/>
                <w:sz w:val="22"/>
                <w:szCs w:val="22"/>
              </w:rPr>
              <w:t>USA (Caucasian)</w:t>
            </w:r>
          </w:p>
        </w:tc>
        <w:tc>
          <w:tcPr>
            <w:tcW w:w="2841" w:type="dxa"/>
          </w:tcPr>
          <w:p w14:paraId="363220FE" w14:textId="271A4A52" w:rsidR="00260553" w:rsidRPr="004658DE" w:rsidRDefault="00260553" w:rsidP="00260553">
            <w:pPr>
              <w:spacing w:before="60" w:after="60"/>
              <w:jc w:val="center"/>
              <w:rPr>
                <w:rFonts w:asciiTheme="minorHAnsi" w:eastAsia="Calibri" w:hAnsiTheme="minorHAnsi" w:cstheme="minorHAnsi"/>
                <w:color w:val="000000"/>
                <w:sz w:val="22"/>
                <w:szCs w:val="22"/>
                <w:lang w:eastAsia="en-US"/>
              </w:rPr>
            </w:pPr>
            <w:r w:rsidRPr="004658DE">
              <w:rPr>
                <w:rFonts w:asciiTheme="minorHAnsi" w:hAnsiTheme="minorHAnsi" w:cstheme="minorHAnsi"/>
                <w:sz w:val="22"/>
                <w:szCs w:val="22"/>
              </w:rPr>
              <w:t>16.1</w:t>
            </w:r>
          </w:p>
        </w:tc>
        <w:tc>
          <w:tcPr>
            <w:tcW w:w="2841" w:type="dxa"/>
          </w:tcPr>
          <w:p w14:paraId="3C2890A2" w14:textId="63EE6E6B" w:rsidR="00260553" w:rsidRPr="004658DE" w:rsidRDefault="00260553" w:rsidP="00260553">
            <w:pPr>
              <w:spacing w:before="60" w:after="60"/>
              <w:jc w:val="center"/>
              <w:rPr>
                <w:rFonts w:asciiTheme="minorHAnsi" w:eastAsia="Calibri" w:hAnsiTheme="minorHAnsi" w:cstheme="minorHAnsi"/>
                <w:color w:val="000000"/>
                <w:sz w:val="22"/>
                <w:szCs w:val="22"/>
                <w:lang w:eastAsia="en-US"/>
              </w:rPr>
            </w:pPr>
            <w:r w:rsidRPr="004658DE">
              <w:rPr>
                <w:rFonts w:asciiTheme="minorHAnsi" w:hAnsiTheme="minorHAnsi" w:cstheme="minorHAnsi"/>
                <w:sz w:val="22"/>
                <w:szCs w:val="22"/>
              </w:rPr>
              <w:t>7.5</w:t>
            </w:r>
          </w:p>
        </w:tc>
      </w:tr>
      <w:tr w:rsidR="00260553" w:rsidRPr="004658DE" w14:paraId="2BC7DADD" w14:textId="77777777" w:rsidTr="00856E94">
        <w:tc>
          <w:tcPr>
            <w:tcW w:w="2840" w:type="dxa"/>
          </w:tcPr>
          <w:p w14:paraId="16316322" w14:textId="553C754D"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 xml:space="preserve">Turkey </w:t>
            </w:r>
            <w:r w:rsidRPr="004658DE">
              <w:rPr>
                <w:rFonts w:asciiTheme="minorHAnsi" w:hAnsiTheme="minorHAnsi" w:cstheme="minorHAnsi"/>
                <w:sz w:val="22"/>
                <w:szCs w:val="22"/>
                <w:vertAlign w:val="superscript"/>
              </w:rPr>
              <w:t>a</w:t>
            </w:r>
          </w:p>
        </w:tc>
        <w:tc>
          <w:tcPr>
            <w:tcW w:w="2841" w:type="dxa"/>
          </w:tcPr>
          <w:p w14:paraId="7FB4D7CE" w14:textId="00740687"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15.9</w:t>
            </w:r>
          </w:p>
        </w:tc>
        <w:tc>
          <w:tcPr>
            <w:tcW w:w="2841" w:type="dxa"/>
          </w:tcPr>
          <w:p w14:paraId="57C7EC7A" w14:textId="4FE9D547"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3.6</w:t>
            </w:r>
          </w:p>
        </w:tc>
      </w:tr>
      <w:tr w:rsidR="00260553" w:rsidRPr="004658DE" w14:paraId="56DE28EF" w14:textId="77777777" w:rsidTr="00856E94">
        <w:tc>
          <w:tcPr>
            <w:tcW w:w="2840" w:type="dxa"/>
          </w:tcPr>
          <w:p w14:paraId="2D242242" w14:textId="6F1F285D" w:rsidR="00260553" w:rsidRPr="004658DE" w:rsidRDefault="00260553" w:rsidP="00260553">
            <w:pPr>
              <w:spacing w:before="60" w:after="60"/>
              <w:rPr>
                <w:rFonts w:asciiTheme="minorHAnsi" w:eastAsia="Calibri" w:hAnsiTheme="minorHAnsi" w:cstheme="minorHAnsi"/>
                <w:sz w:val="22"/>
                <w:szCs w:val="22"/>
                <w:lang w:eastAsia="en-US"/>
              </w:rPr>
            </w:pPr>
            <w:r w:rsidRPr="004658DE">
              <w:rPr>
                <w:rFonts w:asciiTheme="minorHAnsi" w:hAnsiTheme="minorHAnsi" w:cstheme="minorHAnsi"/>
                <w:sz w:val="22"/>
                <w:szCs w:val="22"/>
              </w:rPr>
              <w:t>Canada</w:t>
            </w:r>
          </w:p>
        </w:tc>
        <w:tc>
          <w:tcPr>
            <w:tcW w:w="2841" w:type="dxa"/>
          </w:tcPr>
          <w:p w14:paraId="5E430CE0" w14:textId="55AFFA79" w:rsidR="00260553" w:rsidRPr="004658DE" w:rsidRDefault="00260553" w:rsidP="00260553">
            <w:pPr>
              <w:spacing w:before="60" w:after="60"/>
              <w:jc w:val="center"/>
              <w:rPr>
                <w:rFonts w:asciiTheme="minorHAnsi" w:eastAsia="Calibri" w:hAnsiTheme="minorHAnsi" w:cstheme="minorHAnsi"/>
                <w:color w:val="000000"/>
                <w:sz w:val="22"/>
                <w:szCs w:val="22"/>
                <w:lang w:eastAsia="en-US"/>
              </w:rPr>
            </w:pPr>
            <w:r w:rsidRPr="004658DE">
              <w:rPr>
                <w:rFonts w:asciiTheme="minorHAnsi" w:hAnsiTheme="minorHAnsi" w:cstheme="minorHAnsi"/>
                <w:sz w:val="22"/>
                <w:szCs w:val="22"/>
              </w:rPr>
              <w:t>15.5</w:t>
            </w:r>
          </w:p>
        </w:tc>
        <w:tc>
          <w:tcPr>
            <w:tcW w:w="2841" w:type="dxa"/>
          </w:tcPr>
          <w:p w14:paraId="4D51D17B" w14:textId="3AE3E0B9" w:rsidR="00260553" w:rsidRPr="004658DE" w:rsidRDefault="00260553" w:rsidP="00260553">
            <w:pPr>
              <w:spacing w:before="60" w:after="60"/>
              <w:jc w:val="center"/>
              <w:rPr>
                <w:rFonts w:asciiTheme="minorHAnsi" w:eastAsia="Calibri" w:hAnsiTheme="minorHAnsi" w:cstheme="minorHAnsi"/>
                <w:color w:val="000000"/>
                <w:sz w:val="22"/>
                <w:szCs w:val="22"/>
                <w:lang w:eastAsia="en-US"/>
              </w:rPr>
            </w:pPr>
            <w:r w:rsidRPr="004658DE">
              <w:rPr>
                <w:rFonts w:asciiTheme="minorHAnsi" w:hAnsiTheme="minorHAnsi" w:cstheme="minorHAnsi"/>
                <w:sz w:val="22"/>
                <w:szCs w:val="22"/>
              </w:rPr>
              <w:t>5.8</w:t>
            </w:r>
          </w:p>
        </w:tc>
      </w:tr>
      <w:tr w:rsidR="00260553" w:rsidRPr="004658DE" w14:paraId="1D79951B" w14:textId="77777777" w:rsidTr="00856E94">
        <w:tc>
          <w:tcPr>
            <w:tcW w:w="2840" w:type="dxa"/>
          </w:tcPr>
          <w:p w14:paraId="23D53D15" w14:textId="0BB333D1"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Greece</w:t>
            </w:r>
          </w:p>
        </w:tc>
        <w:tc>
          <w:tcPr>
            <w:tcW w:w="2841" w:type="dxa"/>
          </w:tcPr>
          <w:p w14:paraId="46950374" w14:textId="49434792"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15.4</w:t>
            </w:r>
          </w:p>
        </w:tc>
        <w:tc>
          <w:tcPr>
            <w:tcW w:w="2841" w:type="dxa"/>
          </w:tcPr>
          <w:p w14:paraId="5DB25527" w14:textId="16D7D152"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6.8</w:t>
            </w:r>
          </w:p>
        </w:tc>
      </w:tr>
      <w:tr w:rsidR="00260553" w:rsidRPr="004658DE" w14:paraId="6592AFA9" w14:textId="77777777" w:rsidTr="00856E94">
        <w:tc>
          <w:tcPr>
            <w:tcW w:w="2840" w:type="dxa"/>
          </w:tcPr>
          <w:p w14:paraId="5C5A01C7" w14:textId="0B1589E6"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UK</w:t>
            </w:r>
          </w:p>
        </w:tc>
        <w:tc>
          <w:tcPr>
            <w:tcW w:w="2841" w:type="dxa"/>
          </w:tcPr>
          <w:p w14:paraId="04030863" w14:textId="4AC801D6"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14.4</w:t>
            </w:r>
          </w:p>
        </w:tc>
        <w:tc>
          <w:tcPr>
            <w:tcW w:w="2841" w:type="dxa"/>
          </w:tcPr>
          <w:p w14:paraId="03657052" w14:textId="5D959792"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5.0</w:t>
            </w:r>
          </w:p>
        </w:tc>
      </w:tr>
      <w:tr w:rsidR="00260553" w:rsidRPr="004658DE" w14:paraId="0F650B06" w14:textId="77777777" w:rsidTr="00856E94">
        <w:tc>
          <w:tcPr>
            <w:tcW w:w="2840" w:type="dxa"/>
          </w:tcPr>
          <w:p w14:paraId="4769D73D" w14:textId="4A784D69"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Portugal</w:t>
            </w:r>
          </w:p>
        </w:tc>
        <w:tc>
          <w:tcPr>
            <w:tcW w:w="2841" w:type="dxa"/>
          </w:tcPr>
          <w:p w14:paraId="427307C4" w14:textId="476F2785"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13.7</w:t>
            </w:r>
          </w:p>
        </w:tc>
        <w:tc>
          <w:tcPr>
            <w:tcW w:w="2841" w:type="dxa"/>
          </w:tcPr>
          <w:p w14:paraId="51FDC46B" w14:textId="3461D2E0"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4.8</w:t>
            </w:r>
          </w:p>
        </w:tc>
      </w:tr>
      <w:tr w:rsidR="00260553" w:rsidRPr="004658DE" w14:paraId="7E71946C" w14:textId="77777777" w:rsidTr="00856E94">
        <w:tc>
          <w:tcPr>
            <w:tcW w:w="2840" w:type="dxa"/>
          </w:tcPr>
          <w:p w14:paraId="6202DE17" w14:textId="6CC704D3"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Finland</w:t>
            </w:r>
          </w:p>
        </w:tc>
        <w:tc>
          <w:tcPr>
            <w:tcW w:w="2841" w:type="dxa"/>
          </w:tcPr>
          <w:p w14:paraId="230F07ED" w14:textId="13DB8A46"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12.9</w:t>
            </w:r>
          </w:p>
        </w:tc>
        <w:tc>
          <w:tcPr>
            <w:tcW w:w="2841" w:type="dxa"/>
          </w:tcPr>
          <w:p w14:paraId="12AFD456" w14:textId="626FF5E5"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6.0</w:t>
            </w:r>
          </w:p>
        </w:tc>
      </w:tr>
      <w:tr w:rsidR="00260553" w:rsidRPr="004658DE" w14:paraId="3319CFB4" w14:textId="77777777" w:rsidTr="00856E94">
        <w:tc>
          <w:tcPr>
            <w:tcW w:w="2840" w:type="dxa"/>
          </w:tcPr>
          <w:p w14:paraId="6657E161" w14:textId="49BA53C7"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 xml:space="preserve">Kazakhstan </w:t>
            </w:r>
            <w:r w:rsidR="008C37B3">
              <w:rPr>
                <w:rFonts w:asciiTheme="minorHAnsi" w:hAnsiTheme="minorHAnsi" w:cstheme="minorHAnsi"/>
                <w:sz w:val="22"/>
                <w:szCs w:val="22"/>
                <w:vertAlign w:val="superscript"/>
              </w:rPr>
              <w:t>b</w:t>
            </w:r>
          </w:p>
        </w:tc>
        <w:tc>
          <w:tcPr>
            <w:tcW w:w="2841" w:type="dxa"/>
          </w:tcPr>
          <w:p w14:paraId="546E20AD" w14:textId="07678FA9"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12.6</w:t>
            </w:r>
          </w:p>
        </w:tc>
        <w:tc>
          <w:tcPr>
            <w:tcW w:w="2841" w:type="dxa"/>
          </w:tcPr>
          <w:p w14:paraId="1FE86FE8" w14:textId="3DAD8347" w:rsidR="00260553" w:rsidRPr="004658DE" w:rsidRDefault="00260553" w:rsidP="00260553">
            <w:pPr>
              <w:spacing w:before="60" w:after="60"/>
              <w:jc w:val="center"/>
              <w:rPr>
                <w:rFonts w:asciiTheme="minorHAnsi" w:eastAsia="MS Mincho" w:hAnsiTheme="minorHAnsi" w:cstheme="minorHAnsi"/>
                <w:sz w:val="22"/>
                <w:szCs w:val="22"/>
                <w:lang w:eastAsia="ja-JP"/>
              </w:rPr>
            </w:pPr>
            <w:r w:rsidRPr="004658DE">
              <w:rPr>
                <w:rFonts w:asciiTheme="minorHAnsi" w:hAnsiTheme="minorHAnsi" w:cstheme="minorHAnsi"/>
                <w:sz w:val="22"/>
                <w:szCs w:val="22"/>
              </w:rPr>
              <w:t>6.0</w:t>
            </w:r>
          </w:p>
        </w:tc>
      </w:tr>
      <w:tr w:rsidR="00260553" w:rsidRPr="004658DE" w14:paraId="45DF57F8" w14:textId="77777777" w:rsidTr="00856E94">
        <w:tc>
          <w:tcPr>
            <w:tcW w:w="2840" w:type="dxa"/>
          </w:tcPr>
          <w:p w14:paraId="5B719F07" w14:textId="56BE0EB7"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Spain</w:t>
            </w:r>
          </w:p>
        </w:tc>
        <w:tc>
          <w:tcPr>
            <w:tcW w:w="2841" w:type="dxa"/>
          </w:tcPr>
          <w:p w14:paraId="30EEB90B" w14:textId="155F93AF"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12.6</w:t>
            </w:r>
          </w:p>
        </w:tc>
        <w:tc>
          <w:tcPr>
            <w:tcW w:w="2841" w:type="dxa"/>
          </w:tcPr>
          <w:p w14:paraId="513DAB3E" w14:textId="3395D7DE"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4.2</w:t>
            </w:r>
          </w:p>
        </w:tc>
      </w:tr>
      <w:tr w:rsidR="00260553" w:rsidRPr="004658DE" w14:paraId="57AE79D2" w14:textId="77777777" w:rsidTr="00856E94">
        <w:tc>
          <w:tcPr>
            <w:tcW w:w="2840" w:type="dxa"/>
          </w:tcPr>
          <w:p w14:paraId="0041FD9E" w14:textId="53B2C4AC"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Bulgaria</w:t>
            </w:r>
          </w:p>
        </w:tc>
        <w:tc>
          <w:tcPr>
            <w:tcW w:w="2841" w:type="dxa"/>
          </w:tcPr>
          <w:p w14:paraId="7EAB45F9" w14:textId="445403FF"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11.2</w:t>
            </w:r>
          </w:p>
        </w:tc>
        <w:tc>
          <w:tcPr>
            <w:tcW w:w="2841" w:type="dxa"/>
          </w:tcPr>
          <w:p w14:paraId="0BA86EC7" w14:textId="5D677A10"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4.4</w:t>
            </w:r>
          </w:p>
        </w:tc>
      </w:tr>
      <w:tr w:rsidR="00260553" w:rsidRPr="004658DE" w14:paraId="63C1CE88" w14:textId="77777777" w:rsidTr="00856E94">
        <w:tc>
          <w:tcPr>
            <w:tcW w:w="2840" w:type="dxa"/>
          </w:tcPr>
          <w:p w14:paraId="79B97A23" w14:textId="22785FBF"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Hungary</w:t>
            </w:r>
          </w:p>
        </w:tc>
        <w:tc>
          <w:tcPr>
            <w:tcW w:w="2841" w:type="dxa"/>
          </w:tcPr>
          <w:p w14:paraId="5B8F9BC8" w14:textId="7C27AEBF"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10.8</w:t>
            </w:r>
          </w:p>
        </w:tc>
        <w:tc>
          <w:tcPr>
            <w:tcW w:w="2841" w:type="dxa"/>
          </w:tcPr>
          <w:p w14:paraId="2F58264B" w14:textId="763D6F9C"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4.2</w:t>
            </w:r>
          </w:p>
        </w:tc>
      </w:tr>
      <w:tr w:rsidR="00260553" w:rsidRPr="004658DE" w14:paraId="105DBE17" w14:textId="77777777" w:rsidTr="00856E94">
        <w:tc>
          <w:tcPr>
            <w:tcW w:w="2840" w:type="dxa"/>
          </w:tcPr>
          <w:p w14:paraId="5B844999" w14:textId="75EFB389"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 xml:space="preserve">Mexico </w:t>
            </w:r>
            <w:r w:rsidR="007C3BA1">
              <w:rPr>
                <w:rFonts w:asciiTheme="minorHAnsi" w:hAnsiTheme="minorHAnsi" w:cstheme="minorHAnsi"/>
                <w:sz w:val="22"/>
                <w:szCs w:val="22"/>
                <w:vertAlign w:val="superscript"/>
              </w:rPr>
              <w:t>c</w:t>
            </w:r>
          </w:p>
        </w:tc>
        <w:tc>
          <w:tcPr>
            <w:tcW w:w="2841" w:type="dxa"/>
          </w:tcPr>
          <w:p w14:paraId="7D086A64" w14:textId="3CAB33EF"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10.6</w:t>
            </w:r>
          </w:p>
        </w:tc>
        <w:tc>
          <w:tcPr>
            <w:tcW w:w="2841" w:type="dxa"/>
          </w:tcPr>
          <w:p w14:paraId="46E6692D" w14:textId="5F7E2E00"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5.0</w:t>
            </w:r>
          </w:p>
        </w:tc>
      </w:tr>
      <w:tr w:rsidR="00260553" w:rsidRPr="004658DE" w14:paraId="7D942CFC" w14:textId="77777777" w:rsidTr="00856E94">
        <w:tc>
          <w:tcPr>
            <w:tcW w:w="2840" w:type="dxa"/>
          </w:tcPr>
          <w:p w14:paraId="4F75D83E" w14:textId="0C23EB09"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 xml:space="preserve">Poland </w:t>
            </w:r>
            <w:r w:rsidR="007C3BA1">
              <w:rPr>
                <w:rFonts w:asciiTheme="minorHAnsi" w:hAnsiTheme="minorHAnsi" w:cstheme="minorHAnsi"/>
                <w:sz w:val="22"/>
                <w:szCs w:val="22"/>
                <w:vertAlign w:val="superscript"/>
              </w:rPr>
              <w:t>d</w:t>
            </w:r>
          </w:p>
        </w:tc>
        <w:tc>
          <w:tcPr>
            <w:tcW w:w="2841" w:type="dxa"/>
          </w:tcPr>
          <w:p w14:paraId="76F5A1D4" w14:textId="494776C0"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10.1</w:t>
            </w:r>
          </w:p>
        </w:tc>
        <w:tc>
          <w:tcPr>
            <w:tcW w:w="2841" w:type="dxa"/>
          </w:tcPr>
          <w:p w14:paraId="484E4404" w14:textId="4D57C2C8"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4.2</w:t>
            </w:r>
          </w:p>
        </w:tc>
      </w:tr>
      <w:tr w:rsidR="00260553" w:rsidRPr="004658DE" w14:paraId="41870B2F" w14:textId="77777777" w:rsidTr="00856E94">
        <w:tc>
          <w:tcPr>
            <w:tcW w:w="2840" w:type="dxa"/>
          </w:tcPr>
          <w:p w14:paraId="77522A8E" w14:textId="6653F4D7"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 xml:space="preserve">Moldova </w:t>
            </w:r>
            <w:r w:rsidR="007C3BA1">
              <w:rPr>
                <w:rFonts w:asciiTheme="minorHAnsi" w:hAnsiTheme="minorHAnsi" w:cstheme="minorHAnsi"/>
                <w:sz w:val="22"/>
                <w:szCs w:val="22"/>
                <w:vertAlign w:val="superscript"/>
              </w:rPr>
              <w:t>e</w:t>
            </w:r>
          </w:p>
        </w:tc>
        <w:tc>
          <w:tcPr>
            <w:tcW w:w="2841" w:type="dxa"/>
          </w:tcPr>
          <w:p w14:paraId="26377E40" w14:textId="79BD168E"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9.3</w:t>
            </w:r>
          </w:p>
        </w:tc>
        <w:tc>
          <w:tcPr>
            <w:tcW w:w="2841" w:type="dxa"/>
          </w:tcPr>
          <w:p w14:paraId="39F3300C" w14:textId="1942FB8F"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5.7</w:t>
            </w:r>
          </w:p>
        </w:tc>
      </w:tr>
      <w:tr w:rsidR="00260553" w:rsidRPr="004658DE" w14:paraId="55B7B13A" w14:textId="77777777" w:rsidTr="00856E94">
        <w:tc>
          <w:tcPr>
            <w:tcW w:w="2840" w:type="dxa"/>
          </w:tcPr>
          <w:p w14:paraId="00017715" w14:textId="0FADF6D5"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 xml:space="preserve">Russia </w:t>
            </w:r>
            <w:r w:rsidR="007C3BA1">
              <w:rPr>
                <w:rFonts w:asciiTheme="minorHAnsi" w:hAnsiTheme="minorHAnsi" w:cstheme="minorHAnsi"/>
                <w:sz w:val="22"/>
                <w:szCs w:val="22"/>
                <w:vertAlign w:val="superscript"/>
              </w:rPr>
              <w:t>f</w:t>
            </w:r>
          </w:p>
        </w:tc>
        <w:tc>
          <w:tcPr>
            <w:tcW w:w="2841" w:type="dxa"/>
          </w:tcPr>
          <w:p w14:paraId="534208F1" w14:textId="22A42D2C"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7.7</w:t>
            </w:r>
          </w:p>
        </w:tc>
        <w:tc>
          <w:tcPr>
            <w:tcW w:w="2841" w:type="dxa"/>
          </w:tcPr>
          <w:p w14:paraId="275DD4C1" w14:textId="165A8B3F"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3.8</w:t>
            </w:r>
          </w:p>
        </w:tc>
      </w:tr>
      <w:tr w:rsidR="00260553" w:rsidRPr="004658DE" w14:paraId="0DD56FD8" w14:textId="77777777" w:rsidTr="00856E94">
        <w:tc>
          <w:tcPr>
            <w:tcW w:w="2840" w:type="dxa"/>
          </w:tcPr>
          <w:p w14:paraId="66A5CA37" w14:textId="65AB4612" w:rsidR="00260553" w:rsidRPr="004658DE" w:rsidRDefault="00260553" w:rsidP="00260553">
            <w:pPr>
              <w:spacing w:before="60" w:after="60"/>
              <w:rPr>
                <w:rFonts w:asciiTheme="minorHAnsi" w:eastAsia="MS Mincho" w:hAnsiTheme="minorHAnsi" w:cstheme="minorHAnsi"/>
                <w:sz w:val="22"/>
                <w:szCs w:val="22"/>
                <w:lang w:eastAsia="ja-JP"/>
              </w:rPr>
            </w:pPr>
            <w:r w:rsidRPr="004658DE">
              <w:rPr>
                <w:rFonts w:asciiTheme="minorHAnsi" w:hAnsiTheme="minorHAnsi" w:cstheme="minorHAnsi"/>
                <w:sz w:val="22"/>
                <w:szCs w:val="22"/>
              </w:rPr>
              <w:t>Serbia</w:t>
            </w:r>
          </w:p>
        </w:tc>
        <w:tc>
          <w:tcPr>
            <w:tcW w:w="2841" w:type="dxa"/>
          </w:tcPr>
          <w:p w14:paraId="014B9E17" w14:textId="4E177E5A"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7.6</w:t>
            </w:r>
          </w:p>
        </w:tc>
        <w:tc>
          <w:tcPr>
            <w:tcW w:w="2841" w:type="dxa"/>
          </w:tcPr>
          <w:p w14:paraId="4CFC805E" w14:textId="56311896"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3.7</w:t>
            </w:r>
          </w:p>
        </w:tc>
      </w:tr>
      <w:tr w:rsidR="00260553" w:rsidRPr="004658DE" w14:paraId="2134334F" w14:textId="77777777" w:rsidTr="00856E94">
        <w:tc>
          <w:tcPr>
            <w:tcW w:w="2840" w:type="dxa"/>
          </w:tcPr>
          <w:p w14:paraId="04E9676D" w14:textId="62364D4A" w:rsidR="00260553" w:rsidRPr="004658DE" w:rsidRDefault="00260553" w:rsidP="00260553">
            <w:pPr>
              <w:spacing w:before="60" w:after="60"/>
              <w:rPr>
                <w:rFonts w:asciiTheme="minorHAnsi" w:hAnsiTheme="minorHAnsi" w:cstheme="minorHAnsi"/>
                <w:sz w:val="22"/>
                <w:szCs w:val="22"/>
              </w:rPr>
            </w:pPr>
            <w:r w:rsidRPr="004658DE">
              <w:rPr>
                <w:rFonts w:asciiTheme="minorHAnsi" w:hAnsiTheme="minorHAnsi" w:cstheme="minorHAnsi"/>
                <w:sz w:val="22"/>
                <w:szCs w:val="22"/>
              </w:rPr>
              <w:t xml:space="preserve">Romania </w:t>
            </w:r>
            <w:r w:rsidR="007C3BA1">
              <w:rPr>
                <w:rFonts w:asciiTheme="minorHAnsi" w:hAnsiTheme="minorHAnsi" w:cstheme="minorHAnsi"/>
                <w:sz w:val="22"/>
                <w:szCs w:val="22"/>
                <w:vertAlign w:val="superscript"/>
              </w:rPr>
              <w:t>g</w:t>
            </w:r>
          </w:p>
        </w:tc>
        <w:tc>
          <w:tcPr>
            <w:tcW w:w="2841" w:type="dxa"/>
          </w:tcPr>
          <w:p w14:paraId="0931725B" w14:textId="76571BB5"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7.1</w:t>
            </w:r>
          </w:p>
        </w:tc>
        <w:tc>
          <w:tcPr>
            <w:tcW w:w="2841" w:type="dxa"/>
          </w:tcPr>
          <w:p w14:paraId="48FCB18C" w14:textId="34891001"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3.8</w:t>
            </w:r>
          </w:p>
        </w:tc>
      </w:tr>
      <w:tr w:rsidR="00260553" w:rsidRPr="004658DE" w14:paraId="1580EB06" w14:textId="77777777" w:rsidTr="00856E94">
        <w:tc>
          <w:tcPr>
            <w:tcW w:w="2840" w:type="dxa"/>
          </w:tcPr>
          <w:p w14:paraId="22F88A8D" w14:textId="44068F7B" w:rsidR="00260553" w:rsidRPr="004658DE" w:rsidRDefault="00260553" w:rsidP="00260553">
            <w:pPr>
              <w:spacing w:before="60" w:after="60"/>
              <w:rPr>
                <w:rFonts w:asciiTheme="minorHAnsi" w:hAnsiTheme="minorHAnsi" w:cstheme="minorHAnsi"/>
                <w:sz w:val="22"/>
                <w:szCs w:val="22"/>
              </w:rPr>
            </w:pPr>
            <w:r w:rsidRPr="004658DE">
              <w:rPr>
                <w:rFonts w:asciiTheme="minorHAnsi" w:hAnsiTheme="minorHAnsi" w:cstheme="minorHAnsi"/>
                <w:sz w:val="22"/>
                <w:szCs w:val="22"/>
              </w:rPr>
              <w:t>China</w:t>
            </w:r>
          </w:p>
        </w:tc>
        <w:tc>
          <w:tcPr>
            <w:tcW w:w="2841" w:type="dxa"/>
          </w:tcPr>
          <w:p w14:paraId="33E806BC" w14:textId="06CEE6DE"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5.9</w:t>
            </w:r>
          </w:p>
        </w:tc>
        <w:tc>
          <w:tcPr>
            <w:tcW w:w="2841" w:type="dxa"/>
          </w:tcPr>
          <w:p w14:paraId="67572705" w14:textId="0937C438"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3.3</w:t>
            </w:r>
          </w:p>
        </w:tc>
      </w:tr>
      <w:tr w:rsidR="00260553" w:rsidRPr="004658DE" w14:paraId="1BEB3038" w14:textId="77777777" w:rsidTr="00856E94">
        <w:tc>
          <w:tcPr>
            <w:tcW w:w="2840" w:type="dxa"/>
          </w:tcPr>
          <w:p w14:paraId="3F0B0A76" w14:textId="0D2E7D5C" w:rsidR="00260553" w:rsidRPr="004658DE" w:rsidRDefault="00260553" w:rsidP="00260553">
            <w:pPr>
              <w:spacing w:before="60" w:after="60"/>
              <w:rPr>
                <w:rFonts w:asciiTheme="minorHAnsi" w:hAnsiTheme="minorHAnsi" w:cstheme="minorHAnsi"/>
                <w:sz w:val="22"/>
                <w:szCs w:val="22"/>
              </w:rPr>
            </w:pPr>
            <w:r w:rsidRPr="004658DE">
              <w:rPr>
                <w:rFonts w:asciiTheme="minorHAnsi" w:hAnsiTheme="minorHAnsi" w:cstheme="minorHAnsi"/>
                <w:sz w:val="22"/>
                <w:szCs w:val="22"/>
              </w:rPr>
              <w:t xml:space="preserve">Ukraine </w:t>
            </w:r>
            <w:r w:rsidR="00697B28">
              <w:rPr>
                <w:rFonts w:asciiTheme="minorHAnsi" w:hAnsiTheme="minorHAnsi" w:cstheme="minorHAnsi"/>
                <w:sz w:val="22"/>
                <w:szCs w:val="22"/>
                <w:vertAlign w:val="superscript"/>
              </w:rPr>
              <w:t>h</w:t>
            </w:r>
          </w:p>
        </w:tc>
        <w:tc>
          <w:tcPr>
            <w:tcW w:w="2841" w:type="dxa"/>
          </w:tcPr>
          <w:p w14:paraId="259D1CD9" w14:textId="4A7B8CB8"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5.6</w:t>
            </w:r>
          </w:p>
        </w:tc>
        <w:tc>
          <w:tcPr>
            <w:tcW w:w="2841" w:type="dxa"/>
          </w:tcPr>
          <w:p w14:paraId="17686B5B" w14:textId="3B6F4141" w:rsidR="00260553" w:rsidRPr="004658DE" w:rsidRDefault="00260553" w:rsidP="00260553">
            <w:pPr>
              <w:spacing w:before="60" w:after="60"/>
              <w:jc w:val="center"/>
              <w:rPr>
                <w:rFonts w:asciiTheme="minorHAnsi" w:eastAsia="MS Mincho" w:hAnsiTheme="minorHAnsi" w:cstheme="minorHAnsi"/>
                <w:color w:val="000000"/>
                <w:sz w:val="22"/>
                <w:szCs w:val="22"/>
                <w:lang w:eastAsia="ja-JP"/>
              </w:rPr>
            </w:pPr>
            <w:r w:rsidRPr="004658DE">
              <w:rPr>
                <w:rFonts w:asciiTheme="minorHAnsi" w:hAnsiTheme="minorHAnsi" w:cstheme="minorHAnsi"/>
                <w:sz w:val="22"/>
                <w:szCs w:val="22"/>
              </w:rPr>
              <w:t>2.9</w:t>
            </w:r>
          </w:p>
        </w:tc>
      </w:tr>
      <w:tr w:rsidR="001A00A2" w:rsidRPr="004658DE" w14:paraId="5A40ACAB" w14:textId="77777777" w:rsidTr="00856E94">
        <w:tc>
          <w:tcPr>
            <w:tcW w:w="8522" w:type="dxa"/>
            <w:gridSpan w:val="3"/>
            <w:tcBorders>
              <w:top w:val="single" w:sz="12" w:space="0" w:color="auto"/>
            </w:tcBorders>
          </w:tcPr>
          <w:p w14:paraId="0F375EE8" w14:textId="6CF121C3" w:rsidR="001A00A2" w:rsidRPr="004658DE" w:rsidRDefault="001A00A2" w:rsidP="001A00A2">
            <w:pPr>
              <w:spacing w:before="60" w:after="60"/>
              <w:rPr>
                <w:rFonts w:asciiTheme="minorHAnsi" w:eastAsia="MS Mincho" w:hAnsiTheme="minorHAnsi" w:cstheme="minorHAnsi"/>
                <w:sz w:val="22"/>
                <w:szCs w:val="22"/>
                <w:lang w:eastAsia="ja-JP"/>
              </w:rPr>
            </w:pPr>
          </w:p>
        </w:tc>
      </w:tr>
    </w:tbl>
    <w:p w14:paraId="02FE4CB0" w14:textId="7A0836AD" w:rsidR="001A00A2" w:rsidRPr="0058052A" w:rsidRDefault="00C820B7" w:rsidP="00856E94">
      <w:pPr>
        <w:spacing w:line="276" w:lineRule="auto"/>
        <w:ind w:left="567" w:right="1275"/>
        <w:rPr>
          <w:rFonts w:asciiTheme="minorHAnsi" w:eastAsia="Calibri" w:hAnsiTheme="minorHAnsi" w:cstheme="minorHAnsi"/>
          <w:lang w:val="en-GB" w:eastAsia="en-US"/>
        </w:rPr>
      </w:pPr>
      <w:r w:rsidRPr="0058052A">
        <w:rPr>
          <w:rFonts w:asciiTheme="minorHAnsi" w:eastAsia="MS Mincho" w:hAnsiTheme="minorHAnsi" w:cstheme="minorHAnsi"/>
          <w:sz w:val="20"/>
          <w:szCs w:val="20"/>
          <w:vertAlign w:val="superscript"/>
          <w:lang w:val="fr-FR" w:eastAsia="ja-JP"/>
        </w:rPr>
        <w:t>a</w:t>
      </w:r>
      <w:r w:rsidRPr="0058052A">
        <w:rPr>
          <w:rFonts w:asciiTheme="minorHAnsi" w:eastAsia="MS Mincho" w:hAnsiTheme="minorHAnsi" w:cstheme="minorHAnsi"/>
          <w:sz w:val="20"/>
          <w:szCs w:val="20"/>
          <w:lang w:val="fr-FR" w:eastAsia="ja-JP"/>
        </w:rPr>
        <w:t xml:space="preserve"> Tuzun et al 2011 [</w:t>
      </w:r>
      <w:r w:rsidR="00623090" w:rsidRPr="0058052A">
        <w:rPr>
          <w:rFonts w:asciiTheme="minorHAnsi" w:eastAsia="MS Mincho" w:hAnsiTheme="minorHAnsi" w:cstheme="minorHAnsi"/>
          <w:sz w:val="20"/>
          <w:szCs w:val="20"/>
          <w:lang w:val="fr-FR" w:eastAsia="ja-JP"/>
        </w:rPr>
        <w:t>21</w:t>
      </w:r>
      <w:r w:rsidRPr="0058052A">
        <w:rPr>
          <w:rFonts w:asciiTheme="minorHAnsi" w:eastAsia="MS Mincho" w:hAnsiTheme="minorHAnsi" w:cstheme="minorHAnsi"/>
          <w:sz w:val="20"/>
          <w:szCs w:val="20"/>
          <w:lang w:val="fr-FR" w:eastAsia="ja-JP"/>
        </w:rPr>
        <w:t xml:space="preserve">]; </w:t>
      </w:r>
      <w:r w:rsidR="00BD4977" w:rsidRPr="0058052A">
        <w:rPr>
          <w:rFonts w:asciiTheme="minorHAnsi" w:eastAsia="MS Mincho" w:hAnsiTheme="minorHAnsi" w:cstheme="minorHAnsi"/>
          <w:sz w:val="20"/>
          <w:szCs w:val="20"/>
          <w:vertAlign w:val="superscript"/>
          <w:lang w:val="fr-FR" w:eastAsia="ja-JP"/>
        </w:rPr>
        <w:t xml:space="preserve">b </w:t>
      </w:r>
      <w:r w:rsidR="00BD4977" w:rsidRPr="0058052A">
        <w:rPr>
          <w:rFonts w:asciiTheme="minorHAnsi" w:eastAsia="MS Mincho" w:hAnsiTheme="minorHAnsi" w:cstheme="minorHAnsi"/>
          <w:sz w:val="20"/>
          <w:szCs w:val="20"/>
          <w:lang w:val="fr-FR" w:eastAsia="ja-JP"/>
        </w:rPr>
        <w:t xml:space="preserve">This study; </w:t>
      </w:r>
      <w:r w:rsidR="00697B28" w:rsidRPr="0058052A">
        <w:rPr>
          <w:rFonts w:asciiTheme="minorHAnsi" w:eastAsia="MS Mincho" w:hAnsiTheme="minorHAnsi" w:cstheme="minorHAnsi"/>
          <w:sz w:val="20"/>
          <w:szCs w:val="20"/>
          <w:vertAlign w:val="superscript"/>
          <w:lang w:val="fr-FR" w:eastAsia="ja-JP"/>
        </w:rPr>
        <w:t>c</w:t>
      </w:r>
      <w:r w:rsidRPr="0058052A">
        <w:rPr>
          <w:rFonts w:asciiTheme="minorHAnsi" w:eastAsia="MS Mincho" w:hAnsiTheme="minorHAnsi" w:cstheme="minorHAnsi"/>
          <w:sz w:val="20"/>
          <w:szCs w:val="20"/>
          <w:lang w:val="fr-FR" w:eastAsia="ja-JP"/>
        </w:rPr>
        <w:t xml:space="preserve"> Clark et al, 2005 [</w:t>
      </w:r>
      <w:r w:rsidR="00623090" w:rsidRPr="0058052A">
        <w:rPr>
          <w:rFonts w:asciiTheme="minorHAnsi" w:eastAsia="MS Mincho" w:hAnsiTheme="minorHAnsi" w:cstheme="minorHAnsi"/>
          <w:sz w:val="20"/>
          <w:szCs w:val="20"/>
          <w:lang w:val="fr-FR" w:eastAsia="ja-JP"/>
        </w:rPr>
        <w:t>22</w:t>
      </w:r>
      <w:r w:rsidRPr="0058052A">
        <w:rPr>
          <w:rFonts w:asciiTheme="minorHAnsi" w:eastAsia="MS Mincho" w:hAnsiTheme="minorHAnsi" w:cstheme="minorHAnsi"/>
          <w:sz w:val="20"/>
          <w:szCs w:val="20"/>
          <w:lang w:val="fr-FR" w:eastAsia="ja-JP"/>
        </w:rPr>
        <w:t>] ;</w:t>
      </w:r>
      <w:r w:rsidR="00760856" w:rsidRPr="0058052A">
        <w:rPr>
          <w:rFonts w:asciiTheme="minorHAnsi" w:hAnsiTheme="minorHAnsi" w:cstheme="minorHAnsi"/>
        </w:rPr>
        <w:t xml:space="preserve"> </w:t>
      </w:r>
      <w:r w:rsidR="00BD4977" w:rsidRPr="0058052A">
        <w:rPr>
          <w:rFonts w:asciiTheme="minorHAnsi" w:eastAsia="MS Mincho" w:hAnsiTheme="minorHAnsi" w:cstheme="minorHAnsi"/>
          <w:sz w:val="20"/>
          <w:szCs w:val="20"/>
          <w:vertAlign w:val="superscript"/>
          <w:lang w:val="fr-FR" w:eastAsia="ja-JP"/>
        </w:rPr>
        <w:t>d</w:t>
      </w:r>
      <w:r w:rsidR="00BD4977" w:rsidRPr="0058052A">
        <w:rPr>
          <w:rFonts w:asciiTheme="minorHAnsi" w:eastAsia="MS Mincho" w:hAnsiTheme="minorHAnsi" w:cstheme="minorHAnsi"/>
          <w:sz w:val="20"/>
          <w:szCs w:val="20"/>
          <w:lang w:val="fr-FR" w:eastAsia="ja-JP"/>
        </w:rPr>
        <w:t xml:space="preserve"> Czerwinski et al,</w:t>
      </w:r>
      <w:r w:rsidR="00A909A4" w:rsidRPr="0058052A">
        <w:rPr>
          <w:rFonts w:asciiTheme="minorHAnsi" w:eastAsia="MS Mincho" w:hAnsiTheme="minorHAnsi" w:cstheme="minorHAnsi"/>
          <w:sz w:val="20"/>
          <w:szCs w:val="20"/>
          <w:lang w:val="fr-FR" w:eastAsia="ja-JP"/>
        </w:rPr>
        <w:t xml:space="preserve"> </w:t>
      </w:r>
      <w:r w:rsidR="00BD4977" w:rsidRPr="0058052A">
        <w:rPr>
          <w:rFonts w:asciiTheme="minorHAnsi" w:eastAsia="MS Mincho" w:hAnsiTheme="minorHAnsi" w:cstheme="minorHAnsi"/>
          <w:sz w:val="20"/>
          <w:szCs w:val="20"/>
          <w:lang w:val="fr-FR" w:eastAsia="ja-JP"/>
        </w:rPr>
        <w:t xml:space="preserve">2009 [24]; </w:t>
      </w:r>
      <w:r w:rsidR="00A909A4" w:rsidRPr="0058052A">
        <w:rPr>
          <w:rFonts w:asciiTheme="minorHAnsi" w:eastAsia="MS Mincho" w:hAnsiTheme="minorHAnsi" w:cstheme="minorHAnsi"/>
          <w:sz w:val="20"/>
          <w:szCs w:val="20"/>
          <w:vertAlign w:val="superscript"/>
          <w:lang w:val="fr-FR" w:eastAsia="ja-JP"/>
        </w:rPr>
        <w:t>e</w:t>
      </w:r>
      <w:r w:rsidR="00A909A4" w:rsidRPr="0058052A">
        <w:rPr>
          <w:rFonts w:asciiTheme="minorHAnsi" w:eastAsia="MS Mincho" w:hAnsiTheme="minorHAnsi" w:cstheme="minorHAnsi"/>
          <w:sz w:val="20"/>
          <w:szCs w:val="20"/>
          <w:lang w:val="fr-FR" w:eastAsia="ja-JP"/>
        </w:rPr>
        <w:t xml:space="preserve"> Zakroyeva et al 2019 [12];  </w:t>
      </w:r>
      <w:r w:rsidR="00C444F5" w:rsidRPr="0058052A">
        <w:rPr>
          <w:rFonts w:asciiTheme="minorHAnsi" w:eastAsia="MS Mincho" w:hAnsiTheme="minorHAnsi" w:cstheme="minorHAnsi"/>
          <w:sz w:val="20"/>
          <w:szCs w:val="20"/>
          <w:vertAlign w:val="superscript"/>
          <w:lang w:val="fr-FR" w:eastAsia="ja-JP"/>
        </w:rPr>
        <w:t>f</w:t>
      </w:r>
      <w:r w:rsidR="00A909A4" w:rsidRPr="0058052A">
        <w:rPr>
          <w:rFonts w:asciiTheme="minorHAnsi" w:eastAsia="MS Mincho" w:hAnsiTheme="minorHAnsi" w:cstheme="minorHAnsi"/>
          <w:sz w:val="20"/>
          <w:szCs w:val="20"/>
          <w:vertAlign w:val="superscript"/>
          <w:lang w:val="fr-FR" w:eastAsia="ja-JP"/>
        </w:rPr>
        <w:t xml:space="preserve"> </w:t>
      </w:r>
      <w:r w:rsidRPr="0058052A">
        <w:rPr>
          <w:rFonts w:asciiTheme="minorHAnsi" w:eastAsia="MS Mincho" w:hAnsiTheme="minorHAnsi" w:cstheme="minorHAnsi"/>
          <w:sz w:val="20"/>
          <w:szCs w:val="20"/>
          <w:lang w:val="fr-FR" w:eastAsia="ja-JP"/>
        </w:rPr>
        <w:t xml:space="preserve">Lesnyak </w:t>
      </w:r>
      <w:r w:rsidR="00565E0A" w:rsidRPr="0058052A">
        <w:rPr>
          <w:rFonts w:asciiTheme="minorHAnsi" w:eastAsia="MS Mincho" w:hAnsiTheme="minorHAnsi" w:cstheme="minorHAnsi"/>
          <w:sz w:val="20"/>
          <w:szCs w:val="20"/>
          <w:lang w:val="fr-FR" w:eastAsia="ja-JP"/>
        </w:rPr>
        <w:t xml:space="preserve">et al </w:t>
      </w:r>
      <w:r w:rsidRPr="0058052A">
        <w:rPr>
          <w:rFonts w:asciiTheme="minorHAnsi" w:eastAsia="MS Mincho" w:hAnsiTheme="minorHAnsi" w:cstheme="minorHAnsi"/>
          <w:sz w:val="20"/>
          <w:szCs w:val="20"/>
          <w:lang w:val="fr-FR" w:eastAsia="ja-JP"/>
        </w:rPr>
        <w:t>2012  [</w:t>
      </w:r>
      <w:r w:rsidR="00E07FBF" w:rsidRPr="0058052A">
        <w:rPr>
          <w:rFonts w:asciiTheme="minorHAnsi" w:eastAsia="MS Mincho" w:hAnsiTheme="minorHAnsi" w:cstheme="minorHAnsi"/>
          <w:sz w:val="20"/>
          <w:szCs w:val="20"/>
          <w:lang w:val="fr-FR" w:eastAsia="ja-JP"/>
        </w:rPr>
        <w:t>9</w:t>
      </w:r>
      <w:r w:rsidRPr="0058052A">
        <w:rPr>
          <w:rFonts w:asciiTheme="minorHAnsi" w:eastAsia="MS Mincho" w:hAnsiTheme="minorHAnsi" w:cstheme="minorHAnsi"/>
          <w:sz w:val="20"/>
          <w:szCs w:val="20"/>
          <w:lang w:val="fr-FR" w:eastAsia="ja-JP"/>
        </w:rPr>
        <w:t>]</w:t>
      </w:r>
      <w:r w:rsidR="009514D8" w:rsidRPr="0058052A">
        <w:rPr>
          <w:rFonts w:asciiTheme="minorHAnsi" w:eastAsia="MS Mincho" w:hAnsiTheme="minorHAnsi" w:cstheme="minorHAnsi"/>
          <w:sz w:val="20"/>
          <w:szCs w:val="20"/>
          <w:lang w:val="fr-FR" w:eastAsia="ja-JP"/>
        </w:rPr>
        <w:t> ;</w:t>
      </w:r>
      <w:r w:rsidRPr="0058052A">
        <w:rPr>
          <w:rFonts w:asciiTheme="minorHAnsi" w:eastAsia="MS Mincho" w:hAnsiTheme="minorHAnsi" w:cstheme="minorHAnsi"/>
          <w:sz w:val="20"/>
          <w:szCs w:val="20"/>
          <w:lang w:val="fr-FR" w:eastAsia="ja-JP"/>
        </w:rPr>
        <w:t xml:space="preserve"> </w:t>
      </w:r>
      <w:r w:rsidR="00C444F5" w:rsidRPr="0058052A">
        <w:rPr>
          <w:rFonts w:asciiTheme="minorHAnsi" w:eastAsia="MS Mincho" w:hAnsiTheme="minorHAnsi" w:cstheme="minorHAnsi"/>
          <w:sz w:val="20"/>
          <w:szCs w:val="20"/>
          <w:vertAlign w:val="superscript"/>
          <w:lang w:val="fr-FR" w:eastAsia="ja-JP"/>
        </w:rPr>
        <w:t>g</w:t>
      </w:r>
      <w:r w:rsidR="00A909A4" w:rsidRPr="0058052A">
        <w:rPr>
          <w:rFonts w:asciiTheme="minorHAnsi" w:eastAsia="MS Mincho" w:hAnsiTheme="minorHAnsi" w:cstheme="minorHAnsi"/>
          <w:sz w:val="20"/>
          <w:szCs w:val="20"/>
          <w:vertAlign w:val="superscript"/>
          <w:lang w:val="fr-FR" w:eastAsia="ja-JP"/>
        </w:rPr>
        <w:t xml:space="preserve"> </w:t>
      </w:r>
      <w:r w:rsidRPr="0058052A">
        <w:rPr>
          <w:rFonts w:asciiTheme="minorHAnsi" w:eastAsia="MS Mincho" w:hAnsiTheme="minorHAnsi" w:cstheme="minorHAnsi"/>
          <w:sz w:val="20"/>
          <w:szCs w:val="20"/>
          <w:lang w:val="fr-FR" w:eastAsia="ja-JP"/>
        </w:rPr>
        <w:t xml:space="preserve">Grigorie </w:t>
      </w:r>
      <w:r w:rsidR="00565E0A" w:rsidRPr="0058052A">
        <w:rPr>
          <w:rFonts w:asciiTheme="minorHAnsi" w:eastAsia="MS Mincho" w:hAnsiTheme="minorHAnsi" w:cstheme="minorHAnsi"/>
          <w:sz w:val="20"/>
          <w:szCs w:val="20"/>
          <w:lang w:val="fr-FR" w:eastAsia="ja-JP"/>
        </w:rPr>
        <w:t xml:space="preserve">et al </w:t>
      </w:r>
      <w:r w:rsidRPr="0058052A">
        <w:rPr>
          <w:rFonts w:asciiTheme="minorHAnsi" w:eastAsia="MS Mincho" w:hAnsiTheme="minorHAnsi" w:cstheme="minorHAnsi"/>
          <w:sz w:val="20"/>
          <w:szCs w:val="20"/>
          <w:lang w:val="fr-FR" w:eastAsia="ja-JP"/>
        </w:rPr>
        <w:t>2013 [</w:t>
      </w:r>
      <w:r w:rsidR="00CF6437" w:rsidRPr="0058052A">
        <w:rPr>
          <w:rFonts w:asciiTheme="minorHAnsi" w:eastAsia="MS Mincho" w:hAnsiTheme="minorHAnsi" w:cstheme="minorHAnsi"/>
          <w:sz w:val="20"/>
          <w:szCs w:val="20"/>
          <w:lang w:val="fr-FR" w:eastAsia="ja-JP"/>
        </w:rPr>
        <w:t>23</w:t>
      </w:r>
      <w:r w:rsidRPr="0058052A">
        <w:rPr>
          <w:rFonts w:asciiTheme="minorHAnsi" w:eastAsia="MS Mincho" w:hAnsiTheme="minorHAnsi" w:cstheme="minorHAnsi"/>
          <w:sz w:val="20"/>
          <w:szCs w:val="20"/>
          <w:lang w:val="fr-FR" w:eastAsia="ja-JP"/>
        </w:rPr>
        <w:t>];</w:t>
      </w:r>
      <w:r w:rsidR="00C769F3" w:rsidRPr="0058052A">
        <w:rPr>
          <w:rFonts w:asciiTheme="minorHAnsi" w:hAnsiTheme="minorHAnsi" w:cstheme="minorHAnsi"/>
        </w:rPr>
        <w:t xml:space="preserve"> </w:t>
      </w:r>
      <w:r w:rsidR="002C3DE8" w:rsidRPr="0058052A">
        <w:rPr>
          <w:rFonts w:asciiTheme="minorHAnsi" w:eastAsia="MS Mincho" w:hAnsiTheme="minorHAnsi" w:cstheme="minorHAnsi"/>
          <w:sz w:val="20"/>
          <w:szCs w:val="20"/>
          <w:vertAlign w:val="superscript"/>
          <w:lang w:val="fr-FR" w:eastAsia="ja-JP"/>
        </w:rPr>
        <w:t>h</w:t>
      </w:r>
      <w:r w:rsidR="002C3DE8" w:rsidRPr="0058052A">
        <w:rPr>
          <w:rFonts w:asciiTheme="minorHAnsi" w:eastAsia="MS Mincho" w:hAnsiTheme="minorHAnsi" w:cstheme="minorHAnsi"/>
          <w:sz w:val="20"/>
          <w:szCs w:val="20"/>
          <w:lang w:val="fr-FR" w:eastAsia="ja-JP"/>
        </w:rPr>
        <w:t xml:space="preserve"> </w:t>
      </w:r>
      <w:r w:rsidRPr="0058052A">
        <w:rPr>
          <w:rFonts w:asciiTheme="minorHAnsi" w:eastAsia="MS Mincho" w:hAnsiTheme="minorHAnsi" w:cstheme="minorHAnsi"/>
          <w:sz w:val="20"/>
          <w:szCs w:val="20"/>
          <w:lang w:val="fr-FR" w:eastAsia="ja-JP"/>
        </w:rPr>
        <w:t>Povoroznyuk</w:t>
      </w:r>
      <w:r w:rsidR="00565E0A" w:rsidRPr="0058052A">
        <w:rPr>
          <w:rFonts w:asciiTheme="minorHAnsi" w:eastAsia="MS Mincho" w:hAnsiTheme="minorHAnsi" w:cstheme="minorHAnsi"/>
          <w:sz w:val="20"/>
          <w:szCs w:val="20"/>
          <w:lang w:val="fr-FR" w:eastAsia="ja-JP"/>
        </w:rPr>
        <w:t xml:space="preserve"> et al</w:t>
      </w:r>
      <w:r w:rsidRPr="0058052A">
        <w:rPr>
          <w:rFonts w:asciiTheme="minorHAnsi" w:eastAsia="MS Mincho" w:hAnsiTheme="minorHAnsi" w:cstheme="minorHAnsi"/>
          <w:sz w:val="20"/>
          <w:szCs w:val="20"/>
          <w:lang w:val="fr-FR" w:eastAsia="ja-JP"/>
        </w:rPr>
        <w:t xml:space="preserve"> 2017 [2</w:t>
      </w:r>
      <w:r w:rsidR="008A7E68" w:rsidRPr="0058052A">
        <w:rPr>
          <w:rFonts w:asciiTheme="minorHAnsi" w:eastAsia="MS Mincho" w:hAnsiTheme="minorHAnsi" w:cstheme="minorHAnsi"/>
          <w:sz w:val="20"/>
          <w:szCs w:val="20"/>
          <w:lang w:val="fr-FR" w:eastAsia="ja-JP"/>
        </w:rPr>
        <w:t>5</w:t>
      </w:r>
      <w:r w:rsidRPr="0058052A">
        <w:rPr>
          <w:rFonts w:asciiTheme="minorHAnsi" w:eastAsia="MS Mincho" w:hAnsiTheme="minorHAnsi" w:cstheme="minorHAnsi"/>
          <w:sz w:val="20"/>
          <w:szCs w:val="20"/>
          <w:lang w:val="fr-FR" w:eastAsia="ja-JP"/>
        </w:rPr>
        <w:t>]</w:t>
      </w:r>
      <w:r w:rsidR="00BF7D86" w:rsidRPr="0058052A">
        <w:rPr>
          <w:rFonts w:asciiTheme="minorHAnsi" w:eastAsia="MS Mincho" w:hAnsiTheme="minorHAnsi" w:cstheme="minorHAnsi"/>
          <w:sz w:val="20"/>
          <w:szCs w:val="20"/>
          <w:lang w:val="fr-FR" w:eastAsia="ja-JP"/>
        </w:rPr>
        <w:t>.</w:t>
      </w:r>
    </w:p>
    <w:p w14:paraId="67570495" w14:textId="77777777" w:rsidR="00F50A6E" w:rsidRDefault="00F50A6E" w:rsidP="0030661D">
      <w:pPr>
        <w:pStyle w:val="Heading1"/>
        <w:spacing w:line="276" w:lineRule="auto"/>
        <w:ind w:left="567" w:right="1275" w:firstLine="0"/>
        <w:jc w:val="left"/>
        <w:rPr>
          <w:rFonts w:asciiTheme="minorHAnsi" w:hAnsiTheme="minorHAnsi" w:cstheme="minorHAnsi"/>
          <w:b/>
          <w:color w:val="auto"/>
          <w:sz w:val="24"/>
          <w:szCs w:val="24"/>
          <w:lang w:val="en-GB"/>
        </w:rPr>
      </w:pPr>
    </w:p>
    <w:p w14:paraId="4A8473A0" w14:textId="38C13690" w:rsidR="00BD6A1A" w:rsidRPr="005B61EE" w:rsidRDefault="00BD6A1A" w:rsidP="0030661D">
      <w:pPr>
        <w:pStyle w:val="Heading1"/>
        <w:spacing w:line="276" w:lineRule="auto"/>
        <w:ind w:left="567" w:right="1275" w:firstLine="0"/>
        <w:jc w:val="left"/>
        <w:rPr>
          <w:rFonts w:asciiTheme="minorHAnsi" w:hAnsiTheme="minorHAnsi" w:cstheme="minorHAnsi"/>
          <w:b/>
          <w:color w:val="auto"/>
          <w:sz w:val="24"/>
          <w:szCs w:val="24"/>
          <w:lang w:val="en-GB"/>
        </w:rPr>
      </w:pPr>
      <w:r w:rsidRPr="007C5F5A">
        <w:rPr>
          <w:rFonts w:asciiTheme="minorHAnsi" w:hAnsiTheme="minorHAnsi" w:cstheme="minorHAnsi"/>
          <w:b/>
          <w:color w:val="auto"/>
          <w:sz w:val="24"/>
          <w:szCs w:val="24"/>
          <w:lang w:val="en-GB"/>
        </w:rPr>
        <w:t>Discussion</w:t>
      </w:r>
      <w:r w:rsidRPr="005B61EE">
        <w:rPr>
          <w:rFonts w:asciiTheme="minorHAnsi" w:hAnsiTheme="minorHAnsi" w:cstheme="minorHAnsi"/>
          <w:b/>
          <w:color w:val="auto"/>
          <w:sz w:val="24"/>
          <w:szCs w:val="24"/>
          <w:lang w:val="en-GB"/>
        </w:rPr>
        <w:t xml:space="preserve"> </w:t>
      </w:r>
    </w:p>
    <w:p w14:paraId="4E500FFE" w14:textId="77777777" w:rsidR="00D1174C" w:rsidRPr="00A81361" w:rsidRDefault="00D1174C" w:rsidP="0030661D">
      <w:pPr>
        <w:spacing w:line="276" w:lineRule="auto"/>
        <w:ind w:left="567" w:right="1275"/>
        <w:rPr>
          <w:rFonts w:eastAsia="Calibri"/>
          <w:highlight w:val="yellow"/>
          <w:lang w:val="en-GB" w:eastAsia="en-US"/>
        </w:rPr>
      </w:pPr>
    </w:p>
    <w:p w14:paraId="37DFC219" w14:textId="67DC5F7C" w:rsidR="00BA5E17" w:rsidRDefault="00360742" w:rsidP="00D13E30">
      <w:pPr>
        <w:spacing w:line="276" w:lineRule="auto"/>
        <w:ind w:left="567" w:right="1275"/>
        <w:rPr>
          <w:rFonts w:asciiTheme="minorHAnsi" w:hAnsiTheme="minorHAnsi" w:cstheme="minorHAnsi"/>
          <w:lang w:val="en-GB"/>
        </w:rPr>
      </w:pPr>
      <w:r w:rsidRPr="001404DF">
        <w:rPr>
          <w:rFonts w:asciiTheme="minorHAnsi" w:hAnsiTheme="minorHAnsi" w:cstheme="minorHAnsi"/>
          <w:lang w:val="en-GB"/>
        </w:rPr>
        <w:t>This study</w:t>
      </w:r>
      <w:r w:rsidR="00BD6A1A" w:rsidRPr="001404DF">
        <w:rPr>
          <w:rFonts w:asciiTheme="minorHAnsi" w:hAnsiTheme="minorHAnsi" w:cstheme="minorHAnsi"/>
          <w:lang w:val="en-GB"/>
        </w:rPr>
        <w:t xml:space="preserve"> documented the incidence of hip, </w:t>
      </w:r>
      <w:r w:rsidR="00770655" w:rsidRPr="001404DF">
        <w:rPr>
          <w:rFonts w:asciiTheme="minorHAnsi" w:hAnsiTheme="minorHAnsi" w:cstheme="minorHAnsi"/>
          <w:lang w:val="en-GB"/>
        </w:rPr>
        <w:t>distal forearm</w:t>
      </w:r>
      <w:r w:rsidR="00BD6A1A" w:rsidRPr="001404DF">
        <w:rPr>
          <w:rFonts w:asciiTheme="minorHAnsi" w:hAnsiTheme="minorHAnsi" w:cstheme="minorHAnsi"/>
          <w:lang w:val="en-GB"/>
        </w:rPr>
        <w:t xml:space="preserve"> and </w:t>
      </w:r>
      <w:r w:rsidR="0072737D" w:rsidRPr="001404DF">
        <w:rPr>
          <w:rFonts w:asciiTheme="minorHAnsi" w:hAnsiTheme="minorHAnsi" w:cstheme="minorHAnsi"/>
          <w:lang w:val="en-GB"/>
        </w:rPr>
        <w:t>pro</w:t>
      </w:r>
      <w:r w:rsidR="00B266CE" w:rsidRPr="001404DF">
        <w:rPr>
          <w:rFonts w:asciiTheme="minorHAnsi" w:hAnsiTheme="minorHAnsi" w:cstheme="minorHAnsi"/>
          <w:lang w:val="en-GB"/>
        </w:rPr>
        <w:t xml:space="preserve">ximal </w:t>
      </w:r>
      <w:r w:rsidR="00BD6A1A" w:rsidRPr="003967DC">
        <w:rPr>
          <w:rFonts w:asciiTheme="minorHAnsi" w:hAnsiTheme="minorHAnsi" w:cstheme="minorHAnsi"/>
          <w:lang w:val="en-GB"/>
        </w:rPr>
        <w:t>humeral fracture</w:t>
      </w:r>
      <w:r w:rsidR="00B266CE" w:rsidRPr="003967DC">
        <w:rPr>
          <w:rFonts w:asciiTheme="minorHAnsi" w:hAnsiTheme="minorHAnsi" w:cstheme="minorHAnsi"/>
          <w:lang w:val="en-GB"/>
        </w:rPr>
        <w:t>s</w:t>
      </w:r>
      <w:r w:rsidR="00BD6A1A" w:rsidRPr="003967DC">
        <w:rPr>
          <w:rFonts w:asciiTheme="minorHAnsi" w:hAnsiTheme="minorHAnsi" w:cstheme="minorHAnsi"/>
          <w:lang w:val="en-GB"/>
        </w:rPr>
        <w:t xml:space="preserve"> in </w:t>
      </w:r>
      <w:r w:rsidR="003967DC" w:rsidRPr="003967DC">
        <w:rPr>
          <w:rFonts w:asciiTheme="minorHAnsi" w:hAnsiTheme="minorHAnsi" w:cstheme="minorHAnsi"/>
          <w:lang w:val="en-GB"/>
        </w:rPr>
        <w:t>a region of K</w:t>
      </w:r>
      <w:r w:rsidR="0018021E" w:rsidRPr="003967DC">
        <w:rPr>
          <w:rFonts w:asciiTheme="minorHAnsi" w:hAnsiTheme="minorHAnsi" w:cstheme="minorHAnsi"/>
          <w:lang w:val="en-GB"/>
        </w:rPr>
        <w:t>azakhstan</w:t>
      </w:r>
      <w:r w:rsidR="003967DC" w:rsidRPr="003967DC">
        <w:rPr>
          <w:rFonts w:asciiTheme="minorHAnsi" w:hAnsiTheme="minorHAnsi" w:cstheme="minorHAnsi"/>
          <w:lang w:val="en-GB"/>
        </w:rPr>
        <w:t>.</w:t>
      </w:r>
      <w:r w:rsidR="007355C2" w:rsidRPr="003967DC">
        <w:rPr>
          <w:rFonts w:asciiTheme="minorHAnsi" w:hAnsiTheme="minorHAnsi" w:cstheme="minorHAnsi"/>
          <w:lang w:val="en-GB"/>
        </w:rPr>
        <w:t xml:space="preserve"> </w:t>
      </w:r>
      <w:r w:rsidR="00D13E30" w:rsidRPr="00714CC9">
        <w:rPr>
          <w:rFonts w:asciiTheme="minorHAnsi" w:hAnsiTheme="minorHAnsi" w:cstheme="minorHAnsi"/>
          <w:lang w:val="en-GB"/>
        </w:rPr>
        <w:t>As expected, hip fractures</w:t>
      </w:r>
      <w:r w:rsidR="00EE6968" w:rsidRPr="00714CC9">
        <w:rPr>
          <w:rFonts w:asciiTheme="minorHAnsi" w:hAnsiTheme="minorHAnsi" w:cstheme="minorHAnsi"/>
          <w:lang w:val="en-GB"/>
        </w:rPr>
        <w:t xml:space="preserve"> were more freq</w:t>
      </w:r>
      <w:r w:rsidR="00852305" w:rsidRPr="00714CC9">
        <w:rPr>
          <w:rFonts w:asciiTheme="minorHAnsi" w:hAnsiTheme="minorHAnsi" w:cstheme="minorHAnsi"/>
          <w:lang w:val="en-GB"/>
        </w:rPr>
        <w:t>uent in women than in men (female/male ratio</w:t>
      </w:r>
      <w:r w:rsidR="00BF35DA" w:rsidRPr="00714CC9">
        <w:rPr>
          <w:rFonts w:asciiTheme="minorHAnsi" w:hAnsiTheme="minorHAnsi" w:cstheme="minorHAnsi"/>
          <w:lang w:val="en-GB"/>
        </w:rPr>
        <w:t xml:space="preserve"> =</w:t>
      </w:r>
      <w:r w:rsidR="002002D4">
        <w:rPr>
          <w:rFonts w:asciiTheme="minorHAnsi" w:hAnsiTheme="minorHAnsi" w:cstheme="minorHAnsi"/>
          <w:lang w:val="en-GB"/>
        </w:rPr>
        <w:t>1.6</w:t>
      </w:r>
      <w:r w:rsidR="00BF35DA" w:rsidRPr="00714CC9">
        <w:rPr>
          <w:rFonts w:asciiTheme="minorHAnsi" w:hAnsiTheme="minorHAnsi" w:cstheme="minorHAnsi"/>
          <w:lang w:val="en-GB"/>
        </w:rPr>
        <w:t xml:space="preserve">). </w:t>
      </w:r>
      <w:r w:rsidR="00D13E30" w:rsidRPr="00714CC9">
        <w:rPr>
          <w:rFonts w:asciiTheme="minorHAnsi" w:hAnsiTheme="minorHAnsi" w:cstheme="minorHAnsi"/>
          <w:lang w:val="en-GB"/>
        </w:rPr>
        <w:t xml:space="preserve"> </w:t>
      </w:r>
      <w:r w:rsidR="00BF35DA" w:rsidRPr="00714CC9">
        <w:rPr>
          <w:rFonts w:asciiTheme="minorHAnsi" w:hAnsiTheme="minorHAnsi" w:cstheme="minorHAnsi"/>
          <w:lang w:val="en-GB"/>
        </w:rPr>
        <w:t>I</w:t>
      </w:r>
      <w:r w:rsidR="00D13E30" w:rsidRPr="00714CC9">
        <w:rPr>
          <w:rFonts w:asciiTheme="minorHAnsi" w:hAnsiTheme="minorHAnsi" w:cstheme="minorHAnsi"/>
          <w:lang w:val="en-GB"/>
        </w:rPr>
        <w:t xml:space="preserve">n both </w:t>
      </w:r>
      <w:r w:rsidR="00671FD7" w:rsidRPr="00714CC9">
        <w:rPr>
          <w:rFonts w:asciiTheme="minorHAnsi" w:hAnsiTheme="minorHAnsi" w:cstheme="minorHAnsi"/>
          <w:lang w:val="en-GB"/>
        </w:rPr>
        <w:t xml:space="preserve">sexes, </w:t>
      </w:r>
      <w:r w:rsidR="00671FD7" w:rsidRPr="009743B1">
        <w:rPr>
          <w:rFonts w:asciiTheme="minorHAnsi" w:hAnsiTheme="minorHAnsi" w:cstheme="minorHAnsi"/>
          <w:lang w:val="en-GB"/>
        </w:rPr>
        <w:t>the</w:t>
      </w:r>
      <w:r w:rsidR="00F35997" w:rsidRPr="009743B1">
        <w:rPr>
          <w:rFonts w:asciiTheme="minorHAnsi" w:hAnsiTheme="minorHAnsi" w:cstheme="minorHAnsi"/>
          <w:lang w:val="en-GB"/>
        </w:rPr>
        <w:t xml:space="preserve"> incidence </w:t>
      </w:r>
      <w:r w:rsidR="00CB02C4" w:rsidRPr="009743B1">
        <w:rPr>
          <w:rFonts w:asciiTheme="minorHAnsi" w:hAnsiTheme="minorHAnsi" w:cstheme="minorHAnsi"/>
          <w:lang w:val="en-GB"/>
        </w:rPr>
        <w:t>increased with age</w:t>
      </w:r>
      <w:r w:rsidR="00671FD7" w:rsidRPr="009743B1">
        <w:rPr>
          <w:rFonts w:asciiTheme="minorHAnsi" w:hAnsiTheme="minorHAnsi" w:cstheme="minorHAnsi"/>
          <w:lang w:val="en-GB"/>
        </w:rPr>
        <w:t xml:space="preserve">.  </w:t>
      </w:r>
      <w:r w:rsidR="009138B2" w:rsidRPr="009743B1">
        <w:rPr>
          <w:rFonts w:asciiTheme="minorHAnsi" w:hAnsiTheme="minorHAnsi" w:cstheme="minorHAnsi"/>
          <w:lang w:val="en-GB"/>
        </w:rPr>
        <w:t xml:space="preserve">It is of interest that for </w:t>
      </w:r>
      <w:r w:rsidR="003C1B3E">
        <w:rPr>
          <w:rFonts w:asciiTheme="minorHAnsi" w:hAnsiTheme="minorHAnsi" w:cstheme="minorHAnsi"/>
          <w:lang w:val="en-GB"/>
        </w:rPr>
        <w:t>individuals</w:t>
      </w:r>
      <w:r w:rsidR="009138B2" w:rsidRPr="009743B1">
        <w:rPr>
          <w:rFonts w:asciiTheme="minorHAnsi" w:hAnsiTheme="minorHAnsi" w:cstheme="minorHAnsi"/>
          <w:lang w:val="en-GB"/>
        </w:rPr>
        <w:t xml:space="preserve"> younger than 70 years the hip fracture rate among men was </w:t>
      </w:r>
      <w:r w:rsidR="00CE7287">
        <w:rPr>
          <w:rFonts w:asciiTheme="minorHAnsi" w:hAnsiTheme="minorHAnsi" w:cstheme="minorHAnsi"/>
          <w:lang w:val="en-GB"/>
        </w:rPr>
        <w:t xml:space="preserve">slightly </w:t>
      </w:r>
      <w:r w:rsidR="009138B2" w:rsidRPr="009743B1">
        <w:rPr>
          <w:rFonts w:asciiTheme="minorHAnsi" w:hAnsiTheme="minorHAnsi" w:cstheme="minorHAnsi"/>
          <w:lang w:val="en-GB"/>
        </w:rPr>
        <w:t>higher than in women</w:t>
      </w:r>
      <w:r w:rsidR="009138B2" w:rsidRPr="007C5F5A">
        <w:rPr>
          <w:rFonts w:asciiTheme="minorHAnsi" w:hAnsiTheme="minorHAnsi" w:cstheme="minorHAnsi"/>
          <w:lang w:val="en-GB"/>
        </w:rPr>
        <w:t xml:space="preserve">.  Thereafter </w:t>
      </w:r>
      <w:r w:rsidR="001534AD" w:rsidRPr="007C5F5A">
        <w:rPr>
          <w:rFonts w:asciiTheme="minorHAnsi" w:hAnsiTheme="minorHAnsi" w:cstheme="minorHAnsi"/>
          <w:lang w:val="en-GB"/>
        </w:rPr>
        <w:t xml:space="preserve">incidence was higher in women.  </w:t>
      </w:r>
      <w:r w:rsidR="009138B2" w:rsidRPr="007C5F5A">
        <w:rPr>
          <w:rFonts w:asciiTheme="minorHAnsi" w:hAnsiTheme="minorHAnsi" w:cstheme="minorHAnsi"/>
          <w:lang w:val="en-GB"/>
        </w:rPr>
        <w:t>Similar results have been reported in several studies</w:t>
      </w:r>
      <w:r w:rsidR="00876DA1">
        <w:rPr>
          <w:rFonts w:asciiTheme="minorHAnsi" w:hAnsiTheme="minorHAnsi" w:cstheme="minorHAnsi"/>
          <w:lang w:val="en-GB"/>
        </w:rPr>
        <w:t xml:space="preserve"> [</w:t>
      </w:r>
      <w:r w:rsidR="001734E2" w:rsidRPr="00AC7ECE">
        <w:rPr>
          <w:rFonts w:asciiTheme="minorHAnsi" w:hAnsiTheme="minorHAnsi" w:cstheme="minorHAnsi"/>
          <w:lang w:val="en-GB"/>
        </w:rPr>
        <w:t>23,</w:t>
      </w:r>
      <w:r w:rsidR="001734E2">
        <w:rPr>
          <w:rFonts w:asciiTheme="minorHAnsi" w:hAnsiTheme="minorHAnsi" w:cstheme="minorHAnsi"/>
          <w:lang w:val="en-GB"/>
        </w:rPr>
        <w:t xml:space="preserve"> 26</w:t>
      </w:r>
      <w:r w:rsidR="00B7609C">
        <w:rPr>
          <w:rFonts w:asciiTheme="minorHAnsi" w:hAnsiTheme="minorHAnsi" w:cstheme="minorHAnsi"/>
          <w:lang w:val="en-GB"/>
        </w:rPr>
        <w:t xml:space="preserve">, </w:t>
      </w:r>
      <w:r w:rsidR="0058052A">
        <w:rPr>
          <w:rFonts w:asciiTheme="minorHAnsi" w:hAnsiTheme="minorHAnsi" w:cstheme="minorHAnsi"/>
          <w:lang w:val="en-GB"/>
        </w:rPr>
        <w:t>27, 28</w:t>
      </w:r>
      <w:r w:rsidR="00C24410">
        <w:rPr>
          <w:rFonts w:asciiTheme="minorHAnsi" w:hAnsiTheme="minorHAnsi" w:cstheme="minorHAnsi"/>
          <w:lang w:val="en-GB"/>
        </w:rPr>
        <w:t>]</w:t>
      </w:r>
      <w:r w:rsidR="009138B2" w:rsidRPr="007C5F5A">
        <w:rPr>
          <w:rFonts w:asciiTheme="minorHAnsi" w:hAnsiTheme="minorHAnsi" w:cstheme="minorHAnsi"/>
          <w:lang w:val="en-GB"/>
        </w:rPr>
        <w:t xml:space="preserve"> including other countries of the EVA project, namely Armenia</w:t>
      </w:r>
      <w:r w:rsidR="002365CF" w:rsidRPr="007C5F5A">
        <w:rPr>
          <w:rFonts w:asciiTheme="minorHAnsi" w:hAnsiTheme="minorHAnsi" w:cstheme="minorHAnsi"/>
          <w:lang w:val="en-GB"/>
        </w:rPr>
        <w:t xml:space="preserve"> [10</w:t>
      </w:r>
      <w:r w:rsidR="003D12ED" w:rsidRPr="007C5F5A">
        <w:rPr>
          <w:rFonts w:asciiTheme="minorHAnsi" w:hAnsiTheme="minorHAnsi" w:cstheme="minorHAnsi"/>
          <w:lang w:val="en-GB"/>
        </w:rPr>
        <w:t>],</w:t>
      </w:r>
      <w:r w:rsidR="009138B2" w:rsidRPr="007C5F5A">
        <w:rPr>
          <w:rFonts w:asciiTheme="minorHAnsi" w:hAnsiTheme="minorHAnsi" w:cstheme="minorHAnsi"/>
          <w:lang w:val="en-GB"/>
        </w:rPr>
        <w:t xml:space="preserve"> Belarus</w:t>
      </w:r>
      <w:r w:rsidR="003D12ED" w:rsidRPr="007C5F5A">
        <w:rPr>
          <w:rFonts w:asciiTheme="minorHAnsi" w:hAnsiTheme="minorHAnsi" w:cstheme="minorHAnsi"/>
          <w:lang w:val="en-GB"/>
        </w:rPr>
        <w:t xml:space="preserve"> [</w:t>
      </w:r>
      <w:r w:rsidR="004C502A" w:rsidRPr="007C5F5A">
        <w:rPr>
          <w:rFonts w:asciiTheme="minorHAnsi" w:hAnsiTheme="minorHAnsi" w:cstheme="minorHAnsi"/>
          <w:lang w:val="en-GB"/>
        </w:rPr>
        <w:t>11]</w:t>
      </w:r>
      <w:r w:rsidR="009138B2" w:rsidRPr="007C5F5A">
        <w:rPr>
          <w:rFonts w:asciiTheme="minorHAnsi" w:hAnsiTheme="minorHAnsi" w:cstheme="minorHAnsi"/>
          <w:lang w:val="en-GB"/>
        </w:rPr>
        <w:t>,</w:t>
      </w:r>
      <w:r w:rsidR="006B1B18" w:rsidRPr="007C5F5A">
        <w:rPr>
          <w:rFonts w:asciiTheme="minorHAnsi" w:hAnsiTheme="minorHAnsi" w:cstheme="minorHAnsi"/>
        </w:rPr>
        <w:t xml:space="preserve"> </w:t>
      </w:r>
      <w:r w:rsidR="006B1B18" w:rsidRPr="007C5F5A">
        <w:rPr>
          <w:rFonts w:asciiTheme="minorHAnsi" w:hAnsiTheme="minorHAnsi" w:cstheme="minorHAnsi"/>
          <w:lang w:val="en-GB"/>
        </w:rPr>
        <w:t xml:space="preserve">Moldova </w:t>
      </w:r>
      <w:r w:rsidR="001A4BAD" w:rsidRPr="007C5F5A">
        <w:rPr>
          <w:rFonts w:asciiTheme="minorHAnsi" w:hAnsiTheme="minorHAnsi" w:cstheme="minorHAnsi"/>
          <w:lang w:val="en-GB"/>
        </w:rPr>
        <w:t xml:space="preserve">[12] </w:t>
      </w:r>
      <w:r w:rsidR="0085076B" w:rsidRPr="007C5F5A">
        <w:rPr>
          <w:rFonts w:asciiTheme="minorHAnsi" w:hAnsiTheme="minorHAnsi" w:cstheme="minorHAnsi"/>
          <w:lang w:val="en-GB"/>
        </w:rPr>
        <w:t xml:space="preserve">and </w:t>
      </w:r>
      <w:r w:rsidR="006B1B18" w:rsidRPr="007C5F5A">
        <w:rPr>
          <w:rFonts w:asciiTheme="minorHAnsi" w:hAnsiTheme="minorHAnsi" w:cstheme="minorHAnsi"/>
          <w:lang w:val="en-GB"/>
        </w:rPr>
        <w:t>Russia,</w:t>
      </w:r>
      <w:r w:rsidR="009138B2" w:rsidRPr="007C5F5A">
        <w:rPr>
          <w:rFonts w:asciiTheme="minorHAnsi" w:hAnsiTheme="minorHAnsi" w:cstheme="minorHAnsi"/>
          <w:lang w:val="en-GB"/>
        </w:rPr>
        <w:t xml:space="preserve"> [</w:t>
      </w:r>
      <w:r w:rsidR="0097544F" w:rsidRPr="007C5F5A">
        <w:rPr>
          <w:rFonts w:asciiTheme="minorHAnsi" w:hAnsiTheme="minorHAnsi" w:cstheme="minorHAnsi"/>
          <w:lang w:val="en-GB"/>
        </w:rPr>
        <w:t>9</w:t>
      </w:r>
      <w:r w:rsidR="008E2A29">
        <w:rPr>
          <w:rFonts w:asciiTheme="minorHAnsi" w:hAnsiTheme="minorHAnsi" w:cstheme="minorHAnsi"/>
          <w:lang w:val="en-GB"/>
        </w:rPr>
        <w:t>]</w:t>
      </w:r>
      <w:r w:rsidR="009138B2" w:rsidRPr="007C5F5A">
        <w:rPr>
          <w:rFonts w:asciiTheme="minorHAnsi" w:hAnsiTheme="minorHAnsi" w:cstheme="minorHAnsi"/>
          <w:lang w:val="en-GB"/>
        </w:rPr>
        <w:t>.</w:t>
      </w:r>
      <w:r w:rsidR="0010041D" w:rsidRPr="007C5F5A">
        <w:rPr>
          <w:rFonts w:asciiTheme="minorHAnsi" w:hAnsiTheme="minorHAnsi" w:cstheme="minorHAnsi"/>
          <w:lang w:val="en-GB"/>
        </w:rPr>
        <w:t xml:space="preserve"> </w:t>
      </w:r>
      <w:r w:rsidR="00F81ADC" w:rsidRPr="007C5F5A">
        <w:rPr>
          <w:rFonts w:asciiTheme="minorHAnsi" w:hAnsiTheme="minorHAnsi" w:cstheme="minorHAnsi"/>
          <w:lang w:val="en-GB"/>
        </w:rPr>
        <w:t xml:space="preserve">Assuming that the regional incidence </w:t>
      </w:r>
      <w:r w:rsidR="00B82BD3" w:rsidRPr="007C5F5A">
        <w:rPr>
          <w:rFonts w:asciiTheme="minorHAnsi" w:hAnsiTheme="minorHAnsi" w:cstheme="minorHAnsi"/>
          <w:lang w:val="en-GB"/>
        </w:rPr>
        <w:t xml:space="preserve">was similar to the </w:t>
      </w:r>
      <w:r w:rsidR="00C83384" w:rsidRPr="007C5F5A">
        <w:rPr>
          <w:rFonts w:asciiTheme="minorHAnsi" w:hAnsiTheme="minorHAnsi" w:cstheme="minorHAnsi"/>
          <w:lang w:val="en-GB"/>
        </w:rPr>
        <w:t xml:space="preserve">national incidence, </w:t>
      </w:r>
      <w:r w:rsidR="00174398" w:rsidRPr="007C5F5A">
        <w:rPr>
          <w:rFonts w:asciiTheme="minorHAnsi" w:hAnsiTheme="minorHAnsi" w:cstheme="minorHAnsi"/>
          <w:lang w:val="en-GB"/>
        </w:rPr>
        <w:t>Kazakhstan</w:t>
      </w:r>
      <w:r w:rsidR="00D13E30" w:rsidRPr="007C5F5A">
        <w:rPr>
          <w:rFonts w:asciiTheme="minorHAnsi" w:hAnsiTheme="minorHAnsi" w:cstheme="minorHAnsi"/>
          <w:lang w:val="en-GB"/>
        </w:rPr>
        <w:t xml:space="preserve"> belongs to the </w:t>
      </w:r>
      <w:r w:rsidR="008F51DB" w:rsidRPr="007C5F5A">
        <w:rPr>
          <w:rFonts w:asciiTheme="minorHAnsi" w:hAnsiTheme="minorHAnsi" w:cstheme="minorHAnsi"/>
          <w:lang w:val="en-GB"/>
        </w:rPr>
        <w:t>moderate</w:t>
      </w:r>
      <w:r w:rsidR="00D13E30" w:rsidRPr="007C5F5A">
        <w:rPr>
          <w:rFonts w:asciiTheme="minorHAnsi" w:hAnsiTheme="minorHAnsi" w:cstheme="minorHAnsi"/>
          <w:lang w:val="en-GB"/>
        </w:rPr>
        <w:t xml:space="preserve">-risk countries for hip fracture for men and women </w:t>
      </w:r>
      <w:r w:rsidR="00D13E30" w:rsidRPr="00396AEB">
        <w:rPr>
          <w:rFonts w:asciiTheme="minorHAnsi" w:hAnsiTheme="minorHAnsi" w:cstheme="minorHAnsi"/>
          <w:lang w:val="en-GB"/>
        </w:rPr>
        <w:t>[</w:t>
      </w:r>
      <w:r w:rsidR="001D6647" w:rsidRPr="00396AEB">
        <w:rPr>
          <w:rFonts w:asciiTheme="minorHAnsi" w:hAnsiTheme="minorHAnsi" w:cstheme="minorHAnsi"/>
          <w:lang w:val="en-GB"/>
        </w:rPr>
        <w:t>2</w:t>
      </w:r>
      <w:r w:rsidR="00F0472F" w:rsidRPr="00396AEB">
        <w:rPr>
          <w:rFonts w:asciiTheme="minorHAnsi" w:hAnsiTheme="minorHAnsi" w:cstheme="minorHAnsi"/>
          <w:lang w:val="en-GB"/>
        </w:rPr>
        <w:t>9</w:t>
      </w:r>
      <w:r w:rsidR="00D13E30" w:rsidRPr="00396AEB">
        <w:rPr>
          <w:rFonts w:asciiTheme="minorHAnsi" w:hAnsiTheme="minorHAnsi" w:cstheme="minorHAnsi"/>
          <w:lang w:val="en-GB"/>
        </w:rPr>
        <w:t>].</w:t>
      </w:r>
      <w:r w:rsidR="003B5FD1" w:rsidRPr="007C5F5A">
        <w:rPr>
          <w:rFonts w:asciiTheme="minorHAnsi" w:hAnsiTheme="minorHAnsi" w:cstheme="minorHAnsi"/>
          <w:lang w:val="en-GB"/>
        </w:rPr>
        <w:t xml:space="preserve"> </w:t>
      </w:r>
    </w:p>
    <w:p w14:paraId="0727F058" w14:textId="5D484083" w:rsidR="00770F4D" w:rsidRPr="007C5F5A" w:rsidRDefault="003B5FD1" w:rsidP="00D13E30">
      <w:pPr>
        <w:spacing w:line="276" w:lineRule="auto"/>
        <w:ind w:left="567" w:right="1275"/>
        <w:rPr>
          <w:rFonts w:asciiTheme="minorHAnsi" w:hAnsiTheme="minorHAnsi" w:cstheme="minorHAnsi"/>
          <w:lang w:val="en-GB"/>
        </w:rPr>
      </w:pPr>
      <w:r w:rsidRPr="007C5F5A">
        <w:rPr>
          <w:rFonts w:asciiTheme="minorHAnsi" w:hAnsiTheme="minorHAnsi" w:cstheme="minorHAnsi"/>
          <w:lang w:val="en-GB"/>
        </w:rPr>
        <w:t xml:space="preserve"> </w:t>
      </w:r>
      <w:r w:rsidR="00D13E30" w:rsidRPr="007C5F5A">
        <w:rPr>
          <w:rFonts w:asciiTheme="minorHAnsi" w:hAnsiTheme="minorHAnsi" w:cstheme="minorHAnsi"/>
          <w:lang w:val="en-GB"/>
        </w:rPr>
        <w:t xml:space="preserve"> </w:t>
      </w:r>
    </w:p>
    <w:p w14:paraId="758670CC" w14:textId="4C12184C" w:rsidR="00770F4D" w:rsidRPr="007C5F5A" w:rsidRDefault="00D41795" w:rsidP="00D13E30">
      <w:pPr>
        <w:spacing w:line="276" w:lineRule="auto"/>
        <w:ind w:left="567" w:right="1275"/>
        <w:rPr>
          <w:rFonts w:asciiTheme="minorHAnsi" w:hAnsiTheme="minorHAnsi" w:cstheme="minorHAnsi"/>
          <w:lang w:val="en-GB"/>
        </w:rPr>
      </w:pPr>
      <w:r w:rsidRPr="007C5F5A">
        <w:rPr>
          <w:rFonts w:asciiTheme="minorHAnsi" w:hAnsiTheme="minorHAnsi" w:cstheme="minorHAnsi"/>
          <w:lang w:val="en-GB"/>
        </w:rPr>
        <w:t>The number of hip fractures nationwide</w:t>
      </w:r>
      <w:r w:rsidR="004C7B6A" w:rsidRPr="007C5F5A">
        <w:rPr>
          <w:rFonts w:asciiTheme="minorHAnsi" w:hAnsiTheme="minorHAnsi" w:cstheme="minorHAnsi"/>
          <w:lang w:val="en-GB"/>
        </w:rPr>
        <w:t xml:space="preserve"> was </w:t>
      </w:r>
      <w:r w:rsidRPr="007C5F5A">
        <w:rPr>
          <w:rFonts w:asciiTheme="minorHAnsi" w:hAnsiTheme="minorHAnsi" w:cstheme="minorHAnsi"/>
          <w:lang w:val="en-GB"/>
        </w:rPr>
        <w:t>estimated at 11,690 in 2015</w:t>
      </w:r>
      <w:r w:rsidR="00872421" w:rsidRPr="007C5F5A">
        <w:rPr>
          <w:rFonts w:asciiTheme="minorHAnsi" w:hAnsiTheme="minorHAnsi" w:cstheme="minorHAnsi"/>
          <w:lang w:val="en-GB"/>
        </w:rPr>
        <w:t>.</w:t>
      </w:r>
    </w:p>
    <w:p w14:paraId="305A8356" w14:textId="71CBC385" w:rsidR="00613FA3" w:rsidRPr="002D12D8" w:rsidRDefault="00613FA3" w:rsidP="00116E0F">
      <w:pPr>
        <w:spacing w:line="276" w:lineRule="auto"/>
        <w:ind w:left="567" w:right="1275"/>
        <w:rPr>
          <w:rFonts w:asciiTheme="minorHAnsi" w:hAnsiTheme="minorHAnsi" w:cstheme="minorHAnsi"/>
          <w:lang w:val="en-GB"/>
        </w:rPr>
      </w:pPr>
      <w:r w:rsidRPr="00607633">
        <w:rPr>
          <w:rFonts w:asciiTheme="minorHAnsi" w:hAnsiTheme="minorHAnsi" w:cstheme="minorHAnsi"/>
          <w:lang w:val="en-GB"/>
        </w:rPr>
        <w:t xml:space="preserve">Demographic projections indicate that </w:t>
      </w:r>
      <w:r w:rsidR="00872421" w:rsidRPr="00607633">
        <w:rPr>
          <w:rFonts w:asciiTheme="minorHAnsi" w:hAnsiTheme="minorHAnsi" w:cstheme="minorHAnsi"/>
          <w:lang w:val="en-GB"/>
        </w:rPr>
        <w:t xml:space="preserve">the annual number of hip </w:t>
      </w:r>
      <w:r w:rsidR="00607633" w:rsidRPr="00607633">
        <w:rPr>
          <w:rFonts w:asciiTheme="minorHAnsi" w:hAnsiTheme="minorHAnsi" w:cstheme="minorHAnsi"/>
          <w:lang w:val="en-GB"/>
        </w:rPr>
        <w:t>fractures</w:t>
      </w:r>
      <w:r w:rsidRPr="00607633">
        <w:rPr>
          <w:rFonts w:asciiTheme="minorHAnsi" w:hAnsiTheme="minorHAnsi" w:cstheme="minorHAnsi"/>
          <w:lang w:val="en-GB"/>
        </w:rPr>
        <w:t xml:space="preserve"> will increase </w:t>
      </w:r>
      <w:r w:rsidR="00F52937" w:rsidRPr="00607633">
        <w:rPr>
          <w:rFonts w:asciiTheme="minorHAnsi" w:hAnsiTheme="minorHAnsi" w:cstheme="minorHAnsi"/>
          <w:lang w:val="en-GB"/>
        </w:rPr>
        <w:t xml:space="preserve">by </w:t>
      </w:r>
      <w:r w:rsidR="00DC1647" w:rsidRPr="00607633">
        <w:rPr>
          <w:rFonts w:asciiTheme="minorHAnsi" w:hAnsiTheme="minorHAnsi" w:cstheme="minorHAnsi"/>
          <w:lang w:val="en-GB"/>
        </w:rPr>
        <w:t>140</w:t>
      </w:r>
      <w:r w:rsidR="00F52937" w:rsidRPr="00607633">
        <w:rPr>
          <w:rFonts w:asciiTheme="minorHAnsi" w:hAnsiTheme="minorHAnsi" w:cstheme="minorHAnsi"/>
          <w:lang w:val="en-GB"/>
        </w:rPr>
        <w:t xml:space="preserve">% </w:t>
      </w:r>
      <w:r w:rsidRPr="00607633">
        <w:rPr>
          <w:rFonts w:asciiTheme="minorHAnsi" w:hAnsiTheme="minorHAnsi" w:cstheme="minorHAnsi"/>
          <w:lang w:val="en-GB"/>
        </w:rPr>
        <w:t xml:space="preserve">to </w:t>
      </w:r>
      <w:r w:rsidR="00854029" w:rsidRPr="00607633">
        <w:rPr>
          <w:rFonts w:asciiTheme="minorHAnsi" w:eastAsia="Calibri" w:hAnsiTheme="minorHAnsi" w:cstheme="minorHAnsi"/>
          <w:lang w:val="en-GB" w:bidi="lo-LA"/>
        </w:rPr>
        <w:t>28</w:t>
      </w:r>
      <w:r w:rsidRPr="00607633">
        <w:rPr>
          <w:rFonts w:asciiTheme="minorHAnsi" w:eastAsia="Calibri" w:hAnsiTheme="minorHAnsi" w:cstheme="minorHAnsi"/>
          <w:lang w:val="en-GB" w:bidi="lo-LA"/>
        </w:rPr>
        <w:t>,</w:t>
      </w:r>
      <w:r w:rsidR="00854029" w:rsidRPr="00607633">
        <w:rPr>
          <w:rFonts w:asciiTheme="minorHAnsi" w:eastAsia="Calibri" w:hAnsiTheme="minorHAnsi" w:cstheme="minorHAnsi"/>
          <w:lang w:val="en-GB" w:bidi="lo-LA"/>
        </w:rPr>
        <w:t>048</w:t>
      </w:r>
      <w:r w:rsidRPr="00607633">
        <w:rPr>
          <w:rFonts w:asciiTheme="minorHAnsi" w:eastAsia="Calibri" w:hAnsiTheme="minorHAnsi" w:cstheme="minorHAnsi"/>
          <w:lang w:val="en-GB" w:bidi="lo-LA"/>
        </w:rPr>
        <w:t xml:space="preserve"> </w:t>
      </w:r>
      <w:r w:rsidRPr="00607633">
        <w:rPr>
          <w:rFonts w:asciiTheme="minorHAnsi" w:hAnsiTheme="minorHAnsi" w:cstheme="minorHAnsi"/>
          <w:lang w:val="en-GB"/>
        </w:rPr>
        <w:t xml:space="preserve">in 2050. These estimates are relatively robust in that all individuals who will be aged 60 years or more in 2050 are currently adults. However, these estimates may be conservative since they assume that the age- </w:t>
      </w:r>
      <w:r w:rsidRPr="0070571D">
        <w:rPr>
          <w:rFonts w:asciiTheme="minorHAnsi" w:hAnsiTheme="minorHAnsi" w:cstheme="minorHAnsi"/>
          <w:lang w:val="en-GB"/>
        </w:rPr>
        <w:t xml:space="preserve">and sex-specific risk of hip fracture remains unchanged over this period. If the age- and sex-specific incidence </w:t>
      </w:r>
      <w:r w:rsidR="00607633" w:rsidRPr="0070571D">
        <w:rPr>
          <w:rFonts w:asciiTheme="minorHAnsi" w:hAnsiTheme="minorHAnsi" w:cstheme="minorHAnsi"/>
          <w:lang w:val="en-GB"/>
        </w:rPr>
        <w:t xml:space="preserve">of hip fracture </w:t>
      </w:r>
      <w:r w:rsidRPr="0070571D">
        <w:rPr>
          <w:rFonts w:asciiTheme="minorHAnsi" w:hAnsiTheme="minorHAnsi" w:cstheme="minorHAnsi"/>
          <w:lang w:val="en-GB"/>
        </w:rPr>
        <w:t xml:space="preserve">increases, as has been registered in several </w:t>
      </w:r>
      <w:r w:rsidRPr="008E2A29">
        <w:rPr>
          <w:rFonts w:asciiTheme="minorHAnsi" w:hAnsiTheme="minorHAnsi" w:cstheme="minorHAnsi"/>
          <w:lang w:val="en-GB"/>
        </w:rPr>
        <w:t>countries [</w:t>
      </w:r>
      <w:r w:rsidR="00396AEB">
        <w:rPr>
          <w:rFonts w:asciiTheme="minorHAnsi" w:hAnsiTheme="minorHAnsi" w:cstheme="minorHAnsi"/>
          <w:lang w:val="en-GB"/>
        </w:rPr>
        <w:t>30</w:t>
      </w:r>
      <w:r w:rsidRPr="008E2A29">
        <w:rPr>
          <w:rFonts w:asciiTheme="minorHAnsi" w:hAnsiTheme="minorHAnsi" w:cstheme="minorHAnsi"/>
          <w:lang w:val="en-GB"/>
        </w:rPr>
        <w:t>], then</w:t>
      </w:r>
      <w:r w:rsidRPr="0070571D">
        <w:rPr>
          <w:rFonts w:asciiTheme="minorHAnsi" w:hAnsiTheme="minorHAnsi" w:cstheme="minorHAnsi"/>
          <w:lang w:val="en-GB"/>
        </w:rPr>
        <w:t xml:space="preserve"> the number of fractures may be more than </w:t>
      </w:r>
      <w:r w:rsidRPr="002D12D8">
        <w:rPr>
          <w:rFonts w:asciiTheme="minorHAnsi" w:hAnsiTheme="minorHAnsi" w:cstheme="minorHAnsi"/>
          <w:lang w:val="en-GB"/>
        </w:rPr>
        <w:t>doubled.</w:t>
      </w:r>
      <w:r w:rsidR="00820B2E" w:rsidRPr="002D12D8">
        <w:rPr>
          <w:rFonts w:asciiTheme="minorHAnsi" w:hAnsiTheme="minorHAnsi" w:cstheme="minorHAnsi"/>
          <w:lang w:val="en-GB"/>
        </w:rPr>
        <w:t xml:space="preserve"> </w:t>
      </w:r>
      <w:r w:rsidR="00F1602A" w:rsidRPr="002D12D8">
        <w:rPr>
          <w:rFonts w:asciiTheme="minorHAnsi" w:hAnsiTheme="minorHAnsi" w:cstheme="minorHAnsi"/>
          <w:lang w:val="en-GB"/>
        </w:rPr>
        <w:t>Such pro</w:t>
      </w:r>
      <w:r w:rsidR="00075C04" w:rsidRPr="002D12D8">
        <w:rPr>
          <w:rFonts w:asciiTheme="minorHAnsi" w:hAnsiTheme="minorHAnsi" w:cstheme="minorHAnsi"/>
          <w:lang w:val="en-GB"/>
        </w:rPr>
        <w:t>jections are important for healthcare planning.</w:t>
      </w:r>
    </w:p>
    <w:p w14:paraId="3F245645" w14:textId="77777777" w:rsidR="00820B2E" w:rsidRPr="00A81361" w:rsidRDefault="00820B2E" w:rsidP="00116E0F">
      <w:pPr>
        <w:spacing w:line="276" w:lineRule="auto"/>
        <w:ind w:left="567" w:right="1275"/>
        <w:rPr>
          <w:rFonts w:asciiTheme="minorHAnsi" w:hAnsiTheme="minorHAnsi" w:cstheme="minorHAnsi"/>
          <w:highlight w:val="yellow"/>
          <w:lang w:val="en-GB"/>
        </w:rPr>
      </w:pPr>
    </w:p>
    <w:p w14:paraId="7AC66EFF" w14:textId="5F13ED70" w:rsidR="00815041" w:rsidRPr="00815041" w:rsidRDefault="0075719F" w:rsidP="00D13E30">
      <w:pPr>
        <w:spacing w:line="276" w:lineRule="auto"/>
        <w:ind w:left="567" w:right="1275"/>
        <w:rPr>
          <w:rFonts w:asciiTheme="minorHAnsi" w:hAnsiTheme="minorHAnsi" w:cstheme="minorHAnsi"/>
          <w:lang w:val="en-GB"/>
        </w:rPr>
      </w:pPr>
      <w:r w:rsidRPr="00694924">
        <w:rPr>
          <w:rFonts w:asciiTheme="minorHAnsi" w:hAnsiTheme="minorHAnsi" w:cstheme="minorHAnsi"/>
          <w:lang w:val="en-GB"/>
        </w:rPr>
        <w:t>The</w:t>
      </w:r>
      <w:r w:rsidR="00D91FA5" w:rsidRPr="00694924">
        <w:rPr>
          <w:rFonts w:asciiTheme="minorHAnsi" w:hAnsiTheme="minorHAnsi" w:cstheme="minorHAnsi"/>
          <w:lang w:val="en-GB"/>
        </w:rPr>
        <w:t xml:space="preserve"> access to all medical </w:t>
      </w:r>
      <w:r w:rsidR="002323E8" w:rsidRPr="00694924">
        <w:rPr>
          <w:rFonts w:asciiTheme="minorHAnsi" w:hAnsiTheme="minorHAnsi" w:cstheme="minorHAnsi"/>
          <w:lang w:val="en-GB"/>
        </w:rPr>
        <w:t>records</w:t>
      </w:r>
      <w:r w:rsidRPr="00694924">
        <w:rPr>
          <w:rFonts w:asciiTheme="minorHAnsi" w:hAnsiTheme="minorHAnsi" w:cstheme="minorHAnsi"/>
          <w:lang w:val="en-GB"/>
        </w:rPr>
        <w:t xml:space="preserve"> in this study</w:t>
      </w:r>
      <w:r w:rsidR="004170DD" w:rsidRPr="00694924">
        <w:rPr>
          <w:rFonts w:asciiTheme="minorHAnsi" w:hAnsiTheme="minorHAnsi" w:cstheme="minorHAnsi"/>
          <w:lang w:val="en-GB"/>
        </w:rPr>
        <w:t xml:space="preserve">, including those from primary care, </w:t>
      </w:r>
      <w:r w:rsidR="0051009A" w:rsidRPr="00694924">
        <w:rPr>
          <w:rFonts w:asciiTheme="minorHAnsi" w:hAnsiTheme="minorHAnsi" w:cstheme="minorHAnsi"/>
          <w:lang w:val="en-GB"/>
        </w:rPr>
        <w:t>permitte</w:t>
      </w:r>
      <w:r w:rsidR="007903F4" w:rsidRPr="00694924">
        <w:rPr>
          <w:rFonts w:asciiTheme="minorHAnsi" w:hAnsiTheme="minorHAnsi" w:cstheme="minorHAnsi"/>
          <w:lang w:val="en-GB"/>
        </w:rPr>
        <w:t>d the</w:t>
      </w:r>
      <w:r w:rsidR="00D91FA5" w:rsidRPr="00694924">
        <w:rPr>
          <w:rFonts w:asciiTheme="minorHAnsi" w:hAnsiTheme="minorHAnsi" w:cstheme="minorHAnsi"/>
          <w:lang w:val="en-GB"/>
        </w:rPr>
        <w:t xml:space="preserve"> identifi</w:t>
      </w:r>
      <w:r w:rsidR="007903F4" w:rsidRPr="00694924">
        <w:rPr>
          <w:rFonts w:asciiTheme="minorHAnsi" w:hAnsiTheme="minorHAnsi" w:cstheme="minorHAnsi"/>
          <w:lang w:val="en-GB"/>
        </w:rPr>
        <w:t>cation</w:t>
      </w:r>
      <w:r w:rsidR="00D91FA5" w:rsidRPr="00694924">
        <w:rPr>
          <w:rFonts w:asciiTheme="minorHAnsi" w:hAnsiTheme="minorHAnsi" w:cstheme="minorHAnsi"/>
          <w:lang w:val="en-GB"/>
        </w:rPr>
        <w:t xml:space="preserve"> patients with hip fracture who were not admitted </w:t>
      </w:r>
      <w:r w:rsidR="00B431C9" w:rsidRPr="00694924">
        <w:rPr>
          <w:rFonts w:asciiTheme="minorHAnsi" w:hAnsiTheme="minorHAnsi" w:cstheme="minorHAnsi"/>
          <w:lang w:val="en-GB"/>
        </w:rPr>
        <w:t>to hospital</w:t>
      </w:r>
      <w:r w:rsidR="007903F4" w:rsidRPr="00694924">
        <w:rPr>
          <w:rFonts w:asciiTheme="minorHAnsi" w:hAnsiTheme="minorHAnsi" w:cstheme="minorHAnsi"/>
          <w:lang w:val="en-GB"/>
        </w:rPr>
        <w:t>.</w:t>
      </w:r>
      <w:r w:rsidR="006055F3" w:rsidRPr="00694924">
        <w:rPr>
          <w:rFonts w:asciiTheme="minorHAnsi" w:hAnsiTheme="minorHAnsi" w:cstheme="minorHAnsi"/>
          <w:lang w:val="en-GB"/>
        </w:rPr>
        <w:t xml:space="preserve"> </w:t>
      </w:r>
      <w:r w:rsidR="00061D43" w:rsidRPr="00694924">
        <w:rPr>
          <w:rFonts w:asciiTheme="minorHAnsi" w:hAnsiTheme="minorHAnsi" w:cstheme="minorHAnsi"/>
          <w:lang w:val="en-GB"/>
        </w:rPr>
        <w:t xml:space="preserve"> The reason for this strategy </w:t>
      </w:r>
      <w:r w:rsidR="0036172A" w:rsidRPr="00694924">
        <w:rPr>
          <w:rFonts w:asciiTheme="minorHAnsi" w:hAnsiTheme="minorHAnsi" w:cstheme="minorHAnsi"/>
          <w:lang w:val="en-GB"/>
        </w:rPr>
        <w:t xml:space="preserve">was the observation that many patients </w:t>
      </w:r>
      <w:r w:rsidR="00B431C9" w:rsidRPr="00694924">
        <w:rPr>
          <w:rFonts w:asciiTheme="minorHAnsi" w:hAnsiTheme="minorHAnsi" w:cstheme="minorHAnsi"/>
          <w:lang w:val="en-GB"/>
        </w:rPr>
        <w:t>in Eastern Europe are not hospitalized</w:t>
      </w:r>
      <w:r w:rsidR="0036364D" w:rsidRPr="00694924">
        <w:rPr>
          <w:lang w:val="en-GB"/>
        </w:rPr>
        <w:t xml:space="preserve"> </w:t>
      </w:r>
      <w:r w:rsidR="0036364D" w:rsidRPr="00694924">
        <w:rPr>
          <w:rFonts w:asciiTheme="minorHAnsi" w:hAnsiTheme="minorHAnsi" w:cstheme="minorHAnsi"/>
          <w:lang w:val="en-GB"/>
        </w:rPr>
        <w:t xml:space="preserve">because facilities for surgical management are limited so that hospital admission is not feasible.  </w:t>
      </w:r>
      <w:r w:rsidR="009B7D41" w:rsidRPr="00694924">
        <w:rPr>
          <w:rFonts w:asciiTheme="minorHAnsi" w:hAnsiTheme="minorHAnsi" w:cstheme="minorHAnsi"/>
          <w:lang w:val="en-GB"/>
        </w:rPr>
        <w:t>In Belaru</w:t>
      </w:r>
      <w:r w:rsidR="006E7872" w:rsidRPr="00694924">
        <w:rPr>
          <w:rFonts w:asciiTheme="minorHAnsi" w:hAnsiTheme="minorHAnsi" w:cstheme="minorHAnsi"/>
          <w:lang w:val="en-GB"/>
        </w:rPr>
        <w:t>s</w:t>
      </w:r>
      <w:r w:rsidR="00913AB2" w:rsidRPr="00694924">
        <w:rPr>
          <w:rFonts w:asciiTheme="minorHAnsi" w:hAnsiTheme="minorHAnsi" w:cstheme="minorHAnsi"/>
          <w:lang w:val="en-GB"/>
        </w:rPr>
        <w:t xml:space="preserve">, </w:t>
      </w:r>
      <w:r w:rsidR="00627B7A" w:rsidRPr="00694924">
        <w:rPr>
          <w:rFonts w:asciiTheme="minorHAnsi" w:hAnsiTheme="minorHAnsi" w:cstheme="minorHAnsi"/>
          <w:lang w:val="en-GB"/>
        </w:rPr>
        <w:t xml:space="preserve">for example, </w:t>
      </w:r>
      <w:r w:rsidR="00913AB2" w:rsidRPr="00694924">
        <w:rPr>
          <w:rFonts w:asciiTheme="minorHAnsi" w:hAnsiTheme="minorHAnsi" w:cstheme="minorHAnsi"/>
          <w:lang w:val="en-GB"/>
        </w:rPr>
        <w:t xml:space="preserve">29% cases of hip fracture </w:t>
      </w:r>
      <w:r w:rsidR="00913AB2" w:rsidRPr="008E2A29">
        <w:rPr>
          <w:rFonts w:asciiTheme="minorHAnsi" w:hAnsiTheme="minorHAnsi" w:cstheme="minorHAnsi"/>
          <w:lang w:val="en-GB"/>
        </w:rPr>
        <w:t>did not come to hospital attention [</w:t>
      </w:r>
      <w:r w:rsidR="00C37EE0" w:rsidRPr="008E2A29">
        <w:rPr>
          <w:rFonts w:asciiTheme="minorHAnsi" w:hAnsiTheme="minorHAnsi" w:cstheme="minorHAnsi"/>
          <w:lang w:val="en-GB"/>
        </w:rPr>
        <w:t>11</w:t>
      </w:r>
      <w:r w:rsidR="00913AB2" w:rsidRPr="008E2A29">
        <w:rPr>
          <w:rFonts w:asciiTheme="minorHAnsi" w:hAnsiTheme="minorHAnsi" w:cstheme="minorHAnsi"/>
          <w:lang w:val="en-GB"/>
        </w:rPr>
        <w:t>]</w:t>
      </w:r>
      <w:r w:rsidR="001F06E6" w:rsidRPr="008E2A29">
        <w:rPr>
          <w:rFonts w:asciiTheme="minorHAnsi" w:hAnsiTheme="minorHAnsi" w:cstheme="minorHAnsi"/>
          <w:lang w:val="en-GB"/>
        </w:rPr>
        <w:t>.  High rates o</w:t>
      </w:r>
      <w:r w:rsidR="00D079B2" w:rsidRPr="008E2A29">
        <w:rPr>
          <w:rFonts w:asciiTheme="minorHAnsi" w:hAnsiTheme="minorHAnsi" w:cstheme="minorHAnsi"/>
          <w:lang w:val="en-GB"/>
        </w:rPr>
        <w:t>f non-admittance</w:t>
      </w:r>
      <w:r w:rsidR="00320E36" w:rsidRPr="008E2A29">
        <w:rPr>
          <w:rFonts w:asciiTheme="minorHAnsi" w:hAnsiTheme="minorHAnsi" w:cstheme="minorHAnsi"/>
          <w:lang w:val="en-GB"/>
        </w:rPr>
        <w:t xml:space="preserve"> have been reported in Armenia</w:t>
      </w:r>
      <w:r w:rsidR="004D1A2C" w:rsidRPr="008E2A29">
        <w:rPr>
          <w:rFonts w:asciiTheme="minorHAnsi" w:hAnsiTheme="minorHAnsi" w:cstheme="minorHAnsi"/>
          <w:lang w:val="en-GB"/>
        </w:rPr>
        <w:t xml:space="preserve"> (44%)</w:t>
      </w:r>
      <w:r w:rsidR="00320E36" w:rsidRPr="008E2A29">
        <w:rPr>
          <w:rFonts w:asciiTheme="minorHAnsi" w:hAnsiTheme="minorHAnsi" w:cstheme="minorHAnsi"/>
          <w:lang w:val="en-GB"/>
        </w:rPr>
        <w:t xml:space="preserve"> [</w:t>
      </w:r>
      <w:r w:rsidR="00DA5AE8" w:rsidRPr="008E2A29">
        <w:rPr>
          <w:rFonts w:asciiTheme="minorHAnsi" w:hAnsiTheme="minorHAnsi" w:cstheme="minorHAnsi"/>
          <w:lang w:val="en-GB"/>
        </w:rPr>
        <w:t>10</w:t>
      </w:r>
      <w:r w:rsidR="00320E36" w:rsidRPr="008E2A29">
        <w:rPr>
          <w:rFonts w:asciiTheme="minorHAnsi" w:hAnsiTheme="minorHAnsi" w:cstheme="minorHAnsi"/>
          <w:lang w:val="en-GB"/>
        </w:rPr>
        <w:t>] Pervouralsk in Russia</w:t>
      </w:r>
      <w:r w:rsidR="004D1A2C" w:rsidRPr="008E2A29">
        <w:rPr>
          <w:rFonts w:asciiTheme="minorHAnsi" w:hAnsiTheme="minorHAnsi" w:cstheme="minorHAnsi"/>
          <w:lang w:val="en-GB"/>
        </w:rPr>
        <w:t xml:space="preserve"> (27%)</w:t>
      </w:r>
      <w:r w:rsidR="00320E36" w:rsidRPr="008E2A29">
        <w:rPr>
          <w:rFonts w:asciiTheme="minorHAnsi" w:hAnsiTheme="minorHAnsi" w:cstheme="minorHAnsi"/>
          <w:lang w:val="en-GB"/>
        </w:rPr>
        <w:t xml:space="preserve"> [</w:t>
      </w:r>
      <w:r w:rsidR="001D2C41" w:rsidRPr="008E2A29">
        <w:rPr>
          <w:rFonts w:asciiTheme="minorHAnsi" w:hAnsiTheme="minorHAnsi" w:cstheme="minorHAnsi"/>
          <w:lang w:val="en-GB"/>
        </w:rPr>
        <w:t>9</w:t>
      </w:r>
      <w:r w:rsidR="00320E36" w:rsidRPr="008E2A29">
        <w:rPr>
          <w:rFonts w:asciiTheme="minorHAnsi" w:hAnsiTheme="minorHAnsi" w:cstheme="minorHAnsi"/>
          <w:lang w:val="en-GB"/>
        </w:rPr>
        <w:t>]</w:t>
      </w:r>
      <w:r w:rsidR="004D1A2C" w:rsidRPr="008E2A29">
        <w:rPr>
          <w:rFonts w:asciiTheme="minorHAnsi" w:hAnsiTheme="minorHAnsi" w:cstheme="minorHAnsi"/>
          <w:lang w:val="en-GB"/>
        </w:rPr>
        <w:t>,</w:t>
      </w:r>
      <w:r w:rsidR="00320E36" w:rsidRPr="008E2A29">
        <w:rPr>
          <w:rFonts w:asciiTheme="minorHAnsi" w:hAnsiTheme="minorHAnsi" w:cstheme="minorHAnsi"/>
          <w:lang w:val="en-GB"/>
        </w:rPr>
        <w:t xml:space="preserve"> Georgia (75%</w:t>
      </w:r>
      <w:r w:rsidR="00D77285" w:rsidRPr="008E2A29">
        <w:rPr>
          <w:rFonts w:asciiTheme="minorHAnsi" w:hAnsiTheme="minorHAnsi" w:cstheme="minorHAnsi"/>
          <w:lang w:val="en-GB"/>
        </w:rPr>
        <w:t>)</w:t>
      </w:r>
      <w:r w:rsidR="00C95D07" w:rsidRPr="008E2A29">
        <w:rPr>
          <w:rFonts w:asciiTheme="minorHAnsi" w:hAnsiTheme="minorHAnsi" w:cstheme="minorHAnsi"/>
          <w:lang w:val="en-GB"/>
        </w:rPr>
        <w:t xml:space="preserve"> and </w:t>
      </w:r>
      <w:r w:rsidR="00320E36" w:rsidRPr="008E2A29">
        <w:rPr>
          <w:rFonts w:asciiTheme="minorHAnsi" w:hAnsiTheme="minorHAnsi" w:cstheme="minorHAnsi"/>
          <w:lang w:val="en-GB"/>
        </w:rPr>
        <w:t>Kyrgyzstan (50%) [</w:t>
      </w:r>
      <w:r w:rsidR="00396AEB">
        <w:rPr>
          <w:rFonts w:asciiTheme="minorHAnsi" w:hAnsiTheme="minorHAnsi" w:cstheme="minorHAnsi"/>
          <w:lang w:val="en-GB"/>
        </w:rPr>
        <w:t>31</w:t>
      </w:r>
      <w:r w:rsidR="00320E36" w:rsidRPr="008E2A29">
        <w:rPr>
          <w:rFonts w:asciiTheme="minorHAnsi" w:hAnsiTheme="minorHAnsi" w:cstheme="minorHAnsi"/>
          <w:lang w:val="en-GB"/>
        </w:rPr>
        <w:t>].</w:t>
      </w:r>
      <w:r w:rsidR="00B071C6" w:rsidRPr="008E2A29">
        <w:rPr>
          <w:lang w:val="en-GB"/>
        </w:rPr>
        <w:t xml:space="preserve"> </w:t>
      </w:r>
      <w:r w:rsidR="00815041" w:rsidRPr="008E2A29">
        <w:rPr>
          <w:rFonts w:asciiTheme="minorHAnsi" w:hAnsiTheme="minorHAnsi" w:cstheme="minorHAnsi"/>
          <w:lang w:val="en-GB"/>
        </w:rPr>
        <w:t>The present study</w:t>
      </w:r>
      <w:r w:rsidR="002B6751" w:rsidRPr="008E2A29">
        <w:rPr>
          <w:rFonts w:asciiTheme="minorHAnsi" w:hAnsiTheme="minorHAnsi" w:cstheme="minorHAnsi"/>
          <w:lang w:val="en-GB"/>
        </w:rPr>
        <w:t xml:space="preserve"> </w:t>
      </w:r>
      <w:r w:rsidR="00C95D07" w:rsidRPr="008E2A29">
        <w:rPr>
          <w:rFonts w:asciiTheme="minorHAnsi" w:hAnsiTheme="minorHAnsi" w:cstheme="minorHAnsi"/>
          <w:lang w:val="en-GB"/>
        </w:rPr>
        <w:t>indicated</w:t>
      </w:r>
      <w:r w:rsidR="00B02DC4" w:rsidRPr="008E2A29">
        <w:rPr>
          <w:rFonts w:asciiTheme="minorHAnsi" w:hAnsiTheme="minorHAnsi" w:cstheme="minorHAnsi"/>
          <w:lang w:val="en-GB"/>
        </w:rPr>
        <w:t xml:space="preserve"> that</w:t>
      </w:r>
      <w:r w:rsidR="002B6751" w:rsidRPr="008E2A29">
        <w:rPr>
          <w:rFonts w:asciiTheme="minorHAnsi" w:hAnsiTheme="minorHAnsi" w:cstheme="minorHAnsi"/>
          <w:lang w:val="en-GB"/>
        </w:rPr>
        <w:t xml:space="preserve"> 25</w:t>
      </w:r>
      <w:r w:rsidR="00203856" w:rsidRPr="008E2A29">
        <w:rPr>
          <w:rFonts w:asciiTheme="minorHAnsi" w:hAnsiTheme="minorHAnsi" w:cstheme="minorHAnsi"/>
          <w:lang w:val="en-GB"/>
        </w:rPr>
        <w:t>% of hip fracture cases</w:t>
      </w:r>
      <w:r w:rsidR="00203856">
        <w:rPr>
          <w:rFonts w:asciiTheme="minorHAnsi" w:hAnsiTheme="minorHAnsi" w:cstheme="minorHAnsi"/>
          <w:lang w:val="en-GB"/>
        </w:rPr>
        <w:t xml:space="preserve"> </w:t>
      </w:r>
      <w:r w:rsidR="00B02DC4">
        <w:rPr>
          <w:rFonts w:asciiTheme="minorHAnsi" w:hAnsiTheme="minorHAnsi" w:cstheme="minorHAnsi"/>
          <w:lang w:val="en-GB"/>
        </w:rPr>
        <w:t xml:space="preserve">were </w:t>
      </w:r>
      <w:r w:rsidR="00203856">
        <w:rPr>
          <w:rFonts w:asciiTheme="minorHAnsi" w:hAnsiTheme="minorHAnsi" w:cstheme="minorHAnsi"/>
          <w:lang w:val="en-GB"/>
        </w:rPr>
        <w:t>not admitted to hospital</w:t>
      </w:r>
      <w:r w:rsidR="00B35086">
        <w:rPr>
          <w:rFonts w:asciiTheme="minorHAnsi" w:hAnsiTheme="minorHAnsi" w:cstheme="minorHAnsi"/>
          <w:lang w:val="en-GB"/>
        </w:rPr>
        <w:t xml:space="preserve"> and </w:t>
      </w:r>
      <w:r w:rsidR="00B35086" w:rsidRPr="00B35086">
        <w:rPr>
          <w:rFonts w:asciiTheme="minorHAnsi" w:hAnsiTheme="minorHAnsi" w:cstheme="minorHAnsi"/>
          <w:lang w:val="en-GB"/>
        </w:rPr>
        <w:t>43% of hip fracture cases were either untreated or managed conservatively</w:t>
      </w:r>
      <w:r w:rsidR="00B35086">
        <w:rPr>
          <w:rFonts w:asciiTheme="minorHAnsi" w:hAnsiTheme="minorHAnsi" w:cstheme="minorHAnsi"/>
          <w:lang w:val="en-GB"/>
        </w:rPr>
        <w:t>.</w:t>
      </w:r>
      <w:r w:rsidR="000525CA" w:rsidRPr="000525CA">
        <w:rPr>
          <w:rFonts w:asciiTheme="minorHAnsi" w:hAnsiTheme="minorHAnsi" w:cstheme="minorHAnsi"/>
          <w:lang w:val="en-GB"/>
        </w:rPr>
        <w:t xml:space="preserve"> The treatment gap arises </w:t>
      </w:r>
      <w:r w:rsidR="00336CFC">
        <w:rPr>
          <w:rFonts w:asciiTheme="minorHAnsi" w:hAnsiTheme="minorHAnsi" w:cstheme="minorHAnsi"/>
          <w:lang w:val="en-GB"/>
        </w:rPr>
        <w:t xml:space="preserve">for many reasons </w:t>
      </w:r>
      <w:r w:rsidR="00B75AD0" w:rsidRPr="00B75AD0">
        <w:rPr>
          <w:rFonts w:asciiTheme="minorHAnsi" w:hAnsiTheme="minorHAnsi" w:cstheme="minorHAnsi"/>
          <w:lang w:val="en-GB"/>
        </w:rPr>
        <w:t xml:space="preserve">including </w:t>
      </w:r>
      <w:r w:rsidR="00E92EFB">
        <w:rPr>
          <w:rFonts w:asciiTheme="minorHAnsi" w:hAnsiTheme="minorHAnsi" w:cstheme="minorHAnsi"/>
          <w:lang w:val="en-GB"/>
        </w:rPr>
        <w:t xml:space="preserve">a </w:t>
      </w:r>
      <w:r w:rsidR="00E92EFB" w:rsidRPr="00E92EFB">
        <w:rPr>
          <w:rFonts w:asciiTheme="minorHAnsi" w:hAnsiTheme="minorHAnsi" w:cstheme="minorHAnsi"/>
          <w:lang w:val="en-GB"/>
        </w:rPr>
        <w:t>lack of emergency orthopaedic surgeons</w:t>
      </w:r>
      <w:r w:rsidR="000525CA" w:rsidRPr="000525CA">
        <w:rPr>
          <w:rFonts w:asciiTheme="minorHAnsi" w:hAnsiTheme="minorHAnsi" w:cstheme="minorHAnsi"/>
          <w:lang w:val="en-GB"/>
        </w:rPr>
        <w:t xml:space="preserve">. These findings </w:t>
      </w:r>
      <w:r w:rsidR="00786478" w:rsidRPr="00786478">
        <w:rPr>
          <w:rFonts w:asciiTheme="minorHAnsi" w:hAnsiTheme="minorHAnsi" w:cstheme="minorHAnsi"/>
          <w:lang w:val="en-GB"/>
        </w:rPr>
        <w:t>are important for healthcare planning</w:t>
      </w:r>
      <w:r w:rsidR="00A64A24">
        <w:rPr>
          <w:rFonts w:asciiTheme="minorHAnsi" w:hAnsiTheme="minorHAnsi" w:cstheme="minorHAnsi"/>
          <w:lang w:val="en-GB"/>
        </w:rPr>
        <w:t>;</w:t>
      </w:r>
      <w:r w:rsidR="00786478" w:rsidRPr="00786478">
        <w:rPr>
          <w:rFonts w:asciiTheme="minorHAnsi" w:hAnsiTheme="minorHAnsi" w:cstheme="minorHAnsi"/>
          <w:lang w:val="en-GB"/>
        </w:rPr>
        <w:t xml:space="preserve"> </w:t>
      </w:r>
      <w:r w:rsidR="00A64A24">
        <w:rPr>
          <w:rFonts w:asciiTheme="minorHAnsi" w:hAnsiTheme="minorHAnsi" w:cstheme="minorHAnsi"/>
          <w:lang w:val="en-GB"/>
        </w:rPr>
        <w:t xml:space="preserve">they also </w:t>
      </w:r>
      <w:r w:rsidR="000525CA" w:rsidRPr="000525CA">
        <w:rPr>
          <w:rFonts w:asciiTheme="minorHAnsi" w:hAnsiTheme="minorHAnsi" w:cstheme="minorHAnsi"/>
          <w:lang w:val="en-GB"/>
        </w:rPr>
        <w:t xml:space="preserve">emphasize the importance of exploring </w:t>
      </w:r>
      <w:r w:rsidR="00087490">
        <w:rPr>
          <w:rFonts w:asciiTheme="minorHAnsi" w:hAnsiTheme="minorHAnsi" w:cstheme="minorHAnsi"/>
          <w:lang w:val="en-GB"/>
        </w:rPr>
        <w:t>care</w:t>
      </w:r>
      <w:r w:rsidR="000525CA" w:rsidRPr="000525CA">
        <w:rPr>
          <w:rFonts w:asciiTheme="minorHAnsi" w:hAnsiTheme="minorHAnsi" w:cstheme="minorHAnsi"/>
          <w:lang w:val="en-GB"/>
        </w:rPr>
        <w:t xml:space="preserve"> pathways in the design of epidemiological studies.</w:t>
      </w:r>
    </w:p>
    <w:p w14:paraId="0C3E77C2" w14:textId="77777777" w:rsidR="00815041" w:rsidRPr="00815041" w:rsidRDefault="00815041" w:rsidP="00D13E30">
      <w:pPr>
        <w:spacing w:line="276" w:lineRule="auto"/>
        <w:ind w:left="567" w:right="1275"/>
        <w:rPr>
          <w:rFonts w:asciiTheme="minorHAnsi" w:hAnsiTheme="minorHAnsi" w:cstheme="minorHAnsi"/>
          <w:lang w:val="en-GB"/>
        </w:rPr>
      </w:pPr>
    </w:p>
    <w:p w14:paraId="59E1A974" w14:textId="7E4DA174" w:rsidR="00457562" w:rsidRDefault="00DC3477" w:rsidP="007B4D4B">
      <w:pPr>
        <w:tabs>
          <w:tab w:val="left" w:pos="7797"/>
        </w:tabs>
        <w:spacing w:after="200" w:line="276" w:lineRule="auto"/>
        <w:ind w:left="567" w:right="1275"/>
        <w:rPr>
          <w:rFonts w:asciiTheme="minorHAnsi" w:eastAsia="Calibri" w:hAnsiTheme="minorHAnsi" w:cstheme="minorHAnsi"/>
          <w:lang w:val="en-GB" w:bidi="lo-LA"/>
        </w:rPr>
      </w:pPr>
      <w:r w:rsidRPr="000931D2">
        <w:rPr>
          <w:rFonts w:asciiTheme="minorHAnsi" w:eastAsia="Calibri" w:hAnsiTheme="minorHAnsi" w:cstheme="minorHAnsi"/>
          <w:lang w:val="en-GB" w:bidi="lo-LA"/>
        </w:rPr>
        <w:t>A minority of countries that have a FRAX model also have robust information on the risk</w:t>
      </w:r>
      <w:r w:rsidR="004F0548" w:rsidRPr="000931D2">
        <w:rPr>
          <w:rFonts w:asciiTheme="minorHAnsi" w:eastAsia="Calibri" w:hAnsiTheme="minorHAnsi" w:cstheme="minorHAnsi"/>
          <w:lang w:val="en-GB" w:bidi="lo-LA"/>
        </w:rPr>
        <w:t xml:space="preserve"> of other major osteoporotic fractures</w:t>
      </w:r>
      <w:r w:rsidR="00367F8E" w:rsidRPr="000931D2">
        <w:rPr>
          <w:rFonts w:asciiTheme="minorHAnsi" w:eastAsia="Calibri" w:hAnsiTheme="minorHAnsi" w:cstheme="minorHAnsi"/>
          <w:lang w:val="en-GB" w:bidi="lo-LA"/>
        </w:rPr>
        <w:t>.</w:t>
      </w:r>
      <w:r w:rsidR="00300CA3" w:rsidRPr="000931D2">
        <w:rPr>
          <w:lang w:val="en-GB"/>
        </w:rPr>
        <w:t xml:space="preserve"> </w:t>
      </w:r>
      <w:r w:rsidR="00300CA3" w:rsidRPr="000931D2">
        <w:rPr>
          <w:rFonts w:asciiTheme="minorHAnsi" w:eastAsia="Calibri" w:hAnsiTheme="minorHAnsi" w:cstheme="minorHAnsi"/>
          <w:lang w:val="en-GB" w:bidi="lo-LA"/>
        </w:rPr>
        <w:t xml:space="preserve">In the absence of </w:t>
      </w:r>
      <w:r w:rsidR="009A6CFB" w:rsidRPr="000931D2">
        <w:rPr>
          <w:rFonts w:asciiTheme="minorHAnsi" w:eastAsia="Calibri" w:hAnsiTheme="minorHAnsi" w:cstheme="minorHAnsi"/>
          <w:lang w:val="en-GB" w:bidi="lo-LA"/>
        </w:rPr>
        <w:t xml:space="preserve">such </w:t>
      </w:r>
      <w:r w:rsidR="00300CA3" w:rsidRPr="000931D2">
        <w:rPr>
          <w:rFonts w:asciiTheme="minorHAnsi" w:eastAsia="Calibri" w:hAnsiTheme="minorHAnsi" w:cstheme="minorHAnsi"/>
          <w:lang w:val="en-GB" w:bidi="lo-LA"/>
        </w:rPr>
        <w:t xml:space="preserve">information, FRAX </w:t>
      </w:r>
      <w:r w:rsidR="00300CA3" w:rsidRPr="008E2A29">
        <w:rPr>
          <w:rFonts w:asciiTheme="minorHAnsi" w:eastAsia="Calibri" w:hAnsiTheme="minorHAnsi" w:cstheme="minorHAnsi"/>
          <w:lang w:val="en-GB" w:bidi="lo-LA"/>
        </w:rPr>
        <w:t>models are based on the assumption that the</w:t>
      </w:r>
      <w:r w:rsidR="009A6CFB" w:rsidRPr="008E2A29">
        <w:rPr>
          <w:rFonts w:asciiTheme="minorHAnsi" w:eastAsia="Calibri" w:hAnsiTheme="minorHAnsi" w:cstheme="minorHAnsi"/>
          <w:lang w:val="en-GB" w:bidi="lo-LA"/>
        </w:rPr>
        <w:t xml:space="preserve"> </w:t>
      </w:r>
      <w:r w:rsidR="00300CA3" w:rsidRPr="008E2A29">
        <w:rPr>
          <w:rFonts w:asciiTheme="minorHAnsi" w:eastAsia="Calibri" w:hAnsiTheme="minorHAnsi" w:cstheme="minorHAnsi"/>
          <w:lang w:val="en-GB" w:bidi="lo-LA"/>
        </w:rPr>
        <w:t>age-</w:t>
      </w:r>
      <w:r w:rsidR="009A6CFB" w:rsidRPr="008E2A29">
        <w:rPr>
          <w:rFonts w:asciiTheme="minorHAnsi" w:eastAsia="Calibri" w:hAnsiTheme="minorHAnsi" w:cstheme="minorHAnsi"/>
          <w:lang w:val="en-GB" w:bidi="lo-LA"/>
        </w:rPr>
        <w:t xml:space="preserve"> </w:t>
      </w:r>
      <w:r w:rsidR="00300CA3" w:rsidRPr="008E2A29">
        <w:rPr>
          <w:rFonts w:asciiTheme="minorHAnsi" w:eastAsia="Calibri" w:hAnsiTheme="minorHAnsi" w:cstheme="minorHAnsi"/>
          <w:lang w:val="en-GB" w:bidi="lo-LA"/>
        </w:rPr>
        <w:t>and</w:t>
      </w:r>
      <w:r w:rsidR="009A6CFB" w:rsidRPr="008E2A29">
        <w:rPr>
          <w:rFonts w:asciiTheme="minorHAnsi" w:eastAsia="Calibri" w:hAnsiTheme="minorHAnsi" w:cstheme="minorHAnsi"/>
          <w:lang w:val="en-GB" w:bidi="lo-LA"/>
        </w:rPr>
        <w:t xml:space="preserve"> </w:t>
      </w:r>
      <w:r w:rsidR="00300CA3" w:rsidRPr="008E2A29">
        <w:rPr>
          <w:rFonts w:asciiTheme="minorHAnsi" w:eastAsia="Calibri" w:hAnsiTheme="minorHAnsi" w:cstheme="minorHAnsi"/>
          <w:lang w:val="en-GB" w:bidi="lo-LA"/>
        </w:rPr>
        <w:t>sex-specific</w:t>
      </w:r>
      <w:r w:rsidR="009A6CFB" w:rsidRPr="008E2A29">
        <w:rPr>
          <w:rFonts w:asciiTheme="minorHAnsi" w:eastAsia="Calibri" w:hAnsiTheme="minorHAnsi" w:cstheme="minorHAnsi"/>
          <w:lang w:val="en-GB" w:bidi="lo-LA"/>
        </w:rPr>
        <w:t xml:space="preserve"> </w:t>
      </w:r>
      <w:r w:rsidR="00300CA3" w:rsidRPr="008E2A29">
        <w:rPr>
          <w:rFonts w:asciiTheme="minorHAnsi" w:eastAsia="Calibri" w:hAnsiTheme="minorHAnsi" w:cstheme="minorHAnsi"/>
          <w:lang w:val="en-GB" w:bidi="lo-LA"/>
        </w:rPr>
        <w:t>pattern</w:t>
      </w:r>
      <w:r w:rsidR="009A6CFB" w:rsidRPr="008E2A29">
        <w:rPr>
          <w:rFonts w:asciiTheme="minorHAnsi" w:eastAsia="Calibri" w:hAnsiTheme="minorHAnsi" w:cstheme="minorHAnsi"/>
          <w:lang w:val="en-GB" w:bidi="lo-LA"/>
        </w:rPr>
        <w:t xml:space="preserve"> </w:t>
      </w:r>
      <w:r w:rsidR="00300CA3" w:rsidRPr="008E2A29">
        <w:rPr>
          <w:rFonts w:asciiTheme="minorHAnsi" w:eastAsia="Calibri" w:hAnsiTheme="minorHAnsi" w:cstheme="minorHAnsi"/>
          <w:lang w:val="en-GB" w:bidi="lo-LA"/>
        </w:rPr>
        <w:t>of</w:t>
      </w:r>
      <w:r w:rsidR="009A6CFB" w:rsidRPr="008E2A29">
        <w:rPr>
          <w:rFonts w:asciiTheme="minorHAnsi" w:eastAsia="Calibri" w:hAnsiTheme="minorHAnsi" w:cstheme="minorHAnsi"/>
          <w:lang w:val="en-GB" w:bidi="lo-LA"/>
        </w:rPr>
        <w:t xml:space="preserve"> t</w:t>
      </w:r>
      <w:r w:rsidR="00300CA3" w:rsidRPr="008E2A29">
        <w:rPr>
          <w:rFonts w:asciiTheme="minorHAnsi" w:eastAsia="Calibri" w:hAnsiTheme="minorHAnsi" w:cstheme="minorHAnsi"/>
          <w:lang w:val="en-GB" w:bidi="lo-LA"/>
        </w:rPr>
        <w:t>hese</w:t>
      </w:r>
      <w:r w:rsidR="009A6CFB" w:rsidRPr="008E2A29">
        <w:rPr>
          <w:rFonts w:asciiTheme="minorHAnsi" w:eastAsia="Calibri" w:hAnsiTheme="minorHAnsi" w:cstheme="minorHAnsi"/>
          <w:lang w:val="en-GB" w:bidi="lo-LA"/>
        </w:rPr>
        <w:t xml:space="preserve"> </w:t>
      </w:r>
      <w:r w:rsidR="00300CA3" w:rsidRPr="008E2A29">
        <w:rPr>
          <w:rFonts w:asciiTheme="minorHAnsi" w:eastAsia="Calibri" w:hAnsiTheme="minorHAnsi" w:cstheme="minorHAnsi"/>
          <w:lang w:val="en-GB" w:bidi="lo-LA"/>
        </w:rPr>
        <w:t>fractures</w:t>
      </w:r>
      <w:r w:rsidR="009A6CFB" w:rsidRPr="008E2A29">
        <w:rPr>
          <w:rFonts w:asciiTheme="minorHAnsi" w:eastAsia="Calibri" w:hAnsiTheme="minorHAnsi" w:cstheme="minorHAnsi"/>
          <w:lang w:val="en-GB" w:bidi="lo-LA"/>
        </w:rPr>
        <w:t xml:space="preserve"> </w:t>
      </w:r>
      <w:r w:rsidR="00300CA3" w:rsidRPr="008E2A29">
        <w:rPr>
          <w:rFonts w:asciiTheme="minorHAnsi" w:eastAsia="Calibri" w:hAnsiTheme="minorHAnsi" w:cstheme="minorHAnsi"/>
          <w:lang w:val="en-GB" w:bidi="lo-LA"/>
        </w:rPr>
        <w:t>is</w:t>
      </w:r>
      <w:r w:rsidR="009A6CFB" w:rsidRPr="008E2A29">
        <w:rPr>
          <w:rFonts w:asciiTheme="minorHAnsi" w:eastAsia="Calibri" w:hAnsiTheme="minorHAnsi" w:cstheme="minorHAnsi"/>
          <w:lang w:val="en-GB" w:bidi="lo-LA"/>
        </w:rPr>
        <w:t xml:space="preserve"> </w:t>
      </w:r>
      <w:r w:rsidR="00300CA3" w:rsidRPr="008E2A29">
        <w:rPr>
          <w:rFonts w:asciiTheme="minorHAnsi" w:eastAsia="Calibri" w:hAnsiTheme="minorHAnsi" w:cstheme="minorHAnsi"/>
          <w:lang w:val="en-GB" w:bidi="lo-LA"/>
        </w:rPr>
        <w:t>similar</w:t>
      </w:r>
      <w:r w:rsidR="009A6CFB" w:rsidRPr="008E2A29">
        <w:rPr>
          <w:rFonts w:asciiTheme="minorHAnsi" w:eastAsia="Calibri" w:hAnsiTheme="minorHAnsi" w:cstheme="minorHAnsi"/>
          <w:lang w:val="en-GB" w:bidi="lo-LA"/>
        </w:rPr>
        <w:t xml:space="preserve"> </w:t>
      </w:r>
      <w:r w:rsidR="00300CA3" w:rsidRPr="008E2A29">
        <w:rPr>
          <w:rFonts w:asciiTheme="minorHAnsi" w:eastAsia="Calibri" w:hAnsiTheme="minorHAnsi" w:cstheme="minorHAnsi"/>
          <w:lang w:val="en-GB" w:bidi="lo-LA"/>
        </w:rPr>
        <w:t>to that observed in</w:t>
      </w:r>
      <w:r w:rsidR="00D34C1C" w:rsidRPr="008E2A29">
        <w:rPr>
          <w:rFonts w:asciiTheme="minorHAnsi" w:eastAsia="Calibri" w:hAnsiTheme="minorHAnsi" w:cstheme="minorHAnsi"/>
          <w:lang w:val="en-GB" w:bidi="lo-LA"/>
        </w:rPr>
        <w:t xml:space="preserve"> Malmo</w:t>
      </w:r>
      <w:r w:rsidR="000B1D9B" w:rsidRPr="008E2A29">
        <w:rPr>
          <w:rFonts w:asciiTheme="minorHAnsi" w:eastAsia="Calibri" w:hAnsiTheme="minorHAnsi" w:cstheme="minorHAnsi"/>
          <w:lang w:val="en-GB" w:bidi="lo-LA"/>
        </w:rPr>
        <w:t xml:space="preserve"> [</w:t>
      </w:r>
      <w:r w:rsidR="00D21AFB" w:rsidRPr="008E2A29">
        <w:rPr>
          <w:rFonts w:asciiTheme="minorHAnsi" w:eastAsia="Calibri" w:hAnsiTheme="minorHAnsi" w:cstheme="minorHAnsi"/>
          <w:lang w:val="en-GB" w:bidi="lo-LA"/>
        </w:rPr>
        <w:t>16</w:t>
      </w:r>
      <w:r w:rsidR="00055E51" w:rsidRPr="008E2A29">
        <w:rPr>
          <w:rFonts w:asciiTheme="minorHAnsi" w:eastAsia="Calibri" w:hAnsiTheme="minorHAnsi" w:cstheme="minorHAnsi"/>
          <w:lang w:val="en-GB" w:bidi="lo-LA"/>
        </w:rPr>
        <w:t>]</w:t>
      </w:r>
      <w:r w:rsidR="00300CA3" w:rsidRPr="008E2A29">
        <w:rPr>
          <w:rFonts w:asciiTheme="minorHAnsi" w:eastAsia="Calibri" w:hAnsiTheme="minorHAnsi" w:cstheme="minorHAnsi"/>
          <w:lang w:val="en-GB" w:bidi="lo-LA"/>
        </w:rPr>
        <w:t>.</w:t>
      </w:r>
      <w:r w:rsidR="00590C33" w:rsidRPr="008E2A29">
        <w:t xml:space="preserve"> </w:t>
      </w:r>
      <w:r w:rsidR="00D3751B" w:rsidRPr="008E2A29">
        <w:rPr>
          <w:rFonts w:asciiTheme="minorHAnsi" w:eastAsia="Calibri" w:hAnsiTheme="minorHAnsi" w:cstheme="minorHAnsi"/>
          <w:lang w:val="en-GB" w:bidi="lo-LA"/>
        </w:rPr>
        <w:t xml:space="preserve">This assumption has </w:t>
      </w:r>
      <w:r w:rsidR="003722FB" w:rsidRPr="008E2A29">
        <w:rPr>
          <w:rFonts w:asciiTheme="minorHAnsi" w:eastAsia="Calibri" w:hAnsiTheme="minorHAnsi" w:cstheme="minorHAnsi"/>
          <w:lang w:val="en-GB" w:bidi="lo-LA"/>
        </w:rPr>
        <w:t>been shown to be safe in studies</w:t>
      </w:r>
      <w:r w:rsidR="00590C33" w:rsidRPr="008E2A29">
        <w:rPr>
          <w:rFonts w:asciiTheme="minorHAnsi" w:eastAsia="Calibri" w:hAnsiTheme="minorHAnsi" w:cstheme="minorHAnsi"/>
          <w:lang w:val="en-GB" w:bidi="lo-LA"/>
        </w:rPr>
        <w:t xml:space="preserve"> reported from Canada [</w:t>
      </w:r>
      <w:r w:rsidR="001A5DCC" w:rsidRPr="008E2A29">
        <w:rPr>
          <w:rFonts w:asciiTheme="minorHAnsi" w:eastAsia="Calibri" w:hAnsiTheme="minorHAnsi" w:cstheme="minorHAnsi"/>
          <w:lang w:val="en-GB" w:bidi="lo-LA"/>
        </w:rPr>
        <w:t>18</w:t>
      </w:r>
      <w:r w:rsidR="00590C33" w:rsidRPr="008E2A29">
        <w:rPr>
          <w:rFonts w:asciiTheme="minorHAnsi" w:eastAsia="Calibri" w:hAnsiTheme="minorHAnsi" w:cstheme="minorHAnsi"/>
          <w:lang w:val="en-GB" w:bidi="lo-LA"/>
        </w:rPr>
        <w:t>], Iceland [</w:t>
      </w:r>
      <w:r w:rsidR="001A5DCC" w:rsidRPr="008E2A29">
        <w:rPr>
          <w:rFonts w:asciiTheme="minorHAnsi" w:eastAsia="Calibri" w:hAnsiTheme="minorHAnsi" w:cstheme="minorHAnsi"/>
          <w:lang w:val="en-GB" w:bidi="lo-LA"/>
        </w:rPr>
        <w:t>17</w:t>
      </w:r>
      <w:r w:rsidR="00590C33" w:rsidRPr="008E2A29">
        <w:rPr>
          <w:rFonts w:asciiTheme="minorHAnsi" w:eastAsia="Calibri" w:hAnsiTheme="minorHAnsi" w:cstheme="minorHAnsi"/>
          <w:lang w:val="en-GB" w:bidi="lo-LA"/>
        </w:rPr>
        <w:t>], US [</w:t>
      </w:r>
      <w:r w:rsidR="00396AEB">
        <w:rPr>
          <w:rFonts w:asciiTheme="minorHAnsi" w:eastAsia="Calibri" w:hAnsiTheme="minorHAnsi" w:cstheme="minorHAnsi"/>
          <w:lang w:val="en-GB" w:bidi="lo-LA"/>
        </w:rPr>
        <w:t>32</w:t>
      </w:r>
      <w:r w:rsidR="00590C33" w:rsidRPr="008E2A29">
        <w:rPr>
          <w:rFonts w:asciiTheme="minorHAnsi" w:eastAsia="Calibri" w:hAnsiTheme="minorHAnsi" w:cstheme="minorHAnsi"/>
          <w:lang w:val="en-GB" w:bidi="lo-LA"/>
        </w:rPr>
        <w:t>], UK [3</w:t>
      </w:r>
      <w:r w:rsidR="00396AEB">
        <w:rPr>
          <w:rFonts w:asciiTheme="minorHAnsi" w:eastAsia="Calibri" w:hAnsiTheme="minorHAnsi" w:cstheme="minorHAnsi"/>
          <w:lang w:val="en-GB" w:bidi="lo-LA"/>
        </w:rPr>
        <w:t>3</w:t>
      </w:r>
      <w:r w:rsidR="00590C33" w:rsidRPr="008E2A29">
        <w:rPr>
          <w:rFonts w:asciiTheme="minorHAnsi" w:eastAsia="Calibri" w:hAnsiTheme="minorHAnsi" w:cstheme="minorHAnsi"/>
          <w:lang w:val="en-GB" w:bidi="lo-LA"/>
        </w:rPr>
        <w:t>], Australia [3</w:t>
      </w:r>
      <w:r w:rsidR="00396AEB">
        <w:rPr>
          <w:rFonts w:asciiTheme="minorHAnsi" w:eastAsia="Calibri" w:hAnsiTheme="minorHAnsi" w:cstheme="minorHAnsi"/>
          <w:lang w:val="en-GB" w:bidi="lo-LA"/>
        </w:rPr>
        <w:t>4</w:t>
      </w:r>
      <w:r w:rsidR="00590C33" w:rsidRPr="008E2A29">
        <w:rPr>
          <w:rFonts w:asciiTheme="minorHAnsi" w:eastAsia="Calibri" w:hAnsiTheme="minorHAnsi" w:cstheme="minorHAnsi"/>
          <w:lang w:val="en-GB" w:bidi="lo-LA"/>
        </w:rPr>
        <w:t xml:space="preserve">] and </w:t>
      </w:r>
      <w:r w:rsidR="0010326B" w:rsidRPr="008E2A29">
        <w:rPr>
          <w:rFonts w:asciiTheme="minorHAnsi" w:eastAsia="Calibri" w:hAnsiTheme="minorHAnsi" w:cstheme="minorHAnsi"/>
          <w:lang w:val="en-GB" w:bidi="lo-LA"/>
        </w:rPr>
        <w:t>Moldova</w:t>
      </w:r>
      <w:r w:rsidR="00C611CE" w:rsidRPr="008E2A29">
        <w:rPr>
          <w:rFonts w:asciiTheme="minorHAnsi" w:eastAsia="Calibri" w:hAnsiTheme="minorHAnsi" w:cstheme="minorHAnsi"/>
          <w:lang w:val="en-GB" w:bidi="lo-LA"/>
        </w:rPr>
        <w:t xml:space="preserve"> [</w:t>
      </w:r>
      <w:r w:rsidR="0048249D" w:rsidRPr="008E2A29">
        <w:rPr>
          <w:rFonts w:asciiTheme="minorHAnsi" w:eastAsia="Calibri" w:hAnsiTheme="minorHAnsi" w:cstheme="minorHAnsi"/>
          <w:lang w:val="en-GB" w:bidi="lo-LA"/>
        </w:rPr>
        <w:t>12</w:t>
      </w:r>
      <w:r w:rsidR="00C611CE" w:rsidRPr="008E2A29">
        <w:rPr>
          <w:rFonts w:asciiTheme="minorHAnsi" w:eastAsia="Calibri" w:hAnsiTheme="minorHAnsi" w:cstheme="minorHAnsi"/>
          <w:lang w:val="en-GB" w:bidi="lo-LA"/>
        </w:rPr>
        <w:t>]</w:t>
      </w:r>
      <w:r w:rsidR="00590C33" w:rsidRPr="008E2A29">
        <w:rPr>
          <w:rFonts w:asciiTheme="minorHAnsi" w:eastAsia="Calibri" w:hAnsiTheme="minorHAnsi" w:cstheme="minorHAnsi"/>
          <w:lang w:val="en-GB" w:bidi="lo-LA"/>
        </w:rPr>
        <w:t>, despite differences in incidence</w:t>
      </w:r>
      <w:r w:rsidR="00C611CE" w:rsidRPr="008E2A29">
        <w:rPr>
          <w:rFonts w:asciiTheme="minorHAnsi" w:eastAsia="Calibri" w:hAnsiTheme="minorHAnsi" w:cstheme="minorHAnsi"/>
          <w:lang w:val="en-GB" w:bidi="lo-LA"/>
        </w:rPr>
        <w:t xml:space="preserve"> </w:t>
      </w:r>
      <w:r w:rsidR="00457562" w:rsidRPr="008E2A29">
        <w:rPr>
          <w:rFonts w:asciiTheme="minorHAnsi" w:eastAsia="Calibri" w:hAnsiTheme="minorHAnsi" w:cstheme="minorHAnsi"/>
          <w:lang w:val="en-GB" w:bidi="lo-LA"/>
        </w:rPr>
        <w:t>between these countries</w:t>
      </w:r>
      <w:r w:rsidR="00590C33" w:rsidRPr="008E2A29">
        <w:rPr>
          <w:rFonts w:asciiTheme="minorHAnsi" w:eastAsia="Calibri" w:hAnsiTheme="minorHAnsi" w:cstheme="minorHAnsi"/>
          <w:lang w:val="en-GB" w:bidi="lo-LA"/>
        </w:rPr>
        <w:t xml:space="preserve"> [</w:t>
      </w:r>
      <w:r w:rsidR="00396AEB">
        <w:rPr>
          <w:rFonts w:asciiTheme="minorHAnsi" w:eastAsia="Calibri" w:hAnsiTheme="minorHAnsi" w:cstheme="minorHAnsi"/>
          <w:lang w:val="en-GB" w:bidi="lo-LA"/>
        </w:rPr>
        <w:t>29</w:t>
      </w:r>
      <w:r w:rsidR="00590C33" w:rsidRPr="008E2A29">
        <w:rPr>
          <w:rFonts w:asciiTheme="minorHAnsi" w:eastAsia="Calibri" w:hAnsiTheme="minorHAnsi" w:cstheme="minorHAnsi"/>
          <w:lang w:val="en-GB" w:bidi="lo-LA"/>
        </w:rPr>
        <w:t xml:space="preserve">]. This commonality of pattern is supported by register studies, which indicate that in those regions where hip fracture rates are high, so too is the risk of forearm fracture and spine fractures (requiring hospital </w:t>
      </w:r>
      <w:r w:rsidR="00590C33" w:rsidRPr="007A6D93">
        <w:rPr>
          <w:rFonts w:asciiTheme="minorHAnsi" w:eastAsia="Calibri" w:hAnsiTheme="minorHAnsi" w:cstheme="minorHAnsi"/>
          <w:lang w:val="en-GB" w:bidi="lo-LA"/>
        </w:rPr>
        <w:t>admission) [</w:t>
      </w:r>
      <w:r w:rsidR="007A6D93" w:rsidRPr="007A6D93">
        <w:rPr>
          <w:rFonts w:asciiTheme="minorHAnsi" w:eastAsia="Calibri" w:hAnsiTheme="minorHAnsi" w:cstheme="minorHAnsi"/>
          <w:lang w:val="en-GB" w:bidi="lo-LA"/>
        </w:rPr>
        <w:t>35</w:t>
      </w:r>
      <w:r w:rsidR="00CC4518" w:rsidRPr="007A6D93">
        <w:rPr>
          <w:rFonts w:asciiTheme="minorHAnsi" w:eastAsia="Calibri" w:hAnsiTheme="minorHAnsi" w:cstheme="minorHAnsi"/>
          <w:lang w:val="en-GB" w:bidi="lo-LA"/>
        </w:rPr>
        <w:t xml:space="preserve">, </w:t>
      </w:r>
      <w:r w:rsidR="00590C33" w:rsidRPr="007A6D93">
        <w:rPr>
          <w:rFonts w:asciiTheme="minorHAnsi" w:eastAsia="Calibri" w:hAnsiTheme="minorHAnsi" w:cstheme="minorHAnsi"/>
          <w:lang w:val="en-GB" w:bidi="lo-LA"/>
        </w:rPr>
        <w:t>3</w:t>
      </w:r>
      <w:r w:rsidR="007A6D93" w:rsidRPr="007A6D93">
        <w:rPr>
          <w:rFonts w:asciiTheme="minorHAnsi" w:eastAsia="Calibri" w:hAnsiTheme="minorHAnsi" w:cstheme="minorHAnsi"/>
          <w:lang w:val="en-GB" w:bidi="lo-LA"/>
        </w:rPr>
        <w:t>6</w:t>
      </w:r>
      <w:r w:rsidR="00590C33" w:rsidRPr="007A6D93">
        <w:rPr>
          <w:rFonts w:asciiTheme="minorHAnsi" w:eastAsia="Calibri" w:hAnsiTheme="minorHAnsi" w:cstheme="minorHAnsi"/>
          <w:lang w:val="en-GB" w:bidi="lo-LA"/>
        </w:rPr>
        <w:t>, 3</w:t>
      </w:r>
      <w:r w:rsidR="007A6D93" w:rsidRPr="007A6D93">
        <w:rPr>
          <w:rFonts w:asciiTheme="minorHAnsi" w:eastAsia="Calibri" w:hAnsiTheme="minorHAnsi" w:cstheme="minorHAnsi"/>
          <w:lang w:val="en-GB" w:bidi="lo-LA"/>
        </w:rPr>
        <w:t>7</w:t>
      </w:r>
      <w:r w:rsidR="00590C33" w:rsidRPr="007A6D93">
        <w:rPr>
          <w:rFonts w:asciiTheme="minorHAnsi" w:eastAsia="Calibri" w:hAnsiTheme="minorHAnsi" w:cstheme="minorHAnsi"/>
          <w:lang w:val="en-GB" w:bidi="lo-LA"/>
        </w:rPr>
        <w:t>].</w:t>
      </w:r>
      <w:r w:rsidR="00590C33" w:rsidRPr="00590C33">
        <w:rPr>
          <w:rFonts w:asciiTheme="minorHAnsi" w:eastAsia="Calibri" w:hAnsiTheme="minorHAnsi" w:cstheme="minorHAnsi"/>
          <w:lang w:val="en-GB" w:bidi="lo-LA"/>
        </w:rPr>
        <w:t xml:space="preserve"> </w:t>
      </w:r>
      <w:r w:rsidR="002918B3" w:rsidRPr="00726FDD">
        <w:rPr>
          <w:rFonts w:asciiTheme="minorHAnsi" w:eastAsia="Calibri" w:hAnsiTheme="minorHAnsi" w:cstheme="minorHAnsi"/>
          <w:lang w:val="en-GB" w:bidi="lo-LA"/>
        </w:rPr>
        <w:t xml:space="preserve"> </w:t>
      </w:r>
    </w:p>
    <w:p w14:paraId="5BF8C803" w14:textId="5A03879A" w:rsidR="00AC56BE" w:rsidRPr="008E2A29" w:rsidRDefault="001E13EE" w:rsidP="007B4D4B">
      <w:pPr>
        <w:tabs>
          <w:tab w:val="left" w:pos="7797"/>
        </w:tabs>
        <w:spacing w:after="200" w:line="276" w:lineRule="auto"/>
        <w:ind w:left="567" w:right="1275"/>
        <w:rPr>
          <w:rFonts w:asciiTheme="minorHAnsi" w:eastAsia="Calibri" w:hAnsiTheme="minorHAnsi" w:cstheme="minorHAnsi"/>
          <w:lang w:val="en-GB" w:bidi="lo-LA"/>
        </w:rPr>
      </w:pPr>
      <w:r w:rsidRPr="00726FDD">
        <w:rPr>
          <w:rFonts w:asciiTheme="minorHAnsi" w:eastAsia="Calibri" w:hAnsiTheme="minorHAnsi" w:cstheme="minorHAnsi"/>
          <w:lang w:val="en-GB" w:bidi="lo-LA"/>
        </w:rPr>
        <w:t>The acquisition of data on the</w:t>
      </w:r>
      <w:r w:rsidR="003D16EE" w:rsidRPr="00726FDD">
        <w:rPr>
          <w:rFonts w:asciiTheme="minorHAnsi" w:eastAsia="Calibri" w:hAnsiTheme="minorHAnsi" w:cstheme="minorHAnsi"/>
          <w:lang w:val="en-GB" w:bidi="lo-LA"/>
        </w:rPr>
        <w:t xml:space="preserve"> incidence of forearm and humerus fractures</w:t>
      </w:r>
      <w:r w:rsidR="00BC54B1" w:rsidRPr="00726FDD">
        <w:rPr>
          <w:rFonts w:asciiTheme="minorHAnsi" w:eastAsia="Calibri" w:hAnsiTheme="minorHAnsi" w:cstheme="minorHAnsi"/>
          <w:lang w:val="en-GB" w:bidi="lo-LA"/>
        </w:rPr>
        <w:t xml:space="preserve"> </w:t>
      </w:r>
      <w:r w:rsidR="00C170C9" w:rsidRPr="00726FDD">
        <w:rPr>
          <w:rFonts w:asciiTheme="minorHAnsi" w:eastAsia="Calibri" w:hAnsiTheme="minorHAnsi" w:cstheme="minorHAnsi"/>
          <w:lang w:val="en-GB" w:bidi="lo-LA"/>
        </w:rPr>
        <w:t>as well as</w:t>
      </w:r>
      <w:r w:rsidR="00BC54B1" w:rsidRPr="00726FDD">
        <w:rPr>
          <w:rFonts w:asciiTheme="minorHAnsi" w:eastAsia="Calibri" w:hAnsiTheme="minorHAnsi" w:cstheme="minorHAnsi"/>
          <w:lang w:val="en-GB" w:bidi="lo-LA"/>
        </w:rPr>
        <w:t xml:space="preserve"> </w:t>
      </w:r>
      <w:r w:rsidR="0045634A" w:rsidRPr="00726FDD">
        <w:rPr>
          <w:rFonts w:asciiTheme="minorHAnsi" w:eastAsia="Calibri" w:hAnsiTheme="minorHAnsi" w:cstheme="minorHAnsi"/>
          <w:lang w:val="en-GB" w:bidi="lo-LA"/>
        </w:rPr>
        <w:t>f</w:t>
      </w:r>
      <w:r w:rsidR="00BC54B1" w:rsidRPr="00726FDD">
        <w:rPr>
          <w:rFonts w:asciiTheme="minorHAnsi" w:eastAsia="Calibri" w:hAnsiTheme="minorHAnsi" w:cstheme="minorHAnsi"/>
          <w:lang w:val="en-GB" w:bidi="lo-LA"/>
        </w:rPr>
        <w:t>or hip fracture</w:t>
      </w:r>
      <w:r w:rsidR="000A6CA4" w:rsidRPr="00726FDD">
        <w:rPr>
          <w:rFonts w:asciiTheme="minorHAnsi" w:eastAsia="Calibri" w:hAnsiTheme="minorHAnsi" w:cstheme="minorHAnsi"/>
          <w:lang w:val="en-GB" w:bidi="lo-LA"/>
        </w:rPr>
        <w:t xml:space="preserve"> </w:t>
      </w:r>
      <w:r w:rsidR="005B67D3" w:rsidRPr="00726FDD">
        <w:rPr>
          <w:rFonts w:asciiTheme="minorHAnsi" w:eastAsia="Calibri" w:hAnsiTheme="minorHAnsi" w:cstheme="minorHAnsi"/>
          <w:lang w:val="en-GB" w:bidi="lo-LA"/>
        </w:rPr>
        <w:t>permitted the adequacy of this assumption</w:t>
      </w:r>
      <w:r w:rsidR="003F79B1" w:rsidRPr="00726FDD">
        <w:rPr>
          <w:rFonts w:asciiTheme="minorHAnsi" w:eastAsia="Calibri" w:hAnsiTheme="minorHAnsi" w:cstheme="minorHAnsi"/>
          <w:lang w:val="en-GB" w:bidi="lo-LA"/>
        </w:rPr>
        <w:t xml:space="preserve"> to be tested</w:t>
      </w:r>
      <w:r w:rsidR="00DA6543">
        <w:rPr>
          <w:rFonts w:asciiTheme="minorHAnsi" w:eastAsia="Calibri" w:hAnsiTheme="minorHAnsi" w:cstheme="minorHAnsi"/>
          <w:lang w:val="en-GB" w:bidi="lo-LA"/>
        </w:rPr>
        <w:t xml:space="preserve"> in the present study</w:t>
      </w:r>
      <w:r w:rsidR="005B67D3" w:rsidRPr="00726FDD">
        <w:rPr>
          <w:rFonts w:asciiTheme="minorHAnsi" w:eastAsia="Calibri" w:hAnsiTheme="minorHAnsi" w:cstheme="minorHAnsi"/>
          <w:lang w:val="en-GB" w:bidi="lo-LA"/>
        </w:rPr>
        <w:t xml:space="preserve">, at least for </w:t>
      </w:r>
      <w:r w:rsidR="00C51258" w:rsidRPr="00726FDD">
        <w:rPr>
          <w:rFonts w:asciiTheme="minorHAnsi" w:eastAsia="Calibri" w:hAnsiTheme="minorHAnsi" w:cstheme="minorHAnsi"/>
          <w:lang w:val="en-GB" w:bidi="lo-LA"/>
        </w:rPr>
        <w:t>forearm and humeral fractures.</w:t>
      </w:r>
      <w:r w:rsidR="00E1153C" w:rsidRPr="00726FDD">
        <w:rPr>
          <w:lang w:val="en-GB"/>
        </w:rPr>
        <w:t xml:space="preserve"> </w:t>
      </w:r>
      <w:r w:rsidR="00E1153C" w:rsidRPr="00726FDD">
        <w:rPr>
          <w:rFonts w:asciiTheme="minorHAnsi" w:eastAsia="Calibri" w:hAnsiTheme="minorHAnsi" w:cstheme="minorHAnsi"/>
          <w:lang w:val="en-GB" w:bidi="lo-LA"/>
        </w:rPr>
        <w:t>Our findings suggest that the incidence of forearm and humerus fractures can be reasonably predicted from the incidence of hip fracture</w:t>
      </w:r>
      <w:r w:rsidR="00726FDD" w:rsidRPr="00726FDD">
        <w:rPr>
          <w:rFonts w:asciiTheme="minorHAnsi" w:eastAsia="Calibri" w:hAnsiTheme="minorHAnsi" w:cstheme="minorHAnsi"/>
          <w:lang w:val="en-GB" w:bidi="lo-LA"/>
        </w:rPr>
        <w:t xml:space="preserve"> in men</w:t>
      </w:r>
      <w:r w:rsidR="00E1153C" w:rsidRPr="00850C6A">
        <w:rPr>
          <w:rFonts w:asciiTheme="minorHAnsi" w:eastAsia="Calibri" w:hAnsiTheme="minorHAnsi" w:cstheme="minorHAnsi"/>
          <w:lang w:val="en-GB" w:bidi="lo-LA"/>
        </w:rPr>
        <w:t>.</w:t>
      </w:r>
      <w:r w:rsidR="00B66F4A" w:rsidRPr="00850C6A">
        <w:rPr>
          <w:rFonts w:asciiTheme="minorHAnsi" w:eastAsia="Calibri" w:hAnsiTheme="minorHAnsi" w:cstheme="minorHAnsi"/>
          <w:lang w:val="en-GB" w:bidi="lo-LA"/>
        </w:rPr>
        <w:t xml:space="preserve">  </w:t>
      </w:r>
      <w:r w:rsidR="00850C6A" w:rsidRPr="00850C6A">
        <w:rPr>
          <w:rFonts w:asciiTheme="minorHAnsi" w:eastAsia="Calibri" w:hAnsiTheme="minorHAnsi" w:cstheme="minorHAnsi"/>
          <w:lang w:val="en-GB" w:bidi="lo-LA"/>
        </w:rPr>
        <w:t>In women, however, the observed fracture rates exceeded those predicted from the Malmo ratios, in some cases significantly so</w:t>
      </w:r>
      <w:r w:rsidR="006A5CC0">
        <w:rPr>
          <w:rFonts w:asciiTheme="minorHAnsi" w:eastAsia="Calibri" w:hAnsiTheme="minorHAnsi" w:cstheme="minorHAnsi"/>
          <w:lang w:val="en-GB" w:bidi="lo-LA"/>
        </w:rPr>
        <w:t xml:space="preserve">.  </w:t>
      </w:r>
      <w:r w:rsidR="00E37340">
        <w:rPr>
          <w:rFonts w:asciiTheme="minorHAnsi" w:eastAsia="Calibri" w:hAnsiTheme="minorHAnsi" w:cstheme="minorHAnsi"/>
          <w:lang w:val="en-GB" w:bidi="lo-LA"/>
        </w:rPr>
        <w:t xml:space="preserve">This disparity may </w:t>
      </w:r>
      <w:r w:rsidR="00E3446C">
        <w:rPr>
          <w:rFonts w:asciiTheme="minorHAnsi" w:eastAsia="Calibri" w:hAnsiTheme="minorHAnsi" w:cstheme="minorHAnsi"/>
          <w:lang w:val="en-GB" w:bidi="lo-LA"/>
        </w:rPr>
        <w:t>arise</w:t>
      </w:r>
      <w:r w:rsidR="00E37340">
        <w:rPr>
          <w:rFonts w:asciiTheme="minorHAnsi" w:eastAsia="Calibri" w:hAnsiTheme="minorHAnsi" w:cstheme="minorHAnsi"/>
          <w:lang w:val="en-GB" w:bidi="lo-LA"/>
        </w:rPr>
        <w:t xml:space="preserve"> </w:t>
      </w:r>
      <w:r w:rsidR="00E3446C">
        <w:rPr>
          <w:rFonts w:asciiTheme="minorHAnsi" w:eastAsia="Calibri" w:hAnsiTheme="minorHAnsi" w:cstheme="minorHAnsi"/>
          <w:lang w:val="en-GB" w:bidi="lo-LA"/>
        </w:rPr>
        <w:t>because humeral and distal forearm fractures are relatively</w:t>
      </w:r>
      <w:r w:rsidR="000957FF">
        <w:rPr>
          <w:rFonts w:asciiTheme="minorHAnsi" w:eastAsia="Calibri" w:hAnsiTheme="minorHAnsi" w:cstheme="minorHAnsi"/>
          <w:lang w:val="en-GB" w:bidi="lo-LA"/>
        </w:rPr>
        <w:t xml:space="preserve"> more common than hip fractures in women from Kazakhstan</w:t>
      </w:r>
      <w:r w:rsidR="00D90B64">
        <w:rPr>
          <w:rFonts w:asciiTheme="minorHAnsi" w:eastAsia="Calibri" w:hAnsiTheme="minorHAnsi" w:cstheme="minorHAnsi"/>
          <w:lang w:val="en-GB" w:bidi="lo-LA"/>
        </w:rPr>
        <w:t xml:space="preserve"> than in other counties</w:t>
      </w:r>
      <w:r w:rsidR="00824CCF">
        <w:rPr>
          <w:rFonts w:asciiTheme="minorHAnsi" w:eastAsia="Calibri" w:hAnsiTheme="minorHAnsi" w:cstheme="minorHAnsi"/>
          <w:lang w:val="en-GB" w:bidi="lo-LA"/>
        </w:rPr>
        <w:t xml:space="preserve">.  </w:t>
      </w:r>
      <w:r w:rsidR="003E74DB">
        <w:rPr>
          <w:rFonts w:asciiTheme="minorHAnsi" w:eastAsia="Calibri" w:hAnsiTheme="minorHAnsi" w:cstheme="minorHAnsi"/>
          <w:lang w:val="en-GB" w:bidi="lo-LA"/>
        </w:rPr>
        <w:t>U</w:t>
      </w:r>
      <w:r w:rsidR="003E74DB" w:rsidRPr="003E74DB">
        <w:rPr>
          <w:rFonts w:asciiTheme="minorHAnsi" w:eastAsia="Calibri" w:hAnsiTheme="minorHAnsi" w:cstheme="minorHAnsi"/>
          <w:lang w:val="en-GB" w:bidi="lo-LA"/>
        </w:rPr>
        <w:t xml:space="preserve">nexpectedly high rates of forearm and humeral fractures </w:t>
      </w:r>
      <w:r w:rsidR="00824CCF">
        <w:rPr>
          <w:rFonts w:asciiTheme="minorHAnsi" w:eastAsia="Calibri" w:hAnsiTheme="minorHAnsi" w:cstheme="minorHAnsi"/>
          <w:lang w:val="en-GB" w:bidi="lo-LA"/>
        </w:rPr>
        <w:t>ha</w:t>
      </w:r>
      <w:r w:rsidR="003E74DB">
        <w:rPr>
          <w:rFonts w:asciiTheme="minorHAnsi" w:eastAsia="Calibri" w:hAnsiTheme="minorHAnsi" w:cstheme="minorHAnsi"/>
          <w:lang w:val="en-GB" w:bidi="lo-LA"/>
        </w:rPr>
        <w:t>ve</w:t>
      </w:r>
      <w:r w:rsidR="00824CCF">
        <w:rPr>
          <w:rFonts w:asciiTheme="minorHAnsi" w:eastAsia="Calibri" w:hAnsiTheme="minorHAnsi" w:cstheme="minorHAnsi"/>
          <w:lang w:val="en-GB" w:bidi="lo-LA"/>
        </w:rPr>
        <w:t xml:space="preserve"> </w:t>
      </w:r>
      <w:r w:rsidR="00824CCF" w:rsidRPr="008E2A29">
        <w:rPr>
          <w:rFonts w:asciiTheme="minorHAnsi" w:eastAsia="Calibri" w:hAnsiTheme="minorHAnsi" w:cstheme="minorHAnsi"/>
          <w:lang w:val="en-GB" w:bidi="lo-LA"/>
        </w:rPr>
        <w:t>been re</w:t>
      </w:r>
      <w:r w:rsidR="003E74DB" w:rsidRPr="008E2A29">
        <w:rPr>
          <w:rFonts w:asciiTheme="minorHAnsi" w:eastAsia="Calibri" w:hAnsiTheme="minorHAnsi" w:cstheme="minorHAnsi"/>
          <w:lang w:val="en-GB" w:bidi="lo-LA"/>
        </w:rPr>
        <w:t>ported in Russia [</w:t>
      </w:r>
      <w:r w:rsidR="00DB149F" w:rsidRPr="008E2A29">
        <w:rPr>
          <w:rFonts w:asciiTheme="minorHAnsi" w:eastAsia="Calibri" w:hAnsiTheme="minorHAnsi" w:cstheme="minorHAnsi"/>
          <w:lang w:val="en-GB" w:bidi="lo-LA"/>
        </w:rPr>
        <w:t>9</w:t>
      </w:r>
      <w:r w:rsidR="003E74DB" w:rsidRPr="008E2A29">
        <w:rPr>
          <w:rFonts w:asciiTheme="minorHAnsi" w:eastAsia="Calibri" w:hAnsiTheme="minorHAnsi" w:cstheme="minorHAnsi"/>
          <w:lang w:val="en-GB" w:bidi="lo-LA"/>
        </w:rPr>
        <w:t>]</w:t>
      </w:r>
      <w:r w:rsidR="00B34D96">
        <w:rPr>
          <w:rFonts w:asciiTheme="minorHAnsi" w:eastAsia="Calibri" w:hAnsiTheme="minorHAnsi" w:cstheme="minorHAnsi"/>
          <w:lang w:val="en-GB" w:bidi="lo-LA"/>
        </w:rPr>
        <w:t xml:space="preserve"> and </w:t>
      </w:r>
      <w:r w:rsidR="00A965A1">
        <w:rPr>
          <w:rFonts w:asciiTheme="minorHAnsi" w:eastAsia="Calibri" w:hAnsiTheme="minorHAnsi" w:cstheme="minorHAnsi"/>
          <w:lang w:val="en-GB" w:bidi="lo-LA"/>
        </w:rPr>
        <w:t>Hungary [</w:t>
      </w:r>
      <w:r w:rsidR="00C80450">
        <w:rPr>
          <w:rFonts w:asciiTheme="minorHAnsi" w:eastAsia="Calibri" w:hAnsiTheme="minorHAnsi" w:cstheme="minorHAnsi"/>
          <w:lang w:val="en-GB" w:bidi="lo-LA"/>
        </w:rPr>
        <w:t>27]</w:t>
      </w:r>
      <w:r w:rsidR="003E74DB" w:rsidRPr="008E2A29">
        <w:rPr>
          <w:rFonts w:asciiTheme="minorHAnsi" w:eastAsia="Calibri" w:hAnsiTheme="minorHAnsi" w:cstheme="minorHAnsi"/>
          <w:lang w:val="en-GB" w:bidi="lo-LA"/>
        </w:rPr>
        <w:t xml:space="preserve">.  </w:t>
      </w:r>
      <w:r w:rsidR="00E3446C" w:rsidRPr="008E2A29">
        <w:rPr>
          <w:rFonts w:asciiTheme="minorHAnsi" w:eastAsia="Calibri" w:hAnsiTheme="minorHAnsi" w:cstheme="minorHAnsi"/>
          <w:lang w:val="en-GB" w:bidi="lo-LA"/>
        </w:rPr>
        <w:t xml:space="preserve"> </w:t>
      </w:r>
      <w:r w:rsidR="004732D2" w:rsidRPr="008E2A29">
        <w:rPr>
          <w:rFonts w:asciiTheme="minorHAnsi" w:eastAsia="Calibri" w:hAnsiTheme="minorHAnsi" w:cstheme="minorHAnsi"/>
          <w:lang w:val="en-GB" w:bidi="lo-LA"/>
        </w:rPr>
        <w:t xml:space="preserve">An alternative explanation is that </w:t>
      </w:r>
      <w:r w:rsidR="006B1D7E" w:rsidRPr="008E2A29">
        <w:rPr>
          <w:rFonts w:asciiTheme="minorHAnsi" w:eastAsia="Calibri" w:hAnsiTheme="minorHAnsi" w:cstheme="minorHAnsi"/>
          <w:lang w:val="en-GB" w:bidi="lo-LA"/>
        </w:rPr>
        <w:t>not all</w:t>
      </w:r>
      <w:r w:rsidR="00FD6431" w:rsidRPr="008E2A29">
        <w:rPr>
          <w:rFonts w:asciiTheme="minorHAnsi" w:eastAsia="Calibri" w:hAnsiTheme="minorHAnsi" w:cstheme="minorHAnsi"/>
          <w:lang w:val="en-GB" w:bidi="lo-LA"/>
        </w:rPr>
        <w:t xml:space="preserve"> </w:t>
      </w:r>
      <w:r w:rsidR="0009304D" w:rsidRPr="008E2A29">
        <w:rPr>
          <w:rFonts w:asciiTheme="minorHAnsi" w:eastAsia="Calibri" w:hAnsiTheme="minorHAnsi" w:cstheme="minorHAnsi"/>
          <w:lang w:val="en-GB" w:bidi="lo-LA"/>
        </w:rPr>
        <w:t>cases of hip fracture</w:t>
      </w:r>
      <w:r w:rsidR="00FD6431" w:rsidRPr="008E2A29">
        <w:rPr>
          <w:rFonts w:asciiTheme="minorHAnsi" w:eastAsia="Calibri" w:hAnsiTheme="minorHAnsi" w:cstheme="minorHAnsi"/>
          <w:lang w:val="en-GB" w:bidi="lo-LA"/>
        </w:rPr>
        <w:t xml:space="preserve"> were identified</w:t>
      </w:r>
      <w:r w:rsidR="00136B5F" w:rsidRPr="008E2A29">
        <w:rPr>
          <w:rFonts w:asciiTheme="minorHAnsi" w:eastAsia="Calibri" w:hAnsiTheme="minorHAnsi" w:cstheme="minorHAnsi"/>
          <w:lang w:val="en-GB" w:bidi="lo-LA"/>
        </w:rPr>
        <w:t>, particularly in women. The present study could no</w:t>
      </w:r>
      <w:r w:rsidR="00263AA2" w:rsidRPr="008E2A29">
        <w:rPr>
          <w:rFonts w:asciiTheme="minorHAnsi" w:eastAsia="Calibri" w:hAnsiTheme="minorHAnsi" w:cstheme="minorHAnsi"/>
          <w:lang w:val="en-GB" w:bidi="lo-LA"/>
        </w:rPr>
        <w:t>t</w:t>
      </w:r>
      <w:r w:rsidR="00136B5F" w:rsidRPr="008E2A29">
        <w:rPr>
          <w:rFonts w:asciiTheme="minorHAnsi" w:eastAsia="Calibri" w:hAnsiTheme="minorHAnsi" w:cstheme="minorHAnsi"/>
          <w:lang w:val="en-GB" w:bidi="lo-LA"/>
        </w:rPr>
        <w:t xml:space="preserve"> address the alt</w:t>
      </w:r>
      <w:r w:rsidR="00263AA2" w:rsidRPr="008E2A29">
        <w:rPr>
          <w:rFonts w:asciiTheme="minorHAnsi" w:eastAsia="Calibri" w:hAnsiTheme="minorHAnsi" w:cstheme="minorHAnsi"/>
          <w:lang w:val="en-GB" w:bidi="lo-LA"/>
        </w:rPr>
        <w:t>ernatives.</w:t>
      </w:r>
      <w:r w:rsidR="00E40E12" w:rsidRPr="008E2A29">
        <w:rPr>
          <w:rFonts w:asciiTheme="minorHAnsi" w:eastAsia="Calibri" w:hAnsiTheme="minorHAnsi" w:cstheme="minorHAnsi"/>
          <w:lang w:val="en-GB" w:bidi="lo-LA"/>
        </w:rPr>
        <w:t xml:space="preserve"> </w:t>
      </w:r>
    </w:p>
    <w:p w14:paraId="053E2BFC" w14:textId="0EF24C27" w:rsidR="00AC56BE" w:rsidRPr="008E2A29" w:rsidRDefault="00AE5401" w:rsidP="007B4D4B">
      <w:pPr>
        <w:tabs>
          <w:tab w:val="left" w:pos="7797"/>
        </w:tabs>
        <w:spacing w:after="200" w:line="276" w:lineRule="auto"/>
        <w:ind w:left="567" w:right="1275"/>
        <w:rPr>
          <w:rFonts w:asciiTheme="minorHAnsi" w:eastAsia="Calibri" w:hAnsiTheme="minorHAnsi" w:cstheme="minorHAnsi"/>
          <w:lang w:val="en-GB" w:bidi="lo-LA"/>
        </w:rPr>
      </w:pPr>
      <w:r w:rsidRPr="008E2A29">
        <w:rPr>
          <w:rFonts w:asciiTheme="minorHAnsi" w:eastAsia="Calibri" w:hAnsiTheme="minorHAnsi" w:cstheme="minorHAnsi"/>
          <w:lang w:val="en-GB" w:bidi="lo-LA"/>
        </w:rPr>
        <w:t>The incidence of hip fracture was used to create a FRAX tool to compute the 10-year probabilities of hip and major osteoporotic fracture in Kazakhstan. Ten-year probabilities were consistently higher than in the neighbouring country of China but for major osteoporotic fractures similar to that reported for Russia.</w:t>
      </w:r>
    </w:p>
    <w:p w14:paraId="006027CC" w14:textId="03176CDB" w:rsidR="00B95D1C" w:rsidRDefault="00B95D1C" w:rsidP="007B4D4B">
      <w:pPr>
        <w:tabs>
          <w:tab w:val="left" w:pos="7797"/>
        </w:tabs>
        <w:spacing w:after="200" w:line="276" w:lineRule="auto"/>
        <w:ind w:left="567" w:right="1275"/>
        <w:rPr>
          <w:rFonts w:asciiTheme="minorHAnsi" w:eastAsia="Calibri" w:hAnsiTheme="minorHAnsi" w:cstheme="minorHAnsi"/>
          <w:lang w:val="en-GB" w:bidi="lo-LA"/>
        </w:rPr>
      </w:pPr>
      <w:r w:rsidRPr="008E2A29">
        <w:rPr>
          <w:rFonts w:asciiTheme="minorHAnsi" w:eastAsia="Calibri" w:hAnsiTheme="minorHAnsi" w:cstheme="minorHAnsi"/>
          <w:lang w:val="en-GB" w:bidi="lo-LA"/>
        </w:rPr>
        <w:t>The widespread availability of FRAX has resulted in its adoption in many practice guidelines worldwide [</w:t>
      </w:r>
      <w:r w:rsidR="005F128D">
        <w:rPr>
          <w:rFonts w:asciiTheme="minorHAnsi" w:eastAsia="Calibri" w:hAnsiTheme="minorHAnsi" w:cstheme="minorHAnsi"/>
          <w:lang w:val="en-GB" w:bidi="lo-LA"/>
        </w:rPr>
        <w:t>7</w:t>
      </w:r>
      <w:r w:rsidRPr="008E2A29">
        <w:rPr>
          <w:rFonts w:asciiTheme="minorHAnsi" w:eastAsia="Calibri" w:hAnsiTheme="minorHAnsi" w:cstheme="minorHAnsi"/>
          <w:lang w:val="en-GB" w:bidi="lo-LA"/>
        </w:rPr>
        <w:t>]. The fracture</w:t>
      </w:r>
      <w:r w:rsidRPr="00B95D1C">
        <w:rPr>
          <w:rFonts w:asciiTheme="minorHAnsi" w:eastAsia="Calibri" w:hAnsiTheme="minorHAnsi" w:cstheme="minorHAnsi"/>
          <w:lang w:val="en-GB" w:bidi="lo-LA"/>
        </w:rPr>
        <w:t xml:space="preserve"> probability equivalent to a woman with a prior fracture has been used as an intervention threshold in more than 30 countries. If the same threshold were applied to </w:t>
      </w:r>
      <w:r w:rsidR="0096453F">
        <w:rPr>
          <w:rFonts w:asciiTheme="minorHAnsi" w:eastAsia="Calibri" w:hAnsiTheme="minorHAnsi" w:cstheme="minorHAnsi"/>
          <w:lang w:val="en-GB" w:bidi="lo-LA"/>
        </w:rPr>
        <w:t>Kazakhstan</w:t>
      </w:r>
      <w:r w:rsidRPr="00B95D1C">
        <w:rPr>
          <w:rFonts w:asciiTheme="minorHAnsi" w:eastAsia="Calibri" w:hAnsiTheme="minorHAnsi" w:cstheme="minorHAnsi"/>
          <w:lang w:val="en-GB" w:bidi="lo-LA"/>
        </w:rPr>
        <w:t xml:space="preserve">, then intervention would be recommended with a probability of a major fracture that varied between </w:t>
      </w:r>
      <w:r w:rsidR="007202E7">
        <w:rPr>
          <w:rFonts w:asciiTheme="minorHAnsi" w:eastAsia="Calibri" w:hAnsiTheme="minorHAnsi" w:cstheme="minorHAnsi"/>
          <w:lang w:val="en-GB" w:bidi="lo-LA"/>
        </w:rPr>
        <w:t>9.7</w:t>
      </w:r>
      <w:r w:rsidRPr="00B95D1C">
        <w:rPr>
          <w:rFonts w:asciiTheme="minorHAnsi" w:eastAsia="Calibri" w:hAnsiTheme="minorHAnsi" w:cstheme="minorHAnsi"/>
          <w:lang w:val="en-GB" w:bidi="lo-LA"/>
        </w:rPr>
        <w:t xml:space="preserve"> and 2</w:t>
      </w:r>
      <w:r w:rsidR="007202E7">
        <w:rPr>
          <w:rFonts w:asciiTheme="minorHAnsi" w:eastAsia="Calibri" w:hAnsiTheme="minorHAnsi" w:cstheme="minorHAnsi"/>
          <w:lang w:val="en-GB" w:bidi="lo-LA"/>
        </w:rPr>
        <w:t xml:space="preserve">5 </w:t>
      </w:r>
      <w:r w:rsidRPr="00B95D1C">
        <w:rPr>
          <w:rFonts w:asciiTheme="minorHAnsi" w:eastAsia="Calibri" w:hAnsiTheme="minorHAnsi" w:cstheme="minorHAnsi"/>
          <w:lang w:val="en-GB" w:bidi="lo-LA"/>
        </w:rPr>
        <w:t>% depending on age (see Figure 1). The impact of such thresholds or alternative thresholds will require further study.</w:t>
      </w:r>
    </w:p>
    <w:p w14:paraId="516FE775" w14:textId="06E526CA" w:rsidR="00103E00" w:rsidRPr="00686B9D" w:rsidRDefault="000178ED" w:rsidP="0030661D">
      <w:pPr>
        <w:spacing w:after="200" w:line="276" w:lineRule="auto"/>
        <w:ind w:left="567" w:right="1275"/>
        <w:rPr>
          <w:rFonts w:asciiTheme="minorHAnsi" w:hAnsiTheme="minorHAnsi" w:cstheme="minorHAnsi"/>
          <w:lang w:val="en-GB"/>
        </w:rPr>
      </w:pPr>
      <w:r w:rsidRPr="00686B9D">
        <w:rPr>
          <w:rFonts w:asciiTheme="minorHAnsi" w:eastAsia="Calibri" w:hAnsiTheme="minorHAnsi" w:cstheme="minorHAnsi"/>
          <w:lang w:val="en-GB" w:bidi="lo-LA"/>
        </w:rPr>
        <w:t xml:space="preserve">There are a number of </w:t>
      </w:r>
      <w:r w:rsidR="007202E7" w:rsidRPr="00686B9D">
        <w:rPr>
          <w:rFonts w:asciiTheme="minorHAnsi" w:eastAsia="Calibri" w:hAnsiTheme="minorHAnsi" w:cstheme="minorHAnsi"/>
          <w:lang w:val="en-GB" w:bidi="lo-LA"/>
        </w:rPr>
        <w:t xml:space="preserve">additional </w:t>
      </w:r>
      <w:r w:rsidRPr="00686B9D">
        <w:rPr>
          <w:rFonts w:asciiTheme="minorHAnsi" w:eastAsia="Calibri" w:hAnsiTheme="minorHAnsi" w:cstheme="minorHAnsi"/>
          <w:lang w:val="en-GB" w:bidi="lo-LA"/>
        </w:rPr>
        <w:t>limitations to this study. With regard</w:t>
      </w:r>
      <w:r w:rsidR="0093722C"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 xml:space="preserve">to fracture incidence, we examined only </w:t>
      </w:r>
      <w:r w:rsidR="00727DF6" w:rsidRPr="00686B9D">
        <w:rPr>
          <w:rFonts w:asciiTheme="minorHAnsi" w:eastAsia="Calibri" w:hAnsiTheme="minorHAnsi" w:cstheme="minorHAnsi"/>
          <w:lang w:val="en-GB" w:bidi="lo-LA"/>
        </w:rPr>
        <w:t xml:space="preserve">about </w:t>
      </w:r>
      <w:r w:rsidR="007202E7" w:rsidRPr="00686B9D">
        <w:rPr>
          <w:rFonts w:asciiTheme="minorHAnsi" w:eastAsia="Calibri" w:hAnsiTheme="minorHAnsi" w:cstheme="minorHAnsi"/>
          <w:lang w:val="en-GB" w:bidi="lo-LA"/>
        </w:rPr>
        <w:t>1</w:t>
      </w:r>
      <w:r w:rsidRPr="00686B9D">
        <w:rPr>
          <w:rFonts w:asciiTheme="minorHAnsi" w:eastAsia="Calibri" w:hAnsiTheme="minorHAnsi" w:cstheme="minorHAnsi"/>
          <w:lang w:val="en-GB" w:bidi="lo-LA"/>
        </w:rPr>
        <w:t xml:space="preserve">% of the </w:t>
      </w:r>
      <w:r w:rsidR="00686B9D" w:rsidRPr="00686B9D">
        <w:rPr>
          <w:rFonts w:asciiTheme="minorHAnsi" w:eastAsia="Calibri" w:hAnsiTheme="minorHAnsi" w:cstheme="minorHAnsi"/>
          <w:lang w:val="en-GB" w:bidi="lo-LA"/>
        </w:rPr>
        <w:t>Kazakh</w:t>
      </w:r>
      <w:r w:rsidRPr="00686B9D">
        <w:rPr>
          <w:rFonts w:asciiTheme="minorHAnsi" w:eastAsia="Calibri" w:hAnsiTheme="minorHAnsi" w:cstheme="minorHAnsi"/>
          <w:lang w:val="en-GB" w:bidi="lo-LA"/>
        </w:rPr>
        <w:t xml:space="preserve"> population</w:t>
      </w:r>
      <w:r w:rsidR="00777B15">
        <w:rPr>
          <w:rFonts w:asciiTheme="minorHAnsi" w:eastAsia="Calibri" w:hAnsiTheme="minorHAnsi" w:cstheme="minorHAnsi"/>
          <w:lang w:val="en-GB" w:bidi="lo-LA"/>
        </w:rPr>
        <w:t xml:space="preserve"> from a single centre</w:t>
      </w:r>
      <w:r w:rsidRPr="00686B9D">
        <w:rPr>
          <w:rFonts w:asciiTheme="minorHAnsi" w:eastAsia="Calibri" w:hAnsiTheme="minorHAnsi" w:cstheme="minorHAnsi"/>
          <w:lang w:val="en-GB" w:bidi="lo-LA"/>
        </w:rPr>
        <w:t>.</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Therefore,</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the</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extrapolation</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of</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th</w:t>
      </w:r>
      <w:r w:rsidR="007202E7" w:rsidRPr="00686B9D">
        <w:rPr>
          <w:rFonts w:asciiTheme="minorHAnsi" w:eastAsia="Calibri" w:hAnsiTheme="minorHAnsi" w:cstheme="minorHAnsi"/>
          <w:lang w:val="en-GB" w:bidi="lo-LA"/>
        </w:rPr>
        <w:t>is</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regional</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estimat</w:t>
      </w:r>
      <w:r w:rsidR="00686B9D" w:rsidRPr="00686B9D">
        <w:rPr>
          <w:rFonts w:asciiTheme="minorHAnsi" w:eastAsia="Calibri" w:hAnsiTheme="minorHAnsi" w:cstheme="minorHAnsi"/>
          <w:lang w:val="en-GB" w:bidi="lo-LA"/>
        </w:rPr>
        <w:t>e</w:t>
      </w:r>
      <w:r w:rsidRPr="00686B9D">
        <w:rPr>
          <w:rFonts w:asciiTheme="minorHAnsi" w:eastAsia="Calibri" w:hAnsiTheme="minorHAnsi" w:cstheme="minorHAnsi"/>
          <w:lang w:val="en-GB" w:bidi="lo-LA"/>
        </w:rPr>
        <w:t xml:space="preserve"> to</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the</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entire</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country</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is</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an</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assumption</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that</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we</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were</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unable</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to</w:t>
      </w:r>
      <w:r w:rsidR="000E0380" w:rsidRPr="00686B9D">
        <w:rPr>
          <w:rFonts w:asciiTheme="minorHAnsi" w:eastAsia="Calibri" w:hAnsiTheme="minorHAnsi" w:cstheme="minorHAnsi"/>
          <w:lang w:val="en-GB" w:bidi="lo-LA"/>
        </w:rPr>
        <w:t xml:space="preserve"> </w:t>
      </w:r>
      <w:r w:rsidRPr="00686B9D">
        <w:rPr>
          <w:rFonts w:asciiTheme="minorHAnsi" w:eastAsia="Calibri" w:hAnsiTheme="minorHAnsi" w:cstheme="minorHAnsi"/>
          <w:lang w:val="en-GB" w:bidi="lo-LA"/>
        </w:rPr>
        <w:t>test</w:t>
      </w:r>
      <w:r w:rsidR="00727DF6" w:rsidRPr="00686B9D">
        <w:rPr>
          <w:rFonts w:asciiTheme="minorHAnsi" w:eastAsia="Calibri" w:hAnsiTheme="minorHAnsi" w:cstheme="minorHAnsi"/>
          <w:lang w:val="en-GB" w:bidi="lo-LA"/>
        </w:rPr>
        <w:t xml:space="preserve">.  </w:t>
      </w:r>
      <w:r w:rsidR="00C81AFF" w:rsidRPr="00686B9D">
        <w:rPr>
          <w:rFonts w:asciiTheme="minorHAnsi" w:hAnsiTheme="minorHAnsi" w:cstheme="minorHAnsi"/>
          <w:lang w:val="en-GB"/>
        </w:rPr>
        <w:t xml:space="preserve">In addition to large variations in fracture rates around the world, fracture rates may vary within countries. In addition to ethnic-specific </w:t>
      </w:r>
      <w:r w:rsidR="00C81AFF" w:rsidRPr="00004A31">
        <w:rPr>
          <w:rFonts w:asciiTheme="minorHAnsi" w:hAnsiTheme="minorHAnsi" w:cstheme="minorHAnsi"/>
          <w:lang w:val="en-GB"/>
        </w:rPr>
        <w:t>differences [</w:t>
      </w:r>
      <w:r w:rsidR="001C028B" w:rsidRPr="00004A31">
        <w:rPr>
          <w:rFonts w:asciiTheme="minorHAnsi" w:hAnsiTheme="minorHAnsi" w:cstheme="minorHAnsi"/>
          <w:lang w:val="en-GB"/>
        </w:rPr>
        <w:t>3</w:t>
      </w:r>
      <w:r w:rsidR="005F128D" w:rsidRPr="00004A31">
        <w:rPr>
          <w:rFonts w:asciiTheme="minorHAnsi" w:hAnsiTheme="minorHAnsi" w:cstheme="minorHAnsi"/>
          <w:lang w:val="en-GB"/>
        </w:rPr>
        <w:t>8</w:t>
      </w:r>
      <w:r w:rsidR="00C81AFF" w:rsidRPr="00004A31">
        <w:rPr>
          <w:rFonts w:asciiTheme="minorHAnsi" w:hAnsiTheme="minorHAnsi" w:cstheme="minorHAnsi"/>
          <w:lang w:val="en-GB"/>
        </w:rPr>
        <w:t>], up</w:t>
      </w:r>
      <w:r w:rsidR="00C81AFF" w:rsidRPr="008E2A29">
        <w:rPr>
          <w:rFonts w:asciiTheme="minorHAnsi" w:hAnsiTheme="minorHAnsi" w:cstheme="minorHAnsi"/>
          <w:lang w:val="en-GB"/>
        </w:rPr>
        <w:t xml:space="preserve"> to two-fold differences in hip fracture incidence have been reported using common methodology with the higher rates in urban communities </w:t>
      </w:r>
      <w:r w:rsidR="00EE061F" w:rsidRPr="008E2A29">
        <w:rPr>
          <w:rFonts w:asciiTheme="minorHAnsi" w:hAnsiTheme="minorHAnsi" w:cstheme="minorHAnsi"/>
          <w:lang w:val="en-GB"/>
        </w:rPr>
        <w:t xml:space="preserve">including </w:t>
      </w:r>
      <w:r w:rsidR="00C81AFF" w:rsidRPr="008E2A29">
        <w:rPr>
          <w:rFonts w:asciiTheme="minorHAnsi" w:hAnsiTheme="minorHAnsi" w:cstheme="minorHAnsi"/>
          <w:bCs/>
          <w:lang w:val="en-GB"/>
        </w:rPr>
        <w:t>Croatia</w:t>
      </w:r>
      <w:r w:rsidR="00C81AFF" w:rsidRPr="008E2A29">
        <w:rPr>
          <w:rFonts w:asciiTheme="minorHAnsi" w:hAnsiTheme="minorHAnsi" w:cstheme="minorHAnsi"/>
          <w:color w:val="642A8F"/>
          <w:u w:val="single"/>
          <w:lang w:val="en-GB"/>
        </w:rPr>
        <w:t xml:space="preserve"> </w:t>
      </w:r>
      <w:r w:rsidR="00C81AFF" w:rsidRPr="008E2A29">
        <w:rPr>
          <w:rFonts w:asciiTheme="minorHAnsi" w:hAnsiTheme="minorHAnsi" w:cstheme="minorHAnsi"/>
          <w:lang w:val="en-GB"/>
        </w:rPr>
        <w:t>[</w:t>
      </w:r>
      <w:r w:rsidR="00004A31">
        <w:rPr>
          <w:rFonts w:asciiTheme="minorHAnsi" w:hAnsiTheme="minorHAnsi" w:cstheme="minorHAnsi"/>
          <w:lang w:val="en-GB"/>
        </w:rPr>
        <w:t>39</w:t>
      </w:r>
      <w:r w:rsidR="00C81AFF" w:rsidRPr="008E2A29">
        <w:rPr>
          <w:rFonts w:asciiTheme="minorHAnsi" w:hAnsiTheme="minorHAnsi" w:cstheme="minorHAnsi"/>
          <w:lang w:val="en-GB"/>
        </w:rPr>
        <w:t>], Switzerland [</w:t>
      </w:r>
      <w:r w:rsidR="00004A31">
        <w:rPr>
          <w:rFonts w:asciiTheme="minorHAnsi" w:hAnsiTheme="minorHAnsi" w:cstheme="minorHAnsi"/>
          <w:lang w:val="en-GB"/>
        </w:rPr>
        <w:t>40</w:t>
      </w:r>
      <w:r w:rsidR="00C81AFF" w:rsidRPr="008E2A29">
        <w:rPr>
          <w:rFonts w:asciiTheme="minorHAnsi" w:hAnsiTheme="minorHAnsi" w:cstheme="minorHAnsi"/>
          <w:lang w:val="en-GB"/>
        </w:rPr>
        <w:t>], Norway [</w:t>
      </w:r>
      <w:r w:rsidR="00F04E7A">
        <w:rPr>
          <w:rFonts w:asciiTheme="minorHAnsi" w:hAnsiTheme="minorHAnsi" w:cstheme="minorHAnsi"/>
          <w:lang w:val="en-GB"/>
        </w:rPr>
        <w:t>41</w:t>
      </w:r>
      <w:r w:rsidR="00C81AFF" w:rsidRPr="008E2A29">
        <w:rPr>
          <w:rFonts w:asciiTheme="minorHAnsi" w:hAnsiTheme="minorHAnsi" w:cstheme="minorHAnsi"/>
          <w:lang w:val="en-GB"/>
        </w:rPr>
        <w:t>], Argentina [</w:t>
      </w:r>
      <w:r w:rsidR="00F04E7A">
        <w:rPr>
          <w:rFonts w:asciiTheme="minorHAnsi" w:hAnsiTheme="minorHAnsi" w:cstheme="minorHAnsi"/>
          <w:lang w:val="en-GB"/>
        </w:rPr>
        <w:t>42</w:t>
      </w:r>
      <w:r w:rsidR="00C81AFF" w:rsidRPr="008E2A29">
        <w:rPr>
          <w:rFonts w:asciiTheme="minorHAnsi" w:hAnsiTheme="minorHAnsi" w:cstheme="minorHAnsi"/>
          <w:lang w:val="en-GB"/>
        </w:rPr>
        <w:t xml:space="preserve">] and </w:t>
      </w:r>
      <w:r w:rsidR="00682832" w:rsidRPr="008E2A29">
        <w:rPr>
          <w:rFonts w:asciiTheme="minorHAnsi" w:hAnsiTheme="minorHAnsi" w:cstheme="minorHAnsi"/>
          <w:lang w:val="en-GB"/>
        </w:rPr>
        <w:t>Turkey</w:t>
      </w:r>
      <w:r w:rsidR="00C81AFF" w:rsidRPr="008E2A29">
        <w:rPr>
          <w:rFonts w:asciiTheme="minorHAnsi" w:hAnsiTheme="minorHAnsi" w:cstheme="minorHAnsi"/>
          <w:lang w:val="en-GB"/>
        </w:rPr>
        <w:t xml:space="preserve"> [</w:t>
      </w:r>
      <w:r w:rsidR="00F04E7A">
        <w:rPr>
          <w:rFonts w:asciiTheme="minorHAnsi" w:hAnsiTheme="minorHAnsi" w:cstheme="minorHAnsi"/>
          <w:lang w:val="en-GB"/>
        </w:rPr>
        <w:t>43</w:t>
      </w:r>
      <w:r w:rsidR="00C81AFF" w:rsidRPr="008E2A29">
        <w:rPr>
          <w:rFonts w:asciiTheme="minorHAnsi" w:hAnsiTheme="minorHAnsi" w:cstheme="minorHAnsi"/>
          <w:lang w:val="en-GB"/>
        </w:rPr>
        <w:t>].</w:t>
      </w:r>
      <w:r w:rsidR="002428EE" w:rsidRPr="002428EE">
        <w:t xml:space="preserve"> </w:t>
      </w:r>
      <w:r w:rsidR="002428EE" w:rsidRPr="002428EE">
        <w:rPr>
          <w:rFonts w:asciiTheme="minorHAnsi" w:hAnsiTheme="minorHAnsi" w:cstheme="minorHAnsi"/>
          <w:lang w:val="en-GB"/>
        </w:rPr>
        <w:t xml:space="preserve">No distinction was made in the level of trauma.  </w:t>
      </w:r>
      <w:r w:rsidR="004E3503">
        <w:rPr>
          <w:rFonts w:asciiTheme="minorHAnsi" w:hAnsiTheme="minorHAnsi" w:cstheme="minorHAnsi"/>
          <w:lang w:val="en-GB"/>
        </w:rPr>
        <w:t>However, t</w:t>
      </w:r>
      <w:r w:rsidR="002428EE" w:rsidRPr="002428EE">
        <w:rPr>
          <w:rFonts w:asciiTheme="minorHAnsi" w:hAnsiTheme="minorHAnsi" w:cstheme="minorHAnsi"/>
          <w:lang w:val="en-GB"/>
        </w:rPr>
        <w:t>he division between high and low trauma is problematic in that osteoporotic patients fracture more commonly than non-osteoporotic patients following high trauma [</w:t>
      </w:r>
      <w:r w:rsidR="00F93C74">
        <w:rPr>
          <w:rFonts w:asciiTheme="minorHAnsi" w:hAnsiTheme="minorHAnsi" w:cstheme="minorHAnsi"/>
          <w:lang w:val="en-GB"/>
        </w:rPr>
        <w:t>44,</w:t>
      </w:r>
      <w:r w:rsidR="00083F5C">
        <w:rPr>
          <w:rFonts w:asciiTheme="minorHAnsi" w:hAnsiTheme="minorHAnsi" w:cstheme="minorHAnsi"/>
          <w:lang w:val="en-GB"/>
        </w:rPr>
        <w:t xml:space="preserve"> 45</w:t>
      </w:r>
      <w:r w:rsidR="002428EE" w:rsidRPr="002428EE">
        <w:rPr>
          <w:rFonts w:asciiTheme="minorHAnsi" w:hAnsiTheme="minorHAnsi" w:cstheme="minorHAnsi"/>
          <w:lang w:val="en-GB"/>
        </w:rPr>
        <w:t>].  Additionally, BMD is similar in patients with hip fracture, irrespective of the level of trauma [</w:t>
      </w:r>
      <w:r w:rsidR="004D7102">
        <w:rPr>
          <w:rFonts w:asciiTheme="minorHAnsi" w:hAnsiTheme="minorHAnsi" w:cstheme="minorHAnsi"/>
          <w:lang w:val="en-GB"/>
        </w:rPr>
        <w:t>46</w:t>
      </w:r>
      <w:r w:rsidR="002428EE" w:rsidRPr="002428EE">
        <w:rPr>
          <w:rFonts w:asciiTheme="minorHAnsi" w:hAnsiTheme="minorHAnsi" w:cstheme="minorHAnsi"/>
          <w:lang w:val="en-GB"/>
        </w:rPr>
        <w:t>]. These data support the inclusion of high-trauma fractures in epidemiological assessment.</w:t>
      </w:r>
    </w:p>
    <w:p w14:paraId="6122231A" w14:textId="4BD91412" w:rsidR="00C125D5" w:rsidRPr="00A81361" w:rsidRDefault="002722E3" w:rsidP="0030661D">
      <w:pPr>
        <w:spacing w:after="200" w:line="276" w:lineRule="auto"/>
        <w:ind w:left="567" w:right="1275"/>
        <w:rPr>
          <w:rFonts w:asciiTheme="minorHAnsi" w:hAnsiTheme="minorHAnsi" w:cstheme="minorHAnsi"/>
          <w:color w:val="131413"/>
          <w:highlight w:val="yellow"/>
          <w:lang w:val="en-GB"/>
        </w:rPr>
      </w:pPr>
      <w:r w:rsidRPr="005B4712">
        <w:rPr>
          <w:rFonts w:asciiTheme="minorHAnsi" w:hAnsiTheme="minorHAnsi" w:cstheme="minorHAnsi"/>
          <w:lang w:val="en-GB"/>
        </w:rPr>
        <w:t>As noted above,</w:t>
      </w:r>
      <w:r w:rsidR="00C125D5" w:rsidRPr="005B4712">
        <w:rPr>
          <w:rFonts w:asciiTheme="minorHAnsi" w:hAnsiTheme="minorHAnsi" w:cstheme="minorHAnsi"/>
          <w:lang w:val="en-GB"/>
        </w:rPr>
        <w:t xml:space="preserve"> it is </w:t>
      </w:r>
      <w:r w:rsidR="00156AC7" w:rsidRPr="005B4712">
        <w:rPr>
          <w:rFonts w:asciiTheme="minorHAnsi" w:hAnsiTheme="minorHAnsi" w:cstheme="minorHAnsi"/>
          <w:lang w:val="en-GB"/>
        </w:rPr>
        <w:t>possible</w:t>
      </w:r>
      <w:r w:rsidR="00C125D5" w:rsidRPr="005B4712">
        <w:rPr>
          <w:rFonts w:asciiTheme="minorHAnsi" w:hAnsiTheme="minorHAnsi" w:cstheme="minorHAnsi"/>
          <w:lang w:val="en-GB"/>
        </w:rPr>
        <w:t xml:space="preserve"> that not all hip fractures were captured</w:t>
      </w:r>
      <w:r w:rsidR="00EF35C8" w:rsidRPr="005B4712">
        <w:rPr>
          <w:rFonts w:asciiTheme="minorHAnsi" w:hAnsiTheme="minorHAnsi" w:cstheme="minorHAnsi"/>
          <w:lang w:val="en-GB"/>
        </w:rPr>
        <w:t>, an effect</w:t>
      </w:r>
      <w:r w:rsidR="002D35D1" w:rsidRPr="005B4712">
        <w:rPr>
          <w:rFonts w:asciiTheme="minorHAnsi" w:hAnsiTheme="minorHAnsi" w:cstheme="minorHAnsi"/>
          <w:lang w:val="en-GB"/>
        </w:rPr>
        <w:t xml:space="preserve"> that</w:t>
      </w:r>
      <w:r w:rsidR="00EF35C8" w:rsidRPr="005B4712">
        <w:rPr>
          <w:rFonts w:asciiTheme="minorHAnsi" w:hAnsiTheme="minorHAnsi" w:cstheme="minorHAnsi"/>
          <w:lang w:val="en-GB"/>
        </w:rPr>
        <w:t xml:space="preserve"> would</w:t>
      </w:r>
      <w:r w:rsidR="002D35D1" w:rsidRPr="005B4712">
        <w:rPr>
          <w:rFonts w:asciiTheme="minorHAnsi" w:hAnsiTheme="minorHAnsi" w:cstheme="minorHAnsi"/>
          <w:lang w:val="en-GB"/>
        </w:rPr>
        <w:t xml:space="preserve"> give rise to a systematic </w:t>
      </w:r>
      <w:r w:rsidR="00FA7809" w:rsidRPr="005B4712">
        <w:rPr>
          <w:rFonts w:asciiTheme="minorHAnsi" w:hAnsiTheme="minorHAnsi" w:cstheme="minorHAnsi"/>
          <w:lang w:val="en-GB"/>
        </w:rPr>
        <w:t xml:space="preserve">underestimate of fracture probabilities both for hip fracture and major osteoporotic </w:t>
      </w:r>
      <w:r w:rsidR="00FA7809" w:rsidRPr="00FB2D10">
        <w:rPr>
          <w:rFonts w:asciiTheme="minorHAnsi" w:hAnsiTheme="minorHAnsi" w:cstheme="minorHAnsi"/>
          <w:lang w:val="en-GB"/>
        </w:rPr>
        <w:t>fracture</w:t>
      </w:r>
      <w:r w:rsidR="00C125D5" w:rsidRPr="00FB2D10">
        <w:rPr>
          <w:rFonts w:asciiTheme="minorHAnsi" w:hAnsiTheme="minorHAnsi" w:cstheme="minorHAnsi"/>
          <w:lang w:val="en-GB"/>
        </w:rPr>
        <w:t xml:space="preserve">. </w:t>
      </w:r>
      <w:r w:rsidRPr="00FB2D10">
        <w:rPr>
          <w:rFonts w:asciiTheme="minorHAnsi" w:hAnsiTheme="minorHAnsi" w:cstheme="minorHAnsi"/>
          <w:lang w:val="en-GB"/>
        </w:rPr>
        <w:t xml:space="preserve"> </w:t>
      </w:r>
      <w:r w:rsidR="00C90A66" w:rsidRPr="00FB2D10">
        <w:rPr>
          <w:rFonts w:asciiTheme="minorHAnsi" w:hAnsiTheme="minorHAnsi" w:cstheme="minorHAnsi"/>
          <w:lang w:val="en-GB"/>
        </w:rPr>
        <w:t>It i</w:t>
      </w:r>
      <w:r w:rsidR="00AE77A1" w:rsidRPr="00FB2D10">
        <w:rPr>
          <w:rFonts w:asciiTheme="minorHAnsi" w:hAnsiTheme="minorHAnsi" w:cstheme="minorHAnsi"/>
          <w:lang w:val="en-GB"/>
        </w:rPr>
        <w:t>s</w:t>
      </w:r>
      <w:r w:rsidR="00C90A66" w:rsidRPr="00FB2D10">
        <w:rPr>
          <w:rFonts w:asciiTheme="minorHAnsi" w:hAnsiTheme="minorHAnsi" w:cstheme="minorHAnsi"/>
          <w:lang w:val="en-GB"/>
        </w:rPr>
        <w:t xml:space="preserve"> relevant</w:t>
      </w:r>
      <w:r w:rsidR="005B4712" w:rsidRPr="00FB2D10">
        <w:rPr>
          <w:rFonts w:asciiTheme="minorHAnsi" w:hAnsiTheme="minorHAnsi" w:cstheme="minorHAnsi"/>
          <w:lang w:val="en-GB"/>
        </w:rPr>
        <w:t>, however</w:t>
      </w:r>
      <w:r w:rsidR="00FB2D10" w:rsidRPr="00FB2D10">
        <w:rPr>
          <w:rFonts w:asciiTheme="minorHAnsi" w:hAnsiTheme="minorHAnsi" w:cstheme="minorHAnsi"/>
          <w:lang w:val="en-GB"/>
        </w:rPr>
        <w:t>,</w:t>
      </w:r>
      <w:r w:rsidR="00C90A66" w:rsidRPr="00FB2D10">
        <w:rPr>
          <w:rFonts w:asciiTheme="minorHAnsi" w:hAnsiTheme="minorHAnsi" w:cstheme="minorHAnsi"/>
          <w:lang w:val="en-GB"/>
        </w:rPr>
        <w:t xml:space="preserve"> that</w:t>
      </w:r>
      <w:r w:rsidR="00C125D5" w:rsidRPr="00FB2D10">
        <w:rPr>
          <w:rFonts w:asciiTheme="minorHAnsi" w:hAnsiTheme="minorHAnsi" w:cstheme="minorHAnsi"/>
          <w:color w:val="131413"/>
          <w:lang w:val="en-GB"/>
        </w:rPr>
        <w:t xml:space="preserve">, accuracy errors have little impact on the rank order with which the FRAX tool categorizes risk in a given </w:t>
      </w:r>
      <w:r w:rsidR="00C125D5" w:rsidRPr="00F04E7A">
        <w:rPr>
          <w:rFonts w:asciiTheme="minorHAnsi" w:hAnsiTheme="minorHAnsi" w:cstheme="minorHAnsi"/>
          <w:color w:val="131413"/>
          <w:lang w:val="en-GB"/>
        </w:rPr>
        <w:t>population</w:t>
      </w:r>
      <w:r w:rsidR="00AE77A1" w:rsidRPr="00F04E7A">
        <w:rPr>
          <w:rFonts w:asciiTheme="minorHAnsi" w:hAnsiTheme="minorHAnsi" w:cstheme="minorHAnsi"/>
          <w:color w:val="131413"/>
          <w:lang w:val="en-GB"/>
        </w:rPr>
        <w:t xml:space="preserve"> [</w:t>
      </w:r>
      <w:r w:rsidR="00191F22" w:rsidRPr="00F04E7A">
        <w:rPr>
          <w:rFonts w:asciiTheme="minorHAnsi" w:hAnsiTheme="minorHAnsi" w:cstheme="minorHAnsi"/>
          <w:color w:val="131413"/>
          <w:lang w:val="en-GB"/>
        </w:rPr>
        <w:t>10</w:t>
      </w:r>
      <w:r w:rsidR="008E4CC4" w:rsidRPr="00F04E7A">
        <w:rPr>
          <w:rFonts w:asciiTheme="minorHAnsi" w:hAnsiTheme="minorHAnsi" w:cstheme="minorHAnsi"/>
          <w:color w:val="131413"/>
          <w:lang w:val="en-GB"/>
        </w:rPr>
        <w:t xml:space="preserve">, </w:t>
      </w:r>
      <w:r w:rsidR="008C64B1" w:rsidRPr="00F04E7A">
        <w:rPr>
          <w:rFonts w:asciiTheme="minorHAnsi" w:hAnsiTheme="minorHAnsi" w:cstheme="minorHAnsi"/>
          <w:color w:val="131413"/>
          <w:lang w:val="en-GB"/>
        </w:rPr>
        <w:t>25</w:t>
      </w:r>
      <w:r w:rsidR="00574A69" w:rsidRPr="00F04E7A">
        <w:rPr>
          <w:rFonts w:asciiTheme="minorHAnsi" w:hAnsiTheme="minorHAnsi" w:cstheme="minorHAnsi"/>
          <w:color w:val="131413"/>
          <w:lang w:val="en-GB"/>
        </w:rPr>
        <w:t xml:space="preserve">, </w:t>
      </w:r>
      <w:r w:rsidR="004D7102">
        <w:rPr>
          <w:rFonts w:asciiTheme="minorHAnsi" w:hAnsiTheme="minorHAnsi" w:cstheme="minorHAnsi"/>
          <w:color w:val="131413"/>
          <w:lang w:val="en-GB"/>
        </w:rPr>
        <w:t>47</w:t>
      </w:r>
      <w:r w:rsidR="00AE77A1" w:rsidRPr="00F04E7A">
        <w:rPr>
          <w:rFonts w:asciiTheme="minorHAnsi" w:hAnsiTheme="minorHAnsi" w:cstheme="minorHAnsi"/>
          <w:color w:val="131413"/>
          <w:lang w:val="en-GB"/>
        </w:rPr>
        <w:t>]</w:t>
      </w:r>
      <w:r w:rsidR="00C125D5" w:rsidRPr="00F04E7A">
        <w:rPr>
          <w:rFonts w:asciiTheme="minorHAnsi" w:hAnsiTheme="minorHAnsi" w:cstheme="minorHAnsi"/>
          <w:color w:val="131413"/>
          <w:lang w:val="en-GB"/>
        </w:rPr>
        <w:t xml:space="preserve"> but</w:t>
      </w:r>
      <w:r w:rsidR="00C125D5" w:rsidRPr="008E2A29">
        <w:rPr>
          <w:rFonts w:asciiTheme="minorHAnsi" w:hAnsiTheme="minorHAnsi" w:cstheme="minorHAnsi"/>
          <w:color w:val="131413"/>
          <w:lang w:val="en-GB"/>
        </w:rPr>
        <w:t xml:space="preserve"> they do</w:t>
      </w:r>
      <w:r w:rsidR="00C125D5" w:rsidRPr="00FB2D10">
        <w:rPr>
          <w:rFonts w:asciiTheme="minorHAnsi" w:hAnsiTheme="minorHAnsi" w:cstheme="minorHAnsi"/>
          <w:color w:val="131413"/>
          <w:lang w:val="en-GB"/>
        </w:rPr>
        <w:t xml:space="preserve"> change the absolute number generated and thus have implications where treatment guidelines are based on cost-effectiveness or the economic burden of disease.</w:t>
      </w:r>
      <w:r w:rsidR="00962FF0" w:rsidRPr="00FB2D10">
        <w:rPr>
          <w:rFonts w:asciiTheme="minorHAnsi" w:hAnsiTheme="minorHAnsi" w:cstheme="minorHAnsi"/>
          <w:color w:val="131413"/>
          <w:lang w:val="en-GB"/>
        </w:rPr>
        <w:t xml:space="preserve"> </w:t>
      </w:r>
    </w:p>
    <w:p w14:paraId="03AF833A" w14:textId="7A44E53F" w:rsidR="00A71745" w:rsidRPr="008F6A8A" w:rsidRDefault="00F33E11" w:rsidP="0030661D">
      <w:pPr>
        <w:spacing w:after="200" w:line="276" w:lineRule="auto"/>
        <w:ind w:left="567" w:right="1275"/>
        <w:rPr>
          <w:rFonts w:asciiTheme="minorHAnsi" w:hAnsiTheme="minorHAnsi" w:cstheme="minorHAnsi"/>
          <w:color w:val="000000"/>
          <w:shd w:val="clear" w:color="auto" w:fill="FFFFFF"/>
          <w:lang w:val="en-GB"/>
        </w:rPr>
      </w:pPr>
      <w:r w:rsidRPr="008F6A8A">
        <w:rPr>
          <w:rFonts w:asciiTheme="minorHAnsi" w:hAnsiTheme="minorHAnsi" w:cstheme="minorHAnsi"/>
          <w:lang w:val="en-GB"/>
        </w:rPr>
        <w:t xml:space="preserve">In summary, </w:t>
      </w:r>
      <w:r w:rsidR="0009472B" w:rsidRPr="008F6A8A">
        <w:rPr>
          <w:rFonts w:asciiTheme="minorHAnsi" w:hAnsiTheme="minorHAnsi" w:cstheme="minorHAnsi"/>
          <w:lang w:val="en-GB"/>
        </w:rPr>
        <w:t>a</w:t>
      </w:r>
      <w:r w:rsidRPr="008F6A8A">
        <w:rPr>
          <w:rFonts w:asciiTheme="minorHAnsi" w:hAnsiTheme="minorHAnsi" w:cstheme="minorHAnsi"/>
          <w:lang w:val="en-GB"/>
        </w:rPr>
        <w:t xml:space="preserve"> FRAX model has been created</w:t>
      </w:r>
      <w:r w:rsidR="002D79C4" w:rsidRPr="008F6A8A">
        <w:rPr>
          <w:rFonts w:asciiTheme="minorHAnsi" w:hAnsiTheme="minorHAnsi" w:cstheme="minorHAnsi"/>
          <w:lang w:val="en-GB"/>
        </w:rPr>
        <w:t xml:space="preserve"> </w:t>
      </w:r>
      <w:r w:rsidRPr="008F6A8A">
        <w:rPr>
          <w:rFonts w:asciiTheme="minorHAnsi" w:hAnsiTheme="minorHAnsi" w:cstheme="minorHAnsi"/>
          <w:lang w:val="en-GB"/>
        </w:rPr>
        <w:t xml:space="preserve">for the Republic of </w:t>
      </w:r>
      <w:r w:rsidR="00FB2D10" w:rsidRPr="008F6A8A">
        <w:rPr>
          <w:rFonts w:asciiTheme="minorHAnsi" w:hAnsiTheme="minorHAnsi" w:cstheme="minorHAnsi"/>
          <w:lang w:val="en-GB"/>
        </w:rPr>
        <w:t>K</w:t>
      </w:r>
      <w:r w:rsidR="00855320" w:rsidRPr="008F6A8A">
        <w:rPr>
          <w:rFonts w:asciiTheme="minorHAnsi" w:hAnsiTheme="minorHAnsi" w:cstheme="minorHAnsi"/>
          <w:lang w:val="en-GB"/>
        </w:rPr>
        <w:t>azakhstan</w:t>
      </w:r>
      <w:r w:rsidRPr="008F6A8A">
        <w:rPr>
          <w:rFonts w:asciiTheme="minorHAnsi" w:hAnsiTheme="minorHAnsi" w:cstheme="minorHAnsi"/>
          <w:lang w:val="en-GB"/>
        </w:rPr>
        <w:t xml:space="preserve"> that based on a regional po</w:t>
      </w:r>
      <w:r w:rsidR="00924750" w:rsidRPr="008F6A8A">
        <w:rPr>
          <w:rFonts w:asciiTheme="minorHAnsi" w:hAnsiTheme="minorHAnsi" w:cstheme="minorHAnsi"/>
          <w:lang w:val="en-GB"/>
        </w:rPr>
        <w:t xml:space="preserve">pulation-based estimate of </w:t>
      </w:r>
      <w:r w:rsidR="00A8718A" w:rsidRPr="008F6A8A">
        <w:rPr>
          <w:rFonts w:asciiTheme="minorHAnsi" w:hAnsiTheme="minorHAnsi" w:cstheme="minorHAnsi"/>
          <w:lang w:val="en-GB"/>
        </w:rPr>
        <w:t xml:space="preserve">the incidence of </w:t>
      </w:r>
      <w:r w:rsidRPr="008F6A8A">
        <w:rPr>
          <w:rFonts w:asciiTheme="minorHAnsi" w:hAnsiTheme="minorHAnsi" w:cstheme="minorHAnsi"/>
          <w:lang w:val="en-GB"/>
        </w:rPr>
        <w:t>hip fracture. Th</w:t>
      </w:r>
      <w:r w:rsidR="00A8718A" w:rsidRPr="008F6A8A">
        <w:rPr>
          <w:rFonts w:asciiTheme="minorHAnsi" w:hAnsiTheme="minorHAnsi" w:cstheme="minorHAnsi"/>
          <w:lang w:val="en-GB"/>
        </w:rPr>
        <w:t>e</w:t>
      </w:r>
      <w:r w:rsidRPr="008F6A8A">
        <w:rPr>
          <w:rFonts w:asciiTheme="minorHAnsi" w:hAnsiTheme="minorHAnsi" w:cstheme="minorHAnsi"/>
          <w:lang w:val="en-GB"/>
        </w:rPr>
        <w:t xml:space="preserve"> model should enhance accuracy of determining fracture probability among the </w:t>
      </w:r>
      <w:r w:rsidR="00855320" w:rsidRPr="008F6A8A">
        <w:rPr>
          <w:rFonts w:asciiTheme="minorHAnsi" w:hAnsiTheme="minorHAnsi" w:cstheme="minorHAnsi"/>
          <w:lang w:val="en-GB"/>
        </w:rPr>
        <w:t>Kaza</w:t>
      </w:r>
      <w:r w:rsidR="008F6A8A" w:rsidRPr="008F6A8A">
        <w:rPr>
          <w:rFonts w:asciiTheme="minorHAnsi" w:hAnsiTheme="minorHAnsi" w:cstheme="minorHAnsi"/>
          <w:lang w:val="en-GB"/>
        </w:rPr>
        <w:t>kh</w:t>
      </w:r>
      <w:r w:rsidRPr="008F6A8A">
        <w:rPr>
          <w:rFonts w:asciiTheme="minorHAnsi" w:hAnsiTheme="minorHAnsi" w:cstheme="minorHAnsi"/>
          <w:lang w:val="en-GB"/>
        </w:rPr>
        <w:t xml:space="preserve"> population and help to guide decisions about treatment.</w:t>
      </w:r>
      <w:r w:rsidR="002D79C4" w:rsidRPr="008F6A8A">
        <w:rPr>
          <w:rFonts w:asciiTheme="minorHAnsi" w:hAnsiTheme="minorHAnsi" w:cstheme="minorHAnsi"/>
          <w:color w:val="000000"/>
          <w:shd w:val="clear" w:color="auto" w:fill="FFFFFF"/>
          <w:lang w:val="en-GB"/>
        </w:rPr>
        <w:t xml:space="preserve"> </w:t>
      </w:r>
    </w:p>
    <w:p w14:paraId="7F49F8D8" w14:textId="77777777" w:rsidR="00C239B2" w:rsidRPr="00A81361" w:rsidRDefault="00C239B2" w:rsidP="0030661D">
      <w:pPr>
        <w:keepNext/>
        <w:keepLines/>
        <w:spacing w:before="200" w:line="276" w:lineRule="auto"/>
        <w:ind w:left="567" w:right="1275"/>
        <w:outlineLvl w:val="1"/>
        <w:rPr>
          <w:rFonts w:asciiTheme="minorHAnsi" w:hAnsiTheme="minorHAnsi" w:cstheme="minorHAnsi"/>
          <w:b/>
          <w:bCs/>
          <w:color w:val="000000"/>
          <w:lang w:val="en-GB"/>
        </w:rPr>
      </w:pPr>
      <w:r w:rsidRPr="008F6A8A">
        <w:rPr>
          <w:rFonts w:asciiTheme="minorHAnsi" w:hAnsiTheme="minorHAnsi" w:cstheme="minorHAnsi"/>
          <w:b/>
          <w:bCs/>
          <w:color w:val="000000"/>
          <w:lang w:val="en-GB"/>
        </w:rPr>
        <w:t>Acknowledgements</w:t>
      </w:r>
    </w:p>
    <w:p w14:paraId="53DC8030" w14:textId="460702DD" w:rsidR="00C239B2" w:rsidRPr="00A81361" w:rsidRDefault="003D16AA" w:rsidP="0030661D">
      <w:pPr>
        <w:spacing w:line="276" w:lineRule="auto"/>
        <w:ind w:left="567" w:right="1275"/>
        <w:rPr>
          <w:rFonts w:asciiTheme="minorHAnsi" w:hAnsiTheme="minorHAnsi" w:cstheme="minorHAnsi"/>
          <w:lang w:val="en-GB"/>
        </w:rPr>
      </w:pPr>
      <w:r w:rsidRPr="003D16AA">
        <w:rPr>
          <w:rFonts w:asciiTheme="minorHAnsi" w:hAnsiTheme="minorHAnsi" w:cstheme="minorHAnsi"/>
          <w:lang w:val="en-GB"/>
        </w:rPr>
        <w:t>The authors thank Dr. Anarbek Mongol (Сhief traumatologist of Almaty Region, Taldykorgan city Hospital), Dr. Toleukhanova L.O., Dr. Shumilova A.G. (Taldykorgan city polyclinic № 1), Dr. Kraisman V.A.,  Dr. Aikulov K.K. (“Nur-Avicenum” Clinic), Zhanabekova I.G. (Taldykorgan city polyclinic № 2), Kalibekov A.T. (Regional Hospital of Taldykorgan city), Dr. Kanatuly A. (“Hak Medical” Clinic) and Almaty Region Department of Health care for their administrative assistance in performing of this study</w:t>
      </w:r>
      <w:r w:rsidR="00F40F4B">
        <w:rPr>
          <w:rFonts w:asciiTheme="minorHAnsi" w:hAnsiTheme="minorHAnsi" w:cstheme="minorHAnsi"/>
          <w:lang w:val="en-GB"/>
        </w:rPr>
        <w:t xml:space="preserve">.  The EVA project was </w:t>
      </w:r>
      <w:r w:rsidR="00C27E1C" w:rsidRPr="00A81361">
        <w:rPr>
          <w:rFonts w:asciiTheme="minorHAnsi" w:hAnsiTheme="minorHAnsi" w:cstheme="minorHAnsi"/>
          <w:lang w:val="en-GB"/>
        </w:rPr>
        <w:t xml:space="preserve">supported by </w:t>
      </w:r>
      <w:r w:rsidR="00131DB0">
        <w:rPr>
          <w:rFonts w:asciiTheme="minorHAnsi" w:hAnsiTheme="minorHAnsi" w:cstheme="minorHAnsi"/>
          <w:lang w:val="en-GB"/>
        </w:rPr>
        <w:t xml:space="preserve">the </w:t>
      </w:r>
      <w:r w:rsidR="00C27E1C" w:rsidRPr="00A81361">
        <w:rPr>
          <w:rFonts w:asciiTheme="minorHAnsi" w:hAnsiTheme="minorHAnsi" w:cstheme="minorHAnsi"/>
          <w:lang w:val="en-GB"/>
        </w:rPr>
        <w:t>International Osteoporosis Foundation</w:t>
      </w:r>
      <w:r w:rsidR="00131DB0">
        <w:rPr>
          <w:rFonts w:asciiTheme="minorHAnsi" w:hAnsiTheme="minorHAnsi" w:cstheme="minorHAnsi"/>
          <w:lang w:val="en-GB"/>
        </w:rPr>
        <w:t xml:space="preserve"> (Epidemiology and </w:t>
      </w:r>
      <w:r w:rsidR="00B80820">
        <w:rPr>
          <w:rFonts w:asciiTheme="minorHAnsi" w:hAnsiTheme="minorHAnsi" w:cstheme="minorHAnsi"/>
          <w:lang w:val="en-GB"/>
        </w:rPr>
        <w:t>quality of life working group).</w:t>
      </w:r>
      <w:r w:rsidR="00710FB8" w:rsidRPr="00A81361">
        <w:rPr>
          <w:rFonts w:asciiTheme="minorHAnsi" w:hAnsiTheme="minorHAnsi" w:cstheme="minorHAnsi"/>
          <w:lang w:val="en-GB"/>
        </w:rPr>
        <w:t xml:space="preserve"> </w:t>
      </w:r>
    </w:p>
    <w:p w14:paraId="4D2E85E2" w14:textId="77777777" w:rsidR="00C239B2" w:rsidRPr="00A81361" w:rsidRDefault="00C239B2" w:rsidP="0030661D">
      <w:pPr>
        <w:keepNext/>
        <w:keepLines/>
        <w:spacing w:before="200" w:line="276" w:lineRule="auto"/>
        <w:ind w:left="567" w:right="1275"/>
        <w:outlineLvl w:val="1"/>
        <w:rPr>
          <w:rFonts w:asciiTheme="minorHAnsi" w:hAnsiTheme="minorHAnsi" w:cstheme="minorHAnsi"/>
          <w:b/>
          <w:bCs/>
          <w:color w:val="000000"/>
          <w:lang w:val="en-GB"/>
        </w:rPr>
      </w:pPr>
      <w:r w:rsidRPr="00A81361">
        <w:rPr>
          <w:rFonts w:asciiTheme="minorHAnsi" w:hAnsiTheme="minorHAnsi" w:cstheme="minorHAnsi"/>
          <w:b/>
          <w:bCs/>
          <w:color w:val="000000"/>
          <w:lang w:val="en-GB"/>
        </w:rPr>
        <w:t>Compliance with ethical standards</w:t>
      </w:r>
    </w:p>
    <w:p w14:paraId="0CD2FDC8" w14:textId="77777777" w:rsidR="00C239B2" w:rsidRPr="00A81361" w:rsidRDefault="00C239B2" w:rsidP="0030661D">
      <w:pPr>
        <w:spacing w:line="276" w:lineRule="auto"/>
        <w:ind w:left="567" w:right="1275"/>
        <w:rPr>
          <w:rFonts w:asciiTheme="minorHAnsi" w:hAnsiTheme="minorHAnsi" w:cstheme="minorHAnsi"/>
          <w:b/>
          <w:bCs/>
          <w:lang w:val="en-GB"/>
        </w:rPr>
      </w:pPr>
      <w:r w:rsidRPr="00A81361">
        <w:rPr>
          <w:rFonts w:asciiTheme="minorHAnsi" w:hAnsiTheme="minorHAnsi" w:cstheme="minorHAnsi"/>
          <w:shd w:val="clear" w:color="auto" w:fill="FFFFFF"/>
          <w:lang w:val="en-GB"/>
        </w:rPr>
        <w:t>All procedures performed in studies involving human participants were conducted in accordance with the ethical standards of the institutional and national research committee and with the 1964 Helsinki Declaration and its later amendments or compatible ethical standards.</w:t>
      </w:r>
    </w:p>
    <w:p w14:paraId="155E8A7F" w14:textId="74E9C431" w:rsidR="00C239B2" w:rsidRDefault="00C239B2" w:rsidP="0030661D">
      <w:pPr>
        <w:keepNext/>
        <w:keepLines/>
        <w:spacing w:before="200" w:line="276" w:lineRule="auto"/>
        <w:ind w:left="567" w:right="1275"/>
        <w:outlineLvl w:val="1"/>
        <w:rPr>
          <w:rFonts w:asciiTheme="minorHAnsi" w:hAnsiTheme="minorHAnsi" w:cstheme="minorHAnsi"/>
          <w:b/>
          <w:bCs/>
          <w:color w:val="000000"/>
          <w:lang w:val="en-GB"/>
        </w:rPr>
      </w:pPr>
      <w:r w:rsidRPr="00A81361">
        <w:rPr>
          <w:rFonts w:asciiTheme="minorHAnsi" w:hAnsiTheme="minorHAnsi" w:cstheme="minorHAnsi"/>
          <w:b/>
          <w:bCs/>
          <w:color w:val="000000"/>
          <w:lang w:val="en-GB"/>
        </w:rPr>
        <w:t>Conflict of Interest</w:t>
      </w:r>
    </w:p>
    <w:p w14:paraId="66F3DD63" w14:textId="14A237F4" w:rsidR="00C239B2" w:rsidRPr="00A81361" w:rsidRDefault="00C53BDD" w:rsidP="00D33935">
      <w:pPr>
        <w:keepNext/>
        <w:keepLines/>
        <w:spacing w:before="200" w:line="276" w:lineRule="auto"/>
        <w:ind w:left="567" w:right="1275"/>
        <w:outlineLvl w:val="1"/>
        <w:rPr>
          <w:rFonts w:asciiTheme="minorHAnsi" w:hAnsiTheme="minorHAnsi" w:cstheme="minorHAnsi"/>
          <w:lang w:val="en-GB"/>
        </w:rPr>
      </w:pPr>
      <w:r w:rsidRPr="00C53BDD">
        <w:rPr>
          <w:rFonts w:asciiTheme="minorHAnsi" w:hAnsiTheme="minorHAnsi" w:cstheme="minorHAnsi"/>
          <w:color w:val="000000"/>
          <w:lang w:val="en-GB"/>
        </w:rPr>
        <w:t xml:space="preserve">S. Issayeva, O. Lesnyak, A. Zakroyeva, B. Issayeva, D. Dilmanova, H. Johansson, E Liu, M Lorentzon, N.C. Harvey, E. </w:t>
      </w:r>
      <w:r w:rsidRPr="000A26D6">
        <w:rPr>
          <w:rFonts w:asciiTheme="minorHAnsi" w:hAnsiTheme="minorHAnsi" w:cstheme="minorHAnsi"/>
          <w:color w:val="000000"/>
          <w:lang w:val="en-GB"/>
        </w:rPr>
        <w:t>McCloskey</w:t>
      </w:r>
      <w:r w:rsidR="0067328A" w:rsidRPr="000A26D6">
        <w:rPr>
          <w:rFonts w:asciiTheme="minorHAnsi" w:hAnsiTheme="minorHAnsi" w:cstheme="minorHAnsi"/>
          <w:color w:val="000000"/>
          <w:lang w:val="en-GB"/>
        </w:rPr>
        <w:t xml:space="preserve"> and </w:t>
      </w:r>
      <w:r w:rsidRPr="000A26D6">
        <w:rPr>
          <w:rFonts w:asciiTheme="minorHAnsi" w:hAnsiTheme="minorHAnsi" w:cstheme="minorHAnsi"/>
          <w:color w:val="000000"/>
          <w:lang w:val="en-GB"/>
        </w:rPr>
        <w:t>J.A. Kanis</w:t>
      </w:r>
      <w:r w:rsidR="00D33935" w:rsidRPr="000A26D6">
        <w:rPr>
          <w:rFonts w:asciiTheme="minorHAnsi" w:hAnsiTheme="minorHAnsi" w:cstheme="minorHAnsi"/>
          <w:color w:val="000000"/>
          <w:lang w:val="en-GB"/>
        </w:rPr>
        <w:t xml:space="preserve"> </w:t>
      </w:r>
      <w:r w:rsidR="00C239B2" w:rsidRPr="000A26D6">
        <w:rPr>
          <w:rFonts w:asciiTheme="minorHAnsi" w:hAnsiTheme="minorHAnsi" w:cstheme="minorHAnsi"/>
          <w:lang w:val="en-GB"/>
        </w:rPr>
        <w:t>declare that they have no competing interests in relation to this paper. HJ, EM, NCH</w:t>
      </w:r>
      <w:r w:rsidR="000A26D6" w:rsidRPr="000A26D6">
        <w:rPr>
          <w:rFonts w:asciiTheme="minorHAnsi" w:hAnsiTheme="minorHAnsi" w:cstheme="minorHAnsi"/>
          <w:lang w:val="en-GB"/>
        </w:rPr>
        <w:t>, and</w:t>
      </w:r>
      <w:r w:rsidR="00C239B2" w:rsidRPr="000A26D6">
        <w:rPr>
          <w:rFonts w:asciiTheme="minorHAnsi" w:hAnsiTheme="minorHAnsi" w:cstheme="minorHAnsi"/>
          <w:lang w:val="en-GB"/>
        </w:rPr>
        <w:t xml:space="preserve"> JAK are the architects of FRAX but have no financial interest.</w:t>
      </w:r>
    </w:p>
    <w:p w14:paraId="4CF87D32" w14:textId="77777777" w:rsidR="000A26D6" w:rsidRDefault="000A26D6" w:rsidP="0030661D">
      <w:pPr>
        <w:keepNext/>
        <w:keepLines/>
        <w:spacing w:before="200" w:line="276" w:lineRule="auto"/>
        <w:ind w:left="567" w:right="1275"/>
        <w:outlineLvl w:val="1"/>
        <w:rPr>
          <w:rFonts w:asciiTheme="minorHAnsi" w:hAnsiTheme="minorHAnsi" w:cstheme="minorHAnsi"/>
          <w:b/>
          <w:bCs/>
          <w:color w:val="000000"/>
          <w:lang w:val="en-GB"/>
        </w:rPr>
      </w:pPr>
    </w:p>
    <w:p w14:paraId="34810219" w14:textId="2E494C15" w:rsidR="00C239B2" w:rsidRPr="00A81361" w:rsidRDefault="00C239B2" w:rsidP="0030661D">
      <w:pPr>
        <w:keepNext/>
        <w:keepLines/>
        <w:spacing w:before="200" w:line="276" w:lineRule="auto"/>
        <w:ind w:left="567" w:right="1275"/>
        <w:outlineLvl w:val="1"/>
        <w:rPr>
          <w:rFonts w:asciiTheme="minorHAnsi" w:hAnsiTheme="minorHAnsi" w:cstheme="minorHAnsi"/>
          <w:b/>
          <w:bCs/>
          <w:color w:val="000000"/>
          <w:lang w:val="en-GB"/>
        </w:rPr>
      </w:pPr>
      <w:r w:rsidRPr="00A81361">
        <w:rPr>
          <w:rFonts w:asciiTheme="minorHAnsi" w:hAnsiTheme="minorHAnsi" w:cstheme="minorHAnsi"/>
          <w:b/>
          <w:bCs/>
          <w:color w:val="000000"/>
          <w:lang w:val="en-GB"/>
        </w:rPr>
        <w:t>Funding sources</w:t>
      </w:r>
    </w:p>
    <w:p w14:paraId="5CBD873C" w14:textId="5668CFEF" w:rsidR="001B58B1" w:rsidRPr="00A81361" w:rsidRDefault="00C239B2" w:rsidP="0030661D">
      <w:pPr>
        <w:spacing w:line="276" w:lineRule="auto"/>
        <w:ind w:left="567" w:right="1275"/>
        <w:rPr>
          <w:rFonts w:asciiTheme="minorHAnsi" w:hAnsiTheme="minorHAnsi" w:cstheme="minorHAnsi"/>
          <w:lang w:val="en-GB"/>
        </w:rPr>
      </w:pPr>
      <w:r w:rsidRPr="000141AE">
        <w:rPr>
          <w:rFonts w:asciiTheme="minorHAnsi" w:hAnsiTheme="minorHAnsi" w:cstheme="minorHAnsi"/>
          <w:lang w:val="en-GB"/>
        </w:rPr>
        <w:t>The project did not receive specific funding. Servier, however, is acknowledged in helping with organization of the EVA project; ‘Epidemiology of osteoporotic fractures in Eurasian counties’ study (EVA or ЭВА, in Russian), of which this</w:t>
      </w:r>
      <w:r w:rsidR="000141AE" w:rsidRPr="000141AE">
        <w:rPr>
          <w:rFonts w:asciiTheme="minorHAnsi" w:hAnsiTheme="minorHAnsi" w:cstheme="minorHAnsi"/>
          <w:lang w:val="en-GB"/>
        </w:rPr>
        <w:t xml:space="preserve"> paper</w:t>
      </w:r>
      <w:r w:rsidRPr="000141AE">
        <w:rPr>
          <w:rFonts w:asciiTheme="minorHAnsi" w:hAnsiTheme="minorHAnsi" w:cstheme="minorHAnsi"/>
          <w:lang w:val="en-GB"/>
        </w:rPr>
        <w:t xml:space="preserve"> is one of the outcomes.</w:t>
      </w:r>
    </w:p>
    <w:p w14:paraId="29D4B2C8" w14:textId="5FDB59BA" w:rsidR="00CE4DCC" w:rsidRPr="00A81361" w:rsidRDefault="00CE4DCC" w:rsidP="0030661D">
      <w:pPr>
        <w:spacing w:line="276" w:lineRule="auto"/>
        <w:ind w:left="567" w:right="1275"/>
        <w:rPr>
          <w:rFonts w:asciiTheme="minorHAnsi" w:hAnsiTheme="minorHAnsi" w:cstheme="minorHAnsi"/>
          <w:lang w:val="en-GB"/>
        </w:rPr>
      </w:pPr>
    </w:p>
    <w:p w14:paraId="7D0E21D0" w14:textId="34D6649B" w:rsidR="00CE4DCC" w:rsidRDefault="00CE4DCC" w:rsidP="0030661D">
      <w:pPr>
        <w:spacing w:line="276" w:lineRule="auto"/>
        <w:ind w:left="567" w:right="1275"/>
        <w:rPr>
          <w:rFonts w:asciiTheme="minorHAnsi" w:hAnsiTheme="minorHAnsi" w:cstheme="minorHAnsi"/>
          <w:b/>
          <w:lang w:val="en-GB"/>
        </w:rPr>
      </w:pPr>
      <w:r w:rsidRPr="00A81361">
        <w:rPr>
          <w:rFonts w:asciiTheme="minorHAnsi" w:hAnsiTheme="minorHAnsi" w:cstheme="minorHAnsi"/>
          <w:b/>
          <w:lang w:val="en-GB"/>
        </w:rPr>
        <w:t>References</w:t>
      </w:r>
    </w:p>
    <w:p w14:paraId="1FDE5591" w14:textId="77777777" w:rsidR="001D7200" w:rsidRPr="00A81361" w:rsidRDefault="001D7200" w:rsidP="0030661D">
      <w:pPr>
        <w:spacing w:line="276" w:lineRule="auto"/>
        <w:ind w:left="567" w:right="1275"/>
        <w:rPr>
          <w:rFonts w:asciiTheme="minorHAnsi" w:hAnsiTheme="minorHAnsi" w:cstheme="minorHAnsi"/>
          <w:b/>
          <w:lang w:val="en-GB"/>
        </w:rPr>
      </w:pPr>
    </w:p>
    <w:tbl>
      <w:tblPr>
        <w:tblStyle w:val="TableGrid4"/>
        <w:tblW w:w="8165" w:type="dxa"/>
        <w:tblInd w:w="562" w:type="dxa"/>
        <w:tblLayout w:type="fixed"/>
        <w:tblLook w:val="04A0" w:firstRow="1" w:lastRow="0" w:firstColumn="1" w:lastColumn="0" w:noHBand="0" w:noVBand="1"/>
      </w:tblPr>
      <w:tblGrid>
        <w:gridCol w:w="567"/>
        <w:gridCol w:w="7598"/>
      </w:tblGrid>
      <w:tr w:rsidR="00973F27" w:rsidRPr="00D10C97" w14:paraId="62B0F3DC" w14:textId="77777777" w:rsidTr="00973F27">
        <w:tc>
          <w:tcPr>
            <w:tcW w:w="567" w:type="dxa"/>
            <w:tcBorders>
              <w:top w:val="nil"/>
              <w:left w:val="nil"/>
              <w:bottom w:val="nil"/>
              <w:right w:val="nil"/>
            </w:tcBorders>
          </w:tcPr>
          <w:p w14:paraId="60F7E46A" w14:textId="4543A2F1"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1.</w:t>
            </w:r>
          </w:p>
        </w:tc>
        <w:tc>
          <w:tcPr>
            <w:tcW w:w="7598" w:type="dxa"/>
            <w:tcBorders>
              <w:top w:val="nil"/>
              <w:left w:val="nil"/>
              <w:bottom w:val="nil"/>
              <w:right w:val="nil"/>
            </w:tcBorders>
          </w:tcPr>
          <w:p w14:paraId="284463AF"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Hernlund E, Svedbom A, Ivergård M Compston J, Cooper C, Stenmark J, McCloskey EV, Jönsson B, Kanis JA (2013) Osteoporosis in the European Union: Medical Management, Epidemiology and Economic Burden. A report prepared in collaboration with the International Osteoporosis Foundation (IOF) and the European Federation of Pharmaceutical Industry Associations (EFPIA). Archives of Osteoporosis 8:136.</w:t>
            </w:r>
          </w:p>
        </w:tc>
      </w:tr>
      <w:tr w:rsidR="00973F27" w:rsidRPr="00D10C97" w14:paraId="15313B2C" w14:textId="77777777" w:rsidTr="00973F27">
        <w:tc>
          <w:tcPr>
            <w:tcW w:w="567" w:type="dxa"/>
            <w:tcBorders>
              <w:top w:val="nil"/>
              <w:left w:val="nil"/>
              <w:bottom w:val="nil"/>
              <w:right w:val="nil"/>
            </w:tcBorders>
          </w:tcPr>
          <w:p w14:paraId="58CBB0F4" w14:textId="4ECEC7CC"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2.</w:t>
            </w:r>
          </w:p>
        </w:tc>
        <w:tc>
          <w:tcPr>
            <w:tcW w:w="7598" w:type="dxa"/>
            <w:tcBorders>
              <w:top w:val="nil"/>
              <w:left w:val="nil"/>
              <w:bottom w:val="nil"/>
              <w:right w:val="nil"/>
            </w:tcBorders>
          </w:tcPr>
          <w:p w14:paraId="4068F2A3"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Johnell O and Kanis JA (2006) An estimate of the worldwide prevalence and disability associated with osteoporotic fractures. Osteoporos Int 17:1726-33.</w:t>
            </w:r>
          </w:p>
        </w:tc>
      </w:tr>
      <w:tr w:rsidR="00973F27" w:rsidRPr="00D10C97" w14:paraId="2FCB8FF1" w14:textId="77777777" w:rsidTr="00973F27">
        <w:tc>
          <w:tcPr>
            <w:tcW w:w="567" w:type="dxa"/>
            <w:tcBorders>
              <w:top w:val="nil"/>
              <w:left w:val="nil"/>
              <w:bottom w:val="nil"/>
              <w:right w:val="nil"/>
            </w:tcBorders>
          </w:tcPr>
          <w:p w14:paraId="5A7976C4" w14:textId="6DD3CB8D"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3.</w:t>
            </w:r>
          </w:p>
        </w:tc>
        <w:tc>
          <w:tcPr>
            <w:tcW w:w="7598" w:type="dxa"/>
            <w:tcBorders>
              <w:top w:val="nil"/>
              <w:left w:val="nil"/>
              <w:bottom w:val="nil"/>
              <w:right w:val="nil"/>
            </w:tcBorders>
          </w:tcPr>
          <w:p w14:paraId="023E6C40"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 xml:space="preserve">Kanis JA, Cooper C, Rizzoli R, Reginster J-Y;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 Int 30: 3-44.   </w:t>
            </w:r>
          </w:p>
        </w:tc>
      </w:tr>
      <w:tr w:rsidR="00973F27" w:rsidRPr="00D10C97" w14:paraId="1AAA995F" w14:textId="77777777" w:rsidTr="00973F27">
        <w:tc>
          <w:tcPr>
            <w:tcW w:w="567" w:type="dxa"/>
            <w:tcBorders>
              <w:top w:val="nil"/>
              <w:left w:val="nil"/>
              <w:bottom w:val="nil"/>
              <w:right w:val="nil"/>
            </w:tcBorders>
            <w:shd w:val="clear" w:color="auto" w:fill="auto"/>
          </w:tcPr>
          <w:p w14:paraId="3DBF2F92" w14:textId="7134D662"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4.</w:t>
            </w:r>
          </w:p>
        </w:tc>
        <w:tc>
          <w:tcPr>
            <w:tcW w:w="7598" w:type="dxa"/>
            <w:tcBorders>
              <w:top w:val="nil"/>
              <w:left w:val="nil"/>
              <w:bottom w:val="nil"/>
              <w:right w:val="nil"/>
            </w:tcBorders>
            <w:shd w:val="clear" w:color="auto" w:fill="auto"/>
          </w:tcPr>
          <w:p w14:paraId="22D32E79"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 xml:space="preserve">Kanis JA on behalf of the World Health Organization Scientific Group (2008a) Assessment of osteoporosis at the primary healthcare level. Technical Report. WHO Collaborating Centre, University of Sheffield, UK. Available at . </w:t>
            </w:r>
            <w:hyperlink r:id="rId10" w:history="1">
              <w:r w:rsidRPr="00D10C97">
                <w:rPr>
                  <w:rFonts w:ascii="Calibri" w:eastAsia="Calibri" w:hAnsi="Calibri"/>
                  <w:color w:val="0563C1"/>
                  <w:sz w:val="22"/>
                  <w:szCs w:val="22"/>
                  <w:u w:val="single"/>
                  <w:lang w:eastAsia="en-US"/>
                </w:rPr>
                <w:t>http://www.shef.ac.uk/FRAX/pdfs/WHO_Technical_Report.pdf</w:t>
              </w:r>
            </w:hyperlink>
            <w:r w:rsidRPr="00D10C97">
              <w:rPr>
                <w:rFonts w:ascii="Calibri" w:eastAsia="Calibri" w:hAnsi="Calibri"/>
                <w:sz w:val="22"/>
                <w:szCs w:val="22"/>
                <w:lang w:eastAsia="en-US"/>
              </w:rPr>
              <w:t>. Accessed 26 Feb 2019</w:t>
            </w:r>
          </w:p>
        </w:tc>
      </w:tr>
      <w:tr w:rsidR="00973F27" w:rsidRPr="00D10C97" w14:paraId="61E647F4" w14:textId="77777777" w:rsidTr="00973F27">
        <w:tc>
          <w:tcPr>
            <w:tcW w:w="567" w:type="dxa"/>
            <w:tcBorders>
              <w:top w:val="nil"/>
              <w:left w:val="nil"/>
              <w:bottom w:val="nil"/>
              <w:right w:val="nil"/>
            </w:tcBorders>
            <w:shd w:val="clear" w:color="auto" w:fill="auto"/>
          </w:tcPr>
          <w:p w14:paraId="2BDDA6FD" w14:textId="131158AD"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5.</w:t>
            </w:r>
          </w:p>
        </w:tc>
        <w:tc>
          <w:tcPr>
            <w:tcW w:w="7598" w:type="dxa"/>
            <w:tcBorders>
              <w:top w:val="nil"/>
              <w:left w:val="nil"/>
              <w:bottom w:val="nil"/>
              <w:right w:val="nil"/>
            </w:tcBorders>
            <w:shd w:val="clear" w:color="auto" w:fill="auto"/>
          </w:tcPr>
          <w:p w14:paraId="1E5FF27C"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Kanis JA, Johnell O, Oden A, Johansson H, McCloskey E (2008a) FRAX™ and the assessment of fracture probability in men and women from the UK. Osteoporos Int 19: 385-397</w:t>
            </w:r>
          </w:p>
        </w:tc>
      </w:tr>
      <w:tr w:rsidR="00973F27" w:rsidRPr="00D10C97" w14:paraId="3A26F5CF" w14:textId="77777777" w:rsidTr="00973F27">
        <w:tc>
          <w:tcPr>
            <w:tcW w:w="567" w:type="dxa"/>
            <w:tcBorders>
              <w:top w:val="nil"/>
              <w:left w:val="nil"/>
              <w:bottom w:val="nil"/>
              <w:right w:val="nil"/>
            </w:tcBorders>
            <w:shd w:val="clear" w:color="auto" w:fill="auto"/>
          </w:tcPr>
          <w:p w14:paraId="7C15FB80" w14:textId="1B83AE0E"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6.</w:t>
            </w:r>
          </w:p>
        </w:tc>
        <w:tc>
          <w:tcPr>
            <w:tcW w:w="7598" w:type="dxa"/>
            <w:tcBorders>
              <w:top w:val="nil"/>
              <w:left w:val="nil"/>
              <w:bottom w:val="nil"/>
              <w:right w:val="nil"/>
            </w:tcBorders>
            <w:shd w:val="clear" w:color="auto" w:fill="auto"/>
          </w:tcPr>
          <w:p w14:paraId="520F907D"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Odén A, McCloskey EV, Kanis JA, Harvey NC, Johansson H (2015) Burden of high fracture probability worldwide: secular increases 2010-2040. Osteoporos Int 26:2243–2248</w:t>
            </w:r>
          </w:p>
        </w:tc>
      </w:tr>
      <w:tr w:rsidR="00973F27" w:rsidRPr="00D10C97" w14:paraId="412C247F" w14:textId="77777777" w:rsidTr="00973F27">
        <w:tc>
          <w:tcPr>
            <w:tcW w:w="567" w:type="dxa"/>
            <w:tcBorders>
              <w:top w:val="nil"/>
              <w:left w:val="nil"/>
              <w:bottom w:val="nil"/>
              <w:right w:val="nil"/>
            </w:tcBorders>
            <w:shd w:val="clear" w:color="auto" w:fill="auto"/>
          </w:tcPr>
          <w:p w14:paraId="189330B1" w14:textId="25B91452"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7.</w:t>
            </w:r>
          </w:p>
        </w:tc>
        <w:tc>
          <w:tcPr>
            <w:tcW w:w="7598" w:type="dxa"/>
            <w:tcBorders>
              <w:top w:val="nil"/>
              <w:left w:val="nil"/>
              <w:bottom w:val="nil"/>
              <w:right w:val="nil"/>
            </w:tcBorders>
            <w:shd w:val="clear" w:color="auto" w:fill="auto"/>
          </w:tcPr>
          <w:p w14:paraId="28AAF2AA"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Kanis JA, Harvey NC, Cyrus Cooper C, Johansson H, Odén A, McCloskey EV, the Advisory Board of the National Osteoporosis Guideline Group (2016) A systematic review of intervention thresholds based on FRAX. A report prepared for the National Osteoporosis Guideline Group and the International Osteoporosis Foundation. Arch Osteoporos 11:25.</w:t>
            </w:r>
          </w:p>
        </w:tc>
      </w:tr>
      <w:tr w:rsidR="00973F27" w:rsidRPr="00D10C97" w14:paraId="4D6152FE" w14:textId="77777777" w:rsidTr="00973F27">
        <w:tc>
          <w:tcPr>
            <w:tcW w:w="567" w:type="dxa"/>
            <w:tcBorders>
              <w:top w:val="nil"/>
              <w:left w:val="nil"/>
              <w:bottom w:val="nil"/>
              <w:right w:val="nil"/>
            </w:tcBorders>
            <w:shd w:val="clear" w:color="auto" w:fill="auto"/>
          </w:tcPr>
          <w:p w14:paraId="0D9050B1" w14:textId="484D6155"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8.</w:t>
            </w:r>
          </w:p>
        </w:tc>
        <w:tc>
          <w:tcPr>
            <w:tcW w:w="7598" w:type="dxa"/>
            <w:tcBorders>
              <w:top w:val="nil"/>
              <w:left w:val="nil"/>
              <w:bottom w:val="nil"/>
              <w:right w:val="nil"/>
            </w:tcBorders>
            <w:shd w:val="clear" w:color="auto" w:fill="auto"/>
          </w:tcPr>
          <w:p w14:paraId="4C6803A9"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Kanis JA, Johansson H, Harvey NC and McCloskey EV (2018) A brief history of FRAX. Arch Osteoporos, 13: 118. DOI: 10.1007/s11657-018-0510-0.</w:t>
            </w:r>
          </w:p>
        </w:tc>
      </w:tr>
      <w:tr w:rsidR="00973F27" w:rsidRPr="00D10C97" w14:paraId="4E76E360" w14:textId="77777777" w:rsidTr="00973F27">
        <w:tc>
          <w:tcPr>
            <w:tcW w:w="567" w:type="dxa"/>
            <w:tcBorders>
              <w:top w:val="nil"/>
              <w:left w:val="nil"/>
              <w:bottom w:val="nil"/>
              <w:right w:val="nil"/>
            </w:tcBorders>
          </w:tcPr>
          <w:p w14:paraId="31E6C4F8" w14:textId="5B9BE806"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9.</w:t>
            </w:r>
          </w:p>
        </w:tc>
        <w:tc>
          <w:tcPr>
            <w:tcW w:w="7598" w:type="dxa"/>
            <w:tcBorders>
              <w:top w:val="nil"/>
              <w:left w:val="nil"/>
              <w:bottom w:val="nil"/>
              <w:right w:val="nil"/>
            </w:tcBorders>
          </w:tcPr>
          <w:p w14:paraId="6D9028B7"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Lesnyak O, Ershova O, Belova K, Gladkova E, Sinitsina O, Ganert O, Romanova M, Khodirev V, Johansson H, McCloskey E, Kanis JA (2012) Epidemiology of fracture in the Russian Federation and the development of a FRAX model. Arch Osteoporos 7: 67-73. doi: 10.1007/s11657-012-0082-3.</w:t>
            </w:r>
          </w:p>
        </w:tc>
      </w:tr>
      <w:tr w:rsidR="00973F27" w:rsidRPr="00D10C97" w14:paraId="66222454" w14:textId="77777777" w:rsidTr="00973F27">
        <w:tc>
          <w:tcPr>
            <w:tcW w:w="567" w:type="dxa"/>
            <w:tcBorders>
              <w:top w:val="nil"/>
              <w:left w:val="nil"/>
              <w:bottom w:val="nil"/>
              <w:right w:val="nil"/>
            </w:tcBorders>
          </w:tcPr>
          <w:p w14:paraId="4A377147" w14:textId="07210879"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10.</w:t>
            </w:r>
          </w:p>
        </w:tc>
        <w:tc>
          <w:tcPr>
            <w:tcW w:w="7598" w:type="dxa"/>
            <w:tcBorders>
              <w:top w:val="nil"/>
              <w:left w:val="nil"/>
              <w:bottom w:val="nil"/>
              <w:right w:val="nil"/>
            </w:tcBorders>
          </w:tcPr>
          <w:p w14:paraId="34095C2E"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Lesnyak O, Sahakyan S, Zakroyeva A, Bilezikian JP, Hutchings N, Galstyan R, Lebedev A, Johansson H, Harvey NC, McCloskey E, Kanis JA (2017) Epidemiology of fractures in Armenia: Development of a country-specific FRAX model and comparison to its surrogate. Archives of Osteoporosis 12(1): 98. doi: 10.1007/s11657-017-0392-6</w:t>
            </w:r>
          </w:p>
        </w:tc>
      </w:tr>
      <w:tr w:rsidR="00973F27" w:rsidRPr="00D10C97" w14:paraId="6B51F342" w14:textId="77777777" w:rsidTr="00973F27">
        <w:tc>
          <w:tcPr>
            <w:tcW w:w="567" w:type="dxa"/>
            <w:tcBorders>
              <w:top w:val="nil"/>
              <w:left w:val="nil"/>
              <w:bottom w:val="nil"/>
              <w:right w:val="nil"/>
            </w:tcBorders>
          </w:tcPr>
          <w:p w14:paraId="22BF5515" w14:textId="194EB8B7"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11.</w:t>
            </w:r>
          </w:p>
        </w:tc>
        <w:tc>
          <w:tcPr>
            <w:tcW w:w="7598" w:type="dxa"/>
            <w:tcBorders>
              <w:top w:val="nil"/>
              <w:left w:val="nil"/>
              <w:bottom w:val="nil"/>
              <w:right w:val="nil"/>
            </w:tcBorders>
          </w:tcPr>
          <w:p w14:paraId="228F3787"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Ramanau H Chernyanin I, Rudenka E, Lesnyak O, Zakroyeva A, Bilezikian JP, Johansson H, Harvey NC, McCloskey EV, Kanis JA (2018) Epidemiology of hip fracture in Belarus: development of a country-specific FRAX model and its comparison to neighboring country models. Arch Osteoporos 13: 42. doi: 10.1007/s11657-018-0454-4.</w:t>
            </w:r>
          </w:p>
        </w:tc>
      </w:tr>
      <w:tr w:rsidR="00973F27" w:rsidRPr="00D10C97" w14:paraId="7BF5D53F" w14:textId="77777777" w:rsidTr="00973F27">
        <w:tc>
          <w:tcPr>
            <w:tcW w:w="567" w:type="dxa"/>
            <w:tcBorders>
              <w:top w:val="nil"/>
              <w:left w:val="nil"/>
              <w:bottom w:val="nil"/>
              <w:right w:val="nil"/>
            </w:tcBorders>
          </w:tcPr>
          <w:p w14:paraId="57EC3486" w14:textId="7C110524"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12.</w:t>
            </w:r>
          </w:p>
        </w:tc>
        <w:tc>
          <w:tcPr>
            <w:tcW w:w="7598" w:type="dxa"/>
            <w:tcBorders>
              <w:top w:val="nil"/>
              <w:left w:val="nil"/>
              <w:bottom w:val="nil"/>
              <w:right w:val="nil"/>
            </w:tcBorders>
          </w:tcPr>
          <w:p w14:paraId="4E966D8F"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Zakroyeva A, Lesnyak O, Cazac V, Groppa L, Russu E, Chislari L, Rotaru L, Johansson H, Harvey NC, McCloskey E, Kanis JA (2019) Epidemiology of osteoporotic fracture in Moldova and development of a country specific FRAX model.  Arch Osteoporos.</w:t>
            </w:r>
          </w:p>
        </w:tc>
      </w:tr>
      <w:tr w:rsidR="00973F27" w:rsidRPr="00D10C97" w14:paraId="33008ACA" w14:textId="77777777" w:rsidTr="00973F27">
        <w:tc>
          <w:tcPr>
            <w:tcW w:w="567" w:type="dxa"/>
            <w:tcBorders>
              <w:top w:val="nil"/>
              <w:left w:val="nil"/>
              <w:bottom w:val="nil"/>
              <w:right w:val="nil"/>
            </w:tcBorders>
          </w:tcPr>
          <w:p w14:paraId="7F21BC28" w14:textId="33FF2CEA"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13.</w:t>
            </w:r>
          </w:p>
        </w:tc>
        <w:tc>
          <w:tcPr>
            <w:tcW w:w="7598" w:type="dxa"/>
            <w:tcBorders>
              <w:top w:val="nil"/>
              <w:left w:val="nil"/>
              <w:bottom w:val="nil"/>
              <w:right w:val="nil"/>
            </w:tcBorders>
          </w:tcPr>
          <w:p w14:paraId="1C2E3052"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 xml:space="preserve">United Nations (2017) DESA / Population Division. World Population Prospects 2017 </w:t>
            </w:r>
            <w:hyperlink r:id="rId11" w:history="1">
              <w:r w:rsidRPr="00D10C97">
                <w:rPr>
                  <w:rFonts w:ascii="Calibri" w:eastAsia="Calibri" w:hAnsi="Calibri"/>
                  <w:color w:val="0563C1"/>
                  <w:sz w:val="22"/>
                  <w:szCs w:val="22"/>
                  <w:u w:val="single"/>
                  <w:lang w:eastAsia="en-US"/>
                </w:rPr>
                <w:t>https://population.un.org/wpp/Download/Standard/Population/</w:t>
              </w:r>
            </w:hyperlink>
            <w:r w:rsidRPr="00D10C97">
              <w:rPr>
                <w:rFonts w:ascii="Calibri" w:eastAsia="Calibri" w:hAnsi="Calibri"/>
                <w:sz w:val="22"/>
                <w:szCs w:val="22"/>
                <w:lang w:eastAsia="en-US"/>
              </w:rPr>
              <w:t>.   Accessed 15 Feb 2019</w:t>
            </w:r>
          </w:p>
        </w:tc>
      </w:tr>
      <w:tr w:rsidR="00973F27" w:rsidRPr="00D10C97" w14:paraId="423384D9" w14:textId="77777777" w:rsidTr="00973F27">
        <w:tc>
          <w:tcPr>
            <w:tcW w:w="567" w:type="dxa"/>
            <w:tcBorders>
              <w:top w:val="nil"/>
              <w:left w:val="nil"/>
              <w:bottom w:val="nil"/>
              <w:right w:val="nil"/>
            </w:tcBorders>
          </w:tcPr>
          <w:p w14:paraId="21552B90" w14:textId="5F6AEA24"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14.</w:t>
            </w:r>
          </w:p>
        </w:tc>
        <w:tc>
          <w:tcPr>
            <w:tcW w:w="7598" w:type="dxa"/>
            <w:tcBorders>
              <w:top w:val="nil"/>
              <w:left w:val="nil"/>
              <w:bottom w:val="nil"/>
              <w:right w:val="nil"/>
            </w:tcBorders>
          </w:tcPr>
          <w:p w14:paraId="3B7CEA41"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 xml:space="preserve">Committee on Statistics (2016) Ministry of National Economy of the Republic of Kazakhstan. Demography. Series 14 and 23. Astana, Kazakhstan. </w:t>
            </w:r>
            <w:hyperlink r:id="rId12" w:anchor="%40%3F_afrLoop%3D4540970601736076%26_adf.ctrl-state%3D2cz2zgqkv_298" w:history="1">
              <w:r w:rsidRPr="00D10C97">
                <w:rPr>
                  <w:rFonts w:ascii="Calibri" w:eastAsia="Calibri" w:hAnsi="Calibri"/>
                  <w:color w:val="0563C1"/>
                  <w:sz w:val="22"/>
                  <w:szCs w:val="22"/>
                  <w:u w:val="single"/>
                  <w:lang w:eastAsia="en-US"/>
                </w:rPr>
                <w:t>http://stat.gov.kz/faces/wcnav_externalId/publBullS14-2016?_afrLoop=4540970601736076#%40%3F_afrLoop%3D4540970601736076%26_adf.ctrl-state%3D2cz2zgqkv_298</w:t>
              </w:r>
            </w:hyperlink>
            <w:r w:rsidRPr="00D10C97">
              <w:rPr>
                <w:rFonts w:ascii="Calibri" w:eastAsia="Calibri" w:hAnsi="Calibri"/>
                <w:sz w:val="22"/>
                <w:szCs w:val="22"/>
                <w:lang w:eastAsia="en-US"/>
              </w:rPr>
              <w:t xml:space="preserve">   [in Kazakh, Russian] Accessed 12 May 2019</w:t>
            </w:r>
          </w:p>
        </w:tc>
      </w:tr>
      <w:tr w:rsidR="00973F27" w:rsidRPr="00D10C97" w14:paraId="18EAE7EE" w14:textId="77777777" w:rsidTr="00973F27">
        <w:tc>
          <w:tcPr>
            <w:tcW w:w="567" w:type="dxa"/>
            <w:tcBorders>
              <w:top w:val="nil"/>
              <w:left w:val="nil"/>
              <w:bottom w:val="nil"/>
              <w:right w:val="nil"/>
            </w:tcBorders>
          </w:tcPr>
          <w:p w14:paraId="35341DCE" w14:textId="23A55ED1"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15.</w:t>
            </w:r>
          </w:p>
        </w:tc>
        <w:tc>
          <w:tcPr>
            <w:tcW w:w="7598" w:type="dxa"/>
            <w:tcBorders>
              <w:top w:val="nil"/>
              <w:left w:val="nil"/>
              <w:bottom w:val="nil"/>
              <w:right w:val="nil"/>
            </w:tcBorders>
          </w:tcPr>
          <w:p w14:paraId="50B3B31B" w14:textId="447E1F25"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 xml:space="preserve">United Nations (2017) </w:t>
            </w:r>
            <w:r w:rsidRPr="005C03FB">
              <w:rPr>
                <w:rFonts w:ascii="Calibri" w:eastAsia="Calibri" w:hAnsi="Calibri"/>
                <w:sz w:val="22"/>
                <w:szCs w:val="22"/>
                <w:lang w:eastAsia="en-US"/>
              </w:rPr>
              <w:t>Department of Economic and Social Affairs</w:t>
            </w:r>
            <w:r w:rsidRPr="00D10C97">
              <w:rPr>
                <w:rFonts w:ascii="Calibri" w:eastAsia="Calibri" w:hAnsi="Calibri"/>
                <w:sz w:val="22"/>
                <w:szCs w:val="22"/>
                <w:lang w:eastAsia="en-US"/>
              </w:rPr>
              <w:t xml:space="preserve"> / Population Division. World Population Prospects </w:t>
            </w:r>
            <w:hyperlink r:id="rId13" w:history="1">
              <w:r w:rsidRPr="00D10C97">
                <w:rPr>
                  <w:rFonts w:ascii="Calibri" w:eastAsia="Calibri" w:hAnsi="Calibri"/>
                  <w:color w:val="0563C1"/>
                  <w:sz w:val="22"/>
                  <w:szCs w:val="22"/>
                  <w:u w:val="single"/>
                  <w:lang w:eastAsia="en-US"/>
                </w:rPr>
                <w:t>https://www.worldometers.info/world-population/kazakhstan-population/</w:t>
              </w:r>
            </w:hyperlink>
            <w:r w:rsidRPr="00D10C97">
              <w:rPr>
                <w:rFonts w:ascii="Calibri" w:eastAsia="Calibri" w:hAnsi="Calibri"/>
                <w:sz w:val="22"/>
                <w:szCs w:val="22"/>
                <w:lang w:eastAsia="en-US"/>
              </w:rPr>
              <w:t xml:space="preserve"> Accessed 12 May 2019</w:t>
            </w:r>
          </w:p>
        </w:tc>
      </w:tr>
      <w:tr w:rsidR="00973F27" w:rsidRPr="00D10C97" w14:paraId="53814BFA" w14:textId="77777777" w:rsidTr="00973F27">
        <w:tc>
          <w:tcPr>
            <w:tcW w:w="567" w:type="dxa"/>
            <w:tcBorders>
              <w:top w:val="nil"/>
              <w:left w:val="nil"/>
              <w:bottom w:val="nil"/>
              <w:right w:val="nil"/>
            </w:tcBorders>
          </w:tcPr>
          <w:p w14:paraId="755235AC" w14:textId="1A333572"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16.</w:t>
            </w:r>
          </w:p>
        </w:tc>
        <w:tc>
          <w:tcPr>
            <w:tcW w:w="7598" w:type="dxa"/>
            <w:tcBorders>
              <w:top w:val="nil"/>
              <w:left w:val="nil"/>
              <w:bottom w:val="nil"/>
              <w:right w:val="nil"/>
            </w:tcBorders>
          </w:tcPr>
          <w:p w14:paraId="60AFCE11"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Kanis JA, Oden A, Johnell O, Jonsson B, de Laet C, Dawson A (2001) The burden of osteoporotic fractures: a method for setting intervention thresholds. Osteoporos Int 12:417–427</w:t>
            </w:r>
          </w:p>
        </w:tc>
      </w:tr>
      <w:tr w:rsidR="00973F27" w:rsidRPr="00D10C97" w14:paraId="2AEB0ABC" w14:textId="77777777" w:rsidTr="00973F27">
        <w:tc>
          <w:tcPr>
            <w:tcW w:w="567" w:type="dxa"/>
            <w:tcBorders>
              <w:top w:val="nil"/>
              <w:left w:val="nil"/>
              <w:bottom w:val="nil"/>
              <w:right w:val="nil"/>
            </w:tcBorders>
          </w:tcPr>
          <w:p w14:paraId="4ECEEFD1" w14:textId="39960EC3"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17.</w:t>
            </w:r>
          </w:p>
        </w:tc>
        <w:tc>
          <w:tcPr>
            <w:tcW w:w="7598" w:type="dxa"/>
            <w:tcBorders>
              <w:top w:val="nil"/>
              <w:left w:val="nil"/>
              <w:bottom w:val="nil"/>
              <w:right w:val="nil"/>
            </w:tcBorders>
          </w:tcPr>
          <w:p w14:paraId="3C768C24" w14:textId="77777777" w:rsidR="00973F27" w:rsidRPr="00D10C97" w:rsidRDefault="00973F27" w:rsidP="0065384A">
            <w:pPr>
              <w:spacing w:after="240"/>
              <w:rPr>
                <w:rFonts w:ascii="Calibri" w:eastAsia="Calibri" w:hAnsi="Calibri"/>
                <w:sz w:val="22"/>
                <w:szCs w:val="22"/>
                <w:lang w:eastAsia="en-US"/>
              </w:rPr>
            </w:pPr>
            <w:bookmarkStart w:id="12" w:name="_Hlk10454855"/>
            <w:r w:rsidRPr="00D10C97">
              <w:rPr>
                <w:rFonts w:ascii="Calibri" w:eastAsia="Calibri" w:hAnsi="Calibri"/>
                <w:sz w:val="22"/>
                <w:szCs w:val="22"/>
                <w:lang w:eastAsia="en-US"/>
              </w:rPr>
              <w:t>Siggeirsdottir</w:t>
            </w:r>
            <w:bookmarkEnd w:id="12"/>
            <w:r w:rsidRPr="00D10C97">
              <w:rPr>
                <w:rFonts w:ascii="Calibri" w:eastAsia="Calibri" w:hAnsi="Calibri"/>
                <w:sz w:val="22"/>
                <w:szCs w:val="22"/>
                <w:lang w:eastAsia="en-US"/>
              </w:rPr>
              <w:t xml:space="preserve"> K, Aspelund T, Johansson H, Gudmundsson EF, Mogensen B, Jonsson BY, Gudnason V, McCloskey E, Oden A, Sigurdsson G, Kanis JA (2014) The incidence of a first major osteoporotic fracture in Iceland and implications for FRAX. Osteoporos Int 25:2445–2451</w:t>
            </w:r>
          </w:p>
        </w:tc>
      </w:tr>
      <w:tr w:rsidR="00973F27" w:rsidRPr="00D10C97" w14:paraId="05441DDB" w14:textId="77777777" w:rsidTr="00973F27">
        <w:tc>
          <w:tcPr>
            <w:tcW w:w="567" w:type="dxa"/>
            <w:tcBorders>
              <w:top w:val="nil"/>
              <w:left w:val="nil"/>
              <w:bottom w:val="nil"/>
              <w:right w:val="nil"/>
            </w:tcBorders>
          </w:tcPr>
          <w:p w14:paraId="72E7AA42" w14:textId="4CC11918"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18.</w:t>
            </w:r>
          </w:p>
        </w:tc>
        <w:tc>
          <w:tcPr>
            <w:tcW w:w="7598" w:type="dxa"/>
            <w:tcBorders>
              <w:top w:val="nil"/>
              <w:left w:val="nil"/>
              <w:bottom w:val="nil"/>
              <w:right w:val="nil"/>
            </w:tcBorders>
          </w:tcPr>
          <w:p w14:paraId="4519AE64"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Lam A, LeslieWD, Lix LM, Yogendran M, Morin SN, Majumdar SR (2014) Major osteoporotic to hip fracture ratios in Canadian men and women with Swedish comparisons: a population-based analysis. J Bone Miner Res 29:1067–1073</w:t>
            </w:r>
          </w:p>
        </w:tc>
      </w:tr>
      <w:tr w:rsidR="00973F27" w:rsidRPr="00D10C97" w14:paraId="0CEE15E4" w14:textId="77777777" w:rsidTr="00973F27">
        <w:tc>
          <w:tcPr>
            <w:tcW w:w="567" w:type="dxa"/>
            <w:tcBorders>
              <w:top w:val="nil"/>
              <w:left w:val="nil"/>
              <w:bottom w:val="nil"/>
              <w:right w:val="nil"/>
            </w:tcBorders>
          </w:tcPr>
          <w:p w14:paraId="408C83B3" w14:textId="26EC87C9"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19.</w:t>
            </w:r>
          </w:p>
        </w:tc>
        <w:tc>
          <w:tcPr>
            <w:tcW w:w="7598" w:type="dxa"/>
            <w:tcBorders>
              <w:top w:val="nil"/>
              <w:left w:val="nil"/>
              <w:bottom w:val="nil"/>
              <w:right w:val="nil"/>
            </w:tcBorders>
          </w:tcPr>
          <w:p w14:paraId="2FCE004B" w14:textId="728DC703" w:rsidR="00973F27" w:rsidRPr="00D10C97" w:rsidRDefault="00973F27" w:rsidP="0065384A">
            <w:pPr>
              <w:spacing w:after="240"/>
              <w:rPr>
                <w:rFonts w:ascii="Calibri" w:eastAsia="Calibri" w:hAnsi="Calibri"/>
                <w:sz w:val="22"/>
                <w:szCs w:val="22"/>
                <w:lang w:eastAsia="en-US"/>
              </w:rPr>
            </w:pPr>
            <w:r>
              <w:rPr>
                <w:rFonts w:ascii="Calibri" w:eastAsia="Calibri" w:hAnsi="Calibri"/>
                <w:sz w:val="22"/>
                <w:szCs w:val="22"/>
                <w:lang w:eastAsia="en-US"/>
              </w:rPr>
              <w:t>World Health Organization</w:t>
            </w:r>
            <w:r w:rsidRPr="00D10C97">
              <w:rPr>
                <w:rFonts w:ascii="Calibri" w:eastAsia="Calibri" w:hAnsi="Calibri"/>
                <w:sz w:val="22"/>
                <w:szCs w:val="22"/>
                <w:lang w:eastAsia="en-US"/>
              </w:rPr>
              <w:t xml:space="preserve"> (201</w:t>
            </w:r>
            <w:r>
              <w:rPr>
                <w:rFonts w:ascii="Calibri" w:eastAsia="Calibri" w:hAnsi="Calibri"/>
                <w:sz w:val="22"/>
                <w:szCs w:val="22"/>
                <w:lang w:eastAsia="en-US"/>
              </w:rPr>
              <w:t>8</w:t>
            </w:r>
            <w:r w:rsidRPr="00D10C97">
              <w:rPr>
                <w:rFonts w:ascii="Calibri" w:eastAsia="Calibri" w:hAnsi="Calibri"/>
                <w:sz w:val="22"/>
                <w:szCs w:val="22"/>
                <w:lang w:eastAsia="en-US"/>
              </w:rPr>
              <w:t xml:space="preserve">) </w:t>
            </w:r>
            <w:r w:rsidRPr="00A624A7">
              <w:rPr>
                <w:rFonts w:ascii="Calibri" w:eastAsia="Calibri" w:hAnsi="Calibri"/>
                <w:sz w:val="22"/>
                <w:szCs w:val="22"/>
                <w:lang w:eastAsia="en-US"/>
              </w:rPr>
              <w:t>Health statistics and information systems</w:t>
            </w:r>
            <w:r w:rsidRPr="00D10C97">
              <w:rPr>
                <w:rFonts w:ascii="Calibri" w:eastAsia="Calibri" w:hAnsi="Calibri"/>
                <w:sz w:val="22"/>
                <w:szCs w:val="22"/>
                <w:lang w:eastAsia="en-US"/>
              </w:rPr>
              <w:t xml:space="preserve">: </w:t>
            </w:r>
            <w:hyperlink r:id="rId14" w:history="1">
              <w:r w:rsidRPr="003E3AA9">
                <w:rPr>
                  <w:rStyle w:val="Hyperlink"/>
                  <w:rFonts w:ascii="Calibri" w:eastAsia="Calibri" w:hAnsi="Calibri"/>
                  <w:sz w:val="22"/>
                  <w:szCs w:val="22"/>
                  <w:lang w:eastAsia="en-US"/>
                </w:rPr>
                <w:t>http://www.who.int/healthinfo/statistics/mortality_rawdata/en/</w:t>
              </w:r>
            </w:hyperlink>
            <w:r>
              <w:rPr>
                <w:rFonts w:ascii="Calibri" w:eastAsia="Calibri" w:hAnsi="Calibri"/>
                <w:sz w:val="22"/>
                <w:szCs w:val="22"/>
                <w:lang w:eastAsia="en-US"/>
              </w:rPr>
              <w:t xml:space="preserve"> Accessed 17</w:t>
            </w:r>
            <w:r w:rsidRPr="00C97A46">
              <w:rPr>
                <w:rFonts w:ascii="Calibri" w:eastAsia="Calibri" w:hAnsi="Calibri"/>
                <w:sz w:val="22"/>
                <w:szCs w:val="22"/>
                <w:vertAlign w:val="superscript"/>
                <w:lang w:eastAsia="en-US"/>
              </w:rPr>
              <w:t>th</w:t>
            </w:r>
            <w:r>
              <w:rPr>
                <w:rFonts w:ascii="Calibri" w:eastAsia="Calibri" w:hAnsi="Calibri"/>
                <w:sz w:val="22"/>
                <w:szCs w:val="22"/>
                <w:lang w:eastAsia="en-US"/>
              </w:rPr>
              <w:t xml:space="preserve"> June 2019</w:t>
            </w:r>
          </w:p>
        </w:tc>
      </w:tr>
      <w:tr w:rsidR="00973F27" w:rsidRPr="00D10C97" w14:paraId="0DB18BC2" w14:textId="77777777" w:rsidTr="00973F27">
        <w:tc>
          <w:tcPr>
            <w:tcW w:w="567" w:type="dxa"/>
            <w:tcBorders>
              <w:top w:val="nil"/>
              <w:left w:val="nil"/>
              <w:bottom w:val="nil"/>
              <w:right w:val="nil"/>
            </w:tcBorders>
          </w:tcPr>
          <w:p w14:paraId="0506A1C3" w14:textId="5B21EA3B"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20.</w:t>
            </w:r>
          </w:p>
        </w:tc>
        <w:tc>
          <w:tcPr>
            <w:tcW w:w="7598" w:type="dxa"/>
            <w:tcBorders>
              <w:top w:val="nil"/>
              <w:left w:val="nil"/>
              <w:bottom w:val="nil"/>
              <w:right w:val="nil"/>
            </w:tcBorders>
          </w:tcPr>
          <w:p w14:paraId="7339DBC8"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Kanis JA, Johnell O, De Laet C, Jonsson B, Oden A, Ogelsby AK (2002) International variations in hip fracture probabilities: implications for risk assessment. J Bone Miner Res 17:1237–1244</w:t>
            </w:r>
          </w:p>
        </w:tc>
      </w:tr>
      <w:tr w:rsidR="00973F27" w:rsidRPr="00D10C97" w14:paraId="216B8C71" w14:textId="77777777" w:rsidTr="00973F27">
        <w:tc>
          <w:tcPr>
            <w:tcW w:w="567" w:type="dxa"/>
            <w:tcBorders>
              <w:top w:val="nil"/>
              <w:left w:val="nil"/>
              <w:bottom w:val="nil"/>
              <w:right w:val="nil"/>
            </w:tcBorders>
          </w:tcPr>
          <w:p w14:paraId="7275589D" w14:textId="3F23CCD3"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21.</w:t>
            </w:r>
          </w:p>
        </w:tc>
        <w:tc>
          <w:tcPr>
            <w:tcW w:w="7598" w:type="dxa"/>
            <w:tcBorders>
              <w:top w:val="nil"/>
              <w:left w:val="nil"/>
              <w:bottom w:val="nil"/>
              <w:right w:val="nil"/>
            </w:tcBorders>
          </w:tcPr>
          <w:p w14:paraId="30E3777C"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Tuzun S, Eskiyurt N, Akarırmak U, Sarıdoğan M, Senocak M, Johansson H, Kanis JA and the Turkish Osteoporosis Society (2012) Incidence of Hip Fracture and Prevalence of Osteoporosis in Turkey: The FRACTURK Study.  Osteoporos Int 23: 949–955</w:t>
            </w:r>
          </w:p>
        </w:tc>
      </w:tr>
      <w:tr w:rsidR="00973F27" w:rsidRPr="00D10C97" w14:paraId="0389B616" w14:textId="77777777" w:rsidTr="00973F27">
        <w:tc>
          <w:tcPr>
            <w:tcW w:w="567" w:type="dxa"/>
            <w:tcBorders>
              <w:top w:val="nil"/>
              <w:left w:val="nil"/>
              <w:bottom w:val="nil"/>
              <w:right w:val="nil"/>
            </w:tcBorders>
          </w:tcPr>
          <w:p w14:paraId="20D02A99" w14:textId="5B758A00"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22.</w:t>
            </w:r>
          </w:p>
        </w:tc>
        <w:tc>
          <w:tcPr>
            <w:tcW w:w="7598" w:type="dxa"/>
            <w:tcBorders>
              <w:top w:val="nil"/>
              <w:left w:val="nil"/>
              <w:bottom w:val="nil"/>
              <w:right w:val="nil"/>
            </w:tcBorders>
          </w:tcPr>
          <w:p w14:paraId="33F2C559"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Clark P, Lavielle P, Franco-Morina F, Ramirez E, Salmeron J, Kanis JA, Cummings SR (2005) Incidence rates and life-time risk of hip fractures in Mexicans over 50 years of age: a population-based study. Osteoporos Int. 16: 2025-30</w:t>
            </w:r>
          </w:p>
        </w:tc>
      </w:tr>
      <w:tr w:rsidR="00973F27" w:rsidRPr="00D10C97" w14:paraId="77073501" w14:textId="77777777" w:rsidTr="00973F27">
        <w:tc>
          <w:tcPr>
            <w:tcW w:w="567" w:type="dxa"/>
            <w:tcBorders>
              <w:top w:val="nil"/>
              <w:left w:val="nil"/>
              <w:bottom w:val="nil"/>
              <w:right w:val="nil"/>
            </w:tcBorders>
          </w:tcPr>
          <w:p w14:paraId="652F0132" w14:textId="473C098D"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23.</w:t>
            </w:r>
          </w:p>
        </w:tc>
        <w:tc>
          <w:tcPr>
            <w:tcW w:w="7598" w:type="dxa"/>
            <w:tcBorders>
              <w:top w:val="nil"/>
              <w:left w:val="nil"/>
              <w:bottom w:val="nil"/>
              <w:right w:val="nil"/>
            </w:tcBorders>
          </w:tcPr>
          <w:p w14:paraId="65EE0373"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Grigorie D, Sucaliuc A, , Johansson H,  Kanis JA, McCloskey E (2013) Incidence of hip fracture in Romania and the development of a Romanian FRAX model.  Calcif Tiss Int 92:429-436</w:t>
            </w:r>
          </w:p>
        </w:tc>
      </w:tr>
      <w:tr w:rsidR="00973F27" w:rsidRPr="00D10C97" w14:paraId="25CE5ACD" w14:textId="77777777" w:rsidTr="00973F27">
        <w:tc>
          <w:tcPr>
            <w:tcW w:w="567" w:type="dxa"/>
            <w:tcBorders>
              <w:top w:val="nil"/>
              <w:left w:val="nil"/>
              <w:bottom w:val="nil"/>
              <w:right w:val="nil"/>
            </w:tcBorders>
          </w:tcPr>
          <w:p w14:paraId="556F0157" w14:textId="6547411C"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24.</w:t>
            </w:r>
          </w:p>
        </w:tc>
        <w:tc>
          <w:tcPr>
            <w:tcW w:w="7598" w:type="dxa"/>
            <w:tcBorders>
              <w:top w:val="nil"/>
              <w:left w:val="nil"/>
              <w:bottom w:val="nil"/>
              <w:right w:val="nil"/>
            </w:tcBorders>
          </w:tcPr>
          <w:p w14:paraId="63CF6123"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Czerwinski E, Kanis JA, Trybulec B, Johansson H, Borowy P, Osieleniec J (2009) The incidence and risk of hip fracture in Poland. Osteoporos Int 20:1363-1367</w:t>
            </w:r>
          </w:p>
        </w:tc>
      </w:tr>
      <w:tr w:rsidR="00973F27" w:rsidRPr="00D10C97" w14:paraId="1AF20D55" w14:textId="77777777" w:rsidTr="00973F27">
        <w:tc>
          <w:tcPr>
            <w:tcW w:w="567" w:type="dxa"/>
            <w:tcBorders>
              <w:top w:val="nil"/>
              <w:left w:val="nil"/>
              <w:bottom w:val="nil"/>
              <w:right w:val="nil"/>
            </w:tcBorders>
          </w:tcPr>
          <w:p w14:paraId="6396F57E" w14:textId="7999B5AC"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25.</w:t>
            </w:r>
          </w:p>
        </w:tc>
        <w:tc>
          <w:tcPr>
            <w:tcW w:w="7598" w:type="dxa"/>
            <w:tcBorders>
              <w:top w:val="nil"/>
              <w:left w:val="nil"/>
              <w:bottom w:val="nil"/>
              <w:right w:val="nil"/>
            </w:tcBorders>
          </w:tcPr>
          <w:p w14:paraId="58F3C5A4" w14:textId="77777777" w:rsidR="00973F27" w:rsidRPr="00D10C97" w:rsidRDefault="00973F27" w:rsidP="0065384A">
            <w:pPr>
              <w:spacing w:after="240"/>
              <w:rPr>
                <w:rFonts w:ascii="Calibri" w:eastAsia="Calibri" w:hAnsi="Calibri"/>
                <w:sz w:val="22"/>
                <w:szCs w:val="22"/>
                <w:lang w:eastAsia="en-US"/>
              </w:rPr>
            </w:pPr>
            <w:r w:rsidRPr="00D10C97">
              <w:rPr>
                <w:rFonts w:ascii="Calibri" w:eastAsia="Calibri" w:hAnsi="Calibri"/>
                <w:sz w:val="22"/>
                <w:szCs w:val="22"/>
                <w:lang w:eastAsia="en-US"/>
              </w:rPr>
              <w:t>Povoroznyuk VV, Grygorieva NV, Kanis JA, McCloskey EV, Johansson H, Harvey NC, Korzh MO, Strafun SS, Vaida VM, Klymovytsky FV, Vlasenko RO, Forosenko VS (2017) Epidemiology of hip fracture and the development of FRAX in Ukraine. Arch Osteoporos 12: 53.</w:t>
            </w:r>
          </w:p>
        </w:tc>
      </w:tr>
      <w:tr w:rsidR="00973F27" w:rsidRPr="00D10C97" w14:paraId="045C9373" w14:textId="77777777" w:rsidTr="00973F27">
        <w:tc>
          <w:tcPr>
            <w:tcW w:w="567" w:type="dxa"/>
            <w:tcBorders>
              <w:top w:val="nil"/>
              <w:left w:val="nil"/>
              <w:bottom w:val="nil"/>
              <w:right w:val="nil"/>
            </w:tcBorders>
          </w:tcPr>
          <w:p w14:paraId="188E95FD" w14:textId="7EF39082"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26.</w:t>
            </w:r>
          </w:p>
        </w:tc>
        <w:tc>
          <w:tcPr>
            <w:tcW w:w="7598" w:type="dxa"/>
            <w:tcBorders>
              <w:top w:val="nil"/>
              <w:left w:val="nil"/>
              <w:bottom w:val="nil"/>
              <w:right w:val="nil"/>
            </w:tcBorders>
          </w:tcPr>
          <w:p w14:paraId="46429BB7" w14:textId="462848C1" w:rsidR="00973F27" w:rsidRPr="00D10C97" w:rsidRDefault="00973F27" w:rsidP="002444FF">
            <w:pPr>
              <w:spacing w:after="240"/>
              <w:rPr>
                <w:rFonts w:ascii="Calibri" w:eastAsia="Calibri" w:hAnsi="Calibri"/>
                <w:sz w:val="22"/>
                <w:szCs w:val="22"/>
                <w:lang w:eastAsia="en-US"/>
              </w:rPr>
            </w:pPr>
            <w:r w:rsidRPr="008D1A3E">
              <w:rPr>
                <w:rFonts w:ascii="Calibri" w:eastAsia="Calibri" w:hAnsi="Calibri"/>
                <w:sz w:val="22"/>
                <w:szCs w:val="22"/>
                <w:lang w:eastAsia="en-US"/>
              </w:rPr>
              <w:t>Stepan JJ, Vaculik J, Pavelka K, Zofka J, Johansson H, Kanis JA (2012) Hip fracture incidence from 1981 to 2009 in the Czech Republic as a basis of the country-specific FRAX model. Calcif Tissue Int 90: 365-72.</w:t>
            </w:r>
          </w:p>
        </w:tc>
      </w:tr>
      <w:tr w:rsidR="00973F27" w:rsidRPr="00D10C97" w14:paraId="656FF9DE" w14:textId="77777777" w:rsidTr="00973F27">
        <w:tc>
          <w:tcPr>
            <w:tcW w:w="567" w:type="dxa"/>
            <w:tcBorders>
              <w:top w:val="nil"/>
              <w:left w:val="nil"/>
              <w:bottom w:val="nil"/>
              <w:right w:val="nil"/>
            </w:tcBorders>
          </w:tcPr>
          <w:p w14:paraId="57EC5BC1" w14:textId="60FBD265"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27.</w:t>
            </w:r>
          </w:p>
        </w:tc>
        <w:tc>
          <w:tcPr>
            <w:tcW w:w="7598" w:type="dxa"/>
            <w:tcBorders>
              <w:top w:val="nil"/>
              <w:left w:val="nil"/>
              <w:bottom w:val="nil"/>
              <w:right w:val="nil"/>
            </w:tcBorders>
          </w:tcPr>
          <w:p w14:paraId="52D2360A" w14:textId="71F82E07" w:rsidR="00973F27" w:rsidRPr="008D1A3E" w:rsidRDefault="00973F27" w:rsidP="002444FF">
            <w:pPr>
              <w:spacing w:after="240"/>
              <w:rPr>
                <w:rFonts w:ascii="Calibri" w:eastAsia="Calibri" w:hAnsi="Calibri"/>
                <w:sz w:val="22"/>
                <w:szCs w:val="22"/>
                <w:lang w:eastAsia="en-US"/>
              </w:rPr>
            </w:pPr>
            <w:r w:rsidRPr="0022105A">
              <w:rPr>
                <w:rFonts w:ascii="Calibri" w:eastAsia="Calibri" w:hAnsi="Calibri"/>
                <w:sz w:val="22"/>
                <w:szCs w:val="22"/>
                <w:lang w:eastAsia="en-US"/>
              </w:rPr>
              <w:t>Péntek</w:t>
            </w:r>
            <w:r>
              <w:rPr>
                <w:rFonts w:ascii="Calibri" w:eastAsia="Calibri" w:hAnsi="Calibri"/>
                <w:sz w:val="22"/>
                <w:szCs w:val="22"/>
                <w:lang w:eastAsia="en-US"/>
              </w:rPr>
              <w:t xml:space="preserve"> M</w:t>
            </w:r>
            <w:r w:rsidRPr="0022105A">
              <w:rPr>
                <w:rFonts w:ascii="Calibri" w:eastAsia="Calibri" w:hAnsi="Calibri"/>
                <w:sz w:val="22"/>
                <w:szCs w:val="22"/>
                <w:lang w:eastAsia="en-US"/>
              </w:rPr>
              <w:t>, Horváth</w:t>
            </w:r>
            <w:r>
              <w:rPr>
                <w:rFonts w:ascii="Calibri" w:eastAsia="Calibri" w:hAnsi="Calibri"/>
                <w:sz w:val="22"/>
                <w:szCs w:val="22"/>
                <w:lang w:eastAsia="en-US"/>
              </w:rPr>
              <w:t xml:space="preserve"> C</w:t>
            </w:r>
            <w:r w:rsidRPr="0022105A">
              <w:rPr>
                <w:rFonts w:ascii="Calibri" w:eastAsia="Calibri" w:hAnsi="Calibri"/>
                <w:sz w:val="22"/>
                <w:szCs w:val="22"/>
                <w:lang w:eastAsia="en-US"/>
              </w:rPr>
              <w:t>, Boncz</w:t>
            </w:r>
            <w:r>
              <w:rPr>
                <w:rFonts w:ascii="Calibri" w:eastAsia="Calibri" w:hAnsi="Calibri"/>
                <w:sz w:val="22"/>
                <w:szCs w:val="22"/>
                <w:lang w:eastAsia="en-US"/>
              </w:rPr>
              <w:t xml:space="preserve"> I</w:t>
            </w:r>
            <w:r w:rsidRPr="0022105A">
              <w:rPr>
                <w:rFonts w:ascii="Calibri" w:eastAsia="Calibri" w:hAnsi="Calibri"/>
                <w:sz w:val="22"/>
                <w:szCs w:val="22"/>
                <w:lang w:eastAsia="en-US"/>
              </w:rPr>
              <w:t>, Falusi</w:t>
            </w:r>
            <w:r>
              <w:rPr>
                <w:rFonts w:ascii="Calibri" w:eastAsia="Calibri" w:hAnsi="Calibri"/>
                <w:sz w:val="22"/>
                <w:szCs w:val="22"/>
                <w:lang w:eastAsia="en-US"/>
              </w:rPr>
              <w:t xml:space="preserve"> Z</w:t>
            </w:r>
            <w:r w:rsidRPr="0022105A">
              <w:rPr>
                <w:rFonts w:ascii="Calibri" w:eastAsia="Calibri" w:hAnsi="Calibri"/>
                <w:sz w:val="22"/>
                <w:szCs w:val="22"/>
                <w:lang w:eastAsia="en-US"/>
              </w:rPr>
              <w:t>Tóth</w:t>
            </w:r>
            <w:r>
              <w:rPr>
                <w:rFonts w:ascii="Calibri" w:eastAsia="Calibri" w:hAnsi="Calibri"/>
                <w:sz w:val="22"/>
                <w:szCs w:val="22"/>
                <w:lang w:eastAsia="en-US"/>
              </w:rPr>
              <w:t xml:space="preserve"> E</w:t>
            </w:r>
            <w:r w:rsidRPr="0022105A">
              <w:rPr>
                <w:rFonts w:ascii="Calibri" w:eastAsia="Calibri" w:hAnsi="Calibri"/>
                <w:sz w:val="22"/>
                <w:szCs w:val="22"/>
                <w:lang w:eastAsia="en-US"/>
              </w:rPr>
              <w:t>, Sebestyén</w:t>
            </w:r>
            <w:r>
              <w:rPr>
                <w:rFonts w:ascii="Calibri" w:eastAsia="Calibri" w:hAnsi="Calibri"/>
                <w:sz w:val="22"/>
                <w:szCs w:val="22"/>
                <w:lang w:eastAsia="en-US"/>
              </w:rPr>
              <w:t xml:space="preserve"> A</w:t>
            </w:r>
            <w:r w:rsidRPr="0022105A">
              <w:rPr>
                <w:rFonts w:ascii="Calibri" w:eastAsia="Calibri" w:hAnsi="Calibri"/>
                <w:sz w:val="22"/>
                <w:szCs w:val="22"/>
                <w:lang w:eastAsia="en-US"/>
              </w:rPr>
              <w:t>, Májer</w:t>
            </w:r>
            <w:r>
              <w:rPr>
                <w:rFonts w:ascii="Calibri" w:eastAsia="Calibri" w:hAnsi="Calibri"/>
                <w:sz w:val="22"/>
                <w:szCs w:val="22"/>
                <w:lang w:eastAsia="en-US"/>
              </w:rPr>
              <w:t xml:space="preserve"> I</w:t>
            </w:r>
            <w:r w:rsidRPr="0022105A">
              <w:rPr>
                <w:rFonts w:ascii="Calibri" w:eastAsia="Calibri" w:hAnsi="Calibri"/>
                <w:sz w:val="22"/>
                <w:szCs w:val="22"/>
                <w:lang w:eastAsia="en-US"/>
              </w:rPr>
              <w:t>, Brodszky</w:t>
            </w:r>
            <w:r>
              <w:rPr>
                <w:rFonts w:ascii="Calibri" w:eastAsia="Calibri" w:hAnsi="Calibri"/>
                <w:sz w:val="22"/>
                <w:szCs w:val="22"/>
                <w:lang w:eastAsia="en-US"/>
              </w:rPr>
              <w:t xml:space="preserve"> V</w:t>
            </w:r>
            <w:r w:rsidRPr="0022105A">
              <w:rPr>
                <w:rFonts w:ascii="Calibri" w:eastAsia="Calibri" w:hAnsi="Calibri"/>
                <w:sz w:val="22"/>
                <w:szCs w:val="22"/>
                <w:lang w:eastAsia="en-US"/>
              </w:rPr>
              <w:t>, Gulácsi</w:t>
            </w:r>
            <w:r>
              <w:rPr>
                <w:rFonts w:ascii="Calibri" w:eastAsia="Calibri" w:hAnsi="Calibri"/>
                <w:sz w:val="22"/>
                <w:szCs w:val="22"/>
                <w:lang w:eastAsia="en-US"/>
              </w:rPr>
              <w:t xml:space="preserve"> L (2008)</w:t>
            </w:r>
            <w:r w:rsidRPr="0022105A">
              <w:rPr>
                <w:rFonts w:ascii="Calibri" w:eastAsia="Calibri" w:hAnsi="Calibri"/>
                <w:sz w:val="22"/>
                <w:szCs w:val="22"/>
                <w:lang w:eastAsia="en-US"/>
              </w:rPr>
              <w:t>. Epidemiology of osteoporosis related fractures in Hungary from the nationwide health insurance database, 1999–2003. Osteoporos Int 19:</w:t>
            </w:r>
            <w:r>
              <w:rPr>
                <w:rFonts w:ascii="Calibri" w:eastAsia="Calibri" w:hAnsi="Calibri"/>
                <w:sz w:val="22"/>
                <w:szCs w:val="22"/>
                <w:lang w:eastAsia="en-US"/>
              </w:rPr>
              <w:t xml:space="preserve"> </w:t>
            </w:r>
            <w:r w:rsidRPr="0022105A">
              <w:rPr>
                <w:rFonts w:ascii="Calibri" w:eastAsia="Calibri" w:hAnsi="Calibri"/>
                <w:sz w:val="22"/>
                <w:szCs w:val="22"/>
                <w:lang w:eastAsia="en-US"/>
              </w:rPr>
              <w:t>243–249</w:t>
            </w:r>
          </w:p>
        </w:tc>
      </w:tr>
      <w:tr w:rsidR="00973F27" w:rsidRPr="00D10C97" w14:paraId="1757A5CB" w14:textId="77777777" w:rsidTr="00973F27">
        <w:tc>
          <w:tcPr>
            <w:tcW w:w="567" w:type="dxa"/>
            <w:tcBorders>
              <w:top w:val="nil"/>
              <w:left w:val="nil"/>
              <w:bottom w:val="nil"/>
              <w:right w:val="nil"/>
            </w:tcBorders>
          </w:tcPr>
          <w:p w14:paraId="41726260" w14:textId="37C3609B"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28.</w:t>
            </w:r>
          </w:p>
        </w:tc>
        <w:tc>
          <w:tcPr>
            <w:tcW w:w="7598" w:type="dxa"/>
            <w:tcBorders>
              <w:top w:val="nil"/>
              <w:left w:val="nil"/>
              <w:bottom w:val="nil"/>
              <w:right w:val="nil"/>
            </w:tcBorders>
          </w:tcPr>
          <w:p w14:paraId="3262E77E" w14:textId="4AAC2DEC" w:rsidR="00973F27" w:rsidRPr="0022105A" w:rsidRDefault="00973F27" w:rsidP="002444FF">
            <w:pPr>
              <w:spacing w:after="240"/>
              <w:rPr>
                <w:rFonts w:ascii="Calibri" w:eastAsia="Calibri" w:hAnsi="Calibri"/>
                <w:sz w:val="22"/>
                <w:szCs w:val="22"/>
                <w:lang w:eastAsia="en-US"/>
              </w:rPr>
            </w:pPr>
            <w:r w:rsidRPr="004C391A">
              <w:rPr>
                <w:rFonts w:ascii="Calibri" w:eastAsia="Calibri" w:hAnsi="Calibri"/>
                <w:sz w:val="22"/>
                <w:szCs w:val="22"/>
                <w:lang w:eastAsia="en-US"/>
              </w:rPr>
              <w:t>Dimai HP, Svedbom A, Fahrleitner-Pammer A, Resch H, Muschitz C, Thaler H, Szivak M, Amrein K, Borgström F</w:t>
            </w:r>
            <w:r>
              <w:rPr>
                <w:rFonts w:ascii="Calibri" w:eastAsia="Calibri" w:hAnsi="Calibri"/>
                <w:sz w:val="22"/>
                <w:szCs w:val="22"/>
                <w:lang w:eastAsia="en-US"/>
              </w:rPr>
              <w:t xml:space="preserve"> (2014) </w:t>
            </w:r>
            <w:r w:rsidRPr="004C391A">
              <w:rPr>
                <w:rFonts w:ascii="Calibri" w:eastAsia="Calibri" w:hAnsi="Calibri"/>
                <w:sz w:val="22"/>
                <w:szCs w:val="22"/>
                <w:lang w:eastAsia="en-US"/>
              </w:rPr>
              <w:t>Epidemiology of distal forearm fractures in</w:t>
            </w:r>
            <w:r>
              <w:rPr>
                <w:rFonts w:ascii="Calibri" w:eastAsia="Calibri" w:hAnsi="Calibri"/>
                <w:sz w:val="22"/>
                <w:szCs w:val="22"/>
                <w:lang w:eastAsia="en-US"/>
              </w:rPr>
              <w:t xml:space="preserve"> </w:t>
            </w:r>
            <w:r w:rsidRPr="004C391A">
              <w:rPr>
                <w:rFonts w:ascii="Calibri" w:eastAsia="Calibri" w:hAnsi="Calibri"/>
                <w:sz w:val="22"/>
                <w:szCs w:val="22"/>
                <w:lang w:eastAsia="en-US"/>
              </w:rPr>
              <w:t>Austria between 1989 and 2010. Osteoporos Int</w:t>
            </w:r>
            <w:r>
              <w:rPr>
                <w:rFonts w:ascii="Calibri" w:eastAsia="Calibri" w:hAnsi="Calibri"/>
                <w:sz w:val="22"/>
                <w:szCs w:val="22"/>
                <w:lang w:eastAsia="en-US"/>
              </w:rPr>
              <w:t xml:space="preserve"> </w:t>
            </w:r>
            <w:r w:rsidRPr="004C391A">
              <w:rPr>
                <w:rFonts w:ascii="Calibri" w:eastAsia="Calibri" w:hAnsi="Calibri"/>
                <w:sz w:val="22"/>
                <w:szCs w:val="22"/>
                <w:lang w:eastAsia="en-US"/>
              </w:rPr>
              <w:t>25</w:t>
            </w:r>
            <w:r>
              <w:rPr>
                <w:rFonts w:ascii="Calibri" w:eastAsia="Calibri" w:hAnsi="Calibri"/>
                <w:sz w:val="22"/>
                <w:szCs w:val="22"/>
                <w:lang w:eastAsia="en-US"/>
              </w:rPr>
              <w:t xml:space="preserve">: </w:t>
            </w:r>
            <w:r w:rsidRPr="004C391A">
              <w:rPr>
                <w:rFonts w:ascii="Calibri" w:eastAsia="Calibri" w:hAnsi="Calibri"/>
                <w:sz w:val="22"/>
                <w:szCs w:val="22"/>
                <w:lang w:eastAsia="en-US"/>
              </w:rPr>
              <w:t>2297-306.</w:t>
            </w:r>
          </w:p>
        </w:tc>
      </w:tr>
      <w:tr w:rsidR="00973F27" w:rsidRPr="00D10C97" w14:paraId="2F297B7C" w14:textId="77777777" w:rsidTr="00973F27">
        <w:tc>
          <w:tcPr>
            <w:tcW w:w="567" w:type="dxa"/>
            <w:tcBorders>
              <w:top w:val="nil"/>
              <w:left w:val="nil"/>
              <w:bottom w:val="nil"/>
              <w:right w:val="nil"/>
            </w:tcBorders>
          </w:tcPr>
          <w:p w14:paraId="46F0EA1E" w14:textId="5D5DF412"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29.</w:t>
            </w:r>
          </w:p>
        </w:tc>
        <w:tc>
          <w:tcPr>
            <w:tcW w:w="7598" w:type="dxa"/>
            <w:tcBorders>
              <w:top w:val="nil"/>
              <w:left w:val="nil"/>
              <w:bottom w:val="nil"/>
              <w:right w:val="nil"/>
            </w:tcBorders>
            <w:shd w:val="clear" w:color="auto" w:fill="auto"/>
          </w:tcPr>
          <w:p w14:paraId="322E240B" w14:textId="77777777" w:rsidR="00973F27" w:rsidRPr="00D10C97" w:rsidRDefault="00973F27" w:rsidP="002444FF">
            <w:pPr>
              <w:spacing w:after="240"/>
              <w:rPr>
                <w:rFonts w:ascii="Calibri" w:eastAsia="Calibri" w:hAnsi="Calibri"/>
                <w:sz w:val="22"/>
                <w:szCs w:val="22"/>
                <w:lang w:eastAsia="en-US"/>
              </w:rPr>
            </w:pPr>
            <w:r w:rsidRPr="00D10C97">
              <w:rPr>
                <w:rFonts w:ascii="Calibri" w:eastAsia="Calibri" w:hAnsi="Calibri"/>
                <w:sz w:val="22"/>
                <w:szCs w:val="22"/>
                <w:lang w:eastAsia="en-US"/>
              </w:rPr>
              <w:t>Kanis JA., Oden A, McCloskey EV, Johansson HD, Wahl A, Cooper C (2012) A systematic review of hip fracture incidence and probability of fracture worldwide. Osteoporos Int 23 (9): 2239-56.</w:t>
            </w:r>
          </w:p>
        </w:tc>
      </w:tr>
      <w:tr w:rsidR="00973F27" w:rsidRPr="00D10C97" w14:paraId="674FAF7C" w14:textId="77777777" w:rsidTr="00973F27">
        <w:tc>
          <w:tcPr>
            <w:tcW w:w="567" w:type="dxa"/>
            <w:tcBorders>
              <w:top w:val="nil"/>
              <w:left w:val="nil"/>
              <w:bottom w:val="nil"/>
              <w:right w:val="nil"/>
            </w:tcBorders>
          </w:tcPr>
          <w:p w14:paraId="732150F0" w14:textId="7869479A"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30.</w:t>
            </w:r>
          </w:p>
        </w:tc>
        <w:tc>
          <w:tcPr>
            <w:tcW w:w="7598" w:type="dxa"/>
            <w:tcBorders>
              <w:top w:val="nil"/>
              <w:left w:val="nil"/>
              <w:bottom w:val="nil"/>
              <w:right w:val="nil"/>
            </w:tcBorders>
          </w:tcPr>
          <w:p w14:paraId="6EFC7CE1" w14:textId="77777777" w:rsidR="00973F27" w:rsidRPr="00D10C97" w:rsidRDefault="00973F27" w:rsidP="002444FF">
            <w:pPr>
              <w:spacing w:after="240"/>
              <w:rPr>
                <w:rFonts w:ascii="Calibri" w:eastAsia="Calibri" w:hAnsi="Calibri"/>
                <w:sz w:val="22"/>
                <w:szCs w:val="22"/>
                <w:lang w:eastAsia="en-US"/>
              </w:rPr>
            </w:pPr>
            <w:r w:rsidRPr="00D10C97">
              <w:rPr>
                <w:rFonts w:ascii="Calibri" w:eastAsia="Calibri" w:hAnsi="Calibri"/>
                <w:sz w:val="22"/>
                <w:szCs w:val="22"/>
                <w:lang w:eastAsia="en-US"/>
              </w:rPr>
              <w:t>Cooper C, Cole ZA, Holroyd CR, Earl SC, Harvey NC, Dennison EM Melton LJ3, Cummings SR, Kanis JA and the IOF CSA Working Group on Fracture Epidemiology (2011) Secular trends in the incidence of hip and other osteoporotic fractures. Osteoporos Int 22:1277–1288</w:t>
            </w:r>
          </w:p>
        </w:tc>
      </w:tr>
      <w:tr w:rsidR="00973F27" w:rsidRPr="00D10C97" w14:paraId="1401F1DE" w14:textId="77777777" w:rsidTr="00973F27">
        <w:tc>
          <w:tcPr>
            <w:tcW w:w="567" w:type="dxa"/>
            <w:tcBorders>
              <w:top w:val="nil"/>
              <w:left w:val="nil"/>
              <w:bottom w:val="nil"/>
              <w:right w:val="nil"/>
            </w:tcBorders>
          </w:tcPr>
          <w:p w14:paraId="7402865C" w14:textId="79ECE2D1"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31.</w:t>
            </w:r>
          </w:p>
        </w:tc>
        <w:tc>
          <w:tcPr>
            <w:tcW w:w="7598" w:type="dxa"/>
            <w:tcBorders>
              <w:top w:val="nil"/>
              <w:left w:val="nil"/>
              <w:bottom w:val="nil"/>
              <w:right w:val="nil"/>
            </w:tcBorders>
          </w:tcPr>
          <w:p w14:paraId="4F9EA3E2" w14:textId="77777777" w:rsidR="00973F27" w:rsidRPr="00D10C97" w:rsidRDefault="00973F27" w:rsidP="002444FF">
            <w:pPr>
              <w:spacing w:after="240"/>
              <w:rPr>
                <w:rFonts w:ascii="Calibri" w:eastAsia="Calibri" w:hAnsi="Calibri"/>
                <w:sz w:val="22"/>
                <w:szCs w:val="22"/>
                <w:lang w:eastAsia="en-US"/>
              </w:rPr>
            </w:pPr>
            <w:r w:rsidRPr="00D10C97">
              <w:rPr>
                <w:rFonts w:ascii="Calibri" w:eastAsia="Calibri" w:hAnsi="Calibri"/>
                <w:sz w:val="22"/>
                <w:szCs w:val="22"/>
                <w:lang w:eastAsia="en-US"/>
              </w:rPr>
              <w:t xml:space="preserve">International Osteoporosis Foundation (2011) The Eastern European &amp; Central Asian Regional Audit. Epidemiology, costs &amp; burden of osteoporosis in 2010. Naturaprint, France. Available at </w:t>
            </w:r>
            <w:hyperlink r:id="rId15" w:history="1">
              <w:r w:rsidRPr="00D10C97">
                <w:rPr>
                  <w:rFonts w:ascii="Calibri" w:eastAsia="Calibri" w:hAnsi="Calibri"/>
                  <w:color w:val="0563C1"/>
                  <w:sz w:val="22"/>
                  <w:szCs w:val="22"/>
                  <w:u w:val="single"/>
                  <w:lang w:eastAsia="en-US"/>
                </w:rPr>
                <w:t>https://www.iofbonehealth.org/sites/default/files/PDFs/Audit%20Eastern%20Europe_Central%20Asia/Eastern_European_Central_Asian_Audit_2010.pdf</w:t>
              </w:r>
            </w:hyperlink>
            <w:r w:rsidRPr="00D10C97">
              <w:rPr>
                <w:rFonts w:ascii="Calibri" w:eastAsia="Calibri" w:hAnsi="Calibri"/>
                <w:sz w:val="22"/>
                <w:szCs w:val="22"/>
                <w:lang w:eastAsia="en-US"/>
              </w:rPr>
              <w:t>.  Accessed 11 Dec 2018</w:t>
            </w:r>
          </w:p>
        </w:tc>
      </w:tr>
      <w:tr w:rsidR="00973F27" w:rsidRPr="00D10C97" w14:paraId="2E2C27D8" w14:textId="77777777" w:rsidTr="00973F27">
        <w:tc>
          <w:tcPr>
            <w:tcW w:w="567" w:type="dxa"/>
            <w:tcBorders>
              <w:top w:val="nil"/>
              <w:left w:val="nil"/>
              <w:bottom w:val="nil"/>
              <w:right w:val="nil"/>
            </w:tcBorders>
          </w:tcPr>
          <w:p w14:paraId="306EB40D" w14:textId="7460C925"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32.</w:t>
            </w:r>
          </w:p>
        </w:tc>
        <w:tc>
          <w:tcPr>
            <w:tcW w:w="7598" w:type="dxa"/>
            <w:tcBorders>
              <w:top w:val="nil"/>
              <w:left w:val="nil"/>
              <w:bottom w:val="nil"/>
              <w:right w:val="nil"/>
            </w:tcBorders>
          </w:tcPr>
          <w:p w14:paraId="7A266636" w14:textId="77777777" w:rsidR="00973F27" w:rsidRPr="00D10C97" w:rsidRDefault="00973F27" w:rsidP="006E3A35">
            <w:pPr>
              <w:spacing w:after="240"/>
              <w:rPr>
                <w:rFonts w:ascii="Calibri" w:eastAsia="Calibri" w:hAnsi="Calibri"/>
                <w:sz w:val="22"/>
                <w:szCs w:val="22"/>
                <w:lang w:eastAsia="en-US"/>
              </w:rPr>
            </w:pPr>
            <w:r w:rsidRPr="00D10C97">
              <w:rPr>
                <w:rFonts w:ascii="Calibri" w:eastAsia="Calibri" w:hAnsi="Calibri"/>
                <w:sz w:val="22"/>
                <w:szCs w:val="22"/>
                <w:lang w:eastAsia="en-US"/>
              </w:rPr>
              <w:t>Melton LJ, Crowson CS, O’Fallon WM (1999) Fracture incidence in Olmsted County, Minnesota: comparison of urban and with rural rates and changes in urban rates over time. Osteoporos Int  9: 29–37.</w:t>
            </w:r>
          </w:p>
        </w:tc>
      </w:tr>
      <w:tr w:rsidR="00973F27" w:rsidRPr="00D10C97" w14:paraId="226BC441" w14:textId="77777777" w:rsidTr="00973F27">
        <w:tc>
          <w:tcPr>
            <w:tcW w:w="567" w:type="dxa"/>
            <w:tcBorders>
              <w:top w:val="nil"/>
              <w:left w:val="nil"/>
              <w:bottom w:val="nil"/>
              <w:right w:val="nil"/>
            </w:tcBorders>
          </w:tcPr>
          <w:p w14:paraId="09106988" w14:textId="401195D0"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33.</w:t>
            </w:r>
          </w:p>
        </w:tc>
        <w:tc>
          <w:tcPr>
            <w:tcW w:w="7598" w:type="dxa"/>
            <w:tcBorders>
              <w:top w:val="nil"/>
              <w:left w:val="nil"/>
              <w:bottom w:val="nil"/>
              <w:right w:val="nil"/>
            </w:tcBorders>
          </w:tcPr>
          <w:p w14:paraId="7445521B" w14:textId="77777777" w:rsidR="00973F27" w:rsidRPr="00D10C97" w:rsidRDefault="00973F27" w:rsidP="006E3A35">
            <w:pPr>
              <w:spacing w:after="240"/>
              <w:rPr>
                <w:rFonts w:ascii="Calibri" w:eastAsia="Calibri" w:hAnsi="Calibri"/>
                <w:sz w:val="22"/>
                <w:szCs w:val="22"/>
                <w:lang w:eastAsia="en-US"/>
              </w:rPr>
            </w:pPr>
            <w:r w:rsidRPr="00D10C97">
              <w:rPr>
                <w:rFonts w:ascii="Calibri" w:eastAsia="Calibri" w:hAnsi="Calibri"/>
                <w:sz w:val="22"/>
                <w:szCs w:val="22"/>
                <w:lang w:eastAsia="en-US"/>
              </w:rPr>
              <w:t>Singer BR, McLauchlan CJ, Robinson CM, Christie J (1998) Epidemiology of fracture in 15.000 adults. The influence of age and gender. J Bone Joint Surg 80B: 234–8</w:t>
            </w:r>
          </w:p>
        </w:tc>
      </w:tr>
      <w:tr w:rsidR="00973F27" w:rsidRPr="00D10C97" w14:paraId="0B0A7A1B" w14:textId="77777777" w:rsidTr="00973F27">
        <w:tc>
          <w:tcPr>
            <w:tcW w:w="567" w:type="dxa"/>
            <w:tcBorders>
              <w:top w:val="nil"/>
              <w:left w:val="nil"/>
              <w:bottom w:val="nil"/>
              <w:right w:val="nil"/>
            </w:tcBorders>
          </w:tcPr>
          <w:p w14:paraId="3978064A" w14:textId="0574507D" w:rsidR="00973F27" w:rsidRPr="00D10C97" w:rsidRDefault="00973F27" w:rsidP="00973F27">
            <w:pPr>
              <w:spacing w:after="240"/>
              <w:jc w:val="right"/>
              <w:rPr>
                <w:rFonts w:ascii="Calibri" w:eastAsia="Calibri" w:hAnsi="Calibri"/>
                <w:sz w:val="22"/>
                <w:szCs w:val="22"/>
                <w:lang w:eastAsia="en-US"/>
              </w:rPr>
            </w:pPr>
            <w:r>
              <w:rPr>
                <w:rFonts w:ascii="Calibri" w:eastAsia="Calibri" w:hAnsi="Calibri"/>
                <w:sz w:val="22"/>
                <w:szCs w:val="22"/>
                <w:lang w:eastAsia="en-US"/>
              </w:rPr>
              <w:t>34.</w:t>
            </w:r>
          </w:p>
        </w:tc>
        <w:tc>
          <w:tcPr>
            <w:tcW w:w="7598" w:type="dxa"/>
            <w:tcBorders>
              <w:top w:val="nil"/>
              <w:left w:val="nil"/>
              <w:bottom w:val="nil"/>
              <w:right w:val="nil"/>
            </w:tcBorders>
          </w:tcPr>
          <w:p w14:paraId="18DA5563" w14:textId="77777777" w:rsidR="00973F27" w:rsidRPr="00D10C97" w:rsidRDefault="00973F27" w:rsidP="002444FF">
            <w:pPr>
              <w:spacing w:after="240"/>
              <w:rPr>
                <w:rFonts w:ascii="Calibri" w:eastAsia="Calibri" w:hAnsi="Calibri"/>
                <w:sz w:val="22"/>
                <w:szCs w:val="22"/>
                <w:lang w:eastAsia="en-US"/>
              </w:rPr>
            </w:pPr>
            <w:r w:rsidRPr="00D10C97">
              <w:rPr>
                <w:rFonts w:ascii="Calibri" w:eastAsia="Calibri" w:hAnsi="Calibri"/>
                <w:sz w:val="22"/>
                <w:szCs w:val="22"/>
                <w:lang w:eastAsia="en-US"/>
              </w:rPr>
              <w:t>Sanders KM, Seeman E, Ugoni AM, Pasco JA, Martin TJ, Skoric B, Nicholson GC, Kotowicz MA (1999) Age- and gender speciﬁc rate of fractures in Australia: a population-based study. Osteoporos Int 10:2 40–7.</w:t>
            </w:r>
          </w:p>
        </w:tc>
      </w:tr>
      <w:tr w:rsidR="00973F27" w:rsidRPr="00D10C97" w14:paraId="5C988012" w14:textId="77777777" w:rsidTr="00973F27">
        <w:tc>
          <w:tcPr>
            <w:tcW w:w="567" w:type="dxa"/>
            <w:tcBorders>
              <w:top w:val="nil"/>
              <w:left w:val="nil"/>
              <w:bottom w:val="nil"/>
              <w:right w:val="nil"/>
            </w:tcBorders>
          </w:tcPr>
          <w:p w14:paraId="3B520F6D" w14:textId="7388CA9E"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35.</w:t>
            </w:r>
          </w:p>
        </w:tc>
        <w:tc>
          <w:tcPr>
            <w:tcW w:w="7598" w:type="dxa"/>
            <w:tcBorders>
              <w:top w:val="nil"/>
              <w:left w:val="nil"/>
              <w:bottom w:val="nil"/>
              <w:right w:val="nil"/>
            </w:tcBorders>
          </w:tcPr>
          <w:p w14:paraId="68FA122F" w14:textId="77777777" w:rsidR="00973F27" w:rsidRPr="00D10C97" w:rsidRDefault="00973F27" w:rsidP="00AC34E1">
            <w:pPr>
              <w:spacing w:after="240"/>
              <w:rPr>
                <w:rFonts w:ascii="Calibri" w:eastAsia="Calibri" w:hAnsi="Calibri"/>
                <w:sz w:val="22"/>
                <w:szCs w:val="22"/>
                <w:lang w:eastAsia="en-US"/>
              </w:rPr>
            </w:pPr>
            <w:r w:rsidRPr="00D10C97">
              <w:rPr>
                <w:rFonts w:ascii="Calibri" w:eastAsia="Calibri" w:hAnsi="Calibri"/>
                <w:sz w:val="22"/>
                <w:szCs w:val="22"/>
                <w:lang w:eastAsia="en-US"/>
              </w:rPr>
              <w:t>Kanis JA, Johnell O, Oden A, Sernbo I, Redlund-Johnell I, Dawson A, de Laet C, Jonsson B (2000) Long-term risk of osteoporotic fractures in Malmo. Osteoporos Int 11:669–674</w:t>
            </w:r>
          </w:p>
        </w:tc>
      </w:tr>
      <w:tr w:rsidR="00973F27" w:rsidRPr="00D10C97" w14:paraId="3D87A93D" w14:textId="77777777" w:rsidTr="00973F27">
        <w:tc>
          <w:tcPr>
            <w:tcW w:w="567" w:type="dxa"/>
            <w:tcBorders>
              <w:top w:val="nil"/>
              <w:left w:val="nil"/>
              <w:bottom w:val="nil"/>
              <w:right w:val="nil"/>
            </w:tcBorders>
          </w:tcPr>
          <w:p w14:paraId="0311DAD1" w14:textId="61D21598"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36.</w:t>
            </w:r>
          </w:p>
        </w:tc>
        <w:tc>
          <w:tcPr>
            <w:tcW w:w="7598" w:type="dxa"/>
            <w:tcBorders>
              <w:top w:val="nil"/>
              <w:left w:val="nil"/>
              <w:bottom w:val="nil"/>
              <w:right w:val="nil"/>
            </w:tcBorders>
          </w:tcPr>
          <w:p w14:paraId="11EFF49B" w14:textId="77777777" w:rsidR="00973F27" w:rsidRPr="00D10C97" w:rsidRDefault="00973F27" w:rsidP="00AC34E1">
            <w:pPr>
              <w:spacing w:after="240"/>
              <w:rPr>
                <w:rFonts w:ascii="Calibri" w:eastAsia="Calibri" w:hAnsi="Calibri"/>
                <w:sz w:val="22"/>
                <w:szCs w:val="22"/>
                <w:lang w:eastAsia="en-US"/>
              </w:rPr>
            </w:pPr>
            <w:r w:rsidRPr="00D10C97">
              <w:rPr>
                <w:rFonts w:ascii="Calibri" w:eastAsia="Calibri" w:hAnsi="Calibri"/>
                <w:sz w:val="22"/>
                <w:szCs w:val="22"/>
                <w:lang w:eastAsia="en-US"/>
              </w:rPr>
              <w:t>Johnell O, Gullberg B, Kanis JA (1997) The hospital burden of vertebral fracture in Europe: a study of national register sources.  Osteoporos Int 7: 138-144</w:t>
            </w:r>
          </w:p>
        </w:tc>
      </w:tr>
      <w:tr w:rsidR="00973F27" w:rsidRPr="00D10C97" w14:paraId="77F1854A" w14:textId="77777777" w:rsidTr="00973F27">
        <w:tc>
          <w:tcPr>
            <w:tcW w:w="567" w:type="dxa"/>
            <w:tcBorders>
              <w:top w:val="nil"/>
              <w:left w:val="nil"/>
              <w:bottom w:val="nil"/>
              <w:right w:val="nil"/>
            </w:tcBorders>
          </w:tcPr>
          <w:p w14:paraId="3EC34DD0" w14:textId="53934E58"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37.</w:t>
            </w:r>
          </w:p>
        </w:tc>
        <w:tc>
          <w:tcPr>
            <w:tcW w:w="7598" w:type="dxa"/>
            <w:tcBorders>
              <w:top w:val="nil"/>
              <w:left w:val="nil"/>
              <w:bottom w:val="nil"/>
              <w:right w:val="nil"/>
            </w:tcBorders>
          </w:tcPr>
          <w:p w14:paraId="10B12BFF" w14:textId="77777777" w:rsidR="00973F27" w:rsidRPr="00D10C97" w:rsidRDefault="00973F27" w:rsidP="00AC34E1">
            <w:pPr>
              <w:spacing w:after="240"/>
              <w:rPr>
                <w:rFonts w:ascii="Calibri" w:eastAsia="Calibri" w:hAnsi="Calibri"/>
                <w:sz w:val="22"/>
                <w:szCs w:val="22"/>
                <w:lang w:eastAsia="en-US"/>
              </w:rPr>
            </w:pPr>
            <w:r w:rsidRPr="00D10C97">
              <w:rPr>
                <w:rFonts w:ascii="Calibri" w:eastAsia="Calibri" w:hAnsi="Calibri"/>
                <w:sz w:val="22"/>
                <w:szCs w:val="22"/>
                <w:lang w:eastAsia="en-US"/>
              </w:rPr>
              <w:t>Melton LJ (1995) Epidemiology of fractures. In: Riggs BL, Melton LJ (eds) Osteoporosis: etiology, diagnosis and management, 2ndedn. Lippincott-Raven, Philadelphia, pp 225–227</w:t>
            </w:r>
          </w:p>
        </w:tc>
      </w:tr>
      <w:tr w:rsidR="00973F27" w:rsidRPr="00D10C97" w14:paraId="774D5012" w14:textId="77777777" w:rsidTr="00973F27">
        <w:tc>
          <w:tcPr>
            <w:tcW w:w="567" w:type="dxa"/>
            <w:tcBorders>
              <w:top w:val="nil"/>
              <w:left w:val="nil"/>
              <w:bottom w:val="nil"/>
              <w:right w:val="nil"/>
            </w:tcBorders>
          </w:tcPr>
          <w:p w14:paraId="6DD6343C" w14:textId="489AF50E"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38.</w:t>
            </w:r>
          </w:p>
        </w:tc>
        <w:tc>
          <w:tcPr>
            <w:tcW w:w="7598" w:type="dxa"/>
            <w:tcBorders>
              <w:top w:val="nil"/>
              <w:left w:val="nil"/>
              <w:bottom w:val="nil"/>
              <w:right w:val="nil"/>
            </w:tcBorders>
          </w:tcPr>
          <w:p w14:paraId="41D72FB0" w14:textId="77777777" w:rsidR="00973F27" w:rsidRPr="00D10C97" w:rsidRDefault="00973F27" w:rsidP="006672FA">
            <w:pPr>
              <w:spacing w:after="240"/>
              <w:rPr>
                <w:rFonts w:ascii="Calibri" w:eastAsia="Calibri" w:hAnsi="Calibri"/>
                <w:sz w:val="22"/>
                <w:szCs w:val="22"/>
                <w:lang w:eastAsia="en-US"/>
              </w:rPr>
            </w:pPr>
            <w:r w:rsidRPr="00D10C97">
              <w:rPr>
                <w:rFonts w:ascii="Calibri" w:eastAsia="Calibri" w:hAnsi="Calibri"/>
                <w:sz w:val="22"/>
                <w:szCs w:val="22"/>
                <w:lang w:eastAsia="en-US"/>
              </w:rPr>
              <w:t>Cauley JA, Chalhoub D, Kassem AM, Fuleihan G el-H (2014) Geographic and ethnic disparities in osteoporotic fractures. Nat Rev Endocrinol 10: 338-51</w:t>
            </w:r>
          </w:p>
        </w:tc>
      </w:tr>
      <w:tr w:rsidR="00973F27" w:rsidRPr="00D10C97" w14:paraId="44E8C60D" w14:textId="77777777" w:rsidTr="00973F27">
        <w:tc>
          <w:tcPr>
            <w:tcW w:w="567" w:type="dxa"/>
            <w:tcBorders>
              <w:top w:val="nil"/>
              <w:left w:val="nil"/>
              <w:bottom w:val="nil"/>
              <w:right w:val="nil"/>
            </w:tcBorders>
          </w:tcPr>
          <w:p w14:paraId="28B0A7C0" w14:textId="7BB7FAE4"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39.</w:t>
            </w:r>
          </w:p>
        </w:tc>
        <w:tc>
          <w:tcPr>
            <w:tcW w:w="7598" w:type="dxa"/>
            <w:tcBorders>
              <w:top w:val="nil"/>
              <w:left w:val="nil"/>
              <w:bottom w:val="nil"/>
              <w:right w:val="nil"/>
            </w:tcBorders>
          </w:tcPr>
          <w:p w14:paraId="3BD3BC3A" w14:textId="77777777" w:rsidR="00973F27" w:rsidRPr="00D10C97" w:rsidRDefault="00973F27" w:rsidP="006672FA">
            <w:pPr>
              <w:spacing w:after="240"/>
              <w:rPr>
                <w:rFonts w:ascii="Calibri" w:eastAsia="Calibri" w:hAnsi="Calibri"/>
                <w:sz w:val="22"/>
                <w:szCs w:val="22"/>
                <w:lang w:eastAsia="en-US"/>
              </w:rPr>
            </w:pPr>
            <w:r w:rsidRPr="00D10C97">
              <w:rPr>
                <w:rFonts w:ascii="Calibri" w:eastAsia="Calibri" w:hAnsi="Calibri"/>
                <w:sz w:val="22"/>
                <w:szCs w:val="22"/>
                <w:lang w:eastAsia="en-US"/>
              </w:rPr>
              <w:t>Karacić TP, Kopjar B (2009). Hip fracture incidence in Croatia in patients aged 65 years and more. Lijec Vjesn 131: 9-13</w:t>
            </w:r>
          </w:p>
        </w:tc>
      </w:tr>
      <w:tr w:rsidR="00973F27" w:rsidRPr="00D10C97" w14:paraId="672637E5" w14:textId="77777777" w:rsidTr="005525C4">
        <w:tc>
          <w:tcPr>
            <w:tcW w:w="567" w:type="dxa"/>
            <w:tcBorders>
              <w:top w:val="nil"/>
              <w:left w:val="nil"/>
              <w:bottom w:val="nil"/>
              <w:right w:val="nil"/>
            </w:tcBorders>
          </w:tcPr>
          <w:p w14:paraId="42CB12A2" w14:textId="5C20F0BE"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40.</w:t>
            </w:r>
          </w:p>
        </w:tc>
        <w:tc>
          <w:tcPr>
            <w:tcW w:w="7598" w:type="dxa"/>
            <w:tcBorders>
              <w:top w:val="nil"/>
              <w:left w:val="nil"/>
              <w:bottom w:val="nil"/>
              <w:right w:val="nil"/>
            </w:tcBorders>
          </w:tcPr>
          <w:p w14:paraId="3E97F887" w14:textId="77777777" w:rsidR="00973F27" w:rsidRPr="00D10C97" w:rsidRDefault="00973F27" w:rsidP="006672FA">
            <w:pPr>
              <w:spacing w:after="240"/>
              <w:rPr>
                <w:rFonts w:ascii="Calibri" w:eastAsia="Calibri" w:hAnsi="Calibri"/>
                <w:sz w:val="22"/>
                <w:szCs w:val="22"/>
                <w:lang w:eastAsia="en-US"/>
              </w:rPr>
            </w:pPr>
            <w:r w:rsidRPr="00D10C97">
              <w:rPr>
                <w:rFonts w:ascii="Calibri" w:eastAsia="Calibri" w:hAnsi="Calibri"/>
                <w:sz w:val="22"/>
                <w:szCs w:val="22"/>
                <w:lang w:eastAsia="en-US"/>
              </w:rPr>
              <w:t>Lippuner K, Johansson H, Kanis JA, Rizzoli R (2010) FRAX assessment of osteoporotic fracture probability in Switzerland. Osteoporos Int 21: 381-9</w:t>
            </w:r>
          </w:p>
        </w:tc>
      </w:tr>
      <w:tr w:rsidR="00973F27" w:rsidRPr="00D10C97" w14:paraId="3E298C73" w14:textId="77777777" w:rsidTr="005525C4">
        <w:tc>
          <w:tcPr>
            <w:tcW w:w="567" w:type="dxa"/>
            <w:tcBorders>
              <w:top w:val="nil"/>
              <w:left w:val="nil"/>
              <w:bottom w:val="nil"/>
              <w:right w:val="nil"/>
            </w:tcBorders>
          </w:tcPr>
          <w:p w14:paraId="45A7942C" w14:textId="76C082DC" w:rsidR="00973F27" w:rsidRPr="00D10C97" w:rsidRDefault="00973F27" w:rsidP="00973F27">
            <w:pPr>
              <w:spacing w:after="240"/>
              <w:jc w:val="right"/>
              <w:rPr>
                <w:rFonts w:ascii="Calibri" w:eastAsia="Calibri" w:hAnsi="Calibri"/>
                <w:sz w:val="22"/>
                <w:szCs w:val="22"/>
                <w:lang w:eastAsia="en-US"/>
              </w:rPr>
            </w:pPr>
            <w:r w:rsidRPr="00D10C97">
              <w:rPr>
                <w:rFonts w:ascii="Calibri" w:eastAsia="Calibri" w:hAnsi="Calibri"/>
                <w:sz w:val="22"/>
                <w:szCs w:val="22"/>
                <w:lang w:eastAsia="en-US"/>
              </w:rPr>
              <w:t>41.</w:t>
            </w:r>
          </w:p>
        </w:tc>
        <w:tc>
          <w:tcPr>
            <w:tcW w:w="7598" w:type="dxa"/>
            <w:tcBorders>
              <w:top w:val="nil"/>
              <w:left w:val="nil"/>
              <w:bottom w:val="nil"/>
              <w:right w:val="nil"/>
            </w:tcBorders>
          </w:tcPr>
          <w:p w14:paraId="2814B9D3" w14:textId="77777777" w:rsidR="00973F27" w:rsidRPr="00D10C97" w:rsidRDefault="00973F27" w:rsidP="006672FA">
            <w:pPr>
              <w:spacing w:after="240"/>
              <w:rPr>
                <w:rFonts w:ascii="Calibri" w:eastAsia="Calibri" w:hAnsi="Calibri"/>
                <w:sz w:val="22"/>
                <w:szCs w:val="22"/>
                <w:lang w:eastAsia="en-US"/>
              </w:rPr>
            </w:pPr>
            <w:r w:rsidRPr="00D10C97">
              <w:rPr>
                <w:rFonts w:ascii="Calibri" w:eastAsia="Calibri" w:hAnsi="Calibri"/>
                <w:sz w:val="22"/>
                <w:szCs w:val="22"/>
                <w:lang w:eastAsia="en-US"/>
              </w:rPr>
              <w:t>Emaus N, Olsen LR, Ahmed LA, Balteskard L, Jacobsen BK, Magnus T, Ytterstad B (2011) Hip fractures in a city in Northern Norway over 15 years: time trends, seasonal variation and mortality: the Harstad Injury Prevention Study. Osteoporos Int 22: 2603–2610</w:t>
            </w:r>
          </w:p>
        </w:tc>
      </w:tr>
      <w:tr w:rsidR="00973F27" w:rsidRPr="00D10C97" w14:paraId="78D5A2D6" w14:textId="77777777" w:rsidTr="005525C4">
        <w:tc>
          <w:tcPr>
            <w:tcW w:w="567" w:type="dxa"/>
            <w:tcBorders>
              <w:top w:val="nil"/>
              <w:left w:val="nil"/>
              <w:bottom w:val="nil"/>
              <w:right w:val="nil"/>
            </w:tcBorders>
          </w:tcPr>
          <w:p w14:paraId="222A39D9" w14:textId="25431052" w:rsidR="00973F27" w:rsidRPr="00D10C97" w:rsidRDefault="00973F27" w:rsidP="00973F27">
            <w:pPr>
              <w:spacing w:after="240"/>
              <w:jc w:val="right"/>
              <w:rPr>
                <w:rFonts w:ascii="Calibri" w:eastAsia="Calibri" w:hAnsi="Calibri"/>
                <w:sz w:val="22"/>
                <w:szCs w:val="22"/>
                <w:lang w:eastAsia="en-US"/>
              </w:rPr>
            </w:pPr>
            <w:r>
              <w:rPr>
                <w:rFonts w:ascii="Calibri" w:eastAsia="Calibri" w:hAnsi="Calibri"/>
                <w:sz w:val="22"/>
                <w:szCs w:val="22"/>
                <w:lang w:eastAsia="en-US"/>
              </w:rPr>
              <w:t>42.</w:t>
            </w:r>
          </w:p>
        </w:tc>
        <w:tc>
          <w:tcPr>
            <w:tcW w:w="7598" w:type="dxa"/>
            <w:tcBorders>
              <w:top w:val="nil"/>
              <w:left w:val="nil"/>
              <w:bottom w:val="nil"/>
              <w:right w:val="nil"/>
            </w:tcBorders>
          </w:tcPr>
          <w:p w14:paraId="54EBE5A4" w14:textId="77777777" w:rsidR="00973F27" w:rsidRPr="00D10C97" w:rsidRDefault="00973F27" w:rsidP="006672FA">
            <w:pPr>
              <w:spacing w:after="240"/>
              <w:rPr>
                <w:rFonts w:ascii="Calibri" w:eastAsia="Calibri" w:hAnsi="Calibri"/>
                <w:sz w:val="22"/>
                <w:szCs w:val="22"/>
                <w:lang w:eastAsia="en-US"/>
              </w:rPr>
            </w:pPr>
            <w:r w:rsidRPr="00D10C97">
              <w:rPr>
                <w:rFonts w:ascii="Calibri" w:eastAsia="Calibri" w:hAnsi="Calibri"/>
                <w:sz w:val="22"/>
                <w:szCs w:val="22"/>
                <w:lang w:eastAsia="en-US"/>
              </w:rPr>
              <w:t>Morosano M, Masoni A, Sánchez A (2005) Incidence of hip fractures in the city of Rosario, Argentina: Osteoporos Int 16: 1339–1344</w:t>
            </w:r>
          </w:p>
        </w:tc>
      </w:tr>
      <w:tr w:rsidR="00973F27" w:rsidRPr="00D10C97" w14:paraId="39AFBDB7" w14:textId="77777777" w:rsidTr="005525C4">
        <w:tc>
          <w:tcPr>
            <w:tcW w:w="567" w:type="dxa"/>
            <w:tcBorders>
              <w:top w:val="nil"/>
              <w:left w:val="nil"/>
              <w:bottom w:val="nil"/>
              <w:right w:val="nil"/>
            </w:tcBorders>
          </w:tcPr>
          <w:p w14:paraId="202E1A42" w14:textId="7250B482" w:rsidR="00973F27" w:rsidRPr="00D10C97" w:rsidRDefault="00973F27" w:rsidP="00973F27">
            <w:pPr>
              <w:spacing w:after="240"/>
              <w:jc w:val="right"/>
              <w:rPr>
                <w:rFonts w:ascii="Calibri" w:eastAsia="Calibri" w:hAnsi="Calibri"/>
                <w:sz w:val="22"/>
                <w:szCs w:val="22"/>
                <w:lang w:eastAsia="en-US"/>
              </w:rPr>
            </w:pPr>
            <w:r>
              <w:rPr>
                <w:rFonts w:ascii="Calibri" w:eastAsia="Calibri" w:hAnsi="Calibri"/>
                <w:sz w:val="22"/>
                <w:szCs w:val="22"/>
                <w:lang w:eastAsia="en-US"/>
              </w:rPr>
              <w:t>43.</w:t>
            </w:r>
          </w:p>
        </w:tc>
        <w:tc>
          <w:tcPr>
            <w:tcW w:w="7598" w:type="dxa"/>
            <w:tcBorders>
              <w:top w:val="nil"/>
              <w:left w:val="nil"/>
              <w:bottom w:val="nil"/>
              <w:right w:val="nil"/>
            </w:tcBorders>
          </w:tcPr>
          <w:p w14:paraId="6EE74785" w14:textId="77777777" w:rsidR="00973F27" w:rsidRPr="00D10C97" w:rsidRDefault="00973F27" w:rsidP="006672FA">
            <w:pPr>
              <w:spacing w:after="240"/>
              <w:rPr>
                <w:rFonts w:ascii="Calibri" w:eastAsia="Calibri" w:hAnsi="Calibri"/>
                <w:sz w:val="22"/>
                <w:szCs w:val="22"/>
                <w:lang w:eastAsia="en-US"/>
              </w:rPr>
            </w:pPr>
            <w:r w:rsidRPr="00D10C97">
              <w:rPr>
                <w:rFonts w:ascii="Calibri" w:eastAsia="Calibri" w:hAnsi="Calibri"/>
                <w:sz w:val="22"/>
                <w:szCs w:val="22"/>
                <w:lang w:eastAsia="en-US"/>
              </w:rPr>
              <w:t>Elffors L, Allander E, Kanis JA, Gullberg B, Johnell O, Dequeker J, Dilzen G, Gennari C, Lopez-Vaz AA, Lyritis G, Mazzuoli GF, Miravet L, Passeri M, Perez Cano R, Rapado A, Ribot C (1994) The variable incidence of hip fracture in Southern Europe.  The MEDOS Study. Osteoporos Int 4: 253-263</w:t>
            </w:r>
          </w:p>
        </w:tc>
      </w:tr>
      <w:tr w:rsidR="00FB775D" w:rsidRPr="00D10C97" w14:paraId="6E1A58E5" w14:textId="77777777" w:rsidTr="005525C4">
        <w:tc>
          <w:tcPr>
            <w:tcW w:w="567" w:type="dxa"/>
            <w:tcBorders>
              <w:top w:val="nil"/>
              <w:left w:val="nil"/>
              <w:bottom w:val="nil"/>
              <w:right w:val="nil"/>
            </w:tcBorders>
          </w:tcPr>
          <w:p w14:paraId="01686BA0" w14:textId="27C36E08" w:rsidR="00FB775D" w:rsidRDefault="00FB775D" w:rsidP="00973F27">
            <w:pPr>
              <w:spacing w:after="240"/>
              <w:jc w:val="right"/>
              <w:rPr>
                <w:rFonts w:ascii="Calibri" w:eastAsia="Calibri" w:hAnsi="Calibri"/>
                <w:sz w:val="22"/>
                <w:szCs w:val="22"/>
                <w:lang w:eastAsia="en-US"/>
              </w:rPr>
            </w:pPr>
            <w:r>
              <w:rPr>
                <w:rFonts w:ascii="Calibri" w:eastAsia="Calibri" w:hAnsi="Calibri"/>
                <w:sz w:val="22"/>
                <w:szCs w:val="22"/>
                <w:lang w:eastAsia="en-US"/>
              </w:rPr>
              <w:t>44.</w:t>
            </w:r>
          </w:p>
        </w:tc>
        <w:tc>
          <w:tcPr>
            <w:tcW w:w="7598" w:type="dxa"/>
            <w:tcBorders>
              <w:top w:val="nil"/>
              <w:left w:val="nil"/>
              <w:bottom w:val="nil"/>
              <w:right w:val="nil"/>
            </w:tcBorders>
          </w:tcPr>
          <w:p w14:paraId="1DF57F1E" w14:textId="775F116D" w:rsidR="00FB775D" w:rsidRPr="00D10C97" w:rsidRDefault="00B679C6" w:rsidP="006672FA">
            <w:pPr>
              <w:spacing w:after="240"/>
              <w:rPr>
                <w:rFonts w:ascii="Calibri" w:eastAsia="Calibri" w:hAnsi="Calibri"/>
                <w:sz w:val="22"/>
                <w:szCs w:val="22"/>
                <w:lang w:eastAsia="en-US"/>
              </w:rPr>
            </w:pPr>
            <w:r w:rsidRPr="00B679C6">
              <w:rPr>
                <w:rFonts w:ascii="Calibri" w:eastAsia="Calibri" w:hAnsi="Calibri"/>
                <w:sz w:val="22"/>
                <w:szCs w:val="22"/>
                <w:lang w:eastAsia="en-US"/>
              </w:rPr>
              <w:t xml:space="preserve">Sanders KM, Pasco JA, Ugoni AM, </w:t>
            </w:r>
            <w:r w:rsidR="00C80E79" w:rsidRPr="00C80E79">
              <w:rPr>
                <w:rFonts w:ascii="Calibri" w:eastAsia="Calibri" w:hAnsi="Calibri"/>
                <w:sz w:val="22"/>
                <w:szCs w:val="22"/>
                <w:lang w:eastAsia="en-US"/>
              </w:rPr>
              <w:t>Nicholson</w:t>
            </w:r>
            <w:r w:rsidR="002E1FA5">
              <w:rPr>
                <w:rFonts w:ascii="Calibri" w:eastAsia="Calibri" w:hAnsi="Calibri"/>
                <w:sz w:val="22"/>
                <w:szCs w:val="22"/>
                <w:lang w:eastAsia="en-US"/>
              </w:rPr>
              <w:t xml:space="preserve"> GC</w:t>
            </w:r>
            <w:r w:rsidR="00C80E79" w:rsidRPr="00C80E79">
              <w:rPr>
                <w:rFonts w:ascii="Calibri" w:eastAsia="Calibri" w:hAnsi="Calibri"/>
                <w:sz w:val="22"/>
                <w:szCs w:val="22"/>
                <w:lang w:eastAsia="en-US"/>
              </w:rPr>
              <w:t>, Seeman</w:t>
            </w:r>
            <w:r w:rsidR="002E1FA5">
              <w:rPr>
                <w:rFonts w:ascii="Calibri" w:eastAsia="Calibri" w:hAnsi="Calibri"/>
                <w:sz w:val="22"/>
                <w:szCs w:val="22"/>
                <w:lang w:eastAsia="en-US"/>
              </w:rPr>
              <w:t xml:space="preserve"> E</w:t>
            </w:r>
            <w:r w:rsidR="00C80E79" w:rsidRPr="00C80E79">
              <w:rPr>
                <w:rFonts w:ascii="Calibri" w:eastAsia="Calibri" w:hAnsi="Calibri"/>
                <w:sz w:val="22"/>
                <w:szCs w:val="22"/>
                <w:lang w:eastAsia="en-US"/>
              </w:rPr>
              <w:t>, Martin</w:t>
            </w:r>
            <w:r w:rsidR="002E1FA5">
              <w:rPr>
                <w:rFonts w:ascii="Calibri" w:eastAsia="Calibri" w:hAnsi="Calibri"/>
                <w:sz w:val="22"/>
                <w:szCs w:val="22"/>
                <w:lang w:eastAsia="en-US"/>
              </w:rPr>
              <w:t xml:space="preserve"> TJ</w:t>
            </w:r>
            <w:r w:rsidR="00C80E79" w:rsidRPr="00C80E79">
              <w:rPr>
                <w:rFonts w:ascii="Calibri" w:eastAsia="Calibri" w:hAnsi="Calibri"/>
                <w:sz w:val="22"/>
                <w:szCs w:val="22"/>
                <w:lang w:eastAsia="en-US"/>
              </w:rPr>
              <w:t>, Skoric</w:t>
            </w:r>
            <w:r w:rsidR="002E1FA5">
              <w:rPr>
                <w:rFonts w:ascii="Calibri" w:eastAsia="Calibri" w:hAnsi="Calibri"/>
                <w:sz w:val="22"/>
                <w:szCs w:val="22"/>
                <w:lang w:eastAsia="en-US"/>
              </w:rPr>
              <w:t xml:space="preserve"> B</w:t>
            </w:r>
            <w:r w:rsidR="00C80E79" w:rsidRPr="00C80E79">
              <w:rPr>
                <w:rFonts w:ascii="Calibri" w:eastAsia="Calibri" w:hAnsi="Calibri"/>
                <w:sz w:val="22"/>
                <w:szCs w:val="22"/>
                <w:lang w:eastAsia="en-US"/>
              </w:rPr>
              <w:t>, Panahi</w:t>
            </w:r>
            <w:r w:rsidR="002E1FA5">
              <w:rPr>
                <w:rFonts w:ascii="Calibri" w:eastAsia="Calibri" w:hAnsi="Calibri"/>
                <w:sz w:val="22"/>
                <w:szCs w:val="22"/>
                <w:lang w:eastAsia="en-US"/>
              </w:rPr>
              <w:t xml:space="preserve"> S,</w:t>
            </w:r>
            <w:r w:rsidR="00C80E79" w:rsidRPr="00C80E79">
              <w:rPr>
                <w:rFonts w:ascii="Calibri" w:eastAsia="Calibri" w:hAnsi="Calibri"/>
                <w:sz w:val="22"/>
                <w:szCs w:val="22"/>
                <w:lang w:eastAsia="en-US"/>
              </w:rPr>
              <w:t xml:space="preserve"> Kotowicz</w:t>
            </w:r>
            <w:r w:rsidR="002E1FA5">
              <w:rPr>
                <w:rFonts w:ascii="Calibri" w:eastAsia="Calibri" w:hAnsi="Calibri"/>
                <w:sz w:val="22"/>
                <w:szCs w:val="22"/>
                <w:lang w:eastAsia="en-US"/>
              </w:rPr>
              <w:t xml:space="preserve"> MA</w:t>
            </w:r>
            <w:r w:rsidRPr="00B679C6">
              <w:rPr>
                <w:rFonts w:ascii="Calibri" w:eastAsia="Calibri" w:hAnsi="Calibri"/>
                <w:sz w:val="22"/>
                <w:szCs w:val="22"/>
                <w:lang w:eastAsia="en-US"/>
              </w:rPr>
              <w:t xml:space="preserve"> (1998) The exclusion of high trauma fractures may underestimate the prevalence of bone fragility fractures in the community: the Geelong Osteoporosis Study. J Bone Miner Res 13: 1337–42</w:t>
            </w:r>
          </w:p>
        </w:tc>
      </w:tr>
      <w:tr w:rsidR="00FB775D" w:rsidRPr="00D10C97" w14:paraId="5BDF4F14" w14:textId="77777777" w:rsidTr="005525C4">
        <w:tc>
          <w:tcPr>
            <w:tcW w:w="567" w:type="dxa"/>
            <w:tcBorders>
              <w:top w:val="nil"/>
              <w:left w:val="nil"/>
              <w:bottom w:val="nil"/>
              <w:right w:val="nil"/>
            </w:tcBorders>
          </w:tcPr>
          <w:p w14:paraId="6F66BBFD" w14:textId="5F417108" w:rsidR="00FB775D" w:rsidRDefault="001E4DC0" w:rsidP="00973F27">
            <w:pPr>
              <w:spacing w:after="240"/>
              <w:jc w:val="right"/>
              <w:rPr>
                <w:rFonts w:ascii="Calibri" w:eastAsia="Calibri" w:hAnsi="Calibri"/>
                <w:sz w:val="22"/>
                <w:szCs w:val="22"/>
                <w:lang w:eastAsia="en-US"/>
              </w:rPr>
            </w:pPr>
            <w:r>
              <w:rPr>
                <w:rFonts w:ascii="Calibri" w:eastAsia="Calibri" w:hAnsi="Calibri"/>
                <w:sz w:val="22"/>
                <w:szCs w:val="22"/>
                <w:lang w:eastAsia="en-US"/>
              </w:rPr>
              <w:t>45.</w:t>
            </w:r>
          </w:p>
        </w:tc>
        <w:tc>
          <w:tcPr>
            <w:tcW w:w="7598" w:type="dxa"/>
            <w:tcBorders>
              <w:top w:val="nil"/>
              <w:left w:val="nil"/>
              <w:bottom w:val="nil"/>
              <w:right w:val="nil"/>
            </w:tcBorders>
          </w:tcPr>
          <w:p w14:paraId="5346BD77" w14:textId="06782FB5" w:rsidR="00FB775D" w:rsidRPr="00D10C97" w:rsidRDefault="00CF4772" w:rsidP="006672FA">
            <w:pPr>
              <w:spacing w:after="240"/>
              <w:rPr>
                <w:rFonts w:ascii="Calibri" w:eastAsia="Calibri" w:hAnsi="Calibri"/>
                <w:sz w:val="22"/>
                <w:szCs w:val="22"/>
                <w:lang w:eastAsia="en-US"/>
              </w:rPr>
            </w:pPr>
            <w:r w:rsidRPr="00CF4772">
              <w:rPr>
                <w:rFonts w:ascii="Calibri" w:eastAsia="Calibri" w:hAnsi="Calibri"/>
                <w:sz w:val="22"/>
                <w:szCs w:val="22"/>
                <w:lang w:eastAsia="en-US"/>
              </w:rPr>
              <w:t xml:space="preserve">Mackey DC, Lui LY, Cawthon PM, Bauer DC, Nevitt MC, Cauley JA, </w:t>
            </w:r>
            <w:r w:rsidR="00D86CE9" w:rsidRPr="00D86CE9">
              <w:rPr>
                <w:rFonts w:ascii="Calibri" w:eastAsia="Calibri" w:hAnsi="Calibri"/>
                <w:sz w:val="22"/>
                <w:szCs w:val="22"/>
                <w:lang w:eastAsia="en-US"/>
              </w:rPr>
              <w:t>Hillier</w:t>
            </w:r>
            <w:r w:rsidR="00D86CE9">
              <w:rPr>
                <w:rFonts w:ascii="Calibri" w:eastAsia="Calibri" w:hAnsi="Calibri"/>
                <w:sz w:val="22"/>
                <w:szCs w:val="22"/>
                <w:lang w:eastAsia="en-US"/>
              </w:rPr>
              <w:t xml:space="preserve"> TA</w:t>
            </w:r>
            <w:r w:rsidR="00D86CE9" w:rsidRPr="00D86CE9">
              <w:rPr>
                <w:rFonts w:ascii="Calibri" w:eastAsia="Calibri" w:hAnsi="Calibri"/>
                <w:sz w:val="22"/>
                <w:szCs w:val="22"/>
                <w:lang w:eastAsia="en-US"/>
              </w:rPr>
              <w:t>, Lewis</w:t>
            </w:r>
            <w:r w:rsidR="00D86CE9">
              <w:rPr>
                <w:rFonts w:ascii="Calibri" w:eastAsia="Calibri" w:hAnsi="Calibri"/>
                <w:sz w:val="22"/>
                <w:szCs w:val="22"/>
                <w:lang w:eastAsia="en-US"/>
              </w:rPr>
              <w:t xml:space="preserve"> CE</w:t>
            </w:r>
            <w:r w:rsidR="00D86CE9" w:rsidRPr="00D86CE9">
              <w:rPr>
                <w:rFonts w:ascii="Calibri" w:eastAsia="Calibri" w:hAnsi="Calibri"/>
                <w:sz w:val="22"/>
                <w:szCs w:val="22"/>
                <w:lang w:eastAsia="en-US"/>
              </w:rPr>
              <w:t>, Barrett-Connor</w:t>
            </w:r>
            <w:r w:rsidR="002B5C59">
              <w:rPr>
                <w:rFonts w:ascii="Calibri" w:eastAsia="Calibri" w:hAnsi="Calibri"/>
                <w:sz w:val="22"/>
                <w:szCs w:val="22"/>
                <w:lang w:eastAsia="en-US"/>
              </w:rPr>
              <w:t xml:space="preserve"> E</w:t>
            </w:r>
            <w:r w:rsidR="00D86CE9" w:rsidRPr="00D86CE9">
              <w:rPr>
                <w:rFonts w:ascii="Calibri" w:eastAsia="Calibri" w:hAnsi="Calibri"/>
                <w:sz w:val="22"/>
                <w:szCs w:val="22"/>
                <w:lang w:eastAsia="en-US"/>
              </w:rPr>
              <w:t>, Cummings</w:t>
            </w:r>
            <w:r w:rsidR="00611A6D">
              <w:rPr>
                <w:rFonts w:ascii="Calibri" w:eastAsia="Calibri" w:hAnsi="Calibri"/>
                <w:sz w:val="22"/>
                <w:szCs w:val="22"/>
                <w:lang w:eastAsia="en-US"/>
              </w:rPr>
              <w:t xml:space="preserve"> SR</w:t>
            </w:r>
            <w:r w:rsidR="00D86CE9" w:rsidRPr="00D86CE9">
              <w:rPr>
                <w:rFonts w:ascii="Calibri" w:eastAsia="Calibri" w:hAnsi="Calibri"/>
                <w:sz w:val="22"/>
                <w:szCs w:val="22"/>
                <w:lang w:eastAsia="en-US"/>
              </w:rPr>
              <w:t xml:space="preserve">, Study of Osteoporotic Fractures (SOF) and Osteoporotic Fractures in Men Study (MrOS) Research Groups </w:t>
            </w:r>
            <w:r w:rsidRPr="00CF4772">
              <w:rPr>
                <w:rFonts w:ascii="Calibri" w:eastAsia="Calibri" w:hAnsi="Calibri"/>
                <w:sz w:val="22"/>
                <w:szCs w:val="22"/>
                <w:lang w:eastAsia="en-US"/>
              </w:rPr>
              <w:t>(2007) High-trauma fractures and low bone mineral density in older women and men. JAMA 298: 2381-8.</w:t>
            </w:r>
          </w:p>
        </w:tc>
      </w:tr>
      <w:tr w:rsidR="00FB775D" w:rsidRPr="00D10C97" w14:paraId="395F2002" w14:textId="77777777" w:rsidTr="005525C4">
        <w:tc>
          <w:tcPr>
            <w:tcW w:w="567" w:type="dxa"/>
            <w:tcBorders>
              <w:top w:val="nil"/>
              <w:left w:val="nil"/>
              <w:bottom w:val="nil"/>
              <w:right w:val="nil"/>
            </w:tcBorders>
          </w:tcPr>
          <w:p w14:paraId="17C22202" w14:textId="58E822EE" w:rsidR="00FB775D" w:rsidRDefault="009357BC" w:rsidP="00973F27">
            <w:pPr>
              <w:spacing w:after="240"/>
              <w:jc w:val="right"/>
              <w:rPr>
                <w:rFonts w:ascii="Calibri" w:eastAsia="Calibri" w:hAnsi="Calibri"/>
                <w:sz w:val="22"/>
                <w:szCs w:val="22"/>
                <w:lang w:eastAsia="en-US"/>
              </w:rPr>
            </w:pPr>
            <w:r>
              <w:rPr>
                <w:rFonts w:ascii="Calibri" w:eastAsia="Calibri" w:hAnsi="Calibri"/>
                <w:sz w:val="22"/>
                <w:szCs w:val="22"/>
                <w:lang w:eastAsia="en-US"/>
              </w:rPr>
              <w:t>46.</w:t>
            </w:r>
          </w:p>
        </w:tc>
        <w:tc>
          <w:tcPr>
            <w:tcW w:w="7598" w:type="dxa"/>
            <w:tcBorders>
              <w:top w:val="nil"/>
              <w:left w:val="nil"/>
              <w:bottom w:val="nil"/>
              <w:right w:val="nil"/>
            </w:tcBorders>
          </w:tcPr>
          <w:p w14:paraId="0D9F752E" w14:textId="535F4E39" w:rsidR="00FB775D" w:rsidRPr="00D10C97" w:rsidRDefault="003847B4" w:rsidP="006672FA">
            <w:pPr>
              <w:spacing w:after="240"/>
              <w:rPr>
                <w:rFonts w:ascii="Calibri" w:eastAsia="Calibri" w:hAnsi="Calibri"/>
                <w:sz w:val="22"/>
                <w:szCs w:val="22"/>
                <w:lang w:eastAsia="en-US"/>
              </w:rPr>
            </w:pPr>
            <w:r w:rsidRPr="003847B4">
              <w:rPr>
                <w:rFonts w:ascii="Calibri" w:eastAsia="Calibri" w:hAnsi="Calibri"/>
                <w:sz w:val="22"/>
                <w:szCs w:val="22"/>
                <w:lang w:eastAsia="en-US"/>
              </w:rPr>
              <w:t>Leslie WD, Schousboe JT, Morin SN, Martineau P, Lix JM, Johansson H, McCloskey EV, Harvey NC, Kanis JA (2020) Fracture risk following high-trauma versus non-trauma fracture: A registry-based cohort study.  Osteoporos Int, in press</w:t>
            </w:r>
          </w:p>
        </w:tc>
      </w:tr>
      <w:tr w:rsidR="00973F27" w:rsidRPr="00D10C97" w14:paraId="4E0AB439" w14:textId="77777777" w:rsidTr="005525C4">
        <w:tc>
          <w:tcPr>
            <w:tcW w:w="567" w:type="dxa"/>
            <w:tcBorders>
              <w:top w:val="nil"/>
              <w:left w:val="nil"/>
              <w:bottom w:val="nil"/>
              <w:right w:val="nil"/>
            </w:tcBorders>
          </w:tcPr>
          <w:p w14:paraId="2334EF55" w14:textId="0808CDC2" w:rsidR="00973F27" w:rsidRPr="00D10C97" w:rsidRDefault="009357BC" w:rsidP="00973F27">
            <w:pPr>
              <w:spacing w:after="240"/>
              <w:jc w:val="right"/>
              <w:rPr>
                <w:rFonts w:ascii="Calibri" w:eastAsia="Calibri" w:hAnsi="Calibri"/>
                <w:sz w:val="22"/>
                <w:szCs w:val="22"/>
                <w:lang w:eastAsia="en-US"/>
              </w:rPr>
            </w:pPr>
            <w:r>
              <w:rPr>
                <w:rFonts w:ascii="Calibri" w:eastAsia="Calibri" w:hAnsi="Calibri"/>
                <w:sz w:val="22"/>
                <w:szCs w:val="22"/>
                <w:lang w:eastAsia="en-US"/>
              </w:rPr>
              <w:t>47</w:t>
            </w:r>
            <w:r w:rsidR="00973F27">
              <w:rPr>
                <w:rFonts w:ascii="Calibri" w:eastAsia="Calibri" w:hAnsi="Calibri"/>
                <w:sz w:val="22"/>
                <w:szCs w:val="22"/>
                <w:lang w:eastAsia="en-US"/>
              </w:rPr>
              <w:t>.</w:t>
            </w:r>
          </w:p>
        </w:tc>
        <w:tc>
          <w:tcPr>
            <w:tcW w:w="7598" w:type="dxa"/>
            <w:tcBorders>
              <w:top w:val="nil"/>
              <w:left w:val="nil"/>
              <w:bottom w:val="nil"/>
              <w:right w:val="nil"/>
            </w:tcBorders>
          </w:tcPr>
          <w:p w14:paraId="0B22B872" w14:textId="77777777" w:rsidR="00973F27" w:rsidRPr="00D10C97" w:rsidRDefault="00973F27" w:rsidP="006672FA">
            <w:pPr>
              <w:spacing w:after="240"/>
              <w:rPr>
                <w:rFonts w:ascii="Calibri" w:eastAsia="Calibri" w:hAnsi="Calibri"/>
                <w:sz w:val="22"/>
                <w:szCs w:val="22"/>
                <w:lang w:eastAsia="en-US"/>
              </w:rPr>
            </w:pPr>
            <w:r w:rsidRPr="00D10C97">
              <w:rPr>
                <w:rFonts w:ascii="Calibri" w:eastAsia="Calibri" w:hAnsi="Calibri"/>
                <w:sz w:val="22"/>
                <w:szCs w:val="22"/>
                <w:lang w:eastAsia="en-US"/>
              </w:rPr>
              <w:t>Kanis JA, Johansson H, Oden A, Dawson-Hughes B, Melton LJ 3rd, McCloskey EV (2010) The effects of a FRAX</w:t>
            </w:r>
            <w:r w:rsidRPr="00D10C97">
              <w:rPr>
                <w:rFonts w:ascii="Calibri" w:eastAsia="Calibri" w:hAnsi="Calibri" w:cs="Calibri"/>
                <w:sz w:val="22"/>
                <w:szCs w:val="22"/>
                <w:lang w:eastAsia="en-US"/>
              </w:rPr>
              <w:t>®</w:t>
            </w:r>
            <w:r w:rsidRPr="00D10C97">
              <w:rPr>
                <w:rFonts w:ascii="Calibri" w:eastAsia="Calibri" w:hAnsi="Calibri"/>
                <w:sz w:val="22"/>
                <w:szCs w:val="22"/>
                <w:lang w:eastAsia="en-US"/>
              </w:rPr>
              <w:t xml:space="preserve"> revision for the USA. Osteoporos Int 21:35–40</w:t>
            </w:r>
          </w:p>
        </w:tc>
      </w:tr>
      <w:tr w:rsidR="00973F27" w:rsidRPr="00D10C97" w14:paraId="7D66A8C6" w14:textId="77777777" w:rsidTr="005525C4">
        <w:tc>
          <w:tcPr>
            <w:tcW w:w="567" w:type="dxa"/>
            <w:tcBorders>
              <w:top w:val="nil"/>
              <w:left w:val="nil"/>
              <w:bottom w:val="nil"/>
              <w:right w:val="nil"/>
            </w:tcBorders>
          </w:tcPr>
          <w:p w14:paraId="6DC94995" w14:textId="77777777" w:rsidR="00973F27" w:rsidRPr="00D10C97" w:rsidRDefault="00973F27" w:rsidP="00973F27">
            <w:pPr>
              <w:spacing w:after="240"/>
              <w:jc w:val="right"/>
              <w:rPr>
                <w:rFonts w:ascii="Calibri" w:eastAsia="Calibri" w:hAnsi="Calibri"/>
                <w:sz w:val="22"/>
                <w:szCs w:val="22"/>
                <w:lang w:eastAsia="en-US"/>
              </w:rPr>
            </w:pPr>
          </w:p>
        </w:tc>
        <w:tc>
          <w:tcPr>
            <w:tcW w:w="7598" w:type="dxa"/>
            <w:tcBorders>
              <w:top w:val="nil"/>
              <w:left w:val="nil"/>
              <w:bottom w:val="nil"/>
              <w:right w:val="nil"/>
            </w:tcBorders>
          </w:tcPr>
          <w:p w14:paraId="0431967B" w14:textId="77777777" w:rsidR="00973F27" w:rsidRPr="00D10C97" w:rsidRDefault="00973F27" w:rsidP="006672FA">
            <w:pPr>
              <w:spacing w:after="240"/>
              <w:rPr>
                <w:rFonts w:ascii="Calibri" w:eastAsia="Calibri" w:hAnsi="Calibri"/>
                <w:sz w:val="22"/>
                <w:szCs w:val="22"/>
                <w:lang w:eastAsia="en-US"/>
              </w:rPr>
            </w:pPr>
          </w:p>
        </w:tc>
      </w:tr>
    </w:tbl>
    <w:p w14:paraId="4E4349C1" w14:textId="4671807D" w:rsidR="00717B41" w:rsidRPr="00A74034" w:rsidRDefault="00717B41" w:rsidP="00AD4935">
      <w:pPr>
        <w:spacing w:line="276" w:lineRule="auto"/>
        <w:ind w:left="567" w:right="1275"/>
        <w:rPr>
          <w:rFonts w:asciiTheme="minorHAnsi" w:hAnsiTheme="minorHAnsi" w:cstheme="minorHAnsi"/>
          <w:bCs/>
          <w:lang w:val="en-GB"/>
        </w:rPr>
      </w:pPr>
    </w:p>
    <w:sectPr w:rsidR="00717B41" w:rsidRPr="00A74034" w:rsidSect="00AC3AC7">
      <w:footerReference w:type="default" r:id="rId16"/>
      <w:type w:val="continuous"/>
      <w:pgSz w:w="11906" w:h="16838"/>
      <w:pgMar w:top="1134" w:right="850"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AF2F3" w14:textId="77777777" w:rsidR="00295EBF" w:rsidRDefault="00295EBF" w:rsidP="00B56470">
      <w:r>
        <w:separator/>
      </w:r>
    </w:p>
  </w:endnote>
  <w:endnote w:type="continuationSeparator" w:id="0">
    <w:p w14:paraId="02AB2179" w14:textId="77777777" w:rsidR="00295EBF" w:rsidRDefault="00295EBF" w:rsidP="00B5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AdvP4C4E74">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Times-b">
    <w:altName w:val="Times New Roman"/>
    <w:panose1 w:val="00000000000000000000"/>
    <w:charset w:val="00"/>
    <w:family w:val="auto"/>
    <w:notTrueType/>
    <w:pitch w:val="default"/>
    <w:sig w:usb0="00000003" w:usb1="00000000" w:usb2="00000000" w:usb3="00000000" w:csb0="00000001" w:csb1="00000000"/>
  </w:font>
  <w:font w:name="AdvTime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546227"/>
      <w:docPartObj>
        <w:docPartGallery w:val="Page Numbers (Bottom of Page)"/>
        <w:docPartUnique/>
      </w:docPartObj>
    </w:sdtPr>
    <w:sdtEndPr>
      <w:rPr>
        <w:noProof/>
      </w:rPr>
    </w:sdtEndPr>
    <w:sdtContent>
      <w:p w14:paraId="4F4F0992" w14:textId="3FCB6B0F" w:rsidR="00B455A8" w:rsidRDefault="00B455A8">
        <w:pPr>
          <w:pStyle w:val="Footer"/>
          <w:jc w:val="right"/>
        </w:pPr>
        <w:r>
          <w:fldChar w:fldCharType="begin"/>
        </w:r>
        <w:r>
          <w:instrText xml:space="preserve"> PAGE   \* MERGEFORMAT </w:instrText>
        </w:r>
        <w:r>
          <w:fldChar w:fldCharType="separate"/>
        </w:r>
        <w:r w:rsidR="0070718D">
          <w:rPr>
            <w:noProof/>
          </w:rPr>
          <w:t>1</w:t>
        </w:r>
        <w:r>
          <w:rPr>
            <w:noProof/>
          </w:rPr>
          <w:fldChar w:fldCharType="end"/>
        </w:r>
      </w:p>
    </w:sdtContent>
  </w:sdt>
  <w:p w14:paraId="04E13F1E" w14:textId="77777777" w:rsidR="00B455A8" w:rsidRDefault="00B455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106C9" w14:textId="77777777" w:rsidR="00295EBF" w:rsidRDefault="00295EBF" w:rsidP="00B56470">
      <w:r>
        <w:separator/>
      </w:r>
    </w:p>
  </w:footnote>
  <w:footnote w:type="continuationSeparator" w:id="0">
    <w:p w14:paraId="4E0A5E94" w14:textId="77777777" w:rsidR="00295EBF" w:rsidRDefault="00295EBF" w:rsidP="00B564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7C0"/>
    <w:multiLevelType w:val="hybridMultilevel"/>
    <w:tmpl w:val="1EAABCDC"/>
    <w:lvl w:ilvl="0" w:tplc="DF80E04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F3528"/>
    <w:multiLevelType w:val="hybridMultilevel"/>
    <w:tmpl w:val="C8C47BF4"/>
    <w:lvl w:ilvl="0" w:tplc="BADAE77A">
      <w:numFmt w:val="bullet"/>
      <w:lvlText w:val=""/>
      <w:lvlJc w:val="left"/>
      <w:pPr>
        <w:ind w:left="927" w:hanging="360"/>
      </w:pPr>
      <w:rPr>
        <w:rFonts w:ascii="Symbol" w:eastAsia="MS Mincho" w:hAnsi="Symbol" w:cstheme="minorHAns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1D25694"/>
    <w:multiLevelType w:val="hybridMultilevel"/>
    <w:tmpl w:val="620CD692"/>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0BC004F"/>
    <w:multiLevelType w:val="hybridMultilevel"/>
    <w:tmpl w:val="04B290C2"/>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FA4850"/>
    <w:multiLevelType w:val="hybridMultilevel"/>
    <w:tmpl w:val="E11C98BE"/>
    <w:lvl w:ilvl="0" w:tplc="92F65FE8">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1944992"/>
    <w:multiLevelType w:val="hybridMultilevel"/>
    <w:tmpl w:val="0A64FCAE"/>
    <w:lvl w:ilvl="0" w:tplc="DF80E04C">
      <w:start w:val="1"/>
      <w:numFmt w:val="decimal"/>
      <w:lvlText w:val="%1."/>
      <w:lvlJc w:val="left"/>
      <w:pPr>
        <w:ind w:left="7023" w:hanging="360"/>
      </w:pPr>
      <w:rPr>
        <w:rFonts w:hint="default"/>
      </w:rPr>
    </w:lvl>
    <w:lvl w:ilvl="1" w:tplc="04190019" w:tentative="1">
      <w:start w:val="1"/>
      <w:numFmt w:val="lowerLetter"/>
      <w:lvlText w:val="%2."/>
      <w:lvlJc w:val="left"/>
      <w:pPr>
        <w:ind w:left="7536" w:hanging="360"/>
      </w:pPr>
    </w:lvl>
    <w:lvl w:ilvl="2" w:tplc="0419001B" w:tentative="1">
      <w:start w:val="1"/>
      <w:numFmt w:val="lowerRoman"/>
      <w:lvlText w:val="%3."/>
      <w:lvlJc w:val="right"/>
      <w:pPr>
        <w:ind w:left="8256" w:hanging="180"/>
      </w:pPr>
    </w:lvl>
    <w:lvl w:ilvl="3" w:tplc="0419000F" w:tentative="1">
      <w:start w:val="1"/>
      <w:numFmt w:val="decimal"/>
      <w:lvlText w:val="%4."/>
      <w:lvlJc w:val="left"/>
      <w:pPr>
        <w:ind w:left="8976" w:hanging="360"/>
      </w:pPr>
    </w:lvl>
    <w:lvl w:ilvl="4" w:tplc="04190019" w:tentative="1">
      <w:start w:val="1"/>
      <w:numFmt w:val="lowerLetter"/>
      <w:lvlText w:val="%5."/>
      <w:lvlJc w:val="left"/>
      <w:pPr>
        <w:ind w:left="9696" w:hanging="360"/>
      </w:pPr>
    </w:lvl>
    <w:lvl w:ilvl="5" w:tplc="0419001B" w:tentative="1">
      <w:start w:val="1"/>
      <w:numFmt w:val="lowerRoman"/>
      <w:lvlText w:val="%6."/>
      <w:lvlJc w:val="right"/>
      <w:pPr>
        <w:ind w:left="10416" w:hanging="180"/>
      </w:pPr>
    </w:lvl>
    <w:lvl w:ilvl="6" w:tplc="0419000F" w:tentative="1">
      <w:start w:val="1"/>
      <w:numFmt w:val="decimal"/>
      <w:lvlText w:val="%7."/>
      <w:lvlJc w:val="left"/>
      <w:pPr>
        <w:ind w:left="11136" w:hanging="360"/>
      </w:pPr>
    </w:lvl>
    <w:lvl w:ilvl="7" w:tplc="04190019" w:tentative="1">
      <w:start w:val="1"/>
      <w:numFmt w:val="lowerLetter"/>
      <w:lvlText w:val="%8."/>
      <w:lvlJc w:val="left"/>
      <w:pPr>
        <w:ind w:left="11856" w:hanging="360"/>
      </w:pPr>
    </w:lvl>
    <w:lvl w:ilvl="8" w:tplc="0419001B" w:tentative="1">
      <w:start w:val="1"/>
      <w:numFmt w:val="lowerRoman"/>
      <w:lvlText w:val="%9."/>
      <w:lvlJc w:val="right"/>
      <w:pPr>
        <w:ind w:left="12576" w:hanging="180"/>
      </w:pPr>
    </w:lvl>
  </w:abstractNum>
  <w:abstractNum w:abstractNumId="6" w15:restartNumberingAfterBreak="0">
    <w:nsid w:val="356C2DA7"/>
    <w:multiLevelType w:val="hybridMultilevel"/>
    <w:tmpl w:val="A29606BA"/>
    <w:lvl w:ilvl="0" w:tplc="4DA671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D70DD8"/>
    <w:multiLevelType w:val="hybridMultilevel"/>
    <w:tmpl w:val="0A64FCAE"/>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EB3134B"/>
    <w:multiLevelType w:val="hybridMultilevel"/>
    <w:tmpl w:val="D74AE680"/>
    <w:lvl w:ilvl="0" w:tplc="DF044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2673AFB"/>
    <w:multiLevelType w:val="hybridMultilevel"/>
    <w:tmpl w:val="C70CD0AA"/>
    <w:lvl w:ilvl="0" w:tplc="DF0449C8">
      <w:start w:val="1"/>
      <w:numFmt w:val="decimal"/>
      <w:lvlText w:val="%1."/>
      <w:lvlJc w:val="left"/>
      <w:pPr>
        <w:ind w:left="163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4B47585"/>
    <w:multiLevelType w:val="hybridMultilevel"/>
    <w:tmpl w:val="7CF68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265E5A"/>
    <w:multiLevelType w:val="hybridMultilevel"/>
    <w:tmpl w:val="0A64FCAE"/>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0DA62B7"/>
    <w:multiLevelType w:val="hybridMultilevel"/>
    <w:tmpl w:val="6706C100"/>
    <w:lvl w:ilvl="0" w:tplc="DF80E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AA01F80"/>
    <w:multiLevelType w:val="hybridMultilevel"/>
    <w:tmpl w:val="72F21CB8"/>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9"/>
  </w:num>
  <w:num w:numId="3">
    <w:abstractNumId w:val="12"/>
  </w:num>
  <w:num w:numId="4">
    <w:abstractNumId w:val="0"/>
  </w:num>
  <w:num w:numId="5">
    <w:abstractNumId w:val="5"/>
  </w:num>
  <w:num w:numId="6">
    <w:abstractNumId w:val="13"/>
  </w:num>
  <w:num w:numId="7">
    <w:abstractNumId w:val="2"/>
  </w:num>
  <w:num w:numId="8">
    <w:abstractNumId w:val="7"/>
  </w:num>
  <w:num w:numId="9">
    <w:abstractNumId w:val="10"/>
  </w:num>
  <w:num w:numId="10">
    <w:abstractNumId w:val="6"/>
  </w:num>
  <w:num w:numId="11">
    <w:abstractNumId w:val="11"/>
  </w:num>
  <w:num w:numId="12">
    <w:abstractNumId w:val="3"/>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BA"/>
    <w:rsid w:val="0000000D"/>
    <w:rsid w:val="000002E1"/>
    <w:rsid w:val="000019F2"/>
    <w:rsid w:val="000020C8"/>
    <w:rsid w:val="0000334A"/>
    <w:rsid w:val="00003F34"/>
    <w:rsid w:val="00004A31"/>
    <w:rsid w:val="00004A57"/>
    <w:rsid w:val="00004BFE"/>
    <w:rsid w:val="0000536B"/>
    <w:rsid w:val="00006C39"/>
    <w:rsid w:val="00007251"/>
    <w:rsid w:val="00007904"/>
    <w:rsid w:val="000109AA"/>
    <w:rsid w:val="00010BD5"/>
    <w:rsid w:val="000127C9"/>
    <w:rsid w:val="000141AE"/>
    <w:rsid w:val="00015350"/>
    <w:rsid w:val="000158D9"/>
    <w:rsid w:val="0001695E"/>
    <w:rsid w:val="000178ED"/>
    <w:rsid w:val="00022106"/>
    <w:rsid w:val="00022E6B"/>
    <w:rsid w:val="0002341E"/>
    <w:rsid w:val="0002469D"/>
    <w:rsid w:val="000249B3"/>
    <w:rsid w:val="00025503"/>
    <w:rsid w:val="000261C0"/>
    <w:rsid w:val="000261F2"/>
    <w:rsid w:val="000263E5"/>
    <w:rsid w:val="000265AB"/>
    <w:rsid w:val="00030253"/>
    <w:rsid w:val="00030EE0"/>
    <w:rsid w:val="00031126"/>
    <w:rsid w:val="00032C64"/>
    <w:rsid w:val="0003351C"/>
    <w:rsid w:val="00033E6D"/>
    <w:rsid w:val="00034B49"/>
    <w:rsid w:val="00035E91"/>
    <w:rsid w:val="000360B5"/>
    <w:rsid w:val="00036619"/>
    <w:rsid w:val="00037B26"/>
    <w:rsid w:val="000405A5"/>
    <w:rsid w:val="00043201"/>
    <w:rsid w:val="0004349A"/>
    <w:rsid w:val="00044D22"/>
    <w:rsid w:val="00045B75"/>
    <w:rsid w:val="00045C87"/>
    <w:rsid w:val="00046F45"/>
    <w:rsid w:val="00047E7E"/>
    <w:rsid w:val="00047F60"/>
    <w:rsid w:val="0005097C"/>
    <w:rsid w:val="00051FAD"/>
    <w:rsid w:val="0005235C"/>
    <w:rsid w:val="000525CA"/>
    <w:rsid w:val="00053151"/>
    <w:rsid w:val="00053713"/>
    <w:rsid w:val="00055DD8"/>
    <w:rsid w:val="00055E51"/>
    <w:rsid w:val="00056285"/>
    <w:rsid w:val="000578AF"/>
    <w:rsid w:val="00057BD7"/>
    <w:rsid w:val="00060D35"/>
    <w:rsid w:val="000610D6"/>
    <w:rsid w:val="00061D43"/>
    <w:rsid w:val="000630DA"/>
    <w:rsid w:val="0006536B"/>
    <w:rsid w:val="00065418"/>
    <w:rsid w:val="00065759"/>
    <w:rsid w:val="000660EC"/>
    <w:rsid w:val="0006672B"/>
    <w:rsid w:val="00067752"/>
    <w:rsid w:val="000678CF"/>
    <w:rsid w:val="000679E4"/>
    <w:rsid w:val="000711A8"/>
    <w:rsid w:val="000718D1"/>
    <w:rsid w:val="000719E4"/>
    <w:rsid w:val="000726A2"/>
    <w:rsid w:val="00075C04"/>
    <w:rsid w:val="00075F39"/>
    <w:rsid w:val="000764FD"/>
    <w:rsid w:val="00077019"/>
    <w:rsid w:val="00077672"/>
    <w:rsid w:val="00077812"/>
    <w:rsid w:val="000803D9"/>
    <w:rsid w:val="00081823"/>
    <w:rsid w:val="00082D99"/>
    <w:rsid w:val="00082DC4"/>
    <w:rsid w:val="00083F5C"/>
    <w:rsid w:val="000848A0"/>
    <w:rsid w:val="00084D6F"/>
    <w:rsid w:val="00085483"/>
    <w:rsid w:val="00085BCA"/>
    <w:rsid w:val="00086809"/>
    <w:rsid w:val="00087490"/>
    <w:rsid w:val="00091967"/>
    <w:rsid w:val="00092535"/>
    <w:rsid w:val="0009304D"/>
    <w:rsid w:val="000931D2"/>
    <w:rsid w:val="00093D17"/>
    <w:rsid w:val="0009472B"/>
    <w:rsid w:val="000949F4"/>
    <w:rsid w:val="000957FF"/>
    <w:rsid w:val="000958C9"/>
    <w:rsid w:val="000A02EF"/>
    <w:rsid w:val="000A26D6"/>
    <w:rsid w:val="000A28CE"/>
    <w:rsid w:val="000A389F"/>
    <w:rsid w:val="000A4550"/>
    <w:rsid w:val="000A4CF1"/>
    <w:rsid w:val="000A5885"/>
    <w:rsid w:val="000A62C6"/>
    <w:rsid w:val="000A6CA4"/>
    <w:rsid w:val="000B1281"/>
    <w:rsid w:val="000B1D9B"/>
    <w:rsid w:val="000B27DE"/>
    <w:rsid w:val="000B2984"/>
    <w:rsid w:val="000B3200"/>
    <w:rsid w:val="000B42A1"/>
    <w:rsid w:val="000B484B"/>
    <w:rsid w:val="000B4BD3"/>
    <w:rsid w:val="000B5BF9"/>
    <w:rsid w:val="000B5F0B"/>
    <w:rsid w:val="000B6029"/>
    <w:rsid w:val="000B6D4C"/>
    <w:rsid w:val="000C060C"/>
    <w:rsid w:val="000C0EA4"/>
    <w:rsid w:val="000C3606"/>
    <w:rsid w:val="000C388A"/>
    <w:rsid w:val="000C434D"/>
    <w:rsid w:val="000C475B"/>
    <w:rsid w:val="000C4F4B"/>
    <w:rsid w:val="000D0DE5"/>
    <w:rsid w:val="000D3FE1"/>
    <w:rsid w:val="000D4671"/>
    <w:rsid w:val="000D607F"/>
    <w:rsid w:val="000D62D3"/>
    <w:rsid w:val="000D68DF"/>
    <w:rsid w:val="000D6C42"/>
    <w:rsid w:val="000E0380"/>
    <w:rsid w:val="000E0E43"/>
    <w:rsid w:val="000E3E2A"/>
    <w:rsid w:val="000E4406"/>
    <w:rsid w:val="000E4920"/>
    <w:rsid w:val="000E4CC0"/>
    <w:rsid w:val="000E50FB"/>
    <w:rsid w:val="000E51CA"/>
    <w:rsid w:val="000E6A28"/>
    <w:rsid w:val="000F0EBA"/>
    <w:rsid w:val="000F3251"/>
    <w:rsid w:val="000F3657"/>
    <w:rsid w:val="000F36B0"/>
    <w:rsid w:val="000F4C12"/>
    <w:rsid w:val="000F5A87"/>
    <w:rsid w:val="000F6E45"/>
    <w:rsid w:val="0010041D"/>
    <w:rsid w:val="0010326B"/>
    <w:rsid w:val="00103E00"/>
    <w:rsid w:val="001079FC"/>
    <w:rsid w:val="00107C3C"/>
    <w:rsid w:val="001103E6"/>
    <w:rsid w:val="001104CA"/>
    <w:rsid w:val="00111B77"/>
    <w:rsid w:val="00112816"/>
    <w:rsid w:val="00112AC0"/>
    <w:rsid w:val="00113395"/>
    <w:rsid w:val="00113B77"/>
    <w:rsid w:val="00113E92"/>
    <w:rsid w:val="00115BA1"/>
    <w:rsid w:val="0011696E"/>
    <w:rsid w:val="00116E0F"/>
    <w:rsid w:val="00117EEF"/>
    <w:rsid w:val="0012066E"/>
    <w:rsid w:val="00120C48"/>
    <w:rsid w:val="001211B2"/>
    <w:rsid w:val="00122144"/>
    <w:rsid w:val="00122582"/>
    <w:rsid w:val="00122D6B"/>
    <w:rsid w:val="00124B91"/>
    <w:rsid w:val="001302D4"/>
    <w:rsid w:val="00130314"/>
    <w:rsid w:val="001317CB"/>
    <w:rsid w:val="00131DB0"/>
    <w:rsid w:val="00131F9B"/>
    <w:rsid w:val="00132515"/>
    <w:rsid w:val="00132A16"/>
    <w:rsid w:val="00132BFE"/>
    <w:rsid w:val="00132E14"/>
    <w:rsid w:val="00132E47"/>
    <w:rsid w:val="00133070"/>
    <w:rsid w:val="00135FDA"/>
    <w:rsid w:val="00136B5F"/>
    <w:rsid w:val="00136B74"/>
    <w:rsid w:val="00137389"/>
    <w:rsid w:val="00137A86"/>
    <w:rsid w:val="001404DF"/>
    <w:rsid w:val="00140F40"/>
    <w:rsid w:val="001419A2"/>
    <w:rsid w:val="00141D9F"/>
    <w:rsid w:val="00141F53"/>
    <w:rsid w:val="00142BD0"/>
    <w:rsid w:val="0014366A"/>
    <w:rsid w:val="001442E3"/>
    <w:rsid w:val="0014455A"/>
    <w:rsid w:val="00144A9F"/>
    <w:rsid w:val="0014548F"/>
    <w:rsid w:val="00146564"/>
    <w:rsid w:val="00146696"/>
    <w:rsid w:val="00146B35"/>
    <w:rsid w:val="001473CB"/>
    <w:rsid w:val="00147509"/>
    <w:rsid w:val="00147523"/>
    <w:rsid w:val="00150323"/>
    <w:rsid w:val="00151021"/>
    <w:rsid w:val="00152848"/>
    <w:rsid w:val="001534AD"/>
    <w:rsid w:val="00155AE8"/>
    <w:rsid w:val="00156AC7"/>
    <w:rsid w:val="00157E91"/>
    <w:rsid w:val="00162D27"/>
    <w:rsid w:val="001633D5"/>
    <w:rsid w:val="00163BA9"/>
    <w:rsid w:val="001659B9"/>
    <w:rsid w:val="001709A2"/>
    <w:rsid w:val="00170A36"/>
    <w:rsid w:val="00170CF2"/>
    <w:rsid w:val="001734E2"/>
    <w:rsid w:val="00173B0C"/>
    <w:rsid w:val="00173FAB"/>
    <w:rsid w:val="00174103"/>
    <w:rsid w:val="00174398"/>
    <w:rsid w:val="00176736"/>
    <w:rsid w:val="001770D9"/>
    <w:rsid w:val="00177E99"/>
    <w:rsid w:val="0018004A"/>
    <w:rsid w:val="0018021E"/>
    <w:rsid w:val="00181350"/>
    <w:rsid w:val="00183EFC"/>
    <w:rsid w:val="00185557"/>
    <w:rsid w:val="001859CF"/>
    <w:rsid w:val="00185C74"/>
    <w:rsid w:val="0018604E"/>
    <w:rsid w:val="00187528"/>
    <w:rsid w:val="00187B64"/>
    <w:rsid w:val="00187E97"/>
    <w:rsid w:val="0019046B"/>
    <w:rsid w:val="0019186E"/>
    <w:rsid w:val="00191F22"/>
    <w:rsid w:val="00192058"/>
    <w:rsid w:val="00194F68"/>
    <w:rsid w:val="001951FD"/>
    <w:rsid w:val="0019580C"/>
    <w:rsid w:val="00196DAE"/>
    <w:rsid w:val="00196E9E"/>
    <w:rsid w:val="001A00A2"/>
    <w:rsid w:val="001A3C47"/>
    <w:rsid w:val="001A46B5"/>
    <w:rsid w:val="001A4BAD"/>
    <w:rsid w:val="001A5DCC"/>
    <w:rsid w:val="001A680E"/>
    <w:rsid w:val="001A7443"/>
    <w:rsid w:val="001A74A9"/>
    <w:rsid w:val="001B198B"/>
    <w:rsid w:val="001B26CD"/>
    <w:rsid w:val="001B36F0"/>
    <w:rsid w:val="001B428B"/>
    <w:rsid w:val="001B4A9C"/>
    <w:rsid w:val="001B5167"/>
    <w:rsid w:val="001B58B1"/>
    <w:rsid w:val="001B5BCA"/>
    <w:rsid w:val="001B632A"/>
    <w:rsid w:val="001B63AD"/>
    <w:rsid w:val="001B6554"/>
    <w:rsid w:val="001C028B"/>
    <w:rsid w:val="001C0D4A"/>
    <w:rsid w:val="001C203F"/>
    <w:rsid w:val="001C2BFE"/>
    <w:rsid w:val="001C3D40"/>
    <w:rsid w:val="001C5287"/>
    <w:rsid w:val="001C5DB0"/>
    <w:rsid w:val="001C7BAA"/>
    <w:rsid w:val="001D2C41"/>
    <w:rsid w:val="001D3ED7"/>
    <w:rsid w:val="001D5D96"/>
    <w:rsid w:val="001D60DB"/>
    <w:rsid w:val="001D6647"/>
    <w:rsid w:val="001D6D9D"/>
    <w:rsid w:val="001D7200"/>
    <w:rsid w:val="001E13EE"/>
    <w:rsid w:val="001E4DC0"/>
    <w:rsid w:val="001E52F2"/>
    <w:rsid w:val="001E62AE"/>
    <w:rsid w:val="001E793E"/>
    <w:rsid w:val="001F06E6"/>
    <w:rsid w:val="001F2828"/>
    <w:rsid w:val="001F418F"/>
    <w:rsid w:val="002002D4"/>
    <w:rsid w:val="00200640"/>
    <w:rsid w:val="002014E3"/>
    <w:rsid w:val="00203856"/>
    <w:rsid w:val="00203E50"/>
    <w:rsid w:val="002049ED"/>
    <w:rsid w:val="00205865"/>
    <w:rsid w:val="00205EC5"/>
    <w:rsid w:val="00206A0E"/>
    <w:rsid w:val="00206B73"/>
    <w:rsid w:val="00207461"/>
    <w:rsid w:val="00210755"/>
    <w:rsid w:val="00210EE3"/>
    <w:rsid w:val="002117E2"/>
    <w:rsid w:val="002123FB"/>
    <w:rsid w:val="0021610E"/>
    <w:rsid w:val="00217F70"/>
    <w:rsid w:val="0022105A"/>
    <w:rsid w:val="00222E15"/>
    <w:rsid w:val="00223358"/>
    <w:rsid w:val="002239DD"/>
    <w:rsid w:val="00226525"/>
    <w:rsid w:val="002275A7"/>
    <w:rsid w:val="00227D0F"/>
    <w:rsid w:val="00230C2F"/>
    <w:rsid w:val="00231589"/>
    <w:rsid w:val="002323E8"/>
    <w:rsid w:val="00233DD3"/>
    <w:rsid w:val="00235002"/>
    <w:rsid w:val="00235078"/>
    <w:rsid w:val="00235BFD"/>
    <w:rsid w:val="002365CF"/>
    <w:rsid w:val="00237A66"/>
    <w:rsid w:val="00240532"/>
    <w:rsid w:val="00240571"/>
    <w:rsid w:val="00242516"/>
    <w:rsid w:val="002428EE"/>
    <w:rsid w:val="00243CD8"/>
    <w:rsid w:val="002444FF"/>
    <w:rsid w:val="002501B5"/>
    <w:rsid w:val="00251802"/>
    <w:rsid w:val="00251D64"/>
    <w:rsid w:val="00251D6B"/>
    <w:rsid w:val="00252D36"/>
    <w:rsid w:val="002531D2"/>
    <w:rsid w:val="0025492E"/>
    <w:rsid w:val="00255FD4"/>
    <w:rsid w:val="00256297"/>
    <w:rsid w:val="00260553"/>
    <w:rsid w:val="00263381"/>
    <w:rsid w:val="00263AA2"/>
    <w:rsid w:val="002650E7"/>
    <w:rsid w:val="002669BA"/>
    <w:rsid w:val="00266A97"/>
    <w:rsid w:val="00266D6E"/>
    <w:rsid w:val="0026741A"/>
    <w:rsid w:val="00271EBA"/>
    <w:rsid w:val="002722E3"/>
    <w:rsid w:val="00274907"/>
    <w:rsid w:val="0028135C"/>
    <w:rsid w:val="00281A53"/>
    <w:rsid w:val="00283D8F"/>
    <w:rsid w:val="0028461C"/>
    <w:rsid w:val="002854D8"/>
    <w:rsid w:val="00286D3C"/>
    <w:rsid w:val="00290FA9"/>
    <w:rsid w:val="00291000"/>
    <w:rsid w:val="00291189"/>
    <w:rsid w:val="002916DE"/>
    <w:rsid w:val="002918B3"/>
    <w:rsid w:val="00292740"/>
    <w:rsid w:val="00292D94"/>
    <w:rsid w:val="00295EBF"/>
    <w:rsid w:val="00295EFF"/>
    <w:rsid w:val="002A09D5"/>
    <w:rsid w:val="002A375C"/>
    <w:rsid w:val="002A3B9D"/>
    <w:rsid w:val="002A55EC"/>
    <w:rsid w:val="002A5A1C"/>
    <w:rsid w:val="002A7FB6"/>
    <w:rsid w:val="002B0949"/>
    <w:rsid w:val="002B21D7"/>
    <w:rsid w:val="002B2DB8"/>
    <w:rsid w:val="002B37F4"/>
    <w:rsid w:val="002B4D78"/>
    <w:rsid w:val="002B4F53"/>
    <w:rsid w:val="002B5C59"/>
    <w:rsid w:val="002B60EC"/>
    <w:rsid w:val="002B6751"/>
    <w:rsid w:val="002B68DC"/>
    <w:rsid w:val="002B6FDF"/>
    <w:rsid w:val="002C05DD"/>
    <w:rsid w:val="002C230A"/>
    <w:rsid w:val="002C3DE8"/>
    <w:rsid w:val="002C59A2"/>
    <w:rsid w:val="002C7B73"/>
    <w:rsid w:val="002C7C74"/>
    <w:rsid w:val="002D0E63"/>
    <w:rsid w:val="002D12D8"/>
    <w:rsid w:val="002D1828"/>
    <w:rsid w:val="002D2804"/>
    <w:rsid w:val="002D35D1"/>
    <w:rsid w:val="002D5CC3"/>
    <w:rsid w:val="002D5E5A"/>
    <w:rsid w:val="002D6AAA"/>
    <w:rsid w:val="002D79C4"/>
    <w:rsid w:val="002E0BF0"/>
    <w:rsid w:val="002E1FA5"/>
    <w:rsid w:val="002F0AEE"/>
    <w:rsid w:val="002F1420"/>
    <w:rsid w:val="002F4C58"/>
    <w:rsid w:val="002F4EF9"/>
    <w:rsid w:val="00300304"/>
    <w:rsid w:val="00300509"/>
    <w:rsid w:val="00300CA3"/>
    <w:rsid w:val="003020A6"/>
    <w:rsid w:val="0030252F"/>
    <w:rsid w:val="00302B4B"/>
    <w:rsid w:val="0030467B"/>
    <w:rsid w:val="0030479E"/>
    <w:rsid w:val="0030503C"/>
    <w:rsid w:val="0030661D"/>
    <w:rsid w:val="00307816"/>
    <w:rsid w:val="00307A63"/>
    <w:rsid w:val="003102DC"/>
    <w:rsid w:val="0031090C"/>
    <w:rsid w:val="00311B54"/>
    <w:rsid w:val="00312CB6"/>
    <w:rsid w:val="00313586"/>
    <w:rsid w:val="00316CE1"/>
    <w:rsid w:val="003174F6"/>
    <w:rsid w:val="003174F8"/>
    <w:rsid w:val="00317C73"/>
    <w:rsid w:val="00317D31"/>
    <w:rsid w:val="00320952"/>
    <w:rsid w:val="00320C65"/>
    <w:rsid w:val="00320E36"/>
    <w:rsid w:val="00322BF5"/>
    <w:rsid w:val="00322F15"/>
    <w:rsid w:val="00324075"/>
    <w:rsid w:val="0032416A"/>
    <w:rsid w:val="0032501E"/>
    <w:rsid w:val="003254CC"/>
    <w:rsid w:val="00326E47"/>
    <w:rsid w:val="003273F8"/>
    <w:rsid w:val="003307AE"/>
    <w:rsid w:val="0033093D"/>
    <w:rsid w:val="00330C99"/>
    <w:rsid w:val="003313AF"/>
    <w:rsid w:val="0033362B"/>
    <w:rsid w:val="00333EC3"/>
    <w:rsid w:val="003354EC"/>
    <w:rsid w:val="003357FF"/>
    <w:rsid w:val="00335E6A"/>
    <w:rsid w:val="003360DC"/>
    <w:rsid w:val="0033633A"/>
    <w:rsid w:val="003369FA"/>
    <w:rsid w:val="00336CC8"/>
    <w:rsid w:val="00336CFC"/>
    <w:rsid w:val="003376A3"/>
    <w:rsid w:val="003376EF"/>
    <w:rsid w:val="003379A3"/>
    <w:rsid w:val="00337A5A"/>
    <w:rsid w:val="003408B6"/>
    <w:rsid w:val="003410E6"/>
    <w:rsid w:val="003410F1"/>
    <w:rsid w:val="00343FEB"/>
    <w:rsid w:val="0034403C"/>
    <w:rsid w:val="00344C0C"/>
    <w:rsid w:val="00345024"/>
    <w:rsid w:val="0034550C"/>
    <w:rsid w:val="00347F07"/>
    <w:rsid w:val="00350ADA"/>
    <w:rsid w:val="00352039"/>
    <w:rsid w:val="0035476C"/>
    <w:rsid w:val="00354A17"/>
    <w:rsid w:val="0035502E"/>
    <w:rsid w:val="00355EB7"/>
    <w:rsid w:val="00356570"/>
    <w:rsid w:val="00357E57"/>
    <w:rsid w:val="003600E4"/>
    <w:rsid w:val="00360742"/>
    <w:rsid w:val="0036172A"/>
    <w:rsid w:val="003635D4"/>
    <w:rsid w:val="0036364D"/>
    <w:rsid w:val="00363689"/>
    <w:rsid w:val="00363BE7"/>
    <w:rsid w:val="00364A2A"/>
    <w:rsid w:val="00367F8E"/>
    <w:rsid w:val="003722FB"/>
    <w:rsid w:val="00372D33"/>
    <w:rsid w:val="0037300E"/>
    <w:rsid w:val="00373D72"/>
    <w:rsid w:val="00375ED7"/>
    <w:rsid w:val="00376BA6"/>
    <w:rsid w:val="003808C6"/>
    <w:rsid w:val="00380ADC"/>
    <w:rsid w:val="003811BF"/>
    <w:rsid w:val="00381AE1"/>
    <w:rsid w:val="00382305"/>
    <w:rsid w:val="00383283"/>
    <w:rsid w:val="00383ADB"/>
    <w:rsid w:val="00383BA6"/>
    <w:rsid w:val="003846C8"/>
    <w:rsid w:val="003847B4"/>
    <w:rsid w:val="00386F3C"/>
    <w:rsid w:val="003907CC"/>
    <w:rsid w:val="00391CF1"/>
    <w:rsid w:val="00392513"/>
    <w:rsid w:val="00393338"/>
    <w:rsid w:val="00393B3C"/>
    <w:rsid w:val="003944DD"/>
    <w:rsid w:val="003945DB"/>
    <w:rsid w:val="003960CF"/>
    <w:rsid w:val="003967DC"/>
    <w:rsid w:val="00396AEB"/>
    <w:rsid w:val="0039725D"/>
    <w:rsid w:val="003973E4"/>
    <w:rsid w:val="003A0848"/>
    <w:rsid w:val="003A0FE9"/>
    <w:rsid w:val="003A17B5"/>
    <w:rsid w:val="003A2432"/>
    <w:rsid w:val="003A2B76"/>
    <w:rsid w:val="003A31F7"/>
    <w:rsid w:val="003A3785"/>
    <w:rsid w:val="003A7979"/>
    <w:rsid w:val="003B0786"/>
    <w:rsid w:val="003B23E0"/>
    <w:rsid w:val="003B2E76"/>
    <w:rsid w:val="003B3AC1"/>
    <w:rsid w:val="003B59BB"/>
    <w:rsid w:val="003B5CE6"/>
    <w:rsid w:val="003B5CEA"/>
    <w:rsid w:val="003B5F39"/>
    <w:rsid w:val="003B5FD1"/>
    <w:rsid w:val="003C085E"/>
    <w:rsid w:val="003C1B3E"/>
    <w:rsid w:val="003C1FDD"/>
    <w:rsid w:val="003C36CC"/>
    <w:rsid w:val="003C4AA2"/>
    <w:rsid w:val="003C53D7"/>
    <w:rsid w:val="003D12ED"/>
    <w:rsid w:val="003D16AA"/>
    <w:rsid w:val="003D16EE"/>
    <w:rsid w:val="003D30C5"/>
    <w:rsid w:val="003D3CCC"/>
    <w:rsid w:val="003D415A"/>
    <w:rsid w:val="003D41E7"/>
    <w:rsid w:val="003D5CD6"/>
    <w:rsid w:val="003D6724"/>
    <w:rsid w:val="003D7335"/>
    <w:rsid w:val="003D7EED"/>
    <w:rsid w:val="003E02E3"/>
    <w:rsid w:val="003E0EA6"/>
    <w:rsid w:val="003E11E9"/>
    <w:rsid w:val="003E17DB"/>
    <w:rsid w:val="003E2A1C"/>
    <w:rsid w:val="003E2A2C"/>
    <w:rsid w:val="003E3E64"/>
    <w:rsid w:val="003E4A7D"/>
    <w:rsid w:val="003E74DB"/>
    <w:rsid w:val="003F1FA3"/>
    <w:rsid w:val="003F27AA"/>
    <w:rsid w:val="003F3DB2"/>
    <w:rsid w:val="003F4D91"/>
    <w:rsid w:val="003F4E2B"/>
    <w:rsid w:val="003F501B"/>
    <w:rsid w:val="003F515C"/>
    <w:rsid w:val="003F52BE"/>
    <w:rsid w:val="003F5601"/>
    <w:rsid w:val="003F6FCC"/>
    <w:rsid w:val="003F70B2"/>
    <w:rsid w:val="003F79B1"/>
    <w:rsid w:val="003F7D16"/>
    <w:rsid w:val="00403D97"/>
    <w:rsid w:val="00403DEF"/>
    <w:rsid w:val="004059D7"/>
    <w:rsid w:val="00406F03"/>
    <w:rsid w:val="0040716D"/>
    <w:rsid w:val="004101FE"/>
    <w:rsid w:val="0041061F"/>
    <w:rsid w:val="0041103E"/>
    <w:rsid w:val="00413452"/>
    <w:rsid w:val="00416C18"/>
    <w:rsid w:val="004170DD"/>
    <w:rsid w:val="004175F4"/>
    <w:rsid w:val="0042115D"/>
    <w:rsid w:val="00423AE6"/>
    <w:rsid w:val="00423E4D"/>
    <w:rsid w:val="00424DB5"/>
    <w:rsid w:val="00425853"/>
    <w:rsid w:val="00427068"/>
    <w:rsid w:val="00427630"/>
    <w:rsid w:val="004316B3"/>
    <w:rsid w:val="0043287C"/>
    <w:rsid w:val="00432894"/>
    <w:rsid w:val="004350BD"/>
    <w:rsid w:val="00435C3E"/>
    <w:rsid w:val="00436825"/>
    <w:rsid w:val="0044014F"/>
    <w:rsid w:val="00440930"/>
    <w:rsid w:val="00441110"/>
    <w:rsid w:val="0044252F"/>
    <w:rsid w:val="004430F0"/>
    <w:rsid w:val="00443A55"/>
    <w:rsid w:val="00443B37"/>
    <w:rsid w:val="00443DEC"/>
    <w:rsid w:val="0044579D"/>
    <w:rsid w:val="00447A28"/>
    <w:rsid w:val="00447A94"/>
    <w:rsid w:val="004506DF"/>
    <w:rsid w:val="004507D1"/>
    <w:rsid w:val="00451CB9"/>
    <w:rsid w:val="0045255C"/>
    <w:rsid w:val="00452AD5"/>
    <w:rsid w:val="00453717"/>
    <w:rsid w:val="00453B89"/>
    <w:rsid w:val="00454CC2"/>
    <w:rsid w:val="004561C6"/>
    <w:rsid w:val="0045634A"/>
    <w:rsid w:val="00457562"/>
    <w:rsid w:val="00462466"/>
    <w:rsid w:val="00462A5D"/>
    <w:rsid w:val="0046396C"/>
    <w:rsid w:val="004651FE"/>
    <w:rsid w:val="0046566C"/>
    <w:rsid w:val="004658DE"/>
    <w:rsid w:val="0046752A"/>
    <w:rsid w:val="0046779B"/>
    <w:rsid w:val="00471B2F"/>
    <w:rsid w:val="00472A8C"/>
    <w:rsid w:val="004732D2"/>
    <w:rsid w:val="00474D25"/>
    <w:rsid w:val="0047660B"/>
    <w:rsid w:val="004778B8"/>
    <w:rsid w:val="0048249D"/>
    <w:rsid w:val="004862C8"/>
    <w:rsid w:val="004865BB"/>
    <w:rsid w:val="00486B0B"/>
    <w:rsid w:val="00487330"/>
    <w:rsid w:val="004879C0"/>
    <w:rsid w:val="00490211"/>
    <w:rsid w:val="00490CD4"/>
    <w:rsid w:val="004914C0"/>
    <w:rsid w:val="00492702"/>
    <w:rsid w:val="00492869"/>
    <w:rsid w:val="00492893"/>
    <w:rsid w:val="00492F36"/>
    <w:rsid w:val="00493E5A"/>
    <w:rsid w:val="004949BD"/>
    <w:rsid w:val="004952E7"/>
    <w:rsid w:val="00495704"/>
    <w:rsid w:val="004A0283"/>
    <w:rsid w:val="004A28E7"/>
    <w:rsid w:val="004A35DB"/>
    <w:rsid w:val="004A462D"/>
    <w:rsid w:val="004A5EFB"/>
    <w:rsid w:val="004A7167"/>
    <w:rsid w:val="004A7312"/>
    <w:rsid w:val="004A7321"/>
    <w:rsid w:val="004A78C4"/>
    <w:rsid w:val="004B0A35"/>
    <w:rsid w:val="004B1461"/>
    <w:rsid w:val="004B2B77"/>
    <w:rsid w:val="004B4322"/>
    <w:rsid w:val="004B597D"/>
    <w:rsid w:val="004B71B0"/>
    <w:rsid w:val="004C021D"/>
    <w:rsid w:val="004C0367"/>
    <w:rsid w:val="004C0E62"/>
    <w:rsid w:val="004C3659"/>
    <w:rsid w:val="004C391A"/>
    <w:rsid w:val="004C3A40"/>
    <w:rsid w:val="004C502A"/>
    <w:rsid w:val="004C68A5"/>
    <w:rsid w:val="004C7B6A"/>
    <w:rsid w:val="004D0710"/>
    <w:rsid w:val="004D18D8"/>
    <w:rsid w:val="004D1A2C"/>
    <w:rsid w:val="004D3A45"/>
    <w:rsid w:val="004D3FA6"/>
    <w:rsid w:val="004D4275"/>
    <w:rsid w:val="004D4778"/>
    <w:rsid w:val="004D7102"/>
    <w:rsid w:val="004D7AE4"/>
    <w:rsid w:val="004E0073"/>
    <w:rsid w:val="004E1276"/>
    <w:rsid w:val="004E17D8"/>
    <w:rsid w:val="004E2685"/>
    <w:rsid w:val="004E3503"/>
    <w:rsid w:val="004E376A"/>
    <w:rsid w:val="004E4FC0"/>
    <w:rsid w:val="004E5039"/>
    <w:rsid w:val="004E51CA"/>
    <w:rsid w:val="004E5B60"/>
    <w:rsid w:val="004F00C4"/>
    <w:rsid w:val="004F0548"/>
    <w:rsid w:val="004F0803"/>
    <w:rsid w:val="004F08A9"/>
    <w:rsid w:val="004F358A"/>
    <w:rsid w:val="004F466A"/>
    <w:rsid w:val="004F7C02"/>
    <w:rsid w:val="004F7F4B"/>
    <w:rsid w:val="00500271"/>
    <w:rsid w:val="0050054B"/>
    <w:rsid w:val="0050055A"/>
    <w:rsid w:val="00501803"/>
    <w:rsid w:val="005027F0"/>
    <w:rsid w:val="00504CAA"/>
    <w:rsid w:val="0051009A"/>
    <w:rsid w:val="00511E38"/>
    <w:rsid w:val="00511E60"/>
    <w:rsid w:val="0051640D"/>
    <w:rsid w:val="00516FFF"/>
    <w:rsid w:val="005171BF"/>
    <w:rsid w:val="00517890"/>
    <w:rsid w:val="005211D0"/>
    <w:rsid w:val="00523F9A"/>
    <w:rsid w:val="00525C8B"/>
    <w:rsid w:val="00530A30"/>
    <w:rsid w:val="00531828"/>
    <w:rsid w:val="00531DF6"/>
    <w:rsid w:val="00532355"/>
    <w:rsid w:val="005332EB"/>
    <w:rsid w:val="00533A9F"/>
    <w:rsid w:val="00534073"/>
    <w:rsid w:val="005341E3"/>
    <w:rsid w:val="0053533F"/>
    <w:rsid w:val="00535A68"/>
    <w:rsid w:val="00540A94"/>
    <w:rsid w:val="00541404"/>
    <w:rsid w:val="005445BF"/>
    <w:rsid w:val="00544C2E"/>
    <w:rsid w:val="00544D72"/>
    <w:rsid w:val="00545DD8"/>
    <w:rsid w:val="00546EAE"/>
    <w:rsid w:val="0054761F"/>
    <w:rsid w:val="005515CD"/>
    <w:rsid w:val="00551B5D"/>
    <w:rsid w:val="00551E7D"/>
    <w:rsid w:val="005525C4"/>
    <w:rsid w:val="005548B5"/>
    <w:rsid w:val="00557D6F"/>
    <w:rsid w:val="00557D9C"/>
    <w:rsid w:val="00563952"/>
    <w:rsid w:val="00564B9B"/>
    <w:rsid w:val="00565C8B"/>
    <w:rsid w:val="00565E0A"/>
    <w:rsid w:val="00565E64"/>
    <w:rsid w:val="005704A7"/>
    <w:rsid w:val="005707C3"/>
    <w:rsid w:val="005709D7"/>
    <w:rsid w:val="0057191E"/>
    <w:rsid w:val="005726AF"/>
    <w:rsid w:val="00572B2D"/>
    <w:rsid w:val="00573401"/>
    <w:rsid w:val="00574A69"/>
    <w:rsid w:val="00575C69"/>
    <w:rsid w:val="00575E86"/>
    <w:rsid w:val="005778E1"/>
    <w:rsid w:val="00577C92"/>
    <w:rsid w:val="0058052A"/>
    <w:rsid w:val="00581A83"/>
    <w:rsid w:val="00585765"/>
    <w:rsid w:val="00586380"/>
    <w:rsid w:val="00590C33"/>
    <w:rsid w:val="00592778"/>
    <w:rsid w:val="005942EA"/>
    <w:rsid w:val="00594805"/>
    <w:rsid w:val="0059556D"/>
    <w:rsid w:val="00596801"/>
    <w:rsid w:val="00597694"/>
    <w:rsid w:val="00597CCF"/>
    <w:rsid w:val="00597E46"/>
    <w:rsid w:val="005A0D31"/>
    <w:rsid w:val="005A37ED"/>
    <w:rsid w:val="005A3CBE"/>
    <w:rsid w:val="005A4135"/>
    <w:rsid w:val="005A4DA8"/>
    <w:rsid w:val="005A6340"/>
    <w:rsid w:val="005A65E0"/>
    <w:rsid w:val="005A738A"/>
    <w:rsid w:val="005B072D"/>
    <w:rsid w:val="005B0931"/>
    <w:rsid w:val="005B10A9"/>
    <w:rsid w:val="005B131C"/>
    <w:rsid w:val="005B1502"/>
    <w:rsid w:val="005B1FE1"/>
    <w:rsid w:val="005B236C"/>
    <w:rsid w:val="005B4712"/>
    <w:rsid w:val="005B50D3"/>
    <w:rsid w:val="005B61EE"/>
    <w:rsid w:val="005B67D3"/>
    <w:rsid w:val="005C03FB"/>
    <w:rsid w:val="005C077C"/>
    <w:rsid w:val="005C0881"/>
    <w:rsid w:val="005C0AEF"/>
    <w:rsid w:val="005C1352"/>
    <w:rsid w:val="005C17C0"/>
    <w:rsid w:val="005C331E"/>
    <w:rsid w:val="005C43F3"/>
    <w:rsid w:val="005C5005"/>
    <w:rsid w:val="005C57E0"/>
    <w:rsid w:val="005C60E8"/>
    <w:rsid w:val="005C699D"/>
    <w:rsid w:val="005C7552"/>
    <w:rsid w:val="005D0F72"/>
    <w:rsid w:val="005D121D"/>
    <w:rsid w:val="005D25B0"/>
    <w:rsid w:val="005D3290"/>
    <w:rsid w:val="005D37D4"/>
    <w:rsid w:val="005D4366"/>
    <w:rsid w:val="005D4BC7"/>
    <w:rsid w:val="005D646E"/>
    <w:rsid w:val="005D6AB6"/>
    <w:rsid w:val="005D7006"/>
    <w:rsid w:val="005D728E"/>
    <w:rsid w:val="005D78DB"/>
    <w:rsid w:val="005E116D"/>
    <w:rsid w:val="005E2A5E"/>
    <w:rsid w:val="005E2E83"/>
    <w:rsid w:val="005E35FE"/>
    <w:rsid w:val="005E450B"/>
    <w:rsid w:val="005E5D62"/>
    <w:rsid w:val="005E5EA4"/>
    <w:rsid w:val="005F09C5"/>
    <w:rsid w:val="005F128D"/>
    <w:rsid w:val="005F2360"/>
    <w:rsid w:val="005F32C2"/>
    <w:rsid w:val="005F3A82"/>
    <w:rsid w:val="005F5963"/>
    <w:rsid w:val="005F5C1C"/>
    <w:rsid w:val="005F5C6B"/>
    <w:rsid w:val="005F62CE"/>
    <w:rsid w:val="005F655D"/>
    <w:rsid w:val="005F6A90"/>
    <w:rsid w:val="005F700B"/>
    <w:rsid w:val="005F7115"/>
    <w:rsid w:val="006001BB"/>
    <w:rsid w:val="006008E7"/>
    <w:rsid w:val="00601D59"/>
    <w:rsid w:val="006025F4"/>
    <w:rsid w:val="006055F3"/>
    <w:rsid w:val="006065D8"/>
    <w:rsid w:val="00606DC6"/>
    <w:rsid w:val="0060734E"/>
    <w:rsid w:val="00607633"/>
    <w:rsid w:val="00607D9C"/>
    <w:rsid w:val="00610E48"/>
    <w:rsid w:val="00611A6D"/>
    <w:rsid w:val="00611B2C"/>
    <w:rsid w:val="0061303A"/>
    <w:rsid w:val="0061329B"/>
    <w:rsid w:val="00613FA3"/>
    <w:rsid w:val="006146AB"/>
    <w:rsid w:val="006147EF"/>
    <w:rsid w:val="00615D57"/>
    <w:rsid w:val="00616AB2"/>
    <w:rsid w:val="00616E25"/>
    <w:rsid w:val="00620808"/>
    <w:rsid w:val="00623090"/>
    <w:rsid w:val="00623684"/>
    <w:rsid w:val="00624038"/>
    <w:rsid w:val="0062582B"/>
    <w:rsid w:val="00627B7A"/>
    <w:rsid w:val="006308AC"/>
    <w:rsid w:val="00630ECC"/>
    <w:rsid w:val="00633785"/>
    <w:rsid w:val="00636EF3"/>
    <w:rsid w:val="0063715A"/>
    <w:rsid w:val="00637229"/>
    <w:rsid w:val="00640157"/>
    <w:rsid w:val="006405D8"/>
    <w:rsid w:val="00640A1B"/>
    <w:rsid w:val="00641566"/>
    <w:rsid w:val="006433D8"/>
    <w:rsid w:val="00644A50"/>
    <w:rsid w:val="006450FB"/>
    <w:rsid w:val="006463D1"/>
    <w:rsid w:val="00652F4E"/>
    <w:rsid w:val="0065384A"/>
    <w:rsid w:val="006539BE"/>
    <w:rsid w:val="00653E7C"/>
    <w:rsid w:val="00657EB4"/>
    <w:rsid w:val="00661BCA"/>
    <w:rsid w:val="00662167"/>
    <w:rsid w:val="00666BC4"/>
    <w:rsid w:val="00666E80"/>
    <w:rsid w:val="006672FA"/>
    <w:rsid w:val="00671FD7"/>
    <w:rsid w:val="006720EC"/>
    <w:rsid w:val="0067247E"/>
    <w:rsid w:val="00672B60"/>
    <w:rsid w:val="0067328A"/>
    <w:rsid w:val="00673388"/>
    <w:rsid w:val="00674053"/>
    <w:rsid w:val="00674299"/>
    <w:rsid w:val="00674F3E"/>
    <w:rsid w:val="00674FDB"/>
    <w:rsid w:val="006769D1"/>
    <w:rsid w:val="00677079"/>
    <w:rsid w:val="00680744"/>
    <w:rsid w:val="00680988"/>
    <w:rsid w:val="0068178A"/>
    <w:rsid w:val="006817E1"/>
    <w:rsid w:val="00681C51"/>
    <w:rsid w:val="00682832"/>
    <w:rsid w:val="006846CD"/>
    <w:rsid w:val="0068478E"/>
    <w:rsid w:val="00684C23"/>
    <w:rsid w:val="00685F64"/>
    <w:rsid w:val="006869B9"/>
    <w:rsid w:val="00686B9D"/>
    <w:rsid w:val="00690158"/>
    <w:rsid w:val="00690E0F"/>
    <w:rsid w:val="00691A76"/>
    <w:rsid w:val="00694924"/>
    <w:rsid w:val="00696182"/>
    <w:rsid w:val="00697AC5"/>
    <w:rsid w:val="00697B28"/>
    <w:rsid w:val="006A0CCA"/>
    <w:rsid w:val="006A1674"/>
    <w:rsid w:val="006A1B89"/>
    <w:rsid w:val="006A1CB1"/>
    <w:rsid w:val="006A225C"/>
    <w:rsid w:val="006A2834"/>
    <w:rsid w:val="006A5CC0"/>
    <w:rsid w:val="006A6E49"/>
    <w:rsid w:val="006A7E96"/>
    <w:rsid w:val="006B031A"/>
    <w:rsid w:val="006B0E92"/>
    <w:rsid w:val="006B1B18"/>
    <w:rsid w:val="006B1D7E"/>
    <w:rsid w:val="006B216B"/>
    <w:rsid w:val="006B46F5"/>
    <w:rsid w:val="006B4969"/>
    <w:rsid w:val="006B5244"/>
    <w:rsid w:val="006B682E"/>
    <w:rsid w:val="006B6B9E"/>
    <w:rsid w:val="006B7998"/>
    <w:rsid w:val="006C0275"/>
    <w:rsid w:val="006C059B"/>
    <w:rsid w:val="006C0C45"/>
    <w:rsid w:val="006C2504"/>
    <w:rsid w:val="006C34D8"/>
    <w:rsid w:val="006C4099"/>
    <w:rsid w:val="006C7536"/>
    <w:rsid w:val="006C7585"/>
    <w:rsid w:val="006D03B2"/>
    <w:rsid w:val="006D2317"/>
    <w:rsid w:val="006D46A0"/>
    <w:rsid w:val="006D6107"/>
    <w:rsid w:val="006D633F"/>
    <w:rsid w:val="006D7C21"/>
    <w:rsid w:val="006E0020"/>
    <w:rsid w:val="006E012A"/>
    <w:rsid w:val="006E0B7E"/>
    <w:rsid w:val="006E0C98"/>
    <w:rsid w:val="006E2A50"/>
    <w:rsid w:val="006E2DBE"/>
    <w:rsid w:val="006E2F26"/>
    <w:rsid w:val="006E3A35"/>
    <w:rsid w:val="006E444B"/>
    <w:rsid w:val="006E56B6"/>
    <w:rsid w:val="006E6BFF"/>
    <w:rsid w:val="006E7872"/>
    <w:rsid w:val="006E7C7B"/>
    <w:rsid w:val="006E7F3D"/>
    <w:rsid w:val="006F0B48"/>
    <w:rsid w:val="006F0FF8"/>
    <w:rsid w:val="006F1638"/>
    <w:rsid w:val="006F2B1E"/>
    <w:rsid w:val="006F39E6"/>
    <w:rsid w:val="006F5A7E"/>
    <w:rsid w:val="006F6EC3"/>
    <w:rsid w:val="006F74FD"/>
    <w:rsid w:val="006F7F3C"/>
    <w:rsid w:val="00700AFD"/>
    <w:rsid w:val="007011B1"/>
    <w:rsid w:val="00701B1E"/>
    <w:rsid w:val="007036AC"/>
    <w:rsid w:val="00704131"/>
    <w:rsid w:val="007042CF"/>
    <w:rsid w:val="00704981"/>
    <w:rsid w:val="0070571D"/>
    <w:rsid w:val="0070718D"/>
    <w:rsid w:val="00707667"/>
    <w:rsid w:val="007077CB"/>
    <w:rsid w:val="00707DB0"/>
    <w:rsid w:val="00710841"/>
    <w:rsid w:val="00710E1B"/>
    <w:rsid w:val="00710FB8"/>
    <w:rsid w:val="00714CC9"/>
    <w:rsid w:val="00715E20"/>
    <w:rsid w:val="00716356"/>
    <w:rsid w:val="00716413"/>
    <w:rsid w:val="00716F7B"/>
    <w:rsid w:val="00717323"/>
    <w:rsid w:val="00717523"/>
    <w:rsid w:val="007177E8"/>
    <w:rsid w:val="00717B41"/>
    <w:rsid w:val="007202E7"/>
    <w:rsid w:val="00720BE5"/>
    <w:rsid w:val="00721069"/>
    <w:rsid w:val="00721149"/>
    <w:rsid w:val="00721608"/>
    <w:rsid w:val="00721CDE"/>
    <w:rsid w:val="00723EE0"/>
    <w:rsid w:val="00726FDD"/>
    <w:rsid w:val="0072737D"/>
    <w:rsid w:val="00727DF6"/>
    <w:rsid w:val="00731980"/>
    <w:rsid w:val="0073236B"/>
    <w:rsid w:val="00733676"/>
    <w:rsid w:val="007343AD"/>
    <w:rsid w:val="0073552B"/>
    <w:rsid w:val="007355C2"/>
    <w:rsid w:val="00735FAA"/>
    <w:rsid w:val="00736F48"/>
    <w:rsid w:val="00737CF4"/>
    <w:rsid w:val="00742DD6"/>
    <w:rsid w:val="00751B8E"/>
    <w:rsid w:val="00752792"/>
    <w:rsid w:val="00754586"/>
    <w:rsid w:val="00754FF8"/>
    <w:rsid w:val="0075574A"/>
    <w:rsid w:val="007559B8"/>
    <w:rsid w:val="00756045"/>
    <w:rsid w:val="007569CD"/>
    <w:rsid w:val="00756AC4"/>
    <w:rsid w:val="00756DF3"/>
    <w:rsid w:val="0075719F"/>
    <w:rsid w:val="00757671"/>
    <w:rsid w:val="00760856"/>
    <w:rsid w:val="007613BB"/>
    <w:rsid w:val="0076286F"/>
    <w:rsid w:val="007663A9"/>
    <w:rsid w:val="00766C13"/>
    <w:rsid w:val="00767C19"/>
    <w:rsid w:val="00767F04"/>
    <w:rsid w:val="00770655"/>
    <w:rsid w:val="00770D6C"/>
    <w:rsid w:val="00770F4D"/>
    <w:rsid w:val="00772C05"/>
    <w:rsid w:val="00774C41"/>
    <w:rsid w:val="00774DD1"/>
    <w:rsid w:val="00776071"/>
    <w:rsid w:val="007762DB"/>
    <w:rsid w:val="00777695"/>
    <w:rsid w:val="00777B15"/>
    <w:rsid w:val="00777D9E"/>
    <w:rsid w:val="00780A05"/>
    <w:rsid w:val="00781050"/>
    <w:rsid w:val="00781C88"/>
    <w:rsid w:val="00783DAF"/>
    <w:rsid w:val="00784739"/>
    <w:rsid w:val="00784D99"/>
    <w:rsid w:val="00785E10"/>
    <w:rsid w:val="00786478"/>
    <w:rsid w:val="00786511"/>
    <w:rsid w:val="00787AB5"/>
    <w:rsid w:val="007903F4"/>
    <w:rsid w:val="00791431"/>
    <w:rsid w:val="00793733"/>
    <w:rsid w:val="00794841"/>
    <w:rsid w:val="00794A76"/>
    <w:rsid w:val="00794AB2"/>
    <w:rsid w:val="007965BA"/>
    <w:rsid w:val="00796691"/>
    <w:rsid w:val="007A247A"/>
    <w:rsid w:val="007A2E9B"/>
    <w:rsid w:val="007A59C9"/>
    <w:rsid w:val="007A6D93"/>
    <w:rsid w:val="007B1959"/>
    <w:rsid w:val="007B2D99"/>
    <w:rsid w:val="007B4D4B"/>
    <w:rsid w:val="007B5448"/>
    <w:rsid w:val="007B601F"/>
    <w:rsid w:val="007B63C6"/>
    <w:rsid w:val="007B6BF6"/>
    <w:rsid w:val="007C100B"/>
    <w:rsid w:val="007C351C"/>
    <w:rsid w:val="007C3BA1"/>
    <w:rsid w:val="007C3C30"/>
    <w:rsid w:val="007C4F51"/>
    <w:rsid w:val="007C5486"/>
    <w:rsid w:val="007C597E"/>
    <w:rsid w:val="007C5CF6"/>
    <w:rsid w:val="007C5DFE"/>
    <w:rsid w:val="007C5F5A"/>
    <w:rsid w:val="007D10BF"/>
    <w:rsid w:val="007D25BB"/>
    <w:rsid w:val="007D273F"/>
    <w:rsid w:val="007D2773"/>
    <w:rsid w:val="007D5649"/>
    <w:rsid w:val="007E0549"/>
    <w:rsid w:val="007E2C6B"/>
    <w:rsid w:val="007E34CC"/>
    <w:rsid w:val="007E3C6E"/>
    <w:rsid w:val="007E4752"/>
    <w:rsid w:val="007E5997"/>
    <w:rsid w:val="007E66EF"/>
    <w:rsid w:val="007F07D5"/>
    <w:rsid w:val="007F09AA"/>
    <w:rsid w:val="007F25D4"/>
    <w:rsid w:val="007F2708"/>
    <w:rsid w:val="007F2A03"/>
    <w:rsid w:val="007F2D03"/>
    <w:rsid w:val="007F3393"/>
    <w:rsid w:val="007F35E9"/>
    <w:rsid w:val="008010D3"/>
    <w:rsid w:val="00801741"/>
    <w:rsid w:val="00801D30"/>
    <w:rsid w:val="00803F9B"/>
    <w:rsid w:val="00806016"/>
    <w:rsid w:val="00810D23"/>
    <w:rsid w:val="00811CFD"/>
    <w:rsid w:val="0081220C"/>
    <w:rsid w:val="00813576"/>
    <w:rsid w:val="00815041"/>
    <w:rsid w:val="00815AE6"/>
    <w:rsid w:val="00817715"/>
    <w:rsid w:val="008204E5"/>
    <w:rsid w:val="00820B2E"/>
    <w:rsid w:val="00821838"/>
    <w:rsid w:val="00821D9A"/>
    <w:rsid w:val="00822978"/>
    <w:rsid w:val="00823CE9"/>
    <w:rsid w:val="008246A3"/>
    <w:rsid w:val="00824CCF"/>
    <w:rsid w:val="008250F0"/>
    <w:rsid w:val="00826833"/>
    <w:rsid w:val="00827B99"/>
    <w:rsid w:val="00830F68"/>
    <w:rsid w:val="008323C5"/>
    <w:rsid w:val="008325D2"/>
    <w:rsid w:val="008359F1"/>
    <w:rsid w:val="00835D56"/>
    <w:rsid w:val="008406A0"/>
    <w:rsid w:val="008407D3"/>
    <w:rsid w:val="00840C9A"/>
    <w:rsid w:val="00841604"/>
    <w:rsid w:val="00841EC8"/>
    <w:rsid w:val="00843604"/>
    <w:rsid w:val="00844567"/>
    <w:rsid w:val="008469F6"/>
    <w:rsid w:val="008504C6"/>
    <w:rsid w:val="0085052A"/>
    <w:rsid w:val="0085076B"/>
    <w:rsid w:val="0085084C"/>
    <w:rsid w:val="00850C6A"/>
    <w:rsid w:val="00852305"/>
    <w:rsid w:val="0085273D"/>
    <w:rsid w:val="00853549"/>
    <w:rsid w:val="00853CE9"/>
    <w:rsid w:val="00854029"/>
    <w:rsid w:val="00855320"/>
    <w:rsid w:val="008556D5"/>
    <w:rsid w:val="00855F32"/>
    <w:rsid w:val="00856E94"/>
    <w:rsid w:val="008608F2"/>
    <w:rsid w:val="00860DC6"/>
    <w:rsid w:val="00864F37"/>
    <w:rsid w:val="0086510F"/>
    <w:rsid w:val="008664BF"/>
    <w:rsid w:val="008666F0"/>
    <w:rsid w:val="00866C79"/>
    <w:rsid w:val="00866CAE"/>
    <w:rsid w:val="00871FFA"/>
    <w:rsid w:val="00872421"/>
    <w:rsid w:val="008739FC"/>
    <w:rsid w:val="008746B2"/>
    <w:rsid w:val="00876294"/>
    <w:rsid w:val="00876DA1"/>
    <w:rsid w:val="00880B75"/>
    <w:rsid w:val="00881E1C"/>
    <w:rsid w:val="00882AC0"/>
    <w:rsid w:val="00882DAB"/>
    <w:rsid w:val="00884E6A"/>
    <w:rsid w:val="00887407"/>
    <w:rsid w:val="00887412"/>
    <w:rsid w:val="00887DD7"/>
    <w:rsid w:val="0089015C"/>
    <w:rsid w:val="0089476A"/>
    <w:rsid w:val="00894BD4"/>
    <w:rsid w:val="0089541E"/>
    <w:rsid w:val="008963C4"/>
    <w:rsid w:val="0089741F"/>
    <w:rsid w:val="00897EC1"/>
    <w:rsid w:val="008A2280"/>
    <w:rsid w:val="008A2600"/>
    <w:rsid w:val="008A65AE"/>
    <w:rsid w:val="008A7E68"/>
    <w:rsid w:val="008B0C10"/>
    <w:rsid w:val="008B2D05"/>
    <w:rsid w:val="008B2E80"/>
    <w:rsid w:val="008B3727"/>
    <w:rsid w:val="008B474B"/>
    <w:rsid w:val="008B56AD"/>
    <w:rsid w:val="008B6487"/>
    <w:rsid w:val="008B6E87"/>
    <w:rsid w:val="008B7AD2"/>
    <w:rsid w:val="008C37B3"/>
    <w:rsid w:val="008C496A"/>
    <w:rsid w:val="008C64B1"/>
    <w:rsid w:val="008C778E"/>
    <w:rsid w:val="008D04D1"/>
    <w:rsid w:val="008D04E0"/>
    <w:rsid w:val="008D0E7F"/>
    <w:rsid w:val="008D124D"/>
    <w:rsid w:val="008D1A3E"/>
    <w:rsid w:val="008D35CD"/>
    <w:rsid w:val="008D3A96"/>
    <w:rsid w:val="008D3EF9"/>
    <w:rsid w:val="008D3F5E"/>
    <w:rsid w:val="008D413A"/>
    <w:rsid w:val="008D642D"/>
    <w:rsid w:val="008D70C0"/>
    <w:rsid w:val="008D7E31"/>
    <w:rsid w:val="008E0328"/>
    <w:rsid w:val="008E03B2"/>
    <w:rsid w:val="008E28BB"/>
    <w:rsid w:val="008E2A29"/>
    <w:rsid w:val="008E3369"/>
    <w:rsid w:val="008E3385"/>
    <w:rsid w:val="008E3E10"/>
    <w:rsid w:val="008E4CC4"/>
    <w:rsid w:val="008E4F29"/>
    <w:rsid w:val="008E56E5"/>
    <w:rsid w:val="008E5C27"/>
    <w:rsid w:val="008E6DBC"/>
    <w:rsid w:val="008E7825"/>
    <w:rsid w:val="008E7960"/>
    <w:rsid w:val="008F0F1C"/>
    <w:rsid w:val="008F2F5E"/>
    <w:rsid w:val="008F301C"/>
    <w:rsid w:val="008F37BA"/>
    <w:rsid w:val="008F3865"/>
    <w:rsid w:val="008F3932"/>
    <w:rsid w:val="008F4E24"/>
    <w:rsid w:val="008F51DB"/>
    <w:rsid w:val="008F6139"/>
    <w:rsid w:val="008F6A8A"/>
    <w:rsid w:val="009002E9"/>
    <w:rsid w:val="00900423"/>
    <w:rsid w:val="009004FA"/>
    <w:rsid w:val="009009B9"/>
    <w:rsid w:val="0090100D"/>
    <w:rsid w:val="0090152B"/>
    <w:rsid w:val="00901F66"/>
    <w:rsid w:val="009021E9"/>
    <w:rsid w:val="009024F5"/>
    <w:rsid w:val="0090372F"/>
    <w:rsid w:val="00904F00"/>
    <w:rsid w:val="00905AE0"/>
    <w:rsid w:val="0090630F"/>
    <w:rsid w:val="00912AD6"/>
    <w:rsid w:val="009138B2"/>
    <w:rsid w:val="00913AB2"/>
    <w:rsid w:val="00914455"/>
    <w:rsid w:val="00914DAC"/>
    <w:rsid w:val="00914E2C"/>
    <w:rsid w:val="00915ADE"/>
    <w:rsid w:val="00917A5C"/>
    <w:rsid w:val="00917F68"/>
    <w:rsid w:val="00920D1E"/>
    <w:rsid w:val="009216B8"/>
    <w:rsid w:val="009222BD"/>
    <w:rsid w:val="00922525"/>
    <w:rsid w:val="009231D2"/>
    <w:rsid w:val="009232E7"/>
    <w:rsid w:val="00924750"/>
    <w:rsid w:val="00925B8F"/>
    <w:rsid w:val="00926810"/>
    <w:rsid w:val="00930903"/>
    <w:rsid w:val="0093106C"/>
    <w:rsid w:val="00932B47"/>
    <w:rsid w:val="00933C95"/>
    <w:rsid w:val="00934B3E"/>
    <w:rsid w:val="009357BC"/>
    <w:rsid w:val="0093722C"/>
    <w:rsid w:val="00937697"/>
    <w:rsid w:val="00940F76"/>
    <w:rsid w:val="00941EE6"/>
    <w:rsid w:val="009440F8"/>
    <w:rsid w:val="009454D6"/>
    <w:rsid w:val="00946DD7"/>
    <w:rsid w:val="00946FA0"/>
    <w:rsid w:val="00950C83"/>
    <w:rsid w:val="009510E4"/>
    <w:rsid w:val="00951456"/>
    <w:rsid w:val="009514D8"/>
    <w:rsid w:val="00952E2C"/>
    <w:rsid w:val="00953314"/>
    <w:rsid w:val="009546BB"/>
    <w:rsid w:val="00956B6A"/>
    <w:rsid w:val="0096013C"/>
    <w:rsid w:val="009616D1"/>
    <w:rsid w:val="00962186"/>
    <w:rsid w:val="00962615"/>
    <w:rsid w:val="00962FF0"/>
    <w:rsid w:val="00964417"/>
    <w:rsid w:val="0096453F"/>
    <w:rsid w:val="00966197"/>
    <w:rsid w:val="0096632E"/>
    <w:rsid w:val="0097117A"/>
    <w:rsid w:val="0097141A"/>
    <w:rsid w:val="00972024"/>
    <w:rsid w:val="00972AC4"/>
    <w:rsid w:val="00973F27"/>
    <w:rsid w:val="009743B1"/>
    <w:rsid w:val="00975398"/>
    <w:rsid w:val="0097544F"/>
    <w:rsid w:val="00975711"/>
    <w:rsid w:val="00976382"/>
    <w:rsid w:val="00977641"/>
    <w:rsid w:val="00984D5E"/>
    <w:rsid w:val="009850FE"/>
    <w:rsid w:val="0098513E"/>
    <w:rsid w:val="009853A5"/>
    <w:rsid w:val="0098591E"/>
    <w:rsid w:val="00985D04"/>
    <w:rsid w:val="00986708"/>
    <w:rsid w:val="00987608"/>
    <w:rsid w:val="009903BB"/>
    <w:rsid w:val="00990A5F"/>
    <w:rsid w:val="009918B5"/>
    <w:rsid w:val="009922D8"/>
    <w:rsid w:val="0099275B"/>
    <w:rsid w:val="00992FD8"/>
    <w:rsid w:val="00993350"/>
    <w:rsid w:val="009938C7"/>
    <w:rsid w:val="00994ABE"/>
    <w:rsid w:val="0099611D"/>
    <w:rsid w:val="0099710D"/>
    <w:rsid w:val="009A0B0D"/>
    <w:rsid w:val="009A1792"/>
    <w:rsid w:val="009A252E"/>
    <w:rsid w:val="009A3F82"/>
    <w:rsid w:val="009A6CFB"/>
    <w:rsid w:val="009A7762"/>
    <w:rsid w:val="009B0AE0"/>
    <w:rsid w:val="009B11E2"/>
    <w:rsid w:val="009B176E"/>
    <w:rsid w:val="009B22FE"/>
    <w:rsid w:val="009B3702"/>
    <w:rsid w:val="009B5AFD"/>
    <w:rsid w:val="009B5BBB"/>
    <w:rsid w:val="009B5E64"/>
    <w:rsid w:val="009B7224"/>
    <w:rsid w:val="009B7480"/>
    <w:rsid w:val="009B7C1F"/>
    <w:rsid w:val="009B7D41"/>
    <w:rsid w:val="009C0DB1"/>
    <w:rsid w:val="009C1449"/>
    <w:rsid w:val="009C1D7F"/>
    <w:rsid w:val="009C50D9"/>
    <w:rsid w:val="009C52A3"/>
    <w:rsid w:val="009C5B66"/>
    <w:rsid w:val="009C5BF9"/>
    <w:rsid w:val="009C71ED"/>
    <w:rsid w:val="009D1BF8"/>
    <w:rsid w:val="009D44EB"/>
    <w:rsid w:val="009D4770"/>
    <w:rsid w:val="009D48B2"/>
    <w:rsid w:val="009D5892"/>
    <w:rsid w:val="009D6775"/>
    <w:rsid w:val="009D763F"/>
    <w:rsid w:val="009D7F43"/>
    <w:rsid w:val="009E08DF"/>
    <w:rsid w:val="009E2007"/>
    <w:rsid w:val="009E204B"/>
    <w:rsid w:val="009E249E"/>
    <w:rsid w:val="009E3CCB"/>
    <w:rsid w:val="009E400F"/>
    <w:rsid w:val="009E4D5B"/>
    <w:rsid w:val="009E565F"/>
    <w:rsid w:val="009E57DF"/>
    <w:rsid w:val="009E5D00"/>
    <w:rsid w:val="009E657D"/>
    <w:rsid w:val="009E6FA6"/>
    <w:rsid w:val="009F1FD0"/>
    <w:rsid w:val="009F289F"/>
    <w:rsid w:val="009F3923"/>
    <w:rsid w:val="009F6149"/>
    <w:rsid w:val="009F7028"/>
    <w:rsid w:val="009F7055"/>
    <w:rsid w:val="00A002BE"/>
    <w:rsid w:val="00A004CD"/>
    <w:rsid w:val="00A010F8"/>
    <w:rsid w:val="00A02154"/>
    <w:rsid w:val="00A0215C"/>
    <w:rsid w:val="00A03B57"/>
    <w:rsid w:val="00A044E3"/>
    <w:rsid w:val="00A04623"/>
    <w:rsid w:val="00A04F24"/>
    <w:rsid w:val="00A06048"/>
    <w:rsid w:val="00A069BF"/>
    <w:rsid w:val="00A07416"/>
    <w:rsid w:val="00A0746A"/>
    <w:rsid w:val="00A110D3"/>
    <w:rsid w:val="00A11636"/>
    <w:rsid w:val="00A127C5"/>
    <w:rsid w:val="00A14B89"/>
    <w:rsid w:val="00A16358"/>
    <w:rsid w:val="00A16BB3"/>
    <w:rsid w:val="00A21F1F"/>
    <w:rsid w:val="00A239B4"/>
    <w:rsid w:val="00A255D9"/>
    <w:rsid w:val="00A27A68"/>
    <w:rsid w:val="00A30C0E"/>
    <w:rsid w:val="00A3122A"/>
    <w:rsid w:val="00A35E1B"/>
    <w:rsid w:val="00A40D70"/>
    <w:rsid w:val="00A41A43"/>
    <w:rsid w:val="00A44AA0"/>
    <w:rsid w:val="00A471A1"/>
    <w:rsid w:val="00A47C02"/>
    <w:rsid w:val="00A47FCD"/>
    <w:rsid w:val="00A50882"/>
    <w:rsid w:val="00A50DC6"/>
    <w:rsid w:val="00A51809"/>
    <w:rsid w:val="00A52A05"/>
    <w:rsid w:val="00A53D6C"/>
    <w:rsid w:val="00A566BA"/>
    <w:rsid w:val="00A56C11"/>
    <w:rsid w:val="00A61146"/>
    <w:rsid w:val="00A624A7"/>
    <w:rsid w:val="00A62882"/>
    <w:rsid w:val="00A64A24"/>
    <w:rsid w:val="00A64FE8"/>
    <w:rsid w:val="00A658D0"/>
    <w:rsid w:val="00A67248"/>
    <w:rsid w:val="00A70419"/>
    <w:rsid w:val="00A706C9"/>
    <w:rsid w:val="00A710B8"/>
    <w:rsid w:val="00A71745"/>
    <w:rsid w:val="00A7293B"/>
    <w:rsid w:val="00A73179"/>
    <w:rsid w:val="00A73948"/>
    <w:rsid w:val="00A74034"/>
    <w:rsid w:val="00A74422"/>
    <w:rsid w:val="00A75607"/>
    <w:rsid w:val="00A75BB1"/>
    <w:rsid w:val="00A767DF"/>
    <w:rsid w:val="00A77212"/>
    <w:rsid w:val="00A77EFF"/>
    <w:rsid w:val="00A81361"/>
    <w:rsid w:val="00A82832"/>
    <w:rsid w:val="00A83620"/>
    <w:rsid w:val="00A84FC2"/>
    <w:rsid w:val="00A864AA"/>
    <w:rsid w:val="00A86A8B"/>
    <w:rsid w:val="00A8718A"/>
    <w:rsid w:val="00A872EE"/>
    <w:rsid w:val="00A8740A"/>
    <w:rsid w:val="00A87894"/>
    <w:rsid w:val="00A909A4"/>
    <w:rsid w:val="00A91C88"/>
    <w:rsid w:val="00A92E8D"/>
    <w:rsid w:val="00A95AFD"/>
    <w:rsid w:val="00A965A1"/>
    <w:rsid w:val="00AA0833"/>
    <w:rsid w:val="00AA2817"/>
    <w:rsid w:val="00AA4C3D"/>
    <w:rsid w:val="00AA6871"/>
    <w:rsid w:val="00AA6AA1"/>
    <w:rsid w:val="00AB0FF2"/>
    <w:rsid w:val="00AB3203"/>
    <w:rsid w:val="00AB33E4"/>
    <w:rsid w:val="00AB42A3"/>
    <w:rsid w:val="00AB4509"/>
    <w:rsid w:val="00AB5AB3"/>
    <w:rsid w:val="00AB64D8"/>
    <w:rsid w:val="00AB663B"/>
    <w:rsid w:val="00AB69F6"/>
    <w:rsid w:val="00AB7543"/>
    <w:rsid w:val="00AB7E9C"/>
    <w:rsid w:val="00AC1B6F"/>
    <w:rsid w:val="00AC2107"/>
    <w:rsid w:val="00AC34E1"/>
    <w:rsid w:val="00AC3AC7"/>
    <w:rsid w:val="00AC5043"/>
    <w:rsid w:val="00AC5172"/>
    <w:rsid w:val="00AC54C8"/>
    <w:rsid w:val="00AC56BE"/>
    <w:rsid w:val="00AC708A"/>
    <w:rsid w:val="00AC7841"/>
    <w:rsid w:val="00AC7ECE"/>
    <w:rsid w:val="00AD0296"/>
    <w:rsid w:val="00AD2650"/>
    <w:rsid w:val="00AD3856"/>
    <w:rsid w:val="00AD3EA3"/>
    <w:rsid w:val="00AD4001"/>
    <w:rsid w:val="00AD45DE"/>
    <w:rsid w:val="00AD4935"/>
    <w:rsid w:val="00AE3571"/>
    <w:rsid w:val="00AE3929"/>
    <w:rsid w:val="00AE46AE"/>
    <w:rsid w:val="00AE52B3"/>
    <w:rsid w:val="00AE5401"/>
    <w:rsid w:val="00AE6A20"/>
    <w:rsid w:val="00AE6CA4"/>
    <w:rsid w:val="00AE77A1"/>
    <w:rsid w:val="00AF00A8"/>
    <w:rsid w:val="00AF0DBD"/>
    <w:rsid w:val="00AF1090"/>
    <w:rsid w:val="00AF10FF"/>
    <w:rsid w:val="00AF2451"/>
    <w:rsid w:val="00AF2ABE"/>
    <w:rsid w:val="00AF3308"/>
    <w:rsid w:val="00AF69EC"/>
    <w:rsid w:val="00B01BAD"/>
    <w:rsid w:val="00B02A12"/>
    <w:rsid w:val="00B02DC4"/>
    <w:rsid w:val="00B02E9B"/>
    <w:rsid w:val="00B03133"/>
    <w:rsid w:val="00B040E9"/>
    <w:rsid w:val="00B04888"/>
    <w:rsid w:val="00B0664C"/>
    <w:rsid w:val="00B06C3B"/>
    <w:rsid w:val="00B071C6"/>
    <w:rsid w:val="00B103E3"/>
    <w:rsid w:val="00B12F81"/>
    <w:rsid w:val="00B135CE"/>
    <w:rsid w:val="00B13758"/>
    <w:rsid w:val="00B1674C"/>
    <w:rsid w:val="00B1788C"/>
    <w:rsid w:val="00B22336"/>
    <w:rsid w:val="00B22C52"/>
    <w:rsid w:val="00B24616"/>
    <w:rsid w:val="00B24E53"/>
    <w:rsid w:val="00B24F5E"/>
    <w:rsid w:val="00B24FEB"/>
    <w:rsid w:val="00B266CE"/>
    <w:rsid w:val="00B274DD"/>
    <w:rsid w:val="00B30A2D"/>
    <w:rsid w:val="00B317D0"/>
    <w:rsid w:val="00B32AA9"/>
    <w:rsid w:val="00B32CD3"/>
    <w:rsid w:val="00B331C4"/>
    <w:rsid w:val="00B33658"/>
    <w:rsid w:val="00B3367E"/>
    <w:rsid w:val="00B3394D"/>
    <w:rsid w:val="00B34D96"/>
    <w:rsid w:val="00B35086"/>
    <w:rsid w:val="00B36A43"/>
    <w:rsid w:val="00B37F40"/>
    <w:rsid w:val="00B42C84"/>
    <w:rsid w:val="00B42CA2"/>
    <w:rsid w:val="00B431C9"/>
    <w:rsid w:val="00B43464"/>
    <w:rsid w:val="00B455A8"/>
    <w:rsid w:val="00B47A91"/>
    <w:rsid w:val="00B501AC"/>
    <w:rsid w:val="00B5038A"/>
    <w:rsid w:val="00B522F8"/>
    <w:rsid w:val="00B53283"/>
    <w:rsid w:val="00B53AE8"/>
    <w:rsid w:val="00B56470"/>
    <w:rsid w:val="00B57CF4"/>
    <w:rsid w:val="00B60718"/>
    <w:rsid w:val="00B6208D"/>
    <w:rsid w:val="00B6471F"/>
    <w:rsid w:val="00B64A0E"/>
    <w:rsid w:val="00B64B88"/>
    <w:rsid w:val="00B653F3"/>
    <w:rsid w:val="00B6672B"/>
    <w:rsid w:val="00B66F4A"/>
    <w:rsid w:val="00B679C6"/>
    <w:rsid w:val="00B70EF8"/>
    <w:rsid w:val="00B73507"/>
    <w:rsid w:val="00B7469B"/>
    <w:rsid w:val="00B74DA7"/>
    <w:rsid w:val="00B75AD0"/>
    <w:rsid w:val="00B7609C"/>
    <w:rsid w:val="00B7631B"/>
    <w:rsid w:val="00B76E1E"/>
    <w:rsid w:val="00B80820"/>
    <w:rsid w:val="00B8096B"/>
    <w:rsid w:val="00B82BAD"/>
    <w:rsid w:val="00B82BD3"/>
    <w:rsid w:val="00B84165"/>
    <w:rsid w:val="00B85ABA"/>
    <w:rsid w:val="00B86361"/>
    <w:rsid w:val="00B90502"/>
    <w:rsid w:val="00B91059"/>
    <w:rsid w:val="00B921E7"/>
    <w:rsid w:val="00B92AF7"/>
    <w:rsid w:val="00B930BD"/>
    <w:rsid w:val="00B9390D"/>
    <w:rsid w:val="00B9404A"/>
    <w:rsid w:val="00B9502C"/>
    <w:rsid w:val="00B95D1C"/>
    <w:rsid w:val="00B96014"/>
    <w:rsid w:val="00B961D4"/>
    <w:rsid w:val="00B966B0"/>
    <w:rsid w:val="00B97943"/>
    <w:rsid w:val="00BA0120"/>
    <w:rsid w:val="00BA153D"/>
    <w:rsid w:val="00BA2ADA"/>
    <w:rsid w:val="00BA2C8C"/>
    <w:rsid w:val="00BA3F70"/>
    <w:rsid w:val="00BA4C5F"/>
    <w:rsid w:val="00BA5D17"/>
    <w:rsid w:val="00BA5E17"/>
    <w:rsid w:val="00BA63CC"/>
    <w:rsid w:val="00BA6B29"/>
    <w:rsid w:val="00BA7CB2"/>
    <w:rsid w:val="00BB1377"/>
    <w:rsid w:val="00BB22CF"/>
    <w:rsid w:val="00BB298C"/>
    <w:rsid w:val="00BB3963"/>
    <w:rsid w:val="00BB4951"/>
    <w:rsid w:val="00BB4B5A"/>
    <w:rsid w:val="00BB6502"/>
    <w:rsid w:val="00BB7928"/>
    <w:rsid w:val="00BB7F88"/>
    <w:rsid w:val="00BC045D"/>
    <w:rsid w:val="00BC34CC"/>
    <w:rsid w:val="00BC4E2A"/>
    <w:rsid w:val="00BC54B1"/>
    <w:rsid w:val="00BD2692"/>
    <w:rsid w:val="00BD3BF1"/>
    <w:rsid w:val="00BD4977"/>
    <w:rsid w:val="00BD4B6E"/>
    <w:rsid w:val="00BD63D6"/>
    <w:rsid w:val="00BD6A1A"/>
    <w:rsid w:val="00BD7932"/>
    <w:rsid w:val="00BE2055"/>
    <w:rsid w:val="00BE24A1"/>
    <w:rsid w:val="00BE2AF3"/>
    <w:rsid w:val="00BE39BC"/>
    <w:rsid w:val="00BE4487"/>
    <w:rsid w:val="00BE466E"/>
    <w:rsid w:val="00BE46C7"/>
    <w:rsid w:val="00BF1D43"/>
    <w:rsid w:val="00BF322E"/>
    <w:rsid w:val="00BF35DA"/>
    <w:rsid w:val="00BF3665"/>
    <w:rsid w:val="00BF3927"/>
    <w:rsid w:val="00BF7AA2"/>
    <w:rsid w:val="00BF7D86"/>
    <w:rsid w:val="00C04C26"/>
    <w:rsid w:val="00C04C74"/>
    <w:rsid w:val="00C05B08"/>
    <w:rsid w:val="00C05F63"/>
    <w:rsid w:val="00C05FAC"/>
    <w:rsid w:val="00C0711E"/>
    <w:rsid w:val="00C11242"/>
    <w:rsid w:val="00C113C4"/>
    <w:rsid w:val="00C11587"/>
    <w:rsid w:val="00C125D5"/>
    <w:rsid w:val="00C12855"/>
    <w:rsid w:val="00C13348"/>
    <w:rsid w:val="00C13D0C"/>
    <w:rsid w:val="00C13DB4"/>
    <w:rsid w:val="00C148B9"/>
    <w:rsid w:val="00C154A5"/>
    <w:rsid w:val="00C16450"/>
    <w:rsid w:val="00C1695C"/>
    <w:rsid w:val="00C170C9"/>
    <w:rsid w:val="00C171C4"/>
    <w:rsid w:val="00C20040"/>
    <w:rsid w:val="00C205D2"/>
    <w:rsid w:val="00C20AAD"/>
    <w:rsid w:val="00C22B8F"/>
    <w:rsid w:val="00C239B2"/>
    <w:rsid w:val="00C24410"/>
    <w:rsid w:val="00C252D1"/>
    <w:rsid w:val="00C256FA"/>
    <w:rsid w:val="00C26C44"/>
    <w:rsid w:val="00C279A0"/>
    <w:rsid w:val="00C27E1C"/>
    <w:rsid w:val="00C34460"/>
    <w:rsid w:val="00C3477D"/>
    <w:rsid w:val="00C355D4"/>
    <w:rsid w:val="00C35E69"/>
    <w:rsid w:val="00C369B1"/>
    <w:rsid w:val="00C37EE0"/>
    <w:rsid w:val="00C4183C"/>
    <w:rsid w:val="00C433A5"/>
    <w:rsid w:val="00C43829"/>
    <w:rsid w:val="00C44434"/>
    <w:rsid w:val="00C444F5"/>
    <w:rsid w:val="00C4458C"/>
    <w:rsid w:val="00C47033"/>
    <w:rsid w:val="00C4706F"/>
    <w:rsid w:val="00C47D1E"/>
    <w:rsid w:val="00C50036"/>
    <w:rsid w:val="00C51258"/>
    <w:rsid w:val="00C514A9"/>
    <w:rsid w:val="00C52E87"/>
    <w:rsid w:val="00C53BDD"/>
    <w:rsid w:val="00C54225"/>
    <w:rsid w:val="00C5587E"/>
    <w:rsid w:val="00C6019C"/>
    <w:rsid w:val="00C60708"/>
    <w:rsid w:val="00C611CE"/>
    <w:rsid w:val="00C61215"/>
    <w:rsid w:val="00C62768"/>
    <w:rsid w:val="00C6411A"/>
    <w:rsid w:val="00C70BCD"/>
    <w:rsid w:val="00C71B4F"/>
    <w:rsid w:val="00C728E3"/>
    <w:rsid w:val="00C7469E"/>
    <w:rsid w:val="00C748F6"/>
    <w:rsid w:val="00C753C1"/>
    <w:rsid w:val="00C769F3"/>
    <w:rsid w:val="00C76B55"/>
    <w:rsid w:val="00C7781A"/>
    <w:rsid w:val="00C77983"/>
    <w:rsid w:val="00C80225"/>
    <w:rsid w:val="00C80450"/>
    <w:rsid w:val="00C80E79"/>
    <w:rsid w:val="00C80FD3"/>
    <w:rsid w:val="00C81AFF"/>
    <w:rsid w:val="00C820B7"/>
    <w:rsid w:val="00C83384"/>
    <w:rsid w:val="00C83ACB"/>
    <w:rsid w:val="00C8621D"/>
    <w:rsid w:val="00C865FF"/>
    <w:rsid w:val="00C90748"/>
    <w:rsid w:val="00C90A66"/>
    <w:rsid w:val="00C9116F"/>
    <w:rsid w:val="00C91C96"/>
    <w:rsid w:val="00C92323"/>
    <w:rsid w:val="00C925F0"/>
    <w:rsid w:val="00C92CC9"/>
    <w:rsid w:val="00C93F23"/>
    <w:rsid w:val="00C94E2F"/>
    <w:rsid w:val="00C957BC"/>
    <w:rsid w:val="00C95D07"/>
    <w:rsid w:val="00C95E8B"/>
    <w:rsid w:val="00C97564"/>
    <w:rsid w:val="00C97A46"/>
    <w:rsid w:val="00CA0E09"/>
    <w:rsid w:val="00CA394A"/>
    <w:rsid w:val="00CA4161"/>
    <w:rsid w:val="00CA5486"/>
    <w:rsid w:val="00CA6772"/>
    <w:rsid w:val="00CB02C4"/>
    <w:rsid w:val="00CB0554"/>
    <w:rsid w:val="00CB147C"/>
    <w:rsid w:val="00CB3828"/>
    <w:rsid w:val="00CB3D16"/>
    <w:rsid w:val="00CB4151"/>
    <w:rsid w:val="00CB4B35"/>
    <w:rsid w:val="00CB6AB0"/>
    <w:rsid w:val="00CB6FBD"/>
    <w:rsid w:val="00CB7481"/>
    <w:rsid w:val="00CC0A54"/>
    <w:rsid w:val="00CC180B"/>
    <w:rsid w:val="00CC1D50"/>
    <w:rsid w:val="00CC288D"/>
    <w:rsid w:val="00CC4518"/>
    <w:rsid w:val="00CC4C27"/>
    <w:rsid w:val="00CC6C76"/>
    <w:rsid w:val="00CC6E8B"/>
    <w:rsid w:val="00CD131C"/>
    <w:rsid w:val="00CD13BB"/>
    <w:rsid w:val="00CD16BA"/>
    <w:rsid w:val="00CD26D6"/>
    <w:rsid w:val="00CD2EB3"/>
    <w:rsid w:val="00CD3DB9"/>
    <w:rsid w:val="00CD45BD"/>
    <w:rsid w:val="00CD7015"/>
    <w:rsid w:val="00CE1DF3"/>
    <w:rsid w:val="00CE38D2"/>
    <w:rsid w:val="00CE4548"/>
    <w:rsid w:val="00CE4DCC"/>
    <w:rsid w:val="00CE629C"/>
    <w:rsid w:val="00CE6AEC"/>
    <w:rsid w:val="00CE7287"/>
    <w:rsid w:val="00CF0362"/>
    <w:rsid w:val="00CF0C57"/>
    <w:rsid w:val="00CF1F93"/>
    <w:rsid w:val="00CF346E"/>
    <w:rsid w:val="00CF44D3"/>
    <w:rsid w:val="00CF4772"/>
    <w:rsid w:val="00CF586E"/>
    <w:rsid w:val="00CF5D72"/>
    <w:rsid w:val="00CF6437"/>
    <w:rsid w:val="00CF7D2E"/>
    <w:rsid w:val="00D004AE"/>
    <w:rsid w:val="00D01680"/>
    <w:rsid w:val="00D016CB"/>
    <w:rsid w:val="00D01B1B"/>
    <w:rsid w:val="00D045A8"/>
    <w:rsid w:val="00D04891"/>
    <w:rsid w:val="00D04E90"/>
    <w:rsid w:val="00D05C1C"/>
    <w:rsid w:val="00D079B2"/>
    <w:rsid w:val="00D10C97"/>
    <w:rsid w:val="00D1174C"/>
    <w:rsid w:val="00D13E30"/>
    <w:rsid w:val="00D14293"/>
    <w:rsid w:val="00D15FBC"/>
    <w:rsid w:val="00D16135"/>
    <w:rsid w:val="00D1647E"/>
    <w:rsid w:val="00D17358"/>
    <w:rsid w:val="00D17F66"/>
    <w:rsid w:val="00D17FC8"/>
    <w:rsid w:val="00D20B4C"/>
    <w:rsid w:val="00D21AFB"/>
    <w:rsid w:val="00D22EB2"/>
    <w:rsid w:val="00D22FAB"/>
    <w:rsid w:val="00D23181"/>
    <w:rsid w:val="00D23F88"/>
    <w:rsid w:val="00D24F77"/>
    <w:rsid w:val="00D25F4F"/>
    <w:rsid w:val="00D30A55"/>
    <w:rsid w:val="00D30C3E"/>
    <w:rsid w:val="00D31C1A"/>
    <w:rsid w:val="00D32D97"/>
    <w:rsid w:val="00D33935"/>
    <w:rsid w:val="00D345F4"/>
    <w:rsid w:val="00D34AB0"/>
    <w:rsid w:val="00D34C1C"/>
    <w:rsid w:val="00D34D1F"/>
    <w:rsid w:val="00D34E90"/>
    <w:rsid w:val="00D35A8D"/>
    <w:rsid w:val="00D363A4"/>
    <w:rsid w:val="00D36710"/>
    <w:rsid w:val="00D3751B"/>
    <w:rsid w:val="00D37C25"/>
    <w:rsid w:val="00D41795"/>
    <w:rsid w:val="00D4205C"/>
    <w:rsid w:val="00D4286B"/>
    <w:rsid w:val="00D44A0B"/>
    <w:rsid w:val="00D45673"/>
    <w:rsid w:val="00D471E3"/>
    <w:rsid w:val="00D51F09"/>
    <w:rsid w:val="00D527F2"/>
    <w:rsid w:val="00D5329F"/>
    <w:rsid w:val="00D552DC"/>
    <w:rsid w:val="00D55646"/>
    <w:rsid w:val="00D55E62"/>
    <w:rsid w:val="00D561B7"/>
    <w:rsid w:val="00D605C1"/>
    <w:rsid w:val="00D6534A"/>
    <w:rsid w:val="00D654F6"/>
    <w:rsid w:val="00D65A85"/>
    <w:rsid w:val="00D664AA"/>
    <w:rsid w:val="00D67A37"/>
    <w:rsid w:val="00D7039D"/>
    <w:rsid w:val="00D71366"/>
    <w:rsid w:val="00D72513"/>
    <w:rsid w:val="00D7335D"/>
    <w:rsid w:val="00D73BD7"/>
    <w:rsid w:val="00D73E89"/>
    <w:rsid w:val="00D75735"/>
    <w:rsid w:val="00D76434"/>
    <w:rsid w:val="00D77285"/>
    <w:rsid w:val="00D7740C"/>
    <w:rsid w:val="00D80022"/>
    <w:rsid w:val="00D80EF0"/>
    <w:rsid w:val="00D81A0B"/>
    <w:rsid w:val="00D81CC8"/>
    <w:rsid w:val="00D81F2B"/>
    <w:rsid w:val="00D82F00"/>
    <w:rsid w:val="00D830E6"/>
    <w:rsid w:val="00D836BA"/>
    <w:rsid w:val="00D84079"/>
    <w:rsid w:val="00D84D68"/>
    <w:rsid w:val="00D84DA0"/>
    <w:rsid w:val="00D854A5"/>
    <w:rsid w:val="00D86CE9"/>
    <w:rsid w:val="00D87171"/>
    <w:rsid w:val="00D90B64"/>
    <w:rsid w:val="00D90C6D"/>
    <w:rsid w:val="00D91FA5"/>
    <w:rsid w:val="00D92395"/>
    <w:rsid w:val="00D9283C"/>
    <w:rsid w:val="00D92B52"/>
    <w:rsid w:val="00D935CE"/>
    <w:rsid w:val="00D941C3"/>
    <w:rsid w:val="00D947B1"/>
    <w:rsid w:val="00D94884"/>
    <w:rsid w:val="00D9601A"/>
    <w:rsid w:val="00DA04F6"/>
    <w:rsid w:val="00DA0B5D"/>
    <w:rsid w:val="00DA2251"/>
    <w:rsid w:val="00DA3472"/>
    <w:rsid w:val="00DA4B72"/>
    <w:rsid w:val="00DA5AE8"/>
    <w:rsid w:val="00DA6010"/>
    <w:rsid w:val="00DA6543"/>
    <w:rsid w:val="00DA6AF7"/>
    <w:rsid w:val="00DA6BD7"/>
    <w:rsid w:val="00DA7839"/>
    <w:rsid w:val="00DA7A72"/>
    <w:rsid w:val="00DA7A95"/>
    <w:rsid w:val="00DB09AD"/>
    <w:rsid w:val="00DB149F"/>
    <w:rsid w:val="00DB7A1A"/>
    <w:rsid w:val="00DC06E5"/>
    <w:rsid w:val="00DC1647"/>
    <w:rsid w:val="00DC1C53"/>
    <w:rsid w:val="00DC2102"/>
    <w:rsid w:val="00DC3477"/>
    <w:rsid w:val="00DC7A2E"/>
    <w:rsid w:val="00DC7E4D"/>
    <w:rsid w:val="00DC7FEF"/>
    <w:rsid w:val="00DD11F1"/>
    <w:rsid w:val="00DD1249"/>
    <w:rsid w:val="00DD1502"/>
    <w:rsid w:val="00DD2363"/>
    <w:rsid w:val="00DD263B"/>
    <w:rsid w:val="00DD3439"/>
    <w:rsid w:val="00DD4BF4"/>
    <w:rsid w:val="00DD7101"/>
    <w:rsid w:val="00DE0D8E"/>
    <w:rsid w:val="00DE3395"/>
    <w:rsid w:val="00DE3847"/>
    <w:rsid w:val="00DE4FBE"/>
    <w:rsid w:val="00DE5B33"/>
    <w:rsid w:val="00DE5F15"/>
    <w:rsid w:val="00DE6B2D"/>
    <w:rsid w:val="00DE6EA5"/>
    <w:rsid w:val="00DE7F10"/>
    <w:rsid w:val="00DF0117"/>
    <w:rsid w:val="00DF21BB"/>
    <w:rsid w:val="00DF2794"/>
    <w:rsid w:val="00DF450B"/>
    <w:rsid w:val="00DF4B22"/>
    <w:rsid w:val="00DF5303"/>
    <w:rsid w:val="00DF5EDF"/>
    <w:rsid w:val="00E00924"/>
    <w:rsid w:val="00E00E29"/>
    <w:rsid w:val="00E044AB"/>
    <w:rsid w:val="00E048CA"/>
    <w:rsid w:val="00E05C6B"/>
    <w:rsid w:val="00E05D6D"/>
    <w:rsid w:val="00E07427"/>
    <w:rsid w:val="00E07FBF"/>
    <w:rsid w:val="00E106A4"/>
    <w:rsid w:val="00E10BBF"/>
    <w:rsid w:val="00E10D53"/>
    <w:rsid w:val="00E1153C"/>
    <w:rsid w:val="00E1499E"/>
    <w:rsid w:val="00E14AEE"/>
    <w:rsid w:val="00E150B7"/>
    <w:rsid w:val="00E150B8"/>
    <w:rsid w:val="00E15AC2"/>
    <w:rsid w:val="00E1648A"/>
    <w:rsid w:val="00E16FF6"/>
    <w:rsid w:val="00E171D1"/>
    <w:rsid w:val="00E17696"/>
    <w:rsid w:val="00E176EE"/>
    <w:rsid w:val="00E17EFB"/>
    <w:rsid w:val="00E228AB"/>
    <w:rsid w:val="00E24679"/>
    <w:rsid w:val="00E254B2"/>
    <w:rsid w:val="00E25653"/>
    <w:rsid w:val="00E33098"/>
    <w:rsid w:val="00E335BF"/>
    <w:rsid w:val="00E3446C"/>
    <w:rsid w:val="00E34AFB"/>
    <w:rsid w:val="00E34B38"/>
    <w:rsid w:val="00E34D8C"/>
    <w:rsid w:val="00E36B8D"/>
    <w:rsid w:val="00E372F1"/>
    <w:rsid w:val="00E37340"/>
    <w:rsid w:val="00E376EB"/>
    <w:rsid w:val="00E407BE"/>
    <w:rsid w:val="00E40D18"/>
    <w:rsid w:val="00E40E12"/>
    <w:rsid w:val="00E415E9"/>
    <w:rsid w:val="00E42E40"/>
    <w:rsid w:val="00E44543"/>
    <w:rsid w:val="00E44687"/>
    <w:rsid w:val="00E45655"/>
    <w:rsid w:val="00E468AC"/>
    <w:rsid w:val="00E47804"/>
    <w:rsid w:val="00E5087A"/>
    <w:rsid w:val="00E51215"/>
    <w:rsid w:val="00E52DA8"/>
    <w:rsid w:val="00E53A01"/>
    <w:rsid w:val="00E55523"/>
    <w:rsid w:val="00E609E1"/>
    <w:rsid w:val="00E60F57"/>
    <w:rsid w:val="00E61C6A"/>
    <w:rsid w:val="00E635BF"/>
    <w:rsid w:val="00E65EE7"/>
    <w:rsid w:val="00E6658D"/>
    <w:rsid w:val="00E66BA4"/>
    <w:rsid w:val="00E675F0"/>
    <w:rsid w:val="00E676F6"/>
    <w:rsid w:val="00E7046F"/>
    <w:rsid w:val="00E7143D"/>
    <w:rsid w:val="00E71B9B"/>
    <w:rsid w:val="00E71D76"/>
    <w:rsid w:val="00E73CB3"/>
    <w:rsid w:val="00E74492"/>
    <w:rsid w:val="00E744E9"/>
    <w:rsid w:val="00E74EAD"/>
    <w:rsid w:val="00E76041"/>
    <w:rsid w:val="00E77DB0"/>
    <w:rsid w:val="00E80C2A"/>
    <w:rsid w:val="00E80F7D"/>
    <w:rsid w:val="00E84441"/>
    <w:rsid w:val="00E8783F"/>
    <w:rsid w:val="00E90807"/>
    <w:rsid w:val="00E908C8"/>
    <w:rsid w:val="00E91EA4"/>
    <w:rsid w:val="00E926B3"/>
    <w:rsid w:val="00E92C10"/>
    <w:rsid w:val="00E92EFB"/>
    <w:rsid w:val="00E93553"/>
    <w:rsid w:val="00E94EE6"/>
    <w:rsid w:val="00E971DE"/>
    <w:rsid w:val="00EA042C"/>
    <w:rsid w:val="00EA072A"/>
    <w:rsid w:val="00EA3DBB"/>
    <w:rsid w:val="00EA5F0F"/>
    <w:rsid w:val="00EA74AE"/>
    <w:rsid w:val="00EA76AB"/>
    <w:rsid w:val="00EA7B58"/>
    <w:rsid w:val="00EB0169"/>
    <w:rsid w:val="00EB019D"/>
    <w:rsid w:val="00EB17A2"/>
    <w:rsid w:val="00EB18B5"/>
    <w:rsid w:val="00EB251C"/>
    <w:rsid w:val="00EB2F10"/>
    <w:rsid w:val="00EB4C63"/>
    <w:rsid w:val="00EB5B5E"/>
    <w:rsid w:val="00EB6CD0"/>
    <w:rsid w:val="00EC0993"/>
    <w:rsid w:val="00EC1454"/>
    <w:rsid w:val="00EC146D"/>
    <w:rsid w:val="00EC23E2"/>
    <w:rsid w:val="00EC2BE3"/>
    <w:rsid w:val="00EC31A2"/>
    <w:rsid w:val="00EC4E31"/>
    <w:rsid w:val="00EC503B"/>
    <w:rsid w:val="00EC50B4"/>
    <w:rsid w:val="00EC6AC9"/>
    <w:rsid w:val="00ED0D96"/>
    <w:rsid w:val="00ED1730"/>
    <w:rsid w:val="00ED1854"/>
    <w:rsid w:val="00ED3A3B"/>
    <w:rsid w:val="00ED4B1C"/>
    <w:rsid w:val="00ED5671"/>
    <w:rsid w:val="00ED587C"/>
    <w:rsid w:val="00ED7C30"/>
    <w:rsid w:val="00EE061F"/>
    <w:rsid w:val="00EE23AA"/>
    <w:rsid w:val="00EE2C93"/>
    <w:rsid w:val="00EE4BD0"/>
    <w:rsid w:val="00EE4F81"/>
    <w:rsid w:val="00EE563D"/>
    <w:rsid w:val="00EE669B"/>
    <w:rsid w:val="00EE6968"/>
    <w:rsid w:val="00EE799F"/>
    <w:rsid w:val="00EE7C2A"/>
    <w:rsid w:val="00EF040A"/>
    <w:rsid w:val="00EF173D"/>
    <w:rsid w:val="00EF1AFB"/>
    <w:rsid w:val="00EF1FAE"/>
    <w:rsid w:val="00EF35C8"/>
    <w:rsid w:val="00EF4227"/>
    <w:rsid w:val="00EF4297"/>
    <w:rsid w:val="00EF4660"/>
    <w:rsid w:val="00EF4972"/>
    <w:rsid w:val="00F013C5"/>
    <w:rsid w:val="00F02C9D"/>
    <w:rsid w:val="00F0472F"/>
    <w:rsid w:val="00F04E7A"/>
    <w:rsid w:val="00F0691A"/>
    <w:rsid w:val="00F126EC"/>
    <w:rsid w:val="00F12B7B"/>
    <w:rsid w:val="00F13492"/>
    <w:rsid w:val="00F1602A"/>
    <w:rsid w:val="00F17045"/>
    <w:rsid w:val="00F17252"/>
    <w:rsid w:val="00F17533"/>
    <w:rsid w:val="00F17CF3"/>
    <w:rsid w:val="00F24C17"/>
    <w:rsid w:val="00F26177"/>
    <w:rsid w:val="00F26408"/>
    <w:rsid w:val="00F26A0A"/>
    <w:rsid w:val="00F2778C"/>
    <w:rsid w:val="00F31232"/>
    <w:rsid w:val="00F31694"/>
    <w:rsid w:val="00F32905"/>
    <w:rsid w:val="00F32C98"/>
    <w:rsid w:val="00F32D13"/>
    <w:rsid w:val="00F331FE"/>
    <w:rsid w:val="00F33E11"/>
    <w:rsid w:val="00F35044"/>
    <w:rsid w:val="00F3541E"/>
    <w:rsid w:val="00F35997"/>
    <w:rsid w:val="00F35EDE"/>
    <w:rsid w:val="00F4017E"/>
    <w:rsid w:val="00F40F4B"/>
    <w:rsid w:val="00F41AF9"/>
    <w:rsid w:val="00F41E26"/>
    <w:rsid w:val="00F4342F"/>
    <w:rsid w:val="00F453B7"/>
    <w:rsid w:val="00F4600E"/>
    <w:rsid w:val="00F460E4"/>
    <w:rsid w:val="00F46710"/>
    <w:rsid w:val="00F47089"/>
    <w:rsid w:val="00F47988"/>
    <w:rsid w:val="00F50A6E"/>
    <w:rsid w:val="00F511FE"/>
    <w:rsid w:val="00F51ABD"/>
    <w:rsid w:val="00F52937"/>
    <w:rsid w:val="00F5298A"/>
    <w:rsid w:val="00F53689"/>
    <w:rsid w:val="00F55B46"/>
    <w:rsid w:val="00F560F4"/>
    <w:rsid w:val="00F567F2"/>
    <w:rsid w:val="00F57FAD"/>
    <w:rsid w:val="00F60F1E"/>
    <w:rsid w:val="00F63CC1"/>
    <w:rsid w:val="00F643DF"/>
    <w:rsid w:val="00F65B6C"/>
    <w:rsid w:val="00F65E57"/>
    <w:rsid w:val="00F6667E"/>
    <w:rsid w:val="00F666B9"/>
    <w:rsid w:val="00F66E03"/>
    <w:rsid w:val="00F67EAA"/>
    <w:rsid w:val="00F67F96"/>
    <w:rsid w:val="00F72780"/>
    <w:rsid w:val="00F74600"/>
    <w:rsid w:val="00F75F57"/>
    <w:rsid w:val="00F768D5"/>
    <w:rsid w:val="00F81ADC"/>
    <w:rsid w:val="00F8220B"/>
    <w:rsid w:val="00F8467F"/>
    <w:rsid w:val="00F8526E"/>
    <w:rsid w:val="00F8665B"/>
    <w:rsid w:val="00F86E4C"/>
    <w:rsid w:val="00F878BA"/>
    <w:rsid w:val="00F90D31"/>
    <w:rsid w:val="00F926D0"/>
    <w:rsid w:val="00F93C74"/>
    <w:rsid w:val="00F94319"/>
    <w:rsid w:val="00F95A1E"/>
    <w:rsid w:val="00F95C13"/>
    <w:rsid w:val="00F96A4C"/>
    <w:rsid w:val="00F96F42"/>
    <w:rsid w:val="00F971A8"/>
    <w:rsid w:val="00FA05D2"/>
    <w:rsid w:val="00FA064D"/>
    <w:rsid w:val="00FA1311"/>
    <w:rsid w:val="00FA1CDD"/>
    <w:rsid w:val="00FA3384"/>
    <w:rsid w:val="00FA5277"/>
    <w:rsid w:val="00FA5EF7"/>
    <w:rsid w:val="00FA6390"/>
    <w:rsid w:val="00FA74C1"/>
    <w:rsid w:val="00FA7809"/>
    <w:rsid w:val="00FA7BD1"/>
    <w:rsid w:val="00FA7DA6"/>
    <w:rsid w:val="00FB053D"/>
    <w:rsid w:val="00FB1139"/>
    <w:rsid w:val="00FB2D10"/>
    <w:rsid w:val="00FB375A"/>
    <w:rsid w:val="00FB37AF"/>
    <w:rsid w:val="00FB3B6F"/>
    <w:rsid w:val="00FB47BF"/>
    <w:rsid w:val="00FB515B"/>
    <w:rsid w:val="00FB5944"/>
    <w:rsid w:val="00FB5CB4"/>
    <w:rsid w:val="00FB5E95"/>
    <w:rsid w:val="00FB630A"/>
    <w:rsid w:val="00FB65FB"/>
    <w:rsid w:val="00FB6B06"/>
    <w:rsid w:val="00FB6CF1"/>
    <w:rsid w:val="00FB6F19"/>
    <w:rsid w:val="00FB775D"/>
    <w:rsid w:val="00FB783A"/>
    <w:rsid w:val="00FC0062"/>
    <w:rsid w:val="00FC27FE"/>
    <w:rsid w:val="00FC460B"/>
    <w:rsid w:val="00FC562E"/>
    <w:rsid w:val="00FC6469"/>
    <w:rsid w:val="00FD0F07"/>
    <w:rsid w:val="00FD25E0"/>
    <w:rsid w:val="00FD372F"/>
    <w:rsid w:val="00FD6431"/>
    <w:rsid w:val="00FE35A9"/>
    <w:rsid w:val="00FE3AB9"/>
    <w:rsid w:val="00FE5275"/>
    <w:rsid w:val="00FF02E8"/>
    <w:rsid w:val="00FF0BA2"/>
    <w:rsid w:val="00FF138F"/>
    <w:rsid w:val="00FF20AC"/>
    <w:rsid w:val="00FF232A"/>
    <w:rsid w:val="00FF3159"/>
    <w:rsid w:val="00FF4E35"/>
    <w:rsid w:val="00FF6322"/>
    <w:rsid w:val="00FF75CF"/>
    <w:rsid w:val="00FF7B80"/>
    <w:rsid w:val="00FF7E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9E0A"/>
  <w15:docId w15:val="{EB119F7F-03B5-4747-965A-688E6D29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22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AC3AC7"/>
    <w:pPr>
      <w:keepNext/>
      <w:keepLines/>
      <w:spacing w:before="240" w:line="259" w:lineRule="auto"/>
      <w:ind w:firstLine="709"/>
      <w:jc w:val="center"/>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0C4F4B"/>
    <w:pPr>
      <w:keepNext/>
      <w:keepLines/>
      <w:spacing w:before="40" w:line="259" w:lineRule="auto"/>
      <w:ind w:firstLine="709"/>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B47A91"/>
    <w:pPr>
      <w:spacing w:before="100" w:beforeAutospacing="1" w:after="100" w:afterAutospacing="1"/>
      <w:ind w:firstLine="709"/>
      <w:outlineLvl w:val="2"/>
    </w:pPr>
    <w:rPr>
      <w:b/>
      <w:bCs/>
      <w:sz w:val="27"/>
      <w:szCs w:val="27"/>
    </w:rPr>
  </w:style>
  <w:style w:type="paragraph" w:styleId="Heading4">
    <w:name w:val="heading 4"/>
    <w:basedOn w:val="Normal"/>
    <w:next w:val="Normal"/>
    <w:link w:val="Heading4Char"/>
    <w:uiPriority w:val="9"/>
    <w:unhideWhenUsed/>
    <w:qFormat/>
    <w:rsid w:val="000C4F4B"/>
    <w:pPr>
      <w:keepNext/>
      <w:keepLines/>
      <w:spacing w:before="40" w:line="259" w:lineRule="auto"/>
      <w:ind w:firstLine="709"/>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7A91"/>
    <w:rPr>
      <w:b/>
      <w:bCs/>
    </w:rPr>
  </w:style>
  <w:style w:type="character" w:customStyle="1" w:styleId="Heading3Char">
    <w:name w:val="Heading 3 Char"/>
    <w:basedOn w:val="DefaultParagraphFont"/>
    <w:link w:val="Heading3"/>
    <w:uiPriority w:val="9"/>
    <w:rsid w:val="00B47A91"/>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B47A91"/>
    <w:pPr>
      <w:spacing w:before="100" w:beforeAutospacing="1" w:after="100" w:afterAutospacing="1"/>
      <w:ind w:firstLine="709"/>
    </w:pPr>
  </w:style>
  <w:style w:type="character" w:styleId="Hyperlink">
    <w:name w:val="Hyperlink"/>
    <w:basedOn w:val="DefaultParagraphFont"/>
    <w:uiPriority w:val="99"/>
    <w:unhideWhenUsed/>
    <w:rsid w:val="00B47A91"/>
    <w:rPr>
      <w:color w:val="0563C1" w:themeColor="hyperlink"/>
      <w:u w:val="single"/>
    </w:rPr>
  </w:style>
  <w:style w:type="character" w:customStyle="1" w:styleId="1">
    <w:name w:val="Неразрешенное упоминание1"/>
    <w:basedOn w:val="DefaultParagraphFont"/>
    <w:uiPriority w:val="99"/>
    <w:semiHidden/>
    <w:unhideWhenUsed/>
    <w:rsid w:val="00B47A91"/>
    <w:rPr>
      <w:color w:val="808080"/>
      <w:shd w:val="clear" w:color="auto" w:fill="E6E6E6"/>
    </w:rPr>
  </w:style>
  <w:style w:type="character" w:customStyle="1" w:styleId="stats">
    <w:name w:val="stats"/>
    <w:basedOn w:val="DefaultParagraphFont"/>
    <w:rsid w:val="00F26A0A"/>
  </w:style>
  <w:style w:type="character" w:customStyle="1" w:styleId="Heading1Char">
    <w:name w:val="Heading 1 Char"/>
    <w:basedOn w:val="DefaultParagraphFont"/>
    <w:link w:val="Heading1"/>
    <w:uiPriority w:val="9"/>
    <w:rsid w:val="00AC3AC7"/>
    <w:rPr>
      <w:rFonts w:asciiTheme="majorHAnsi" w:eastAsiaTheme="majorEastAsia" w:hAnsiTheme="majorHAnsi" w:cstheme="majorBidi"/>
      <w:color w:val="2F5496" w:themeColor="accent1" w:themeShade="BF"/>
      <w:sz w:val="32"/>
      <w:szCs w:val="32"/>
    </w:rPr>
  </w:style>
  <w:style w:type="character" w:customStyle="1" w:styleId="shorttext">
    <w:name w:val="short_text"/>
    <w:basedOn w:val="DefaultParagraphFont"/>
    <w:rsid w:val="00D9601A"/>
  </w:style>
  <w:style w:type="paragraph" w:styleId="ListParagraph">
    <w:name w:val="List Paragraph"/>
    <w:basedOn w:val="Normal"/>
    <w:uiPriority w:val="34"/>
    <w:qFormat/>
    <w:rsid w:val="002A55EC"/>
    <w:pPr>
      <w:spacing w:after="200" w:line="276" w:lineRule="auto"/>
      <w:ind w:left="720" w:firstLine="709"/>
    </w:pPr>
    <w:rPr>
      <w:rFonts w:ascii="Calibri" w:hAnsi="Calibri" w:cs="Calibri"/>
      <w:sz w:val="22"/>
      <w:szCs w:val="22"/>
      <w:lang w:eastAsia="en-US"/>
    </w:rPr>
  </w:style>
  <w:style w:type="character" w:customStyle="1" w:styleId="2">
    <w:name w:val="Неразрешенное упоминание2"/>
    <w:basedOn w:val="DefaultParagraphFont"/>
    <w:uiPriority w:val="99"/>
    <w:semiHidden/>
    <w:unhideWhenUsed/>
    <w:rsid w:val="00BA7CB2"/>
    <w:rPr>
      <w:color w:val="605E5C"/>
      <w:shd w:val="clear" w:color="auto" w:fill="E1DFDD"/>
    </w:rPr>
  </w:style>
  <w:style w:type="character" w:customStyle="1" w:styleId="left">
    <w:name w:val="left"/>
    <w:basedOn w:val="DefaultParagraphFont"/>
    <w:rsid w:val="009A1792"/>
  </w:style>
  <w:style w:type="character" w:customStyle="1" w:styleId="right">
    <w:name w:val="right"/>
    <w:basedOn w:val="DefaultParagraphFont"/>
    <w:rsid w:val="009A1792"/>
  </w:style>
  <w:style w:type="table" w:styleId="TableGrid">
    <w:name w:val="Table Grid"/>
    <w:basedOn w:val="TableNormal"/>
    <w:uiPriority w:val="59"/>
    <w:rsid w:val="001A744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AF3308"/>
    <w:pPr>
      <w:ind w:firstLine="709"/>
    </w:pPr>
    <w:rPr>
      <w:rFonts w:ascii="Consolas" w:eastAsia="Calibri" w:hAnsi="Consolas"/>
      <w:sz w:val="21"/>
      <w:szCs w:val="21"/>
      <w:lang w:val="sv-SE" w:eastAsia="en-US"/>
    </w:rPr>
  </w:style>
  <w:style w:type="character" w:customStyle="1" w:styleId="PlainTextChar">
    <w:name w:val="Plain Text Char"/>
    <w:basedOn w:val="DefaultParagraphFont"/>
    <w:link w:val="PlainText"/>
    <w:uiPriority w:val="99"/>
    <w:rsid w:val="00AF3308"/>
    <w:rPr>
      <w:rFonts w:ascii="Consolas" w:eastAsia="Calibri" w:hAnsi="Consolas" w:cs="Times New Roman"/>
      <w:sz w:val="21"/>
      <w:szCs w:val="21"/>
      <w:lang w:val="sv-SE"/>
    </w:rPr>
  </w:style>
  <w:style w:type="paragraph" w:styleId="NoSpacing">
    <w:name w:val="No Spacing"/>
    <w:uiPriority w:val="1"/>
    <w:qFormat/>
    <w:rsid w:val="000C4F4B"/>
    <w:pPr>
      <w:spacing w:after="0" w:line="240" w:lineRule="auto"/>
      <w:ind w:firstLine="709"/>
    </w:pPr>
  </w:style>
  <w:style w:type="character" w:customStyle="1" w:styleId="Heading2Char">
    <w:name w:val="Heading 2 Char"/>
    <w:basedOn w:val="DefaultParagraphFont"/>
    <w:link w:val="Heading2"/>
    <w:uiPriority w:val="9"/>
    <w:rsid w:val="000C4F4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0C4F4B"/>
    <w:rPr>
      <w:rFonts w:asciiTheme="majorHAnsi" w:eastAsiaTheme="majorEastAsia" w:hAnsiTheme="majorHAnsi" w:cstheme="majorBidi"/>
      <w:i/>
      <w:iCs/>
      <w:color w:val="2F5496" w:themeColor="accent1" w:themeShade="BF"/>
    </w:rPr>
  </w:style>
  <w:style w:type="paragraph" w:customStyle="1" w:styleId="10">
    <w:name w:val="Стиль1"/>
    <w:basedOn w:val="Heading4"/>
    <w:link w:val="11"/>
    <w:qFormat/>
    <w:rsid w:val="000C4F4B"/>
  </w:style>
  <w:style w:type="paragraph" w:customStyle="1" w:styleId="a">
    <w:name w:val="таблица"/>
    <w:basedOn w:val="10"/>
    <w:link w:val="a0"/>
    <w:qFormat/>
    <w:rsid w:val="000C4F4B"/>
    <w:pPr>
      <w:spacing w:before="0"/>
      <w:ind w:firstLine="0"/>
    </w:pPr>
    <w:rPr>
      <w:rFonts w:asciiTheme="minorHAnsi" w:hAnsiTheme="minorHAnsi"/>
      <w:i w:val="0"/>
      <w:color w:val="000000" w:themeColor="text1"/>
      <w:sz w:val="20"/>
    </w:rPr>
  </w:style>
  <w:style w:type="character" w:customStyle="1" w:styleId="11">
    <w:name w:val="Стиль1 Знак"/>
    <w:basedOn w:val="Heading4Char"/>
    <w:link w:val="10"/>
    <w:rsid w:val="000C4F4B"/>
    <w:rPr>
      <w:rFonts w:asciiTheme="majorHAnsi" w:eastAsiaTheme="majorEastAsia" w:hAnsiTheme="majorHAnsi" w:cstheme="majorBidi"/>
      <w:i/>
      <w:iCs/>
      <w:color w:val="2F5496" w:themeColor="accent1" w:themeShade="BF"/>
    </w:rPr>
  </w:style>
  <w:style w:type="character" w:styleId="CommentReference">
    <w:name w:val="annotation reference"/>
    <w:uiPriority w:val="99"/>
    <w:semiHidden/>
    <w:unhideWhenUsed/>
    <w:rsid w:val="00844567"/>
    <w:rPr>
      <w:sz w:val="16"/>
      <w:szCs w:val="16"/>
    </w:rPr>
  </w:style>
  <w:style w:type="character" w:customStyle="1" w:styleId="a0">
    <w:name w:val="таблица Знак"/>
    <w:basedOn w:val="11"/>
    <w:link w:val="a"/>
    <w:rsid w:val="000C4F4B"/>
    <w:rPr>
      <w:rFonts w:asciiTheme="majorHAnsi" w:eastAsiaTheme="majorEastAsia" w:hAnsiTheme="majorHAnsi" w:cstheme="majorBidi"/>
      <w:i w:val="0"/>
      <w:iCs/>
      <w:color w:val="000000" w:themeColor="text1"/>
      <w:sz w:val="20"/>
    </w:rPr>
  </w:style>
  <w:style w:type="paragraph" w:customStyle="1" w:styleId="12">
    <w:name w:val="Заголовок1"/>
    <w:basedOn w:val="Normal"/>
    <w:rsid w:val="00D045A8"/>
    <w:pPr>
      <w:spacing w:before="100" w:beforeAutospacing="1" w:after="100" w:afterAutospacing="1"/>
    </w:pPr>
  </w:style>
  <w:style w:type="paragraph" w:customStyle="1" w:styleId="desc">
    <w:name w:val="desc"/>
    <w:basedOn w:val="Normal"/>
    <w:rsid w:val="00D045A8"/>
    <w:pPr>
      <w:spacing w:before="100" w:beforeAutospacing="1" w:after="100" w:afterAutospacing="1"/>
    </w:pPr>
  </w:style>
  <w:style w:type="paragraph" w:customStyle="1" w:styleId="details">
    <w:name w:val="details"/>
    <w:basedOn w:val="Normal"/>
    <w:rsid w:val="00D045A8"/>
    <w:pPr>
      <w:spacing w:before="100" w:beforeAutospacing="1" w:after="100" w:afterAutospacing="1"/>
    </w:pPr>
  </w:style>
  <w:style w:type="character" w:customStyle="1" w:styleId="jrnl">
    <w:name w:val="jrnl"/>
    <w:basedOn w:val="DefaultParagraphFont"/>
    <w:rsid w:val="00D045A8"/>
  </w:style>
  <w:style w:type="character" w:customStyle="1" w:styleId="highlight">
    <w:name w:val="highlight"/>
    <w:basedOn w:val="DefaultParagraphFont"/>
    <w:rsid w:val="00934B3E"/>
  </w:style>
  <w:style w:type="character" w:customStyle="1" w:styleId="ui-ncbitoggler-master-text">
    <w:name w:val="ui-ncbitoggler-master-text"/>
    <w:basedOn w:val="DefaultParagraphFont"/>
    <w:rsid w:val="00CD131C"/>
  </w:style>
  <w:style w:type="paragraph" w:styleId="BalloonText">
    <w:name w:val="Balloon Text"/>
    <w:basedOn w:val="Normal"/>
    <w:link w:val="BalloonTextChar"/>
    <w:uiPriority w:val="99"/>
    <w:semiHidden/>
    <w:unhideWhenUsed/>
    <w:rsid w:val="00607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9C"/>
    <w:rPr>
      <w:rFonts w:ascii="Segoe UI" w:eastAsia="Times New Roman" w:hAnsi="Segoe UI" w:cs="Segoe UI"/>
      <w:sz w:val="18"/>
      <w:szCs w:val="18"/>
      <w:lang w:eastAsia="ru-RU"/>
    </w:rPr>
  </w:style>
  <w:style w:type="paragraph" w:styleId="CommentText">
    <w:name w:val="annotation text"/>
    <w:basedOn w:val="Normal"/>
    <w:link w:val="CommentTextChar"/>
    <w:uiPriority w:val="99"/>
    <w:unhideWhenUsed/>
    <w:rsid w:val="006C059B"/>
    <w:rPr>
      <w:sz w:val="20"/>
      <w:szCs w:val="20"/>
    </w:rPr>
  </w:style>
  <w:style w:type="character" w:customStyle="1" w:styleId="CommentTextChar">
    <w:name w:val="Comment Text Char"/>
    <w:basedOn w:val="DefaultParagraphFont"/>
    <w:link w:val="CommentText"/>
    <w:uiPriority w:val="99"/>
    <w:rsid w:val="006C059B"/>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C059B"/>
    <w:rPr>
      <w:b/>
      <w:bCs/>
    </w:rPr>
  </w:style>
  <w:style w:type="character" w:customStyle="1" w:styleId="CommentSubjectChar">
    <w:name w:val="Comment Subject Char"/>
    <w:basedOn w:val="CommentTextChar"/>
    <w:link w:val="CommentSubject"/>
    <w:uiPriority w:val="99"/>
    <w:semiHidden/>
    <w:rsid w:val="006C059B"/>
    <w:rPr>
      <w:rFonts w:ascii="Times New Roman" w:eastAsia="Times New Roman" w:hAnsi="Times New Roman" w:cs="Times New Roman"/>
      <w:b/>
      <w:bCs/>
      <w:sz w:val="20"/>
      <w:szCs w:val="20"/>
      <w:lang w:eastAsia="ru-RU"/>
    </w:rPr>
  </w:style>
  <w:style w:type="character" w:customStyle="1" w:styleId="3">
    <w:name w:val="Неразрешенное упоминание3"/>
    <w:basedOn w:val="DefaultParagraphFont"/>
    <w:uiPriority w:val="99"/>
    <w:semiHidden/>
    <w:unhideWhenUsed/>
    <w:rsid w:val="002D6AAA"/>
    <w:rPr>
      <w:color w:val="605E5C"/>
      <w:shd w:val="clear" w:color="auto" w:fill="E1DFDD"/>
    </w:rPr>
  </w:style>
  <w:style w:type="character" w:styleId="FollowedHyperlink">
    <w:name w:val="FollowedHyperlink"/>
    <w:basedOn w:val="DefaultParagraphFont"/>
    <w:uiPriority w:val="99"/>
    <w:semiHidden/>
    <w:unhideWhenUsed/>
    <w:rsid w:val="00FF02E8"/>
    <w:rPr>
      <w:color w:val="954F72" w:themeColor="followedHyperlink"/>
      <w:u w:val="single"/>
    </w:rPr>
  </w:style>
  <w:style w:type="character" w:customStyle="1" w:styleId="UnresolvedMention1">
    <w:name w:val="Unresolved Mention1"/>
    <w:basedOn w:val="DefaultParagraphFont"/>
    <w:uiPriority w:val="99"/>
    <w:semiHidden/>
    <w:unhideWhenUsed/>
    <w:rsid w:val="00F35044"/>
    <w:rPr>
      <w:color w:val="605E5C"/>
      <w:shd w:val="clear" w:color="auto" w:fill="E1DFDD"/>
    </w:rPr>
  </w:style>
  <w:style w:type="character" w:customStyle="1" w:styleId="UnresolvedMention">
    <w:name w:val="Unresolved Mention"/>
    <w:basedOn w:val="DefaultParagraphFont"/>
    <w:uiPriority w:val="99"/>
    <w:semiHidden/>
    <w:unhideWhenUsed/>
    <w:rsid w:val="00A53D6C"/>
    <w:rPr>
      <w:color w:val="605E5C"/>
      <w:shd w:val="clear" w:color="auto" w:fill="E1DFDD"/>
    </w:rPr>
  </w:style>
  <w:style w:type="paragraph" w:styleId="Header">
    <w:name w:val="header"/>
    <w:basedOn w:val="Normal"/>
    <w:link w:val="HeaderChar"/>
    <w:uiPriority w:val="99"/>
    <w:unhideWhenUsed/>
    <w:rsid w:val="00B56470"/>
    <w:pPr>
      <w:tabs>
        <w:tab w:val="center" w:pos="4513"/>
        <w:tab w:val="right" w:pos="9026"/>
      </w:tabs>
    </w:pPr>
  </w:style>
  <w:style w:type="character" w:customStyle="1" w:styleId="HeaderChar">
    <w:name w:val="Header Char"/>
    <w:basedOn w:val="DefaultParagraphFont"/>
    <w:link w:val="Header"/>
    <w:uiPriority w:val="99"/>
    <w:rsid w:val="00B5647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B56470"/>
    <w:pPr>
      <w:tabs>
        <w:tab w:val="center" w:pos="4513"/>
        <w:tab w:val="right" w:pos="9026"/>
      </w:tabs>
    </w:pPr>
  </w:style>
  <w:style w:type="character" w:customStyle="1" w:styleId="FooterChar">
    <w:name w:val="Footer Char"/>
    <w:basedOn w:val="DefaultParagraphFont"/>
    <w:link w:val="Footer"/>
    <w:uiPriority w:val="99"/>
    <w:rsid w:val="00B56470"/>
    <w:rPr>
      <w:rFonts w:ascii="Times New Roman" w:eastAsia="Times New Roman" w:hAnsi="Times New Roman" w:cs="Times New Roman"/>
      <w:sz w:val="24"/>
      <w:szCs w:val="24"/>
      <w:lang w:eastAsia="ru-RU"/>
    </w:rPr>
  </w:style>
  <w:style w:type="table" w:customStyle="1" w:styleId="TableGrid1">
    <w:name w:val="Table Grid1"/>
    <w:basedOn w:val="TableNormal"/>
    <w:next w:val="TableGrid"/>
    <w:uiPriority w:val="59"/>
    <w:rsid w:val="001A00A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4579D"/>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5D96"/>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ref">
    <w:name w:val="externalref"/>
    <w:basedOn w:val="DefaultParagraphFont"/>
    <w:rsid w:val="001C5287"/>
  </w:style>
  <w:style w:type="character" w:customStyle="1" w:styleId="refsource">
    <w:name w:val="refsource"/>
    <w:basedOn w:val="DefaultParagraphFont"/>
    <w:rsid w:val="001C5287"/>
  </w:style>
  <w:style w:type="table" w:customStyle="1" w:styleId="TableGrid4">
    <w:name w:val="Table Grid4"/>
    <w:basedOn w:val="TableNormal"/>
    <w:next w:val="TableGrid"/>
    <w:uiPriority w:val="39"/>
    <w:rsid w:val="00720B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758">
      <w:bodyDiv w:val="1"/>
      <w:marLeft w:val="0"/>
      <w:marRight w:val="0"/>
      <w:marTop w:val="0"/>
      <w:marBottom w:val="0"/>
      <w:divBdr>
        <w:top w:val="none" w:sz="0" w:space="0" w:color="auto"/>
        <w:left w:val="none" w:sz="0" w:space="0" w:color="auto"/>
        <w:bottom w:val="none" w:sz="0" w:space="0" w:color="auto"/>
        <w:right w:val="none" w:sz="0" w:space="0" w:color="auto"/>
      </w:divBdr>
    </w:div>
    <w:div w:id="92359743">
      <w:bodyDiv w:val="1"/>
      <w:marLeft w:val="0"/>
      <w:marRight w:val="0"/>
      <w:marTop w:val="0"/>
      <w:marBottom w:val="0"/>
      <w:divBdr>
        <w:top w:val="none" w:sz="0" w:space="0" w:color="auto"/>
        <w:left w:val="none" w:sz="0" w:space="0" w:color="auto"/>
        <w:bottom w:val="none" w:sz="0" w:space="0" w:color="auto"/>
        <w:right w:val="none" w:sz="0" w:space="0" w:color="auto"/>
      </w:divBdr>
    </w:div>
    <w:div w:id="134493762">
      <w:bodyDiv w:val="1"/>
      <w:marLeft w:val="0"/>
      <w:marRight w:val="0"/>
      <w:marTop w:val="0"/>
      <w:marBottom w:val="0"/>
      <w:divBdr>
        <w:top w:val="none" w:sz="0" w:space="0" w:color="auto"/>
        <w:left w:val="none" w:sz="0" w:space="0" w:color="auto"/>
        <w:bottom w:val="none" w:sz="0" w:space="0" w:color="auto"/>
        <w:right w:val="none" w:sz="0" w:space="0" w:color="auto"/>
      </w:divBdr>
      <w:divsChild>
        <w:div w:id="939803286">
          <w:marLeft w:val="0"/>
          <w:marRight w:val="0"/>
          <w:marTop w:val="34"/>
          <w:marBottom w:val="34"/>
          <w:divBdr>
            <w:top w:val="none" w:sz="0" w:space="0" w:color="auto"/>
            <w:left w:val="none" w:sz="0" w:space="0" w:color="auto"/>
            <w:bottom w:val="none" w:sz="0" w:space="0" w:color="auto"/>
            <w:right w:val="none" w:sz="0" w:space="0" w:color="auto"/>
          </w:divBdr>
        </w:div>
      </w:divsChild>
    </w:div>
    <w:div w:id="335422750">
      <w:bodyDiv w:val="1"/>
      <w:marLeft w:val="0"/>
      <w:marRight w:val="0"/>
      <w:marTop w:val="0"/>
      <w:marBottom w:val="0"/>
      <w:divBdr>
        <w:top w:val="none" w:sz="0" w:space="0" w:color="auto"/>
        <w:left w:val="none" w:sz="0" w:space="0" w:color="auto"/>
        <w:bottom w:val="none" w:sz="0" w:space="0" w:color="auto"/>
        <w:right w:val="none" w:sz="0" w:space="0" w:color="auto"/>
      </w:divBdr>
    </w:div>
    <w:div w:id="389156030">
      <w:bodyDiv w:val="1"/>
      <w:marLeft w:val="0"/>
      <w:marRight w:val="0"/>
      <w:marTop w:val="0"/>
      <w:marBottom w:val="0"/>
      <w:divBdr>
        <w:top w:val="none" w:sz="0" w:space="0" w:color="auto"/>
        <w:left w:val="none" w:sz="0" w:space="0" w:color="auto"/>
        <w:bottom w:val="none" w:sz="0" w:space="0" w:color="auto"/>
        <w:right w:val="none" w:sz="0" w:space="0" w:color="auto"/>
      </w:divBdr>
    </w:div>
    <w:div w:id="402142882">
      <w:bodyDiv w:val="1"/>
      <w:marLeft w:val="0"/>
      <w:marRight w:val="0"/>
      <w:marTop w:val="0"/>
      <w:marBottom w:val="0"/>
      <w:divBdr>
        <w:top w:val="none" w:sz="0" w:space="0" w:color="auto"/>
        <w:left w:val="none" w:sz="0" w:space="0" w:color="auto"/>
        <w:bottom w:val="none" w:sz="0" w:space="0" w:color="auto"/>
        <w:right w:val="none" w:sz="0" w:space="0" w:color="auto"/>
      </w:divBdr>
    </w:div>
    <w:div w:id="559485497">
      <w:bodyDiv w:val="1"/>
      <w:marLeft w:val="0"/>
      <w:marRight w:val="0"/>
      <w:marTop w:val="0"/>
      <w:marBottom w:val="0"/>
      <w:divBdr>
        <w:top w:val="none" w:sz="0" w:space="0" w:color="auto"/>
        <w:left w:val="none" w:sz="0" w:space="0" w:color="auto"/>
        <w:bottom w:val="none" w:sz="0" w:space="0" w:color="auto"/>
        <w:right w:val="none" w:sz="0" w:space="0" w:color="auto"/>
      </w:divBdr>
    </w:div>
    <w:div w:id="685912628">
      <w:bodyDiv w:val="1"/>
      <w:marLeft w:val="0"/>
      <w:marRight w:val="0"/>
      <w:marTop w:val="0"/>
      <w:marBottom w:val="0"/>
      <w:divBdr>
        <w:top w:val="none" w:sz="0" w:space="0" w:color="auto"/>
        <w:left w:val="none" w:sz="0" w:space="0" w:color="auto"/>
        <w:bottom w:val="none" w:sz="0" w:space="0" w:color="auto"/>
        <w:right w:val="none" w:sz="0" w:space="0" w:color="auto"/>
      </w:divBdr>
      <w:divsChild>
        <w:div w:id="1048260806">
          <w:marLeft w:val="0"/>
          <w:marRight w:val="0"/>
          <w:marTop w:val="120"/>
          <w:marBottom w:val="360"/>
          <w:divBdr>
            <w:top w:val="none" w:sz="0" w:space="0" w:color="auto"/>
            <w:left w:val="none" w:sz="0" w:space="0" w:color="auto"/>
            <w:bottom w:val="none" w:sz="0" w:space="0" w:color="auto"/>
            <w:right w:val="none" w:sz="0" w:space="0" w:color="auto"/>
          </w:divBdr>
          <w:divsChild>
            <w:div w:id="499464881">
              <w:marLeft w:val="0"/>
              <w:marRight w:val="0"/>
              <w:marTop w:val="0"/>
              <w:marBottom w:val="0"/>
              <w:divBdr>
                <w:top w:val="none" w:sz="0" w:space="0" w:color="auto"/>
                <w:left w:val="none" w:sz="0" w:space="0" w:color="auto"/>
                <w:bottom w:val="none" w:sz="0" w:space="0" w:color="auto"/>
                <w:right w:val="none" w:sz="0" w:space="0" w:color="auto"/>
              </w:divBdr>
            </w:div>
            <w:div w:id="8528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1107">
      <w:bodyDiv w:val="1"/>
      <w:marLeft w:val="0"/>
      <w:marRight w:val="0"/>
      <w:marTop w:val="0"/>
      <w:marBottom w:val="0"/>
      <w:divBdr>
        <w:top w:val="none" w:sz="0" w:space="0" w:color="auto"/>
        <w:left w:val="none" w:sz="0" w:space="0" w:color="auto"/>
        <w:bottom w:val="none" w:sz="0" w:space="0" w:color="auto"/>
        <w:right w:val="none" w:sz="0" w:space="0" w:color="auto"/>
      </w:divBdr>
    </w:div>
    <w:div w:id="826480431">
      <w:bodyDiv w:val="1"/>
      <w:marLeft w:val="0"/>
      <w:marRight w:val="0"/>
      <w:marTop w:val="0"/>
      <w:marBottom w:val="0"/>
      <w:divBdr>
        <w:top w:val="none" w:sz="0" w:space="0" w:color="auto"/>
        <w:left w:val="none" w:sz="0" w:space="0" w:color="auto"/>
        <w:bottom w:val="none" w:sz="0" w:space="0" w:color="auto"/>
        <w:right w:val="none" w:sz="0" w:space="0" w:color="auto"/>
      </w:divBdr>
    </w:div>
    <w:div w:id="842159704">
      <w:bodyDiv w:val="1"/>
      <w:marLeft w:val="0"/>
      <w:marRight w:val="0"/>
      <w:marTop w:val="0"/>
      <w:marBottom w:val="0"/>
      <w:divBdr>
        <w:top w:val="none" w:sz="0" w:space="0" w:color="auto"/>
        <w:left w:val="none" w:sz="0" w:space="0" w:color="auto"/>
        <w:bottom w:val="none" w:sz="0" w:space="0" w:color="auto"/>
        <w:right w:val="none" w:sz="0" w:space="0" w:color="auto"/>
      </w:divBdr>
    </w:div>
    <w:div w:id="855003386">
      <w:bodyDiv w:val="1"/>
      <w:marLeft w:val="0"/>
      <w:marRight w:val="0"/>
      <w:marTop w:val="0"/>
      <w:marBottom w:val="0"/>
      <w:divBdr>
        <w:top w:val="none" w:sz="0" w:space="0" w:color="auto"/>
        <w:left w:val="none" w:sz="0" w:space="0" w:color="auto"/>
        <w:bottom w:val="none" w:sz="0" w:space="0" w:color="auto"/>
        <w:right w:val="none" w:sz="0" w:space="0" w:color="auto"/>
      </w:divBdr>
    </w:div>
    <w:div w:id="937522144">
      <w:bodyDiv w:val="1"/>
      <w:marLeft w:val="0"/>
      <w:marRight w:val="0"/>
      <w:marTop w:val="0"/>
      <w:marBottom w:val="0"/>
      <w:divBdr>
        <w:top w:val="none" w:sz="0" w:space="0" w:color="auto"/>
        <w:left w:val="none" w:sz="0" w:space="0" w:color="auto"/>
        <w:bottom w:val="none" w:sz="0" w:space="0" w:color="auto"/>
        <w:right w:val="none" w:sz="0" w:space="0" w:color="auto"/>
      </w:divBdr>
    </w:div>
    <w:div w:id="989018461">
      <w:bodyDiv w:val="1"/>
      <w:marLeft w:val="0"/>
      <w:marRight w:val="0"/>
      <w:marTop w:val="0"/>
      <w:marBottom w:val="0"/>
      <w:divBdr>
        <w:top w:val="none" w:sz="0" w:space="0" w:color="auto"/>
        <w:left w:val="none" w:sz="0" w:space="0" w:color="auto"/>
        <w:bottom w:val="none" w:sz="0" w:space="0" w:color="auto"/>
        <w:right w:val="none" w:sz="0" w:space="0" w:color="auto"/>
      </w:divBdr>
      <w:divsChild>
        <w:div w:id="628587728">
          <w:marLeft w:val="0"/>
          <w:marRight w:val="0"/>
          <w:marTop w:val="0"/>
          <w:marBottom w:val="0"/>
          <w:divBdr>
            <w:top w:val="none" w:sz="0" w:space="0" w:color="auto"/>
            <w:left w:val="none" w:sz="0" w:space="0" w:color="auto"/>
            <w:bottom w:val="none" w:sz="0" w:space="0" w:color="auto"/>
            <w:right w:val="none" w:sz="0" w:space="0" w:color="auto"/>
          </w:divBdr>
        </w:div>
        <w:div w:id="770585166">
          <w:marLeft w:val="0"/>
          <w:marRight w:val="0"/>
          <w:marTop w:val="0"/>
          <w:marBottom w:val="0"/>
          <w:divBdr>
            <w:top w:val="none" w:sz="0" w:space="0" w:color="auto"/>
            <w:left w:val="none" w:sz="0" w:space="0" w:color="auto"/>
            <w:bottom w:val="none" w:sz="0" w:space="0" w:color="auto"/>
            <w:right w:val="none" w:sz="0" w:space="0" w:color="auto"/>
          </w:divBdr>
        </w:div>
        <w:div w:id="1586106671">
          <w:marLeft w:val="0"/>
          <w:marRight w:val="0"/>
          <w:marTop w:val="0"/>
          <w:marBottom w:val="0"/>
          <w:divBdr>
            <w:top w:val="none" w:sz="0" w:space="0" w:color="auto"/>
            <w:left w:val="none" w:sz="0" w:space="0" w:color="auto"/>
            <w:bottom w:val="none" w:sz="0" w:space="0" w:color="auto"/>
            <w:right w:val="none" w:sz="0" w:space="0" w:color="auto"/>
          </w:divBdr>
        </w:div>
        <w:div w:id="1927228587">
          <w:marLeft w:val="0"/>
          <w:marRight w:val="0"/>
          <w:marTop w:val="0"/>
          <w:marBottom w:val="0"/>
          <w:divBdr>
            <w:top w:val="none" w:sz="0" w:space="0" w:color="auto"/>
            <w:left w:val="none" w:sz="0" w:space="0" w:color="auto"/>
            <w:bottom w:val="none" w:sz="0" w:space="0" w:color="auto"/>
            <w:right w:val="none" w:sz="0" w:space="0" w:color="auto"/>
          </w:divBdr>
        </w:div>
        <w:div w:id="1929077903">
          <w:marLeft w:val="0"/>
          <w:marRight w:val="0"/>
          <w:marTop w:val="0"/>
          <w:marBottom w:val="0"/>
          <w:divBdr>
            <w:top w:val="none" w:sz="0" w:space="0" w:color="auto"/>
            <w:left w:val="none" w:sz="0" w:space="0" w:color="auto"/>
            <w:bottom w:val="none" w:sz="0" w:space="0" w:color="auto"/>
            <w:right w:val="none" w:sz="0" w:space="0" w:color="auto"/>
          </w:divBdr>
        </w:div>
        <w:div w:id="2010012585">
          <w:marLeft w:val="0"/>
          <w:marRight w:val="0"/>
          <w:marTop w:val="0"/>
          <w:marBottom w:val="0"/>
          <w:divBdr>
            <w:top w:val="none" w:sz="0" w:space="0" w:color="auto"/>
            <w:left w:val="none" w:sz="0" w:space="0" w:color="auto"/>
            <w:bottom w:val="none" w:sz="0" w:space="0" w:color="auto"/>
            <w:right w:val="none" w:sz="0" w:space="0" w:color="auto"/>
          </w:divBdr>
        </w:div>
      </w:divsChild>
    </w:div>
    <w:div w:id="989943267">
      <w:bodyDiv w:val="1"/>
      <w:marLeft w:val="0"/>
      <w:marRight w:val="0"/>
      <w:marTop w:val="0"/>
      <w:marBottom w:val="0"/>
      <w:divBdr>
        <w:top w:val="none" w:sz="0" w:space="0" w:color="auto"/>
        <w:left w:val="none" w:sz="0" w:space="0" w:color="auto"/>
        <w:bottom w:val="none" w:sz="0" w:space="0" w:color="auto"/>
        <w:right w:val="none" w:sz="0" w:space="0" w:color="auto"/>
      </w:divBdr>
    </w:div>
    <w:div w:id="1018965009">
      <w:bodyDiv w:val="1"/>
      <w:marLeft w:val="0"/>
      <w:marRight w:val="0"/>
      <w:marTop w:val="0"/>
      <w:marBottom w:val="0"/>
      <w:divBdr>
        <w:top w:val="none" w:sz="0" w:space="0" w:color="auto"/>
        <w:left w:val="none" w:sz="0" w:space="0" w:color="auto"/>
        <w:bottom w:val="none" w:sz="0" w:space="0" w:color="auto"/>
        <w:right w:val="none" w:sz="0" w:space="0" w:color="auto"/>
      </w:divBdr>
    </w:div>
    <w:div w:id="1039863675">
      <w:bodyDiv w:val="1"/>
      <w:marLeft w:val="0"/>
      <w:marRight w:val="0"/>
      <w:marTop w:val="0"/>
      <w:marBottom w:val="0"/>
      <w:divBdr>
        <w:top w:val="none" w:sz="0" w:space="0" w:color="auto"/>
        <w:left w:val="none" w:sz="0" w:space="0" w:color="auto"/>
        <w:bottom w:val="none" w:sz="0" w:space="0" w:color="auto"/>
        <w:right w:val="none" w:sz="0" w:space="0" w:color="auto"/>
      </w:divBdr>
    </w:div>
    <w:div w:id="1063404185">
      <w:bodyDiv w:val="1"/>
      <w:marLeft w:val="0"/>
      <w:marRight w:val="0"/>
      <w:marTop w:val="0"/>
      <w:marBottom w:val="0"/>
      <w:divBdr>
        <w:top w:val="none" w:sz="0" w:space="0" w:color="auto"/>
        <w:left w:val="none" w:sz="0" w:space="0" w:color="auto"/>
        <w:bottom w:val="none" w:sz="0" w:space="0" w:color="auto"/>
        <w:right w:val="none" w:sz="0" w:space="0" w:color="auto"/>
      </w:divBdr>
    </w:div>
    <w:div w:id="1143698151">
      <w:bodyDiv w:val="1"/>
      <w:marLeft w:val="0"/>
      <w:marRight w:val="0"/>
      <w:marTop w:val="0"/>
      <w:marBottom w:val="0"/>
      <w:divBdr>
        <w:top w:val="none" w:sz="0" w:space="0" w:color="auto"/>
        <w:left w:val="none" w:sz="0" w:space="0" w:color="auto"/>
        <w:bottom w:val="none" w:sz="0" w:space="0" w:color="auto"/>
        <w:right w:val="none" w:sz="0" w:space="0" w:color="auto"/>
      </w:divBdr>
    </w:div>
    <w:div w:id="1244530065">
      <w:bodyDiv w:val="1"/>
      <w:marLeft w:val="0"/>
      <w:marRight w:val="0"/>
      <w:marTop w:val="0"/>
      <w:marBottom w:val="0"/>
      <w:divBdr>
        <w:top w:val="none" w:sz="0" w:space="0" w:color="auto"/>
        <w:left w:val="none" w:sz="0" w:space="0" w:color="auto"/>
        <w:bottom w:val="none" w:sz="0" w:space="0" w:color="auto"/>
        <w:right w:val="none" w:sz="0" w:space="0" w:color="auto"/>
      </w:divBdr>
    </w:div>
    <w:div w:id="1265915243">
      <w:bodyDiv w:val="1"/>
      <w:marLeft w:val="0"/>
      <w:marRight w:val="0"/>
      <w:marTop w:val="0"/>
      <w:marBottom w:val="0"/>
      <w:divBdr>
        <w:top w:val="none" w:sz="0" w:space="0" w:color="auto"/>
        <w:left w:val="none" w:sz="0" w:space="0" w:color="auto"/>
        <w:bottom w:val="none" w:sz="0" w:space="0" w:color="auto"/>
        <w:right w:val="none" w:sz="0" w:space="0" w:color="auto"/>
      </w:divBdr>
    </w:div>
    <w:div w:id="1269003131">
      <w:bodyDiv w:val="1"/>
      <w:marLeft w:val="0"/>
      <w:marRight w:val="0"/>
      <w:marTop w:val="0"/>
      <w:marBottom w:val="0"/>
      <w:divBdr>
        <w:top w:val="none" w:sz="0" w:space="0" w:color="auto"/>
        <w:left w:val="none" w:sz="0" w:space="0" w:color="auto"/>
        <w:bottom w:val="none" w:sz="0" w:space="0" w:color="auto"/>
        <w:right w:val="none" w:sz="0" w:space="0" w:color="auto"/>
      </w:divBdr>
      <w:divsChild>
        <w:div w:id="1991054529">
          <w:marLeft w:val="0"/>
          <w:marRight w:val="0"/>
          <w:marTop w:val="34"/>
          <w:marBottom w:val="34"/>
          <w:divBdr>
            <w:top w:val="none" w:sz="0" w:space="0" w:color="auto"/>
            <w:left w:val="none" w:sz="0" w:space="0" w:color="auto"/>
            <w:bottom w:val="none" w:sz="0" w:space="0" w:color="auto"/>
            <w:right w:val="none" w:sz="0" w:space="0" w:color="auto"/>
          </w:divBdr>
        </w:div>
      </w:divsChild>
    </w:div>
    <w:div w:id="1354529139">
      <w:bodyDiv w:val="1"/>
      <w:marLeft w:val="0"/>
      <w:marRight w:val="0"/>
      <w:marTop w:val="0"/>
      <w:marBottom w:val="0"/>
      <w:divBdr>
        <w:top w:val="none" w:sz="0" w:space="0" w:color="auto"/>
        <w:left w:val="none" w:sz="0" w:space="0" w:color="auto"/>
        <w:bottom w:val="none" w:sz="0" w:space="0" w:color="auto"/>
        <w:right w:val="none" w:sz="0" w:space="0" w:color="auto"/>
      </w:divBdr>
    </w:div>
    <w:div w:id="1540430662">
      <w:bodyDiv w:val="1"/>
      <w:marLeft w:val="0"/>
      <w:marRight w:val="0"/>
      <w:marTop w:val="0"/>
      <w:marBottom w:val="0"/>
      <w:divBdr>
        <w:top w:val="none" w:sz="0" w:space="0" w:color="auto"/>
        <w:left w:val="none" w:sz="0" w:space="0" w:color="auto"/>
        <w:bottom w:val="none" w:sz="0" w:space="0" w:color="auto"/>
        <w:right w:val="none" w:sz="0" w:space="0" w:color="auto"/>
      </w:divBdr>
    </w:div>
    <w:div w:id="1721131151">
      <w:bodyDiv w:val="1"/>
      <w:marLeft w:val="0"/>
      <w:marRight w:val="0"/>
      <w:marTop w:val="0"/>
      <w:marBottom w:val="0"/>
      <w:divBdr>
        <w:top w:val="none" w:sz="0" w:space="0" w:color="auto"/>
        <w:left w:val="none" w:sz="0" w:space="0" w:color="auto"/>
        <w:bottom w:val="none" w:sz="0" w:space="0" w:color="auto"/>
        <w:right w:val="none" w:sz="0" w:space="0" w:color="auto"/>
      </w:divBdr>
      <w:divsChild>
        <w:div w:id="467744701">
          <w:marLeft w:val="0"/>
          <w:marRight w:val="0"/>
          <w:marTop w:val="34"/>
          <w:marBottom w:val="34"/>
          <w:divBdr>
            <w:top w:val="none" w:sz="0" w:space="0" w:color="auto"/>
            <w:left w:val="none" w:sz="0" w:space="0" w:color="auto"/>
            <w:bottom w:val="none" w:sz="0" w:space="0" w:color="auto"/>
            <w:right w:val="none" w:sz="0" w:space="0" w:color="auto"/>
          </w:divBdr>
        </w:div>
      </w:divsChild>
    </w:div>
    <w:div w:id="1751341921">
      <w:bodyDiv w:val="1"/>
      <w:marLeft w:val="0"/>
      <w:marRight w:val="0"/>
      <w:marTop w:val="0"/>
      <w:marBottom w:val="0"/>
      <w:divBdr>
        <w:top w:val="none" w:sz="0" w:space="0" w:color="auto"/>
        <w:left w:val="none" w:sz="0" w:space="0" w:color="auto"/>
        <w:bottom w:val="none" w:sz="0" w:space="0" w:color="auto"/>
        <w:right w:val="none" w:sz="0" w:space="0" w:color="auto"/>
      </w:divBdr>
      <w:divsChild>
        <w:div w:id="939263044">
          <w:marLeft w:val="0"/>
          <w:marRight w:val="0"/>
          <w:marTop w:val="0"/>
          <w:marBottom w:val="166"/>
          <w:divBdr>
            <w:top w:val="none" w:sz="0" w:space="0" w:color="auto"/>
            <w:left w:val="none" w:sz="0" w:space="0" w:color="auto"/>
            <w:bottom w:val="none" w:sz="0" w:space="0" w:color="auto"/>
            <w:right w:val="none" w:sz="0" w:space="0" w:color="auto"/>
          </w:divBdr>
          <w:divsChild>
            <w:div w:id="220480685">
              <w:marLeft w:val="0"/>
              <w:marRight w:val="0"/>
              <w:marTop w:val="0"/>
              <w:marBottom w:val="0"/>
              <w:divBdr>
                <w:top w:val="none" w:sz="0" w:space="0" w:color="auto"/>
                <w:left w:val="none" w:sz="0" w:space="0" w:color="auto"/>
                <w:bottom w:val="none" w:sz="0" w:space="0" w:color="auto"/>
                <w:right w:val="none" w:sz="0" w:space="0" w:color="auto"/>
              </w:divBdr>
              <w:divsChild>
                <w:div w:id="1987396927">
                  <w:marLeft w:val="0"/>
                  <w:marRight w:val="0"/>
                  <w:marTop w:val="0"/>
                  <w:marBottom w:val="0"/>
                  <w:divBdr>
                    <w:top w:val="none" w:sz="0" w:space="0" w:color="auto"/>
                    <w:left w:val="none" w:sz="0" w:space="0" w:color="auto"/>
                    <w:bottom w:val="none" w:sz="0" w:space="0" w:color="auto"/>
                    <w:right w:val="none" w:sz="0" w:space="0" w:color="auto"/>
                  </w:divBdr>
                  <w:divsChild>
                    <w:div w:id="180319810">
                      <w:marLeft w:val="0"/>
                      <w:marRight w:val="0"/>
                      <w:marTop w:val="0"/>
                      <w:marBottom w:val="0"/>
                      <w:divBdr>
                        <w:top w:val="none" w:sz="0" w:space="0" w:color="auto"/>
                        <w:left w:val="none" w:sz="0" w:space="0" w:color="auto"/>
                        <w:bottom w:val="none" w:sz="0" w:space="0" w:color="auto"/>
                        <w:right w:val="none" w:sz="0" w:space="0" w:color="auto"/>
                      </w:divBdr>
                    </w:div>
                    <w:div w:id="880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80470">
              <w:marLeft w:val="0"/>
              <w:marRight w:val="0"/>
              <w:marTop w:val="0"/>
              <w:marBottom w:val="0"/>
              <w:divBdr>
                <w:top w:val="none" w:sz="0" w:space="0" w:color="auto"/>
                <w:left w:val="none" w:sz="0" w:space="0" w:color="auto"/>
                <w:bottom w:val="none" w:sz="0" w:space="0" w:color="auto"/>
                <w:right w:val="none" w:sz="0" w:space="0" w:color="auto"/>
              </w:divBdr>
              <w:divsChild>
                <w:div w:id="443883282">
                  <w:marLeft w:val="0"/>
                  <w:marRight w:val="0"/>
                  <w:marTop w:val="0"/>
                  <w:marBottom w:val="0"/>
                  <w:divBdr>
                    <w:top w:val="none" w:sz="0" w:space="0" w:color="auto"/>
                    <w:left w:val="none" w:sz="0" w:space="0" w:color="auto"/>
                    <w:bottom w:val="none" w:sz="0" w:space="0" w:color="auto"/>
                    <w:right w:val="none" w:sz="0" w:space="0" w:color="auto"/>
                  </w:divBdr>
                </w:div>
                <w:div w:id="11776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5904">
          <w:marLeft w:val="0"/>
          <w:marRight w:val="0"/>
          <w:marTop w:val="166"/>
          <w:marBottom w:val="166"/>
          <w:divBdr>
            <w:top w:val="none" w:sz="0" w:space="0" w:color="auto"/>
            <w:left w:val="none" w:sz="0" w:space="0" w:color="auto"/>
            <w:bottom w:val="none" w:sz="0" w:space="0" w:color="auto"/>
            <w:right w:val="none" w:sz="0" w:space="0" w:color="auto"/>
          </w:divBdr>
          <w:divsChild>
            <w:div w:id="9561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7129">
      <w:bodyDiv w:val="1"/>
      <w:marLeft w:val="0"/>
      <w:marRight w:val="0"/>
      <w:marTop w:val="0"/>
      <w:marBottom w:val="0"/>
      <w:divBdr>
        <w:top w:val="none" w:sz="0" w:space="0" w:color="auto"/>
        <w:left w:val="none" w:sz="0" w:space="0" w:color="auto"/>
        <w:bottom w:val="none" w:sz="0" w:space="0" w:color="auto"/>
        <w:right w:val="none" w:sz="0" w:space="0" w:color="auto"/>
      </w:divBdr>
      <w:divsChild>
        <w:div w:id="1344550925">
          <w:marLeft w:val="0"/>
          <w:marRight w:val="0"/>
          <w:marTop w:val="120"/>
          <w:marBottom w:val="360"/>
          <w:divBdr>
            <w:top w:val="none" w:sz="0" w:space="0" w:color="auto"/>
            <w:left w:val="none" w:sz="0" w:space="0" w:color="auto"/>
            <w:bottom w:val="none" w:sz="0" w:space="0" w:color="auto"/>
            <w:right w:val="none" w:sz="0" w:space="0" w:color="auto"/>
          </w:divBdr>
          <w:divsChild>
            <w:div w:id="2641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40636">
      <w:bodyDiv w:val="1"/>
      <w:marLeft w:val="0"/>
      <w:marRight w:val="0"/>
      <w:marTop w:val="0"/>
      <w:marBottom w:val="0"/>
      <w:divBdr>
        <w:top w:val="none" w:sz="0" w:space="0" w:color="auto"/>
        <w:left w:val="none" w:sz="0" w:space="0" w:color="auto"/>
        <w:bottom w:val="none" w:sz="0" w:space="0" w:color="auto"/>
        <w:right w:val="none" w:sz="0" w:space="0" w:color="auto"/>
      </w:divBdr>
    </w:div>
    <w:div w:id="1885217211">
      <w:bodyDiv w:val="1"/>
      <w:marLeft w:val="0"/>
      <w:marRight w:val="0"/>
      <w:marTop w:val="0"/>
      <w:marBottom w:val="0"/>
      <w:divBdr>
        <w:top w:val="none" w:sz="0" w:space="0" w:color="auto"/>
        <w:left w:val="none" w:sz="0" w:space="0" w:color="auto"/>
        <w:bottom w:val="none" w:sz="0" w:space="0" w:color="auto"/>
        <w:right w:val="none" w:sz="0" w:space="0" w:color="auto"/>
      </w:divBdr>
    </w:div>
    <w:div w:id="1899658233">
      <w:bodyDiv w:val="1"/>
      <w:marLeft w:val="0"/>
      <w:marRight w:val="0"/>
      <w:marTop w:val="0"/>
      <w:marBottom w:val="0"/>
      <w:divBdr>
        <w:top w:val="none" w:sz="0" w:space="0" w:color="auto"/>
        <w:left w:val="none" w:sz="0" w:space="0" w:color="auto"/>
        <w:bottom w:val="none" w:sz="0" w:space="0" w:color="auto"/>
        <w:right w:val="none" w:sz="0" w:space="0" w:color="auto"/>
      </w:divBdr>
      <w:divsChild>
        <w:div w:id="789057920">
          <w:marLeft w:val="0"/>
          <w:marRight w:val="0"/>
          <w:marTop w:val="34"/>
          <w:marBottom w:val="34"/>
          <w:divBdr>
            <w:top w:val="none" w:sz="0" w:space="0" w:color="auto"/>
            <w:left w:val="none" w:sz="0" w:space="0" w:color="auto"/>
            <w:bottom w:val="none" w:sz="0" w:space="0" w:color="auto"/>
            <w:right w:val="none" w:sz="0" w:space="0" w:color="auto"/>
          </w:divBdr>
        </w:div>
      </w:divsChild>
    </w:div>
    <w:div w:id="1927760755">
      <w:bodyDiv w:val="1"/>
      <w:marLeft w:val="0"/>
      <w:marRight w:val="0"/>
      <w:marTop w:val="0"/>
      <w:marBottom w:val="0"/>
      <w:divBdr>
        <w:top w:val="none" w:sz="0" w:space="0" w:color="auto"/>
        <w:left w:val="none" w:sz="0" w:space="0" w:color="auto"/>
        <w:bottom w:val="none" w:sz="0" w:space="0" w:color="auto"/>
        <w:right w:val="none" w:sz="0" w:space="0" w:color="auto"/>
      </w:divBdr>
    </w:div>
    <w:div w:id="1935163579">
      <w:bodyDiv w:val="1"/>
      <w:marLeft w:val="0"/>
      <w:marRight w:val="0"/>
      <w:marTop w:val="0"/>
      <w:marBottom w:val="0"/>
      <w:divBdr>
        <w:top w:val="none" w:sz="0" w:space="0" w:color="auto"/>
        <w:left w:val="none" w:sz="0" w:space="0" w:color="auto"/>
        <w:bottom w:val="none" w:sz="0" w:space="0" w:color="auto"/>
        <w:right w:val="none" w:sz="0" w:space="0" w:color="auto"/>
      </w:divBdr>
    </w:div>
    <w:div w:id="2038309267">
      <w:bodyDiv w:val="1"/>
      <w:marLeft w:val="0"/>
      <w:marRight w:val="0"/>
      <w:marTop w:val="0"/>
      <w:marBottom w:val="0"/>
      <w:divBdr>
        <w:top w:val="none" w:sz="0" w:space="0" w:color="auto"/>
        <w:left w:val="none" w:sz="0" w:space="0" w:color="auto"/>
        <w:bottom w:val="none" w:sz="0" w:space="0" w:color="auto"/>
        <w:right w:val="none" w:sz="0" w:space="0" w:color="auto"/>
      </w:divBdr>
    </w:div>
    <w:div w:id="2054381360">
      <w:bodyDiv w:val="1"/>
      <w:marLeft w:val="0"/>
      <w:marRight w:val="0"/>
      <w:marTop w:val="0"/>
      <w:marBottom w:val="0"/>
      <w:divBdr>
        <w:top w:val="none" w:sz="0" w:space="0" w:color="auto"/>
        <w:left w:val="none" w:sz="0" w:space="0" w:color="auto"/>
        <w:bottom w:val="none" w:sz="0" w:space="0" w:color="auto"/>
        <w:right w:val="none" w:sz="0" w:space="0" w:color="auto"/>
      </w:divBdr>
      <w:divsChild>
        <w:div w:id="138151666">
          <w:marLeft w:val="0"/>
          <w:marRight w:val="0"/>
          <w:marTop w:val="0"/>
          <w:marBottom w:val="0"/>
          <w:divBdr>
            <w:top w:val="none" w:sz="0" w:space="0" w:color="auto"/>
            <w:left w:val="none" w:sz="0" w:space="0" w:color="auto"/>
            <w:bottom w:val="none" w:sz="0" w:space="0" w:color="auto"/>
            <w:right w:val="none" w:sz="0" w:space="0" w:color="auto"/>
          </w:divBdr>
        </w:div>
        <w:div w:id="371269560">
          <w:marLeft w:val="0"/>
          <w:marRight w:val="0"/>
          <w:marTop w:val="0"/>
          <w:marBottom w:val="0"/>
          <w:divBdr>
            <w:top w:val="none" w:sz="0" w:space="0" w:color="auto"/>
            <w:left w:val="none" w:sz="0" w:space="0" w:color="auto"/>
            <w:bottom w:val="none" w:sz="0" w:space="0" w:color="auto"/>
            <w:right w:val="none" w:sz="0" w:space="0" w:color="auto"/>
          </w:divBdr>
        </w:div>
        <w:div w:id="655114736">
          <w:marLeft w:val="0"/>
          <w:marRight w:val="0"/>
          <w:marTop w:val="0"/>
          <w:marBottom w:val="0"/>
          <w:divBdr>
            <w:top w:val="none" w:sz="0" w:space="0" w:color="auto"/>
            <w:left w:val="none" w:sz="0" w:space="0" w:color="auto"/>
            <w:bottom w:val="none" w:sz="0" w:space="0" w:color="auto"/>
            <w:right w:val="none" w:sz="0" w:space="0" w:color="auto"/>
          </w:divBdr>
        </w:div>
        <w:div w:id="664819387">
          <w:marLeft w:val="0"/>
          <w:marRight w:val="0"/>
          <w:marTop w:val="0"/>
          <w:marBottom w:val="0"/>
          <w:divBdr>
            <w:top w:val="none" w:sz="0" w:space="0" w:color="auto"/>
            <w:left w:val="none" w:sz="0" w:space="0" w:color="auto"/>
            <w:bottom w:val="none" w:sz="0" w:space="0" w:color="auto"/>
            <w:right w:val="none" w:sz="0" w:space="0" w:color="auto"/>
          </w:divBdr>
        </w:div>
        <w:div w:id="713579526">
          <w:marLeft w:val="0"/>
          <w:marRight w:val="0"/>
          <w:marTop w:val="0"/>
          <w:marBottom w:val="0"/>
          <w:divBdr>
            <w:top w:val="none" w:sz="0" w:space="0" w:color="auto"/>
            <w:left w:val="none" w:sz="0" w:space="0" w:color="auto"/>
            <w:bottom w:val="none" w:sz="0" w:space="0" w:color="auto"/>
            <w:right w:val="none" w:sz="0" w:space="0" w:color="auto"/>
          </w:divBdr>
        </w:div>
        <w:div w:id="913705733">
          <w:marLeft w:val="0"/>
          <w:marRight w:val="0"/>
          <w:marTop w:val="0"/>
          <w:marBottom w:val="0"/>
          <w:divBdr>
            <w:top w:val="none" w:sz="0" w:space="0" w:color="auto"/>
            <w:left w:val="none" w:sz="0" w:space="0" w:color="auto"/>
            <w:bottom w:val="none" w:sz="0" w:space="0" w:color="auto"/>
            <w:right w:val="none" w:sz="0" w:space="0" w:color="auto"/>
          </w:divBdr>
        </w:div>
        <w:div w:id="1043795746">
          <w:marLeft w:val="0"/>
          <w:marRight w:val="0"/>
          <w:marTop w:val="0"/>
          <w:marBottom w:val="0"/>
          <w:divBdr>
            <w:top w:val="none" w:sz="0" w:space="0" w:color="auto"/>
            <w:left w:val="none" w:sz="0" w:space="0" w:color="auto"/>
            <w:bottom w:val="none" w:sz="0" w:space="0" w:color="auto"/>
            <w:right w:val="none" w:sz="0" w:space="0" w:color="auto"/>
          </w:divBdr>
        </w:div>
        <w:div w:id="1346400847">
          <w:marLeft w:val="0"/>
          <w:marRight w:val="0"/>
          <w:marTop w:val="0"/>
          <w:marBottom w:val="0"/>
          <w:divBdr>
            <w:top w:val="none" w:sz="0" w:space="0" w:color="auto"/>
            <w:left w:val="none" w:sz="0" w:space="0" w:color="auto"/>
            <w:bottom w:val="none" w:sz="0" w:space="0" w:color="auto"/>
            <w:right w:val="none" w:sz="0" w:space="0" w:color="auto"/>
          </w:divBdr>
        </w:div>
        <w:div w:id="1487285486">
          <w:marLeft w:val="0"/>
          <w:marRight w:val="0"/>
          <w:marTop w:val="0"/>
          <w:marBottom w:val="0"/>
          <w:divBdr>
            <w:top w:val="none" w:sz="0" w:space="0" w:color="auto"/>
            <w:left w:val="none" w:sz="0" w:space="0" w:color="auto"/>
            <w:bottom w:val="none" w:sz="0" w:space="0" w:color="auto"/>
            <w:right w:val="none" w:sz="0" w:space="0" w:color="auto"/>
          </w:divBdr>
        </w:div>
        <w:div w:id="1691369063">
          <w:marLeft w:val="0"/>
          <w:marRight w:val="0"/>
          <w:marTop w:val="0"/>
          <w:marBottom w:val="0"/>
          <w:divBdr>
            <w:top w:val="none" w:sz="0" w:space="0" w:color="auto"/>
            <w:left w:val="none" w:sz="0" w:space="0" w:color="auto"/>
            <w:bottom w:val="none" w:sz="0" w:space="0" w:color="auto"/>
            <w:right w:val="none" w:sz="0" w:space="0" w:color="auto"/>
          </w:divBdr>
        </w:div>
        <w:div w:id="1847163033">
          <w:marLeft w:val="0"/>
          <w:marRight w:val="0"/>
          <w:marTop w:val="0"/>
          <w:marBottom w:val="0"/>
          <w:divBdr>
            <w:top w:val="none" w:sz="0" w:space="0" w:color="auto"/>
            <w:left w:val="none" w:sz="0" w:space="0" w:color="auto"/>
            <w:bottom w:val="none" w:sz="0" w:space="0" w:color="auto"/>
            <w:right w:val="none" w:sz="0" w:space="0" w:color="auto"/>
          </w:divBdr>
        </w:div>
        <w:div w:id="1952085694">
          <w:marLeft w:val="0"/>
          <w:marRight w:val="0"/>
          <w:marTop w:val="0"/>
          <w:marBottom w:val="0"/>
          <w:divBdr>
            <w:top w:val="none" w:sz="0" w:space="0" w:color="auto"/>
            <w:left w:val="none" w:sz="0" w:space="0" w:color="auto"/>
            <w:bottom w:val="none" w:sz="0" w:space="0" w:color="auto"/>
            <w:right w:val="none" w:sz="0" w:space="0" w:color="auto"/>
          </w:divBdr>
        </w:div>
      </w:divsChild>
    </w:div>
    <w:div w:id="2097633700">
      <w:bodyDiv w:val="1"/>
      <w:marLeft w:val="0"/>
      <w:marRight w:val="0"/>
      <w:marTop w:val="0"/>
      <w:marBottom w:val="0"/>
      <w:divBdr>
        <w:top w:val="none" w:sz="0" w:space="0" w:color="auto"/>
        <w:left w:val="none" w:sz="0" w:space="0" w:color="auto"/>
        <w:bottom w:val="none" w:sz="0" w:space="0" w:color="auto"/>
        <w:right w:val="none" w:sz="0" w:space="0" w:color="auto"/>
      </w:divBdr>
    </w:div>
    <w:div w:id="2127036672">
      <w:bodyDiv w:val="1"/>
      <w:marLeft w:val="0"/>
      <w:marRight w:val="0"/>
      <w:marTop w:val="0"/>
      <w:marBottom w:val="0"/>
      <w:divBdr>
        <w:top w:val="none" w:sz="0" w:space="0" w:color="auto"/>
        <w:left w:val="none" w:sz="0" w:space="0" w:color="auto"/>
        <w:bottom w:val="none" w:sz="0" w:space="0" w:color="auto"/>
        <w:right w:val="none" w:sz="0" w:space="0" w:color="auto"/>
      </w:divBdr>
    </w:div>
    <w:div w:id="21296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j.pontefract@sheffield.ac.uk" TargetMode="External"/><Relationship Id="rId13" Type="http://schemas.openxmlformats.org/officeDocument/2006/relationships/hyperlink" Target="https://www.worldometers.info/world-population/kazakhstan-popul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gov.kz/faces/wcnav_externalId/publBullS14-2016?_afrLoop=454097060173607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pulation.un.org/wpp/Download/Standard/Population/" TargetMode="External"/><Relationship Id="rId5" Type="http://schemas.openxmlformats.org/officeDocument/2006/relationships/webSettings" Target="webSettings.xml"/><Relationship Id="rId15" Type="http://schemas.openxmlformats.org/officeDocument/2006/relationships/hyperlink" Target="https://www.iofbonehealth.org/sites/default/files/PDFs/Audit%20Eastern%20Europe_Central%20Asia/Eastern_European_Central_Asian_Audit_2010.pdf" TargetMode="External"/><Relationship Id="rId10" Type="http://schemas.openxmlformats.org/officeDocument/2006/relationships/hyperlink" Target="http://www.shef.ac.uk/FRAX/pdfs/WHO_Technical_Report.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who.int/healthinfo/statistics/mortality_rawdata/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75EE2-8E0B-42F2-A816-522BE9BA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5911</Words>
  <Characters>33699</Characters>
  <Application>Microsoft Office Word</Application>
  <DocSecurity>4</DocSecurity>
  <Lines>280</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Закроева</dc:creator>
  <cp:keywords/>
  <dc:description/>
  <cp:lastModifiedBy>Karen Drake</cp:lastModifiedBy>
  <cp:revision>2</cp:revision>
  <dcterms:created xsi:type="dcterms:W3CDTF">2020-03-03T14:45:00Z</dcterms:created>
  <dcterms:modified xsi:type="dcterms:W3CDTF">2020-03-03T14:45:00Z</dcterms:modified>
</cp:coreProperties>
</file>