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E95E6" w14:textId="046D7D0E" w:rsidR="0046726B" w:rsidRPr="00D80609" w:rsidRDefault="0046726B" w:rsidP="0046726B">
      <w:pPr>
        <w:pStyle w:val="MDPI11articletype"/>
      </w:pPr>
      <w:bookmarkStart w:id="0" w:name="_GoBack"/>
      <w:bookmarkEnd w:id="0"/>
    </w:p>
    <w:p w14:paraId="57C95EE9" w14:textId="369CC778" w:rsidR="007F4907" w:rsidRPr="00A13C52" w:rsidRDefault="00F260E0" w:rsidP="00FC0AB1">
      <w:pPr>
        <w:pStyle w:val="MDPI12title"/>
      </w:pPr>
      <w:r w:rsidRPr="00A13C52">
        <w:t xml:space="preserve">Body Mass Index </w:t>
      </w:r>
      <w:r w:rsidR="007F4907" w:rsidRPr="00A13C52">
        <w:t xml:space="preserve">(BMI) </w:t>
      </w:r>
      <w:r w:rsidRPr="00A13C52">
        <w:t>and Work</w:t>
      </w:r>
      <w:r w:rsidR="00E068A0">
        <w:t xml:space="preserve"> A</w:t>
      </w:r>
      <w:r w:rsidRPr="00A13C52">
        <w:t xml:space="preserve">bility </w:t>
      </w:r>
      <w:r w:rsidR="00E068A0">
        <w:t>in</w:t>
      </w:r>
      <w:r w:rsidR="00E068A0" w:rsidRPr="00A13C52">
        <w:t xml:space="preserve"> </w:t>
      </w:r>
      <w:r w:rsidRPr="00A13C52">
        <w:t xml:space="preserve">Older </w:t>
      </w:r>
      <w:r w:rsidR="00E068A0">
        <w:t>Workers</w:t>
      </w:r>
      <w:r w:rsidR="007F4907" w:rsidRPr="00A13C52">
        <w:t xml:space="preserve">: </w:t>
      </w:r>
      <w:r w:rsidRPr="00A13C52">
        <w:t xml:space="preserve">Results from the Health and Employment after Fifty </w:t>
      </w:r>
      <w:r w:rsidR="007F4907" w:rsidRPr="00A13C52">
        <w:t>(</w:t>
      </w:r>
      <w:r w:rsidR="00E068A0" w:rsidRPr="00A13C52">
        <w:t>H</w:t>
      </w:r>
      <w:r w:rsidR="00E068A0">
        <w:t>EAF</w:t>
      </w:r>
      <w:r w:rsidR="007F4907" w:rsidRPr="00A13C52">
        <w:t xml:space="preserve">) </w:t>
      </w:r>
      <w:r w:rsidRPr="00A13C52">
        <w:t xml:space="preserve">Prospective Cohort Study </w:t>
      </w:r>
    </w:p>
    <w:p w14:paraId="634AFFFC" w14:textId="77777777" w:rsidR="007F4907" w:rsidRDefault="007F4907" w:rsidP="00AF4F1B">
      <w:pPr>
        <w:spacing w:line="240" w:lineRule="auto"/>
        <w:rPr>
          <w:rFonts w:ascii="Palatino Linotype" w:hAnsi="Palatino Linotype" w:cs="Arial"/>
          <w:b/>
          <w:sz w:val="20"/>
          <w:vertAlign w:val="superscript"/>
        </w:rPr>
      </w:pPr>
      <w:r w:rsidRPr="00A13C52">
        <w:rPr>
          <w:rFonts w:ascii="Palatino Linotype" w:hAnsi="Palatino Linotype" w:cs="Arial"/>
          <w:b/>
          <w:sz w:val="20"/>
        </w:rPr>
        <w:t>Dr Catherine H Linaker PhD</w:t>
      </w:r>
      <w:r w:rsidRPr="00A13C52">
        <w:rPr>
          <w:rFonts w:ascii="Palatino Linotype" w:hAnsi="Palatino Linotype" w:cs="Arial"/>
          <w:b/>
          <w:sz w:val="20"/>
          <w:vertAlign w:val="superscript"/>
        </w:rPr>
        <w:t>1,2</w:t>
      </w:r>
      <w:r w:rsidR="00A13C52">
        <w:rPr>
          <w:rFonts w:ascii="Palatino Linotype" w:hAnsi="Palatino Linotype" w:cs="Arial"/>
          <w:b/>
          <w:sz w:val="20"/>
        </w:rPr>
        <w:t xml:space="preserve">, </w:t>
      </w:r>
      <w:proofErr w:type="spellStart"/>
      <w:r w:rsidRPr="00A13C52">
        <w:rPr>
          <w:rFonts w:ascii="Palatino Linotype" w:hAnsi="Palatino Linotype" w:cs="Arial"/>
          <w:b/>
          <w:sz w:val="20"/>
        </w:rPr>
        <w:t>Ms</w:t>
      </w:r>
      <w:proofErr w:type="spellEnd"/>
      <w:r w:rsidRPr="00A13C52">
        <w:rPr>
          <w:rFonts w:ascii="Palatino Linotype" w:hAnsi="Palatino Linotype" w:cs="Arial"/>
          <w:b/>
          <w:sz w:val="20"/>
        </w:rPr>
        <w:t xml:space="preserve"> </w:t>
      </w:r>
      <w:proofErr w:type="spellStart"/>
      <w:r w:rsidRPr="00A13C52">
        <w:rPr>
          <w:rFonts w:ascii="Palatino Linotype" w:hAnsi="Palatino Linotype" w:cs="Arial"/>
          <w:b/>
          <w:sz w:val="20"/>
        </w:rPr>
        <w:t>Stefania</w:t>
      </w:r>
      <w:proofErr w:type="spellEnd"/>
      <w:r w:rsidRPr="00A13C52">
        <w:rPr>
          <w:rFonts w:ascii="Palatino Linotype" w:hAnsi="Palatino Linotype" w:cs="Arial"/>
          <w:b/>
          <w:sz w:val="20"/>
        </w:rPr>
        <w:t xml:space="preserve"> D’Angelo MSc</w:t>
      </w:r>
      <w:r w:rsidRPr="00A13C52">
        <w:rPr>
          <w:rFonts w:ascii="Palatino Linotype" w:hAnsi="Palatino Linotype" w:cs="Arial"/>
          <w:b/>
          <w:sz w:val="20"/>
          <w:vertAlign w:val="superscript"/>
        </w:rPr>
        <w:t>1,2</w:t>
      </w:r>
      <w:r w:rsidR="00A13C52">
        <w:rPr>
          <w:rFonts w:ascii="Palatino Linotype" w:hAnsi="Palatino Linotype" w:cs="Arial"/>
          <w:b/>
          <w:sz w:val="20"/>
        </w:rPr>
        <w:t xml:space="preserve">, </w:t>
      </w:r>
      <w:r w:rsidRPr="00A13C52">
        <w:rPr>
          <w:rFonts w:ascii="Palatino Linotype" w:hAnsi="Palatino Linotype" w:cs="Arial"/>
          <w:b/>
          <w:sz w:val="20"/>
        </w:rPr>
        <w:t>Dr Holly E Syddall PhD</w:t>
      </w:r>
      <w:r w:rsidRPr="00A13C52">
        <w:rPr>
          <w:rFonts w:ascii="Palatino Linotype" w:hAnsi="Palatino Linotype" w:cs="Arial"/>
          <w:b/>
          <w:sz w:val="20"/>
          <w:vertAlign w:val="superscript"/>
        </w:rPr>
        <w:t>1,2</w:t>
      </w:r>
      <w:r w:rsidR="00A13C52">
        <w:rPr>
          <w:rFonts w:ascii="Palatino Linotype" w:hAnsi="Palatino Linotype" w:cs="Arial"/>
          <w:b/>
          <w:sz w:val="20"/>
        </w:rPr>
        <w:t xml:space="preserve">, </w:t>
      </w:r>
      <w:r w:rsidRPr="00A13C52">
        <w:rPr>
          <w:rFonts w:ascii="Palatino Linotype" w:hAnsi="Palatino Linotype" w:cs="Arial"/>
          <w:b/>
          <w:sz w:val="20"/>
        </w:rPr>
        <w:t>Dr E Clare Harris PhD</w:t>
      </w:r>
      <w:r w:rsidRPr="00A13C52">
        <w:rPr>
          <w:rFonts w:ascii="Palatino Linotype" w:hAnsi="Palatino Linotype" w:cs="Arial"/>
          <w:b/>
          <w:sz w:val="20"/>
          <w:vertAlign w:val="superscript"/>
        </w:rPr>
        <w:t>1,2</w:t>
      </w:r>
      <w:r w:rsidR="00A13C52">
        <w:rPr>
          <w:rFonts w:ascii="Palatino Linotype" w:hAnsi="Palatino Linotype" w:cs="Arial"/>
          <w:b/>
          <w:sz w:val="20"/>
        </w:rPr>
        <w:t xml:space="preserve">, </w:t>
      </w:r>
      <w:r w:rsidRPr="00A13C52">
        <w:rPr>
          <w:rFonts w:ascii="Palatino Linotype" w:hAnsi="Palatino Linotype" w:cs="Arial"/>
          <w:b/>
          <w:sz w:val="20"/>
        </w:rPr>
        <w:t>Professor Cyrus Cooper DM</w:t>
      </w:r>
      <w:r w:rsidRPr="00A13C52">
        <w:rPr>
          <w:rFonts w:ascii="Palatino Linotype" w:hAnsi="Palatino Linotype" w:cs="Arial"/>
          <w:b/>
          <w:sz w:val="20"/>
          <w:vertAlign w:val="superscript"/>
        </w:rPr>
        <w:t>2</w:t>
      </w:r>
      <w:r w:rsidR="00A13C52">
        <w:rPr>
          <w:rFonts w:ascii="Palatino Linotype" w:hAnsi="Palatino Linotype" w:cs="Arial"/>
          <w:b/>
          <w:sz w:val="20"/>
        </w:rPr>
        <w:t xml:space="preserve">, </w:t>
      </w:r>
      <w:r w:rsidRPr="00A13C52">
        <w:rPr>
          <w:rFonts w:ascii="Palatino Linotype" w:hAnsi="Palatino Linotype" w:cs="Arial"/>
          <w:b/>
          <w:sz w:val="20"/>
        </w:rPr>
        <w:t>Professor Karen Walker-Bone</w:t>
      </w:r>
      <w:r w:rsidR="00AF4F1B">
        <w:rPr>
          <w:rFonts w:ascii="Palatino Linotype" w:hAnsi="Palatino Linotype" w:cs="Arial"/>
          <w:b/>
          <w:sz w:val="20"/>
        </w:rPr>
        <w:t>*</w:t>
      </w:r>
      <w:r w:rsidRPr="00A13C52">
        <w:rPr>
          <w:rFonts w:ascii="Palatino Linotype" w:hAnsi="Palatino Linotype" w:cs="Arial"/>
          <w:b/>
          <w:sz w:val="20"/>
        </w:rPr>
        <w:t xml:space="preserve"> PhD</w:t>
      </w:r>
      <w:r w:rsidRPr="00A13C52">
        <w:rPr>
          <w:rFonts w:ascii="Palatino Linotype" w:hAnsi="Palatino Linotype" w:cs="Arial"/>
          <w:b/>
          <w:sz w:val="20"/>
          <w:vertAlign w:val="superscript"/>
        </w:rPr>
        <w:t>1,2</w:t>
      </w:r>
      <w:r w:rsidR="00AF4F1B">
        <w:rPr>
          <w:rFonts w:ascii="Palatino Linotype" w:hAnsi="Palatino Linotype" w:cs="Arial"/>
          <w:b/>
          <w:sz w:val="20"/>
          <w:vertAlign w:val="superscript"/>
        </w:rPr>
        <w:t xml:space="preserve"> </w:t>
      </w:r>
    </w:p>
    <w:p w14:paraId="4F4B639A" w14:textId="77777777" w:rsidR="00AF4F1B" w:rsidRPr="00A13C52" w:rsidRDefault="00AF4F1B" w:rsidP="00AF4F1B">
      <w:pPr>
        <w:spacing w:line="240" w:lineRule="auto"/>
        <w:rPr>
          <w:rFonts w:ascii="Palatino Linotype" w:hAnsi="Palatino Linotype" w:cs="Arial"/>
          <w:b/>
          <w:sz w:val="20"/>
        </w:rPr>
      </w:pPr>
    </w:p>
    <w:p w14:paraId="1A38EADB" w14:textId="77777777" w:rsidR="00A13C52" w:rsidRDefault="00A13C52" w:rsidP="00AF4F1B">
      <w:pPr>
        <w:spacing w:line="240" w:lineRule="auto"/>
        <w:rPr>
          <w:rFonts w:ascii="Palatino Linotype" w:hAnsi="Palatino Linotype" w:cs="Arial"/>
          <w:sz w:val="18"/>
          <w:szCs w:val="18"/>
        </w:rPr>
      </w:pPr>
      <w:r w:rsidRPr="00A13C52">
        <w:rPr>
          <w:rFonts w:ascii="Palatino Linotype" w:hAnsi="Palatino Linotype" w:cs="Arial"/>
          <w:sz w:val="18"/>
          <w:szCs w:val="18"/>
          <w:vertAlign w:val="superscript"/>
        </w:rPr>
        <w:t>1</w:t>
      </w:r>
      <w:r w:rsidRPr="00A13C52">
        <w:rPr>
          <w:rFonts w:ascii="Palatino Linotype" w:hAnsi="Palatino Linotype" w:cs="Arial"/>
          <w:sz w:val="18"/>
          <w:szCs w:val="18"/>
        </w:rPr>
        <w:t>MRC Versus Arthritis Centre for Musculoskeletal Health and Work, University of Southampton, Southampton General Hospital, Southampton, SO16 6YD, UK</w:t>
      </w:r>
    </w:p>
    <w:p w14:paraId="14969A38" w14:textId="77777777" w:rsidR="00AF4F1B" w:rsidRPr="00A13C52" w:rsidRDefault="00AF4F1B" w:rsidP="00AF4F1B">
      <w:pPr>
        <w:spacing w:line="240" w:lineRule="auto"/>
        <w:rPr>
          <w:rFonts w:ascii="Palatino Linotype" w:hAnsi="Palatino Linotype" w:cs="Arial"/>
          <w:sz w:val="18"/>
          <w:szCs w:val="18"/>
        </w:rPr>
      </w:pPr>
    </w:p>
    <w:p w14:paraId="70A714D5" w14:textId="77777777" w:rsidR="00A13C52" w:rsidRDefault="00A13C52" w:rsidP="00AF4F1B">
      <w:pPr>
        <w:autoSpaceDE w:val="0"/>
        <w:autoSpaceDN w:val="0"/>
        <w:adjustRightInd w:val="0"/>
        <w:spacing w:line="240" w:lineRule="auto"/>
        <w:rPr>
          <w:rFonts w:ascii="Palatino Linotype" w:hAnsi="Palatino Linotype" w:cs="Arial"/>
          <w:sz w:val="18"/>
          <w:szCs w:val="18"/>
        </w:rPr>
      </w:pPr>
      <w:r w:rsidRPr="00A13C52">
        <w:rPr>
          <w:rFonts w:ascii="Palatino Linotype" w:hAnsi="Palatino Linotype" w:cs="Arial"/>
          <w:sz w:val="18"/>
          <w:szCs w:val="18"/>
          <w:vertAlign w:val="superscript"/>
        </w:rPr>
        <w:t>2</w:t>
      </w:r>
      <w:r w:rsidRPr="00A13C52">
        <w:rPr>
          <w:rFonts w:ascii="Palatino Linotype" w:hAnsi="Palatino Linotype" w:cs="Arial"/>
          <w:sz w:val="18"/>
          <w:szCs w:val="18"/>
        </w:rPr>
        <w:t>Medical Research Council Lifecourse Epidemiology Unit,</w:t>
      </w:r>
      <w:r w:rsidR="00AF4F1B">
        <w:rPr>
          <w:rFonts w:ascii="Palatino Linotype" w:hAnsi="Palatino Linotype" w:cs="Arial"/>
          <w:sz w:val="18"/>
          <w:szCs w:val="18"/>
        </w:rPr>
        <w:t xml:space="preserve"> </w:t>
      </w:r>
      <w:r w:rsidRPr="00A13C52">
        <w:rPr>
          <w:rFonts w:ascii="Palatino Linotype" w:hAnsi="Palatino Linotype" w:cs="Arial"/>
          <w:sz w:val="18"/>
          <w:szCs w:val="18"/>
        </w:rPr>
        <w:t>University of Southampton, Southampton General Hospital,</w:t>
      </w:r>
      <w:r w:rsidR="00AF4F1B">
        <w:rPr>
          <w:rFonts w:ascii="Palatino Linotype" w:hAnsi="Palatino Linotype" w:cs="Arial"/>
          <w:sz w:val="18"/>
          <w:szCs w:val="18"/>
        </w:rPr>
        <w:t xml:space="preserve"> </w:t>
      </w:r>
      <w:r w:rsidRPr="00A13C52">
        <w:rPr>
          <w:rFonts w:ascii="Palatino Linotype" w:hAnsi="Palatino Linotype" w:cs="Arial"/>
          <w:sz w:val="18"/>
          <w:szCs w:val="18"/>
        </w:rPr>
        <w:t xml:space="preserve">Southampton, SO16 6YD, UK. </w:t>
      </w:r>
    </w:p>
    <w:p w14:paraId="54D71BF3" w14:textId="77777777" w:rsidR="00AF4F1B" w:rsidRPr="00A13C52" w:rsidRDefault="00AF4F1B" w:rsidP="00AF4F1B">
      <w:pPr>
        <w:spacing w:line="240" w:lineRule="auto"/>
        <w:rPr>
          <w:rFonts w:ascii="Palatino Linotype" w:hAnsi="Palatino Linotype" w:cs="Arial"/>
          <w:sz w:val="18"/>
          <w:szCs w:val="18"/>
        </w:rPr>
      </w:pPr>
    </w:p>
    <w:p w14:paraId="5B581AC2" w14:textId="77777777" w:rsidR="0046726B" w:rsidRPr="00D80609" w:rsidRDefault="0046726B" w:rsidP="0046726B">
      <w:pPr>
        <w:pStyle w:val="MDPI14history"/>
        <w:spacing w:before="0"/>
        <w:ind w:left="311" w:hanging="198"/>
      </w:pPr>
      <w:r w:rsidRPr="00D80609">
        <w:rPr>
          <w:b/>
        </w:rPr>
        <w:t>*</w:t>
      </w:r>
      <w:r w:rsidRPr="00D80609">
        <w:tab/>
        <w:t xml:space="preserve">Correspondence: </w:t>
      </w:r>
      <w:r w:rsidR="00AF4F1B">
        <w:t xml:space="preserve">Professor Karen Walker-Bone </w:t>
      </w:r>
      <w:hyperlink r:id="rId7" w:history="1">
        <w:r w:rsidR="00AF4F1B" w:rsidRPr="00435962">
          <w:rPr>
            <w:rStyle w:val="Hyperlink"/>
          </w:rPr>
          <w:t>kwb@mrc.soton.ac.uk</w:t>
        </w:r>
      </w:hyperlink>
      <w:r w:rsidR="00AF4F1B">
        <w:t xml:space="preserve"> ; +44 380 777624</w:t>
      </w:r>
    </w:p>
    <w:p w14:paraId="5E076A61" w14:textId="77777777" w:rsidR="0046726B" w:rsidRDefault="0046726B" w:rsidP="0046726B">
      <w:pPr>
        <w:pStyle w:val="MDPI14history"/>
      </w:pPr>
      <w:r w:rsidRPr="00D80609">
        <w:t>Received: date; Accepted: date; Published: date</w:t>
      </w:r>
    </w:p>
    <w:p w14:paraId="5D88E646" w14:textId="77777777" w:rsidR="00AF4F1B" w:rsidRPr="00AF4F1B" w:rsidRDefault="00AF4F1B" w:rsidP="00AF4F1B">
      <w:pPr>
        <w:rPr>
          <w:lang w:bidi="en-US"/>
        </w:rPr>
      </w:pPr>
    </w:p>
    <w:p w14:paraId="67F6FFDE" w14:textId="38BF5927" w:rsidR="00AF4F1B" w:rsidRPr="00AF4F1B" w:rsidRDefault="0046726B" w:rsidP="00AF4F1B">
      <w:pPr>
        <w:spacing w:line="240" w:lineRule="auto"/>
        <w:rPr>
          <w:rFonts w:ascii="Palatino Linotype" w:hAnsi="Palatino Linotype" w:cs="Arial"/>
          <w:sz w:val="20"/>
        </w:rPr>
      </w:pPr>
      <w:r w:rsidRPr="00AF4F1B">
        <w:rPr>
          <w:rFonts w:ascii="Palatino Linotype" w:hAnsi="Palatino Linotype"/>
          <w:b/>
          <w:sz w:val="20"/>
        </w:rPr>
        <w:t xml:space="preserve">Abstract: </w:t>
      </w:r>
      <w:r w:rsidR="00AF4F1B" w:rsidRPr="00AF4F1B">
        <w:rPr>
          <w:rFonts w:ascii="Palatino Linotype" w:hAnsi="Palatino Linotype" w:cs="Arial"/>
          <w:sz w:val="20"/>
        </w:rPr>
        <w:t xml:space="preserve">This study explores associations between BMI and prolonged sickness absence; cutting down at work; and health-related job loss (HRJL) over two years of follow-up among </w:t>
      </w:r>
      <w:r w:rsidR="00D06EAA">
        <w:rPr>
          <w:rFonts w:ascii="Palatino Linotype" w:hAnsi="Palatino Linotype" w:cs="Arial"/>
          <w:sz w:val="20"/>
        </w:rPr>
        <w:t>workers</w:t>
      </w:r>
      <w:r w:rsidR="00216DB0">
        <w:rPr>
          <w:rFonts w:ascii="Palatino Linotype" w:hAnsi="Palatino Linotype" w:cs="Arial"/>
          <w:sz w:val="20"/>
        </w:rPr>
        <w:t xml:space="preserve"> aged ≥ 50 years</w:t>
      </w:r>
      <w:r w:rsidR="00AF4F1B" w:rsidRPr="00AF4F1B">
        <w:rPr>
          <w:rFonts w:ascii="Palatino Linotype" w:hAnsi="Palatino Linotype" w:cs="Arial"/>
          <w:sz w:val="20"/>
        </w:rPr>
        <w:t>. A cohort of 2299 men and 2425 women (aged 50-64 years) self-reported height and weight at baseline and provided information about work</w:t>
      </w:r>
      <w:r w:rsidR="00FC276C">
        <w:rPr>
          <w:rFonts w:ascii="Palatino Linotype" w:hAnsi="Palatino Linotype" w:cs="Arial"/>
          <w:sz w:val="20"/>
        </w:rPr>
        <w:t xml:space="preserve"> </w:t>
      </w:r>
      <w:r w:rsidR="00AF4F1B" w:rsidRPr="00AF4F1B">
        <w:rPr>
          <w:rFonts w:ascii="Palatino Linotype" w:hAnsi="Palatino Linotype" w:cs="Arial"/>
          <w:sz w:val="20"/>
        </w:rPr>
        <w:t>ability at 12 and 24 months for the Health and Employment after Fifty (HEAF) Study. Associations between BMI and work</w:t>
      </w:r>
      <w:r w:rsidR="00FC276C">
        <w:rPr>
          <w:rFonts w:ascii="Palatino Linotype" w:hAnsi="Palatino Linotype" w:cs="Arial"/>
          <w:sz w:val="20"/>
        </w:rPr>
        <w:t xml:space="preserve"> </w:t>
      </w:r>
      <w:r w:rsidR="00AF4F1B" w:rsidRPr="00AF4F1B">
        <w:rPr>
          <w:rFonts w:ascii="Palatino Linotype" w:hAnsi="Palatino Linotype" w:cs="Arial"/>
          <w:sz w:val="20"/>
        </w:rPr>
        <w:t>ability were assessed by logistic regression and HRJL by multiple-record Cox’s proportional hazards models, with adjustment for other risk factors. The prevalence of obesity/severe obesity was 22.6%/1.2% amongst men and 21.4%/2.6% amongst women respectively. In men and women, obesity and severe obesity predicted having to cut down at work for health over two years. In women, severe obesity predicted prolonged sickness absence, and also HRJL even after adjustment for age, proximity to retirement, financial difficulties, and lifestyle factors (hazard ratio [HR] 2.93, 95% CI 1.38, 6.23), and additional adjustment for health conditions (HR 2.52, 95% CI 1.12, 5.67). Obesity, and particularly severe obesity, negatively impacts work</w:t>
      </w:r>
      <w:r w:rsidR="00FC276C">
        <w:rPr>
          <w:rFonts w:ascii="Palatino Linotype" w:hAnsi="Palatino Linotype" w:cs="Arial"/>
          <w:sz w:val="20"/>
        </w:rPr>
        <w:t xml:space="preserve"> </w:t>
      </w:r>
      <w:r w:rsidR="00AF4F1B" w:rsidRPr="00AF4F1B">
        <w:rPr>
          <w:rFonts w:ascii="Palatino Linotype" w:hAnsi="Palatino Linotype" w:cs="Arial"/>
          <w:sz w:val="20"/>
        </w:rPr>
        <w:t xml:space="preserve">ability </w:t>
      </w:r>
      <w:r w:rsidR="00E9284E">
        <w:rPr>
          <w:rFonts w:ascii="Palatino Linotype" w:hAnsi="Palatino Linotype" w:cs="Arial"/>
          <w:sz w:val="20"/>
        </w:rPr>
        <w:t xml:space="preserve">amongst </w:t>
      </w:r>
      <w:r w:rsidR="00AB2E67">
        <w:rPr>
          <w:rFonts w:ascii="Palatino Linotype" w:hAnsi="Palatino Linotype" w:cs="Arial"/>
          <w:sz w:val="20"/>
        </w:rPr>
        <w:t>people aged 50-64 years</w:t>
      </w:r>
      <w:r w:rsidR="00FC276C">
        <w:rPr>
          <w:rFonts w:ascii="Palatino Linotype" w:hAnsi="Palatino Linotype" w:cs="Arial"/>
          <w:sz w:val="20"/>
        </w:rPr>
        <w:t>,</w:t>
      </w:r>
      <w:r w:rsidR="00AF4F1B" w:rsidRPr="00AF4F1B">
        <w:rPr>
          <w:rFonts w:ascii="Palatino Linotype" w:hAnsi="Palatino Linotype" w:cs="Arial"/>
          <w:sz w:val="20"/>
        </w:rPr>
        <w:t xml:space="preserve"> with greatest effects in </w:t>
      </w:r>
      <w:r w:rsidR="00AB2E67">
        <w:rPr>
          <w:rFonts w:ascii="Palatino Linotype" w:hAnsi="Palatino Linotype" w:cs="Arial"/>
          <w:sz w:val="20"/>
        </w:rPr>
        <w:t>women</w:t>
      </w:r>
      <w:r w:rsidR="00AF4F1B" w:rsidRPr="00AF4F1B">
        <w:rPr>
          <w:rFonts w:ascii="Palatino Linotype" w:hAnsi="Palatino Linotype" w:cs="Arial"/>
          <w:sz w:val="20"/>
        </w:rPr>
        <w:t>. Obesity can be expected to hinder attempts to encourage work to older ages.</w:t>
      </w:r>
    </w:p>
    <w:p w14:paraId="09C2CBD5" w14:textId="77777777" w:rsidR="00AF4F1B" w:rsidRPr="00D94F3C" w:rsidRDefault="00AF4F1B" w:rsidP="00AF4F1B">
      <w:pPr>
        <w:spacing w:line="240" w:lineRule="auto"/>
        <w:rPr>
          <w:rFonts w:ascii="Arial" w:hAnsi="Arial" w:cs="Arial"/>
        </w:rPr>
      </w:pPr>
    </w:p>
    <w:p w14:paraId="11550FFE" w14:textId="317BEC2A" w:rsidR="003F2CA0" w:rsidRPr="005B174A" w:rsidRDefault="0046726B" w:rsidP="005B174A">
      <w:pPr>
        <w:spacing w:line="240" w:lineRule="auto"/>
        <w:rPr>
          <w:rFonts w:ascii="Palatino Linotype" w:hAnsi="Palatino Linotype" w:cs="Arial"/>
          <w:sz w:val="20"/>
        </w:rPr>
      </w:pPr>
      <w:r w:rsidRPr="00AF4F1B">
        <w:rPr>
          <w:rFonts w:ascii="Palatino Linotype" w:hAnsi="Palatino Linotype"/>
          <w:b/>
          <w:sz w:val="20"/>
        </w:rPr>
        <w:t xml:space="preserve">Keywords: </w:t>
      </w:r>
      <w:r w:rsidR="003F2CA0" w:rsidRPr="003F2CA0">
        <w:rPr>
          <w:rFonts w:ascii="Palatino Linotype" w:hAnsi="Palatino Linotype"/>
          <w:sz w:val="20"/>
        </w:rPr>
        <w:t>body mass index</w:t>
      </w:r>
      <w:r w:rsidR="003F2CA0">
        <w:rPr>
          <w:rFonts w:ascii="Palatino Linotype" w:hAnsi="Palatino Linotype"/>
          <w:b/>
          <w:sz w:val="20"/>
        </w:rPr>
        <w:t xml:space="preserve">, </w:t>
      </w:r>
      <w:r w:rsidR="00AF4F1B" w:rsidRPr="00AF4F1B">
        <w:rPr>
          <w:rFonts w:ascii="Palatino Linotype" w:hAnsi="Palatino Linotype" w:cs="Arial"/>
          <w:sz w:val="20"/>
        </w:rPr>
        <w:t>older worker, obesity, work</w:t>
      </w:r>
      <w:r w:rsidR="00FC276C">
        <w:rPr>
          <w:rFonts w:ascii="Palatino Linotype" w:hAnsi="Palatino Linotype" w:cs="Arial"/>
          <w:sz w:val="20"/>
        </w:rPr>
        <w:t xml:space="preserve"> </w:t>
      </w:r>
      <w:r w:rsidR="00AF4F1B" w:rsidRPr="00AF4F1B">
        <w:rPr>
          <w:rFonts w:ascii="Palatino Linotype" w:hAnsi="Palatino Linotype" w:cs="Arial"/>
          <w:sz w:val="20"/>
        </w:rPr>
        <w:t>ability, health-related job loss, sickness absence</w:t>
      </w:r>
    </w:p>
    <w:p w14:paraId="4B4EE706" w14:textId="1417C4A5" w:rsidR="0046726B" w:rsidRPr="00D80609" w:rsidRDefault="005B174A" w:rsidP="005B174A">
      <w:pPr>
        <w:pStyle w:val="MDPI21heading1"/>
      </w:pPr>
      <w:r>
        <w:rPr>
          <w:lang w:eastAsia="zh-CN"/>
        </w:rPr>
        <w:t xml:space="preserve">1. </w:t>
      </w:r>
      <w:r w:rsidR="0046726B" w:rsidRPr="00D80609">
        <w:t>Introduction</w:t>
      </w:r>
    </w:p>
    <w:p w14:paraId="2D01A9AC" w14:textId="421969C7" w:rsidR="00AF4F1B" w:rsidRPr="00AF4F1B" w:rsidRDefault="00AF4F1B" w:rsidP="005B174A">
      <w:pPr>
        <w:pStyle w:val="MDPI31text"/>
      </w:pPr>
      <w:r w:rsidRPr="00AF4F1B">
        <w:t xml:space="preserve">Obesity is a major and growing public health problem, with future global projections estimating that there will be more than one billion people affected by 2030 (1). Obesity and overweight are linked to more deaths worldwide than underweight (except in parts of sub-Saharan Africa and Asia) because they are major risk factors for non-communicable diseases including: diabetes; cardiovascular diseases; musculoskeletal disorders and common mental health conditions (2,3,4).  Although prevalence rates in children and adolescents are climbing, the highest prevalence is seen amongst men and women in the fifth, sixth and seventh decades of life (5). Contemporaneously, in </w:t>
      </w:r>
      <w:r w:rsidRPr="00AF4F1B">
        <w:lastRenderedPageBreak/>
        <w:t>Western countries, there have been dramatic changes in population demographics caused by increased longevity coupled with declining birth rates. This has led to reshaping of populations with increased proportions of economically inactive older people. For example,</w:t>
      </w:r>
      <w:r w:rsidR="00212D83">
        <w:t xml:space="preserve"> </w:t>
      </w:r>
      <w:r w:rsidR="00212D83" w:rsidRPr="00D939AB">
        <w:t>in Europe, it is projected that by 2050, about 30% of the population will be aged &gt;65 years of age as compared with 20% in 2018</w:t>
      </w:r>
      <w:r w:rsidRPr="00AF4F1B">
        <w:t xml:space="preserve"> (6). Governments have increasingly recognised that the resources set aside for pensions will be insufficient and have made policy changes to encourage people to stay in paid work to older ages.</w:t>
      </w:r>
      <w:r w:rsidR="001E1F35">
        <w:t xml:space="preserve"> </w:t>
      </w:r>
      <w:r w:rsidR="009D3371">
        <w:t>The OECD currently defines</w:t>
      </w:r>
      <w:r w:rsidR="001E1F35">
        <w:t xml:space="preserve"> “older workers” </w:t>
      </w:r>
      <w:r w:rsidR="009D3371">
        <w:t>as</w:t>
      </w:r>
      <w:r w:rsidR="001E1F35">
        <w:t xml:space="preserve"> workers aged ≥ 50 years (7) and</w:t>
      </w:r>
      <w:r w:rsidR="009D3371">
        <w:t xml:space="preserve"> there is already evidence that these numbers are growing. For example, in the UK in 2019, more than 10 million people were “older workers” (8). </w:t>
      </w:r>
    </w:p>
    <w:p w14:paraId="582E12C4" w14:textId="0D27695B" w:rsidR="00AF4F1B" w:rsidRPr="00AF4F1B" w:rsidRDefault="00AF4F1B" w:rsidP="005B174A">
      <w:pPr>
        <w:pStyle w:val="MDPI31text"/>
      </w:pPr>
      <w:r w:rsidRPr="00AF4F1B">
        <w:t>The impact of government policies to encourage individuals to postpone their retirement may be reduced if obesity limits work</w:t>
      </w:r>
      <w:r w:rsidR="00FC276C">
        <w:t xml:space="preserve"> </w:t>
      </w:r>
      <w:r w:rsidRPr="00AF4F1B">
        <w:t xml:space="preserve">ability </w:t>
      </w:r>
      <w:r w:rsidR="001E1F35">
        <w:t xml:space="preserve">(defined as </w:t>
      </w:r>
      <w:r w:rsidR="001E1F35" w:rsidRPr="001E1F35">
        <w:t xml:space="preserve">a worker’s capacity to sustain employment in his or her current job, given the demands of the job and his or her individual </w:t>
      </w:r>
      <w:proofErr w:type="gramStart"/>
      <w:r w:rsidR="001E1F35" w:rsidRPr="001E1F35">
        <w:t>resources</w:t>
      </w:r>
      <w:r w:rsidR="001E1F35">
        <w:t>)</w:t>
      </w:r>
      <w:r w:rsidR="009D3371">
        <w:t>(</w:t>
      </w:r>
      <w:proofErr w:type="gramEnd"/>
      <w:r w:rsidR="009D3371">
        <w:t>9)</w:t>
      </w:r>
      <w:r w:rsidR="001E1F35">
        <w:t xml:space="preserve"> thereby </w:t>
      </w:r>
      <w:r w:rsidR="001E1F35" w:rsidRPr="00AF4F1B">
        <w:t>increas</w:t>
      </w:r>
      <w:r w:rsidR="001E1F35">
        <w:t>ing</w:t>
      </w:r>
      <w:r w:rsidR="001E1F35" w:rsidRPr="00AF4F1B">
        <w:t xml:space="preserve"> </w:t>
      </w:r>
      <w:r w:rsidRPr="00AF4F1B">
        <w:t xml:space="preserve">the likelihood of premature exit from the labour market. Previous research has indicated that obesity may impact on an individual’s </w:t>
      </w:r>
      <w:r w:rsidR="006A5323">
        <w:t>work ability</w:t>
      </w:r>
      <w:r w:rsidRPr="00AF4F1B">
        <w:t xml:space="preserve"> (</w:t>
      </w:r>
      <w:r w:rsidR="006A5323">
        <w:t>10</w:t>
      </w:r>
      <w:r w:rsidRPr="00AF4F1B">
        <w:t>-1</w:t>
      </w:r>
      <w:r w:rsidR="006A5323">
        <w:t>8</w:t>
      </w:r>
      <w:r w:rsidRPr="00AF4F1B">
        <w:t>) which could, in turn, increase indirect societal costs (those resulting from reduced work productivity) (1</w:t>
      </w:r>
      <w:r w:rsidR="006A5323">
        <w:t>9</w:t>
      </w:r>
      <w:r w:rsidRPr="00AF4F1B">
        <w:t>,</w:t>
      </w:r>
      <w:r w:rsidR="006A5323">
        <w:t>20</w:t>
      </w:r>
      <w:r w:rsidRPr="00AF4F1B">
        <w:t>,</w:t>
      </w:r>
      <w:r w:rsidR="006A5323">
        <w:t>21</w:t>
      </w:r>
      <w:r w:rsidRPr="00AF4F1B">
        <w:t>).  According to at least one estimate, these may be greater than the direct health-care costs of obesity (2</w:t>
      </w:r>
      <w:r w:rsidR="006A5323">
        <w:t>2</w:t>
      </w:r>
      <w:r w:rsidRPr="00AF4F1B">
        <w:t>).</w:t>
      </w:r>
    </w:p>
    <w:p w14:paraId="6E50CC23" w14:textId="40659EBA" w:rsidR="00AF4F1B" w:rsidRPr="00AF4F1B" w:rsidRDefault="00AF4F1B" w:rsidP="005B174A">
      <w:pPr>
        <w:pStyle w:val="MDPI31text"/>
      </w:pPr>
      <w:r w:rsidRPr="00AF4F1B">
        <w:t>A recent British Government review concluded that evidence about the impact of obesity on employment is sparse, and that further research is urgently required (2</w:t>
      </w:r>
      <w:r w:rsidR="006A5323">
        <w:t>3</w:t>
      </w:r>
      <w:r w:rsidRPr="00AF4F1B">
        <w:t xml:space="preserve">). </w:t>
      </w:r>
      <w:r w:rsidR="00BF00F5">
        <w:t>We hypothesi</w:t>
      </w:r>
      <w:r w:rsidR="00AA2618">
        <w:t>s</w:t>
      </w:r>
      <w:r w:rsidR="00BF00F5">
        <w:t xml:space="preserve">ed that obesity might reduce work ability amongst older workers, thereby limiting their chances to work productively into their late 60s or beyond. We investigated this hypothesis by </w:t>
      </w:r>
      <w:proofErr w:type="spellStart"/>
      <w:r w:rsidR="006A5323">
        <w:t>analysing</w:t>
      </w:r>
      <w:proofErr w:type="spellEnd"/>
      <w:r w:rsidRPr="00AF4F1B">
        <w:t xml:space="preserve"> longitudinal data from a population-based cohort study of health and work in later life, the Health and Employment After Fifty (HEAF) study.  </w:t>
      </w:r>
    </w:p>
    <w:p w14:paraId="2CB44065" w14:textId="08EB1456" w:rsidR="0046726B" w:rsidRPr="00D80609" w:rsidRDefault="005B174A" w:rsidP="005B174A">
      <w:pPr>
        <w:pStyle w:val="MDPI21heading1"/>
      </w:pPr>
      <w:r>
        <w:rPr>
          <w:lang w:eastAsia="zh-CN"/>
        </w:rPr>
        <w:t xml:space="preserve">2. </w:t>
      </w:r>
      <w:r w:rsidR="0046726B" w:rsidRPr="00D80609">
        <w:t xml:space="preserve">Materials and Methods </w:t>
      </w:r>
    </w:p>
    <w:p w14:paraId="1A1728E7" w14:textId="158714D9" w:rsidR="00ED6995" w:rsidRPr="003825AF" w:rsidRDefault="00ED6995" w:rsidP="005B174A">
      <w:pPr>
        <w:pStyle w:val="MDPI31text"/>
      </w:pPr>
      <w:r w:rsidRPr="003825AF">
        <w:t>The design and methods of the HEAF study have been reported previously (2</w:t>
      </w:r>
      <w:r w:rsidR="00960690">
        <w:t>4</w:t>
      </w:r>
      <w:r w:rsidRPr="003825AF">
        <w:t xml:space="preserve">). </w:t>
      </w:r>
      <w:r w:rsidR="00D14FA0">
        <w:t>Written informed consent was obtained from all participants.</w:t>
      </w:r>
      <w:r w:rsidRPr="003825AF">
        <w:t xml:space="preserve"> Ethical approval was provided by the National Health Service (NHS) Research Ethics Committee North West-Liverpool East (REC ref: 12/NW/0500).</w:t>
      </w:r>
    </w:p>
    <w:p w14:paraId="6F2B1C4C" w14:textId="52CA79C2" w:rsidR="00ED6995" w:rsidRPr="005B174A" w:rsidRDefault="005B174A" w:rsidP="005B174A">
      <w:pPr>
        <w:pStyle w:val="MDPI22heading2"/>
      </w:pPr>
      <w:r w:rsidRPr="005B174A">
        <w:t xml:space="preserve">2.1. </w:t>
      </w:r>
      <w:r w:rsidR="00ED6995" w:rsidRPr="005B174A">
        <w:t>Population sampling</w:t>
      </w:r>
    </w:p>
    <w:p w14:paraId="63E99521" w14:textId="50DDB40F" w:rsidR="00ED6995" w:rsidRPr="003825AF" w:rsidRDefault="00ED6995" w:rsidP="00F0241D">
      <w:pPr>
        <w:pStyle w:val="MDPI31text"/>
      </w:pPr>
      <w:r w:rsidRPr="003825AF">
        <w:t xml:space="preserve">Briefly, over an 18-month period commencing in January 2013, a postal questionnaire was sent to 39,359 adults aged 50-64 years from 24 English general practices that contributed data to the Clinical Practice Research Datalink (CPRD). </w:t>
      </w:r>
      <w:r w:rsidR="00F0241D">
        <w:t xml:space="preserve">The CPRD is an electronic health records which collects de-identified coded patient data from a network of GP practices across the UK. The data encompass 45 million patients, including 13 million currently registered patients.  </w:t>
      </w:r>
      <w:r w:rsidRPr="003825AF">
        <w:t xml:space="preserve">The questionnaire included questions about: marital status; level of education; proximity to retirement; levels of physical activity; alcohol consumption; smoking; home ownership; and self-perceived difficulty managing financially. </w:t>
      </w:r>
    </w:p>
    <w:p w14:paraId="2920252B" w14:textId="77777777" w:rsidR="00ED6995" w:rsidRPr="003825AF" w:rsidRDefault="00ED6995" w:rsidP="005B174A">
      <w:pPr>
        <w:pStyle w:val="MDPI31text"/>
      </w:pPr>
      <w:r w:rsidRPr="003825AF">
        <w:t>Participants were asked about whether they were currently in paid employment and about their working conditions including: shift work; job satisfaction; coping with the mental and physical aspects of their job; and about the physical demands of their work (exposure in an average working day to: kneeling/squatting for &gt;1hr/day; climbing a ladder; digging/shovelling; lifting ≥10kg by hand; hard physical working sufficient to cause sweating; and standing or walking for &gt;3hrs).  The series of physical work demand questions were then summed (score 0-6).</w:t>
      </w:r>
    </w:p>
    <w:p w14:paraId="5D18E456" w14:textId="11EC36CC" w:rsidR="00ED6995" w:rsidRPr="005B174A" w:rsidRDefault="005B174A" w:rsidP="005B174A">
      <w:pPr>
        <w:pStyle w:val="MDPI22heading2"/>
      </w:pPr>
      <w:r w:rsidRPr="005B174A">
        <w:t xml:space="preserve">2.2. </w:t>
      </w:r>
      <w:r w:rsidR="00ED6995" w:rsidRPr="005B174A">
        <w:t>Body mass index</w:t>
      </w:r>
    </w:p>
    <w:p w14:paraId="1EFC9F52" w14:textId="42A993B9" w:rsidR="00ED6995" w:rsidRPr="003825AF" w:rsidRDefault="00ED6995" w:rsidP="005B174A">
      <w:pPr>
        <w:pStyle w:val="MDPI31text"/>
      </w:pPr>
      <w:r w:rsidRPr="003825AF">
        <w:t xml:space="preserve">Respondents were asked to self-report height (in cm or feet and inches) and weight (in kg or </w:t>
      </w:r>
      <w:r w:rsidR="00093DF9" w:rsidRPr="003825AF">
        <w:t>lbs.</w:t>
      </w:r>
      <w:r w:rsidRPr="003825AF">
        <w:t>). Body mass index (BMI) was calculated as self-reported weight (kg) divided by the square of self-reported height (in metres), and classified in accordance with the international classification system of the World Health Organisation (WHO) (23): underweight (&lt;18.5 kg/m</w:t>
      </w:r>
      <w:r w:rsidRPr="003825AF">
        <w:rPr>
          <w:vertAlign w:val="superscript"/>
        </w:rPr>
        <w:t>2</w:t>
      </w:r>
      <w:r w:rsidRPr="003825AF">
        <w:t>); normal weight (18.5-24.9 kg/m</w:t>
      </w:r>
      <w:r w:rsidRPr="003825AF">
        <w:rPr>
          <w:vertAlign w:val="superscript"/>
        </w:rPr>
        <w:t>2</w:t>
      </w:r>
      <w:r w:rsidRPr="003825AF">
        <w:t>); overweight (25.0-29.9 kg/m</w:t>
      </w:r>
      <w:r w:rsidRPr="003825AF">
        <w:rPr>
          <w:vertAlign w:val="superscript"/>
        </w:rPr>
        <w:t>2</w:t>
      </w:r>
      <w:r w:rsidRPr="003825AF">
        <w:t>); obese (30-39.9 kg/m</w:t>
      </w:r>
      <w:r w:rsidRPr="003825AF">
        <w:rPr>
          <w:vertAlign w:val="superscript"/>
        </w:rPr>
        <w:t>2</w:t>
      </w:r>
      <w:r w:rsidRPr="003825AF">
        <w:t>); and obese class III (herein referred to as ‘severe</w:t>
      </w:r>
      <w:r w:rsidR="00FC276C">
        <w:t>ly</w:t>
      </w:r>
      <w:r w:rsidRPr="003825AF">
        <w:t xml:space="preserve"> </w:t>
      </w:r>
      <w:r w:rsidR="00FC276C" w:rsidRPr="003825AF">
        <w:t>obes</w:t>
      </w:r>
      <w:r w:rsidR="00FC276C">
        <w:t>e</w:t>
      </w:r>
      <w:r w:rsidR="00FC276C" w:rsidRPr="003825AF">
        <w:t>’</w:t>
      </w:r>
      <w:r w:rsidRPr="003825AF">
        <w:t>) (≥40 kg/ m</w:t>
      </w:r>
      <w:r w:rsidRPr="003825AF">
        <w:rPr>
          <w:vertAlign w:val="superscript"/>
        </w:rPr>
        <w:t>2</w:t>
      </w:r>
      <w:r w:rsidRPr="003825AF">
        <w:t>).</w:t>
      </w:r>
    </w:p>
    <w:p w14:paraId="212C8E97" w14:textId="3F90945E" w:rsidR="00ED6995" w:rsidRPr="005B174A" w:rsidRDefault="005B174A" w:rsidP="005B174A">
      <w:pPr>
        <w:pStyle w:val="MDPI22heading2"/>
      </w:pPr>
      <w:r w:rsidRPr="005B174A">
        <w:t xml:space="preserve">2.3. </w:t>
      </w:r>
      <w:r w:rsidR="00ED6995" w:rsidRPr="005B174A">
        <w:t>Prolonged sickness absence and cutting down at work</w:t>
      </w:r>
    </w:p>
    <w:p w14:paraId="4566FF89" w14:textId="77777777" w:rsidR="00ED6995" w:rsidRPr="003825AF" w:rsidRDefault="00ED6995" w:rsidP="005B174A">
      <w:pPr>
        <w:pStyle w:val="MDPI31text"/>
      </w:pPr>
      <w:r w:rsidRPr="003825AF">
        <w:lastRenderedPageBreak/>
        <w:t xml:space="preserve">Follow-up questionnaires were sent by post at 12 and 24 months after baseline to all participants who provided contact details and consented to follow-up. Each of these questionnaires collected information about: any period of sickness absence lasting more than 20 days over the past 12 months (‘prolonged sickness absence’), and whether they had needed to cut down, avoid, or change what they normally did at work because of a health problem (‘not at all’, ‘a little’ or ‘a lot’; analysed as ‘a lot’ vs ‘not a lot’). </w:t>
      </w:r>
    </w:p>
    <w:p w14:paraId="34E559AC" w14:textId="781027F8" w:rsidR="00ED6995" w:rsidRPr="005B174A" w:rsidRDefault="005B174A" w:rsidP="005B174A">
      <w:pPr>
        <w:pStyle w:val="MDPI22heading2"/>
      </w:pPr>
      <w:r w:rsidRPr="005B174A">
        <w:t xml:space="preserve">2.4. </w:t>
      </w:r>
      <w:r w:rsidR="00ED6995" w:rsidRPr="005B174A">
        <w:t>Health-related job loss (HRJL)</w:t>
      </w:r>
    </w:p>
    <w:p w14:paraId="5DADE0A4" w14:textId="7E94E9DC" w:rsidR="00ED6995" w:rsidRPr="003825AF" w:rsidRDefault="00ED6995" w:rsidP="005B174A">
      <w:pPr>
        <w:pStyle w:val="MDPI31text"/>
      </w:pPr>
      <w:r w:rsidRPr="003825AF">
        <w:t>In both follow-up questionnaires, participants were asked if they had left a job within the preceding 12 months, the date that this occurred, and the reason for leaving</w:t>
      </w:r>
      <w:r w:rsidR="00D06EAA">
        <w:t>. Health-related job loss was defined as a job loss attributed by the participant as having occurred “mainly” or “partly” for health reasons</w:t>
      </w:r>
      <w:r w:rsidRPr="003825AF">
        <w:t xml:space="preserve">. </w:t>
      </w:r>
    </w:p>
    <w:p w14:paraId="158B4839" w14:textId="2D3BEDFB" w:rsidR="00ED6995" w:rsidRPr="005B174A" w:rsidRDefault="005B174A" w:rsidP="005B174A">
      <w:pPr>
        <w:pStyle w:val="MDPI22heading2"/>
      </w:pPr>
      <w:r w:rsidRPr="005B174A">
        <w:t xml:space="preserve">2.5. </w:t>
      </w:r>
      <w:r w:rsidR="00ED6995" w:rsidRPr="005B174A">
        <w:t>Linked health data</w:t>
      </w:r>
    </w:p>
    <w:p w14:paraId="1B5E6656" w14:textId="77777777" w:rsidR="00ED6995" w:rsidRPr="003825AF" w:rsidRDefault="00ED6995" w:rsidP="005B174A">
      <w:pPr>
        <w:pStyle w:val="MDPI31text"/>
      </w:pPr>
      <w:r w:rsidRPr="003825AF">
        <w:t>Data linkage with the CPRD permitted access to objectively-recorded baseline information about a range of medical diagnoses (cardiovascular diseases, hypertension, stroke, diabetes, musculoskeletal disorders, common mental health problems, and severe mental health conditions) and drug prescriptions. In the current analyses, diagnoses of hypertension and common mental health conditions required substantiation with an appropriate drug prescription in the preceding 12 months.</w:t>
      </w:r>
    </w:p>
    <w:p w14:paraId="09014E90" w14:textId="027AB5E1" w:rsidR="00ED6995" w:rsidRPr="005B174A" w:rsidRDefault="005B174A" w:rsidP="005B174A">
      <w:pPr>
        <w:pStyle w:val="MDPI22heading2"/>
      </w:pPr>
      <w:r w:rsidRPr="005B174A">
        <w:t xml:space="preserve">2.6. </w:t>
      </w:r>
      <w:r w:rsidR="00ED6995" w:rsidRPr="005B174A">
        <w:t>Statistical analysis</w:t>
      </w:r>
    </w:p>
    <w:p w14:paraId="122F92ED" w14:textId="77777777" w:rsidR="00ED6995" w:rsidRPr="003825AF" w:rsidRDefault="00ED6995" w:rsidP="005B174A">
      <w:pPr>
        <w:pStyle w:val="MDPI31text"/>
      </w:pPr>
      <w:r w:rsidRPr="003825AF">
        <w:t>The total response rate to the baseline HEAF questionnaire was 8134 (20.7%). Of these, 7,901 (97%) provided information on height and weight. After further exclusion of 88 participants with a BMI &lt;18.5 kg/m</w:t>
      </w:r>
      <w:r w:rsidRPr="003825AF">
        <w:rPr>
          <w:vertAlign w:val="superscript"/>
        </w:rPr>
        <w:t>2</w:t>
      </w:r>
      <w:r w:rsidRPr="003825AF">
        <w:t xml:space="preserve">, 537 without CPRD linkage, and 587 who only returned the baseline questionnaire, there were 6,689 eligible participants. Amongst these, 1715 never held a paid job at any of the baseline, first- or second-year follow-ups, and consequently the maximum analysis sample comprised 4974 participants. </w:t>
      </w:r>
    </w:p>
    <w:p w14:paraId="7A899853" w14:textId="1CAD98C2" w:rsidR="00ED6995" w:rsidRPr="003825AF" w:rsidRDefault="00ED6995" w:rsidP="005B174A">
      <w:pPr>
        <w:pStyle w:val="MDPI31text"/>
      </w:pPr>
      <w:r w:rsidRPr="003825AF">
        <w:t xml:space="preserve">Analysis on prolonged sickness absence and cutting down at work was restricted to 4178 and 4175 individuals respectively who provided information about these specific variables. Analysis on risk of </w:t>
      </w:r>
      <w:r w:rsidR="00FC276C">
        <w:t>health-related job loss (</w:t>
      </w:r>
      <w:r w:rsidRPr="003825AF">
        <w:t>HRJL</w:t>
      </w:r>
      <w:r w:rsidR="00FC276C">
        <w:t>)</w:t>
      </w:r>
      <w:r w:rsidRPr="003825AF">
        <w:t xml:space="preserve"> over 2 years was restricted to </w:t>
      </w:r>
      <w:r w:rsidR="00D06EAA">
        <w:t xml:space="preserve">the </w:t>
      </w:r>
      <w:r w:rsidRPr="003825AF">
        <w:t xml:space="preserve">4,724 participants (2,299 men) in work at some point between baseline and follow-ups and who provided sufficient information about dates of employment and work exits for inclusion in a multiple record survival dataset.  </w:t>
      </w:r>
    </w:p>
    <w:p w14:paraId="6ED66A2E" w14:textId="77777777" w:rsidR="00ED6995" w:rsidRPr="003825AF" w:rsidRDefault="00ED6995" w:rsidP="005B174A">
      <w:pPr>
        <w:pStyle w:val="MDPI31text"/>
      </w:pPr>
      <w:r w:rsidRPr="003825AF">
        <w:t>Summary statistics were used to describe baseline characteristics according to BMI categories.  Chi-squared tests were used to compare the differences between categories of BMI.</w:t>
      </w:r>
    </w:p>
    <w:p w14:paraId="4C25249E" w14:textId="77777777" w:rsidR="00ED6995" w:rsidRPr="003825AF" w:rsidRDefault="00ED6995" w:rsidP="005B174A">
      <w:pPr>
        <w:pStyle w:val="MDPI31text"/>
      </w:pPr>
      <w:r w:rsidRPr="003825AF">
        <w:t xml:space="preserve">We first explored the association between BMI and prolonged sickness absence or needing to cut down, avoid, or change what they did at work a lot because of a health problem during the 2 years of follow-up. We used logistic regression with results expressed as odds ratios (ORs) with 95% confidence intervals (95% CIs). Finally, we used time to first event Cox’s proportional hazards models to analyse risk factors for HRJL at any time over 2 years of follow-up. Results were summarised by hazard ratios (HRs) and 95% CIs. </w:t>
      </w:r>
    </w:p>
    <w:p w14:paraId="72E8F2ED" w14:textId="55B05458" w:rsidR="00ED6995" w:rsidRPr="003825AF" w:rsidRDefault="00ED6995" w:rsidP="005B174A">
      <w:pPr>
        <w:pStyle w:val="MDPI31text"/>
      </w:pPr>
      <w:r w:rsidRPr="003825AF">
        <w:t>For both methods, we used an iterative forward selection model building strategy to select covariates that should be adjusted for in multivariate models; this results in slightly different adjustment factors depending on outcome and sex. Analyses were conducted separately for men and women</w:t>
      </w:r>
      <w:r w:rsidR="00F0241D">
        <w:t xml:space="preserve"> because men and women undertake different types of occupations: e.g. men are more likely to be employed in construction /manufacture whilst women are more often employed in education, health and social c</w:t>
      </w:r>
      <w:r w:rsidR="00AE2F3C">
        <w:t>are or the retail sectors</w:t>
      </w:r>
      <w:r w:rsidR="00F0241D">
        <w:t xml:space="preserve">. </w:t>
      </w:r>
      <w:r w:rsidRPr="003825AF">
        <w:t>All statistical analyses were conducted using Stata (v 15.0) software (</w:t>
      </w:r>
      <w:proofErr w:type="spellStart"/>
      <w:r w:rsidRPr="003825AF">
        <w:t>StataCorp</w:t>
      </w:r>
      <w:proofErr w:type="spellEnd"/>
      <w:r w:rsidRPr="003825AF">
        <w:t xml:space="preserve"> LP, College Station, Texas, USA).</w:t>
      </w:r>
    </w:p>
    <w:p w14:paraId="6F22C5B0" w14:textId="397EC3CE" w:rsidR="0046726B" w:rsidRPr="00D80609" w:rsidRDefault="005B174A" w:rsidP="005B174A">
      <w:pPr>
        <w:pStyle w:val="MDPI21heading1"/>
      </w:pPr>
      <w:r>
        <w:t xml:space="preserve">3. </w:t>
      </w:r>
      <w:r w:rsidR="0046726B" w:rsidRPr="00D80609">
        <w:t>Results</w:t>
      </w:r>
    </w:p>
    <w:p w14:paraId="2406E35B" w14:textId="31DC8BF8" w:rsidR="00012A84" w:rsidRDefault="00012A84" w:rsidP="005B174A">
      <w:pPr>
        <w:pStyle w:val="MDPI31text"/>
      </w:pPr>
      <w:r w:rsidRPr="008A71D2">
        <w:t xml:space="preserve">At baseline, the prevalence of obesity and severe obesity among men was 22.6% and 1.2% respectively, and was 21.4% and 2.6% among women respectively. Men and women with obesity or </w:t>
      </w:r>
      <w:r w:rsidR="000B61C8">
        <w:t>severe</w:t>
      </w:r>
      <w:r w:rsidR="000B61C8" w:rsidRPr="008A71D2">
        <w:t xml:space="preserve"> </w:t>
      </w:r>
      <w:r w:rsidRPr="008A71D2">
        <w:t xml:space="preserve">obesity were: less likely to own their own homes; more likely to report that they were struggling financially; more likely to do no leisure-time physical activity; less likely to drink any weekly alcohol and more likely to report that they were struggling to cope with the physical demands of their work (Tables 1 and 2). </w:t>
      </w:r>
      <w:r w:rsidR="000B61C8">
        <w:t xml:space="preserve">Men with obesity or severe obesity were more likely to be </w:t>
      </w:r>
      <w:r w:rsidR="007165B1">
        <w:t>un</w:t>
      </w:r>
      <w:r w:rsidR="000B61C8">
        <w:t xml:space="preserve">married, while men with obesity were more likely to be ex or current smokers. Women with obesity or severe obesity </w:t>
      </w:r>
      <w:r w:rsidR="00AE2F3C">
        <w:t>were better educated</w:t>
      </w:r>
      <w:r w:rsidR="000B61C8">
        <w:t xml:space="preserve"> </w:t>
      </w:r>
      <w:r w:rsidR="00AE2F3C">
        <w:t>and</w:t>
      </w:r>
      <w:r w:rsidR="00B63802">
        <w:t xml:space="preserve"> were more likely to be earning at least half of the household income, compared with those with normal weight. </w:t>
      </w:r>
      <w:r w:rsidRPr="008A71D2">
        <w:t xml:space="preserve">Likewise, the prevalence of hypertension, diabetes, musculoskeletal disorders and common mental health conditions was increased amongst men and women with obesity and severe obesity. Additionally, women with obesity and severe obesity tended to be less satisfied with their job overall. </w:t>
      </w:r>
    </w:p>
    <w:p w14:paraId="34B2FDD0" w14:textId="77777777" w:rsidR="00822961" w:rsidRDefault="00822961" w:rsidP="00012A84">
      <w:pPr>
        <w:spacing w:line="240" w:lineRule="auto"/>
        <w:rPr>
          <w:rFonts w:ascii="Palatino Linotype" w:hAnsi="Palatino Linotype" w:cs="Arial"/>
          <w:sz w:val="20"/>
        </w:rPr>
      </w:pPr>
    </w:p>
    <w:p w14:paraId="039C282A" w14:textId="1F0DE85E" w:rsidR="00822961" w:rsidRPr="008A71D2" w:rsidRDefault="005B174A" w:rsidP="005B174A">
      <w:pPr>
        <w:pStyle w:val="MDPI41tablecaption"/>
        <w:jc w:val="center"/>
      </w:pPr>
      <w:r w:rsidRPr="005B174A">
        <w:rPr>
          <w:b/>
        </w:rPr>
        <w:t>Table 1.</w:t>
      </w:r>
      <w:r w:rsidR="00822961" w:rsidRPr="005B174A">
        <w:rPr>
          <w:b/>
        </w:rPr>
        <w:t xml:space="preserve"> </w:t>
      </w:r>
      <w:r w:rsidR="00822961" w:rsidRPr="00AD053D">
        <w:t>Baseline characteristics of men, by categories of Body Mass Index (BMI)</w:t>
      </w:r>
      <w:r>
        <w:t>.</w:t>
      </w:r>
    </w:p>
    <w:tbl>
      <w:tblPr>
        <w:tblW w:w="10359" w:type="dxa"/>
        <w:jc w:val="center"/>
        <w:tblBorders>
          <w:top w:val="single" w:sz="8" w:space="0" w:color="auto"/>
          <w:bottom w:val="single" w:sz="8" w:space="0" w:color="auto"/>
        </w:tblBorders>
        <w:tblLook w:val="04A0" w:firstRow="1" w:lastRow="0" w:firstColumn="1" w:lastColumn="0" w:noHBand="0" w:noVBand="1"/>
      </w:tblPr>
      <w:tblGrid>
        <w:gridCol w:w="4702"/>
        <w:gridCol w:w="1187"/>
        <w:gridCol w:w="1438"/>
        <w:gridCol w:w="1114"/>
        <w:gridCol w:w="1109"/>
        <w:gridCol w:w="809"/>
      </w:tblGrid>
      <w:tr w:rsidR="00822961" w:rsidRPr="003663D4" w14:paraId="4A93077F" w14:textId="77777777" w:rsidTr="00822961">
        <w:trPr>
          <w:jc w:val="center"/>
        </w:trPr>
        <w:tc>
          <w:tcPr>
            <w:tcW w:w="4702" w:type="dxa"/>
            <w:tcBorders>
              <w:bottom w:val="single" w:sz="4" w:space="0" w:color="auto"/>
            </w:tcBorders>
            <w:shd w:val="clear" w:color="auto" w:fill="auto"/>
            <w:vAlign w:val="center"/>
          </w:tcPr>
          <w:p w14:paraId="06D449C5" w14:textId="77777777" w:rsidR="00822961" w:rsidRPr="00B75A18" w:rsidRDefault="00822961" w:rsidP="00E068A0">
            <w:pPr>
              <w:pStyle w:val="MDPI42tablebody"/>
              <w:spacing w:line="240" w:lineRule="auto"/>
              <w:rPr>
                <w:b/>
              </w:rPr>
            </w:pPr>
          </w:p>
        </w:tc>
        <w:tc>
          <w:tcPr>
            <w:tcW w:w="5657" w:type="dxa"/>
            <w:gridSpan w:val="5"/>
            <w:tcBorders>
              <w:top w:val="single" w:sz="8" w:space="0" w:color="auto"/>
              <w:bottom w:val="single" w:sz="4" w:space="0" w:color="auto"/>
            </w:tcBorders>
            <w:shd w:val="clear" w:color="auto" w:fill="auto"/>
            <w:vAlign w:val="center"/>
          </w:tcPr>
          <w:p w14:paraId="191EB85A" w14:textId="77777777" w:rsidR="00822961" w:rsidRPr="00B75A18" w:rsidRDefault="00822961" w:rsidP="00E068A0">
            <w:pPr>
              <w:pStyle w:val="MDPI42tablebody"/>
              <w:spacing w:line="240" w:lineRule="auto"/>
              <w:rPr>
                <w:b/>
              </w:rPr>
            </w:pPr>
            <w:r w:rsidRPr="00B75A18">
              <w:rPr>
                <w:rFonts w:cs="Arial"/>
                <w:b/>
                <w:lang w:eastAsia="en-GB"/>
              </w:rPr>
              <w:t>BMI (kg/m</w:t>
            </w:r>
            <w:r w:rsidRPr="00B75A18">
              <w:rPr>
                <w:rFonts w:cs="Arial"/>
                <w:b/>
                <w:vertAlign w:val="superscript"/>
                <w:lang w:eastAsia="en-GB"/>
              </w:rPr>
              <w:t>2</w:t>
            </w:r>
            <w:r w:rsidRPr="00B75A18">
              <w:rPr>
                <w:rFonts w:cs="Arial"/>
                <w:b/>
                <w:lang w:eastAsia="en-GB"/>
              </w:rPr>
              <w:t>)</w:t>
            </w:r>
          </w:p>
        </w:tc>
      </w:tr>
      <w:tr w:rsidR="00822961" w:rsidRPr="00D80609" w14:paraId="55F858B5" w14:textId="77777777" w:rsidTr="00822961">
        <w:trPr>
          <w:trHeight w:val="410"/>
          <w:jc w:val="center"/>
        </w:trPr>
        <w:tc>
          <w:tcPr>
            <w:tcW w:w="4702" w:type="dxa"/>
            <w:shd w:val="clear" w:color="auto" w:fill="auto"/>
            <w:vAlign w:val="center"/>
          </w:tcPr>
          <w:p w14:paraId="059372D3" w14:textId="77777777" w:rsidR="00822961" w:rsidRPr="0046726B" w:rsidRDefault="00822961" w:rsidP="00E068A0">
            <w:pPr>
              <w:pStyle w:val="MDPI42tablebody"/>
              <w:spacing w:line="240" w:lineRule="auto"/>
            </w:pPr>
          </w:p>
        </w:tc>
        <w:tc>
          <w:tcPr>
            <w:tcW w:w="1187" w:type="dxa"/>
            <w:tcBorders>
              <w:top w:val="single" w:sz="4" w:space="0" w:color="auto"/>
              <w:bottom w:val="single" w:sz="4" w:space="0" w:color="auto"/>
            </w:tcBorders>
            <w:shd w:val="clear" w:color="auto" w:fill="auto"/>
            <w:vAlign w:val="bottom"/>
          </w:tcPr>
          <w:p w14:paraId="04A8BA69" w14:textId="77777777" w:rsidR="00822961" w:rsidRPr="0017403E" w:rsidRDefault="00822961" w:rsidP="00E068A0">
            <w:pPr>
              <w:spacing w:line="240" w:lineRule="auto"/>
              <w:jc w:val="center"/>
              <w:rPr>
                <w:rFonts w:ascii="Palatino Linotype" w:hAnsi="Palatino Linotype" w:cs="Arial"/>
                <w:b/>
                <w:sz w:val="20"/>
                <w:lang w:eastAsia="en-GB"/>
              </w:rPr>
            </w:pPr>
            <w:r w:rsidRPr="0017403E">
              <w:rPr>
                <w:rFonts w:ascii="Palatino Linotype" w:hAnsi="Palatino Linotype" w:cs="Arial"/>
                <w:b/>
                <w:sz w:val="20"/>
                <w:lang w:eastAsia="en-GB"/>
              </w:rPr>
              <w:t>18.5 - 24.9 (Normal)</w:t>
            </w:r>
          </w:p>
        </w:tc>
        <w:tc>
          <w:tcPr>
            <w:tcW w:w="1438" w:type="dxa"/>
            <w:tcBorders>
              <w:top w:val="single" w:sz="4" w:space="0" w:color="auto"/>
              <w:bottom w:val="single" w:sz="4" w:space="0" w:color="auto"/>
            </w:tcBorders>
            <w:shd w:val="clear" w:color="auto" w:fill="auto"/>
            <w:vAlign w:val="bottom"/>
          </w:tcPr>
          <w:p w14:paraId="5803F2A2" w14:textId="77777777" w:rsidR="00822961" w:rsidRPr="0017403E" w:rsidRDefault="00822961" w:rsidP="00E068A0">
            <w:pPr>
              <w:spacing w:line="240" w:lineRule="auto"/>
              <w:jc w:val="center"/>
              <w:rPr>
                <w:rFonts w:ascii="Palatino Linotype" w:hAnsi="Palatino Linotype" w:cs="Arial"/>
                <w:b/>
                <w:sz w:val="20"/>
                <w:lang w:eastAsia="en-GB"/>
              </w:rPr>
            </w:pPr>
            <w:r w:rsidRPr="0017403E">
              <w:rPr>
                <w:rFonts w:ascii="Palatino Linotype" w:hAnsi="Palatino Linotype" w:cs="Arial"/>
                <w:b/>
                <w:sz w:val="20"/>
                <w:lang w:eastAsia="en-GB"/>
              </w:rPr>
              <w:t>25 - 29.9 (Overweight)</w:t>
            </w:r>
          </w:p>
        </w:tc>
        <w:tc>
          <w:tcPr>
            <w:tcW w:w="1114" w:type="dxa"/>
            <w:tcBorders>
              <w:top w:val="single" w:sz="4" w:space="0" w:color="auto"/>
              <w:bottom w:val="single" w:sz="4" w:space="0" w:color="auto"/>
            </w:tcBorders>
            <w:vAlign w:val="bottom"/>
          </w:tcPr>
          <w:p w14:paraId="2A801C4D" w14:textId="77777777" w:rsidR="00822961" w:rsidRPr="0017403E" w:rsidRDefault="00822961" w:rsidP="00E068A0">
            <w:pPr>
              <w:spacing w:line="240" w:lineRule="auto"/>
              <w:jc w:val="center"/>
              <w:rPr>
                <w:rFonts w:ascii="Palatino Linotype" w:hAnsi="Palatino Linotype" w:cs="Arial"/>
                <w:b/>
                <w:sz w:val="20"/>
                <w:lang w:eastAsia="en-GB"/>
              </w:rPr>
            </w:pPr>
            <w:r w:rsidRPr="0017403E">
              <w:rPr>
                <w:rFonts w:ascii="Palatino Linotype" w:hAnsi="Palatino Linotype" w:cs="Arial"/>
                <w:b/>
                <w:sz w:val="20"/>
                <w:lang w:eastAsia="en-GB"/>
              </w:rPr>
              <w:t>30 - 39.9 (Obese)</w:t>
            </w:r>
          </w:p>
        </w:tc>
        <w:tc>
          <w:tcPr>
            <w:tcW w:w="1109" w:type="dxa"/>
            <w:tcBorders>
              <w:top w:val="single" w:sz="4" w:space="0" w:color="auto"/>
              <w:bottom w:val="single" w:sz="4" w:space="0" w:color="auto"/>
            </w:tcBorders>
            <w:vAlign w:val="bottom"/>
          </w:tcPr>
          <w:p w14:paraId="0FCA7B96" w14:textId="74F2640F" w:rsidR="00822961" w:rsidRPr="0017403E" w:rsidRDefault="00822961" w:rsidP="00FC276C">
            <w:pPr>
              <w:spacing w:line="240" w:lineRule="auto"/>
              <w:jc w:val="center"/>
              <w:rPr>
                <w:rFonts w:ascii="Palatino Linotype" w:hAnsi="Palatino Linotype" w:cs="Arial"/>
                <w:b/>
                <w:sz w:val="20"/>
                <w:lang w:eastAsia="en-GB"/>
              </w:rPr>
            </w:pPr>
            <w:r w:rsidRPr="0017403E">
              <w:rPr>
                <w:rFonts w:ascii="Palatino Linotype" w:hAnsi="Palatino Linotype" w:cs="Arial"/>
                <w:b/>
                <w:sz w:val="20"/>
                <w:lang w:eastAsia="en-GB"/>
              </w:rPr>
              <w:t>≥40 (</w:t>
            </w:r>
            <w:r w:rsidR="00FC276C">
              <w:rPr>
                <w:rFonts w:ascii="Palatino Linotype" w:hAnsi="Palatino Linotype" w:cs="Arial"/>
                <w:b/>
                <w:sz w:val="20"/>
                <w:lang w:eastAsia="en-GB"/>
              </w:rPr>
              <w:t xml:space="preserve">Severely </w:t>
            </w:r>
            <w:r w:rsidRPr="0017403E">
              <w:rPr>
                <w:rFonts w:ascii="Palatino Linotype" w:hAnsi="Palatino Linotype" w:cs="Arial"/>
                <w:b/>
                <w:sz w:val="20"/>
                <w:lang w:eastAsia="en-GB"/>
              </w:rPr>
              <w:t>Obese)</w:t>
            </w:r>
          </w:p>
        </w:tc>
        <w:tc>
          <w:tcPr>
            <w:tcW w:w="809" w:type="dxa"/>
            <w:tcBorders>
              <w:top w:val="single" w:sz="4" w:space="0" w:color="auto"/>
              <w:bottom w:val="single" w:sz="4" w:space="0" w:color="auto"/>
            </w:tcBorders>
            <w:vAlign w:val="bottom"/>
          </w:tcPr>
          <w:p w14:paraId="65F3D326" w14:textId="2341D67F" w:rsidR="00822961" w:rsidRPr="0017403E" w:rsidRDefault="00822961" w:rsidP="00E068A0">
            <w:pPr>
              <w:spacing w:line="240" w:lineRule="auto"/>
              <w:jc w:val="center"/>
              <w:rPr>
                <w:rFonts w:ascii="Palatino Linotype" w:hAnsi="Palatino Linotype" w:cs="Arial"/>
                <w:b/>
                <w:sz w:val="20"/>
                <w:lang w:eastAsia="en-GB"/>
              </w:rPr>
            </w:pPr>
            <w:r w:rsidRPr="0017403E">
              <w:rPr>
                <w:rFonts w:ascii="Palatino Linotype" w:hAnsi="Palatino Linotype" w:cs="Arial"/>
                <w:b/>
                <w:sz w:val="20"/>
                <w:lang w:eastAsia="en-GB"/>
              </w:rPr>
              <w:t>p</w:t>
            </w:r>
            <w:r w:rsidR="00D828F0" w:rsidRPr="00F514E6">
              <w:rPr>
                <w:rFonts w:ascii="Palatino Linotype" w:hAnsi="Palatino Linotype" w:cs="Arial"/>
                <w:b/>
                <w:sz w:val="20"/>
                <w:vertAlign w:val="superscript"/>
                <w:lang w:eastAsia="en-GB"/>
              </w:rPr>
              <w:t>2</w:t>
            </w:r>
          </w:p>
        </w:tc>
      </w:tr>
      <w:tr w:rsidR="00822961" w:rsidRPr="00D80609" w14:paraId="1FD1AEA4" w14:textId="77777777" w:rsidTr="00822961">
        <w:trPr>
          <w:jc w:val="center"/>
        </w:trPr>
        <w:tc>
          <w:tcPr>
            <w:tcW w:w="4702" w:type="dxa"/>
            <w:shd w:val="clear" w:color="auto" w:fill="auto"/>
            <w:vAlign w:val="center"/>
          </w:tcPr>
          <w:p w14:paraId="336FF3EB" w14:textId="77777777" w:rsidR="00822961" w:rsidRPr="0046726B" w:rsidRDefault="00822961" w:rsidP="00E068A0">
            <w:pPr>
              <w:pStyle w:val="MDPI42tablebody"/>
              <w:spacing w:line="240" w:lineRule="auto"/>
            </w:pPr>
          </w:p>
        </w:tc>
        <w:tc>
          <w:tcPr>
            <w:tcW w:w="1187" w:type="dxa"/>
            <w:tcBorders>
              <w:top w:val="single" w:sz="4" w:space="0" w:color="auto"/>
              <w:bottom w:val="single" w:sz="4" w:space="0" w:color="auto"/>
            </w:tcBorders>
            <w:shd w:val="clear" w:color="auto" w:fill="auto"/>
            <w:vAlign w:val="bottom"/>
          </w:tcPr>
          <w:p w14:paraId="68ED41E1" w14:textId="77777777" w:rsidR="00822961" w:rsidRPr="00AD053D" w:rsidRDefault="00822961" w:rsidP="00E068A0">
            <w:pPr>
              <w:spacing w:line="240" w:lineRule="auto"/>
              <w:jc w:val="center"/>
              <w:rPr>
                <w:rFonts w:ascii="Palatino Linotype" w:hAnsi="Palatino Linotype" w:cs="Arial"/>
                <w:sz w:val="20"/>
                <w:lang w:eastAsia="en-GB"/>
              </w:rPr>
            </w:pPr>
            <w:r w:rsidRPr="00AD053D">
              <w:rPr>
                <w:rFonts w:ascii="Palatino Linotype" w:hAnsi="Palatino Linotype" w:cs="Arial"/>
                <w:sz w:val="20"/>
                <w:lang w:eastAsia="en-GB"/>
              </w:rPr>
              <w:t>N=626 (27.2%)</w:t>
            </w:r>
          </w:p>
        </w:tc>
        <w:tc>
          <w:tcPr>
            <w:tcW w:w="1438" w:type="dxa"/>
            <w:tcBorders>
              <w:top w:val="single" w:sz="4" w:space="0" w:color="auto"/>
              <w:bottom w:val="single" w:sz="4" w:space="0" w:color="auto"/>
            </w:tcBorders>
            <w:shd w:val="clear" w:color="auto" w:fill="auto"/>
            <w:vAlign w:val="bottom"/>
          </w:tcPr>
          <w:p w14:paraId="710547D3" w14:textId="77777777" w:rsidR="00822961" w:rsidRPr="00AD053D" w:rsidRDefault="00822961" w:rsidP="00E068A0">
            <w:pPr>
              <w:spacing w:line="240" w:lineRule="auto"/>
              <w:jc w:val="center"/>
              <w:rPr>
                <w:rFonts w:ascii="Palatino Linotype" w:hAnsi="Palatino Linotype" w:cs="Arial"/>
                <w:sz w:val="20"/>
                <w:lang w:eastAsia="en-GB"/>
              </w:rPr>
            </w:pPr>
            <w:r w:rsidRPr="00AD053D">
              <w:rPr>
                <w:rFonts w:ascii="Palatino Linotype" w:hAnsi="Palatino Linotype" w:cs="Arial"/>
                <w:sz w:val="20"/>
                <w:lang w:eastAsia="en-GB"/>
              </w:rPr>
              <w:t>N=1126 (49.0%)</w:t>
            </w:r>
          </w:p>
        </w:tc>
        <w:tc>
          <w:tcPr>
            <w:tcW w:w="1114" w:type="dxa"/>
            <w:tcBorders>
              <w:top w:val="single" w:sz="4" w:space="0" w:color="auto"/>
              <w:bottom w:val="single" w:sz="4" w:space="0" w:color="auto"/>
            </w:tcBorders>
            <w:vAlign w:val="bottom"/>
          </w:tcPr>
          <w:p w14:paraId="72A169DA" w14:textId="77777777" w:rsidR="00822961" w:rsidRPr="00AD053D" w:rsidRDefault="00822961" w:rsidP="00E068A0">
            <w:pPr>
              <w:spacing w:line="240" w:lineRule="auto"/>
              <w:jc w:val="center"/>
              <w:rPr>
                <w:rFonts w:ascii="Palatino Linotype" w:hAnsi="Palatino Linotype" w:cs="Arial"/>
                <w:sz w:val="20"/>
                <w:lang w:eastAsia="en-GB"/>
              </w:rPr>
            </w:pPr>
            <w:r w:rsidRPr="00AD053D">
              <w:rPr>
                <w:rFonts w:ascii="Palatino Linotype" w:hAnsi="Palatino Linotype" w:cs="Arial"/>
                <w:sz w:val="20"/>
                <w:lang w:eastAsia="en-GB"/>
              </w:rPr>
              <w:t>N=519 (22.6%)</w:t>
            </w:r>
          </w:p>
        </w:tc>
        <w:tc>
          <w:tcPr>
            <w:tcW w:w="1109" w:type="dxa"/>
            <w:tcBorders>
              <w:top w:val="single" w:sz="4" w:space="0" w:color="auto"/>
              <w:bottom w:val="single" w:sz="4" w:space="0" w:color="auto"/>
            </w:tcBorders>
            <w:vAlign w:val="bottom"/>
          </w:tcPr>
          <w:p w14:paraId="3566C84E" w14:textId="77777777" w:rsidR="00822961" w:rsidRPr="00AD053D" w:rsidRDefault="00822961" w:rsidP="00E068A0">
            <w:pPr>
              <w:spacing w:line="240" w:lineRule="auto"/>
              <w:jc w:val="center"/>
              <w:rPr>
                <w:rFonts w:ascii="Palatino Linotype" w:hAnsi="Palatino Linotype" w:cs="Arial"/>
                <w:sz w:val="20"/>
                <w:lang w:eastAsia="en-GB"/>
              </w:rPr>
            </w:pPr>
            <w:r w:rsidRPr="00AD053D">
              <w:rPr>
                <w:rFonts w:ascii="Palatino Linotype" w:hAnsi="Palatino Linotype" w:cs="Arial"/>
                <w:sz w:val="20"/>
                <w:lang w:eastAsia="en-GB"/>
              </w:rPr>
              <w:t>N=28 (1.2%)</w:t>
            </w:r>
          </w:p>
        </w:tc>
        <w:tc>
          <w:tcPr>
            <w:tcW w:w="809" w:type="dxa"/>
            <w:tcBorders>
              <w:top w:val="single" w:sz="4" w:space="0" w:color="auto"/>
              <w:bottom w:val="single" w:sz="4" w:space="0" w:color="auto"/>
            </w:tcBorders>
          </w:tcPr>
          <w:p w14:paraId="431F38C5" w14:textId="77777777" w:rsidR="00822961" w:rsidRPr="0046726B" w:rsidRDefault="00822961" w:rsidP="00E068A0">
            <w:pPr>
              <w:pStyle w:val="MDPI42tablebody"/>
              <w:spacing w:line="240" w:lineRule="auto"/>
            </w:pPr>
          </w:p>
        </w:tc>
      </w:tr>
      <w:tr w:rsidR="00822961" w:rsidRPr="00D80609" w14:paraId="3B9348EF" w14:textId="77777777" w:rsidTr="00822961">
        <w:trPr>
          <w:jc w:val="center"/>
        </w:trPr>
        <w:tc>
          <w:tcPr>
            <w:tcW w:w="4702" w:type="dxa"/>
            <w:shd w:val="clear" w:color="auto" w:fill="auto"/>
            <w:vAlign w:val="bottom"/>
          </w:tcPr>
          <w:p w14:paraId="4A259195" w14:textId="77777777" w:rsidR="00822961" w:rsidRPr="00340008" w:rsidRDefault="00822961" w:rsidP="00E068A0">
            <w:pPr>
              <w:spacing w:line="240" w:lineRule="auto"/>
              <w:rPr>
                <w:rFonts w:ascii="Palatino Linotype" w:hAnsi="Palatino Linotype" w:cs="Arial"/>
                <w:i/>
                <w:sz w:val="20"/>
                <w:lang w:eastAsia="en-GB"/>
              </w:rPr>
            </w:pPr>
            <w:r w:rsidRPr="00340008">
              <w:rPr>
                <w:rFonts w:ascii="Palatino Linotype" w:hAnsi="Palatino Linotype" w:cs="Arial"/>
                <w:i/>
                <w:sz w:val="20"/>
                <w:lang w:eastAsia="en-GB"/>
              </w:rPr>
              <w:t>Socio-demographic variables</w:t>
            </w:r>
          </w:p>
        </w:tc>
        <w:tc>
          <w:tcPr>
            <w:tcW w:w="1187" w:type="dxa"/>
            <w:tcBorders>
              <w:top w:val="single" w:sz="4" w:space="0" w:color="auto"/>
            </w:tcBorders>
            <w:shd w:val="clear" w:color="auto" w:fill="auto"/>
            <w:vAlign w:val="center"/>
          </w:tcPr>
          <w:p w14:paraId="1E4EF053" w14:textId="77777777" w:rsidR="00822961" w:rsidRPr="00340008" w:rsidRDefault="00822961" w:rsidP="00E068A0">
            <w:pPr>
              <w:pStyle w:val="MDPI42tablebody"/>
              <w:spacing w:line="240" w:lineRule="auto"/>
              <w:rPr>
                <w:rFonts w:cs="Arial"/>
                <w:snapToGrid/>
                <w:lang w:eastAsia="en-GB" w:bidi="ar-SA"/>
              </w:rPr>
            </w:pPr>
          </w:p>
        </w:tc>
        <w:tc>
          <w:tcPr>
            <w:tcW w:w="1438" w:type="dxa"/>
            <w:tcBorders>
              <w:top w:val="single" w:sz="4" w:space="0" w:color="auto"/>
            </w:tcBorders>
            <w:shd w:val="clear" w:color="auto" w:fill="auto"/>
            <w:vAlign w:val="center"/>
          </w:tcPr>
          <w:p w14:paraId="556668E8" w14:textId="77777777" w:rsidR="00822961" w:rsidRPr="00340008" w:rsidRDefault="00822961" w:rsidP="00E068A0">
            <w:pPr>
              <w:pStyle w:val="MDPI42tablebody"/>
              <w:spacing w:line="240" w:lineRule="auto"/>
              <w:rPr>
                <w:rFonts w:cs="Arial"/>
                <w:snapToGrid/>
                <w:lang w:eastAsia="en-GB" w:bidi="ar-SA"/>
              </w:rPr>
            </w:pPr>
          </w:p>
        </w:tc>
        <w:tc>
          <w:tcPr>
            <w:tcW w:w="1114" w:type="dxa"/>
            <w:tcBorders>
              <w:top w:val="single" w:sz="4" w:space="0" w:color="auto"/>
            </w:tcBorders>
          </w:tcPr>
          <w:p w14:paraId="54D3746E" w14:textId="77777777" w:rsidR="00822961" w:rsidRPr="00340008" w:rsidRDefault="00822961" w:rsidP="00E068A0">
            <w:pPr>
              <w:pStyle w:val="MDPI42tablebody"/>
              <w:spacing w:line="240" w:lineRule="auto"/>
              <w:rPr>
                <w:rFonts w:cs="Arial"/>
                <w:snapToGrid/>
                <w:lang w:eastAsia="en-GB" w:bidi="ar-SA"/>
              </w:rPr>
            </w:pPr>
          </w:p>
        </w:tc>
        <w:tc>
          <w:tcPr>
            <w:tcW w:w="1109" w:type="dxa"/>
            <w:tcBorders>
              <w:top w:val="single" w:sz="4" w:space="0" w:color="auto"/>
            </w:tcBorders>
          </w:tcPr>
          <w:p w14:paraId="4F268C3B" w14:textId="77777777" w:rsidR="00822961" w:rsidRPr="00340008" w:rsidRDefault="00822961" w:rsidP="00E068A0">
            <w:pPr>
              <w:pStyle w:val="MDPI42tablebody"/>
              <w:spacing w:line="240" w:lineRule="auto"/>
              <w:rPr>
                <w:rFonts w:cs="Arial"/>
                <w:snapToGrid/>
                <w:lang w:eastAsia="en-GB" w:bidi="ar-SA"/>
              </w:rPr>
            </w:pPr>
          </w:p>
        </w:tc>
        <w:tc>
          <w:tcPr>
            <w:tcW w:w="809" w:type="dxa"/>
            <w:tcBorders>
              <w:top w:val="single" w:sz="4" w:space="0" w:color="auto"/>
            </w:tcBorders>
          </w:tcPr>
          <w:p w14:paraId="14DE9F55" w14:textId="77777777" w:rsidR="00822961" w:rsidRPr="00340008" w:rsidRDefault="00822961" w:rsidP="00E068A0">
            <w:pPr>
              <w:pStyle w:val="MDPI42tablebody"/>
              <w:spacing w:line="240" w:lineRule="auto"/>
              <w:rPr>
                <w:rFonts w:cs="Arial"/>
                <w:snapToGrid/>
                <w:lang w:eastAsia="en-GB" w:bidi="ar-SA"/>
              </w:rPr>
            </w:pPr>
          </w:p>
        </w:tc>
      </w:tr>
      <w:tr w:rsidR="00822961" w:rsidRPr="00D80609" w14:paraId="5BFF02B9" w14:textId="77777777" w:rsidTr="00822961">
        <w:trPr>
          <w:jc w:val="center"/>
        </w:trPr>
        <w:tc>
          <w:tcPr>
            <w:tcW w:w="4702" w:type="dxa"/>
            <w:shd w:val="clear" w:color="auto" w:fill="auto"/>
            <w:vAlign w:val="bottom"/>
          </w:tcPr>
          <w:p w14:paraId="1C61D67D" w14:textId="77777777" w:rsidR="00822961" w:rsidRPr="00340008" w:rsidRDefault="00822961" w:rsidP="00E068A0">
            <w:pPr>
              <w:spacing w:line="240" w:lineRule="auto"/>
              <w:rPr>
                <w:rFonts w:ascii="Palatino Linotype" w:hAnsi="Palatino Linotype" w:cs="Arial"/>
                <w:sz w:val="20"/>
                <w:lang w:eastAsia="en-GB"/>
              </w:rPr>
            </w:pPr>
            <w:r w:rsidRPr="00340008">
              <w:rPr>
                <w:rFonts w:ascii="Palatino Linotype" w:hAnsi="Palatino Linotype" w:cs="Arial"/>
                <w:sz w:val="20"/>
                <w:lang w:eastAsia="en-GB"/>
              </w:rPr>
              <w:t>Age (years), mean(SD)</w:t>
            </w:r>
          </w:p>
        </w:tc>
        <w:tc>
          <w:tcPr>
            <w:tcW w:w="1187" w:type="dxa"/>
            <w:shd w:val="clear" w:color="auto" w:fill="auto"/>
            <w:vAlign w:val="bottom"/>
          </w:tcPr>
          <w:p w14:paraId="706E2ED5"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57.6 (4.2)</w:t>
            </w:r>
          </w:p>
        </w:tc>
        <w:tc>
          <w:tcPr>
            <w:tcW w:w="1438" w:type="dxa"/>
            <w:shd w:val="clear" w:color="auto" w:fill="auto"/>
            <w:vAlign w:val="bottom"/>
          </w:tcPr>
          <w:p w14:paraId="4E078EC6"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57.8 (4.2)</w:t>
            </w:r>
          </w:p>
        </w:tc>
        <w:tc>
          <w:tcPr>
            <w:tcW w:w="1114" w:type="dxa"/>
            <w:vAlign w:val="bottom"/>
          </w:tcPr>
          <w:p w14:paraId="12FD2344"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58.0 (4.2)</w:t>
            </w:r>
          </w:p>
        </w:tc>
        <w:tc>
          <w:tcPr>
            <w:tcW w:w="1109" w:type="dxa"/>
            <w:vAlign w:val="bottom"/>
          </w:tcPr>
          <w:p w14:paraId="143E994F"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57.7 (4.3)</w:t>
            </w:r>
          </w:p>
        </w:tc>
        <w:tc>
          <w:tcPr>
            <w:tcW w:w="809" w:type="dxa"/>
            <w:vAlign w:val="bottom"/>
          </w:tcPr>
          <w:p w14:paraId="408C289E"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0.58</w:t>
            </w:r>
          </w:p>
        </w:tc>
      </w:tr>
      <w:tr w:rsidR="00822961" w:rsidRPr="00D80609" w14:paraId="0B22C288" w14:textId="77777777" w:rsidTr="00822961">
        <w:trPr>
          <w:jc w:val="center"/>
        </w:trPr>
        <w:tc>
          <w:tcPr>
            <w:tcW w:w="4702" w:type="dxa"/>
            <w:tcBorders>
              <w:bottom w:val="nil"/>
            </w:tcBorders>
            <w:shd w:val="clear" w:color="auto" w:fill="auto"/>
            <w:vAlign w:val="bottom"/>
          </w:tcPr>
          <w:p w14:paraId="61185E6D" w14:textId="77777777" w:rsidR="00822961" w:rsidRPr="00340008" w:rsidRDefault="00822961" w:rsidP="00E068A0">
            <w:pPr>
              <w:spacing w:line="240" w:lineRule="auto"/>
              <w:rPr>
                <w:rFonts w:ascii="Palatino Linotype" w:hAnsi="Palatino Linotype" w:cs="Arial"/>
                <w:sz w:val="20"/>
                <w:lang w:eastAsia="en-GB"/>
              </w:rPr>
            </w:pPr>
            <w:r w:rsidRPr="00340008">
              <w:rPr>
                <w:rFonts w:ascii="Palatino Linotype" w:hAnsi="Palatino Linotype" w:cs="Arial"/>
                <w:sz w:val="20"/>
                <w:lang w:eastAsia="en-GB"/>
              </w:rPr>
              <w:t>Marital status – Not married</w:t>
            </w:r>
          </w:p>
        </w:tc>
        <w:tc>
          <w:tcPr>
            <w:tcW w:w="1187" w:type="dxa"/>
            <w:tcBorders>
              <w:bottom w:val="nil"/>
            </w:tcBorders>
            <w:shd w:val="clear" w:color="auto" w:fill="auto"/>
            <w:vAlign w:val="bottom"/>
          </w:tcPr>
          <w:p w14:paraId="7EEB7906"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151 (24.2)</w:t>
            </w:r>
          </w:p>
        </w:tc>
        <w:tc>
          <w:tcPr>
            <w:tcW w:w="1438" w:type="dxa"/>
            <w:tcBorders>
              <w:bottom w:val="nil"/>
            </w:tcBorders>
            <w:shd w:val="clear" w:color="auto" w:fill="auto"/>
            <w:vAlign w:val="bottom"/>
          </w:tcPr>
          <w:p w14:paraId="2A8EDDEE"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231 (20.5)</w:t>
            </w:r>
          </w:p>
        </w:tc>
        <w:tc>
          <w:tcPr>
            <w:tcW w:w="1114" w:type="dxa"/>
            <w:tcBorders>
              <w:bottom w:val="nil"/>
            </w:tcBorders>
            <w:vAlign w:val="bottom"/>
          </w:tcPr>
          <w:p w14:paraId="45E4CBF4"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135 (26.1)</w:t>
            </w:r>
          </w:p>
        </w:tc>
        <w:tc>
          <w:tcPr>
            <w:tcW w:w="1109" w:type="dxa"/>
            <w:tcBorders>
              <w:bottom w:val="nil"/>
            </w:tcBorders>
            <w:vAlign w:val="bottom"/>
          </w:tcPr>
          <w:p w14:paraId="757116F8"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12 (44.4)</w:t>
            </w:r>
          </w:p>
        </w:tc>
        <w:tc>
          <w:tcPr>
            <w:tcW w:w="809" w:type="dxa"/>
            <w:tcBorders>
              <w:bottom w:val="nil"/>
            </w:tcBorders>
            <w:vAlign w:val="bottom"/>
          </w:tcPr>
          <w:p w14:paraId="0E8B254D"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0.003</w:t>
            </w:r>
          </w:p>
        </w:tc>
      </w:tr>
      <w:tr w:rsidR="00822961" w:rsidRPr="00D80609" w14:paraId="3087013B" w14:textId="77777777" w:rsidTr="00822961">
        <w:trPr>
          <w:jc w:val="center"/>
        </w:trPr>
        <w:tc>
          <w:tcPr>
            <w:tcW w:w="4702" w:type="dxa"/>
            <w:tcBorders>
              <w:top w:val="nil"/>
              <w:bottom w:val="nil"/>
            </w:tcBorders>
            <w:shd w:val="clear" w:color="auto" w:fill="auto"/>
            <w:vAlign w:val="bottom"/>
          </w:tcPr>
          <w:p w14:paraId="4F8DA0CA" w14:textId="77777777" w:rsidR="00822961" w:rsidRPr="00340008" w:rsidRDefault="00822961" w:rsidP="00E068A0">
            <w:pPr>
              <w:spacing w:line="240" w:lineRule="auto"/>
              <w:rPr>
                <w:rFonts w:ascii="Palatino Linotype" w:hAnsi="Palatino Linotype" w:cs="Arial"/>
                <w:sz w:val="20"/>
                <w:lang w:eastAsia="en-GB"/>
              </w:rPr>
            </w:pPr>
            <w:r w:rsidRPr="00340008">
              <w:rPr>
                <w:rFonts w:ascii="Palatino Linotype" w:hAnsi="Palatino Linotype" w:cs="Arial"/>
                <w:sz w:val="20"/>
                <w:lang w:eastAsia="en-GB"/>
              </w:rPr>
              <w:t>Proximity to retirement</w:t>
            </w:r>
          </w:p>
        </w:tc>
        <w:tc>
          <w:tcPr>
            <w:tcW w:w="1187" w:type="dxa"/>
            <w:tcBorders>
              <w:top w:val="nil"/>
              <w:bottom w:val="nil"/>
            </w:tcBorders>
            <w:shd w:val="clear" w:color="auto" w:fill="auto"/>
            <w:vAlign w:val="bottom"/>
          </w:tcPr>
          <w:p w14:paraId="075E46DE" w14:textId="77777777" w:rsidR="00822961" w:rsidRPr="00340008" w:rsidRDefault="00822961" w:rsidP="00E068A0">
            <w:pPr>
              <w:spacing w:line="240" w:lineRule="auto"/>
              <w:rPr>
                <w:rFonts w:ascii="Palatino Linotype" w:hAnsi="Palatino Linotype" w:cs="Arial"/>
                <w:sz w:val="20"/>
                <w:lang w:eastAsia="en-GB"/>
              </w:rPr>
            </w:pPr>
          </w:p>
        </w:tc>
        <w:tc>
          <w:tcPr>
            <w:tcW w:w="1438" w:type="dxa"/>
            <w:tcBorders>
              <w:top w:val="nil"/>
              <w:bottom w:val="nil"/>
            </w:tcBorders>
            <w:shd w:val="clear" w:color="auto" w:fill="auto"/>
            <w:vAlign w:val="bottom"/>
          </w:tcPr>
          <w:p w14:paraId="46D17230" w14:textId="77777777" w:rsidR="00822961" w:rsidRPr="00340008" w:rsidRDefault="00822961" w:rsidP="00E068A0">
            <w:pPr>
              <w:spacing w:line="240" w:lineRule="auto"/>
              <w:jc w:val="center"/>
              <w:rPr>
                <w:rFonts w:ascii="Palatino Linotype" w:hAnsi="Palatino Linotype" w:cs="Arial"/>
                <w:sz w:val="20"/>
                <w:lang w:eastAsia="en-GB"/>
              </w:rPr>
            </w:pPr>
          </w:p>
        </w:tc>
        <w:tc>
          <w:tcPr>
            <w:tcW w:w="1114" w:type="dxa"/>
            <w:tcBorders>
              <w:top w:val="nil"/>
              <w:bottom w:val="nil"/>
            </w:tcBorders>
            <w:vAlign w:val="bottom"/>
          </w:tcPr>
          <w:p w14:paraId="6C167679" w14:textId="77777777" w:rsidR="00822961" w:rsidRPr="00340008" w:rsidRDefault="00822961" w:rsidP="00E068A0">
            <w:pPr>
              <w:spacing w:line="240" w:lineRule="auto"/>
              <w:jc w:val="center"/>
              <w:rPr>
                <w:rFonts w:ascii="Palatino Linotype" w:hAnsi="Palatino Linotype" w:cs="Arial"/>
                <w:sz w:val="20"/>
                <w:lang w:eastAsia="en-GB"/>
              </w:rPr>
            </w:pPr>
          </w:p>
        </w:tc>
        <w:tc>
          <w:tcPr>
            <w:tcW w:w="1109" w:type="dxa"/>
            <w:tcBorders>
              <w:top w:val="nil"/>
              <w:bottom w:val="nil"/>
            </w:tcBorders>
            <w:vAlign w:val="bottom"/>
          </w:tcPr>
          <w:p w14:paraId="34CBF466" w14:textId="77777777" w:rsidR="00822961" w:rsidRPr="00340008" w:rsidRDefault="00822961" w:rsidP="00E068A0">
            <w:pPr>
              <w:spacing w:line="240" w:lineRule="auto"/>
              <w:jc w:val="center"/>
              <w:rPr>
                <w:rFonts w:ascii="Palatino Linotype" w:hAnsi="Palatino Linotype" w:cs="Arial"/>
                <w:sz w:val="20"/>
                <w:lang w:eastAsia="en-GB"/>
              </w:rPr>
            </w:pPr>
          </w:p>
        </w:tc>
        <w:tc>
          <w:tcPr>
            <w:tcW w:w="809" w:type="dxa"/>
            <w:tcBorders>
              <w:top w:val="nil"/>
              <w:bottom w:val="nil"/>
            </w:tcBorders>
            <w:vAlign w:val="bottom"/>
          </w:tcPr>
          <w:p w14:paraId="0F6BAAE0" w14:textId="77777777" w:rsidR="00822961" w:rsidRPr="00340008" w:rsidRDefault="00822961" w:rsidP="00E068A0">
            <w:pPr>
              <w:spacing w:line="240" w:lineRule="auto"/>
              <w:jc w:val="center"/>
              <w:rPr>
                <w:rFonts w:ascii="Palatino Linotype" w:hAnsi="Palatino Linotype" w:cs="Arial"/>
                <w:sz w:val="20"/>
                <w:lang w:eastAsia="en-GB"/>
              </w:rPr>
            </w:pPr>
          </w:p>
        </w:tc>
      </w:tr>
      <w:tr w:rsidR="00822961" w:rsidRPr="00D80609" w14:paraId="59895A0E" w14:textId="77777777" w:rsidTr="00822961">
        <w:trPr>
          <w:jc w:val="center"/>
        </w:trPr>
        <w:tc>
          <w:tcPr>
            <w:tcW w:w="4702" w:type="dxa"/>
            <w:tcBorders>
              <w:top w:val="nil"/>
            </w:tcBorders>
            <w:shd w:val="clear" w:color="auto" w:fill="auto"/>
            <w:vAlign w:val="bottom"/>
          </w:tcPr>
          <w:p w14:paraId="46471491" w14:textId="77777777" w:rsidR="00822961" w:rsidRPr="00340008" w:rsidRDefault="00822961" w:rsidP="00E068A0">
            <w:pPr>
              <w:spacing w:line="240" w:lineRule="auto"/>
              <w:ind w:firstLineChars="200" w:firstLine="400"/>
              <w:rPr>
                <w:rFonts w:ascii="Palatino Linotype" w:hAnsi="Palatino Linotype" w:cs="Arial"/>
                <w:sz w:val="20"/>
                <w:lang w:eastAsia="en-GB"/>
              </w:rPr>
            </w:pPr>
            <w:r w:rsidRPr="00340008">
              <w:rPr>
                <w:rFonts w:ascii="Palatino Linotype" w:hAnsi="Palatino Linotype" w:cs="Arial"/>
                <w:sz w:val="20"/>
                <w:lang w:eastAsia="en-GB"/>
              </w:rPr>
              <w:t>Less than a year</w:t>
            </w:r>
          </w:p>
        </w:tc>
        <w:tc>
          <w:tcPr>
            <w:tcW w:w="1187" w:type="dxa"/>
            <w:tcBorders>
              <w:top w:val="nil"/>
            </w:tcBorders>
            <w:shd w:val="clear" w:color="auto" w:fill="auto"/>
            <w:vAlign w:val="bottom"/>
          </w:tcPr>
          <w:p w14:paraId="2FECDA3D"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33 (5.6)</w:t>
            </w:r>
          </w:p>
        </w:tc>
        <w:tc>
          <w:tcPr>
            <w:tcW w:w="1438" w:type="dxa"/>
            <w:tcBorders>
              <w:top w:val="nil"/>
            </w:tcBorders>
            <w:shd w:val="clear" w:color="auto" w:fill="auto"/>
            <w:vAlign w:val="bottom"/>
          </w:tcPr>
          <w:p w14:paraId="2C7D2EA7"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59 (5.5)</w:t>
            </w:r>
          </w:p>
        </w:tc>
        <w:tc>
          <w:tcPr>
            <w:tcW w:w="1114" w:type="dxa"/>
            <w:tcBorders>
              <w:top w:val="nil"/>
            </w:tcBorders>
            <w:vAlign w:val="bottom"/>
          </w:tcPr>
          <w:p w14:paraId="59738400"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28 (5.8)</w:t>
            </w:r>
          </w:p>
        </w:tc>
        <w:tc>
          <w:tcPr>
            <w:tcW w:w="1109" w:type="dxa"/>
            <w:tcBorders>
              <w:top w:val="nil"/>
            </w:tcBorders>
            <w:vAlign w:val="bottom"/>
          </w:tcPr>
          <w:p w14:paraId="3F9BCAD8"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1 (3.9)</w:t>
            </w:r>
          </w:p>
        </w:tc>
        <w:tc>
          <w:tcPr>
            <w:tcW w:w="809" w:type="dxa"/>
            <w:tcBorders>
              <w:top w:val="nil"/>
            </w:tcBorders>
            <w:vAlign w:val="bottom"/>
          </w:tcPr>
          <w:p w14:paraId="56C187F3"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0.88</w:t>
            </w:r>
          </w:p>
        </w:tc>
      </w:tr>
      <w:tr w:rsidR="00822961" w:rsidRPr="00D80609" w14:paraId="3D8EA2A5" w14:textId="77777777" w:rsidTr="00822961">
        <w:trPr>
          <w:jc w:val="center"/>
        </w:trPr>
        <w:tc>
          <w:tcPr>
            <w:tcW w:w="4702" w:type="dxa"/>
            <w:shd w:val="clear" w:color="auto" w:fill="auto"/>
            <w:vAlign w:val="center"/>
          </w:tcPr>
          <w:p w14:paraId="0550B0B1" w14:textId="77777777" w:rsidR="00822961" w:rsidRPr="00340008" w:rsidRDefault="00822961" w:rsidP="00E068A0">
            <w:pPr>
              <w:spacing w:line="240" w:lineRule="auto"/>
              <w:ind w:firstLineChars="200" w:firstLine="400"/>
              <w:rPr>
                <w:rFonts w:ascii="Palatino Linotype" w:hAnsi="Palatino Linotype" w:cs="Arial"/>
                <w:sz w:val="20"/>
                <w:lang w:eastAsia="en-GB"/>
              </w:rPr>
            </w:pPr>
            <w:r w:rsidRPr="00340008">
              <w:rPr>
                <w:rFonts w:ascii="Palatino Linotype" w:hAnsi="Palatino Linotype" w:cs="Arial"/>
                <w:sz w:val="20"/>
                <w:lang w:eastAsia="en-GB"/>
              </w:rPr>
              <w:t>1 to &lt;5 years</w:t>
            </w:r>
          </w:p>
        </w:tc>
        <w:tc>
          <w:tcPr>
            <w:tcW w:w="1187" w:type="dxa"/>
            <w:shd w:val="clear" w:color="auto" w:fill="auto"/>
            <w:vAlign w:val="bottom"/>
          </w:tcPr>
          <w:p w14:paraId="03973578"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144 (24.2)</w:t>
            </w:r>
          </w:p>
        </w:tc>
        <w:tc>
          <w:tcPr>
            <w:tcW w:w="1438" w:type="dxa"/>
            <w:shd w:val="clear" w:color="auto" w:fill="auto"/>
            <w:vAlign w:val="bottom"/>
          </w:tcPr>
          <w:p w14:paraId="5AEAF4CA"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278 (25.8)</w:t>
            </w:r>
          </w:p>
        </w:tc>
        <w:tc>
          <w:tcPr>
            <w:tcW w:w="1114" w:type="dxa"/>
            <w:vAlign w:val="bottom"/>
          </w:tcPr>
          <w:p w14:paraId="02BDCC11"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114 (23.8)</w:t>
            </w:r>
          </w:p>
        </w:tc>
        <w:tc>
          <w:tcPr>
            <w:tcW w:w="1109" w:type="dxa"/>
            <w:vAlign w:val="bottom"/>
          </w:tcPr>
          <w:p w14:paraId="464A641E"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4 (15.4)</w:t>
            </w:r>
          </w:p>
        </w:tc>
        <w:tc>
          <w:tcPr>
            <w:tcW w:w="809" w:type="dxa"/>
            <w:vAlign w:val="bottom"/>
          </w:tcPr>
          <w:p w14:paraId="2EEFB8BB" w14:textId="77777777" w:rsidR="00822961" w:rsidRPr="00340008" w:rsidRDefault="00822961" w:rsidP="00E068A0">
            <w:pPr>
              <w:spacing w:line="240" w:lineRule="auto"/>
              <w:jc w:val="center"/>
              <w:rPr>
                <w:rFonts w:ascii="Palatino Linotype" w:hAnsi="Palatino Linotype" w:cs="Arial"/>
                <w:sz w:val="20"/>
                <w:lang w:eastAsia="en-GB"/>
              </w:rPr>
            </w:pPr>
          </w:p>
        </w:tc>
      </w:tr>
      <w:tr w:rsidR="00822961" w:rsidRPr="00D80609" w14:paraId="5B16DE55" w14:textId="77777777" w:rsidTr="00822961">
        <w:trPr>
          <w:jc w:val="center"/>
        </w:trPr>
        <w:tc>
          <w:tcPr>
            <w:tcW w:w="4702" w:type="dxa"/>
            <w:shd w:val="clear" w:color="auto" w:fill="auto"/>
            <w:vAlign w:val="bottom"/>
          </w:tcPr>
          <w:p w14:paraId="24025D13" w14:textId="77777777" w:rsidR="00822961" w:rsidRPr="00340008" w:rsidRDefault="00822961" w:rsidP="00E068A0">
            <w:pPr>
              <w:spacing w:line="240" w:lineRule="auto"/>
              <w:ind w:firstLineChars="200" w:firstLine="400"/>
              <w:rPr>
                <w:rFonts w:ascii="Palatino Linotype" w:hAnsi="Palatino Linotype" w:cs="Arial"/>
                <w:sz w:val="20"/>
                <w:lang w:eastAsia="en-GB"/>
              </w:rPr>
            </w:pPr>
            <w:r w:rsidRPr="00340008">
              <w:rPr>
                <w:rFonts w:ascii="Palatino Linotype" w:hAnsi="Palatino Linotype" w:cs="Arial"/>
                <w:sz w:val="20"/>
                <w:lang w:eastAsia="en-GB"/>
              </w:rPr>
              <w:t>5-10 years</w:t>
            </w:r>
          </w:p>
        </w:tc>
        <w:tc>
          <w:tcPr>
            <w:tcW w:w="1187" w:type="dxa"/>
            <w:shd w:val="clear" w:color="auto" w:fill="auto"/>
            <w:vAlign w:val="bottom"/>
          </w:tcPr>
          <w:p w14:paraId="09B9602C"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199 (33.5)</w:t>
            </w:r>
          </w:p>
        </w:tc>
        <w:tc>
          <w:tcPr>
            <w:tcW w:w="1438" w:type="dxa"/>
            <w:shd w:val="clear" w:color="auto" w:fill="auto"/>
            <w:vAlign w:val="bottom"/>
          </w:tcPr>
          <w:p w14:paraId="27AB294A"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352 (32.7)</w:t>
            </w:r>
          </w:p>
        </w:tc>
        <w:tc>
          <w:tcPr>
            <w:tcW w:w="1114" w:type="dxa"/>
            <w:vAlign w:val="bottom"/>
          </w:tcPr>
          <w:p w14:paraId="6C5BC349"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172 (35.8)</w:t>
            </w:r>
          </w:p>
        </w:tc>
        <w:tc>
          <w:tcPr>
            <w:tcW w:w="1109" w:type="dxa"/>
            <w:vAlign w:val="bottom"/>
          </w:tcPr>
          <w:p w14:paraId="175FCBB2"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12 (46.2)</w:t>
            </w:r>
          </w:p>
        </w:tc>
        <w:tc>
          <w:tcPr>
            <w:tcW w:w="809" w:type="dxa"/>
            <w:vAlign w:val="bottom"/>
          </w:tcPr>
          <w:p w14:paraId="51162F06" w14:textId="77777777" w:rsidR="00822961" w:rsidRPr="00340008" w:rsidRDefault="00822961" w:rsidP="00E068A0">
            <w:pPr>
              <w:spacing w:line="240" w:lineRule="auto"/>
              <w:jc w:val="center"/>
              <w:rPr>
                <w:rFonts w:ascii="Palatino Linotype" w:hAnsi="Palatino Linotype" w:cs="Arial"/>
                <w:sz w:val="20"/>
                <w:lang w:eastAsia="en-GB"/>
              </w:rPr>
            </w:pPr>
          </w:p>
        </w:tc>
      </w:tr>
      <w:tr w:rsidR="00822961" w:rsidRPr="00D80609" w14:paraId="73AFE713" w14:textId="77777777" w:rsidTr="00822961">
        <w:trPr>
          <w:jc w:val="center"/>
        </w:trPr>
        <w:tc>
          <w:tcPr>
            <w:tcW w:w="4702" w:type="dxa"/>
            <w:shd w:val="clear" w:color="auto" w:fill="auto"/>
            <w:vAlign w:val="bottom"/>
          </w:tcPr>
          <w:p w14:paraId="175C44F6" w14:textId="77777777" w:rsidR="00822961" w:rsidRPr="00340008" w:rsidRDefault="00822961" w:rsidP="00E068A0">
            <w:pPr>
              <w:spacing w:line="240" w:lineRule="auto"/>
              <w:ind w:firstLineChars="200" w:firstLine="400"/>
              <w:rPr>
                <w:rFonts w:ascii="Palatino Linotype" w:hAnsi="Palatino Linotype" w:cs="Arial"/>
                <w:sz w:val="20"/>
                <w:lang w:eastAsia="en-GB"/>
              </w:rPr>
            </w:pPr>
            <w:r w:rsidRPr="00340008">
              <w:rPr>
                <w:rFonts w:ascii="Palatino Linotype" w:hAnsi="Palatino Linotype" w:cs="Arial"/>
                <w:sz w:val="20"/>
                <w:lang w:eastAsia="en-GB"/>
              </w:rPr>
              <w:t>10+ years</w:t>
            </w:r>
          </w:p>
        </w:tc>
        <w:tc>
          <w:tcPr>
            <w:tcW w:w="1187" w:type="dxa"/>
            <w:shd w:val="clear" w:color="auto" w:fill="auto"/>
            <w:vAlign w:val="bottom"/>
          </w:tcPr>
          <w:p w14:paraId="49CE624A"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219 (36.8)</w:t>
            </w:r>
          </w:p>
        </w:tc>
        <w:tc>
          <w:tcPr>
            <w:tcW w:w="1438" w:type="dxa"/>
            <w:shd w:val="clear" w:color="auto" w:fill="auto"/>
            <w:vAlign w:val="bottom"/>
          </w:tcPr>
          <w:p w14:paraId="0D9D9152"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389 (36.1)</w:t>
            </w:r>
          </w:p>
        </w:tc>
        <w:tc>
          <w:tcPr>
            <w:tcW w:w="1114" w:type="dxa"/>
            <w:vAlign w:val="bottom"/>
          </w:tcPr>
          <w:p w14:paraId="70DCA17F"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166 (35.6)</w:t>
            </w:r>
          </w:p>
        </w:tc>
        <w:tc>
          <w:tcPr>
            <w:tcW w:w="1109" w:type="dxa"/>
            <w:vAlign w:val="bottom"/>
          </w:tcPr>
          <w:p w14:paraId="5B2C7381"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9 (34.6)</w:t>
            </w:r>
          </w:p>
        </w:tc>
        <w:tc>
          <w:tcPr>
            <w:tcW w:w="809" w:type="dxa"/>
            <w:vAlign w:val="bottom"/>
          </w:tcPr>
          <w:p w14:paraId="53580B22" w14:textId="77777777" w:rsidR="00822961" w:rsidRPr="00340008" w:rsidRDefault="00822961" w:rsidP="00E068A0">
            <w:pPr>
              <w:spacing w:line="240" w:lineRule="auto"/>
              <w:jc w:val="center"/>
              <w:rPr>
                <w:rFonts w:ascii="Palatino Linotype" w:hAnsi="Palatino Linotype" w:cs="Arial"/>
                <w:sz w:val="20"/>
                <w:lang w:eastAsia="en-GB"/>
              </w:rPr>
            </w:pPr>
          </w:p>
        </w:tc>
      </w:tr>
      <w:tr w:rsidR="00822961" w:rsidRPr="00D80609" w14:paraId="476F27B6" w14:textId="77777777" w:rsidTr="00822961">
        <w:trPr>
          <w:jc w:val="center"/>
        </w:trPr>
        <w:tc>
          <w:tcPr>
            <w:tcW w:w="4702" w:type="dxa"/>
            <w:shd w:val="clear" w:color="auto" w:fill="auto"/>
            <w:vAlign w:val="bottom"/>
          </w:tcPr>
          <w:p w14:paraId="3E40A7EF" w14:textId="77777777" w:rsidR="00822961" w:rsidRPr="00340008" w:rsidRDefault="00822961" w:rsidP="00E068A0">
            <w:pPr>
              <w:spacing w:line="240" w:lineRule="auto"/>
              <w:rPr>
                <w:rFonts w:ascii="Palatino Linotype" w:hAnsi="Palatino Linotype" w:cs="Arial"/>
                <w:sz w:val="20"/>
                <w:lang w:eastAsia="en-GB"/>
              </w:rPr>
            </w:pPr>
            <w:r w:rsidRPr="00340008">
              <w:rPr>
                <w:rFonts w:ascii="Palatino Linotype" w:hAnsi="Palatino Linotype" w:cs="Arial"/>
                <w:sz w:val="20"/>
                <w:lang w:eastAsia="en-GB"/>
              </w:rPr>
              <w:t>Level of education</w:t>
            </w:r>
          </w:p>
        </w:tc>
        <w:tc>
          <w:tcPr>
            <w:tcW w:w="1187" w:type="dxa"/>
            <w:shd w:val="clear" w:color="auto" w:fill="auto"/>
            <w:vAlign w:val="bottom"/>
          </w:tcPr>
          <w:p w14:paraId="5177422E" w14:textId="77777777" w:rsidR="00822961" w:rsidRPr="00340008" w:rsidRDefault="00822961" w:rsidP="00E068A0">
            <w:pPr>
              <w:spacing w:line="240" w:lineRule="auto"/>
              <w:rPr>
                <w:rFonts w:ascii="Palatino Linotype" w:hAnsi="Palatino Linotype" w:cs="Arial"/>
                <w:sz w:val="20"/>
                <w:lang w:eastAsia="en-GB"/>
              </w:rPr>
            </w:pPr>
          </w:p>
        </w:tc>
        <w:tc>
          <w:tcPr>
            <w:tcW w:w="1438" w:type="dxa"/>
            <w:shd w:val="clear" w:color="auto" w:fill="auto"/>
            <w:vAlign w:val="bottom"/>
          </w:tcPr>
          <w:p w14:paraId="6732CE0D" w14:textId="77777777" w:rsidR="00822961" w:rsidRPr="00340008" w:rsidRDefault="00822961" w:rsidP="00E068A0">
            <w:pPr>
              <w:spacing w:line="240" w:lineRule="auto"/>
              <w:jc w:val="center"/>
              <w:rPr>
                <w:rFonts w:ascii="Palatino Linotype" w:hAnsi="Palatino Linotype" w:cs="Arial"/>
                <w:sz w:val="20"/>
                <w:lang w:eastAsia="en-GB"/>
              </w:rPr>
            </w:pPr>
          </w:p>
        </w:tc>
        <w:tc>
          <w:tcPr>
            <w:tcW w:w="1114" w:type="dxa"/>
            <w:vAlign w:val="bottom"/>
          </w:tcPr>
          <w:p w14:paraId="2317C5C8" w14:textId="77777777" w:rsidR="00822961" w:rsidRPr="00340008" w:rsidRDefault="00822961" w:rsidP="00E068A0">
            <w:pPr>
              <w:spacing w:line="240" w:lineRule="auto"/>
              <w:jc w:val="center"/>
              <w:rPr>
                <w:rFonts w:ascii="Palatino Linotype" w:hAnsi="Palatino Linotype" w:cs="Arial"/>
                <w:sz w:val="20"/>
                <w:lang w:eastAsia="en-GB"/>
              </w:rPr>
            </w:pPr>
          </w:p>
        </w:tc>
        <w:tc>
          <w:tcPr>
            <w:tcW w:w="1109" w:type="dxa"/>
            <w:vAlign w:val="bottom"/>
          </w:tcPr>
          <w:p w14:paraId="620B4333" w14:textId="77777777" w:rsidR="00822961" w:rsidRPr="00340008" w:rsidRDefault="00822961" w:rsidP="00E068A0">
            <w:pPr>
              <w:spacing w:line="240" w:lineRule="auto"/>
              <w:jc w:val="center"/>
              <w:rPr>
                <w:rFonts w:ascii="Palatino Linotype" w:hAnsi="Palatino Linotype" w:cs="Arial"/>
                <w:sz w:val="20"/>
                <w:lang w:eastAsia="en-GB"/>
              </w:rPr>
            </w:pPr>
          </w:p>
        </w:tc>
        <w:tc>
          <w:tcPr>
            <w:tcW w:w="809" w:type="dxa"/>
            <w:vAlign w:val="bottom"/>
          </w:tcPr>
          <w:p w14:paraId="651DE88C" w14:textId="77777777" w:rsidR="00822961" w:rsidRPr="00340008" w:rsidRDefault="00822961" w:rsidP="00E068A0">
            <w:pPr>
              <w:spacing w:line="240" w:lineRule="auto"/>
              <w:jc w:val="center"/>
              <w:rPr>
                <w:rFonts w:ascii="Palatino Linotype" w:hAnsi="Palatino Linotype" w:cs="Arial"/>
                <w:sz w:val="20"/>
                <w:lang w:eastAsia="en-GB"/>
              </w:rPr>
            </w:pPr>
          </w:p>
        </w:tc>
      </w:tr>
      <w:tr w:rsidR="00822961" w:rsidRPr="00D80609" w14:paraId="1E6910CA" w14:textId="77777777" w:rsidTr="00822961">
        <w:trPr>
          <w:jc w:val="center"/>
        </w:trPr>
        <w:tc>
          <w:tcPr>
            <w:tcW w:w="4702" w:type="dxa"/>
            <w:shd w:val="clear" w:color="auto" w:fill="auto"/>
            <w:vAlign w:val="bottom"/>
          </w:tcPr>
          <w:p w14:paraId="0E535DB1" w14:textId="77777777" w:rsidR="00822961" w:rsidRPr="00340008" w:rsidRDefault="00822961" w:rsidP="00E068A0">
            <w:pPr>
              <w:spacing w:line="240" w:lineRule="auto"/>
              <w:ind w:firstLineChars="200" w:firstLine="400"/>
              <w:rPr>
                <w:rFonts w:ascii="Palatino Linotype" w:hAnsi="Palatino Linotype" w:cs="Arial"/>
                <w:sz w:val="20"/>
                <w:lang w:eastAsia="en-GB"/>
              </w:rPr>
            </w:pPr>
            <w:r w:rsidRPr="00340008">
              <w:rPr>
                <w:rFonts w:ascii="Palatino Linotype" w:hAnsi="Palatino Linotype" w:cs="Arial"/>
                <w:sz w:val="20"/>
                <w:lang w:eastAsia="en-GB"/>
              </w:rPr>
              <w:t>No qualification/School</w:t>
            </w:r>
          </w:p>
        </w:tc>
        <w:tc>
          <w:tcPr>
            <w:tcW w:w="1187" w:type="dxa"/>
            <w:shd w:val="clear" w:color="auto" w:fill="auto"/>
            <w:vAlign w:val="bottom"/>
          </w:tcPr>
          <w:p w14:paraId="2F3E0A58"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168 (26.8)</w:t>
            </w:r>
          </w:p>
        </w:tc>
        <w:tc>
          <w:tcPr>
            <w:tcW w:w="1438" w:type="dxa"/>
            <w:shd w:val="clear" w:color="auto" w:fill="auto"/>
            <w:vAlign w:val="bottom"/>
          </w:tcPr>
          <w:p w14:paraId="7A1FB0E6"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340 (30.2)</w:t>
            </w:r>
          </w:p>
        </w:tc>
        <w:tc>
          <w:tcPr>
            <w:tcW w:w="1114" w:type="dxa"/>
            <w:vAlign w:val="bottom"/>
          </w:tcPr>
          <w:p w14:paraId="2CD26D14"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165 (31.8)</w:t>
            </w:r>
          </w:p>
        </w:tc>
        <w:tc>
          <w:tcPr>
            <w:tcW w:w="1109" w:type="dxa"/>
            <w:vAlign w:val="bottom"/>
          </w:tcPr>
          <w:p w14:paraId="1FAF65F8"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7 (25.0)</w:t>
            </w:r>
          </w:p>
        </w:tc>
        <w:tc>
          <w:tcPr>
            <w:tcW w:w="809" w:type="dxa"/>
            <w:vAlign w:val="bottom"/>
          </w:tcPr>
          <w:p w14:paraId="26E79C6F"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0.12</w:t>
            </w:r>
          </w:p>
        </w:tc>
      </w:tr>
      <w:tr w:rsidR="00822961" w:rsidRPr="00D80609" w14:paraId="1FDAAEEC" w14:textId="77777777" w:rsidTr="00822961">
        <w:trPr>
          <w:jc w:val="center"/>
        </w:trPr>
        <w:tc>
          <w:tcPr>
            <w:tcW w:w="4702" w:type="dxa"/>
            <w:shd w:val="clear" w:color="auto" w:fill="auto"/>
            <w:vAlign w:val="bottom"/>
          </w:tcPr>
          <w:p w14:paraId="3FB5CD48" w14:textId="77777777" w:rsidR="00822961" w:rsidRPr="00340008" w:rsidRDefault="00822961" w:rsidP="00E068A0">
            <w:pPr>
              <w:spacing w:line="240" w:lineRule="auto"/>
              <w:ind w:firstLineChars="200" w:firstLine="400"/>
              <w:rPr>
                <w:rFonts w:ascii="Palatino Linotype" w:hAnsi="Palatino Linotype" w:cs="Arial"/>
                <w:sz w:val="20"/>
                <w:lang w:eastAsia="en-GB"/>
              </w:rPr>
            </w:pPr>
            <w:r w:rsidRPr="00340008">
              <w:rPr>
                <w:rFonts w:ascii="Palatino Linotype" w:hAnsi="Palatino Linotype" w:cs="Arial"/>
                <w:sz w:val="20"/>
                <w:lang w:eastAsia="en-GB"/>
              </w:rPr>
              <w:t>Vocational training certificate</w:t>
            </w:r>
          </w:p>
        </w:tc>
        <w:tc>
          <w:tcPr>
            <w:tcW w:w="1187" w:type="dxa"/>
            <w:shd w:val="clear" w:color="auto" w:fill="auto"/>
            <w:vAlign w:val="bottom"/>
          </w:tcPr>
          <w:p w14:paraId="3C9109F7"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208 (33.2)</w:t>
            </w:r>
          </w:p>
        </w:tc>
        <w:tc>
          <w:tcPr>
            <w:tcW w:w="1438" w:type="dxa"/>
            <w:shd w:val="clear" w:color="auto" w:fill="auto"/>
            <w:vAlign w:val="bottom"/>
          </w:tcPr>
          <w:p w14:paraId="23381529"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362 (32.2)</w:t>
            </w:r>
          </w:p>
        </w:tc>
        <w:tc>
          <w:tcPr>
            <w:tcW w:w="1114" w:type="dxa"/>
            <w:vAlign w:val="bottom"/>
          </w:tcPr>
          <w:p w14:paraId="399083DC"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189 (36.4)</w:t>
            </w:r>
          </w:p>
        </w:tc>
        <w:tc>
          <w:tcPr>
            <w:tcW w:w="1109" w:type="dxa"/>
            <w:vAlign w:val="bottom"/>
          </w:tcPr>
          <w:p w14:paraId="781F7113"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10 (35.7)</w:t>
            </w:r>
          </w:p>
        </w:tc>
        <w:tc>
          <w:tcPr>
            <w:tcW w:w="809" w:type="dxa"/>
            <w:vAlign w:val="bottom"/>
          </w:tcPr>
          <w:p w14:paraId="6941E428" w14:textId="77777777" w:rsidR="00822961" w:rsidRPr="00A153B9" w:rsidRDefault="00822961" w:rsidP="00E068A0">
            <w:pPr>
              <w:spacing w:line="240" w:lineRule="auto"/>
              <w:jc w:val="center"/>
              <w:rPr>
                <w:rFonts w:ascii="Arial" w:hAnsi="Arial" w:cs="Arial"/>
                <w:sz w:val="18"/>
                <w:szCs w:val="18"/>
                <w:lang w:eastAsia="en-GB"/>
              </w:rPr>
            </w:pPr>
          </w:p>
        </w:tc>
      </w:tr>
      <w:tr w:rsidR="00822961" w:rsidRPr="00D80609" w14:paraId="50A69995" w14:textId="77777777" w:rsidTr="00822961">
        <w:trPr>
          <w:jc w:val="center"/>
        </w:trPr>
        <w:tc>
          <w:tcPr>
            <w:tcW w:w="4702" w:type="dxa"/>
            <w:shd w:val="clear" w:color="auto" w:fill="auto"/>
            <w:vAlign w:val="bottom"/>
          </w:tcPr>
          <w:p w14:paraId="237545CA" w14:textId="77777777" w:rsidR="00822961" w:rsidRPr="00340008" w:rsidRDefault="00822961" w:rsidP="00E068A0">
            <w:pPr>
              <w:spacing w:line="240" w:lineRule="auto"/>
              <w:ind w:firstLineChars="200" w:firstLine="400"/>
              <w:rPr>
                <w:rFonts w:ascii="Palatino Linotype" w:hAnsi="Palatino Linotype" w:cs="Arial"/>
                <w:sz w:val="20"/>
                <w:lang w:eastAsia="en-GB"/>
              </w:rPr>
            </w:pPr>
            <w:r w:rsidRPr="00340008">
              <w:rPr>
                <w:rFonts w:ascii="Palatino Linotype" w:hAnsi="Palatino Linotype" w:cs="Arial"/>
                <w:sz w:val="20"/>
                <w:lang w:eastAsia="en-GB"/>
              </w:rPr>
              <w:t>University degree/higher</w:t>
            </w:r>
          </w:p>
        </w:tc>
        <w:tc>
          <w:tcPr>
            <w:tcW w:w="1187" w:type="dxa"/>
            <w:shd w:val="clear" w:color="auto" w:fill="auto"/>
            <w:vAlign w:val="bottom"/>
          </w:tcPr>
          <w:p w14:paraId="650316BF"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250 (39.9)</w:t>
            </w:r>
          </w:p>
        </w:tc>
        <w:tc>
          <w:tcPr>
            <w:tcW w:w="1438" w:type="dxa"/>
            <w:shd w:val="clear" w:color="auto" w:fill="auto"/>
            <w:vAlign w:val="bottom"/>
          </w:tcPr>
          <w:p w14:paraId="428C785A"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424 (37.7)</w:t>
            </w:r>
          </w:p>
        </w:tc>
        <w:tc>
          <w:tcPr>
            <w:tcW w:w="1114" w:type="dxa"/>
            <w:vAlign w:val="bottom"/>
          </w:tcPr>
          <w:p w14:paraId="21F1DBCE"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165 (31.8)</w:t>
            </w:r>
          </w:p>
        </w:tc>
        <w:tc>
          <w:tcPr>
            <w:tcW w:w="1109" w:type="dxa"/>
            <w:vAlign w:val="bottom"/>
          </w:tcPr>
          <w:p w14:paraId="568A2FC6"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11 (39.3)</w:t>
            </w:r>
          </w:p>
        </w:tc>
        <w:tc>
          <w:tcPr>
            <w:tcW w:w="809" w:type="dxa"/>
            <w:vAlign w:val="bottom"/>
          </w:tcPr>
          <w:p w14:paraId="0E5792C7" w14:textId="77777777" w:rsidR="00822961" w:rsidRPr="00A153B9" w:rsidRDefault="00822961" w:rsidP="00E068A0">
            <w:pPr>
              <w:spacing w:line="240" w:lineRule="auto"/>
              <w:jc w:val="center"/>
              <w:rPr>
                <w:rFonts w:ascii="Arial" w:hAnsi="Arial" w:cs="Arial"/>
                <w:sz w:val="18"/>
                <w:szCs w:val="18"/>
                <w:lang w:eastAsia="en-GB"/>
              </w:rPr>
            </w:pPr>
          </w:p>
        </w:tc>
      </w:tr>
      <w:tr w:rsidR="00822961" w:rsidRPr="00D80609" w14:paraId="367D407E" w14:textId="77777777" w:rsidTr="00822961">
        <w:trPr>
          <w:jc w:val="center"/>
        </w:trPr>
        <w:tc>
          <w:tcPr>
            <w:tcW w:w="4702" w:type="dxa"/>
            <w:shd w:val="clear" w:color="auto" w:fill="auto"/>
            <w:vAlign w:val="bottom"/>
          </w:tcPr>
          <w:p w14:paraId="225ED94C" w14:textId="77777777" w:rsidR="00822961" w:rsidRPr="00340008" w:rsidRDefault="00822961" w:rsidP="00E068A0">
            <w:pPr>
              <w:spacing w:line="240" w:lineRule="auto"/>
              <w:rPr>
                <w:rFonts w:ascii="Palatino Linotype" w:hAnsi="Palatino Linotype" w:cs="Arial"/>
                <w:sz w:val="20"/>
                <w:lang w:eastAsia="en-GB"/>
              </w:rPr>
            </w:pPr>
            <w:r w:rsidRPr="00340008">
              <w:rPr>
                <w:rFonts w:ascii="Palatino Linotype" w:hAnsi="Palatino Linotype" w:cs="Arial"/>
                <w:sz w:val="20"/>
                <w:lang w:eastAsia="en-GB"/>
              </w:rPr>
              <w:t>Proportion of family income earned by you</w:t>
            </w:r>
          </w:p>
        </w:tc>
        <w:tc>
          <w:tcPr>
            <w:tcW w:w="1187" w:type="dxa"/>
            <w:shd w:val="clear" w:color="auto" w:fill="auto"/>
            <w:vAlign w:val="bottom"/>
          </w:tcPr>
          <w:p w14:paraId="2BC30F3A" w14:textId="77777777" w:rsidR="00822961" w:rsidRPr="00340008" w:rsidRDefault="00822961" w:rsidP="00E068A0">
            <w:pPr>
              <w:spacing w:line="240" w:lineRule="auto"/>
              <w:jc w:val="center"/>
              <w:rPr>
                <w:rFonts w:ascii="Palatino Linotype" w:hAnsi="Palatino Linotype" w:cs="Arial"/>
                <w:sz w:val="20"/>
                <w:lang w:eastAsia="en-GB"/>
              </w:rPr>
            </w:pPr>
          </w:p>
        </w:tc>
        <w:tc>
          <w:tcPr>
            <w:tcW w:w="1438" w:type="dxa"/>
            <w:shd w:val="clear" w:color="auto" w:fill="auto"/>
            <w:vAlign w:val="bottom"/>
          </w:tcPr>
          <w:p w14:paraId="752BFD02" w14:textId="77777777" w:rsidR="00822961" w:rsidRPr="00340008" w:rsidRDefault="00822961" w:rsidP="00E068A0">
            <w:pPr>
              <w:spacing w:line="240" w:lineRule="auto"/>
              <w:jc w:val="center"/>
              <w:rPr>
                <w:rFonts w:ascii="Palatino Linotype" w:hAnsi="Palatino Linotype" w:cs="Arial"/>
                <w:sz w:val="20"/>
                <w:lang w:eastAsia="en-GB"/>
              </w:rPr>
            </w:pPr>
          </w:p>
        </w:tc>
        <w:tc>
          <w:tcPr>
            <w:tcW w:w="1114" w:type="dxa"/>
            <w:vAlign w:val="bottom"/>
          </w:tcPr>
          <w:p w14:paraId="339626DF" w14:textId="77777777" w:rsidR="00822961" w:rsidRPr="00340008" w:rsidRDefault="00822961" w:rsidP="00E068A0">
            <w:pPr>
              <w:spacing w:line="240" w:lineRule="auto"/>
              <w:jc w:val="center"/>
              <w:rPr>
                <w:rFonts w:ascii="Palatino Linotype" w:hAnsi="Palatino Linotype" w:cs="Arial"/>
                <w:sz w:val="20"/>
                <w:lang w:eastAsia="en-GB"/>
              </w:rPr>
            </w:pPr>
          </w:p>
        </w:tc>
        <w:tc>
          <w:tcPr>
            <w:tcW w:w="1109" w:type="dxa"/>
            <w:vAlign w:val="bottom"/>
          </w:tcPr>
          <w:p w14:paraId="225DF721" w14:textId="77777777" w:rsidR="00822961" w:rsidRPr="00340008" w:rsidRDefault="00822961" w:rsidP="00E068A0">
            <w:pPr>
              <w:spacing w:line="240" w:lineRule="auto"/>
              <w:jc w:val="center"/>
              <w:rPr>
                <w:rFonts w:ascii="Palatino Linotype" w:hAnsi="Palatino Linotype" w:cs="Arial"/>
                <w:sz w:val="20"/>
                <w:lang w:eastAsia="en-GB"/>
              </w:rPr>
            </w:pPr>
          </w:p>
        </w:tc>
        <w:tc>
          <w:tcPr>
            <w:tcW w:w="809" w:type="dxa"/>
          </w:tcPr>
          <w:p w14:paraId="09DE76B9" w14:textId="77777777" w:rsidR="00822961" w:rsidRPr="00340008" w:rsidRDefault="00822961" w:rsidP="00E068A0">
            <w:pPr>
              <w:pStyle w:val="MDPI42tablebody"/>
              <w:spacing w:line="240" w:lineRule="auto"/>
              <w:rPr>
                <w:rFonts w:cs="Arial"/>
                <w:snapToGrid/>
                <w:lang w:eastAsia="en-GB" w:bidi="ar-SA"/>
              </w:rPr>
            </w:pPr>
          </w:p>
        </w:tc>
      </w:tr>
      <w:tr w:rsidR="00822961" w:rsidRPr="00D80609" w14:paraId="01104898" w14:textId="77777777" w:rsidTr="00822961">
        <w:trPr>
          <w:jc w:val="center"/>
        </w:trPr>
        <w:tc>
          <w:tcPr>
            <w:tcW w:w="4702" w:type="dxa"/>
            <w:shd w:val="clear" w:color="auto" w:fill="auto"/>
            <w:vAlign w:val="center"/>
          </w:tcPr>
          <w:p w14:paraId="7E1FFED5" w14:textId="77777777" w:rsidR="00822961" w:rsidRPr="00340008" w:rsidRDefault="00822961" w:rsidP="00E068A0">
            <w:pPr>
              <w:spacing w:line="240" w:lineRule="auto"/>
              <w:ind w:firstLine="426"/>
              <w:rPr>
                <w:rFonts w:ascii="Palatino Linotype" w:hAnsi="Palatino Linotype" w:cs="Arial"/>
                <w:sz w:val="20"/>
                <w:lang w:eastAsia="en-GB"/>
              </w:rPr>
            </w:pPr>
            <w:r w:rsidRPr="00340008">
              <w:rPr>
                <w:rFonts w:ascii="Palatino Linotype" w:hAnsi="Palatino Linotype" w:cs="Arial"/>
                <w:sz w:val="20"/>
                <w:lang w:eastAsia="en-GB"/>
              </w:rPr>
              <w:t>None</w:t>
            </w:r>
          </w:p>
        </w:tc>
        <w:tc>
          <w:tcPr>
            <w:tcW w:w="1187" w:type="dxa"/>
            <w:shd w:val="clear" w:color="auto" w:fill="auto"/>
            <w:vAlign w:val="bottom"/>
          </w:tcPr>
          <w:p w14:paraId="2C802226"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16 (2.6)</w:t>
            </w:r>
          </w:p>
        </w:tc>
        <w:tc>
          <w:tcPr>
            <w:tcW w:w="1438" w:type="dxa"/>
            <w:shd w:val="clear" w:color="auto" w:fill="auto"/>
            <w:vAlign w:val="bottom"/>
          </w:tcPr>
          <w:p w14:paraId="4AAACD84"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44 (4.0)</w:t>
            </w:r>
          </w:p>
        </w:tc>
        <w:tc>
          <w:tcPr>
            <w:tcW w:w="1114" w:type="dxa"/>
            <w:vAlign w:val="bottom"/>
          </w:tcPr>
          <w:p w14:paraId="159B2642"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17 (3.4)</w:t>
            </w:r>
          </w:p>
        </w:tc>
        <w:tc>
          <w:tcPr>
            <w:tcW w:w="1109" w:type="dxa"/>
            <w:vAlign w:val="bottom"/>
          </w:tcPr>
          <w:p w14:paraId="7C177BA1"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w:t>
            </w:r>
          </w:p>
        </w:tc>
        <w:tc>
          <w:tcPr>
            <w:tcW w:w="809" w:type="dxa"/>
          </w:tcPr>
          <w:p w14:paraId="2BEEBE89" w14:textId="77777777" w:rsidR="00822961" w:rsidRPr="00340008" w:rsidRDefault="00822961" w:rsidP="00E068A0">
            <w:pPr>
              <w:spacing w:line="240" w:lineRule="auto"/>
              <w:jc w:val="center"/>
              <w:rPr>
                <w:rFonts w:cs="Arial"/>
                <w:snapToGrid w:val="0"/>
                <w:lang w:eastAsia="en-GB"/>
              </w:rPr>
            </w:pPr>
            <w:r w:rsidRPr="00340008">
              <w:rPr>
                <w:rFonts w:ascii="Palatino Linotype" w:hAnsi="Palatino Linotype" w:cs="Arial"/>
                <w:sz w:val="20"/>
                <w:lang w:eastAsia="en-GB"/>
              </w:rPr>
              <w:t>0.72</w:t>
            </w:r>
          </w:p>
        </w:tc>
      </w:tr>
      <w:tr w:rsidR="00822961" w:rsidRPr="00D80609" w14:paraId="5D08E27E" w14:textId="77777777" w:rsidTr="00822961">
        <w:trPr>
          <w:jc w:val="center"/>
        </w:trPr>
        <w:tc>
          <w:tcPr>
            <w:tcW w:w="4702" w:type="dxa"/>
            <w:shd w:val="clear" w:color="auto" w:fill="auto"/>
            <w:vAlign w:val="center"/>
          </w:tcPr>
          <w:p w14:paraId="68BD92E2" w14:textId="77777777" w:rsidR="00822961" w:rsidRPr="00340008" w:rsidRDefault="00822961" w:rsidP="00E068A0">
            <w:pPr>
              <w:spacing w:line="240" w:lineRule="auto"/>
              <w:ind w:firstLine="426"/>
              <w:rPr>
                <w:rFonts w:ascii="Palatino Linotype" w:hAnsi="Palatino Linotype" w:cs="Arial"/>
                <w:sz w:val="20"/>
                <w:lang w:eastAsia="en-GB"/>
              </w:rPr>
            </w:pPr>
            <w:r w:rsidRPr="00340008">
              <w:rPr>
                <w:rFonts w:ascii="Palatino Linotype" w:hAnsi="Palatino Linotype" w:cs="Arial"/>
                <w:sz w:val="20"/>
                <w:lang w:eastAsia="en-GB"/>
              </w:rPr>
              <w:t>Less than a quarter</w:t>
            </w:r>
          </w:p>
        </w:tc>
        <w:tc>
          <w:tcPr>
            <w:tcW w:w="1187" w:type="dxa"/>
            <w:shd w:val="clear" w:color="auto" w:fill="auto"/>
            <w:vAlign w:val="bottom"/>
          </w:tcPr>
          <w:p w14:paraId="4BB8D3A0"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32 (5.2)</w:t>
            </w:r>
          </w:p>
        </w:tc>
        <w:tc>
          <w:tcPr>
            <w:tcW w:w="1438" w:type="dxa"/>
            <w:shd w:val="clear" w:color="auto" w:fill="auto"/>
            <w:vAlign w:val="bottom"/>
          </w:tcPr>
          <w:p w14:paraId="0C9B792B"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44 (4.0)</w:t>
            </w:r>
          </w:p>
        </w:tc>
        <w:tc>
          <w:tcPr>
            <w:tcW w:w="1114" w:type="dxa"/>
            <w:vAlign w:val="bottom"/>
          </w:tcPr>
          <w:p w14:paraId="43842A82"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22 (4.3)</w:t>
            </w:r>
          </w:p>
        </w:tc>
        <w:tc>
          <w:tcPr>
            <w:tcW w:w="1109" w:type="dxa"/>
            <w:vAlign w:val="bottom"/>
          </w:tcPr>
          <w:p w14:paraId="405F866F"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2 (7.4)</w:t>
            </w:r>
          </w:p>
        </w:tc>
        <w:tc>
          <w:tcPr>
            <w:tcW w:w="809" w:type="dxa"/>
          </w:tcPr>
          <w:p w14:paraId="2BB5158F" w14:textId="77777777" w:rsidR="00822961" w:rsidRPr="00340008" w:rsidRDefault="00822961" w:rsidP="00E068A0">
            <w:pPr>
              <w:pStyle w:val="MDPI42tablebody"/>
              <w:spacing w:line="240" w:lineRule="auto"/>
              <w:rPr>
                <w:rFonts w:cs="Arial"/>
                <w:snapToGrid/>
                <w:lang w:eastAsia="en-GB" w:bidi="ar-SA"/>
              </w:rPr>
            </w:pPr>
          </w:p>
        </w:tc>
      </w:tr>
      <w:tr w:rsidR="00822961" w:rsidRPr="00D80609" w14:paraId="595CDE6F" w14:textId="77777777" w:rsidTr="00822961">
        <w:trPr>
          <w:jc w:val="center"/>
        </w:trPr>
        <w:tc>
          <w:tcPr>
            <w:tcW w:w="4702" w:type="dxa"/>
            <w:shd w:val="clear" w:color="auto" w:fill="auto"/>
            <w:vAlign w:val="center"/>
          </w:tcPr>
          <w:p w14:paraId="38E5E9EB" w14:textId="77777777" w:rsidR="00822961" w:rsidRPr="00340008" w:rsidRDefault="00822961" w:rsidP="00E068A0">
            <w:pPr>
              <w:spacing w:line="240" w:lineRule="auto"/>
              <w:ind w:firstLine="426"/>
              <w:rPr>
                <w:rFonts w:ascii="Palatino Linotype" w:hAnsi="Palatino Linotype" w:cs="Arial"/>
                <w:sz w:val="20"/>
                <w:lang w:eastAsia="en-GB"/>
              </w:rPr>
            </w:pPr>
            <w:r w:rsidRPr="00340008">
              <w:rPr>
                <w:rFonts w:ascii="Palatino Linotype" w:hAnsi="Palatino Linotype" w:cs="Arial"/>
                <w:sz w:val="20"/>
                <w:lang w:eastAsia="en-GB"/>
              </w:rPr>
              <w:t>Between a quarter and a half</w:t>
            </w:r>
          </w:p>
        </w:tc>
        <w:tc>
          <w:tcPr>
            <w:tcW w:w="1187" w:type="dxa"/>
            <w:shd w:val="clear" w:color="auto" w:fill="auto"/>
            <w:vAlign w:val="bottom"/>
          </w:tcPr>
          <w:p w14:paraId="674BB6A8"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89 (14.5)</w:t>
            </w:r>
          </w:p>
        </w:tc>
        <w:tc>
          <w:tcPr>
            <w:tcW w:w="1438" w:type="dxa"/>
            <w:shd w:val="clear" w:color="auto" w:fill="auto"/>
            <w:vAlign w:val="bottom"/>
          </w:tcPr>
          <w:p w14:paraId="5EAB4683"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159 (14.5)</w:t>
            </w:r>
          </w:p>
        </w:tc>
        <w:tc>
          <w:tcPr>
            <w:tcW w:w="1114" w:type="dxa"/>
            <w:vAlign w:val="bottom"/>
          </w:tcPr>
          <w:p w14:paraId="6BBCF69D"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74 (14.6)</w:t>
            </w:r>
          </w:p>
        </w:tc>
        <w:tc>
          <w:tcPr>
            <w:tcW w:w="1109" w:type="dxa"/>
            <w:vAlign w:val="bottom"/>
          </w:tcPr>
          <w:p w14:paraId="4B4DDBDF"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2 (7.4)</w:t>
            </w:r>
          </w:p>
        </w:tc>
        <w:tc>
          <w:tcPr>
            <w:tcW w:w="809" w:type="dxa"/>
          </w:tcPr>
          <w:p w14:paraId="04F8D700" w14:textId="77777777" w:rsidR="00822961" w:rsidRPr="00340008" w:rsidRDefault="00822961" w:rsidP="00E068A0">
            <w:pPr>
              <w:pStyle w:val="MDPI42tablebody"/>
              <w:spacing w:line="240" w:lineRule="auto"/>
              <w:rPr>
                <w:rFonts w:cs="Arial"/>
                <w:snapToGrid/>
                <w:lang w:eastAsia="en-GB" w:bidi="ar-SA"/>
              </w:rPr>
            </w:pPr>
          </w:p>
        </w:tc>
      </w:tr>
      <w:tr w:rsidR="00822961" w:rsidRPr="00D80609" w14:paraId="0D5283E9" w14:textId="77777777" w:rsidTr="00822961">
        <w:trPr>
          <w:jc w:val="center"/>
        </w:trPr>
        <w:tc>
          <w:tcPr>
            <w:tcW w:w="4702" w:type="dxa"/>
            <w:shd w:val="clear" w:color="auto" w:fill="auto"/>
            <w:vAlign w:val="center"/>
          </w:tcPr>
          <w:p w14:paraId="5ACE3472" w14:textId="77777777" w:rsidR="00822961" w:rsidRPr="00340008" w:rsidRDefault="00822961" w:rsidP="00E068A0">
            <w:pPr>
              <w:spacing w:line="240" w:lineRule="auto"/>
              <w:ind w:firstLine="426"/>
              <w:rPr>
                <w:rFonts w:ascii="Palatino Linotype" w:hAnsi="Palatino Linotype" w:cs="Arial"/>
                <w:sz w:val="20"/>
                <w:lang w:eastAsia="en-GB"/>
              </w:rPr>
            </w:pPr>
            <w:r w:rsidRPr="00340008">
              <w:rPr>
                <w:rFonts w:ascii="Palatino Linotype" w:hAnsi="Palatino Linotype" w:cs="Arial"/>
                <w:sz w:val="20"/>
                <w:lang w:eastAsia="en-GB"/>
              </w:rPr>
              <w:t>Half or more</w:t>
            </w:r>
          </w:p>
        </w:tc>
        <w:tc>
          <w:tcPr>
            <w:tcW w:w="1187" w:type="dxa"/>
            <w:shd w:val="clear" w:color="auto" w:fill="auto"/>
            <w:vAlign w:val="bottom"/>
          </w:tcPr>
          <w:p w14:paraId="33BED760"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477 (77.7)</w:t>
            </w:r>
          </w:p>
        </w:tc>
        <w:tc>
          <w:tcPr>
            <w:tcW w:w="1438" w:type="dxa"/>
            <w:shd w:val="clear" w:color="auto" w:fill="auto"/>
            <w:vAlign w:val="bottom"/>
          </w:tcPr>
          <w:p w14:paraId="3B594F2C"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853 (77.6)</w:t>
            </w:r>
          </w:p>
        </w:tc>
        <w:tc>
          <w:tcPr>
            <w:tcW w:w="1114" w:type="dxa"/>
            <w:vAlign w:val="bottom"/>
          </w:tcPr>
          <w:p w14:paraId="6C3F27E5"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394 (77.7)</w:t>
            </w:r>
          </w:p>
        </w:tc>
        <w:tc>
          <w:tcPr>
            <w:tcW w:w="1109" w:type="dxa"/>
            <w:vAlign w:val="bottom"/>
          </w:tcPr>
          <w:p w14:paraId="4DEA5F05"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23 (85.2)</w:t>
            </w:r>
          </w:p>
        </w:tc>
        <w:tc>
          <w:tcPr>
            <w:tcW w:w="809" w:type="dxa"/>
          </w:tcPr>
          <w:p w14:paraId="334C3323" w14:textId="77777777" w:rsidR="00822961" w:rsidRPr="00340008" w:rsidRDefault="00822961" w:rsidP="00E068A0">
            <w:pPr>
              <w:pStyle w:val="MDPI42tablebody"/>
              <w:spacing w:line="240" w:lineRule="auto"/>
              <w:rPr>
                <w:rFonts w:cs="Arial"/>
                <w:snapToGrid/>
                <w:lang w:eastAsia="en-GB" w:bidi="ar-SA"/>
              </w:rPr>
            </w:pPr>
          </w:p>
        </w:tc>
      </w:tr>
      <w:tr w:rsidR="00822961" w:rsidRPr="00D80609" w14:paraId="445BD56E" w14:textId="77777777" w:rsidTr="00822961">
        <w:trPr>
          <w:jc w:val="center"/>
        </w:trPr>
        <w:tc>
          <w:tcPr>
            <w:tcW w:w="4702" w:type="dxa"/>
            <w:shd w:val="clear" w:color="auto" w:fill="auto"/>
            <w:vAlign w:val="bottom"/>
          </w:tcPr>
          <w:p w14:paraId="319B2BFB" w14:textId="77777777" w:rsidR="00822961" w:rsidRPr="00340008" w:rsidRDefault="00822961" w:rsidP="00E068A0">
            <w:pPr>
              <w:spacing w:line="240" w:lineRule="auto"/>
              <w:rPr>
                <w:rFonts w:ascii="Palatino Linotype" w:hAnsi="Palatino Linotype" w:cs="Arial"/>
                <w:sz w:val="20"/>
                <w:lang w:eastAsia="en-GB"/>
              </w:rPr>
            </w:pPr>
            <w:r w:rsidRPr="00340008">
              <w:rPr>
                <w:rFonts w:ascii="Palatino Linotype" w:hAnsi="Palatino Linotype" w:cs="Arial"/>
                <w:sz w:val="20"/>
                <w:lang w:eastAsia="en-GB"/>
              </w:rPr>
              <w:t>Social class</w:t>
            </w:r>
          </w:p>
        </w:tc>
        <w:tc>
          <w:tcPr>
            <w:tcW w:w="1187" w:type="dxa"/>
            <w:shd w:val="clear" w:color="auto" w:fill="auto"/>
            <w:vAlign w:val="center"/>
          </w:tcPr>
          <w:p w14:paraId="28F307B7" w14:textId="77777777" w:rsidR="00822961" w:rsidRPr="00340008" w:rsidRDefault="00822961" w:rsidP="00E068A0">
            <w:pPr>
              <w:pStyle w:val="MDPI42tablebody"/>
              <w:spacing w:line="240" w:lineRule="auto"/>
              <w:rPr>
                <w:rFonts w:cs="Arial"/>
                <w:snapToGrid/>
                <w:lang w:eastAsia="en-GB" w:bidi="ar-SA"/>
              </w:rPr>
            </w:pPr>
          </w:p>
        </w:tc>
        <w:tc>
          <w:tcPr>
            <w:tcW w:w="1438" w:type="dxa"/>
            <w:shd w:val="clear" w:color="auto" w:fill="auto"/>
            <w:vAlign w:val="center"/>
          </w:tcPr>
          <w:p w14:paraId="0E7BAE8E" w14:textId="77777777" w:rsidR="00822961" w:rsidRPr="00340008" w:rsidRDefault="00822961" w:rsidP="00E068A0">
            <w:pPr>
              <w:pStyle w:val="MDPI42tablebody"/>
              <w:spacing w:line="240" w:lineRule="auto"/>
              <w:rPr>
                <w:rFonts w:cs="Arial"/>
                <w:snapToGrid/>
                <w:lang w:eastAsia="en-GB" w:bidi="ar-SA"/>
              </w:rPr>
            </w:pPr>
          </w:p>
        </w:tc>
        <w:tc>
          <w:tcPr>
            <w:tcW w:w="1114" w:type="dxa"/>
          </w:tcPr>
          <w:p w14:paraId="39E44478" w14:textId="77777777" w:rsidR="00822961" w:rsidRPr="00340008" w:rsidRDefault="00822961" w:rsidP="00E068A0">
            <w:pPr>
              <w:pStyle w:val="MDPI42tablebody"/>
              <w:spacing w:line="240" w:lineRule="auto"/>
              <w:rPr>
                <w:rFonts w:cs="Arial"/>
                <w:snapToGrid/>
                <w:lang w:eastAsia="en-GB" w:bidi="ar-SA"/>
              </w:rPr>
            </w:pPr>
          </w:p>
        </w:tc>
        <w:tc>
          <w:tcPr>
            <w:tcW w:w="1109" w:type="dxa"/>
          </w:tcPr>
          <w:p w14:paraId="052382FE" w14:textId="77777777" w:rsidR="00822961" w:rsidRPr="00340008" w:rsidRDefault="00822961" w:rsidP="00E068A0">
            <w:pPr>
              <w:pStyle w:val="MDPI42tablebody"/>
              <w:spacing w:line="240" w:lineRule="auto"/>
              <w:rPr>
                <w:rFonts w:cs="Arial"/>
                <w:snapToGrid/>
                <w:lang w:eastAsia="en-GB" w:bidi="ar-SA"/>
              </w:rPr>
            </w:pPr>
          </w:p>
        </w:tc>
        <w:tc>
          <w:tcPr>
            <w:tcW w:w="809" w:type="dxa"/>
          </w:tcPr>
          <w:p w14:paraId="3E65041E" w14:textId="77777777" w:rsidR="00822961" w:rsidRPr="00340008" w:rsidRDefault="00822961" w:rsidP="00E068A0">
            <w:pPr>
              <w:pStyle w:val="MDPI42tablebody"/>
              <w:spacing w:line="240" w:lineRule="auto"/>
              <w:rPr>
                <w:rFonts w:cs="Arial"/>
                <w:snapToGrid/>
                <w:lang w:eastAsia="en-GB" w:bidi="ar-SA"/>
              </w:rPr>
            </w:pPr>
          </w:p>
        </w:tc>
      </w:tr>
      <w:tr w:rsidR="00822961" w:rsidRPr="00D80609" w14:paraId="5E8710E1" w14:textId="77777777" w:rsidTr="00822961">
        <w:trPr>
          <w:jc w:val="center"/>
        </w:trPr>
        <w:tc>
          <w:tcPr>
            <w:tcW w:w="4702" w:type="dxa"/>
            <w:shd w:val="clear" w:color="auto" w:fill="auto"/>
            <w:vAlign w:val="bottom"/>
          </w:tcPr>
          <w:p w14:paraId="1217B155" w14:textId="77777777" w:rsidR="00822961" w:rsidRPr="00340008" w:rsidRDefault="00822961" w:rsidP="00E068A0">
            <w:pPr>
              <w:spacing w:line="240" w:lineRule="auto"/>
              <w:ind w:firstLine="318"/>
              <w:rPr>
                <w:rFonts w:ascii="Palatino Linotype" w:hAnsi="Palatino Linotype" w:cs="Arial"/>
                <w:sz w:val="20"/>
                <w:lang w:eastAsia="en-GB"/>
              </w:rPr>
            </w:pPr>
            <w:r w:rsidRPr="00340008">
              <w:rPr>
                <w:rFonts w:ascii="Palatino Linotype" w:hAnsi="Palatino Linotype" w:cs="Arial"/>
                <w:sz w:val="20"/>
                <w:lang w:eastAsia="en-GB"/>
              </w:rPr>
              <w:t>Higher managerial</w:t>
            </w:r>
          </w:p>
        </w:tc>
        <w:tc>
          <w:tcPr>
            <w:tcW w:w="1187" w:type="dxa"/>
            <w:shd w:val="clear" w:color="auto" w:fill="auto"/>
            <w:vAlign w:val="bottom"/>
          </w:tcPr>
          <w:p w14:paraId="31FAD196"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275 (44.6)</w:t>
            </w:r>
          </w:p>
        </w:tc>
        <w:tc>
          <w:tcPr>
            <w:tcW w:w="1438" w:type="dxa"/>
            <w:shd w:val="clear" w:color="auto" w:fill="auto"/>
            <w:vAlign w:val="bottom"/>
          </w:tcPr>
          <w:p w14:paraId="7E473ACF"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474 (42.9)</w:t>
            </w:r>
          </w:p>
        </w:tc>
        <w:tc>
          <w:tcPr>
            <w:tcW w:w="1114" w:type="dxa"/>
            <w:vAlign w:val="bottom"/>
          </w:tcPr>
          <w:p w14:paraId="0DA816CE"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205 (39.9)</w:t>
            </w:r>
          </w:p>
        </w:tc>
        <w:tc>
          <w:tcPr>
            <w:tcW w:w="1109" w:type="dxa"/>
            <w:vAlign w:val="bottom"/>
          </w:tcPr>
          <w:p w14:paraId="047F9D34"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10 (35.7)</w:t>
            </w:r>
          </w:p>
        </w:tc>
        <w:tc>
          <w:tcPr>
            <w:tcW w:w="809" w:type="dxa"/>
            <w:vAlign w:val="bottom"/>
          </w:tcPr>
          <w:p w14:paraId="2EBE887E"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0.32</w:t>
            </w:r>
          </w:p>
        </w:tc>
      </w:tr>
      <w:tr w:rsidR="00822961" w:rsidRPr="00D80609" w14:paraId="7BD584E0" w14:textId="77777777" w:rsidTr="00822961">
        <w:trPr>
          <w:jc w:val="center"/>
        </w:trPr>
        <w:tc>
          <w:tcPr>
            <w:tcW w:w="4702" w:type="dxa"/>
            <w:shd w:val="clear" w:color="auto" w:fill="auto"/>
            <w:vAlign w:val="bottom"/>
          </w:tcPr>
          <w:p w14:paraId="7E9F7009" w14:textId="77777777" w:rsidR="00822961" w:rsidRPr="00340008" w:rsidRDefault="00822961" w:rsidP="00E068A0">
            <w:pPr>
              <w:spacing w:line="240" w:lineRule="auto"/>
              <w:ind w:firstLine="318"/>
              <w:rPr>
                <w:rFonts w:ascii="Palatino Linotype" w:hAnsi="Palatino Linotype" w:cs="Arial"/>
                <w:sz w:val="20"/>
                <w:lang w:eastAsia="en-GB"/>
              </w:rPr>
            </w:pPr>
            <w:r w:rsidRPr="00340008">
              <w:rPr>
                <w:rFonts w:ascii="Palatino Linotype" w:hAnsi="Palatino Linotype" w:cs="Arial"/>
                <w:sz w:val="20"/>
                <w:lang w:eastAsia="en-GB"/>
              </w:rPr>
              <w:t>Intermediate occupation</w:t>
            </w:r>
          </w:p>
        </w:tc>
        <w:tc>
          <w:tcPr>
            <w:tcW w:w="1187" w:type="dxa"/>
            <w:shd w:val="clear" w:color="auto" w:fill="auto"/>
            <w:vAlign w:val="bottom"/>
          </w:tcPr>
          <w:p w14:paraId="459A037A"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135 (21.9)</w:t>
            </w:r>
          </w:p>
        </w:tc>
        <w:tc>
          <w:tcPr>
            <w:tcW w:w="1438" w:type="dxa"/>
            <w:shd w:val="clear" w:color="auto" w:fill="auto"/>
            <w:vAlign w:val="bottom"/>
          </w:tcPr>
          <w:p w14:paraId="4084430D"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232 (21.0)</w:t>
            </w:r>
          </w:p>
        </w:tc>
        <w:tc>
          <w:tcPr>
            <w:tcW w:w="1114" w:type="dxa"/>
            <w:vAlign w:val="bottom"/>
          </w:tcPr>
          <w:p w14:paraId="2D0D1A7F"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100 (19.5)</w:t>
            </w:r>
          </w:p>
        </w:tc>
        <w:tc>
          <w:tcPr>
            <w:tcW w:w="1109" w:type="dxa"/>
            <w:vAlign w:val="bottom"/>
          </w:tcPr>
          <w:p w14:paraId="6ABE4CA1"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6 (21.4)</w:t>
            </w:r>
          </w:p>
        </w:tc>
        <w:tc>
          <w:tcPr>
            <w:tcW w:w="809" w:type="dxa"/>
            <w:vAlign w:val="bottom"/>
          </w:tcPr>
          <w:p w14:paraId="218EBC2B" w14:textId="77777777" w:rsidR="00822961" w:rsidRPr="00340008" w:rsidRDefault="00822961" w:rsidP="00E068A0">
            <w:pPr>
              <w:spacing w:line="240" w:lineRule="auto"/>
              <w:jc w:val="center"/>
              <w:rPr>
                <w:rFonts w:ascii="Palatino Linotype" w:hAnsi="Palatino Linotype" w:cs="Arial"/>
                <w:sz w:val="20"/>
                <w:lang w:eastAsia="en-GB"/>
              </w:rPr>
            </w:pPr>
          </w:p>
        </w:tc>
      </w:tr>
      <w:tr w:rsidR="00822961" w:rsidRPr="00D80609" w14:paraId="56037F28" w14:textId="77777777" w:rsidTr="00822961">
        <w:trPr>
          <w:jc w:val="center"/>
        </w:trPr>
        <w:tc>
          <w:tcPr>
            <w:tcW w:w="4702" w:type="dxa"/>
            <w:shd w:val="clear" w:color="auto" w:fill="auto"/>
            <w:vAlign w:val="bottom"/>
          </w:tcPr>
          <w:p w14:paraId="49577B9D" w14:textId="77777777" w:rsidR="00822961" w:rsidRPr="00340008" w:rsidRDefault="00822961" w:rsidP="00E068A0">
            <w:pPr>
              <w:spacing w:line="240" w:lineRule="auto"/>
              <w:ind w:firstLine="318"/>
              <w:rPr>
                <w:rFonts w:ascii="Palatino Linotype" w:hAnsi="Palatino Linotype" w:cs="Arial"/>
                <w:sz w:val="20"/>
                <w:lang w:eastAsia="en-GB"/>
              </w:rPr>
            </w:pPr>
            <w:r w:rsidRPr="00340008">
              <w:rPr>
                <w:rFonts w:ascii="Palatino Linotype" w:hAnsi="Palatino Linotype" w:cs="Arial"/>
                <w:sz w:val="20"/>
                <w:lang w:eastAsia="en-GB"/>
              </w:rPr>
              <w:t>Routine occupation</w:t>
            </w:r>
          </w:p>
        </w:tc>
        <w:tc>
          <w:tcPr>
            <w:tcW w:w="1187" w:type="dxa"/>
            <w:shd w:val="clear" w:color="auto" w:fill="auto"/>
            <w:vAlign w:val="bottom"/>
          </w:tcPr>
          <w:p w14:paraId="3C2E01A3"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206 (33.4)</w:t>
            </w:r>
          </w:p>
        </w:tc>
        <w:tc>
          <w:tcPr>
            <w:tcW w:w="1438" w:type="dxa"/>
            <w:shd w:val="clear" w:color="auto" w:fill="auto"/>
            <w:vAlign w:val="bottom"/>
          </w:tcPr>
          <w:p w14:paraId="4C01AE9E"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400 (36.2)</w:t>
            </w:r>
          </w:p>
        </w:tc>
        <w:tc>
          <w:tcPr>
            <w:tcW w:w="1114" w:type="dxa"/>
            <w:vAlign w:val="bottom"/>
          </w:tcPr>
          <w:p w14:paraId="7794CC85"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209 (40.7)</w:t>
            </w:r>
          </w:p>
        </w:tc>
        <w:tc>
          <w:tcPr>
            <w:tcW w:w="1109" w:type="dxa"/>
            <w:vAlign w:val="bottom"/>
          </w:tcPr>
          <w:p w14:paraId="22770474"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12 (42.9)</w:t>
            </w:r>
          </w:p>
        </w:tc>
        <w:tc>
          <w:tcPr>
            <w:tcW w:w="809" w:type="dxa"/>
            <w:vAlign w:val="bottom"/>
          </w:tcPr>
          <w:p w14:paraId="4AF28C77" w14:textId="77777777" w:rsidR="00822961" w:rsidRPr="00340008" w:rsidRDefault="00822961" w:rsidP="00E068A0">
            <w:pPr>
              <w:spacing w:line="240" w:lineRule="auto"/>
              <w:jc w:val="center"/>
              <w:rPr>
                <w:rFonts w:ascii="Palatino Linotype" w:hAnsi="Palatino Linotype" w:cs="Arial"/>
                <w:sz w:val="20"/>
                <w:lang w:eastAsia="en-GB"/>
              </w:rPr>
            </w:pPr>
          </w:p>
        </w:tc>
      </w:tr>
      <w:tr w:rsidR="00822961" w:rsidRPr="00D80609" w14:paraId="4C68BD1C" w14:textId="77777777" w:rsidTr="00822961">
        <w:trPr>
          <w:jc w:val="center"/>
        </w:trPr>
        <w:tc>
          <w:tcPr>
            <w:tcW w:w="4702" w:type="dxa"/>
            <w:shd w:val="clear" w:color="auto" w:fill="auto"/>
            <w:vAlign w:val="bottom"/>
          </w:tcPr>
          <w:p w14:paraId="5F31F7C6" w14:textId="77777777" w:rsidR="00822961" w:rsidRPr="00340008" w:rsidRDefault="00822961" w:rsidP="00E068A0">
            <w:pPr>
              <w:spacing w:line="240" w:lineRule="auto"/>
              <w:rPr>
                <w:rFonts w:ascii="Palatino Linotype" w:hAnsi="Palatino Linotype" w:cs="Arial"/>
                <w:sz w:val="20"/>
                <w:lang w:eastAsia="en-GB"/>
              </w:rPr>
            </w:pPr>
            <w:r w:rsidRPr="00340008">
              <w:rPr>
                <w:rFonts w:ascii="Palatino Linotype" w:hAnsi="Palatino Linotype" w:cs="Arial"/>
                <w:sz w:val="20"/>
                <w:lang w:eastAsia="en-GB"/>
              </w:rPr>
              <w:t>Home ownership - Rented/rent free</w:t>
            </w:r>
          </w:p>
        </w:tc>
        <w:tc>
          <w:tcPr>
            <w:tcW w:w="1187" w:type="dxa"/>
            <w:shd w:val="clear" w:color="auto" w:fill="auto"/>
            <w:vAlign w:val="bottom"/>
          </w:tcPr>
          <w:p w14:paraId="1AFB4365"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71 (11.5)</w:t>
            </w:r>
          </w:p>
        </w:tc>
        <w:tc>
          <w:tcPr>
            <w:tcW w:w="1438" w:type="dxa"/>
            <w:shd w:val="clear" w:color="auto" w:fill="auto"/>
            <w:vAlign w:val="bottom"/>
          </w:tcPr>
          <w:p w14:paraId="345532B6"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113 (10.2)</w:t>
            </w:r>
          </w:p>
        </w:tc>
        <w:tc>
          <w:tcPr>
            <w:tcW w:w="1114" w:type="dxa"/>
            <w:vAlign w:val="bottom"/>
          </w:tcPr>
          <w:p w14:paraId="438752B9"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75 (14.6)</w:t>
            </w:r>
          </w:p>
        </w:tc>
        <w:tc>
          <w:tcPr>
            <w:tcW w:w="1109" w:type="dxa"/>
            <w:vAlign w:val="bottom"/>
          </w:tcPr>
          <w:p w14:paraId="397D5E8C"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8 (29.6)</w:t>
            </w:r>
          </w:p>
        </w:tc>
        <w:tc>
          <w:tcPr>
            <w:tcW w:w="809" w:type="dxa"/>
            <w:vAlign w:val="bottom"/>
          </w:tcPr>
          <w:p w14:paraId="19A0E473"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0.002</w:t>
            </w:r>
          </w:p>
        </w:tc>
      </w:tr>
      <w:tr w:rsidR="00822961" w:rsidRPr="00D80609" w14:paraId="7143DD0A" w14:textId="77777777" w:rsidTr="00822961">
        <w:trPr>
          <w:jc w:val="center"/>
        </w:trPr>
        <w:tc>
          <w:tcPr>
            <w:tcW w:w="4702" w:type="dxa"/>
            <w:shd w:val="clear" w:color="auto" w:fill="auto"/>
            <w:vAlign w:val="bottom"/>
          </w:tcPr>
          <w:p w14:paraId="692BB0E3" w14:textId="77777777" w:rsidR="00822961" w:rsidRPr="00340008" w:rsidRDefault="00822961" w:rsidP="00E068A0">
            <w:pPr>
              <w:spacing w:line="240" w:lineRule="auto"/>
              <w:rPr>
                <w:rFonts w:ascii="Palatino Linotype" w:hAnsi="Palatino Linotype" w:cs="Arial"/>
                <w:sz w:val="20"/>
                <w:lang w:eastAsia="en-GB"/>
              </w:rPr>
            </w:pPr>
            <w:r w:rsidRPr="00340008">
              <w:rPr>
                <w:rFonts w:ascii="Palatino Linotype" w:hAnsi="Palatino Linotype" w:cs="Arial"/>
                <w:sz w:val="20"/>
                <w:lang w:eastAsia="en-GB"/>
              </w:rPr>
              <w:t>Managing financially - finding it difficult</w:t>
            </w:r>
          </w:p>
        </w:tc>
        <w:tc>
          <w:tcPr>
            <w:tcW w:w="1187" w:type="dxa"/>
            <w:shd w:val="clear" w:color="auto" w:fill="auto"/>
            <w:vAlign w:val="bottom"/>
          </w:tcPr>
          <w:p w14:paraId="4C2DECE0"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41 (6.7)</w:t>
            </w:r>
          </w:p>
        </w:tc>
        <w:tc>
          <w:tcPr>
            <w:tcW w:w="1438" w:type="dxa"/>
            <w:shd w:val="clear" w:color="auto" w:fill="auto"/>
            <w:vAlign w:val="bottom"/>
          </w:tcPr>
          <w:p w14:paraId="18E5233F"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69 (6.2)</w:t>
            </w:r>
          </w:p>
        </w:tc>
        <w:tc>
          <w:tcPr>
            <w:tcW w:w="1114" w:type="dxa"/>
            <w:vAlign w:val="bottom"/>
          </w:tcPr>
          <w:p w14:paraId="2985E182"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50 (9.8)</w:t>
            </w:r>
          </w:p>
        </w:tc>
        <w:tc>
          <w:tcPr>
            <w:tcW w:w="1109" w:type="dxa"/>
            <w:vAlign w:val="bottom"/>
          </w:tcPr>
          <w:p w14:paraId="102905DB"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8 (29.6)</w:t>
            </w:r>
          </w:p>
        </w:tc>
        <w:tc>
          <w:tcPr>
            <w:tcW w:w="809" w:type="dxa"/>
            <w:vAlign w:val="bottom"/>
          </w:tcPr>
          <w:p w14:paraId="10D25CEE"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&lt;0.001</w:t>
            </w:r>
          </w:p>
        </w:tc>
      </w:tr>
      <w:tr w:rsidR="00822961" w:rsidRPr="00D80609" w14:paraId="43454CD3" w14:textId="77777777" w:rsidTr="00822961">
        <w:trPr>
          <w:jc w:val="center"/>
        </w:trPr>
        <w:tc>
          <w:tcPr>
            <w:tcW w:w="4702" w:type="dxa"/>
            <w:shd w:val="clear" w:color="auto" w:fill="auto"/>
            <w:vAlign w:val="bottom"/>
          </w:tcPr>
          <w:p w14:paraId="5383CCE1" w14:textId="77777777" w:rsidR="00822961" w:rsidRPr="00340008" w:rsidRDefault="00822961" w:rsidP="00E068A0">
            <w:pPr>
              <w:spacing w:line="240" w:lineRule="auto"/>
              <w:rPr>
                <w:rFonts w:ascii="Palatino Linotype" w:hAnsi="Palatino Linotype" w:cs="Arial"/>
                <w:i/>
                <w:sz w:val="20"/>
                <w:lang w:eastAsia="en-GB"/>
              </w:rPr>
            </w:pPr>
            <w:r w:rsidRPr="00340008">
              <w:rPr>
                <w:rFonts w:ascii="Palatino Linotype" w:hAnsi="Palatino Linotype" w:cs="Arial"/>
                <w:i/>
                <w:sz w:val="20"/>
                <w:lang w:eastAsia="en-GB"/>
              </w:rPr>
              <w:t>Lifestyle factors</w:t>
            </w:r>
          </w:p>
        </w:tc>
        <w:tc>
          <w:tcPr>
            <w:tcW w:w="1187" w:type="dxa"/>
            <w:shd w:val="clear" w:color="auto" w:fill="auto"/>
            <w:vAlign w:val="bottom"/>
          </w:tcPr>
          <w:p w14:paraId="0257C482" w14:textId="77777777" w:rsidR="00822961" w:rsidRPr="00340008" w:rsidRDefault="00822961" w:rsidP="00E068A0">
            <w:pPr>
              <w:spacing w:line="240" w:lineRule="auto"/>
              <w:rPr>
                <w:rFonts w:ascii="Palatino Linotype" w:hAnsi="Palatino Linotype" w:cs="Arial"/>
                <w:sz w:val="20"/>
                <w:lang w:eastAsia="en-GB"/>
              </w:rPr>
            </w:pPr>
          </w:p>
        </w:tc>
        <w:tc>
          <w:tcPr>
            <w:tcW w:w="1438" w:type="dxa"/>
            <w:shd w:val="clear" w:color="auto" w:fill="auto"/>
            <w:vAlign w:val="bottom"/>
          </w:tcPr>
          <w:p w14:paraId="7C1A70DC" w14:textId="77777777" w:rsidR="00822961" w:rsidRPr="00340008" w:rsidRDefault="00822961" w:rsidP="00E068A0">
            <w:pPr>
              <w:spacing w:line="240" w:lineRule="auto"/>
              <w:jc w:val="center"/>
              <w:rPr>
                <w:rFonts w:ascii="Palatino Linotype" w:hAnsi="Palatino Linotype" w:cs="Arial"/>
                <w:sz w:val="20"/>
                <w:lang w:eastAsia="en-GB"/>
              </w:rPr>
            </w:pPr>
          </w:p>
        </w:tc>
        <w:tc>
          <w:tcPr>
            <w:tcW w:w="1114" w:type="dxa"/>
            <w:vAlign w:val="bottom"/>
          </w:tcPr>
          <w:p w14:paraId="1D68ACA0" w14:textId="77777777" w:rsidR="00822961" w:rsidRPr="00340008" w:rsidRDefault="00822961" w:rsidP="00E068A0">
            <w:pPr>
              <w:spacing w:line="240" w:lineRule="auto"/>
              <w:jc w:val="center"/>
              <w:rPr>
                <w:rFonts w:ascii="Palatino Linotype" w:hAnsi="Palatino Linotype" w:cs="Arial"/>
                <w:sz w:val="20"/>
                <w:lang w:eastAsia="en-GB"/>
              </w:rPr>
            </w:pPr>
          </w:p>
        </w:tc>
        <w:tc>
          <w:tcPr>
            <w:tcW w:w="1109" w:type="dxa"/>
            <w:vAlign w:val="bottom"/>
          </w:tcPr>
          <w:p w14:paraId="53B3348A" w14:textId="77777777" w:rsidR="00822961" w:rsidRPr="00340008" w:rsidRDefault="00822961" w:rsidP="00E068A0">
            <w:pPr>
              <w:spacing w:line="240" w:lineRule="auto"/>
              <w:jc w:val="center"/>
              <w:rPr>
                <w:rFonts w:ascii="Palatino Linotype" w:hAnsi="Palatino Linotype" w:cs="Arial"/>
                <w:sz w:val="20"/>
                <w:lang w:eastAsia="en-GB"/>
              </w:rPr>
            </w:pPr>
          </w:p>
        </w:tc>
        <w:tc>
          <w:tcPr>
            <w:tcW w:w="809" w:type="dxa"/>
            <w:vAlign w:val="bottom"/>
          </w:tcPr>
          <w:p w14:paraId="1CF377BD" w14:textId="77777777" w:rsidR="00822961" w:rsidRPr="00340008" w:rsidRDefault="00822961" w:rsidP="00E068A0">
            <w:pPr>
              <w:spacing w:line="240" w:lineRule="auto"/>
              <w:jc w:val="center"/>
              <w:rPr>
                <w:rFonts w:ascii="Palatino Linotype" w:hAnsi="Palatino Linotype" w:cs="Arial"/>
                <w:sz w:val="20"/>
                <w:lang w:eastAsia="en-GB"/>
              </w:rPr>
            </w:pPr>
          </w:p>
        </w:tc>
      </w:tr>
      <w:tr w:rsidR="00822961" w:rsidRPr="00D80609" w14:paraId="27C5B248" w14:textId="77777777" w:rsidTr="00822961">
        <w:trPr>
          <w:jc w:val="center"/>
        </w:trPr>
        <w:tc>
          <w:tcPr>
            <w:tcW w:w="4702" w:type="dxa"/>
            <w:shd w:val="clear" w:color="auto" w:fill="auto"/>
            <w:vAlign w:val="bottom"/>
          </w:tcPr>
          <w:p w14:paraId="54A11936" w14:textId="77777777" w:rsidR="00822961" w:rsidRPr="00340008" w:rsidRDefault="00822961" w:rsidP="00E068A0">
            <w:pPr>
              <w:spacing w:line="240" w:lineRule="auto"/>
              <w:rPr>
                <w:rFonts w:ascii="Palatino Linotype" w:hAnsi="Palatino Linotype" w:cs="Arial"/>
                <w:sz w:val="20"/>
                <w:lang w:eastAsia="en-GB"/>
              </w:rPr>
            </w:pPr>
            <w:r w:rsidRPr="00340008">
              <w:rPr>
                <w:rFonts w:ascii="Palatino Linotype" w:hAnsi="Palatino Linotype" w:cs="Arial"/>
                <w:sz w:val="20"/>
                <w:lang w:eastAsia="en-GB"/>
              </w:rPr>
              <w:t>No physical activity</w:t>
            </w:r>
          </w:p>
        </w:tc>
        <w:tc>
          <w:tcPr>
            <w:tcW w:w="1187" w:type="dxa"/>
            <w:shd w:val="clear" w:color="auto" w:fill="auto"/>
            <w:vAlign w:val="bottom"/>
          </w:tcPr>
          <w:p w14:paraId="43510F4C"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78 (13.3)</w:t>
            </w:r>
          </w:p>
        </w:tc>
        <w:tc>
          <w:tcPr>
            <w:tcW w:w="1438" w:type="dxa"/>
            <w:shd w:val="clear" w:color="auto" w:fill="auto"/>
            <w:vAlign w:val="bottom"/>
          </w:tcPr>
          <w:p w14:paraId="17C4B8EB"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155 (15.0)</w:t>
            </w:r>
          </w:p>
        </w:tc>
        <w:tc>
          <w:tcPr>
            <w:tcW w:w="1114" w:type="dxa"/>
            <w:vAlign w:val="bottom"/>
          </w:tcPr>
          <w:p w14:paraId="70F6CED5"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96 (20.1)</w:t>
            </w:r>
          </w:p>
        </w:tc>
        <w:tc>
          <w:tcPr>
            <w:tcW w:w="1109" w:type="dxa"/>
            <w:vAlign w:val="bottom"/>
          </w:tcPr>
          <w:p w14:paraId="4769BBD0"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8 (32.0)</w:t>
            </w:r>
          </w:p>
        </w:tc>
        <w:tc>
          <w:tcPr>
            <w:tcW w:w="809" w:type="dxa"/>
            <w:vAlign w:val="bottom"/>
          </w:tcPr>
          <w:p w14:paraId="3E56ECC2"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0.002</w:t>
            </w:r>
          </w:p>
        </w:tc>
      </w:tr>
      <w:tr w:rsidR="00822961" w:rsidRPr="00D80609" w14:paraId="4009221A" w14:textId="77777777" w:rsidTr="00822961">
        <w:trPr>
          <w:jc w:val="center"/>
        </w:trPr>
        <w:tc>
          <w:tcPr>
            <w:tcW w:w="4702" w:type="dxa"/>
            <w:shd w:val="clear" w:color="auto" w:fill="auto"/>
            <w:vAlign w:val="bottom"/>
          </w:tcPr>
          <w:p w14:paraId="66554BE5" w14:textId="77777777" w:rsidR="00822961" w:rsidRPr="00340008" w:rsidRDefault="00822961" w:rsidP="00E068A0">
            <w:pPr>
              <w:spacing w:line="240" w:lineRule="auto"/>
              <w:rPr>
                <w:rFonts w:ascii="Palatino Linotype" w:hAnsi="Palatino Linotype" w:cs="Arial"/>
                <w:sz w:val="20"/>
                <w:lang w:eastAsia="en-GB"/>
              </w:rPr>
            </w:pPr>
            <w:r w:rsidRPr="00340008">
              <w:rPr>
                <w:rFonts w:ascii="Palatino Linotype" w:hAnsi="Palatino Linotype" w:cs="Arial"/>
                <w:sz w:val="20"/>
                <w:lang w:eastAsia="en-GB"/>
              </w:rPr>
              <w:t>Alcohol consumption</w:t>
            </w:r>
          </w:p>
        </w:tc>
        <w:tc>
          <w:tcPr>
            <w:tcW w:w="1187" w:type="dxa"/>
            <w:shd w:val="clear" w:color="auto" w:fill="auto"/>
            <w:vAlign w:val="bottom"/>
          </w:tcPr>
          <w:p w14:paraId="714D84ED" w14:textId="77777777" w:rsidR="00822961" w:rsidRPr="00340008" w:rsidRDefault="00822961" w:rsidP="00E068A0">
            <w:pPr>
              <w:spacing w:line="240" w:lineRule="auto"/>
              <w:rPr>
                <w:rFonts w:ascii="Palatino Linotype" w:hAnsi="Palatino Linotype" w:cs="Arial"/>
                <w:sz w:val="20"/>
                <w:lang w:eastAsia="en-GB"/>
              </w:rPr>
            </w:pPr>
          </w:p>
        </w:tc>
        <w:tc>
          <w:tcPr>
            <w:tcW w:w="1438" w:type="dxa"/>
            <w:shd w:val="clear" w:color="auto" w:fill="auto"/>
            <w:vAlign w:val="bottom"/>
          </w:tcPr>
          <w:p w14:paraId="45F17826" w14:textId="77777777" w:rsidR="00822961" w:rsidRPr="00340008" w:rsidRDefault="00822961" w:rsidP="00E068A0">
            <w:pPr>
              <w:spacing w:line="240" w:lineRule="auto"/>
              <w:jc w:val="center"/>
              <w:rPr>
                <w:rFonts w:ascii="Palatino Linotype" w:hAnsi="Palatino Linotype" w:cs="Arial"/>
                <w:sz w:val="20"/>
                <w:lang w:eastAsia="en-GB"/>
              </w:rPr>
            </w:pPr>
          </w:p>
        </w:tc>
        <w:tc>
          <w:tcPr>
            <w:tcW w:w="1114" w:type="dxa"/>
            <w:vAlign w:val="bottom"/>
          </w:tcPr>
          <w:p w14:paraId="5B9B33FA" w14:textId="77777777" w:rsidR="00822961" w:rsidRPr="00340008" w:rsidRDefault="00822961" w:rsidP="00E068A0">
            <w:pPr>
              <w:spacing w:line="240" w:lineRule="auto"/>
              <w:jc w:val="center"/>
              <w:rPr>
                <w:rFonts w:ascii="Palatino Linotype" w:hAnsi="Palatino Linotype" w:cs="Arial"/>
                <w:sz w:val="20"/>
                <w:lang w:eastAsia="en-GB"/>
              </w:rPr>
            </w:pPr>
          </w:p>
        </w:tc>
        <w:tc>
          <w:tcPr>
            <w:tcW w:w="1109" w:type="dxa"/>
            <w:vAlign w:val="bottom"/>
          </w:tcPr>
          <w:p w14:paraId="6C25E66B" w14:textId="77777777" w:rsidR="00822961" w:rsidRPr="00340008" w:rsidRDefault="00822961" w:rsidP="00E068A0">
            <w:pPr>
              <w:spacing w:line="240" w:lineRule="auto"/>
              <w:jc w:val="center"/>
              <w:rPr>
                <w:rFonts w:ascii="Palatino Linotype" w:hAnsi="Palatino Linotype" w:cs="Arial"/>
                <w:sz w:val="20"/>
                <w:lang w:eastAsia="en-GB"/>
              </w:rPr>
            </w:pPr>
          </w:p>
        </w:tc>
        <w:tc>
          <w:tcPr>
            <w:tcW w:w="809" w:type="dxa"/>
            <w:vAlign w:val="bottom"/>
          </w:tcPr>
          <w:p w14:paraId="05058698" w14:textId="77777777" w:rsidR="00822961" w:rsidRPr="00340008" w:rsidRDefault="00822961" w:rsidP="00E068A0">
            <w:pPr>
              <w:spacing w:line="240" w:lineRule="auto"/>
              <w:jc w:val="center"/>
              <w:rPr>
                <w:rFonts w:ascii="Palatino Linotype" w:hAnsi="Palatino Linotype" w:cs="Arial"/>
                <w:sz w:val="20"/>
                <w:lang w:eastAsia="en-GB"/>
              </w:rPr>
            </w:pPr>
          </w:p>
        </w:tc>
      </w:tr>
      <w:tr w:rsidR="00822961" w:rsidRPr="00D80609" w14:paraId="6A254A89" w14:textId="77777777" w:rsidTr="00822961">
        <w:trPr>
          <w:jc w:val="center"/>
        </w:trPr>
        <w:tc>
          <w:tcPr>
            <w:tcW w:w="4702" w:type="dxa"/>
            <w:shd w:val="clear" w:color="auto" w:fill="auto"/>
            <w:vAlign w:val="bottom"/>
          </w:tcPr>
          <w:p w14:paraId="396E11B8" w14:textId="77777777" w:rsidR="00822961" w:rsidRPr="00340008" w:rsidRDefault="00822961" w:rsidP="00E068A0">
            <w:pPr>
              <w:spacing w:line="240" w:lineRule="auto"/>
              <w:ind w:firstLineChars="200" w:firstLine="400"/>
              <w:rPr>
                <w:rFonts w:ascii="Palatino Linotype" w:hAnsi="Palatino Linotype" w:cs="Arial"/>
                <w:sz w:val="20"/>
                <w:lang w:eastAsia="en-GB"/>
              </w:rPr>
            </w:pPr>
            <w:r w:rsidRPr="00340008">
              <w:rPr>
                <w:rFonts w:ascii="Palatino Linotype" w:hAnsi="Palatino Linotype" w:cs="Arial"/>
                <w:sz w:val="20"/>
                <w:lang w:eastAsia="en-GB"/>
              </w:rPr>
              <w:t>Low/no drinker (≤1unit /</w:t>
            </w:r>
            <w:proofErr w:type="spellStart"/>
            <w:r w:rsidRPr="00340008">
              <w:rPr>
                <w:rFonts w:ascii="Palatino Linotype" w:hAnsi="Palatino Linotype" w:cs="Arial"/>
                <w:sz w:val="20"/>
                <w:lang w:eastAsia="en-GB"/>
              </w:rPr>
              <w:t>wk</w:t>
            </w:r>
            <w:proofErr w:type="spellEnd"/>
            <w:r w:rsidRPr="00340008">
              <w:rPr>
                <w:rFonts w:ascii="Palatino Linotype" w:hAnsi="Palatino Linotype" w:cs="Arial"/>
                <w:sz w:val="20"/>
                <w:lang w:eastAsia="en-GB"/>
              </w:rPr>
              <w:t>)</w:t>
            </w:r>
          </w:p>
        </w:tc>
        <w:tc>
          <w:tcPr>
            <w:tcW w:w="1187" w:type="dxa"/>
            <w:shd w:val="clear" w:color="auto" w:fill="auto"/>
            <w:vAlign w:val="bottom"/>
          </w:tcPr>
          <w:p w14:paraId="4EAA8441"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71 (12.0)</w:t>
            </w:r>
          </w:p>
        </w:tc>
        <w:tc>
          <w:tcPr>
            <w:tcW w:w="1438" w:type="dxa"/>
            <w:shd w:val="clear" w:color="auto" w:fill="auto"/>
            <w:vAlign w:val="bottom"/>
          </w:tcPr>
          <w:p w14:paraId="7EA0853B"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121 (11.3)</w:t>
            </w:r>
          </w:p>
        </w:tc>
        <w:tc>
          <w:tcPr>
            <w:tcW w:w="1114" w:type="dxa"/>
            <w:vAlign w:val="bottom"/>
          </w:tcPr>
          <w:p w14:paraId="6F241D8B"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92 (18.9)</w:t>
            </w:r>
          </w:p>
        </w:tc>
        <w:tc>
          <w:tcPr>
            <w:tcW w:w="1109" w:type="dxa"/>
            <w:vAlign w:val="bottom"/>
          </w:tcPr>
          <w:p w14:paraId="578E5A1A"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7 (28.0)</w:t>
            </w:r>
          </w:p>
        </w:tc>
        <w:tc>
          <w:tcPr>
            <w:tcW w:w="809" w:type="dxa"/>
            <w:vAlign w:val="bottom"/>
          </w:tcPr>
          <w:p w14:paraId="0B2373FC"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&lt;0.001</w:t>
            </w:r>
          </w:p>
        </w:tc>
      </w:tr>
      <w:tr w:rsidR="00822961" w:rsidRPr="00D80609" w14:paraId="169A7490" w14:textId="77777777" w:rsidTr="00822961">
        <w:trPr>
          <w:jc w:val="center"/>
        </w:trPr>
        <w:tc>
          <w:tcPr>
            <w:tcW w:w="4702" w:type="dxa"/>
            <w:shd w:val="clear" w:color="auto" w:fill="auto"/>
            <w:vAlign w:val="bottom"/>
          </w:tcPr>
          <w:p w14:paraId="33A94841" w14:textId="77777777" w:rsidR="00822961" w:rsidRPr="00340008" w:rsidRDefault="00822961" w:rsidP="00E068A0">
            <w:pPr>
              <w:spacing w:line="240" w:lineRule="auto"/>
              <w:ind w:firstLineChars="200" w:firstLine="400"/>
              <w:rPr>
                <w:rFonts w:ascii="Palatino Linotype" w:hAnsi="Palatino Linotype" w:cs="Arial"/>
                <w:sz w:val="20"/>
                <w:lang w:eastAsia="en-GB"/>
              </w:rPr>
            </w:pPr>
            <w:r w:rsidRPr="00340008">
              <w:rPr>
                <w:rFonts w:ascii="Palatino Linotype" w:hAnsi="Palatino Linotype" w:cs="Arial"/>
                <w:sz w:val="20"/>
                <w:lang w:eastAsia="en-GB"/>
              </w:rPr>
              <w:t>Moderate (2-14 units/</w:t>
            </w:r>
            <w:proofErr w:type="spellStart"/>
            <w:r w:rsidRPr="00340008">
              <w:rPr>
                <w:rFonts w:ascii="Palatino Linotype" w:hAnsi="Palatino Linotype" w:cs="Arial"/>
                <w:sz w:val="20"/>
                <w:lang w:eastAsia="en-GB"/>
              </w:rPr>
              <w:t>wk</w:t>
            </w:r>
            <w:proofErr w:type="spellEnd"/>
            <w:r w:rsidRPr="00340008">
              <w:rPr>
                <w:rFonts w:ascii="Palatino Linotype" w:hAnsi="Palatino Linotype" w:cs="Arial"/>
                <w:sz w:val="20"/>
                <w:lang w:eastAsia="en-GB"/>
              </w:rPr>
              <w:t>)</w:t>
            </w:r>
          </w:p>
        </w:tc>
        <w:tc>
          <w:tcPr>
            <w:tcW w:w="1187" w:type="dxa"/>
            <w:shd w:val="clear" w:color="auto" w:fill="auto"/>
            <w:vAlign w:val="bottom"/>
          </w:tcPr>
          <w:p w14:paraId="0045C154"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331 (56.0)</w:t>
            </w:r>
          </w:p>
        </w:tc>
        <w:tc>
          <w:tcPr>
            <w:tcW w:w="1438" w:type="dxa"/>
            <w:shd w:val="clear" w:color="auto" w:fill="auto"/>
            <w:vAlign w:val="bottom"/>
          </w:tcPr>
          <w:p w14:paraId="0F167395"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560 (52.1)</w:t>
            </w:r>
          </w:p>
        </w:tc>
        <w:tc>
          <w:tcPr>
            <w:tcW w:w="1114" w:type="dxa"/>
            <w:vAlign w:val="bottom"/>
          </w:tcPr>
          <w:p w14:paraId="6B5CDA38"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230 (47.1)</w:t>
            </w:r>
          </w:p>
        </w:tc>
        <w:tc>
          <w:tcPr>
            <w:tcW w:w="1109" w:type="dxa"/>
            <w:vAlign w:val="bottom"/>
          </w:tcPr>
          <w:p w14:paraId="642C7C4D"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14 (56.0)</w:t>
            </w:r>
          </w:p>
        </w:tc>
        <w:tc>
          <w:tcPr>
            <w:tcW w:w="809" w:type="dxa"/>
            <w:vAlign w:val="bottom"/>
          </w:tcPr>
          <w:p w14:paraId="19A97FD9" w14:textId="77777777" w:rsidR="00822961" w:rsidRPr="00340008" w:rsidRDefault="00822961" w:rsidP="00E068A0">
            <w:pPr>
              <w:spacing w:line="240" w:lineRule="auto"/>
              <w:jc w:val="center"/>
              <w:rPr>
                <w:rFonts w:ascii="Palatino Linotype" w:hAnsi="Palatino Linotype" w:cs="Arial"/>
                <w:sz w:val="20"/>
                <w:lang w:eastAsia="en-GB"/>
              </w:rPr>
            </w:pPr>
          </w:p>
        </w:tc>
      </w:tr>
      <w:tr w:rsidR="00822961" w:rsidRPr="00D80609" w14:paraId="74E9AEF8" w14:textId="77777777" w:rsidTr="00822961">
        <w:trPr>
          <w:jc w:val="center"/>
        </w:trPr>
        <w:tc>
          <w:tcPr>
            <w:tcW w:w="4702" w:type="dxa"/>
            <w:shd w:val="clear" w:color="auto" w:fill="auto"/>
            <w:vAlign w:val="bottom"/>
          </w:tcPr>
          <w:p w14:paraId="3E766BCA" w14:textId="77777777" w:rsidR="00822961" w:rsidRPr="00340008" w:rsidRDefault="00822961" w:rsidP="00E068A0">
            <w:pPr>
              <w:spacing w:line="240" w:lineRule="auto"/>
              <w:ind w:firstLineChars="200" w:firstLine="400"/>
              <w:rPr>
                <w:rFonts w:ascii="Palatino Linotype" w:hAnsi="Palatino Linotype" w:cs="Arial"/>
                <w:sz w:val="20"/>
                <w:lang w:eastAsia="en-GB"/>
              </w:rPr>
            </w:pPr>
            <w:r w:rsidRPr="00340008">
              <w:rPr>
                <w:rFonts w:ascii="Palatino Linotype" w:hAnsi="Palatino Linotype" w:cs="Arial"/>
                <w:sz w:val="20"/>
                <w:lang w:eastAsia="en-GB"/>
              </w:rPr>
              <w:t>Heavy (15+ units/</w:t>
            </w:r>
            <w:proofErr w:type="spellStart"/>
            <w:r w:rsidRPr="00340008">
              <w:rPr>
                <w:rFonts w:ascii="Palatino Linotype" w:hAnsi="Palatino Linotype" w:cs="Arial"/>
                <w:sz w:val="20"/>
                <w:lang w:eastAsia="en-GB"/>
              </w:rPr>
              <w:t>wk</w:t>
            </w:r>
            <w:proofErr w:type="spellEnd"/>
            <w:r w:rsidRPr="00340008">
              <w:rPr>
                <w:rFonts w:ascii="Palatino Linotype" w:hAnsi="Palatino Linotype" w:cs="Arial"/>
                <w:sz w:val="20"/>
                <w:lang w:eastAsia="en-GB"/>
              </w:rPr>
              <w:t>)</w:t>
            </w:r>
          </w:p>
        </w:tc>
        <w:tc>
          <w:tcPr>
            <w:tcW w:w="1187" w:type="dxa"/>
            <w:shd w:val="clear" w:color="auto" w:fill="auto"/>
            <w:vAlign w:val="bottom"/>
          </w:tcPr>
          <w:p w14:paraId="6011F60E"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189 (32.0)</w:t>
            </w:r>
          </w:p>
        </w:tc>
        <w:tc>
          <w:tcPr>
            <w:tcW w:w="1438" w:type="dxa"/>
            <w:shd w:val="clear" w:color="auto" w:fill="auto"/>
            <w:vAlign w:val="bottom"/>
          </w:tcPr>
          <w:p w14:paraId="2C19507A"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394 (36.7)</w:t>
            </w:r>
          </w:p>
        </w:tc>
        <w:tc>
          <w:tcPr>
            <w:tcW w:w="1114" w:type="dxa"/>
            <w:vAlign w:val="bottom"/>
          </w:tcPr>
          <w:p w14:paraId="6231268B"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166 (34.0)</w:t>
            </w:r>
          </w:p>
        </w:tc>
        <w:tc>
          <w:tcPr>
            <w:tcW w:w="1109" w:type="dxa"/>
            <w:vAlign w:val="bottom"/>
          </w:tcPr>
          <w:p w14:paraId="12A0949D"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4 (16.0)</w:t>
            </w:r>
          </w:p>
        </w:tc>
        <w:tc>
          <w:tcPr>
            <w:tcW w:w="809" w:type="dxa"/>
            <w:vAlign w:val="bottom"/>
          </w:tcPr>
          <w:p w14:paraId="35721703" w14:textId="77777777" w:rsidR="00822961" w:rsidRPr="00340008" w:rsidRDefault="00822961" w:rsidP="00E068A0">
            <w:pPr>
              <w:spacing w:line="240" w:lineRule="auto"/>
              <w:jc w:val="center"/>
              <w:rPr>
                <w:rFonts w:ascii="Palatino Linotype" w:hAnsi="Palatino Linotype" w:cs="Arial"/>
                <w:sz w:val="20"/>
                <w:lang w:eastAsia="en-GB"/>
              </w:rPr>
            </w:pPr>
          </w:p>
        </w:tc>
      </w:tr>
      <w:tr w:rsidR="00822961" w:rsidRPr="00D80609" w14:paraId="1EF54E98" w14:textId="77777777" w:rsidTr="00822961">
        <w:trPr>
          <w:jc w:val="center"/>
        </w:trPr>
        <w:tc>
          <w:tcPr>
            <w:tcW w:w="4702" w:type="dxa"/>
            <w:shd w:val="clear" w:color="auto" w:fill="auto"/>
            <w:vAlign w:val="bottom"/>
          </w:tcPr>
          <w:p w14:paraId="43EA5AFA" w14:textId="77777777" w:rsidR="00822961" w:rsidRPr="00340008" w:rsidRDefault="00822961" w:rsidP="00E068A0">
            <w:pPr>
              <w:spacing w:line="240" w:lineRule="auto"/>
              <w:rPr>
                <w:rFonts w:ascii="Palatino Linotype" w:hAnsi="Palatino Linotype" w:cs="Arial"/>
                <w:sz w:val="20"/>
                <w:lang w:eastAsia="en-GB"/>
              </w:rPr>
            </w:pPr>
            <w:r w:rsidRPr="00340008">
              <w:rPr>
                <w:rFonts w:ascii="Palatino Linotype" w:hAnsi="Palatino Linotype" w:cs="Arial"/>
                <w:sz w:val="20"/>
                <w:lang w:eastAsia="en-GB"/>
              </w:rPr>
              <w:t>Ex/current smoker</w:t>
            </w:r>
          </w:p>
        </w:tc>
        <w:tc>
          <w:tcPr>
            <w:tcW w:w="1187" w:type="dxa"/>
            <w:shd w:val="clear" w:color="auto" w:fill="auto"/>
            <w:vAlign w:val="bottom"/>
          </w:tcPr>
          <w:p w14:paraId="10B0FE77"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275 (44.1)</w:t>
            </w:r>
          </w:p>
        </w:tc>
        <w:tc>
          <w:tcPr>
            <w:tcW w:w="1438" w:type="dxa"/>
            <w:shd w:val="clear" w:color="auto" w:fill="auto"/>
            <w:vAlign w:val="bottom"/>
          </w:tcPr>
          <w:p w14:paraId="711EE64E"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540 (48.1)</w:t>
            </w:r>
          </w:p>
        </w:tc>
        <w:tc>
          <w:tcPr>
            <w:tcW w:w="1114" w:type="dxa"/>
            <w:vAlign w:val="bottom"/>
          </w:tcPr>
          <w:p w14:paraId="49763EB0"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280 (54.3)</w:t>
            </w:r>
          </w:p>
        </w:tc>
        <w:tc>
          <w:tcPr>
            <w:tcW w:w="1109" w:type="dxa"/>
            <w:vAlign w:val="bottom"/>
          </w:tcPr>
          <w:p w14:paraId="584FC59F"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12 (42.9)</w:t>
            </w:r>
          </w:p>
        </w:tc>
        <w:tc>
          <w:tcPr>
            <w:tcW w:w="809" w:type="dxa"/>
            <w:vAlign w:val="bottom"/>
          </w:tcPr>
          <w:p w14:paraId="075D3CE2"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0.007</w:t>
            </w:r>
          </w:p>
        </w:tc>
      </w:tr>
      <w:tr w:rsidR="00822961" w:rsidRPr="00D80609" w14:paraId="75B26DEC" w14:textId="77777777" w:rsidTr="00822961">
        <w:trPr>
          <w:jc w:val="center"/>
        </w:trPr>
        <w:tc>
          <w:tcPr>
            <w:tcW w:w="4702" w:type="dxa"/>
            <w:shd w:val="clear" w:color="auto" w:fill="auto"/>
            <w:vAlign w:val="bottom"/>
          </w:tcPr>
          <w:p w14:paraId="43D4E24D" w14:textId="77777777" w:rsidR="00822961" w:rsidRPr="00340008" w:rsidRDefault="00822961" w:rsidP="00E068A0">
            <w:pPr>
              <w:spacing w:line="240" w:lineRule="auto"/>
              <w:rPr>
                <w:rFonts w:ascii="Palatino Linotype" w:hAnsi="Palatino Linotype" w:cs="Arial"/>
                <w:i/>
                <w:sz w:val="20"/>
                <w:lang w:eastAsia="en-GB"/>
              </w:rPr>
            </w:pPr>
            <w:r w:rsidRPr="00340008">
              <w:rPr>
                <w:rFonts w:ascii="Palatino Linotype" w:hAnsi="Palatino Linotype" w:cs="Arial"/>
                <w:i/>
                <w:sz w:val="20"/>
                <w:lang w:eastAsia="en-GB"/>
              </w:rPr>
              <w:t>Health from CPRD</w:t>
            </w:r>
          </w:p>
        </w:tc>
        <w:tc>
          <w:tcPr>
            <w:tcW w:w="1187" w:type="dxa"/>
            <w:shd w:val="clear" w:color="auto" w:fill="auto"/>
            <w:vAlign w:val="bottom"/>
          </w:tcPr>
          <w:p w14:paraId="58FA8FF1" w14:textId="77777777" w:rsidR="00822961" w:rsidRPr="00340008" w:rsidRDefault="00822961" w:rsidP="00E068A0">
            <w:pPr>
              <w:spacing w:line="240" w:lineRule="auto"/>
              <w:rPr>
                <w:rFonts w:ascii="Palatino Linotype" w:hAnsi="Palatino Linotype" w:cs="Arial"/>
                <w:sz w:val="20"/>
                <w:lang w:eastAsia="en-GB"/>
              </w:rPr>
            </w:pPr>
          </w:p>
        </w:tc>
        <w:tc>
          <w:tcPr>
            <w:tcW w:w="1438" w:type="dxa"/>
            <w:shd w:val="clear" w:color="auto" w:fill="auto"/>
            <w:vAlign w:val="bottom"/>
          </w:tcPr>
          <w:p w14:paraId="1F7106F1" w14:textId="77777777" w:rsidR="00822961" w:rsidRPr="00340008" w:rsidRDefault="00822961" w:rsidP="00E068A0">
            <w:pPr>
              <w:spacing w:line="240" w:lineRule="auto"/>
              <w:jc w:val="center"/>
              <w:rPr>
                <w:rFonts w:ascii="Palatino Linotype" w:hAnsi="Palatino Linotype" w:cs="Arial"/>
                <w:sz w:val="20"/>
                <w:lang w:eastAsia="en-GB"/>
              </w:rPr>
            </w:pPr>
          </w:p>
        </w:tc>
        <w:tc>
          <w:tcPr>
            <w:tcW w:w="1114" w:type="dxa"/>
            <w:vAlign w:val="bottom"/>
          </w:tcPr>
          <w:p w14:paraId="4E23FEBA" w14:textId="77777777" w:rsidR="00822961" w:rsidRPr="00340008" w:rsidRDefault="00822961" w:rsidP="00E068A0">
            <w:pPr>
              <w:spacing w:line="240" w:lineRule="auto"/>
              <w:jc w:val="center"/>
              <w:rPr>
                <w:rFonts w:ascii="Palatino Linotype" w:hAnsi="Palatino Linotype" w:cs="Arial"/>
                <w:sz w:val="20"/>
                <w:lang w:eastAsia="en-GB"/>
              </w:rPr>
            </w:pPr>
          </w:p>
        </w:tc>
        <w:tc>
          <w:tcPr>
            <w:tcW w:w="1109" w:type="dxa"/>
            <w:vAlign w:val="bottom"/>
          </w:tcPr>
          <w:p w14:paraId="55F001BB" w14:textId="77777777" w:rsidR="00822961" w:rsidRPr="00340008" w:rsidRDefault="00822961" w:rsidP="00E068A0">
            <w:pPr>
              <w:spacing w:line="240" w:lineRule="auto"/>
              <w:jc w:val="center"/>
              <w:rPr>
                <w:rFonts w:ascii="Palatino Linotype" w:hAnsi="Palatino Linotype" w:cs="Arial"/>
                <w:sz w:val="20"/>
                <w:lang w:eastAsia="en-GB"/>
              </w:rPr>
            </w:pPr>
          </w:p>
        </w:tc>
        <w:tc>
          <w:tcPr>
            <w:tcW w:w="809" w:type="dxa"/>
            <w:vAlign w:val="bottom"/>
          </w:tcPr>
          <w:p w14:paraId="737F4CCE" w14:textId="77777777" w:rsidR="00822961" w:rsidRPr="00340008" w:rsidRDefault="00822961" w:rsidP="00E068A0">
            <w:pPr>
              <w:spacing w:line="240" w:lineRule="auto"/>
              <w:jc w:val="center"/>
              <w:rPr>
                <w:rFonts w:ascii="Palatino Linotype" w:hAnsi="Palatino Linotype" w:cs="Arial"/>
                <w:sz w:val="20"/>
                <w:lang w:eastAsia="en-GB"/>
              </w:rPr>
            </w:pPr>
          </w:p>
        </w:tc>
      </w:tr>
      <w:tr w:rsidR="00822961" w:rsidRPr="00D80609" w14:paraId="2D3B6897" w14:textId="77777777" w:rsidTr="00822961">
        <w:trPr>
          <w:jc w:val="center"/>
        </w:trPr>
        <w:tc>
          <w:tcPr>
            <w:tcW w:w="4702" w:type="dxa"/>
            <w:shd w:val="clear" w:color="auto" w:fill="auto"/>
            <w:vAlign w:val="bottom"/>
          </w:tcPr>
          <w:p w14:paraId="592FF6EF" w14:textId="77777777" w:rsidR="00822961" w:rsidRPr="00340008" w:rsidRDefault="00822961" w:rsidP="00E068A0">
            <w:pPr>
              <w:spacing w:line="240" w:lineRule="auto"/>
              <w:rPr>
                <w:rFonts w:ascii="Palatino Linotype" w:hAnsi="Palatino Linotype" w:cs="Arial"/>
                <w:sz w:val="20"/>
                <w:lang w:eastAsia="en-GB"/>
              </w:rPr>
            </w:pPr>
            <w:r w:rsidRPr="00340008">
              <w:rPr>
                <w:rFonts w:ascii="Palatino Linotype" w:hAnsi="Palatino Linotype" w:cs="Arial"/>
                <w:sz w:val="20"/>
                <w:lang w:eastAsia="en-GB"/>
              </w:rPr>
              <w:t>Diabetes</w:t>
            </w:r>
          </w:p>
        </w:tc>
        <w:tc>
          <w:tcPr>
            <w:tcW w:w="1187" w:type="dxa"/>
            <w:shd w:val="clear" w:color="auto" w:fill="auto"/>
            <w:vAlign w:val="bottom"/>
          </w:tcPr>
          <w:p w14:paraId="202126F0"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32 (5.1)</w:t>
            </w:r>
          </w:p>
        </w:tc>
        <w:tc>
          <w:tcPr>
            <w:tcW w:w="1438" w:type="dxa"/>
            <w:shd w:val="clear" w:color="auto" w:fill="auto"/>
            <w:vAlign w:val="bottom"/>
          </w:tcPr>
          <w:p w14:paraId="32DF7F2F"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104 (9.2)</w:t>
            </w:r>
          </w:p>
        </w:tc>
        <w:tc>
          <w:tcPr>
            <w:tcW w:w="1114" w:type="dxa"/>
            <w:vAlign w:val="bottom"/>
          </w:tcPr>
          <w:p w14:paraId="431EF82E"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90 (17.3)</w:t>
            </w:r>
          </w:p>
        </w:tc>
        <w:tc>
          <w:tcPr>
            <w:tcW w:w="1109" w:type="dxa"/>
            <w:vAlign w:val="bottom"/>
          </w:tcPr>
          <w:p w14:paraId="1623C8D7"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6 (21.4)</w:t>
            </w:r>
          </w:p>
        </w:tc>
        <w:tc>
          <w:tcPr>
            <w:tcW w:w="809" w:type="dxa"/>
            <w:vAlign w:val="bottom"/>
          </w:tcPr>
          <w:p w14:paraId="75DCA88F"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&lt;0.001</w:t>
            </w:r>
          </w:p>
        </w:tc>
      </w:tr>
      <w:tr w:rsidR="00822961" w:rsidRPr="00D80609" w14:paraId="29B1A486" w14:textId="77777777" w:rsidTr="00822961">
        <w:trPr>
          <w:jc w:val="center"/>
        </w:trPr>
        <w:tc>
          <w:tcPr>
            <w:tcW w:w="4702" w:type="dxa"/>
            <w:shd w:val="clear" w:color="auto" w:fill="auto"/>
            <w:vAlign w:val="bottom"/>
          </w:tcPr>
          <w:p w14:paraId="5B283F3F" w14:textId="77777777" w:rsidR="00822961" w:rsidRPr="00340008" w:rsidRDefault="00822961" w:rsidP="00E068A0">
            <w:pPr>
              <w:spacing w:line="240" w:lineRule="auto"/>
              <w:rPr>
                <w:rFonts w:ascii="Palatino Linotype" w:hAnsi="Palatino Linotype" w:cs="Arial"/>
                <w:sz w:val="20"/>
                <w:lang w:eastAsia="en-GB"/>
              </w:rPr>
            </w:pPr>
            <w:r w:rsidRPr="00340008">
              <w:rPr>
                <w:rFonts w:ascii="Palatino Linotype" w:hAnsi="Palatino Linotype" w:cs="Arial"/>
                <w:sz w:val="20"/>
                <w:lang w:eastAsia="en-GB"/>
              </w:rPr>
              <w:t>Musculoskeletal diagnoses</w:t>
            </w:r>
          </w:p>
        </w:tc>
        <w:tc>
          <w:tcPr>
            <w:tcW w:w="1187" w:type="dxa"/>
            <w:shd w:val="clear" w:color="auto" w:fill="auto"/>
            <w:vAlign w:val="bottom"/>
          </w:tcPr>
          <w:p w14:paraId="320F3E49"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106 (16.9)</w:t>
            </w:r>
          </w:p>
        </w:tc>
        <w:tc>
          <w:tcPr>
            <w:tcW w:w="1438" w:type="dxa"/>
            <w:shd w:val="clear" w:color="auto" w:fill="auto"/>
            <w:vAlign w:val="bottom"/>
          </w:tcPr>
          <w:p w14:paraId="0DD54DAA"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281 (25.0)</w:t>
            </w:r>
          </w:p>
        </w:tc>
        <w:tc>
          <w:tcPr>
            <w:tcW w:w="1114" w:type="dxa"/>
            <w:vAlign w:val="bottom"/>
          </w:tcPr>
          <w:p w14:paraId="4B112FC0"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163 (31.4)</w:t>
            </w:r>
          </w:p>
        </w:tc>
        <w:tc>
          <w:tcPr>
            <w:tcW w:w="1109" w:type="dxa"/>
            <w:vAlign w:val="bottom"/>
          </w:tcPr>
          <w:p w14:paraId="6D61AD0B"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8 (28.6)</w:t>
            </w:r>
          </w:p>
        </w:tc>
        <w:tc>
          <w:tcPr>
            <w:tcW w:w="809" w:type="dxa"/>
            <w:vAlign w:val="bottom"/>
          </w:tcPr>
          <w:p w14:paraId="57386619"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&lt;0.001</w:t>
            </w:r>
          </w:p>
        </w:tc>
      </w:tr>
      <w:tr w:rsidR="00822961" w:rsidRPr="00D80609" w14:paraId="78101539" w14:textId="77777777" w:rsidTr="00822961">
        <w:trPr>
          <w:jc w:val="center"/>
        </w:trPr>
        <w:tc>
          <w:tcPr>
            <w:tcW w:w="4702" w:type="dxa"/>
            <w:shd w:val="clear" w:color="auto" w:fill="auto"/>
            <w:vAlign w:val="bottom"/>
          </w:tcPr>
          <w:p w14:paraId="1F01818C" w14:textId="77777777" w:rsidR="00822961" w:rsidRPr="00340008" w:rsidRDefault="00822961" w:rsidP="00E068A0">
            <w:pPr>
              <w:spacing w:line="240" w:lineRule="auto"/>
              <w:rPr>
                <w:rFonts w:ascii="Palatino Linotype" w:hAnsi="Palatino Linotype" w:cs="Arial"/>
                <w:sz w:val="20"/>
                <w:lang w:eastAsia="en-GB"/>
              </w:rPr>
            </w:pPr>
            <w:r w:rsidRPr="00340008">
              <w:rPr>
                <w:rFonts w:ascii="Palatino Linotype" w:hAnsi="Palatino Linotype" w:cs="Arial"/>
                <w:sz w:val="20"/>
                <w:lang w:eastAsia="en-GB"/>
              </w:rPr>
              <w:t>Stroke/CVA or TIA - ever before</w:t>
            </w:r>
          </w:p>
        </w:tc>
        <w:tc>
          <w:tcPr>
            <w:tcW w:w="1187" w:type="dxa"/>
            <w:shd w:val="clear" w:color="auto" w:fill="auto"/>
            <w:vAlign w:val="bottom"/>
          </w:tcPr>
          <w:p w14:paraId="17D39BAC"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9 (1.4)</w:t>
            </w:r>
          </w:p>
        </w:tc>
        <w:tc>
          <w:tcPr>
            <w:tcW w:w="1438" w:type="dxa"/>
            <w:shd w:val="clear" w:color="auto" w:fill="auto"/>
            <w:vAlign w:val="bottom"/>
          </w:tcPr>
          <w:p w14:paraId="2C07D7B9"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16 (1.4)</w:t>
            </w:r>
          </w:p>
        </w:tc>
        <w:tc>
          <w:tcPr>
            <w:tcW w:w="1114" w:type="dxa"/>
            <w:vAlign w:val="bottom"/>
          </w:tcPr>
          <w:p w14:paraId="43EB9D90"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10 (1.9)</w:t>
            </w:r>
          </w:p>
        </w:tc>
        <w:tc>
          <w:tcPr>
            <w:tcW w:w="1109" w:type="dxa"/>
            <w:vAlign w:val="bottom"/>
          </w:tcPr>
          <w:p w14:paraId="4108707C"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w:t>
            </w:r>
          </w:p>
        </w:tc>
        <w:tc>
          <w:tcPr>
            <w:tcW w:w="809" w:type="dxa"/>
            <w:vAlign w:val="bottom"/>
          </w:tcPr>
          <w:p w14:paraId="7BD01059"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0.78</w:t>
            </w:r>
          </w:p>
        </w:tc>
      </w:tr>
      <w:tr w:rsidR="00822961" w:rsidRPr="00D80609" w14:paraId="755B219F" w14:textId="77777777" w:rsidTr="00822961">
        <w:trPr>
          <w:jc w:val="center"/>
        </w:trPr>
        <w:tc>
          <w:tcPr>
            <w:tcW w:w="4702" w:type="dxa"/>
            <w:shd w:val="clear" w:color="auto" w:fill="auto"/>
            <w:vAlign w:val="bottom"/>
          </w:tcPr>
          <w:p w14:paraId="1C0B2551" w14:textId="77777777" w:rsidR="00822961" w:rsidRPr="00340008" w:rsidRDefault="00822961" w:rsidP="00E068A0">
            <w:pPr>
              <w:spacing w:line="240" w:lineRule="auto"/>
              <w:rPr>
                <w:rFonts w:ascii="Palatino Linotype" w:hAnsi="Palatino Linotype" w:cs="Arial"/>
                <w:sz w:val="20"/>
                <w:lang w:eastAsia="en-GB"/>
              </w:rPr>
            </w:pPr>
            <w:r w:rsidRPr="00340008">
              <w:rPr>
                <w:rFonts w:ascii="Palatino Linotype" w:hAnsi="Palatino Linotype" w:cs="Arial"/>
                <w:sz w:val="20"/>
                <w:lang w:eastAsia="en-GB"/>
              </w:rPr>
              <w:t xml:space="preserve">Common mental health and treatment in past 12 m </w:t>
            </w:r>
          </w:p>
        </w:tc>
        <w:tc>
          <w:tcPr>
            <w:tcW w:w="1187" w:type="dxa"/>
            <w:shd w:val="clear" w:color="auto" w:fill="auto"/>
            <w:vAlign w:val="bottom"/>
          </w:tcPr>
          <w:p w14:paraId="72A366C5"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57 (9.1)</w:t>
            </w:r>
          </w:p>
        </w:tc>
        <w:tc>
          <w:tcPr>
            <w:tcW w:w="1438" w:type="dxa"/>
            <w:shd w:val="clear" w:color="auto" w:fill="auto"/>
            <w:vAlign w:val="bottom"/>
          </w:tcPr>
          <w:p w14:paraId="01AA8550"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102 (9.1)</w:t>
            </w:r>
          </w:p>
        </w:tc>
        <w:tc>
          <w:tcPr>
            <w:tcW w:w="1114" w:type="dxa"/>
            <w:vAlign w:val="bottom"/>
          </w:tcPr>
          <w:p w14:paraId="05C8F734"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64 (12.3)</w:t>
            </w:r>
          </w:p>
        </w:tc>
        <w:tc>
          <w:tcPr>
            <w:tcW w:w="1109" w:type="dxa"/>
            <w:vAlign w:val="bottom"/>
          </w:tcPr>
          <w:p w14:paraId="09C02EA8"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7 (25.0)</w:t>
            </w:r>
          </w:p>
        </w:tc>
        <w:tc>
          <w:tcPr>
            <w:tcW w:w="809" w:type="dxa"/>
            <w:vAlign w:val="bottom"/>
          </w:tcPr>
          <w:p w14:paraId="2CCAA650"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0.01</w:t>
            </w:r>
          </w:p>
        </w:tc>
      </w:tr>
      <w:tr w:rsidR="00822961" w:rsidRPr="00D80609" w14:paraId="5C580176" w14:textId="77777777" w:rsidTr="00822961">
        <w:trPr>
          <w:jc w:val="center"/>
        </w:trPr>
        <w:tc>
          <w:tcPr>
            <w:tcW w:w="4702" w:type="dxa"/>
            <w:shd w:val="clear" w:color="auto" w:fill="auto"/>
            <w:vAlign w:val="bottom"/>
          </w:tcPr>
          <w:p w14:paraId="4425C144" w14:textId="77777777" w:rsidR="00822961" w:rsidRPr="00340008" w:rsidRDefault="00822961" w:rsidP="00E068A0">
            <w:pPr>
              <w:spacing w:line="240" w:lineRule="auto"/>
              <w:rPr>
                <w:rFonts w:ascii="Palatino Linotype" w:hAnsi="Palatino Linotype" w:cs="Arial"/>
                <w:sz w:val="20"/>
                <w:lang w:eastAsia="en-GB"/>
              </w:rPr>
            </w:pPr>
            <w:r w:rsidRPr="00340008">
              <w:rPr>
                <w:rFonts w:ascii="Palatino Linotype" w:hAnsi="Palatino Linotype" w:cs="Arial"/>
                <w:sz w:val="20"/>
                <w:lang w:eastAsia="en-GB"/>
              </w:rPr>
              <w:t>Hypertension and treatment in past 12m</w:t>
            </w:r>
          </w:p>
        </w:tc>
        <w:tc>
          <w:tcPr>
            <w:tcW w:w="1187" w:type="dxa"/>
            <w:shd w:val="clear" w:color="auto" w:fill="auto"/>
            <w:vAlign w:val="bottom"/>
          </w:tcPr>
          <w:p w14:paraId="77743088"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80 (12.8)</w:t>
            </w:r>
          </w:p>
        </w:tc>
        <w:tc>
          <w:tcPr>
            <w:tcW w:w="1438" w:type="dxa"/>
            <w:shd w:val="clear" w:color="auto" w:fill="auto"/>
            <w:vAlign w:val="bottom"/>
          </w:tcPr>
          <w:p w14:paraId="3F76C1A6"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264 (23.5)</w:t>
            </w:r>
          </w:p>
        </w:tc>
        <w:tc>
          <w:tcPr>
            <w:tcW w:w="1114" w:type="dxa"/>
            <w:vAlign w:val="bottom"/>
          </w:tcPr>
          <w:p w14:paraId="49EFDAE4"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196 (37.8)</w:t>
            </w:r>
          </w:p>
        </w:tc>
        <w:tc>
          <w:tcPr>
            <w:tcW w:w="1109" w:type="dxa"/>
            <w:vAlign w:val="bottom"/>
          </w:tcPr>
          <w:p w14:paraId="11AD31A6"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17 (60.7)</w:t>
            </w:r>
          </w:p>
        </w:tc>
        <w:tc>
          <w:tcPr>
            <w:tcW w:w="809" w:type="dxa"/>
            <w:vAlign w:val="bottom"/>
          </w:tcPr>
          <w:p w14:paraId="3C567875"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&lt;0.001</w:t>
            </w:r>
          </w:p>
        </w:tc>
      </w:tr>
      <w:tr w:rsidR="00822961" w:rsidRPr="00D80609" w14:paraId="323A0A52" w14:textId="77777777" w:rsidTr="00822961">
        <w:trPr>
          <w:jc w:val="center"/>
        </w:trPr>
        <w:tc>
          <w:tcPr>
            <w:tcW w:w="4702" w:type="dxa"/>
            <w:shd w:val="clear" w:color="auto" w:fill="auto"/>
            <w:vAlign w:val="bottom"/>
          </w:tcPr>
          <w:p w14:paraId="373CE75B" w14:textId="77777777" w:rsidR="00822961" w:rsidRPr="00340008" w:rsidRDefault="00822961" w:rsidP="00E068A0">
            <w:pPr>
              <w:spacing w:line="240" w:lineRule="auto"/>
              <w:rPr>
                <w:rFonts w:ascii="Palatino Linotype" w:hAnsi="Palatino Linotype" w:cs="Arial"/>
                <w:sz w:val="20"/>
                <w:lang w:eastAsia="en-GB"/>
              </w:rPr>
            </w:pPr>
            <w:r w:rsidRPr="00340008">
              <w:rPr>
                <w:rFonts w:ascii="Palatino Linotype" w:hAnsi="Palatino Linotype" w:cs="Arial"/>
                <w:sz w:val="20"/>
                <w:lang w:eastAsia="en-GB"/>
              </w:rPr>
              <w:t>Cardiac conditions - ever before</w:t>
            </w:r>
          </w:p>
        </w:tc>
        <w:tc>
          <w:tcPr>
            <w:tcW w:w="1187" w:type="dxa"/>
            <w:shd w:val="clear" w:color="auto" w:fill="auto"/>
            <w:vAlign w:val="bottom"/>
          </w:tcPr>
          <w:p w14:paraId="36845F95"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43 (6.9)</w:t>
            </w:r>
          </w:p>
        </w:tc>
        <w:tc>
          <w:tcPr>
            <w:tcW w:w="1438" w:type="dxa"/>
            <w:shd w:val="clear" w:color="auto" w:fill="auto"/>
            <w:vAlign w:val="bottom"/>
          </w:tcPr>
          <w:p w14:paraId="0F53A296"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89 (7.9)</w:t>
            </w:r>
          </w:p>
        </w:tc>
        <w:tc>
          <w:tcPr>
            <w:tcW w:w="1114" w:type="dxa"/>
            <w:vAlign w:val="bottom"/>
          </w:tcPr>
          <w:p w14:paraId="16910499"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57 (11.0)</w:t>
            </w:r>
          </w:p>
        </w:tc>
        <w:tc>
          <w:tcPr>
            <w:tcW w:w="1109" w:type="dxa"/>
            <w:vAlign w:val="bottom"/>
          </w:tcPr>
          <w:p w14:paraId="546A2C96"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5 (17.9)</w:t>
            </w:r>
          </w:p>
        </w:tc>
        <w:tc>
          <w:tcPr>
            <w:tcW w:w="809" w:type="dxa"/>
            <w:vAlign w:val="bottom"/>
          </w:tcPr>
          <w:p w14:paraId="083D4984"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0.02</w:t>
            </w:r>
          </w:p>
        </w:tc>
      </w:tr>
      <w:tr w:rsidR="00822961" w:rsidRPr="00D80609" w14:paraId="71D679EC" w14:textId="77777777" w:rsidTr="00822961">
        <w:trPr>
          <w:jc w:val="center"/>
        </w:trPr>
        <w:tc>
          <w:tcPr>
            <w:tcW w:w="4702" w:type="dxa"/>
            <w:shd w:val="clear" w:color="auto" w:fill="auto"/>
            <w:vAlign w:val="bottom"/>
          </w:tcPr>
          <w:p w14:paraId="77AABC8F" w14:textId="77777777" w:rsidR="00822961" w:rsidRPr="00737107" w:rsidRDefault="00822961" w:rsidP="00E068A0">
            <w:pPr>
              <w:spacing w:line="240" w:lineRule="auto"/>
              <w:rPr>
                <w:rFonts w:ascii="Palatino Linotype" w:hAnsi="Palatino Linotype" w:cs="Arial"/>
                <w:i/>
                <w:sz w:val="20"/>
                <w:lang w:eastAsia="en-GB"/>
              </w:rPr>
            </w:pPr>
            <w:r w:rsidRPr="00737107">
              <w:rPr>
                <w:rFonts w:ascii="Palatino Linotype" w:hAnsi="Palatino Linotype" w:cs="Arial"/>
                <w:i/>
                <w:sz w:val="20"/>
                <w:lang w:eastAsia="en-GB"/>
              </w:rPr>
              <w:t>Work factors</w:t>
            </w:r>
            <w:r w:rsidRPr="00D80609">
              <w:rPr>
                <w:vertAlign w:val="superscript"/>
              </w:rPr>
              <w:t>1</w:t>
            </w:r>
          </w:p>
        </w:tc>
        <w:tc>
          <w:tcPr>
            <w:tcW w:w="1187" w:type="dxa"/>
            <w:shd w:val="clear" w:color="auto" w:fill="auto"/>
            <w:vAlign w:val="bottom"/>
          </w:tcPr>
          <w:p w14:paraId="6C10B2CE" w14:textId="77777777" w:rsidR="00822961" w:rsidRPr="00340008" w:rsidRDefault="00822961" w:rsidP="00E068A0">
            <w:pPr>
              <w:spacing w:line="240" w:lineRule="auto"/>
              <w:rPr>
                <w:rFonts w:ascii="Palatino Linotype" w:hAnsi="Palatino Linotype" w:cs="Arial"/>
                <w:sz w:val="20"/>
                <w:lang w:eastAsia="en-GB"/>
              </w:rPr>
            </w:pPr>
          </w:p>
        </w:tc>
        <w:tc>
          <w:tcPr>
            <w:tcW w:w="1438" w:type="dxa"/>
            <w:shd w:val="clear" w:color="auto" w:fill="auto"/>
            <w:vAlign w:val="bottom"/>
          </w:tcPr>
          <w:p w14:paraId="57A88896" w14:textId="77777777" w:rsidR="00822961" w:rsidRPr="00340008" w:rsidRDefault="00822961" w:rsidP="00E068A0">
            <w:pPr>
              <w:spacing w:line="240" w:lineRule="auto"/>
              <w:jc w:val="center"/>
              <w:rPr>
                <w:rFonts w:ascii="Palatino Linotype" w:hAnsi="Palatino Linotype" w:cs="Arial"/>
                <w:sz w:val="20"/>
                <w:lang w:eastAsia="en-GB"/>
              </w:rPr>
            </w:pPr>
          </w:p>
        </w:tc>
        <w:tc>
          <w:tcPr>
            <w:tcW w:w="1114" w:type="dxa"/>
            <w:vAlign w:val="bottom"/>
          </w:tcPr>
          <w:p w14:paraId="778CD727" w14:textId="77777777" w:rsidR="00822961" w:rsidRPr="00340008" w:rsidRDefault="00822961" w:rsidP="00E068A0">
            <w:pPr>
              <w:spacing w:line="240" w:lineRule="auto"/>
              <w:jc w:val="center"/>
              <w:rPr>
                <w:rFonts w:ascii="Palatino Linotype" w:hAnsi="Palatino Linotype" w:cs="Arial"/>
                <w:sz w:val="20"/>
                <w:lang w:eastAsia="en-GB"/>
              </w:rPr>
            </w:pPr>
          </w:p>
        </w:tc>
        <w:tc>
          <w:tcPr>
            <w:tcW w:w="1109" w:type="dxa"/>
            <w:vAlign w:val="bottom"/>
          </w:tcPr>
          <w:p w14:paraId="7126EC40" w14:textId="77777777" w:rsidR="00822961" w:rsidRPr="00340008" w:rsidRDefault="00822961" w:rsidP="00E068A0">
            <w:pPr>
              <w:spacing w:line="240" w:lineRule="auto"/>
              <w:jc w:val="center"/>
              <w:rPr>
                <w:rFonts w:ascii="Palatino Linotype" w:hAnsi="Palatino Linotype" w:cs="Arial"/>
                <w:sz w:val="20"/>
                <w:lang w:eastAsia="en-GB"/>
              </w:rPr>
            </w:pPr>
          </w:p>
        </w:tc>
        <w:tc>
          <w:tcPr>
            <w:tcW w:w="809" w:type="dxa"/>
            <w:vAlign w:val="bottom"/>
          </w:tcPr>
          <w:p w14:paraId="7D424177" w14:textId="77777777" w:rsidR="00822961" w:rsidRPr="00340008" w:rsidRDefault="00822961" w:rsidP="00E068A0">
            <w:pPr>
              <w:spacing w:line="240" w:lineRule="auto"/>
              <w:jc w:val="center"/>
              <w:rPr>
                <w:rFonts w:ascii="Palatino Linotype" w:hAnsi="Palatino Linotype" w:cs="Arial"/>
                <w:sz w:val="20"/>
                <w:lang w:eastAsia="en-GB"/>
              </w:rPr>
            </w:pPr>
          </w:p>
        </w:tc>
      </w:tr>
      <w:tr w:rsidR="00822961" w:rsidRPr="00D80609" w14:paraId="71F260E1" w14:textId="77777777" w:rsidTr="00822961">
        <w:trPr>
          <w:jc w:val="center"/>
        </w:trPr>
        <w:tc>
          <w:tcPr>
            <w:tcW w:w="4702" w:type="dxa"/>
            <w:shd w:val="clear" w:color="auto" w:fill="auto"/>
            <w:vAlign w:val="bottom"/>
          </w:tcPr>
          <w:p w14:paraId="4C105123" w14:textId="77777777" w:rsidR="00822961" w:rsidRPr="00340008" w:rsidRDefault="00822961" w:rsidP="00E068A0">
            <w:pPr>
              <w:spacing w:line="240" w:lineRule="auto"/>
              <w:rPr>
                <w:rFonts w:ascii="Palatino Linotype" w:hAnsi="Palatino Linotype" w:cs="Arial"/>
                <w:sz w:val="20"/>
                <w:lang w:eastAsia="en-GB"/>
              </w:rPr>
            </w:pPr>
            <w:r w:rsidRPr="00340008">
              <w:rPr>
                <w:rFonts w:ascii="Palatino Linotype" w:hAnsi="Palatino Linotype" w:cs="Arial"/>
                <w:sz w:val="20"/>
                <w:lang w:eastAsia="en-GB"/>
              </w:rPr>
              <w:t>Overall job dissatisfaction</w:t>
            </w:r>
          </w:p>
        </w:tc>
        <w:tc>
          <w:tcPr>
            <w:tcW w:w="1187" w:type="dxa"/>
            <w:shd w:val="clear" w:color="auto" w:fill="auto"/>
            <w:vAlign w:val="bottom"/>
          </w:tcPr>
          <w:p w14:paraId="2905960A"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47 (7.7)</w:t>
            </w:r>
          </w:p>
        </w:tc>
        <w:tc>
          <w:tcPr>
            <w:tcW w:w="1438" w:type="dxa"/>
            <w:shd w:val="clear" w:color="auto" w:fill="auto"/>
            <w:vAlign w:val="bottom"/>
          </w:tcPr>
          <w:p w14:paraId="5659CDCE"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71 (6.6)</w:t>
            </w:r>
          </w:p>
        </w:tc>
        <w:tc>
          <w:tcPr>
            <w:tcW w:w="1114" w:type="dxa"/>
            <w:vAlign w:val="bottom"/>
          </w:tcPr>
          <w:p w14:paraId="4E393F50"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43 (8.6)</w:t>
            </w:r>
          </w:p>
        </w:tc>
        <w:tc>
          <w:tcPr>
            <w:tcW w:w="1109" w:type="dxa"/>
            <w:vAlign w:val="bottom"/>
          </w:tcPr>
          <w:p w14:paraId="053EB3FC"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5 (18.5)</w:t>
            </w:r>
          </w:p>
        </w:tc>
        <w:tc>
          <w:tcPr>
            <w:tcW w:w="809" w:type="dxa"/>
            <w:vAlign w:val="bottom"/>
          </w:tcPr>
          <w:p w14:paraId="518B8ECE"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0.08</w:t>
            </w:r>
          </w:p>
        </w:tc>
      </w:tr>
      <w:tr w:rsidR="00822961" w:rsidRPr="00D80609" w14:paraId="0512FD49" w14:textId="77777777" w:rsidTr="00822961">
        <w:trPr>
          <w:jc w:val="center"/>
        </w:trPr>
        <w:tc>
          <w:tcPr>
            <w:tcW w:w="4702" w:type="dxa"/>
            <w:shd w:val="clear" w:color="auto" w:fill="auto"/>
            <w:vAlign w:val="bottom"/>
          </w:tcPr>
          <w:p w14:paraId="7A7B9517" w14:textId="77777777" w:rsidR="00822961" w:rsidRPr="00340008" w:rsidRDefault="00822961" w:rsidP="00E068A0">
            <w:pPr>
              <w:spacing w:line="240" w:lineRule="auto"/>
              <w:rPr>
                <w:rFonts w:ascii="Palatino Linotype" w:hAnsi="Palatino Linotype" w:cs="Arial"/>
                <w:sz w:val="20"/>
                <w:lang w:eastAsia="en-GB"/>
              </w:rPr>
            </w:pPr>
            <w:r w:rsidRPr="00340008">
              <w:rPr>
                <w:rFonts w:ascii="Palatino Linotype" w:hAnsi="Palatino Linotype" w:cs="Arial"/>
                <w:sz w:val="20"/>
                <w:lang w:eastAsia="en-GB"/>
              </w:rPr>
              <w:t xml:space="preserve">Physical work activities score (0-6), median (IQR) </w:t>
            </w:r>
          </w:p>
        </w:tc>
        <w:tc>
          <w:tcPr>
            <w:tcW w:w="1187" w:type="dxa"/>
            <w:shd w:val="clear" w:color="auto" w:fill="auto"/>
            <w:vAlign w:val="bottom"/>
          </w:tcPr>
          <w:p w14:paraId="72138F36"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1.0 (0,3.0)</w:t>
            </w:r>
          </w:p>
        </w:tc>
        <w:tc>
          <w:tcPr>
            <w:tcW w:w="1438" w:type="dxa"/>
            <w:shd w:val="clear" w:color="auto" w:fill="auto"/>
            <w:vAlign w:val="bottom"/>
          </w:tcPr>
          <w:p w14:paraId="7369EE32"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1.0 (0,3.0)</w:t>
            </w:r>
          </w:p>
        </w:tc>
        <w:tc>
          <w:tcPr>
            <w:tcW w:w="1114" w:type="dxa"/>
            <w:vAlign w:val="bottom"/>
          </w:tcPr>
          <w:p w14:paraId="41E3DD70"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1.0 (0,3.0)</w:t>
            </w:r>
          </w:p>
        </w:tc>
        <w:tc>
          <w:tcPr>
            <w:tcW w:w="1109" w:type="dxa"/>
            <w:vAlign w:val="bottom"/>
          </w:tcPr>
          <w:p w14:paraId="5DB2F378"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1.0 (0,3.0)</w:t>
            </w:r>
          </w:p>
        </w:tc>
        <w:tc>
          <w:tcPr>
            <w:tcW w:w="809" w:type="dxa"/>
            <w:vAlign w:val="bottom"/>
          </w:tcPr>
          <w:p w14:paraId="35331E02" w14:textId="77777777" w:rsidR="00822961" w:rsidRPr="00340008" w:rsidRDefault="00822961" w:rsidP="00E068A0">
            <w:pPr>
              <w:spacing w:line="240" w:lineRule="auto"/>
              <w:jc w:val="center"/>
              <w:rPr>
                <w:rFonts w:ascii="Palatino Linotype" w:hAnsi="Palatino Linotype" w:cs="Arial"/>
                <w:sz w:val="20"/>
                <w:lang w:eastAsia="en-GB"/>
              </w:rPr>
            </w:pPr>
            <w:r w:rsidRPr="00340008">
              <w:rPr>
                <w:rFonts w:ascii="Palatino Linotype" w:hAnsi="Palatino Linotype" w:cs="Arial"/>
                <w:sz w:val="20"/>
                <w:lang w:eastAsia="en-GB"/>
              </w:rPr>
              <w:t>0.84</w:t>
            </w:r>
          </w:p>
        </w:tc>
      </w:tr>
    </w:tbl>
    <w:p w14:paraId="6C7AA069" w14:textId="6984E33B" w:rsidR="00D828F0" w:rsidRPr="00D828F0" w:rsidRDefault="00822961" w:rsidP="00D828F0">
      <w:pPr>
        <w:pStyle w:val="MDPI43tablefooter"/>
        <w:spacing w:after="240"/>
        <w:jc w:val="left"/>
      </w:pPr>
      <w:r w:rsidRPr="00D80609">
        <w:rPr>
          <w:vertAlign w:val="superscript"/>
        </w:rPr>
        <w:t>1</w:t>
      </w:r>
      <w:r w:rsidRPr="00D80609">
        <w:t xml:space="preserve"> </w:t>
      </w:r>
      <w:r w:rsidRPr="00737107">
        <w:t xml:space="preserve">For descriptive purposes in this table only, we describe work factors on the basis of baseline information for 2228 (97%) men </w:t>
      </w:r>
      <w:r>
        <w:t>and</w:t>
      </w:r>
      <w:r w:rsidRPr="00737107">
        <w:t xml:space="preserve"> </w:t>
      </w:r>
      <w:r>
        <w:t xml:space="preserve">also </w:t>
      </w:r>
      <w:r w:rsidRPr="00737107">
        <w:t>for 71 men who were not in paid employment at baseline but were in work at the first annual follow-up.</w:t>
      </w:r>
      <w:r w:rsidR="00D828F0">
        <w:t xml:space="preserve"> </w:t>
      </w:r>
      <w:r w:rsidR="00D828F0" w:rsidRPr="00F514E6">
        <w:rPr>
          <w:vertAlign w:val="superscript"/>
        </w:rPr>
        <w:t>2</w:t>
      </w:r>
      <w:r w:rsidR="00D828F0">
        <w:t xml:space="preserve"> p values from Chi-squared test</w:t>
      </w:r>
    </w:p>
    <w:p w14:paraId="642029D3" w14:textId="77777777" w:rsidR="00D828F0" w:rsidRPr="00D828F0" w:rsidRDefault="00D828F0" w:rsidP="00F514E6">
      <w:pPr>
        <w:pStyle w:val="MDPI31text"/>
      </w:pPr>
    </w:p>
    <w:p w14:paraId="5CA91A5D" w14:textId="228CD132" w:rsidR="00822961" w:rsidRDefault="005B174A" w:rsidP="005B174A">
      <w:pPr>
        <w:pStyle w:val="MDPI41tablecaption"/>
        <w:jc w:val="center"/>
        <w:rPr>
          <w:rFonts w:cs="Arial"/>
          <w:i/>
        </w:rPr>
      </w:pPr>
      <w:r w:rsidRPr="005B174A">
        <w:rPr>
          <w:b/>
        </w:rPr>
        <w:t>Table 2.</w:t>
      </w:r>
      <w:r w:rsidR="00822961" w:rsidRPr="005B174A">
        <w:rPr>
          <w:b/>
        </w:rPr>
        <w:t xml:space="preserve"> </w:t>
      </w:r>
      <w:r w:rsidR="00822961" w:rsidRPr="00737107">
        <w:t>Baseline characteristics of women, by categories of Body Mass Index (BMI)</w:t>
      </w:r>
      <w:r>
        <w:t>.</w:t>
      </w:r>
    </w:p>
    <w:tbl>
      <w:tblPr>
        <w:tblW w:w="10359" w:type="dxa"/>
        <w:jc w:val="center"/>
        <w:tblBorders>
          <w:top w:val="single" w:sz="8" w:space="0" w:color="auto"/>
          <w:bottom w:val="single" w:sz="8" w:space="0" w:color="auto"/>
        </w:tblBorders>
        <w:tblLook w:val="04A0" w:firstRow="1" w:lastRow="0" w:firstColumn="1" w:lastColumn="0" w:noHBand="0" w:noVBand="1"/>
      </w:tblPr>
      <w:tblGrid>
        <w:gridCol w:w="4702"/>
        <w:gridCol w:w="1187"/>
        <w:gridCol w:w="1438"/>
        <w:gridCol w:w="1114"/>
        <w:gridCol w:w="1109"/>
        <w:gridCol w:w="809"/>
      </w:tblGrid>
      <w:tr w:rsidR="00822961" w:rsidRPr="003663D4" w14:paraId="36B353DF" w14:textId="77777777" w:rsidTr="00822961">
        <w:trPr>
          <w:jc w:val="center"/>
        </w:trPr>
        <w:tc>
          <w:tcPr>
            <w:tcW w:w="4702" w:type="dxa"/>
            <w:tcBorders>
              <w:bottom w:val="single" w:sz="4" w:space="0" w:color="auto"/>
            </w:tcBorders>
            <w:shd w:val="clear" w:color="auto" w:fill="auto"/>
            <w:vAlign w:val="center"/>
          </w:tcPr>
          <w:p w14:paraId="4A6B7DD7" w14:textId="77777777" w:rsidR="00822961" w:rsidRPr="00B75A18" w:rsidRDefault="00822961" w:rsidP="00E068A0">
            <w:pPr>
              <w:pStyle w:val="MDPI42tablebody"/>
              <w:spacing w:line="240" w:lineRule="auto"/>
              <w:rPr>
                <w:b/>
              </w:rPr>
            </w:pPr>
          </w:p>
        </w:tc>
        <w:tc>
          <w:tcPr>
            <w:tcW w:w="5657" w:type="dxa"/>
            <w:gridSpan w:val="5"/>
            <w:tcBorders>
              <w:top w:val="single" w:sz="8" w:space="0" w:color="auto"/>
              <w:bottom w:val="single" w:sz="4" w:space="0" w:color="auto"/>
            </w:tcBorders>
            <w:shd w:val="clear" w:color="auto" w:fill="auto"/>
            <w:vAlign w:val="center"/>
          </w:tcPr>
          <w:p w14:paraId="18C773D4" w14:textId="77777777" w:rsidR="00822961" w:rsidRPr="00B75A18" w:rsidRDefault="00822961" w:rsidP="00E068A0">
            <w:pPr>
              <w:pStyle w:val="MDPI42tablebody"/>
              <w:spacing w:line="240" w:lineRule="auto"/>
              <w:rPr>
                <w:b/>
              </w:rPr>
            </w:pPr>
            <w:r w:rsidRPr="00B75A18">
              <w:rPr>
                <w:rFonts w:cs="Arial"/>
                <w:b/>
                <w:lang w:eastAsia="en-GB"/>
              </w:rPr>
              <w:t>BMI (kg/m</w:t>
            </w:r>
            <w:r w:rsidRPr="00B75A18">
              <w:rPr>
                <w:rFonts w:cs="Arial"/>
                <w:b/>
                <w:vertAlign w:val="superscript"/>
                <w:lang w:eastAsia="en-GB"/>
              </w:rPr>
              <w:t>2</w:t>
            </w:r>
            <w:r w:rsidRPr="00B75A18">
              <w:rPr>
                <w:rFonts w:cs="Arial"/>
                <w:b/>
                <w:lang w:eastAsia="en-GB"/>
              </w:rPr>
              <w:t>)</w:t>
            </w:r>
          </w:p>
        </w:tc>
      </w:tr>
      <w:tr w:rsidR="00822961" w:rsidRPr="00D80609" w14:paraId="54E3FFD3" w14:textId="77777777" w:rsidTr="00822961">
        <w:trPr>
          <w:trHeight w:val="410"/>
          <w:jc w:val="center"/>
        </w:trPr>
        <w:tc>
          <w:tcPr>
            <w:tcW w:w="4702" w:type="dxa"/>
            <w:shd w:val="clear" w:color="auto" w:fill="auto"/>
            <w:vAlign w:val="center"/>
          </w:tcPr>
          <w:p w14:paraId="18A57345" w14:textId="77777777" w:rsidR="00822961" w:rsidRPr="0046726B" w:rsidRDefault="00822961" w:rsidP="00E068A0">
            <w:pPr>
              <w:pStyle w:val="MDPI42tablebody"/>
              <w:spacing w:line="240" w:lineRule="auto"/>
            </w:pPr>
          </w:p>
        </w:tc>
        <w:tc>
          <w:tcPr>
            <w:tcW w:w="1187" w:type="dxa"/>
            <w:tcBorders>
              <w:top w:val="single" w:sz="4" w:space="0" w:color="auto"/>
              <w:bottom w:val="single" w:sz="4" w:space="0" w:color="auto"/>
            </w:tcBorders>
            <w:shd w:val="clear" w:color="auto" w:fill="auto"/>
            <w:vAlign w:val="bottom"/>
          </w:tcPr>
          <w:p w14:paraId="1E43EF11" w14:textId="77777777" w:rsidR="00822961" w:rsidRPr="0017403E" w:rsidRDefault="00822961" w:rsidP="00E068A0">
            <w:pPr>
              <w:spacing w:line="240" w:lineRule="auto"/>
              <w:jc w:val="center"/>
              <w:rPr>
                <w:rFonts w:ascii="Palatino Linotype" w:hAnsi="Palatino Linotype" w:cs="Arial"/>
                <w:b/>
                <w:sz w:val="20"/>
                <w:lang w:eastAsia="en-GB"/>
              </w:rPr>
            </w:pPr>
            <w:r w:rsidRPr="0017403E">
              <w:rPr>
                <w:rFonts w:ascii="Palatino Linotype" w:hAnsi="Palatino Linotype" w:cs="Arial"/>
                <w:b/>
                <w:sz w:val="20"/>
                <w:lang w:eastAsia="en-GB"/>
              </w:rPr>
              <w:t>18.5 - 24.9 (Normal)</w:t>
            </w:r>
          </w:p>
        </w:tc>
        <w:tc>
          <w:tcPr>
            <w:tcW w:w="1438" w:type="dxa"/>
            <w:tcBorders>
              <w:top w:val="single" w:sz="4" w:space="0" w:color="auto"/>
              <w:bottom w:val="single" w:sz="4" w:space="0" w:color="auto"/>
            </w:tcBorders>
            <w:shd w:val="clear" w:color="auto" w:fill="auto"/>
            <w:vAlign w:val="bottom"/>
          </w:tcPr>
          <w:p w14:paraId="2F372037" w14:textId="77777777" w:rsidR="00822961" w:rsidRPr="0017403E" w:rsidRDefault="00822961" w:rsidP="00E068A0">
            <w:pPr>
              <w:spacing w:line="240" w:lineRule="auto"/>
              <w:jc w:val="center"/>
              <w:rPr>
                <w:rFonts w:ascii="Palatino Linotype" w:hAnsi="Palatino Linotype" w:cs="Arial"/>
                <w:b/>
                <w:sz w:val="20"/>
                <w:lang w:eastAsia="en-GB"/>
              </w:rPr>
            </w:pPr>
            <w:r w:rsidRPr="0017403E">
              <w:rPr>
                <w:rFonts w:ascii="Palatino Linotype" w:hAnsi="Palatino Linotype" w:cs="Arial"/>
                <w:b/>
                <w:sz w:val="20"/>
                <w:lang w:eastAsia="en-GB"/>
              </w:rPr>
              <w:t>25 - 29.9 (Overweight)</w:t>
            </w:r>
          </w:p>
        </w:tc>
        <w:tc>
          <w:tcPr>
            <w:tcW w:w="1114" w:type="dxa"/>
            <w:tcBorders>
              <w:top w:val="single" w:sz="4" w:space="0" w:color="auto"/>
              <w:bottom w:val="single" w:sz="4" w:space="0" w:color="auto"/>
            </w:tcBorders>
            <w:vAlign w:val="bottom"/>
          </w:tcPr>
          <w:p w14:paraId="70DBAAEE" w14:textId="77777777" w:rsidR="00822961" w:rsidRPr="0017403E" w:rsidRDefault="00822961" w:rsidP="00E068A0">
            <w:pPr>
              <w:spacing w:line="240" w:lineRule="auto"/>
              <w:jc w:val="center"/>
              <w:rPr>
                <w:rFonts w:ascii="Palatino Linotype" w:hAnsi="Palatino Linotype" w:cs="Arial"/>
                <w:b/>
                <w:sz w:val="20"/>
                <w:lang w:eastAsia="en-GB"/>
              </w:rPr>
            </w:pPr>
            <w:r w:rsidRPr="0017403E">
              <w:rPr>
                <w:rFonts w:ascii="Palatino Linotype" w:hAnsi="Palatino Linotype" w:cs="Arial"/>
                <w:b/>
                <w:sz w:val="20"/>
                <w:lang w:eastAsia="en-GB"/>
              </w:rPr>
              <w:t>30 - 39.9 (Obese)</w:t>
            </w:r>
          </w:p>
        </w:tc>
        <w:tc>
          <w:tcPr>
            <w:tcW w:w="1109" w:type="dxa"/>
            <w:tcBorders>
              <w:top w:val="single" w:sz="4" w:space="0" w:color="auto"/>
              <w:bottom w:val="single" w:sz="4" w:space="0" w:color="auto"/>
            </w:tcBorders>
            <w:vAlign w:val="bottom"/>
          </w:tcPr>
          <w:p w14:paraId="36395B35" w14:textId="65662E78" w:rsidR="00822961" w:rsidRPr="0017403E" w:rsidRDefault="00822961" w:rsidP="00E068A0">
            <w:pPr>
              <w:spacing w:line="240" w:lineRule="auto"/>
              <w:jc w:val="center"/>
              <w:rPr>
                <w:rFonts w:ascii="Palatino Linotype" w:hAnsi="Palatino Linotype" w:cs="Arial"/>
                <w:b/>
                <w:sz w:val="20"/>
                <w:lang w:eastAsia="en-GB"/>
              </w:rPr>
            </w:pPr>
            <w:r w:rsidRPr="0017403E">
              <w:rPr>
                <w:rFonts w:ascii="Palatino Linotype" w:hAnsi="Palatino Linotype" w:cs="Arial"/>
                <w:b/>
                <w:sz w:val="20"/>
                <w:lang w:eastAsia="en-GB"/>
              </w:rPr>
              <w:t>≥40 (</w:t>
            </w:r>
            <w:r w:rsidR="00FC276C">
              <w:rPr>
                <w:rFonts w:ascii="Palatino Linotype" w:hAnsi="Palatino Linotype" w:cs="Arial"/>
                <w:b/>
                <w:sz w:val="20"/>
                <w:lang w:eastAsia="en-GB"/>
              </w:rPr>
              <w:t>Severely</w:t>
            </w:r>
            <w:r w:rsidR="00FC276C" w:rsidRPr="0017403E">
              <w:rPr>
                <w:rFonts w:ascii="Palatino Linotype" w:hAnsi="Palatino Linotype" w:cs="Arial"/>
                <w:b/>
                <w:sz w:val="20"/>
                <w:lang w:eastAsia="en-GB"/>
              </w:rPr>
              <w:t xml:space="preserve"> </w:t>
            </w:r>
            <w:r w:rsidRPr="0017403E">
              <w:rPr>
                <w:rFonts w:ascii="Palatino Linotype" w:hAnsi="Palatino Linotype" w:cs="Arial"/>
                <w:b/>
                <w:sz w:val="20"/>
                <w:lang w:eastAsia="en-GB"/>
              </w:rPr>
              <w:t>Obese)</w:t>
            </w:r>
          </w:p>
        </w:tc>
        <w:tc>
          <w:tcPr>
            <w:tcW w:w="809" w:type="dxa"/>
            <w:tcBorders>
              <w:top w:val="single" w:sz="4" w:space="0" w:color="auto"/>
              <w:bottom w:val="single" w:sz="4" w:space="0" w:color="auto"/>
            </w:tcBorders>
            <w:vAlign w:val="bottom"/>
          </w:tcPr>
          <w:p w14:paraId="516CC590" w14:textId="1C119494" w:rsidR="00822961" w:rsidRPr="0017403E" w:rsidRDefault="00D828F0" w:rsidP="00E068A0">
            <w:pPr>
              <w:spacing w:line="240" w:lineRule="auto"/>
              <w:jc w:val="center"/>
              <w:rPr>
                <w:rFonts w:ascii="Palatino Linotype" w:hAnsi="Palatino Linotype" w:cs="Arial"/>
                <w:b/>
                <w:sz w:val="20"/>
                <w:lang w:eastAsia="en-GB"/>
              </w:rPr>
            </w:pPr>
            <w:r w:rsidRPr="0017403E">
              <w:rPr>
                <w:rFonts w:ascii="Palatino Linotype" w:hAnsi="Palatino Linotype" w:cs="Arial"/>
                <w:b/>
                <w:sz w:val="20"/>
                <w:lang w:eastAsia="en-GB"/>
              </w:rPr>
              <w:t>p</w:t>
            </w:r>
            <w:r w:rsidRPr="00EA2429">
              <w:rPr>
                <w:rFonts w:ascii="Palatino Linotype" w:hAnsi="Palatino Linotype" w:cs="Arial"/>
                <w:b/>
                <w:sz w:val="20"/>
                <w:vertAlign w:val="superscript"/>
                <w:lang w:eastAsia="en-GB"/>
              </w:rPr>
              <w:t>2</w:t>
            </w:r>
          </w:p>
        </w:tc>
      </w:tr>
      <w:tr w:rsidR="00822961" w:rsidRPr="00D80609" w14:paraId="226E38EA" w14:textId="77777777" w:rsidTr="00822961">
        <w:trPr>
          <w:jc w:val="center"/>
        </w:trPr>
        <w:tc>
          <w:tcPr>
            <w:tcW w:w="4702" w:type="dxa"/>
            <w:shd w:val="clear" w:color="auto" w:fill="auto"/>
            <w:vAlign w:val="center"/>
          </w:tcPr>
          <w:p w14:paraId="49DA2BAD" w14:textId="77777777" w:rsidR="00822961" w:rsidRPr="0046726B" w:rsidRDefault="00822961" w:rsidP="00E068A0">
            <w:pPr>
              <w:pStyle w:val="MDPI42tablebody"/>
              <w:spacing w:line="240" w:lineRule="auto"/>
            </w:pPr>
          </w:p>
        </w:tc>
        <w:tc>
          <w:tcPr>
            <w:tcW w:w="1187" w:type="dxa"/>
            <w:tcBorders>
              <w:top w:val="single" w:sz="4" w:space="0" w:color="auto"/>
              <w:left w:val="nil"/>
              <w:bottom w:val="single" w:sz="4" w:space="0" w:color="auto"/>
              <w:right w:val="nil"/>
            </w:tcBorders>
            <w:shd w:val="clear" w:color="auto" w:fill="auto"/>
            <w:vAlign w:val="bottom"/>
          </w:tcPr>
          <w:p w14:paraId="51CA6683"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N=1055 (43.5%)</w:t>
            </w:r>
          </w:p>
        </w:tc>
        <w:tc>
          <w:tcPr>
            <w:tcW w:w="1438" w:type="dxa"/>
            <w:tcBorders>
              <w:top w:val="single" w:sz="4" w:space="0" w:color="auto"/>
              <w:left w:val="nil"/>
              <w:bottom w:val="single" w:sz="4" w:space="0" w:color="auto"/>
              <w:right w:val="nil"/>
            </w:tcBorders>
            <w:shd w:val="clear" w:color="auto" w:fill="auto"/>
            <w:vAlign w:val="bottom"/>
          </w:tcPr>
          <w:p w14:paraId="5CCB812F"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N=787 (32.5%)</w:t>
            </w:r>
          </w:p>
        </w:tc>
        <w:tc>
          <w:tcPr>
            <w:tcW w:w="1114" w:type="dxa"/>
            <w:tcBorders>
              <w:top w:val="single" w:sz="4" w:space="0" w:color="auto"/>
              <w:left w:val="nil"/>
              <w:bottom w:val="single" w:sz="4" w:space="0" w:color="auto"/>
              <w:right w:val="nil"/>
            </w:tcBorders>
            <w:shd w:val="clear" w:color="auto" w:fill="auto"/>
            <w:vAlign w:val="bottom"/>
          </w:tcPr>
          <w:p w14:paraId="0627E0DD"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N=520 (21.4%)</w:t>
            </w:r>
          </w:p>
        </w:tc>
        <w:tc>
          <w:tcPr>
            <w:tcW w:w="1109" w:type="dxa"/>
            <w:tcBorders>
              <w:top w:val="single" w:sz="4" w:space="0" w:color="auto"/>
              <w:left w:val="nil"/>
              <w:bottom w:val="single" w:sz="4" w:space="0" w:color="auto"/>
              <w:right w:val="nil"/>
            </w:tcBorders>
            <w:shd w:val="clear" w:color="auto" w:fill="auto"/>
            <w:vAlign w:val="bottom"/>
          </w:tcPr>
          <w:p w14:paraId="42EA2A45"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N=63 (2.6%)</w:t>
            </w:r>
          </w:p>
        </w:tc>
        <w:tc>
          <w:tcPr>
            <w:tcW w:w="809" w:type="dxa"/>
            <w:tcBorders>
              <w:top w:val="single" w:sz="4" w:space="0" w:color="auto"/>
              <w:left w:val="nil"/>
              <w:bottom w:val="single" w:sz="4" w:space="0" w:color="auto"/>
              <w:right w:val="nil"/>
            </w:tcBorders>
            <w:shd w:val="clear" w:color="auto" w:fill="auto"/>
            <w:vAlign w:val="bottom"/>
          </w:tcPr>
          <w:p w14:paraId="2C646472" w14:textId="77777777" w:rsidR="00822961" w:rsidRPr="00737107" w:rsidRDefault="00822961" w:rsidP="00E068A0">
            <w:pPr>
              <w:spacing w:line="240" w:lineRule="auto"/>
              <w:jc w:val="center"/>
              <w:rPr>
                <w:rFonts w:ascii="Palatino Linotype" w:hAnsi="Palatino Linotype" w:cs="Arial"/>
                <w:sz w:val="20"/>
                <w:lang w:eastAsia="en-GB"/>
              </w:rPr>
            </w:pPr>
          </w:p>
        </w:tc>
      </w:tr>
      <w:tr w:rsidR="00822961" w:rsidRPr="00D80609" w14:paraId="4D6A60B8" w14:textId="77777777" w:rsidTr="00822961">
        <w:trPr>
          <w:jc w:val="center"/>
        </w:trPr>
        <w:tc>
          <w:tcPr>
            <w:tcW w:w="4702" w:type="dxa"/>
            <w:shd w:val="clear" w:color="auto" w:fill="auto"/>
            <w:vAlign w:val="bottom"/>
          </w:tcPr>
          <w:p w14:paraId="798A3821" w14:textId="77777777" w:rsidR="00822961" w:rsidRPr="00340008" w:rsidRDefault="00822961" w:rsidP="00E068A0">
            <w:pPr>
              <w:spacing w:line="240" w:lineRule="auto"/>
              <w:rPr>
                <w:rFonts w:ascii="Palatino Linotype" w:hAnsi="Palatino Linotype" w:cs="Arial"/>
                <w:i/>
                <w:sz w:val="20"/>
                <w:lang w:eastAsia="en-GB"/>
              </w:rPr>
            </w:pPr>
            <w:r w:rsidRPr="00340008">
              <w:rPr>
                <w:rFonts w:ascii="Palatino Linotype" w:hAnsi="Palatino Linotype" w:cs="Arial"/>
                <w:i/>
                <w:sz w:val="20"/>
                <w:lang w:eastAsia="en-GB"/>
              </w:rPr>
              <w:t>Socio-demographic variables</w:t>
            </w:r>
          </w:p>
        </w:tc>
        <w:tc>
          <w:tcPr>
            <w:tcW w:w="1187" w:type="dxa"/>
            <w:tcBorders>
              <w:top w:val="single" w:sz="4" w:space="0" w:color="auto"/>
              <w:left w:val="nil"/>
              <w:bottom w:val="nil"/>
              <w:right w:val="nil"/>
            </w:tcBorders>
            <w:shd w:val="clear" w:color="auto" w:fill="auto"/>
            <w:vAlign w:val="bottom"/>
          </w:tcPr>
          <w:p w14:paraId="469842FF" w14:textId="77777777" w:rsidR="00822961" w:rsidRPr="00737107" w:rsidRDefault="00822961" w:rsidP="00E068A0">
            <w:pPr>
              <w:spacing w:line="240" w:lineRule="auto"/>
              <w:jc w:val="center"/>
              <w:rPr>
                <w:rFonts w:ascii="Palatino Linotype" w:hAnsi="Palatino Linotype" w:cs="Arial"/>
                <w:sz w:val="20"/>
                <w:lang w:eastAsia="en-GB"/>
              </w:rPr>
            </w:pPr>
          </w:p>
        </w:tc>
        <w:tc>
          <w:tcPr>
            <w:tcW w:w="1438" w:type="dxa"/>
            <w:tcBorders>
              <w:top w:val="single" w:sz="4" w:space="0" w:color="auto"/>
              <w:left w:val="nil"/>
              <w:bottom w:val="nil"/>
              <w:right w:val="nil"/>
            </w:tcBorders>
            <w:shd w:val="clear" w:color="auto" w:fill="auto"/>
            <w:vAlign w:val="bottom"/>
          </w:tcPr>
          <w:p w14:paraId="5A4F17F6" w14:textId="77777777" w:rsidR="00822961" w:rsidRPr="00737107" w:rsidRDefault="00822961" w:rsidP="00E068A0">
            <w:pPr>
              <w:spacing w:line="240" w:lineRule="auto"/>
              <w:jc w:val="center"/>
              <w:rPr>
                <w:rFonts w:ascii="Palatino Linotype" w:hAnsi="Palatino Linotype" w:cs="Arial"/>
                <w:sz w:val="20"/>
                <w:lang w:eastAsia="en-GB"/>
              </w:rPr>
            </w:pPr>
          </w:p>
        </w:tc>
        <w:tc>
          <w:tcPr>
            <w:tcW w:w="1114" w:type="dxa"/>
            <w:tcBorders>
              <w:top w:val="single" w:sz="4" w:space="0" w:color="auto"/>
              <w:left w:val="nil"/>
              <w:bottom w:val="nil"/>
              <w:right w:val="nil"/>
            </w:tcBorders>
            <w:shd w:val="clear" w:color="auto" w:fill="auto"/>
            <w:vAlign w:val="bottom"/>
          </w:tcPr>
          <w:p w14:paraId="275724B7" w14:textId="77777777" w:rsidR="00822961" w:rsidRPr="00737107" w:rsidRDefault="00822961" w:rsidP="00E068A0">
            <w:pPr>
              <w:spacing w:line="240" w:lineRule="auto"/>
              <w:jc w:val="center"/>
              <w:rPr>
                <w:rFonts w:ascii="Palatino Linotype" w:hAnsi="Palatino Linotype" w:cs="Arial"/>
                <w:sz w:val="20"/>
                <w:lang w:eastAsia="en-GB"/>
              </w:rPr>
            </w:pPr>
          </w:p>
        </w:tc>
        <w:tc>
          <w:tcPr>
            <w:tcW w:w="1109" w:type="dxa"/>
            <w:tcBorders>
              <w:top w:val="single" w:sz="4" w:space="0" w:color="auto"/>
              <w:left w:val="nil"/>
              <w:bottom w:val="nil"/>
              <w:right w:val="nil"/>
            </w:tcBorders>
            <w:shd w:val="clear" w:color="auto" w:fill="auto"/>
            <w:vAlign w:val="bottom"/>
          </w:tcPr>
          <w:p w14:paraId="55284CFB" w14:textId="77777777" w:rsidR="00822961" w:rsidRPr="00737107" w:rsidRDefault="00822961" w:rsidP="00E068A0">
            <w:pPr>
              <w:spacing w:line="240" w:lineRule="auto"/>
              <w:jc w:val="center"/>
              <w:rPr>
                <w:rFonts w:ascii="Palatino Linotype" w:hAnsi="Palatino Linotype" w:cs="Arial"/>
                <w:sz w:val="20"/>
                <w:lang w:eastAsia="en-GB"/>
              </w:rPr>
            </w:pPr>
          </w:p>
        </w:tc>
        <w:tc>
          <w:tcPr>
            <w:tcW w:w="809" w:type="dxa"/>
            <w:tcBorders>
              <w:top w:val="single" w:sz="4" w:space="0" w:color="auto"/>
              <w:left w:val="nil"/>
              <w:bottom w:val="nil"/>
              <w:right w:val="nil"/>
            </w:tcBorders>
            <w:shd w:val="clear" w:color="auto" w:fill="auto"/>
            <w:vAlign w:val="bottom"/>
          </w:tcPr>
          <w:p w14:paraId="061E247C" w14:textId="77777777" w:rsidR="00822961" w:rsidRPr="00737107" w:rsidRDefault="00822961" w:rsidP="00E068A0">
            <w:pPr>
              <w:spacing w:line="240" w:lineRule="auto"/>
              <w:jc w:val="center"/>
              <w:rPr>
                <w:rFonts w:ascii="Palatino Linotype" w:hAnsi="Palatino Linotype" w:cs="Arial"/>
                <w:sz w:val="20"/>
                <w:lang w:eastAsia="en-GB"/>
              </w:rPr>
            </w:pPr>
          </w:p>
        </w:tc>
      </w:tr>
      <w:tr w:rsidR="00822961" w:rsidRPr="00D80609" w14:paraId="2AA4F218" w14:textId="77777777" w:rsidTr="00822961">
        <w:trPr>
          <w:jc w:val="center"/>
        </w:trPr>
        <w:tc>
          <w:tcPr>
            <w:tcW w:w="4702" w:type="dxa"/>
            <w:shd w:val="clear" w:color="auto" w:fill="auto"/>
            <w:vAlign w:val="bottom"/>
          </w:tcPr>
          <w:p w14:paraId="050D4B1D" w14:textId="77777777" w:rsidR="00822961" w:rsidRPr="00340008" w:rsidRDefault="00822961" w:rsidP="00E068A0">
            <w:pPr>
              <w:spacing w:line="240" w:lineRule="auto"/>
              <w:rPr>
                <w:rFonts w:ascii="Palatino Linotype" w:hAnsi="Palatino Linotype" w:cs="Arial"/>
                <w:sz w:val="20"/>
                <w:lang w:eastAsia="en-GB"/>
              </w:rPr>
            </w:pPr>
            <w:r w:rsidRPr="00340008">
              <w:rPr>
                <w:rFonts w:ascii="Palatino Linotype" w:hAnsi="Palatino Linotype" w:cs="Arial"/>
                <w:sz w:val="20"/>
                <w:lang w:eastAsia="en-GB"/>
              </w:rPr>
              <w:t>Age (years), mean(SD)</w:t>
            </w:r>
          </w:p>
        </w:tc>
        <w:tc>
          <w:tcPr>
            <w:tcW w:w="1187" w:type="dxa"/>
            <w:tcBorders>
              <w:top w:val="nil"/>
              <w:left w:val="nil"/>
              <w:bottom w:val="nil"/>
              <w:right w:val="nil"/>
            </w:tcBorders>
            <w:shd w:val="clear" w:color="auto" w:fill="auto"/>
            <w:vAlign w:val="bottom"/>
          </w:tcPr>
          <w:p w14:paraId="6A0749F6"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57.1 (4.0)</w:t>
            </w:r>
          </w:p>
        </w:tc>
        <w:tc>
          <w:tcPr>
            <w:tcW w:w="1438" w:type="dxa"/>
            <w:tcBorders>
              <w:top w:val="nil"/>
              <w:left w:val="nil"/>
              <w:bottom w:val="nil"/>
              <w:right w:val="nil"/>
            </w:tcBorders>
            <w:shd w:val="clear" w:color="auto" w:fill="auto"/>
            <w:vAlign w:val="bottom"/>
          </w:tcPr>
          <w:p w14:paraId="34AD4593"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57.4 (3.9)</w:t>
            </w:r>
          </w:p>
        </w:tc>
        <w:tc>
          <w:tcPr>
            <w:tcW w:w="1114" w:type="dxa"/>
            <w:tcBorders>
              <w:top w:val="nil"/>
              <w:left w:val="nil"/>
              <w:bottom w:val="nil"/>
              <w:right w:val="nil"/>
            </w:tcBorders>
            <w:shd w:val="clear" w:color="auto" w:fill="auto"/>
            <w:vAlign w:val="bottom"/>
          </w:tcPr>
          <w:p w14:paraId="7652DEC2"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57.0 (3.8)</w:t>
            </w:r>
          </w:p>
        </w:tc>
        <w:tc>
          <w:tcPr>
            <w:tcW w:w="1109" w:type="dxa"/>
            <w:tcBorders>
              <w:top w:val="nil"/>
              <w:left w:val="nil"/>
              <w:bottom w:val="nil"/>
              <w:right w:val="nil"/>
            </w:tcBorders>
            <w:shd w:val="clear" w:color="auto" w:fill="auto"/>
            <w:vAlign w:val="bottom"/>
          </w:tcPr>
          <w:p w14:paraId="6438A7D1"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57.3 (3.8)</w:t>
            </w:r>
          </w:p>
        </w:tc>
        <w:tc>
          <w:tcPr>
            <w:tcW w:w="809" w:type="dxa"/>
            <w:tcBorders>
              <w:top w:val="nil"/>
              <w:left w:val="nil"/>
              <w:bottom w:val="nil"/>
              <w:right w:val="nil"/>
            </w:tcBorders>
            <w:shd w:val="clear" w:color="auto" w:fill="auto"/>
            <w:vAlign w:val="bottom"/>
          </w:tcPr>
          <w:p w14:paraId="6C8AF9FB"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0.19</w:t>
            </w:r>
          </w:p>
        </w:tc>
      </w:tr>
      <w:tr w:rsidR="00822961" w:rsidRPr="00D80609" w14:paraId="7745FA89" w14:textId="77777777" w:rsidTr="00822961">
        <w:trPr>
          <w:jc w:val="center"/>
        </w:trPr>
        <w:tc>
          <w:tcPr>
            <w:tcW w:w="4702" w:type="dxa"/>
            <w:shd w:val="clear" w:color="auto" w:fill="auto"/>
            <w:vAlign w:val="bottom"/>
          </w:tcPr>
          <w:p w14:paraId="14E84961" w14:textId="77777777" w:rsidR="00822961" w:rsidRPr="00340008" w:rsidRDefault="00822961" w:rsidP="00E068A0">
            <w:pPr>
              <w:spacing w:line="240" w:lineRule="auto"/>
              <w:rPr>
                <w:rFonts w:ascii="Palatino Linotype" w:hAnsi="Palatino Linotype" w:cs="Arial"/>
                <w:sz w:val="20"/>
                <w:lang w:eastAsia="en-GB"/>
              </w:rPr>
            </w:pPr>
            <w:r w:rsidRPr="00340008">
              <w:rPr>
                <w:rFonts w:ascii="Palatino Linotype" w:hAnsi="Palatino Linotype" w:cs="Arial"/>
                <w:sz w:val="20"/>
                <w:lang w:eastAsia="en-GB"/>
              </w:rPr>
              <w:t>Marital status – Not married</w:t>
            </w:r>
          </w:p>
        </w:tc>
        <w:tc>
          <w:tcPr>
            <w:tcW w:w="1187" w:type="dxa"/>
            <w:tcBorders>
              <w:top w:val="nil"/>
              <w:left w:val="nil"/>
              <w:bottom w:val="nil"/>
              <w:right w:val="nil"/>
            </w:tcBorders>
            <w:shd w:val="clear" w:color="auto" w:fill="auto"/>
            <w:vAlign w:val="bottom"/>
          </w:tcPr>
          <w:p w14:paraId="2E53CCBB"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341 (32.7)</w:t>
            </w:r>
          </w:p>
        </w:tc>
        <w:tc>
          <w:tcPr>
            <w:tcW w:w="1438" w:type="dxa"/>
            <w:tcBorders>
              <w:top w:val="nil"/>
              <w:left w:val="nil"/>
              <w:bottom w:val="nil"/>
              <w:right w:val="nil"/>
            </w:tcBorders>
            <w:shd w:val="clear" w:color="auto" w:fill="auto"/>
            <w:vAlign w:val="bottom"/>
          </w:tcPr>
          <w:p w14:paraId="5FE1E824"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247 (31.7)</w:t>
            </w:r>
          </w:p>
        </w:tc>
        <w:tc>
          <w:tcPr>
            <w:tcW w:w="1114" w:type="dxa"/>
            <w:tcBorders>
              <w:top w:val="nil"/>
              <w:left w:val="nil"/>
              <w:bottom w:val="nil"/>
              <w:right w:val="nil"/>
            </w:tcBorders>
            <w:shd w:val="clear" w:color="auto" w:fill="auto"/>
            <w:vAlign w:val="bottom"/>
          </w:tcPr>
          <w:p w14:paraId="78938E7B"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196 (38.1)</w:t>
            </w:r>
          </w:p>
        </w:tc>
        <w:tc>
          <w:tcPr>
            <w:tcW w:w="1109" w:type="dxa"/>
            <w:tcBorders>
              <w:top w:val="nil"/>
              <w:left w:val="nil"/>
              <w:bottom w:val="nil"/>
              <w:right w:val="nil"/>
            </w:tcBorders>
            <w:shd w:val="clear" w:color="auto" w:fill="auto"/>
            <w:vAlign w:val="bottom"/>
          </w:tcPr>
          <w:p w14:paraId="4FCE09FB"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23 (37.1)</w:t>
            </w:r>
          </w:p>
        </w:tc>
        <w:tc>
          <w:tcPr>
            <w:tcW w:w="809" w:type="dxa"/>
            <w:tcBorders>
              <w:top w:val="nil"/>
              <w:left w:val="nil"/>
              <w:bottom w:val="nil"/>
              <w:right w:val="nil"/>
            </w:tcBorders>
            <w:shd w:val="clear" w:color="auto" w:fill="auto"/>
            <w:vAlign w:val="bottom"/>
          </w:tcPr>
          <w:p w14:paraId="2E61C16B"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0.08</w:t>
            </w:r>
          </w:p>
        </w:tc>
      </w:tr>
      <w:tr w:rsidR="00822961" w:rsidRPr="00D80609" w14:paraId="4AC3F88C" w14:textId="77777777" w:rsidTr="00822961">
        <w:trPr>
          <w:jc w:val="center"/>
        </w:trPr>
        <w:tc>
          <w:tcPr>
            <w:tcW w:w="4702" w:type="dxa"/>
            <w:shd w:val="clear" w:color="auto" w:fill="auto"/>
            <w:vAlign w:val="bottom"/>
          </w:tcPr>
          <w:p w14:paraId="52A963B6" w14:textId="77777777" w:rsidR="00822961" w:rsidRPr="00340008" w:rsidRDefault="00822961" w:rsidP="00E068A0">
            <w:pPr>
              <w:spacing w:line="240" w:lineRule="auto"/>
              <w:rPr>
                <w:rFonts w:ascii="Palatino Linotype" w:hAnsi="Palatino Linotype" w:cs="Arial"/>
                <w:sz w:val="20"/>
                <w:lang w:eastAsia="en-GB"/>
              </w:rPr>
            </w:pPr>
            <w:r w:rsidRPr="00340008">
              <w:rPr>
                <w:rFonts w:ascii="Palatino Linotype" w:hAnsi="Palatino Linotype" w:cs="Arial"/>
                <w:sz w:val="20"/>
                <w:lang w:eastAsia="en-GB"/>
              </w:rPr>
              <w:t>Proximity to retirement</w:t>
            </w:r>
          </w:p>
        </w:tc>
        <w:tc>
          <w:tcPr>
            <w:tcW w:w="1187" w:type="dxa"/>
            <w:tcBorders>
              <w:top w:val="nil"/>
              <w:left w:val="nil"/>
              <w:bottom w:val="nil"/>
              <w:right w:val="nil"/>
            </w:tcBorders>
            <w:shd w:val="clear" w:color="auto" w:fill="auto"/>
            <w:vAlign w:val="bottom"/>
          </w:tcPr>
          <w:p w14:paraId="47632664" w14:textId="77777777" w:rsidR="00822961" w:rsidRPr="00737107" w:rsidRDefault="00822961" w:rsidP="00E068A0">
            <w:pPr>
              <w:spacing w:line="240" w:lineRule="auto"/>
              <w:jc w:val="center"/>
              <w:rPr>
                <w:rFonts w:ascii="Palatino Linotype" w:hAnsi="Palatino Linotype" w:cs="Arial"/>
                <w:sz w:val="20"/>
                <w:lang w:eastAsia="en-GB"/>
              </w:rPr>
            </w:pPr>
          </w:p>
        </w:tc>
        <w:tc>
          <w:tcPr>
            <w:tcW w:w="1438" w:type="dxa"/>
            <w:tcBorders>
              <w:top w:val="nil"/>
              <w:left w:val="nil"/>
              <w:bottom w:val="nil"/>
              <w:right w:val="nil"/>
            </w:tcBorders>
            <w:shd w:val="clear" w:color="auto" w:fill="auto"/>
            <w:vAlign w:val="bottom"/>
          </w:tcPr>
          <w:p w14:paraId="41C4AC09" w14:textId="77777777" w:rsidR="00822961" w:rsidRPr="00737107" w:rsidRDefault="00822961" w:rsidP="00E068A0">
            <w:pPr>
              <w:spacing w:line="240" w:lineRule="auto"/>
              <w:jc w:val="center"/>
              <w:rPr>
                <w:rFonts w:ascii="Palatino Linotype" w:hAnsi="Palatino Linotype" w:cs="Arial"/>
                <w:sz w:val="20"/>
                <w:lang w:eastAsia="en-GB"/>
              </w:rPr>
            </w:pPr>
          </w:p>
        </w:tc>
        <w:tc>
          <w:tcPr>
            <w:tcW w:w="1114" w:type="dxa"/>
            <w:tcBorders>
              <w:top w:val="nil"/>
              <w:left w:val="nil"/>
              <w:bottom w:val="nil"/>
              <w:right w:val="nil"/>
            </w:tcBorders>
            <w:shd w:val="clear" w:color="auto" w:fill="auto"/>
            <w:vAlign w:val="bottom"/>
          </w:tcPr>
          <w:p w14:paraId="3108A9B7" w14:textId="77777777" w:rsidR="00822961" w:rsidRPr="00737107" w:rsidRDefault="00822961" w:rsidP="00E068A0">
            <w:pPr>
              <w:spacing w:line="240" w:lineRule="auto"/>
              <w:jc w:val="center"/>
              <w:rPr>
                <w:rFonts w:ascii="Palatino Linotype" w:hAnsi="Palatino Linotype" w:cs="Arial"/>
                <w:sz w:val="20"/>
                <w:lang w:eastAsia="en-GB"/>
              </w:rPr>
            </w:pPr>
          </w:p>
        </w:tc>
        <w:tc>
          <w:tcPr>
            <w:tcW w:w="1109" w:type="dxa"/>
            <w:tcBorders>
              <w:top w:val="nil"/>
              <w:left w:val="nil"/>
              <w:bottom w:val="nil"/>
              <w:right w:val="nil"/>
            </w:tcBorders>
            <w:shd w:val="clear" w:color="auto" w:fill="auto"/>
            <w:vAlign w:val="bottom"/>
          </w:tcPr>
          <w:p w14:paraId="3463A028" w14:textId="77777777" w:rsidR="00822961" w:rsidRPr="00737107" w:rsidRDefault="00822961" w:rsidP="00E068A0">
            <w:pPr>
              <w:spacing w:line="240" w:lineRule="auto"/>
              <w:jc w:val="center"/>
              <w:rPr>
                <w:rFonts w:ascii="Palatino Linotype" w:hAnsi="Palatino Linotype" w:cs="Arial"/>
                <w:sz w:val="20"/>
                <w:lang w:eastAsia="en-GB"/>
              </w:rPr>
            </w:pPr>
          </w:p>
        </w:tc>
        <w:tc>
          <w:tcPr>
            <w:tcW w:w="809" w:type="dxa"/>
            <w:tcBorders>
              <w:top w:val="nil"/>
              <w:left w:val="nil"/>
              <w:bottom w:val="nil"/>
              <w:right w:val="nil"/>
            </w:tcBorders>
            <w:shd w:val="clear" w:color="auto" w:fill="auto"/>
            <w:vAlign w:val="bottom"/>
          </w:tcPr>
          <w:p w14:paraId="6D03EDBA" w14:textId="77777777" w:rsidR="00822961" w:rsidRPr="00737107" w:rsidRDefault="00822961" w:rsidP="00E068A0">
            <w:pPr>
              <w:spacing w:line="240" w:lineRule="auto"/>
              <w:jc w:val="center"/>
              <w:rPr>
                <w:rFonts w:ascii="Palatino Linotype" w:hAnsi="Palatino Linotype" w:cs="Arial"/>
                <w:sz w:val="20"/>
                <w:lang w:eastAsia="en-GB"/>
              </w:rPr>
            </w:pPr>
          </w:p>
        </w:tc>
      </w:tr>
      <w:tr w:rsidR="00822961" w:rsidRPr="00D80609" w14:paraId="2D9C88C1" w14:textId="77777777" w:rsidTr="00822961">
        <w:trPr>
          <w:jc w:val="center"/>
        </w:trPr>
        <w:tc>
          <w:tcPr>
            <w:tcW w:w="4702" w:type="dxa"/>
            <w:shd w:val="clear" w:color="auto" w:fill="auto"/>
            <w:vAlign w:val="bottom"/>
          </w:tcPr>
          <w:p w14:paraId="5B22F5FD" w14:textId="77777777" w:rsidR="00822961" w:rsidRPr="00340008" w:rsidRDefault="00822961" w:rsidP="00E068A0">
            <w:pPr>
              <w:spacing w:line="240" w:lineRule="auto"/>
              <w:ind w:firstLineChars="200" w:firstLine="400"/>
              <w:rPr>
                <w:rFonts w:ascii="Palatino Linotype" w:hAnsi="Palatino Linotype" w:cs="Arial"/>
                <w:sz w:val="20"/>
                <w:lang w:eastAsia="en-GB"/>
              </w:rPr>
            </w:pPr>
            <w:r w:rsidRPr="00340008">
              <w:rPr>
                <w:rFonts w:ascii="Palatino Linotype" w:hAnsi="Palatino Linotype" w:cs="Arial"/>
                <w:sz w:val="20"/>
                <w:lang w:eastAsia="en-GB"/>
              </w:rPr>
              <w:t>Less than a year</w:t>
            </w:r>
          </w:p>
        </w:tc>
        <w:tc>
          <w:tcPr>
            <w:tcW w:w="1187" w:type="dxa"/>
            <w:tcBorders>
              <w:top w:val="nil"/>
              <w:left w:val="nil"/>
              <w:bottom w:val="nil"/>
              <w:right w:val="nil"/>
            </w:tcBorders>
            <w:shd w:val="clear" w:color="auto" w:fill="auto"/>
            <w:vAlign w:val="bottom"/>
          </w:tcPr>
          <w:p w14:paraId="6743D0A9"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56 (5.8)</w:t>
            </w:r>
          </w:p>
        </w:tc>
        <w:tc>
          <w:tcPr>
            <w:tcW w:w="1438" w:type="dxa"/>
            <w:tcBorders>
              <w:top w:val="nil"/>
              <w:left w:val="nil"/>
              <w:bottom w:val="nil"/>
              <w:right w:val="nil"/>
            </w:tcBorders>
            <w:shd w:val="clear" w:color="auto" w:fill="auto"/>
            <w:vAlign w:val="bottom"/>
          </w:tcPr>
          <w:p w14:paraId="2FA8D6DC"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45 (6.1)</w:t>
            </w:r>
          </w:p>
        </w:tc>
        <w:tc>
          <w:tcPr>
            <w:tcW w:w="1114" w:type="dxa"/>
            <w:tcBorders>
              <w:top w:val="nil"/>
              <w:left w:val="nil"/>
              <w:bottom w:val="nil"/>
              <w:right w:val="nil"/>
            </w:tcBorders>
            <w:shd w:val="clear" w:color="auto" w:fill="auto"/>
            <w:vAlign w:val="bottom"/>
          </w:tcPr>
          <w:p w14:paraId="7B478C3C"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29 (6.0)</w:t>
            </w:r>
          </w:p>
        </w:tc>
        <w:tc>
          <w:tcPr>
            <w:tcW w:w="1109" w:type="dxa"/>
            <w:tcBorders>
              <w:top w:val="nil"/>
              <w:left w:val="nil"/>
              <w:bottom w:val="nil"/>
              <w:right w:val="nil"/>
            </w:tcBorders>
            <w:shd w:val="clear" w:color="auto" w:fill="auto"/>
            <w:vAlign w:val="bottom"/>
          </w:tcPr>
          <w:p w14:paraId="02DBE398"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5 (8.5)</w:t>
            </w:r>
          </w:p>
        </w:tc>
        <w:tc>
          <w:tcPr>
            <w:tcW w:w="809" w:type="dxa"/>
            <w:tcBorders>
              <w:top w:val="nil"/>
              <w:left w:val="nil"/>
              <w:bottom w:val="nil"/>
              <w:right w:val="nil"/>
            </w:tcBorders>
            <w:shd w:val="clear" w:color="auto" w:fill="auto"/>
            <w:vAlign w:val="bottom"/>
          </w:tcPr>
          <w:p w14:paraId="48B6F331"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0.32</w:t>
            </w:r>
          </w:p>
        </w:tc>
      </w:tr>
      <w:tr w:rsidR="00822961" w:rsidRPr="00D80609" w14:paraId="597E552D" w14:textId="77777777" w:rsidTr="00822961">
        <w:trPr>
          <w:jc w:val="center"/>
        </w:trPr>
        <w:tc>
          <w:tcPr>
            <w:tcW w:w="4702" w:type="dxa"/>
            <w:shd w:val="clear" w:color="auto" w:fill="auto"/>
            <w:vAlign w:val="center"/>
          </w:tcPr>
          <w:p w14:paraId="69371872" w14:textId="77777777" w:rsidR="00822961" w:rsidRPr="00340008" w:rsidRDefault="00822961" w:rsidP="00E068A0">
            <w:pPr>
              <w:spacing w:line="240" w:lineRule="auto"/>
              <w:ind w:firstLineChars="200" w:firstLine="400"/>
              <w:rPr>
                <w:rFonts w:ascii="Palatino Linotype" w:hAnsi="Palatino Linotype" w:cs="Arial"/>
                <w:sz w:val="20"/>
                <w:lang w:eastAsia="en-GB"/>
              </w:rPr>
            </w:pPr>
            <w:r w:rsidRPr="00340008">
              <w:rPr>
                <w:rFonts w:ascii="Palatino Linotype" w:hAnsi="Palatino Linotype" w:cs="Arial"/>
                <w:sz w:val="20"/>
                <w:lang w:eastAsia="en-GB"/>
              </w:rPr>
              <w:t>1 to &lt;5 years</w:t>
            </w:r>
          </w:p>
        </w:tc>
        <w:tc>
          <w:tcPr>
            <w:tcW w:w="1187" w:type="dxa"/>
            <w:tcBorders>
              <w:top w:val="nil"/>
              <w:left w:val="nil"/>
              <w:bottom w:val="nil"/>
              <w:right w:val="nil"/>
            </w:tcBorders>
            <w:shd w:val="clear" w:color="auto" w:fill="auto"/>
            <w:vAlign w:val="bottom"/>
          </w:tcPr>
          <w:p w14:paraId="01B1C06F"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231 (23.9)</w:t>
            </w:r>
          </w:p>
        </w:tc>
        <w:tc>
          <w:tcPr>
            <w:tcW w:w="1438" w:type="dxa"/>
            <w:tcBorders>
              <w:top w:val="nil"/>
              <w:left w:val="nil"/>
              <w:bottom w:val="nil"/>
              <w:right w:val="nil"/>
            </w:tcBorders>
            <w:shd w:val="clear" w:color="auto" w:fill="auto"/>
            <w:vAlign w:val="bottom"/>
          </w:tcPr>
          <w:p w14:paraId="1B300ED6"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162 (22.1)</w:t>
            </w:r>
          </w:p>
        </w:tc>
        <w:tc>
          <w:tcPr>
            <w:tcW w:w="1114" w:type="dxa"/>
            <w:tcBorders>
              <w:top w:val="nil"/>
              <w:left w:val="nil"/>
              <w:bottom w:val="nil"/>
              <w:right w:val="nil"/>
            </w:tcBorders>
            <w:shd w:val="clear" w:color="auto" w:fill="auto"/>
            <w:vAlign w:val="bottom"/>
          </w:tcPr>
          <w:p w14:paraId="1DB5D72D"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93 (19.3)</w:t>
            </w:r>
          </w:p>
        </w:tc>
        <w:tc>
          <w:tcPr>
            <w:tcW w:w="1109" w:type="dxa"/>
            <w:tcBorders>
              <w:top w:val="nil"/>
              <w:left w:val="nil"/>
              <w:bottom w:val="nil"/>
              <w:right w:val="nil"/>
            </w:tcBorders>
            <w:shd w:val="clear" w:color="auto" w:fill="auto"/>
            <w:vAlign w:val="bottom"/>
          </w:tcPr>
          <w:p w14:paraId="640CA300"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8 (13.6)</w:t>
            </w:r>
          </w:p>
        </w:tc>
        <w:tc>
          <w:tcPr>
            <w:tcW w:w="809" w:type="dxa"/>
            <w:tcBorders>
              <w:top w:val="nil"/>
              <w:left w:val="nil"/>
              <w:bottom w:val="nil"/>
              <w:right w:val="nil"/>
            </w:tcBorders>
            <w:shd w:val="clear" w:color="auto" w:fill="auto"/>
            <w:vAlign w:val="bottom"/>
          </w:tcPr>
          <w:p w14:paraId="53D6260B" w14:textId="77777777" w:rsidR="00822961" w:rsidRPr="00737107" w:rsidRDefault="00822961" w:rsidP="00E068A0">
            <w:pPr>
              <w:spacing w:line="240" w:lineRule="auto"/>
              <w:jc w:val="center"/>
              <w:rPr>
                <w:rFonts w:ascii="Palatino Linotype" w:hAnsi="Palatino Linotype" w:cs="Arial"/>
                <w:sz w:val="20"/>
                <w:lang w:eastAsia="en-GB"/>
              </w:rPr>
            </w:pPr>
          </w:p>
        </w:tc>
      </w:tr>
      <w:tr w:rsidR="00822961" w:rsidRPr="00D80609" w14:paraId="1851CC81" w14:textId="77777777" w:rsidTr="00822961">
        <w:trPr>
          <w:jc w:val="center"/>
        </w:trPr>
        <w:tc>
          <w:tcPr>
            <w:tcW w:w="4702" w:type="dxa"/>
            <w:shd w:val="clear" w:color="auto" w:fill="auto"/>
            <w:vAlign w:val="bottom"/>
          </w:tcPr>
          <w:p w14:paraId="5E968FBD" w14:textId="77777777" w:rsidR="00822961" w:rsidRPr="00340008" w:rsidRDefault="00822961" w:rsidP="00E068A0">
            <w:pPr>
              <w:spacing w:line="240" w:lineRule="auto"/>
              <w:ind w:firstLineChars="200" w:firstLine="400"/>
              <w:rPr>
                <w:rFonts w:ascii="Palatino Linotype" w:hAnsi="Palatino Linotype" w:cs="Arial"/>
                <w:sz w:val="20"/>
                <w:lang w:eastAsia="en-GB"/>
              </w:rPr>
            </w:pPr>
            <w:r w:rsidRPr="00340008">
              <w:rPr>
                <w:rFonts w:ascii="Palatino Linotype" w:hAnsi="Palatino Linotype" w:cs="Arial"/>
                <w:sz w:val="20"/>
                <w:lang w:eastAsia="en-GB"/>
              </w:rPr>
              <w:t>5-10 years</w:t>
            </w:r>
          </w:p>
        </w:tc>
        <w:tc>
          <w:tcPr>
            <w:tcW w:w="1187" w:type="dxa"/>
            <w:tcBorders>
              <w:top w:val="nil"/>
              <w:left w:val="nil"/>
              <w:bottom w:val="nil"/>
              <w:right w:val="nil"/>
            </w:tcBorders>
            <w:shd w:val="clear" w:color="auto" w:fill="auto"/>
            <w:vAlign w:val="bottom"/>
          </w:tcPr>
          <w:p w14:paraId="5115312E"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356 (36.9)</w:t>
            </w:r>
          </w:p>
        </w:tc>
        <w:tc>
          <w:tcPr>
            <w:tcW w:w="1438" w:type="dxa"/>
            <w:tcBorders>
              <w:top w:val="nil"/>
              <w:left w:val="nil"/>
              <w:bottom w:val="nil"/>
              <w:right w:val="nil"/>
            </w:tcBorders>
            <w:shd w:val="clear" w:color="auto" w:fill="auto"/>
            <w:vAlign w:val="bottom"/>
          </w:tcPr>
          <w:p w14:paraId="350CA4A7"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275 (37.5)</w:t>
            </w:r>
          </w:p>
        </w:tc>
        <w:tc>
          <w:tcPr>
            <w:tcW w:w="1114" w:type="dxa"/>
            <w:tcBorders>
              <w:top w:val="nil"/>
              <w:left w:val="nil"/>
              <w:bottom w:val="nil"/>
              <w:right w:val="nil"/>
            </w:tcBorders>
            <w:shd w:val="clear" w:color="auto" w:fill="auto"/>
            <w:vAlign w:val="bottom"/>
          </w:tcPr>
          <w:p w14:paraId="41156692"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187 (38.7)</w:t>
            </w:r>
          </w:p>
        </w:tc>
        <w:tc>
          <w:tcPr>
            <w:tcW w:w="1109" w:type="dxa"/>
            <w:tcBorders>
              <w:top w:val="nil"/>
              <w:left w:val="nil"/>
              <w:bottom w:val="nil"/>
              <w:right w:val="nil"/>
            </w:tcBorders>
            <w:shd w:val="clear" w:color="auto" w:fill="auto"/>
            <w:vAlign w:val="bottom"/>
          </w:tcPr>
          <w:p w14:paraId="6D0CC8F3"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30 (50.9)</w:t>
            </w:r>
          </w:p>
        </w:tc>
        <w:tc>
          <w:tcPr>
            <w:tcW w:w="809" w:type="dxa"/>
            <w:tcBorders>
              <w:top w:val="nil"/>
              <w:left w:val="nil"/>
              <w:bottom w:val="nil"/>
              <w:right w:val="nil"/>
            </w:tcBorders>
            <w:shd w:val="clear" w:color="auto" w:fill="auto"/>
            <w:vAlign w:val="bottom"/>
          </w:tcPr>
          <w:p w14:paraId="1E861148" w14:textId="77777777" w:rsidR="00822961" w:rsidRPr="00737107" w:rsidRDefault="00822961" w:rsidP="00E068A0">
            <w:pPr>
              <w:spacing w:line="240" w:lineRule="auto"/>
              <w:jc w:val="center"/>
              <w:rPr>
                <w:rFonts w:ascii="Palatino Linotype" w:hAnsi="Palatino Linotype" w:cs="Arial"/>
                <w:sz w:val="20"/>
                <w:lang w:eastAsia="en-GB"/>
              </w:rPr>
            </w:pPr>
          </w:p>
        </w:tc>
      </w:tr>
      <w:tr w:rsidR="00822961" w:rsidRPr="00D80609" w14:paraId="56F87BF0" w14:textId="77777777" w:rsidTr="00822961">
        <w:trPr>
          <w:jc w:val="center"/>
        </w:trPr>
        <w:tc>
          <w:tcPr>
            <w:tcW w:w="4702" w:type="dxa"/>
            <w:shd w:val="clear" w:color="auto" w:fill="auto"/>
            <w:vAlign w:val="bottom"/>
          </w:tcPr>
          <w:p w14:paraId="151F2012" w14:textId="77777777" w:rsidR="00822961" w:rsidRPr="00340008" w:rsidRDefault="00822961" w:rsidP="00E068A0">
            <w:pPr>
              <w:spacing w:line="240" w:lineRule="auto"/>
              <w:ind w:firstLineChars="200" w:firstLine="400"/>
              <w:rPr>
                <w:rFonts w:ascii="Palatino Linotype" w:hAnsi="Palatino Linotype" w:cs="Arial"/>
                <w:sz w:val="20"/>
                <w:lang w:eastAsia="en-GB"/>
              </w:rPr>
            </w:pPr>
            <w:r w:rsidRPr="00340008">
              <w:rPr>
                <w:rFonts w:ascii="Palatino Linotype" w:hAnsi="Palatino Linotype" w:cs="Arial"/>
                <w:sz w:val="20"/>
                <w:lang w:eastAsia="en-GB"/>
              </w:rPr>
              <w:t>10+ years</w:t>
            </w:r>
          </w:p>
        </w:tc>
        <w:tc>
          <w:tcPr>
            <w:tcW w:w="1187" w:type="dxa"/>
            <w:tcBorders>
              <w:top w:val="nil"/>
              <w:left w:val="nil"/>
              <w:bottom w:val="nil"/>
              <w:right w:val="nil"/>
            </w:tcBorders>
            <w:shd w:val="clear" w:color="auto" w:fill="auto"/>
            <w:vAlign w:val="bottom"/>
          </w:tcPr>
          <w:p w14:paraId="661E16A6"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323 (33.4)</w:t>
            </w:r>
          </w:p>
        </w:tc>
        <w:tc>
          <w:tcPr>
            <w:tcW w:w="1438" w:type="dxa"/>
            <w:tcBorders>
              <w:top w:val="nil"/>
              <w:left w:val="nil"/>
              <w:bottom w:val="nil"/>
              <w:right w:val="nil"/>
            </w:tcBorders>
            <w:shd w:val="clear" w:color="auto" w:fill="auto"/>
            <w:vAlign w:val="bottom"/>
          </w:tcPr>
          <w:p w14:paraId="2B57BC6B"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251 (34.2)</w:t>
            </w:r>
          </w:p>
        </w:tc>
        <w:tc>
          <w:tcPr>
            <w:tcW w:w="1114" w:type="dxa"/>
            <w:tcBorders>
              <w:top w:val="nil"/>
              <w:left w:val="nil"/>
              <w:bottom w:val="nil"/>
              <w:right w:val="nil"/>
            </w:tcBorders>
            <w:shd w:val="clear" w:color="auto" w:fill="auto"/>
            <w:vAlign w:val="bottom"/>
          </w:tcPr>
          <w:p w14:paraId="5FE40DBD"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174 (36.0)</w:t>
            </w:r>
          </w:p>
        </w:tc>
        <w:tc>
          <w:tcPr>
            <w:tcW w:w="1109" w:type="dxa"/>
            <w:tcBorders>
              <w:top w:val="nil"/>
              <w:left w:val="nil"/>
              <w:bottom w:val="nil"/>
              <w:right w:val="nil"/>
            </w:tcBorders>
            <w:shd w:val="clear" w:color="auto" w:fill="auto"/>
            <w:vAlign w:val="bottom"/>
          </w:tcPr>
          <w:p w14:paraId="4AF006B1"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16 (27.1)</w:t>
            </w:r>
          </w:p>
        </w:tc>
        <w:tc>
          <w:tcPr>
            <w:tcW w:w="809" w:type="dxa"/>
            <w:tcBorders>
              <w:top w:val="nil"/>
              <w:left w:val="nil"/>
              <w:bottom w:val="nil"/>
              <w:right w:val="nil"/>
            </w:tcBorders>
            <w:shd w:val="clear" w:color="auto" w:fill="auto"/>
            <w:vAlign w:val="bottom"/>
          </w:tcPr>
          <w:p w14:paraId="753D97E1" w14:textId="77777777" w:rsidR="00822961" w:rsidRPr="00737107" w:rsidRDefault="00822961" w:rsidP="00E068A0">
            <w:pPr>
              <w:spacing w:line="240" w:lineRule="auto"/>
              <w:jc w:val="center"/>
              <w:rPr>
                <w:rFonts w:ascii="Palatino Linotype" w:hAnsi="Palatino Linotype" w:cs="Arial"/>
                <w:sz w:val="20"/>
                <w:lang w:eastAsia="en-GB"/>
              </w:rPr>
            </w:pPr>
          </w:p>
        </w:tc>
      </w:tr>
      <w:tr w:rsidR="00822961" w:rsidRPr="00D80609" w14:paraId="3F603AC8" w14:textId="77777777" w:rsidTr="00822961">
        <w:trPr>
          <w:jc w:val="center"/>
        </w:trPr>
        <w:tc>
          <w:tcPr>
            <w:tcW w:w="4702" w:type="dxa"/>
            <w:shd w:val="clear" w:color="auto" w:fill="auto"/>
            <w:vAlign w:val="bottom"/>
          </w:tcPr>
          <w:p w14:paraId="15B780EE" w14:textId="77777777" w:rsidR="00822961" w:rsidRPr="00340008" w:rsidRDefault="00822961" w:rsidP="00E068A0">
            <w:pPr>
              <w:spacing w:line="240" w:lineRule="auto"/>
              <w:rPr>
                <w:rFonts w:ascii="Palatino Linotype" w:hAnsi="Palatino Linotype" w:cs="Arial"/>
                <w:sz w:val="20"/>
                <w:lang w:eastAsia="en-GB"/>
              </w:rPr>
            </w:pPr>
            <w:r w:rsidRPr="00340008">
              <w:rPr>
                <w:rFonts w:ascii="Palatino Linotype" w:hAnsi="Palatino Linotype" w:cs="Arial"/>
                <w:sz w:val="20"/>
                <w:lang w:eastAsia="en-GB"/>
              </w:rPr>
              <w:t>Level of education</w:t>
            </w:r>
          </w:p>
        </w:tc>
        <w:tc>
          <w:tcPr>
            <w:tcW w:w="1187" w:type="dxa"/>
            <w:tcBorders>
              <w:top w:val="nil"/>
              <w:left w:val="nil"/>
              <w:bottom w:val="nil"/>
              <w:right w:val="nil"/>
            </w:tcBorders>
            <w:shd w:val="clear" w:color="auto" w:fill="auto"/>
            <w:vAlign w:val="bottom"/>
          </w:tcPr>
          <w:p w14:paraId="3BD9DCAA" w14:textId="77777777" w:rsidR="00822961" w:rsidRPr="00737107" w:rsidRDefault="00822961" w:rsidP="00E068A0">
            <w:pPr>
              <w:spacing w:line="240" w:lineRule="auto"/>
              <w:jc w:val="center"/>
              <w:rPr>
                <w:rFonts w:ascii="Palatino Linotype" w:hAnsi="Palatino Linotype" w:cs="Arial"/>
                <w:sz w:val="20"/>
                <w:lang w:eastAsia="en-GB"/>
              </w:rPr>
            </w:pPr>
          </w:p>
        </w:tc>
        <w:tc>
          <w:tcPr>
            <w:tcW w:w="1438" w:type="dxa"/>
            <w:tcBorders>
              <w:top w:val="nil"/>
              <w:left w:val="nil"/>
              <w:bottom w:val="nil"/>
              <w:right w:val="nil"/>
            </w:tcBorders>
            <w:shd w:val="clear" w:color="auto" w:fill="auto"/>
            <w:vAlign w:val="bottom"/>
          </w:tcPr>
          <w:p w14:paraId="2FF3340F" w14:textId="77777777" w:rsidR="00822961" w:rsidRPr="00737107" w:rsidRDefault="00822961" w:rsidP="00E068A0">
            <w:pPr>
              <w:spacing w:line="240" w:lineRule="auto"/>
              <w:jc w:val="center"/>
              <w:rPr>
                <w:rFonts w:ascii="Palatino Linotype" w:hAnsi="Palatino Linotype" w:cs="Arial"/>
                <w:sz w:val="20"/>
                <w:lang w:eastAsia="en-GB"/>
              </w:rPr>
            </w:pPr>
          </w:p>
        </w:tc>
        <w:tc>
          <w:tcPr>
            <w:tcW w:w="1114" w:type="dxa"/>
            <w:tcBorders>
              <w:top w:val="nil"/>
              <w:left w:val="nil"/>
              <w:bottom w:val="nil"/>
              <w:right w:val="nil"/>
            </w:tcBorders>
            <w:shd w:val="clear" w:color="auto" w:fill="auto"/>
            <w:vAlign w:val="bottom"/>
          </w:tcPr>
          <w:p w14:paraId="2020F62C" w14:textId="77777777" w:rsidR="00822961" w:rsidRPr="00737107" w:rsidRDefault="00822961" w:rsidP="00E068A0">
            <w:pPr>
              <w:spacing w:line="240" w:lineRule="auto"/>
              <w:jc w:val="center"/>
              <w:rPr>
                <w:rFonts w:ascii="Palatino Linotype" w:hAnsi="Palatino Linotype" w:cs="Arial"/>
                <w:sz w:val="20"/>
                <w:lang w:eastAsia="en-GB"/>
              </w:rPr>
            </w:pPr>
          </w:p>
        </w:tc>
        <w:tc>
          <w:tcPr>
            <w:tcW w:w="1109" w:type="dxa"/>
            <w:tcBorders>
              <w:top w:val="nil"/>
              <w:left w:val="nil"/>
              <w:bottom w:val="nil"/>
              <w:right w:val="nil"/>
            </w:tcBorders>
            <w:shd w:val="clear" w:color="auto" w:fill="auto"/>
            <w:vAlign w:val="bottom"/>
          </w:tcPr>
          <w:p w14:paraId="2B90BDD8" w14:textId="77777777" w:rsidR="00822961" w:rsidRPr="00737107" w:rsidRDefault="00822961" w:rsidP="00E068A0">
            <w:pPr>
              <w:spacing w:line="240" w:lineRule="auto"/>
              <w:jc w:val="center"/>
              <w:rPr>
                <w:rFonts w:ascii="Palatino Linotype" w:hAnsi="Palatino Linotype" w:cs="Arial"/>
                <w:sz w:val="20"/>
                <w:lang w:eastAsia="en-GB"/>
              </w:rPr>
            </w:pPr>
          </w:p>
        </w:tc>
        <w:tc>
          <w:tcPr>
            <w:tcW w:w="809" w:type="dxa"/>
            <w:tcBorders>
              <w:top w:val="nil"/>
              <w:left w:val="nil"/>
              <w:bottom w:val="nil"/>
              <w:right w:val="nil"/>
            </w:tcBorders>
            <w:shd w:val="clear" w:color="auto" w:fill="auto"/>
            <w:vAlign w:val="bottom"/>
          </w:tcPr>
          <w:p w14:paraId="6ACFC25C" w14:textId="77777777" w:rsidR="00822961" w:rsidRPr="00737107" w:rsidRDefault="00822961" w:rsidP="00E068A0">
            <w:pPr>
              <w:spacing w:line="240" w:lineRule="auto"/>
              <w:jc w:val="center"/>
              <w:rPr>
                <w:rFonts w:ascii="Palatino Linotype" w:hAnsi="Palatino Linotype" w:cs="Arial"/>
                <w:sz w:val="20"/>
                <w:lang w:eastAsia="en-GB"/>
              </w:rPr>
            </w:pPr>
          </w:p>
        </w:tc>
      </w:tr>
      <w:tr w:rsidR="00822961" w:rsidRPr="00D80609" w14:paraId="138F24C3" w14:textId="77777777" w:rsidTr="00822961">
        <w:trPr>
          <w:jc w:val="center"/>
        </w:trPr>
        <w:tc>
          <w:tcPr>
            <w:tcW w:w="4702" w:type="dxa"/>
            <w:shd w:val="clear" w:color="auto" w:fill="auto"/>
            <w:vAlign w:val="bottom"/>
          </w:tcPr>
          <w:p w14:paraId="69BBF221" w14:textId="77777777" w:rsidR="00822961" w:rsidRPr="00340008" w:rsidRDefault="00822961" w:rsidP="00E068A0">
            <w:pPr>
              <w:spacing w:line="240" w:lineRule="auto"/>
              <w:ind w:firstLineChars="200" w:firstLine="400"/>
              <w:rPr>
                <w:rFonts w:ascii="Palatino Linotype" w:hAnsi="Palatino Linotype" w:cs="Arial"/>
                <w:sz w:val="20"/>
                <w:lang w:eastAsia="en-GB"/>
              </w:rPr>
            </w:pPr>
            <w:r w:rsidRPr="00340008">
              <w:rPr>
                <w:rFonts w:ascii="Palatino Linotype" w:hAnsi="Palatino Linotype" w:cs="Arial"/>
                <w:sz w:val="20"/>
                <w:lang w:eastAsia="en-GB"/>
              </w:rPr>
              <w:t>No qualification/School</w:t>
            </w:r>
          </w:p>
        </w:tc>
        <w:tc>
          <w:tcPr>
            <w:tcW w:w="1187" w:type="dxa"/>
            <w:tcBorders>
              <w:top w:val="nil"/>
              <w:left w:val="nil"/>
              <w:bottom w:val="nil"/>
              <w:right w:val="nil"/>
            </w:tcBorders>
            <w:shd w:val="clear" w:color="auto" w:fill="auto"/>
            <w:vAlign w:val="bottom"/>
          </w:tcPr>
          <w:p w14:paraId="6A44D645"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344 (32.6)</w:t>
            </w:r>
          </w:p>
        </w:tc>
        <w:tc>
          <w:tcPr>
            <w:tcW w:w="1438" w:type="dxa"/>
            <w:tcBorders>
              <w:top w:val="nil"/>
              <w:left w:val="nil"/>
              <w:bottom w:val="nil"/>
              <w:right w:val="nil"/>
            </w:tcBorders>
            <w:shd w:val="clear" w:color="auto" w:fill="auto"/>
            <w:vAlign w:val="bottom"/>
          </w:tcPr>
          <w:p w14:paraId="6DDCFFB0"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302 (38.4)</w:t>
            </w:r>
          </w:p>
        </w:tc>
        <w:tc>
          <w:tcPr>
            <w:tcW w:w="1114" w:type="dxa"/>
            <w:tcBorders>
              <w:top w:val="nil"/>
              <w:left w:val="nil"/>
              <w:bottom w:val="nil"/>
              <w:right w:val="nil"/>
            </w:tcBorders>
            <w:shd w:val="clear" w:color="auto" w:fill="auto"/>
            <w:vAlign w:val="bottom"/>
          </w:tcPr>
          <w:p w14:paraId="5249EEFC"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198 (38.1)</w:t>
            </w:r>
          </w:p>
        </w:tc>
        <w:tc>
          <w:tcPr>
            <w:tcW w:w="1109" w:type="dxa"/>
            <w:tcBorders>
              <w:top w:val="nil"/>
              <w:left w:val="nil"/>
              <w:bottom w:val="nil"/>
              <w:right w:val="nil"/>
            </w:tcBorders>
            <w:shd w:val="clear" w:color="auto" w:fill="auto"/>
            <w:vAlign w:val="bottom"/>
          </w:tcPr>
          <w:p w14:paraId="79621089"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16 (25.4)</w:t>
            </w:r>
          </w:p>
        </w:tc>
        <w:tc>
          <w:tcPr>
            <w:tcW w:w="809" w:type="dxa"/>
            <w:tcBorders>
              <w:top w:val="nil"/>
              <w:left w:val="nil"/>
              <w:bottom w:val="nil"/>
              <w:right w:val="nil"/>
            </w:tcBorders>
            <w:shd w:val="clear" w:color="auto" w:fill="auto"/>
            <w:vAlign w:val="bottom"/>
          </w:tcPr>
          <w:p w14:paraId="4221538D"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0.02</w:t>
            </w:r>
          </w:p>
        </w:tc>
      </w:tr>
      <w:tr w:rsidR="00822961" w:rsidRPr="00D80609" w14:paraId="4D061152" w14:textId="77777777" w:rsidTr="00822961">
        <w:trPr>
          <w:jc w:val="center"/>
        </w:trPr>
        <w:tc>
          <w:tcPr>
            <w:tcW w:w="4702" w:type="dxa"/>
            <w:shd w:val="clear" w:color="auto" w:fill="auto"/>
            <w:vAlign w:val="bottom"/>
          </w:tcPr>
          <w:p w14:paraId="75820CD3" w14:textId="77777777" w:rsidR="00822961" w:rsidRPr="00340008" w:rsidRDefault="00822961" w:rsidP="00E068A0">
            <w:pPr>
              <w:spacing w:line="240" w:lineRule="auto"/>
              <w:ind w:firstLineChars="200" w:firstLine="400"/>
              <w:rPr>
                <w:rFonts w:ascii="Palatino Linotype" w:hAnsi="Palatino Linotype" w:cs="Arial"/>
                <w:sz w:val="20"/>
                <w:lang w:eastAsia="en-GB"/>
              </w:rPr>
            </w:pPr>
            <w:r w:rsidRPr="00340008">
              <w:rPr>
                <w:rFonts w:ascii="Palatino Linotype" w:hAnsi="Palatino Linotype" w:cs="Arial"/>
                <w:sz w:val="20"/>
                <w:lang w:eastAsia="en-GB"/>
              </w:rPr>
              <w:t>Vocational training certificate</w:t>
            </w:r>
          </w:p>
        </w:tc>
        <w:tc>
          <w:tcPr>
            <w:tcW w:w="1187" w:type="dxa"/>
            <w:tcBorders>
              <w:top w:val="nil"/>
              <w:left w:val="nil"/>
              <w:bottom w:val="nil"/>
              <w:right w:val="nil"/>
            </w:tcBorders>
            <w:shd w:val="clear" w:color="auto" w:fill="auto"/>
            <w:vAlign w:val="bottom"/>
          </w:tcPr>
          <w:p w14:paraId="1932FF81"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320 (30.3)</w:t>
            </w:r>
          </w:p>
        </w:tc>
        <w:tc>
          <w:tcPr>
            <w:tcW w:w="1438" w:type="dxa"/>
            <w:tcBorders>
              <w:top w:val="nil"/>
              <w:left w:val="nil"/>
              <w:bottom w:val="nil"/>
              <w:right w:val="nil"/>
            </w:tcBorders>
            <w:shd w:val="clear" w:color="auto" w:fill="auto"/>
            <w:vAlign w:val="bottom"/>
          </w:tcPr>
          <w:p w14:paraId="5480AD49"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238 (30.2)</w:t>
            </w:r>
          </w:p>
        </w:tc>
        <w:tc>
          <w:tcPr>
            <w:tcW w:w="1114" w:type="dxa"/>
            <w:tcBorders>
              <w:top w:val="nil"/>
              <w:left w:val="nil"/>
              <w:bottom w:val="nil"/>
              <w:right w:val="nil"/>
            </w:tcBorders>
            <w:shd w:val="clear" w:color="auto" w:fill="auto"/>
            <w:vAlign w:val="bottom"/>
          </w:tcPr>
          <w:p w14:paraId="6784B6EA"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156 (30.0)</w:t>
            </w:r>
          </w:p>
        </w:tc>
        <w:tc>
          <w:tcPr>
            <w:tcW w:w="1109" w:type="dxa"/>
            <w:tcBorders>
              <w:top w:val="nil"/>
              <w:left w:val="nil"/>
              <w:bottom w:val="nil"/>
              <w:right w:val="nil"/>
            </w:tcBorders>
            <w:shd w:val="clear" w:color="auto" w:fill="auto"/>
            <w:vAlign w:val="bottom"/>
          </w:tcPr>
          <w:p w14:paraId="696A1056"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26 (41.3)</w:t>
            </w:r>
          </w:p>
        </w:tc>
        <w:tc>
          <w:tcPr>
            <w:tcW w:w="809" w:type="dxa"/>
            <w:tcBorders>
              <w:top w:val="nil"/>
              <w:left w:val="nil"/>
              <w:bottom w:val="nil"/>
              <w:right w:val="nil"/>
            </w:tcBorders>
            <w:shd w:val="clear" w:color="auto" w:fill="auto"/>
            <w:vAlign w:val="bottom"/>
          </w:tcPr>
          <w:p w14:paraId="2501B193" w14:textId="77777777" w:rsidR="00822961" w:rsidRPr="00737107" w:rsidRDefault="00822961" w:rsidP="00E068A0">
            <w:pPr>
              <w:spacing w:line="240" w:lineRule="auto"/>
              <w:jc w:val="center"/>
              <w:rPr>
                <w:rFonts w:ascii="Palatino Linotype" w:hAnsi="Palatino Linotype" w:cs="Arial"/>
                <w:sz w:val="20"/>
                <w:lang w:eastAsia="en-GB"/>
              </w:rPr>
            </w:pPr>
          </w:p>
        </w:tc>
      </w:tr>
      <w:tr w:rsidR="00822961" w:rsidRPr="00D80609" w14:paraId="79B5358A" w14:textId="77777777" w:rsidTr="00822961">
        <w:trPr>
          <w:jc w:val="center"/>
        </w:trPr>
        <w:tc>
          <w:tcPr>
            <w:tcW w:w="4702" w:type="dxa"/>
            <w:shd w:val="clear" w:color="auto" w:fill="auto"/>
            <w:vAlign w:val="bottom"/>
          </w:tcPr>
          <w:p w14:paraId="7CD3441D" w14:textId="77777777" w:rsidR="00822961" w:rsidRPr="00340008" w:rsidRDefault="00822961" w:rsidP="00E068A0">
            <w:pPr>
              <w:spacing w:line="240" w:lineRule="auto"/>
              <w:ind w:firstLineChars="200" w:firstLine="400"/>
              <w:rPr>
                <w:rFonts w:ascii="Palatino Linotype" w:hAnsi="Palatino Linotype" w:cs="Arial"/>
                <w:sz w:val="20"/>
                <w:lang w:eastAsia="en-GB"/>
              </w:rPr>
            </w:pPr>
            <w:r w:rsidRPr="00340008">
              <w:rPr>
                <w:rFonts w:ascii="Palatino Linotype" w:hAnsi="Palatino Linotype" w:cs="Arial"/>
                <w:sz w:val="20"/>
                <w:lang w:eastAsia="en-GB"/>
              </w:rPr>
              <w:t>University degree/higher</w:t>
            </w:r>
          </w:p>
        </w:tc>
        <w:tc>
          <w:tcPr>
            <w:tcW w:w="1187" w:type="dxa"/>
            <w:tcBorders>
              <w:top w:val="nil"/>
              <w:left w:val="nil"/>
              <w:bottom w:val="nil"/>
              <w:right w:val="nil"/>
            </w:tcBorders>
            <w:shd w:val="clear" w:color="auto" w:fill="auto"/>
            <w:vAlign w:val="bottom"/>
          </w:tcPr>
          <w:p w14:paraId="4FE8F7C2"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391 (37.1)</w:t>
            </w:r>
          </w:p>
        </w:tc>
        <w:tc>
          <w:tcPr>
            <w:tcW w:w="1438" w:type="dxa"/>
            <w:tcBorders>
              <w:top w:val="nil"/>
              <w:left w:val="nil"/>
              <w:bottom w:val="nil"/>
              <w:right w:val="nil"/>
            </w:tcBorders>
            <w:shd w:val="clear" w:color="auto" w:fill="auto"/>
            <w:vAlign w:val="bottom"/>
          </w:tcPr>
          <w:p w14:paraId="3775A49E"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247 (31.4)</w:t>
            </w:r>
          </w:p>
        </w:tc>
        <w:tc>
          <w:tcPr>
            <w:tcW w:w="1114" w:type="dxa"/>
            <w:tcBorders>
              <w:top w:val="nil"/>
              <w:left w:val="nil"/>
              <w:bottom w:val="nil"/>
              <w:right w:val="nil"/>
            </w:tcBorders>
            <w:shd w:val="clear" w:color="auto" w:fill="auto"/>
            <w:vAlign w:val="bottom"/>
          </w:tcPr>
          <w:p w14:paraId="373924C1"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166 (31.9)</w:t>
            </w:r>
          </w:p>
        </w:tc>
        <w:tc>
          <w:tcPr>
            <w:tcW w:w="1109" w:type="dxa"/>
            <w:tcBorders>
              <w:top w:val="nil"/>
              <w:left w:val="nil"/>
              <w:bottom w:val="nil"/>
              <w:right w:val="nil"/>
            </w:tcBorders>
            <w:shd w:val="clear" w:color="auto" w:fill="auto"/>
            <w:vAlign w:val="bottom"/>
          </w:tcPr>
          <w:p w14:paraId="2643D469"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21 (33.3)</w:t>
            </w:r>
          </w:p>
        </w:tc>
        <w:tc>
          <w:tcPr>
            <w:tcW w:w="809" w:type="dxa"/>
            <w:tcBorders>
              <w:top w:val="nil"/>
              <w:left w:val="nil"/>
              <w:bottom w:val="nil"/>
              <w:right w:val="nil"/>
            </w:tcBorders>
            <w:shd w:val="clear" w:color="auto" w:fill="auto"/>
            <w:vAlign w:val="bottom"/>
          </w:tcPr>
          <w:p w14:paraId="133880E3" w14:textId="77777777" w:rsidR="00822961" w:rsidRPr="00737107" w:rsidRDefault="00822961" w:rsidP="00E068A0">
            <w:pPr>
              <w:spacing w:line="240" w:lineRule="auto"/>
              <w:jc w:val="center"/>
              <w:rPr>
                <w:rFonts w:ascii="Palatino Linotype" w:hAnsi="Palatino Linotype" w:cs="Arial"/>
                <w:sz w:val="20"/>
                <w:lang w:eastAsia="en-GB"/>
              </w:rPr>
            </w:pPr>
          </w:p>
        </w:tc>
      </w:tr>
      <w:tr w:rsidR="00822961" w:rsidRPr="00D80609" w14:paraId="719B85A2" w14:textId="77777777" w:rsidTr="00822961">
        <w:trPr>
          <w:jc w:val="center"/>
        </w:trPr>
        <w:tc>
          <w:tcPr>
            <w:tcW w:w="4702" w:type="dxa"/>
            <w:shd w:val="clear" w:color="auto" w:fill="auto"/>
            <w:vAlign w:val="bottom"/>
          </w:tcPr>
          <w:p w14:paraId="37D3EE5D" w14:textId="77777777" w:rsidR="00822961" w:rsidRPr="00340008" w:rsidRDefault="00822961" w:rsidP="00E068A0">
            <w:pPr>
              <w:spacing w:line="240" w:lineRule="auto"/>
              <w:rPr>
                <w:rFonts w:ascii="Palatino Linotype" w:hAnsi="Palatino Linotype" w:cs="Arial"/>
                <w:sz w:val="20"/>
                <w:lang w:eastAsia="en-GB"/>
              </w:rPr>
            </w:pPr>
            <w:r w:rsidRPr="00340008">
              <w:rPr>
                <w:rFonts w:ascii="Palatino Linotype" w:hAnsi="Palatino Linotype" w:cs="Arial"/>
                <w:sz w:val="20"/>
                <w:lang w:eastAsia="en-GB"/>
              </w:rPr>
              <w:t>Proportion of family income earned by you</w:t>
            </w:r>
          </w:p>
        </w:tc>
        <w:tc>
          <w:tcPr>
            <w:tcW w:w="1187" w:type="dxa"/>
            <w:tcBorders>
              <w:top w:val="nil"/>
              <w:left w:val="nil"/>
              <w:bottom w:val="nil"/>
              <w:right w:val="nil"/>
            </w:tcBorders>
            <w:shd w:val="clear" w:color="auto" w:fill="auto"/>
            <w:vAlign w:val="bottom"/>
          </w:tcPr>
          <w:p w14:paraId="586C2998" w14:textId="77777777" w:rsidR="00822961" w:rsidRPr="00737107" w:rsidRDefault="00822961" w:rsidP="00E068A0">
            <w:pPr>
              <w:spacing w:line="240" w:lineRule="auto"/>
              <w:jc w:val="center"/>
              <w:rPr>
                <w:rFonts w:ascii="Palatino Linotype" w:hAnsi="Palatino Linotype" w:cs="Arial"/>
                <w:sz w:val="20"/>
                <w:lang w:eastAsia="en-GB"/>
              </w:rPr>
            </w:pPr>
          </w:p>
        </w:tc>
        <w:tc>
          <w:tcPr>
            <w:tcW w:w="1438" w:type="dxa"/>
            <w:tcBorders>
              <w:top w:val="nil"/>
              <w:left w:val="nil"/>
              <w:bottom w:val="nil"/>
              <w:right w:val="nil"/>
            </w:tcBorders>
            <w:shd w:val="clear" w:color="auto" w:fill="auto"/>
            <w:vAlign w:val="bottom"/>
          </w:tcPr>
          <w:p w14:paraId="488494D2" w14:textId="77777777" w:rsidR="00822961" w:rsidRPr="00737107" w:rsidRDefault="00822961" w:rsidP="00E068A0">
            <w:pPr>
              <w:spacing w:line="240" w:lineRule="auto"/>
              <w:jc w:val="center"/>
              <w:rPr>
                <w:rFonts w:ascii="Palatino Linotype" w:hAnsi="Palatino Linotype" w:cs="Arial"/>
                <w:sz w:val="20"/>
                <w:lang w:eastAsia="en-GB"/>
              </w:rPr>
            </w:pPr>
          </w:p>
        </w:tc>
        <w:tc>
          <w:tcPr>
            <w:tcW w:w="1114" w:type="dxa"/>
            <w:tcBorders>
              <w:top w:val="nil"/>
              <w:left w:val="nil"/>
              <w:bottom w:val="nil"/>
              <w:right w:val="nil"/>
            </w:tcBorders>
            <w:shd w:val="clear" w:color="auto" w:fill="auto"/>
            <w:vAlign w:val="bottom"/>
          </w:tcPr>
          <w:p w14:paraId="214E05A5" w14:textId="77777777" w:rsidR="00822961" w:rsidRPr="00737107" w:rsidRDefault="00822961" w:rsidP="00E068A0">
            <w:pPr>
              <w:spacing w:line="240" w:lineRule="auto"/>
              <w:jc w:val="center"/>
              <w:rPr>
                <w:rFonts w:ascii="Palatino Linotype" w:hAnsi="Palatino Linotype" w:cs="Arial"/>
                <w:sz w:val="20"/>
                <w:lang w:eastAsia="en-GB"/>
              </w:rPr>
            </w:pPr>
          </w:p>
        </w:tc>
        <w:tc>
          <w:tcPr>
            <w:tcW w:w="1109" w:type="dxa"/>
            <w:tcBorders>
              <w:top w:val="nil"/>
              <w:left w:val="nil"/>
              <w:bottom w:val="nil"/>
              <w:right w:val="nil"/>
            </w:tcBorders>
            <w:shd w:val="clear" w:color="auto" w:fill="auto"/>
            <w:vAlign w:val="bottom"/>
          </w:tcPr>
          <w:p w14:paraId="493B5E1D" w14:textId="77777777" w:rsidR="00822961" w:rsidRPr="00737107" w:rsidRDefault="00822961" w:rsidP="00E068A0">
            <w:pPr>
              <w:spacing w:line="240" w:lineRule="auto"/>
              <w:jc w:val="center"/>
              <w:rPr>
                <w:rFonts w:ascii="Palatino Linotype" w:hAnsi="Palatino Linotype" w:cs="Arial"/>
                <w:sz w:val="20"/>
                <w:lang w:eastAsia="en-GB"/>
              </w:rPr>
            </w:pPr>
          </w:p>
        </w:tc>
        <w:tc>
          <w:tcPr>
            <w:tcW w:w="809" w:type="dxa"/>
            <w:tcBorders>
              <w:top w:val="nil"/>
              <w:left w:val="nil"/>
              <w:bottom w:val="nil"/>
              <w:right w:val="nil"/>
            </w:tcBorders>
            <w:shd w:val="clear" w:color="auto" w:fill="auto"/>
            <w:vAlign w:val="bottom"/>
          </w:tcPr>
          <w:p w14:paraId="059649D8" w14:textId="77777777" w:rsidR="00822961" w:rsidRPr="00737107" w:rsidRDefault="00822961" w:rsidP="00E068A0">
            <w:pPr>
              <w:spacing w:line="240" w:lineRule="auto"/>
              <w:jc w:val="center"/>
              <w:rPr>
                <w:rFonts w:ascii="Palatino Linotype" w:hAnsi="Palatino Linotype" w:cs="Arial"/>
                <w:sz w:val="20"/>
                <w:lang w:eastAsia="en-GB"/>
              </w:rPr>
            </w:pPr>
          </w:p>
        </w:tc>
      </w:tr>
      <w:tr w:rsidR="00822961" w:rsidRPr="00D80609" w14:paraId="7E2D2E3D" w14:textId="77777777" w:rsidTr="00822961">
        <w:trPr>
          <w:jc w:val="center"/>
        </w:trPr>
        <w:tc>
          <w:tcPr>
            <w:tcW w:w="4702" w:type="dxa"/>
            <w:shd w:val="clear" w:color="auto" w:fill="auto"/>
            <w:vAlign w:val="center"/>
          </w:tcPr>
          <w:p w14:paraId="76629175" w14:textId="77777777" w:rsidR="00822961" w:rsidRPr="00340008" w:rsidRDefault="00822961" w:rsidP="00E068A0">
            <w:pPr>
              <w:spacing w:line="240" w:lineRule="auto"/>
              <w:ind w:firstLine="426"/>
              <w:rPr>
                <w:rFonts w:ascii="Palatino Linotype" w:hAnsi="Palatino Linotype" w:cs="Arial"/>
                <w:sz w:val="20"/>
                <w:lang w:eastAsia="en-GB"/>
              </w:rPr>
            </w:pPr>
            <w:r w:rsidRPr="00340008">
              <w:rPr>
                <w:rFonts w:ascii="Palatino Linotype" w:hAnsi="Palatino Linotype" w:cs="Arial"/>
                <w:sz w:val="20"/>
                <w:lang w:eastAsia="en-GB"/>
              </w:rPr>
              <w:t>None</w:t>
            </w:r>
          </w:p>
        </w:tc>
        <w:tc>
          <w:tcPr>
            <w:tcW w:w="1187" w:type="dxa"/>
            <w:tcBorders>
              <w:top w:val="nil"/>
              <w:left w:val="nil"/>
              <w:bottom w:val="nil"/>
              <w:right w:val="nil"/>
            </w:tcBorders>
            <w:shd w:val="clear" w:color="auto" w:fill="auto"/>
            <w:vAlign w:val="bottom"/>
          </w:tcPr>
          <w:p w14:paraId="3E732E37"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48 (4.7)</w:t>
            </w:r>
          </w:p>
        </w:tc>
        <w:tc>
          <w:tcPr>
            <w:tcW w:w="1438" w:type="dxa"/>
            <w:tcBorders>
              <w:top w:val="nil"/>
              <w:left w:val="nil"/>
              <w:bottom w:val="nil"/>
              <w:right w:val="nil"/>
            </w:tcBorders>
            <w:shd w:val="clear" w:color="auto" w:fill="auto"/>
            <w:vAlign w:val="bottom"/>
          </w:tcPr>
          <w:p w14:paraId="63C0BF6E"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37 (4.8)</w:t>
            </w:r>
          </w:p>
        </w:tc>
        <w:tc>
          <w:tcPr>
            <w:tcW w:w="1114" w:type="dxa"/>
            <w:tcBorders>
              <w:top w:val="nil"/>
              <w:left w:val="nil"/>
              <w:bottom w:val="nil"/>
              <w:right w:val="nil"/>
            </w:tcBorders>
            <w:shd w:val="clear" w:color="auto" w:fill="auto"/>
            <w:vAlign w:val="bottom"/>
          </w:tcPr>
          <w:p w14:paraId="747CDBCA"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25 (5.0)</w:t>
            </w:r>
          </w:p>
        </w:tc>
        <w:tc>
          <w:tcPr>
            <w:tcW w:w="1109" w:type="dxa"/>
            <w:tcBorders>
              <w:top w:val="nil"/>
              <w:left w:val="nil"/>
              <w:bottom w:val="nil"/>
              <w:right w:val="nil"/>
            </w:tcBorders>
            <w:shd w:val="clear" w:color="auto" w:fill="auto"/>
            <w:vAlign w:val="bottom"/>
          </w:tcPr>
          <w:p w14:paraId="7508C5BF"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2 (3.3)</w:t>
            </w:r>
          </w:p>
        </w:tc>
        <w:tc>
          <w:tcPr>
            <w:tcW w:w="809" w:type="dxa"/>
            <w:tcBorders>
              <w:top w:val="nil"/>
              <w:left w:val="nil"/>
              <w:bottom w:val="nil"/>
              <w:right w:val="nil"/>
            </w:tcBorders>
            <w:shd w:val="clear" w:color="auto" w:fill="auto"/>
            <w:vAlign w:val="bottom"/>
          </w:tcPr>
          <w:p w14:paraId="6C9729D8"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0.03</w:t>
            </w:r>
          </w:p>
        </w:tc>
      </w:tr>
      <w:tr w:rsidR="00822961" w:rsidRPr="00D80609" w14:paraId="7580A191" w14:textId="77777777" w:rsidTr="00822961">
        <w:trPr>
          <w:jc w:val="center"/>
        </w:trPr>
        <w:tc>
          <w:tcPr>
            <w:tcW w:w="4702" w:type="dxa"/>
            <w:shd w:val="clear" w:color="auto" w:fill="auto"/>
            <w:vAlign w:val="center"/>
          </w:tcPr>
          <w:p w14:paraId="2653D438" w14:textId="77777777" w:rsidR="00822961" w:rsidRPr="00340008" w:rsidRDefault="00822961" w:rsidP="00E068A0">
            <w:pPr>
              <w:spacing w:line="240" w:lineRule="auto"/>
              <w:ind w:firstLine="426"/>
              <w:rPr>
                <w:rFonts w:ascii="Palatino Linotype" w:hAnsi="Palatino Linotype" w:cs="Arial"/>
                <w:sz w:val="20"/>
                <w:lang w:eastAsia="en-GB"/>
              </w:rPr>
            </w:pPr>
            <w:r w:rsidRPr="00340008">
              <w:rPr>
                <w:rFonts w:ascii="Palatino Linotype" w:hAnsi="Palatino Linotype" w:cs="Arial"/>
                <w:sz w:val="20"/>
                <w:lang w:eastAsia="en-GB"/>
              </w:rPr>
              <w:t>Less than a quarter</w:t>
            </w:r>
          </w:p>
        </w:tc>
        <w:tc>
          <w:tcPr>
            <w:tcW w:w="1187" w:type="dxa"/>
            <w:tcBorders>
              <w:top w:val="nil"/>
              <w:left w:val="nil"/>
              <w:bottom w:val="nil"/>
              <w:right w:val="nil"/>
            </w:tcBorders>
            <w:shd w:val="clear" w:color="auto" w:fill="auto"/>
            <w:vAlign w:val="bottom"/>
          </w:tcPr>
          <w:p w14:paraId="79013E22"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189 (18.6)</w:t>
            </w:r>
          </w:p>
        </w:tc>
        <w:tc>
          <w:tcPr>
            <w:tcW w:w="1438" w:type="dxa"/>
            <w:tcBorders>
              <w:top w:val="nil"/>
              <w:left w:val="nil"/>
              <w:bottom w:val="nil"/>
              <w:right w:val="nil"/>
            </w:tcBorders>
            <w:shd w:val="clear" w:color="auto" w:fill="auto"/>
            <w:vAlign w:val="bottom"/>
          </w:tcPr>
          <w:p w14:paraId="3FB99DBB"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102 (13.3)</w:t>
            </w:r>
          </w:p>
        </w:tc>
        <w:tc>
          <w:tcPr>
            <w:tcW w:w="1114" w:type="dxa"/>
            <w:tcBorders>
              <w:top w:val="nil"/>
              <w:left w:val="nil"/>
              <w:bottom w:val="nil"/>
              <w:right w:val="nil"/>
            </w:tcBorders>
            <w:shd w:val="clear" w:color="auto" w:fill="auto"/>
            <w:vAlign w:val="bottom"/>
          </w:tcPr>
          <w:p w14:paraId="4EE4E0AE"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64 (12.7)</w:t>
            </w:r>
          </w:p>
        </w:tc>
        <w:tc>
          <w:tcPr>
            <w:tcW w:w="1109" w:type="dxa"/>
            <w:tcBorders>
              <w:top w:val="nil"/>
              <w:left w:val="nil"/>
              <w:bottom w:val="nil"/>
              <w:right w:val="nil"/>
            </w:tcBorders>
            <w:shd w:val="clear" w:color="auto" w:fill="auto"/>
            <w:vAlign w:val="bottom"/>
          </w:tcPr>
          <w:p w14:paraId="3D8C5392"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8 (13.1)</w:t>
            </w:r>
          </w:p>
        </w:tc>
        <w:tc>
          <w:tcPr>
            <w:tcW w:w="809" w:type="dxa"/>
            <w:tcBorders>
              <w:top w:val="nil"/>
              <w:left w:val="nil"/>
              <w:bottom w:val="nil"/>
              <w:right w:val="nil"/>
            </w:tcBorders>
            <w:shd w:val="clear" w:color="auto" w:fill="auto"/>
            <w:vAlign w:val="bottom"/>
          </w:tcPr>
          <w:p w14:paraId="4B6ED225" w14:textId="77777777" w:rsidR="00822961" w:rsidRPr="00737107" w:rsidRDefault="00822961" w:rsidP="00E068A0">
            <w:pPr>
              <w:spacing w:line="240" w:lineRule="auto"/>
              <w:jc w:val="center"/>
              <w:rPr>
                <w:rFonts w:ascii="Palatino Linotype" w:hAnsi="Palatino Linotype" w:cs="Arial"/>
                <w:sz w:val="20"/>
                <w:lang w:eastAsia="en-GB"/>
              </w:rPr>
            </w:pPr>
          </w:p>
        </w:tc>
      </w:tr>
      <w:tr w:rsidR="00822961" w:rsidRPr="00D80609" w14:paraId="7FC76C49" w14:textId="77777777" w:rsidTr="00822961">
        <w:trPr>
          <w:jc w:val="center"/>
        </w:trPr>
        <w:tc>
          <w:tcPr>
            <w:tcW w:w="4702" w:type="dxa"/>
            <w:shd w:val="clear" w:color="auto" w:fill="auto"/>
            <w:vAlign w:val="center"/>
          </w:tcPr>
          <w:p w14:paraId="62C3267E" w14:textId="77777777" w:rsidR="00822961" w:rsidRPr="00340008" w:rsidRDefault="00822961" w:rsidP="00E068A0">
            <w:pPr>
              <w:spacing w:line="240" w:lineRule="auto"/>
              <w:ind w:firstLine="426"/>
              <w:rPr>
                <w:rFonts w:ascii="Palatino Linotype" w:hAnsi="Palatino Linotype" w:cs="Arial"/>
                <w:sz w:val="20"/>
                <w:lang w:eastAsia="en-GB"/>
              </w:rPr>
            </w:pPr>
            <w:r w:rsidRPr="00340008">
              <w:rPr>
                <w:rFonts w:ascii="Palatino Linotype" w:hAnsi="Palatino Linotype" w:cs="Arial"/>
                <w:sz w:val="20"/>
                <w:lang w:eastAsia="en-GB"/>
              </w:rPr>
              <w:t>Between a quarter and a half</w:t>
            </w:r>
          </w:p>
        </w:tc>
        <w:tc>
          <w:tcPr>
            <w:tcW w:w="1187" w:type="dxa"/>
            <w:tcBorders>
              <w:top w:val="nil"/>
              <w:left w:val="nil"/>
              <w:bottom w:val="nil"/>
              <w:right w:val="nil"/>
            </w:tcBorders>
            <w:shd w:val="clear" w:color="auto" w:fill="auto"/>
            <w:vAlign w:val="bottom"/>
          </w:tcPr>
          <w:p w14:paraId="73A8A27C"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252 (24.8)</w:t>
            </w:r>
          </w:p>
        </w:tc>
        <w:tc>
          <w:tcPr>
            <w:tcW w:w="1438" w:type="dxa"/>
            <w:tcBorders>
              <w:top w:val="nil"/>
              <w:left w:val="nil"/>
              <w:bottom w:val="nil"/>
              <w:right w:val="nil"/>
            </w:tcBorders>
            <w:shd w:val="clear" w:color="auto" w:fill="auto"/>
            <w:vAlign w:val="bottom"/>
          </w:tcPr>
          <w:p w14:paraId="276E72C6"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205 (26.7)</w:t>
            </w:r>
          </w:p>
        </w:tc>
        <w:tc>
          <w:tcPr>
            <w:tcW w:w="1114" w:type="dxa"/>
            <w:tcBorders>
              <w:top w:val="nil"/>
              <w:left w:val="nil"/>
              <w:bottom w:val="nil"/>
              <w:right w:val="nil"/>
            </w:tcBorders>
            <w:shd w:val="clear" w:color="auto" w:fill="auto"/>
            <w:vAlign w:val="bottom"/>
          </w:tcPr>
          <w:p w14:paraId="5335D5D8"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118 (23.4)</w:t>
            </w:r>
          </w:p>
        </w:tc>
        <w:tc>
          <w:tcPr>
            <w:tcW w:w="1109" w:type="dxa"/>
            <w:tcBorders>
              <w:top w:val="nil"/>
              <w:left w:val="nil"/>
              <w:bottom w:val="nil"/>
              <w:right w:val="nil"/>
            </w:tcBorders>
            <w:shd w:val="clear" w:color="auto" w:fill="auto"/>
            <w:vAlign w:val="bottom"/>
          </w:tcPr>
          <w:p w14:paraId="535996FC"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12 (19.7)</w:t>
            </w:r>
          </w:p>
        </w:tc>
        <w:tc>
          <w:tcPr>
            <w:tcW w:w="809" w:type="dxa"/>
            <w:tcBorders>
              <w:top w:val="nil"/>
              <w:left w:val="nil"/>
              <w:bottom w:val="nil"/>
              <w:right w:val="nil"/>
            </w:tcBorders>
            <w:shd w:val="clear" w:color="auto" w:fill="auto"/>
            <w:vAlign w:val="bottom"/>
          </w:tcPr>
          <w:p w14:paraId="2F022162" w14:textId="77777777" w:rsidR="00822961" w:rsidRPr="00737107" w:rsidRDefault="00822961" w:rsidP="00E068A0">
            <w:pPr>
              <w:spacing w:line="240" w:lineRule="auto"/>
              <w:jc w:val="center"/>
              <w:rPr>
                <w:rFonts w:ascii="Palatino Linotype" w:hAnsi="Palatino Linotype" w:cs="Arial"/>
                <w:sz w:val="20"/>
                <w:lang w:eastAsia="en-GB"/>
              </w:rPr>
            </w:pPr>
          </w:p>
        </w:tc>
      </w:tr>
      <w:tr w:rsidR="00822961" w:rsidRPr="00D80609" w14:paraId="2D52986C" w14:textId="77777777" w:rsidTr="00822961">
        <w:trPr>
          <w:jc w:val="center"/>
        </w:trPr>
        <w:tc>
          <w:tcPr>
            <w:tcW w:w="4702" w:type="dxa"/>
            <w:shd w:val="clear" w:color="auto" w:fill="auto"/>
            <w:vAlign w:val="center"/>
          </w:tcPr>
          <w:p w14:paraId="20923BDC" w14:textId="77777777" w:rsidR="00822961" w:rsidRPr="00340008" w:rsidRDefault="00822961" w:rsidP="00E068A0">
            <w:pPr>
              <w:spacing w:line="240" w:lineRule="auto"/>
              <w:ind w:firstLine="426"/>
              <w:rPr>
                <w:rFonts w:ascii="Palatino Linotype" w:hAnsi="Palatino Linotype" w:cs="Arial"/>
                <w:sz w:val="20"/>
                <w:lang w:eastAsia="en-GB"/>
              </w:rPr>
            </w:pPr>
            <w:r w:rsidRPr="00340008">
              <w:rPr>
                <w:rFonts w:ascii="Palatino Linotype" w:hAnsi="Palatino Linotype" w:cs="Arial"/>
                <w:sz w:val="20"/>
                <w:lang w:eastAsia="en-GB"/>
              </w:rPr>
              <w:t>Half or more</w:t>
            </w:r>
          </w:p>
        </w:tc>
        <w:tc>
          <w:tcPr>
            <w:tcW w:w="1187" w:type="dxa"/>
            <w:tcBorders>
              <w:top w:val="nil"/>
              <w:left w:val="nil"/>
              <w:bottom w:val="nil"/>
              <w:right w:val="nil"/>
            </w:tcBorders>
            <w:shd w:val="clear" w:color="auto" w:fill="auto"/>
            <w:vAlign w:val="bottom"/>
          </w:tcPr>
          <w:p w14:paraId="250F2CD5"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527 (51.9)</w:t>
            </w:r>
          </w:p>
        </w:tc>
        <w:tc>
          <w:tcPr>
            <w:tcW w:w="1438" w:type="dxa"/>
            <w:tcBorders>
              <w:top w:val="nil"/>
              <w:left w:val="nil"/>
              <w:bottom w:val="nil"/>
              <w:right w:val="nil"/>
            </w:tcBorders>
            <w:shd w:val="clear" w:color="auto" w:fill="auto"/>
            <w:vAlign w:val="bottom"/>
          </w:tcPr>
          <w:p w14:paraId="5237ACE9"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425 (55.3)</w:t>
            </w:r>
          </w:p>
        </w:tc>
        <w:tc>
          <w:tcPr>
            <w:tcW w:w="1114" w:type="dxa"/>
            <w:tcBorders>
              <w:top w:val="nil"/>
              <w:left w:val="nil"/>
              <w:bottom w:val="nil"/>
              <w:right w:val="nil"/>
            </w:tcBorders>
            <w:shd w:val="clear" w:color="auto" w:fill="auto"/>
            <w:vAlign w:val="bottom"/>
          </w:tcPr>
          <w:p w14:paraId="3CF15610"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298 (59.0)</w:t>
            </w:r>
          </w:p>
        </w:tc>
        <w:tc>
          <w:tcPr>
            <w:tcW w:w="1109" w:type="dxa"/>
            <w:tcBorders>
              <w:top w:val="nil"/>
              <w:left w:val="nil"/>
              <w:bottom w:val="nil"/>
              <w:right w:val="nil"/>
            </w:tcBorders>
            <w:shd w:val="clear" w:color="auto" w:fill="auto"/>
            <w:vAlign w:val="bottom"/>
          </w:tcPr>
          <w:p w14:paraId="117F817A"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39 (63.9)</w:t>
            </w:r>
          </w:p>
        </w:tc>
        <w:tc>
          <w:tcPr>
            <w:tcW w:w="809" w:type="dxa"/>
            <w:tcBorders>
              <w:top w:val="nil"/>
              <w:left w:val="nil"/>
              <w:bottom w:val="nil"/>
              <w:right w:val="nil"/>
            </w:tcBorders>
            <w:shd w:val="clear" w:color="auto" w:fill="auto"/>
            <w:vAlign w:val="bottom"/>
          </w:tcPr>
          <w:p w14:paraId="6396DABE" w14:textId="77777777" w:rsidR="00822961" w:rsidRPr="00737107" w:rsidRDefault="00822961" w:rsidP="00E068A0">
            <w:pPr>
              <w:spacing w:line="240" w:lineRule="auto"/>
              <w:jc w:val="center"/>
              <w:rPr>
                <w:rFonts w:ascii="Palatino Linotype" w:hAnsi="Palatino Linotype" w:cs="Arial"/>
                <w:sz w:val="20"/>
                <w:lang w:eastAsia="en-GB"/>
              </w:rPr>
            </w:pPr>
          </w:p>
        </w:tc>
      </w:tr>
      <w:tr w:rsidR="00822961" w:rsidRPr="00D80609" w14:paraId="63309376" w14:textId="77777777" w:rsidTr="00822961">
        <w:trPr>
          <w:jc w:val="center"/>
        </w:trPr>
        <w:tc>
          <w:tcPr>
            <w:tcW w:w="4702" w:type="dxa"/>
            <w:shd w:val="clear" w:color="auto" w:fill="auto"/>
            <w:vAlign w:val="bottom"/>
          </w:tcPr>
          <w:p w14:paraId="54AE2234" w14:textId="77777777" w:rsidR="00822961" w:rsidRPr="00340008" w:rsidRDefault="00822961" w:rsidP="00E068A0">
            <w:pPr>
              <w:spacing w:line="240" w:lineRule="auto"/>
              <w:rPr>
                <w:rFonts w:ascii="Palatino Linotype" w:hAnsi="Palatino Linotype" w:cs="Arial"/>
                <w:sz w:val="20"/>
                <w:lang w:eastAsia="en-GB"/>
              </w:rPr>
            </w:pPr>
            <w:r w:rsidRPr="00340008">
              <w:rPr>
                <w:rFonts w:ascii="Palatino Linotype" w:hAnsi="Palatino Linotype" w:cs="Arial"/>
                <w:sz w:val="20"/>
                <w:lang w:eastAsia="en-GB"/>
              </w:rPr>
              <w:t>Social class</w:t>
            </w:r>
          </w:p>
        </w:tc>
        <w:tc>
          <w:tcPr>
            <w:tcW w:w="1187" w:type="dxa"/>
            <w:tcBorders>
              <w:top w:val="nil"/>
              <w:left w:val="nil"/>
              <w:bottom w:val="nil"/>
              <w:right w:val="nil"/>
            </w:tcBorders>
            <w:shd w:val="clear" w:color="auto" w:fill="auto"/>
            <w:vAlign w:val="bottom"/>
          </w:tcPr>
          <w:p w14:paraId="3762FCDB" w14:textId="77777777" w:rsidR="00822961" w:rsidRPr="00737107" w:rsidRDefault="00822961" w:rsidP="00E068A0">
            <w:pPr>
              <w:spacing w:line="240" w:lineRule="auto"/>
              <w:jc w:val="center"/>
              <w:rPr>
                <w:rFonts w:ascii="Palatino Linotype" w:hAnsi="Palatino Linotype" w:cs="Arial"/>
                <w:sz w:val="20"/>
                <w:lang w:eastAsia="en-GB"/>
              </w:rPr>
            </w:pPr>
          </w:p>
        </w:tc>
        <w:tc>
          <w:tcPr>
            <w:tcW w:w="1438" w:type="dxa"/>
            <w:tcBorders>
              <w:top w:val="nil"/>
              <w:left w:val="nil"/>
              <w:bottom w:val="nil"/>
              <w:right w:val="nil"/>
            </w:tcBorders>
            <w:shd w:val="clear" w:color="auto" w:fill="auto"/>
            <w:vAlign w:val="bottom"/>
          </w:tcPr>
          <w:p w14:paraId="6B8B40D6" w14:textId="77777777" w:rsidR="00822961" w:rsidRPr="00737107" w:rsidRDefault="00822961" w:rsidP="00E068A0">
            <w:pPr>
              <w:spacing w:line="240" w:lineRule="auto"/>
              <w:jc w:val="center"/>
              <w:rPr>
                <w:rFonts w:ascii="Palatino Linotype" w:hAnsi="Palatino Linotype" w:cs="Arial"/>
                <w:sz w:val="20"/>
                <w:lang w:eastAsia="en-GB"/>
              </w:rPr>
            </w:pPr>
          </w:p>
        </w:tc>
        <w:tc>
          <w:tcPr>
            <w:tcW w:w="1114" w:type="dxa"/>
            <w:tcBorders>
              <w:top w:val="nil"/>
              <w:left w:val="nil"/>
              <w:bottom w:val="nil"/>
              <w:right w:val="nil"/>
            </w:tcBorders>
            <w:shd w:val="clear" w:color="auto" w:fill="auto"/>
            <w:vAlign w:val="bottom"/>
          </w:tcPr>
          <w:p w14:paraId="5843456E" w14:textId="77777777" w:rsidR="00822961" w:rsidRPr="00737107" w:rsidRDefault="00822961" w:rsidP="00E068A0">
            <w:pPr>
              <w:spacing w:line="240" w:lineRule="auto"/>
              <w:jc w:val="center"/>
              <w:rPr>
                <w:rFonts w:ascii="Palatino Linotype" w:hAnsi="Palatino Linotype" w:cs="Arial"/>
                <w:sz w:val="20"/>
                <w:lang w:eastAsia="en-GB"/>
              </w:rPr>
            </w:pPr>
          </w:p>
        </w:tc>
        <w:tc>
          <w:tcPr>
            <w:tcW w:w="1109" w:type="dxa"/>
            <w:tcBorders>
              <w:top w:val="nil"/>
              <w:left w:val="nil"/>
              <w:bottom w:val="nil"/>
              <w:right w:val="nil"/>
            </w:tcBorders>
            <w:shd w:val="clear" w:color="auto" w:fill="auto"/>
            <w:vAlign w:val="bottom"/>
          </w:tcPr>
          <w:p w14:paraId="27CB782F" w14:textId="77777777" w:rsidR="00822961" w:rsidRPr="00737107" w:rsidRDefault="00822961" w:rsidP="00E068A0">
            <w:pPr>
              <w:spacing w:line="240" w:lineRule="auto"/>
              <w:jc w:val="center"/>
              <w:rPr>
                <w:rFonts w:ascii="Palatino Linotype" w:hAnsi="Palatino Linotype" w:cs="Arial"/>
                <w:sz w:val="20"/>
                <w:lang w:eastAsia="en-GB"/>
              </w:rPr>
            </w:pPr>
          </w:p>
        </w:tc>
        <w:tc>
          <w:tcPr>
            <w:tcW w:w="809" w:type="dxa"/>
            <w:tcBorders>
              <w:top w:val="nil"/>
              <w:left w:val="nil"/>
              <w:bottom w:val="nil"/>
              <w:right w:val="nil"/>
            </w:tcBorders>
            <w:shd w:val="clear" w:color="auto" w:fill="auto"/>
            <w:vAlign w:val="bottom"/>
          </w:tcPr>
          <w:p w14:paraId="43CE7A24" w14:textId="77777777" w:rsidR="00822961" w:rsidRPr="00737107" w:rsidRDefault="00822961" w:rsidP="00E068A0">
            <w:pPr>
              <w:spacing w:line="240" w:lineRule="auto"/>
              <w:jc w:val="center"/>
              <w:rPr>
                <w:rFonts w:ascii="Palatino Linotype" w:hAnsi="Palatino Linotype" w:cs="Arial"/>
                <w:sz w:val="20"/>
                <w:lang w:eastAsia="en-GB"/>
              </w:rPr>
            </w:pPr>
          </w:p>
        </w:tc>
      </w:tr>
      <w:tr w:rsidR="00822961" w:rsidRPr="00D80609" w14:paraId="0A398D13" w14:textId="77777777" w:rsidTr="00822961">
        <w:trPr>
          <w:jc w:val="center"/>
        </w:trPr>
        <w:tc>
          <w:tcPr>
            <w:tcW w:w="4702" w:type="dxa"/>
            <w:shd w:val="clear" w:color="auto" w:fill="auto"/>
            <w:vAlign w:val="bottom"/>
          </w:tcPr>
          <w:p w14:paraId="599614A5" w14:textId="77777777" w:rsidR="00822961" w:rsidRPr="00340008" w:rsidRDefault="00822961" w:rsidP="00E068A0">
            <w:pPr>
              <w:spacing w:line="240" w:lineRule="auto"/>
              <w:ind w:firstLine="318"/>
              <w:rPr>
                <w:rFonts w:ascii="Palatino Linotype" w:hAnsi="Palatino Linotype" w:cs="Arial"/>
                <w:sz w:val="20"/>
                <w:lang w:eastAsia="en-GB"/>
              </w:rPr>
            </w:pPr>
            <w:r w:rsidRPr="00340008">
              <w:rPr>
                <w:rFonts w:ascii="Palatino Linotype" w:hAnsi="Palatino Linotype" w:cs="Arial"/>
                <w:sz w:val="20"/>
                <w:lang w:eastAsia="en-GB"/>
              </w:rPr>
              <w:t>Higher managerial</w:t>
            </w:r>
          </w:p>
        </w:tc>
        <w:tc>
          <w:tcPr>
            <w:tcW w:w="1187" w:type="dxa"/>
            <w:tcBorders>
              <w:top w:val="nil"/>
              <w:left w:val="nil"/>
              <w:bottom w:val="nil"/>
              <w:right w:val="nil"/>
            </w:tcBorders>
            <w:shd w:val="clear" w:color="auto" w:fill="auto"/>
            <w:vAlign w:val="bottom"/>
          </w:tcPr>
          <w:p w14:paraId="6DA2E4AA"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451 (43.2)</w:t>
            </w:r>
          </w:p>
        </w:tc>
        <w:tc>
          <w:tcPr>
            <w:tcW w:w="1438" w:type="dxa"/>
            <w:tcBorders>
              <w:top w:val="nil"/>
              <w:left w:val="nil"/>
              <w:bottom w:val="nil"/>
              <w:right w:val="nil"/>
            </w:tcBorders>
            <w:shd w:val="clear" w:color="auto" w:fill="auto"/>
            <w:vAlign w:val="bottom"/>
          </w:tcPr>
          <w:p w14:paraId="1D2B4F16"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313 (40.2)</w:t>
            </w:r>
          </w:p>
        </w:tc>
        <w:tc>
          <w:tcPr>
            <w:tcW w:w="1114" w:type="dxa"/>
            <w:tcBorders>
              <w:top w:val="nil"/>
              <w:left w:val="nil"/>
              <w:bottom w:val="nil"/>
              <w:right w:val="nil"/>
            </w:tcBorders>
            <w:shd w:val="clear" w:color="auto" w:fill="auto"/>
            <w:vAlign w:val="bottom"/>
          </w:tcPr>
          <w:p w14:paraId="2185C61A"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216 (41.7)</w:t>
            </w:r>
          </w:p>
        </w:tc>
        <w:tc>
          <w:tcPr>
            <w:tcW w:w="1109" w:type="dxa"/>
            <w:tcBorders>
              <w:top w:val="nil"/>
              <w:left w:val="nil"/>
              <w:bottom w:val="nil"/>
              <w:right w:val="nil"/>
            </w:tcBorders>
            <w:shd w:val="clear" w:color="auto" w:fill="auto"/>
            <w:vAlign w:val="bottom"/>
          </w:tcPr>
          <w:p w14:paraId="240D9562"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29 (46.0)</w:t>
            </w:r>
          </w:p>
        </w:tc>
        <w:tc>
          <w:tcPr>
            <w:tcW w:w="809" w:type="dxa"/>
            <w:tcBorders>
              <w:top w:val="nil"/>
              <w:left w:val="nil"/>
              <w:bottom w:val="nil"/>
              <w:right w:val="nil"/>
            </w:tcBorders>
            <w:shd w:val="clear" w:color="auto" w:fill="auto"/>
            <w:vAlign w:val="bottom"/>
          </w:tcPr>
          <w:p w14:paraId="3828A472"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0.60</w:t>
            </w:r>
          </w:p>
        </w:tc>
      </w:tr>
      <w:tr w:rsidR="00822961" w:rsidRPr="00D80609" w14:paraId="65FACDDD" w14:textId="77777777" w:rsidTr="00822961">
        <w:trPr>
          <w:jc w:val="center"/>
        </w:trPr>
        <w:tc>
          <w:tcPr>
            <w:tcW w:w="4702" w:type="dxa"/>
            <w:shd w:val="clear" w:color="auto" w:fill="auto"/>
            <w:vAlign w:val="bottom"/>
          </w:tcPr>
          <w:p w14:paraId="5CE5B558" w14:textId="77777777" w:rsidR="00822961" w:rsidRPr="00340008" w:rsidRDefault="00822961" w:rsidP="00E068A0">
            <w:pPr>
              <w:spacing w:line="240" w:lineRule="auto"/>
              <w:ind w:firstLine="318"/>
              <w:rPr>
                <w:rFonts w:ascii="Palatino Linotype" w:hAnsi="Palatino Linotype" w:cs="Arial"/>
                <w:sz w:val="20"/>
                <w:lang w:eastAsia="en-GB"/>
              </w:rPr>
            </w:pPr>
            <w:r w:rsidRPr="00340008">
              <w:rPr>
                <w:rFonts w:ascii="Palatino Linotype" w:hAnsi="Palatino Linotype" w:cs="Arial"/>
                <w:sz w:val="20"/>
                <w:lang w:eastAsia="en-GB"/>
              </w:rPr>
              <w:t>Intermediate occupation</w:t>
            </w:r>
          </w:p>
        </w:tc>
        <w:tc>
          <w:tcPr>
            <w:tcW w:w="1187" w:type="dxa"/>
            <w:tcBorders>
              <w:top w:val="nil"/>
              <w:left w:val="nil"/>
              <w:bottom w:val="nil"/>
              <w:right w:val="nil"/>
            </w:tcBorders>
            <w:shd w:val="clear" w:color="auto" w:fill="auto"/>
            <w:vAlign w:val="bottom"/>
          </w:tcPr>
          <w:p w14:paraId="736AC795"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351 (33.6)</w:t>
            </w:r>
          </w:p>
        </w:tc>
        <w:tc>
          <w:tcPr>
            <w:tcW w:w="1438" w:type="dxa"/>
            <w:tcBorders>
              <w:top w:val="nil"/>
              <w:left w:val="nil"/>
              <w:bottom w:val="nil"/>
              <w:right w:val="nil"/>
            </w:tcBorders>
            <w:shd w:val="clear" w:color="auto" w:fill="auto"/>
            <w:vAlign w:val="bottom"/>
          </w:tcPr>
          <w:p w14:paraId="62779E6E"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254 (32.6)</w:t>
            </w:r>
          </w:p>
        </w:tc>
        <w:tc>
          <w:tcPr>
            <w:tcW w:w="1114" w:type="dxa"/>
            <w:tcBorders>
              <w:top w:val="nil"/>
              <w:left w:val="nil"/>
              <w:bottom w:val="nil"/>
              <w:right w:val="nil"/>
            </w:tcBorders>
            <w:shd w:val="clear" w:color="auto" w:fill="auto"/>
            <w:vAlign w:val="bottom"/>
          </w:tcPr>
          <w:p w14:paraId="2205D32E"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171 (33.0)</w:t>
            </w:r>
          </w:p>
        </w:tc>
        <w:tc>
          <w:tcPr>
            <w:tcW w:w="1109" w:type="dxa"/>
            <w:tcBorders>
              <w:top w:val="nil"/>
              <w:left w:val="nil"/>
              <w:bottom w:val="nil"/>
              <w:right w:val="nil"/>
            </w:tcBorders>
            <w:shd w:val="clear" w:color="auto" w:fill="auto"/>
            <w:vAlign w:val="bottom"/>
          </w:tcPr>
          <w:p w14:paraId="548350CB"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18 (28.6)</w:t>
            </w:r>
          </w:p>
        </w:tc>
        <w:tc>
          <w:tcPr>
            <w:tcW w:w="809" w:type="dxa"/>
            <w:tcBorders>
              <w:top w:val="nil"/>
              <w:left w:val="nil"/>
              <w:bottom w:val="nil"/>
              <w:right w:val="nil"/>
            </w:tcBorders>
            <w:shd w:val="clear" w:color="auto" w:fill="auto"/>
            <w:vAlign w:val="bottom"/>
          </w:tcPr>
          <w:p w14:paraId="4CBF67B8" w14:textId="77777777" w:rsidR="00822961" w:rsidRPr="00737107" w:rsidRDefault="00822961" w:rsidP="00E068A0">
            <w:pPr>
              <w:spacing w:line="240" w:lineRule="auto"/>
              <w:jc w:val="center"/>
              <w:rPr>
                <w:rFonts w:ascii="Palatino Linotype" w:hAnsi="Palatino Linotype" w:cs="Arial"/>
                <w:sz w:val="20"/>
                <w:lang w:eastAsia="en-GB"/>
              </w:rPr>
            </w:pPr>
          </w:p>
        </w:tc>
      </w:tr>
      <w:tr w:rsidR="00822961" w:rsidRPr="00D80609" w14:paraId="34C5E117" w14:textId="77777777" w:rsidTr="00822961">
        <w:trPr>
          <w:jc w:val="center"/>
        </w:trPr>
        <w:tc>
          <w:tcPr>
            <w:tcW w:w="4702" w:type="dxa"/>
            <w:shd w:val="clear" w:color="auto" w:fill="auto"/>
            <w:vAlign w:val="bottom"/>
          </w:tcPr>
          <w:p w14:paraId="61B89730" w14:textId="77777777" w:rsidR="00822961" w:rsidRPr="00340008" w:rsidRDefault="00822961" w:rsidP="00E068A0">
            <w:pPr>
              <w:spacing w:line="240" w:lineRule="auto"/>
              <w:ind w:firstLine="318"/>
              <w:rPr>
                <w:rFonts w:ascii="Palatino Linotype" w:hAnsi="Palatino Linotype" w:cs="Arial"/>
                <w:sz w:val="20"/>
                <w:lang w:eastAsia="en-GB"/>
              </w:rPr>
            </w:pPr>
            <w:r w:rsidRPr="00340008">
              <w:rPr>
                <w:rFonts w:ascii="Palatino Linotype" w:hAnsi="Palatino Linotype" w:cs="Arial"/>
                <w:sz w:val="20"/>
                <w:lang w:eastAsia="en-GB"/>
              </w:rPr>
              <w:t>Routine occupation</w:t>
            </w:r>
          </w:p>
        </w:tc>
        <w:tc>
          <w:tcPr>
            <w:tcW w:w="1187" w:type="dxa"/>
            <w:tcBorders>
              <w:top w:val="nil"/>
              <w:left w:val="nil"/>
              <w:bottom w:val="nil"/>
              <w:right w:val="nil"/>
            </w:tcBorders>
            <w:shd w:val="clear" w:color="auto" w:fill="auto"/>
            <w:vAlign w:val="bottom"/>
          </w:tcPr>
          <w:p w14:paraId="018CE89A"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243 (23.3)</w:t>
            </w:r>
          </w:p>
        </w:tc>
        <w:tc>
          <w:tcPr>
            <w:tcW w:w="1438" w:type="dxa"/>
            <w:tcBorders>
              <w:top w:val="nil"/>
              <w:left w:val="nil"/>
              <w:bottom w:val="nil"/>
              <w:right w:val="nil"/>
            </w:tcBorders>
            <w:shd w:val="clear" w:color="auto" w:fill="auto"/>
            <w:vAlign w:val="bottom"/>
          </w:tcPr>
          <w:p w14:paraId="15C41F75"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212 (27.2)</w:t>
            </w:r>
          </w:p>
        </w:tc>
        <w:tc>
          <w:tcPr>
            <w:tcW w:w="1114" w:type="dxa"/>
            <w:tcBorders>
              <w:top w:val="nil"/>
              <w:left w:val="nil"/>
              <w:bottom w:val="nil"/>
              <w:right w:val="nil"/>
            </w:tcBorders>
            <w:shd w:val="clear" w:color="auto" w:fill="auto"/>
            <w:vAlign w:val="bottom"/>
          </w:tcPr>
          <w:p w14:paraId="1FF7983C"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131 (25.3)</w:t>
            </w:r>
          </w:p>
        </w:tc>
        <w:tc>
          <w:tcPr>
            <w:tcW w:w="1109" w:type="dxa"/>
            <w:tcBorders>
              <w:top w:val="nil"/>
              <w:left w:val="nil"/>
              <w:bottom w:val="nil"/>
              <w:right w:val="nil"/>
            </w:tcBorders>
            <w:shd w:val="clear" w:color="auto" w:fill="auto"/>
            <w:vAlign w:val="bottom"/>
          </w:tcPr>
          <w:p w14:paraId="7897F4C5"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16 (25.4)</w:t>
            </w:r>
          </w:p>
        </w:tc>
        <w:tc>
          <w:tcPr>
            <w:tcW w:w="809" w:type="dxa"/>
            <w:tcBorders>
              <w:top w:val="nil"/>
              <w:left w:val="nil"/>
              <w:bottom w:val="nil"/>
              <w:right w:val="nil"/>
            </w:tcBorders>
            <w:shd w:val="clear" w:color="auto" w:fill="auto"/>
            <w:vAlign w:val="bottom"/>
          </w:tcPr>
          <w:p w14:paraId="7896303F" w14:textId="77777777" w:rsidR="00822961" w:rsidRPr="00737107" w:rsidRDefault="00822961" w:rsidP="00E068A0">
            <w:pPr>
              <w:spacing w:line="240" w:lineRule="auto"/>
              <w:jc w:val="center"/>
              <w:rPr>
                <w:rFonts w:ascii="Palatino Linotype" w:hAnsi="Palatino Linotype" w:cs="Arial"/>
                <w:sz w:val="20"/>
                <w:lang w:eastAsia="en-GB"/>
              </w:rPr>
            </w:pPr>
          </w:p>
        </w:tc>
      </w:tr>
      <w:tr w:rsidR="00822961" w:rsidRPr="00D80609" w14:paraId="74367D72" w14:textId="77777777" w:rsidTr="00822961">
        <w:trPr>
          <w:jc w:val="center"/>
        </w:trPr>
        <w:tc>
          <w:tcPr>
            <w:tcW w:w="4702" w:type="dxa"/>
            <w:shd w:val="clear" w:color="auto" w:fill="auto"/>
            <w:vAlign w:val="bottom"/>
          </w:tcPr>
          <w:p w14:paraId="2659011B" w14:textId="77777777" w:rsidR="00822961" w:rsidRPr="00340008" w:rsidRDefault="00822961" w:rsidP="00E068A0">
            <w:pPr>
              <w:spacing w:line="240" w:lineRule="auto"/>
              <w:rPr>
                <w:rFonts w:ascii="Palatino Linotype" w:hAnsi="Palatino Linotype" w:cs="Arial"/>
                <w:sz w:val="20"/>
                <w:lang w:eastAsia="en-GB"/>
              </w:rPr>
            </w:pPr>
            <w:r w:rsidRPr="00340008">
              <w:rPr>
                <w:rFonts w:ascii="Palatino Linotype" w:hAnsi="Palatino Linotype" w:cs="Arial"/>
                <w:sz w:val="20"/>
                <w:lang w:eastAsia="en-GB"/>
              </w:rPr>
              <w:t>Home ownership - Rented/rent free</w:t>
            </w:r>
          </w:p>
        </w:tc>
        <w:tc>
          <w:tcPr>
            <w:tcW w:w="1187" w:type="dxa"/>
            <w:tcBorders>
              <w:top w:val="nil"/>
              <w:left w:val="nil"/>
              <w:bottom w:val="nil"/>
              <w:right w:val="nil"/>
            </w:tcBorders>
            <w:shd w:val="clear" w:color="auto" w:fill="auto"/>
            <w:vAlign w:val="bottom"/>
          </w:tcPr>
          <w:p w14:paraId="3F8C22CE"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99 (9.6)</w:t>
            </w:r>
          </w:p>
        </w:tc>
        <w:tc>
          <w:tcPr>
            <w:tcW w:w="1438" w:type="dxa"/>
            <w:tcBorders>
              <w:top w:val="nil"/>
              <w:left w:val="nil"/>
              <w:bottom w:val="nil"/>
              <w:right w:val="nil"/>
            </w:tcBorders>
            <w:shd w:val="clear" w:color="auto" w:fill="auto"/>
            <w:vAlign w:val="bottom"/>
          </w:tcPr>
          <w:p w14:paraId="7E2002F0"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104 (13.4)</w:t>
            </w:r>
          </w:p>
        </w:tc>
        <w:tc>
          <w:tcPr>
            <w:tcW w:w="1114" w:type="dxa"/>
            <w:tcBorders>
              <w:top w:val="nil"/>
              <w:left w:val="nil"/>
              <w:bottom w:val="nil"/>
              <w:right w:val="nil"/>
            </w:tcBorders>
            <w:shd w:val="clear" w:color="auto" w:fill="auto"/>
            <w:vAlign w:val="bottom"/>
          </w:tcPr>
          <w:p w14:paraId="2D1DA3AE"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73 (14.4)</w:t>
            </w:r>
          </w:p>
        </w:tc>
        <w:tc>
          <w:tcPr>
            <w:tcW w:w="1109" w:type="dxa"/>
            <w:tcBorders>
              <w:top w:val="nil"/>
              <w:left w:val="nil"/>
              <w:bottom w:val="nil"/>
              <w:right w:val="nil"/>
            </w:tcBorders>
            <w:shd w:val="clear" w:color="auto" w:fill="auto"/>
            <w:vAlign w:val="bottom"/>
          </w:tcPr>
          <w:p w14:paraId="651D12AA"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7 (11.5)</w:t>
            </w:r>
          </w:p>
        </w:tc>
        <w:tc>
          <w:tcPr>
            <w:tcW w:w="809" w:type="dxa"/>
            <w:tcBorders>
              <w:top w:val="nil"/>
              <w:left w:val="nil"/>
              <w:bottom w:val="nil"/>
              <w:right w:val="nil"/>
            </w:tcBorders>
            <w:shd w:val="clear" w:color="auto" w:fill="auto"/>
            <w:vAlign w:val="bottom"/>
          </w:tcPr>
          <w:p w14:paraId="2761F666"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0.02</w:t>
            </w:r>
          </w:p>
        </w:tc>
      </w:tr>
      <w:tr w:rsidR="00822961" w:rsidRPr="00D80609" w14:paraId="56DE58BA" w14:textId="77777777" w:rsidTr="00822961">
        <w:trPr>
          <w:jc w:val="center"/>
        </w:trPr>
        <w:tc>
          <w:tcPr>
            <w:tcW w:w="4702" w:type="dxa"/>
            <w:shd w:val="clear" w:color="auto" w:fill="auto"/>
            <w:vAlign w:val="bottom"/>
          </w:tcPr>
          <w:p w14:paraId="697768CF" w14:textId="77777777" w:rsidR="00822961" w:rsidRPr="00340008" w:rsidRDefault="00822961" w:rsidP="00E068A0">
            <w:pPr>
              <w:spacing w:line="240" w:lineRule="auto"/>
              <w:rPr>
                <w:rFonts w:ascii="Palatino Linotype" w:hAnsi="Palatino Linotype" w:cs="Arial"/>
                <w:sz w:val="20"/>
                <w:lang w:eastAsia="en-GB"/>
              </w:rPr>
            </w:pPr>
            <w:r w:rsidRPr="00340008">
              <w:rPr>
                <w:rFonts w:ascii="Palatino Linotype" w:hAnsi="Palatino Linotype" w:cs="Arial"/>
                <w:sz w:val="20"/>
                <w:lang w:eastAsia="en-GB"/>
              </w:rPr>
              <w:t>Managing financially - finding it difficult</w:t>
            </w:r>
          </w:p>
        </w:tc>
        <w:tc>
          <w:tcPr>
            <w:tcW w:w="1187" w:type="dxa"/>
            <w:tcBorders>
              <w:top w:val="nil"/>
              <w:left w:val="nil"/>
              <w:bottom w:val="nil"/>
              <w:right w:val="nil"/>
            </w:tcBorders>
            <w:shd w:val="clear" w:color="auto" w:fill="auto"/>
            <w:vAlign w:val="bottom"/>
          </w:tcPr>
          <w:p w14:paraId="24FCCAB5"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81 (7.9)</w:t>
            </w:r>
          </w:p>
        </w:tc>
        <w:tc>
          <w:tcPr>
            <w:tcW w:w="1438" w:type="dxa"/>
            <w:tcBorders>
              <w:top w:val="nil"/>
              <w:left w:val="nil"/>
              <w:bottom w:val="nil"/>
              <w:right w:val="nil"/>
            </w:tcBorders>
            <w:shd w:val="clear" w:color="auto" w:fill="auto"/>
            <w:vAlign w:val="bottom"/>
          </w:tcPr>
          <w:p w14:paraId="10F93EC0"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71 (9.1)</w:t>
            </w:r>
          </w:p>
        </w:tc>
        <w:tc>
          <w:tcPr>
            <w:tcW w:w="1114" w:type="dxa"/>
            <w:tcBorders>
              <w:top w:val="nil"/>
              <w:left w:val="nil"/>
              <w:bottom w:val="nil"/>
              <w:right w:val="nil"/>
            </w:tcBorders>
            <w:shd w:val="clear" w:color="auto" w:fill="auto"/>
            <w:vAlign w:val="bottom"/>
          </w:tcPr>
          <w:p w14:paraId="44E8F9AE"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58 (11.4)</w:t>
            </w:r>
          </w:p>
        </w:tc>
        <w:tc>
          <w:tcPr>
            <w:tcW w:w="1109" w:type="dxa"/>
            <w:tcBorders>
              <w:top w:val="nil"/>
              <w:left w:val="nil"/>
              <w:bottom w:val="nil"/>
              <w:right w:val="nil"/>
            </w:tcBorders>
            <w:shd w:val="clear" w:color="auto" w:fill="auto"/>
            <w:vAlign w:val="bottom"/>
          </w:tcPr>
          <w:p w14:paraId="38BF6F50"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9 (14.8)</w:t>
            </w:r>
          </w:p>
        </w:tc>
        <w:tc>
          <w:tcPr>
            <w:tcW w:w="809" w:type="dxa"/>
            <w:tcBorders>
              <w:top w:val="nil"/>
              <w:left w:val="nil"/>
              <w:bottom w:val="nil"/>
              <w:right w:val="nil"/>
            </w:tcBorders>
            <w:shd w:val="clear" w:color="auto" w:fill="auto"/>
            <w:vAlign w:val="bottom"/>
          </w:tcPr>
          <w:p w14:paraId="231E2782"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0.06</w:t>
            </w:r>
          </w:p>
        </w:tc>
      </w:tr>
      <w:tr w:rsidR="00822961" w:rsidRPr="00D80609" w14:paraId="76104D2B" w14:textId="77777777" w:rsidTr="00822961">
        <w:trPr>
          <w:jc w:val="center"/>
        </w:trPr>
        <w:tc>
          <w:tcPr>
            <w:tcW w:w="4702" w:type="dxa"/>
            <w:shd w:val="clear" w:color="auto" w:fill="auto"/>
            <w:vAlign w:val="bottom"/>
          </w:tcPr>
          <w:p w14:paraId="2AFEC1BF" w14:textId="77777777" w:rsidR="00822961" w:rsidRPr="00340008" w:rsidRDefault="00822961" w:rsidP="00E068A0">
            <w:pPr>
              <w:spacing w:line="240" w:lineRule="auto"/>
              <w:rPr>
                <w:rFonts w:ascii="Palatino Linotype" w:hAnsi="Palatino Linotype" w:cs="Arial"/>
                <w:i/>
                <w:sz w:val="20"/>
                <w:lang w:eastAsia="en-GB"/>
              </w:rPr>
            </w:pPr>
            <w:r w:rsidRPr="00340008">
              <w:rPr>
                <w:rFonts w:ascii="Palatino Linotype" w:hAnsi="Palatino Linotype" w:cs="Arial"/>
                <w:i/>
                <w:sz w:val="20"/>
                <w:lang w:eastAsia="en-GB"/>
              </w:rPr>
              <w:t>Lifestyle factors</w:t>
            </w:r>
          </w:p>
        </w:tc>
        <w:tc>
          <w:tcPr>
            <w:tcW w:w="1187" w:type="dxa"/>
            <w:tcBorders>
              <w:top w:val="nil"/>
              <w:left w:val="nil"/>
              <w:bottom w:val="nil"/>
              <w:right w:val="nil"/>
            </w:tcBorders>
            <w:shd w:val="clear" w:color="auto" w:fill="auto"/>
            <w:vAlign w:val="bottom"/>
          </w:tcPr>
          <w:p w14:paraId="0A5B7EA0" w14:textId="77777777" w:rsidR="00822961" w:rsidRPr="00737107" w:rsidRDefault="00822961" w:rsidP="00E068A0">
            <w:pPr>
              <w:spacing w:line="240" w:lineRule="auto"/>
              <w:jc w:val="center"/>
              <w:rPr>
                <w:rFonts w:ascii="Palatino Linotype" w:hAnsi="Palatino Linotype" w:cs="Arial"/>
                <w:sz w:val="20"/>
                <w:lang w:eastAsia="en-GB"/>
              </w:rPr>
            </w:pPr>
          </w:p>
        </w:tc>
        <w:tc>
          <w:tcPr>
            <w:tcW w:w="1438" w:type="dxa"/>
            <w:tcBorders>
              <w:top w:val="nil"/>
              <w:left w:val="nil"/>
              <w:bottom w:val="nil"/>
              <w:right w:val="nil"/>
            </w:tcBorders>
            <w:shd w:val="clear" w:color="auto" w:fill="auto"/>
            <w:vAlign w:val="bottom"/>
          </w:tcPr>
          <w:p w14:paraId="7315897A" w14:textId="77777777" w:rsidR="00822961" w:rsidRPr="00737107" w:rsidRDefault="00822961" w:rsidP="00E068A0">
            <w:pPr>
              <w:spacing w:line="240" w:lineRule="auto"/>
              <w:jc w:val="center"/>
              <w:rPr>
                <w:rFonts w:ascii="Palatino Linotype" w:hAnsi="Palatino Linotype" w:cs="Arial"/>
                <w:sz w:val="20"/>
                <w:lang w:eastAsia="en-GB"/>
              </w:rPr>
            </w:pPr>
          </w:p>
        </w:tc>
        <w:tc>
          <w:tcPr>
            <w:tcW w:w="1114" w:type="dxa"/>
            <w:tcBorders>
              <w:top w:val="nil"/>
              <w:left w:val="nil"/>
              <w:bottom w:val="nil"/>
              <w:right w:val="nil"/>
            </w:tcBorders>
            <w:shd w:val="clear" w:color="auto" w:fill="auto"/>
            <w:vAlign w:val="bottom"/>
          </w:tcPr>
          <w:p w14:paraId="1C4806DB" w14:textId="77777777" w:rsidR="00822961" w:rsidRPr="00737107" w:rsidRDefault="00822961" w:rsidP="00E068A0">
            <w:pPr>
              <w:spacing w:line="240" w:lineRule="auto"/>
              <w:jc w:val="center"/>
              <w:rPr>
                <w:rFonts w:ascii="Palatino Linotype" w:hAnsi="Palatino Linotype" w:cs="Arial"/>
                <w:sz w:val="20"/>
                <w:lang w:eastAsia="en-GB"/>
              </w:rPr>
            </w:pPr>
          </w:p>
        </w:tc>
        <w:tc>
          <w:tcPr>
            <w:tcW w:w="1109" w:type="dxa"/>
            <w:tcBorders>
              <w:top w:val="nil"/>
              <w:left w:val="nil"/>
              <w:bottom w:val="nil"/>
              <w:right w:val="nil"/>
            </w:tcBorders>
            <w:shd w:val="clear" w:color="auto" w:fill="auto"/>
            <w:vAlign w:val="bottom"/>
          </w:tcPr>
          <w:p w14:paraId="123BCADD" w14:textId="77777777" w:rsidR="00822961" w:rsidRPr="00737107" w:rsidRDefault="00822961" w:rsidP="00E068A0">
            <w:pPr>
              <w:spacing w:line="240" w:lineRule="auto"/>
              <w:jc w:val="center"/>
              <w:rPr>
                <w:rFonts w:ascii="Palatino Linotype" w:hAnsi="Palatino Linotype" w:cs="Arial"/>
                <w:sz w:val="20"/>
                <w:lang w:eastAsia="en-GB"/>
              </w:rPr>
            </w:pPr>
          </w:p>
        </w:tc>
        <w:tc>
          <w:tcPr>
            <w:tcW w:w="809" w:type="dxa"/>
            <w:tcBorders>
              <w:top w:val="nil"/>
              <w:left w:val="nil"/>
              <w:bottom w:val="nil"/>
              <w:right w:val="nil"/>
            </w:tcBorders>
            <w:shd w:val="clear" w:color="auto" w:fill="auto"/>
            <w:vAlign w:val="bottom"/>
          </w:tcPr>
          <w:p w14:paraId="1AE248D1" w14:textId="77777777" w:rsidR="00822961" w:rsidRPr="00737107" w:rsidRDefault="00822961" w:rsidP="00E068A0">
            <w:pPr>
              <w:spacing w:line="240" w:lineRule="auto"/>
              <w:jc w:val="center"/>
              <w:rPr>
                <w:rFonts w:ascii="Palatino Linotype" w:hAnsi="Palatino Linotype" w:cs="Arial"/>
                <w:sz w:val="20"/>
                <w:lang w:eastAsia="en-GB"/>
              </w:rPr>
            </w:pPr>
          </w:p>
        </w:tc>
      </w:tr>
      <w:tr w:rsidR="00822961" w:rsidRPr="00D80609" w14:paraId="73D26085" w14:textId="77777777" w:rsidTr="00822961">
        <w:trPr>
          <w:jc w:val="center"/>
        </w:trPr>
        <w:tc>
          <w:tcPr>
            <w:tcW w:w="4702" w:type="dxa"/>
            <w:shd w:val="clear" w:color="auto" w:fill="auto"/>
            <w:vAlign w:val="bottom"/>
          </w:tcPr>
          <w:p w14:paraId="6A6D6341" w14:textId="77777777" w:rsidR="00822961" w:rsidRPr="00340008" w:rsidRDefault="00822961" w:rsidP="00E068A0">
            <w:pPr>
              <w:spacing w:line="240" w:lineRule="auto"/>
              <w:rPr>
                <w:rFonts w:ascii="Palatino Linotype" w:hAnsi="Palatino Linotype" w:cs="Arial"/>
                <w:sz w:val="20"/>
                <w:lang w:eastAsia="en-GB"/>
              </w:rPr>
            </w:pPr>
            <w:r w:rsidRPr="00340008">
              <w:rPr>
                <w:rFonts w:ascii="Palatino Linotype" w:hAnsi="Palatino Linotype" w:cs="Arial"/>
                <w:sz w:val="20"/>
                <w:lang w:eastAsia="en-GB"/>
              </w:rPr>
              <w:t>No physical activity</w:t>
            </w:r>
          </w:p>
        </w:tc>
        <w:tc>
          <w:tcPr>
            <w:tcW w:w="1187" w:type="dxa"/>
            <w:tcBorders>
              <w:top w:val="nil"/>
              <w:left w:val="nil"/>
              <w:bottom w:val="nil"/>
              <w:right w:val="nil"/>
            </w:tcBorders>
            <w:shd w:val="clear" w:color="auto" w:fill="auto"/>
            <w:vAlign w:val="bottom"/>
          </w:tcPr>
          <w:p w14:paraId="01859F64"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126 (13.1)</w:t>
            </w:r>
          </w:p>
        </w:tc>
        <w:tc>
          <w:tcPr>
            <w:tcW w:w="1438" w:type="dxa"/>
            <w:tcBorders>
              <w:top w:val="nil"/>
              <w:left w:val="nil"/>
              <w:bottom w:val="nil"/>
              <w:right w:val="nil"/>
            </w:tcBorders>
            <w:shd w:val="clear" w:color="auto" w:fill="auto"/>
            <w:vAlign w:val="bottom"/>
          </w:tcPr>
          <w:p w14:paraId="7E406C95"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123 (18.1)</w:t>
            </w:r>
          </w:p>
        </w:tc>
        <w:tc>
          <w:tcPr>
            <w:tcW w:w="1114" w:type="dxa"/>
            <w:tcBorders>
              <w:top w:val="nil"/>
              <w:left w:val="nil"/>
              <w:bottom w:val="nil"/>
              <w:right w:val="nil"/>
            </w:tcBorders>
            <w:shd w:val="clear" w:color="auto" w:fill="auto"/>
            <w:vAlign w:val="bottom"/>
          </w:tcPr>
          <w:p w14:paraId="0892853F"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120 (26.2)</w:t>
            </w:r>
          </w:p>
        </w:tc>
        <w:tc>
          <w:tcPr>
            <w:tcW w:w="1109" w:type="dxa"/>
            <w:tcBorders>
              <w:top w:val="nil"/>
              <w:left w:val="nil"/>
              <w:bottom w:val="nil"/>
              <w:right w:val="nil"/>
            </w:tcBorders>
            <w:shd w:val="clear" w:color="auto" w:fill="auto"/>
            <w:vAlign w:val="bottom"/>
          </w:tcPr>
          <w:p w14:paraId="780E7D27"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18 (32.7)</w:t>
            </w:r>
          </w:p>
        </w:tc>
        <w:tc>
          <w:tcPr>
            <w:tcW w:w="809" w:type="dxa"/>
            <w:tcBorders>
              <w:top w:val="nil"/>
              <w:left w:val="nil"/>
              <w:bottom w:val="nil"/>
              <w:right w:val="nil"/>
            </w:tcBorders>
            <w:shd w:val="clear" w:color="auto" w:fill="auto"/>
            <w:vAlign w:val="bottom"/>
          </w:tcPr>
          <w:p w14:paraId="5EE43501"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&lt;0.001</w:t>
            </w:r>
          </w:p>
        </w:tc>
      </w:tr>
      <w:tr w:rsidR="00822961" w:rsidRPr="00D80609" w14:paraId="282D566C" w14:textId="77777777" w:rsidTr="00822961">
        <w:trPr>
          <w:jc w:val="center"/>
        </w:trPr>
        <w:tc>
          <w:tcPr>
            <w:tcW w:w="4702" w:type="dxa"/>
            <w:shd w:val="clear" w:color="auto" w:fill="auto"/>
            <w:vAlign w:val="bottom"/>
          </w:tcPr>
          <w:p w14:paraId="68CDC381" w14:textId="77777777" w:rsidR="00822961" w:rsidRPr="00340008" w:rsidRDefault="00822961" w:rsidP="00E068A0">
            <w:pPr>
              <w:spacing w:line="240" w:lineRule="auto"/>
              <w:rPr>
                <w:rFonts w:ascii="Palatino Linotype" w:hAnsi="Palatino Linotype" w:cs="Arial"/>
                <w:sz w:val="20"/>
                <w:lang w:eastAsia="en-GB"/>
              </w:rPr>
            </w:pPr>
            <w:r w:rsidRPr="00340008">
              <w:rPr>
                <w:rFonts w:ascii="Palatino Linotype" w:hAnsi="Palatino Linotype" w:cs="Arial"/>
                <w:sz w:val="20"/>
                <w:lang w:eastAsia="en-GB"/>
              </w:rPr>
              <w:t>Alcohol consumption</w:t>
            </w:r>
          </w:p>
        </w:tc>
        <w:tc>
          <w:tcPr>
            <w:tcW w:w="1187" w:type="dxa"/>
            <w:tcBorders>
              <w:top w:val="nil"/>
              <w:left w:val="nil"/>
              <w:bottom w:val="nil"/>
              <w:right w:val="nil"/>
            </w:tcBorders>
            <w:shd w:val="clear" w:color="auto" w:fill="auto"/>
            <w:vAlign w:val="bottom"/>
          </w:tcPr>
          <w:p w14:paraId="38D20900" w14:textId="77777777" w:rsidR="00822961" w:rsidRPr="00737107" w:rsidRDefault="00822961" w:rsidP="00E068A0">
            <w:pPr>
              <w:spacing w:line="240" w:lineRule="auto"/>
              <w:jc w:val="center"/>
              <w:rPr>
                <w:rFonts w:ascii="Palatino Linotype" w:hAnsi="Palatino Linotype" w:cs="Arial"/>
                <w:sz w:val="20"/>
                <w:lang w:eastAsia="en-GB"/>
              </w:rPr>
            </w:pPr>
          </w:p>
        </w:tc>
        <w:tc>
          <w:tcPr>
            <w:tcW w:w="1438" w:type="dxa"/>
            <w:tcBorders>
              <w:top w:val="nil"/>
              <w:left w:val="nil"/>
              <w:bottom w:val="nil"/>
              <w:right w:val="nil"/>
            </w:tcBorders>
            <w:shd w:val="clear" w:color="auto" w:fill="auto"/>
            <w:vAlign w:val="bottom"/>
          </w:tcPr>
          <w:p w14:paraId="6CB0165F" w14:textId="77777777" w:rsidR="00822961" w:rsidRPr="00737107" w:rsidRDefault="00822961" w:rsidP="00E068A0">
            <w:pPr>
              <w:spacing w:line="240" w:lineRule="auto"/>
              <w:jc w:val="center"/>
              <w:rPr>
                <w:rFonts w:ascii="Palatino Linotype" w:hAnsi="Palatino Linotype" w:cs="Arial"/>
                <w:sz w:val="20"/>
                <w:lang w:eastAsia="en-GB"/>
              </w:rPr>
            </w:pPr>
          </w:p>
        </w:tc>
        <w:tc>
          <w:tcPr>
            <w:tcW w:w="1114" w:type="dxa"/>
            <w:tcBorders>
              <w:top w:val="nil"/>
              <w:left w:val="nil"/>
              <w:bottom w:val="nil"/>
              <w:right w:val="nil"/>
            </w:tcBorders>
            <w:shd w:val="clear" w:color="auto" w:fill="auto"/>
            <w:vAlign w:val="bottom"/>
          </w:tcPr>
          <w:p w14:paraId="3A571E64" w14:textId="77777777" w:rsidR="00822961" w:rsidRPr="00737107" w:rsidRDefault="00822961" w:rsidP="00E068A0">
            <w:pPr>
              <w:spacing w:line="240" w:lineRule="auto"/>
              <w:jc w:val="center"/>
              <w:rPr>
                <w:rFonts w:ascii="Palatino Linotype" w:hAnsi="Palatino Linotype" w:cs="Arial"/>
                <w:sz w:val="20"/>
                <w:lang w:eastAsia="en-GB"/>
              </w:rPr>
            </w:pPr>
          </w:p>
        </w:tc>
        <w:tc>
          <w:tcPr>
            <w:tcW w:w="1109" w:type="dxa"/>
            <w:tcBorders>
              <w:top w:val="nil"/>
              <w:left w:val="nil"/>
              <w:bottom w:val="nil"/>
              <w:right w:val="nil"/>
            </w:tcBorders>
            <w:shd w:val="clear" w:color="auto" w:fill="auto"/>
            <w:vAlign w:val="bottom"/>
          </w:tcPr>
          <w:p w14:paraId="3B35C11D" w14:textId="77777777" w:rsidR="00822961" w:rsidRPr="00737107" w:rsidRDefault="00822961" w:rsidP="00E068A0">
            <w:pPr>
              <w:spacing w:line="240" w:lineRule="auto"/>
              <w:jc w:val="center"/>
              <w:rPr>
                <w:rFonts w:ascii="Palatino Linotype" w:hAnsi="Palatino Linotype" w:cs="Arial"/>
                <w:sz w:val="20"/>
                <w:lang w:eastAsia="en-GB"/>
              </w:rPr>
            </w:pPr>
          </w:p>
        </w:tc>
        <w:tc>
          <w:tcPr>
            <w:tcW w:w="809" w:type="dxa"/>
            <w:tcBorders>
              <w:top w:val="nil"/>
              <w:left w:val="nil"/>
              <w:bottom w:val="nil"/>
              <w:right w:val="nil"/>
            </w:tcBorders>
            <w:shd w:val="clear" w:color="auto" w:fill="auto"/>
            <w:vAlign w:val="bottom"/>
          </w:tcPr>
          <w:p w14:paraId="183E46C3" w14:textId="77777777" w:rsidR="00822961" w:rsidRPr="00737107" w:rsidRDefault="00822961" w:rsidP="00E068A0">
            <w:pPr>
              <w:spacing w:line="240" w:lineRule="auto"/>
              <w:jc w:val="center"/>
              <w:rPr>
                <w:rFonts w:ascii="Palatino Linotype" w:hAnsi="Palatino Linotype" w:cs="Arial"/>
                <w:sz w:val="20"/>
                <w:lang w:eastAsia="en-GB"/>
              </w:rPr>
            </w:pPr>
          </w:p>
        </w:tc>
      </w:tr>
      <w:tr w:rsidR="00822961" w:rsidRPr="00D80609" w14:paraId="10C59CA0" w14:textId="77777777" w:rsidTr="00822961">
        <w:trPr>
          <w:jc w:val="center"/>
        </w:trPr>
        <w:tc>
          <w:tcPr>
            <w:tcW w:w="4702" w:type="dxa"/>
            <w:shd w:val="clear" w:color="auto" w:fill="auto"/>
            <w:vAlign w:val="bottom"/>
          </w:tcPr>
          <w:p w14:paraId="6E592DD2" w14:textId="77777777" w:rsidR="00822961" w:rsidRPr="00340008" w:rsidRDefault="00822961" w:rsidP="00E068A0">
            <w:pPr>
              <w:spacing w:line="240" w:lineRule="auto"/>
              <w:ind w:firstLineChars="200" w:firstLine="400"/>
              <w:rPr>
                <w:rFonts w:ascii="Palatino Linotype" w:hAnsi="Palatino Linotype" w:cs="Arial"/>
                <w:sz w:val="20"/>
                <w:lang w:eastAsia="en-GB"/>
              </w:rPr>
            </w:pPr>
            <w:r w:rsidRPr="00340008">
              <w:rPr>
                <w:rFonts w:ascii="Palatino Linotype" w:hAnsi="Palatino Linotype" w:cs="Arial"/>
                <w:sz w:val="20"/>
                <w:lang w:eastAsia="en-GB"/>
              </w:rPr>
              <w:t>Low/no drinker (≤1unit /</w:t>
            </w:r>
            <w:proofErr w:type="spellStart"/>
            <w:r w:rsidRPr="00340008">
              <w:rPr>
                <w:rFonts w:ascii="Palatino Linotype" w:hAnsi="Palatino Linotype" w:cs="Arial"/>
                <w:sz w:val="20"/>
                <w:lang w:eastAsia="en-GB"/>
              </w:rPr>
              <w:t>wk</w:t>
            </w:r>
            <w:proofErr w:type="spellEnd"/>
            <w:r w:rsidRPr="00340008">
              <w:rPr>
                <w:rFonts w:ascii="Palatino Linotype" w:hAnsi="Palatino Linotype" w:cs="Arial"/>
                <w:sz w:val="20"/>
                <w:lang w:eastAsia="en-GB"/>
              </w:rPr>
              <w:t>)</w:t>
            </w:r>
          </w:p>
        </w:tc>
        <w:tc>
          <w:tcPr>
            <w:tcW w:w="1187" w:type="dxa"/>
            <w:tcBorders>
              <w:top w:val="nil"/>
              <w:left w:val="nil"/>
              <w:bottom w:val="nil"/>
              <w:right w:val="nil"/>
            </w:tcBorders>
            <w:shd w:val="clear" w:color="auto" w:fill="auto"/>
            <w:vAlign w:val="bottom"/>
          </w:tcPr>
          <w:p w14:paraId="6E3FC128"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220 (22.3)</w:t>
            </w:r>
          </w:p>
        </w:tc>
        <w:tc>
          <w:tcPr>
            <w:tcW w:w="1438" w:type="dxa"/>
            <w:tcBorders>
              <w:top w:val="nil"/>
              <w:left w:val="nil"/>
              <w:bottom w:val="nil"/>
              <w:right w:val="nil"/>
            </w:tcBorders>
            <w:shd w:val="clear" w:color="auto" w:fill="auto"/>
            <w:vAlign w:val="bottom"/>
          </w:tcPr>
          <w:p w14:paraId="1EE1FCB7"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192 (27.4)</w:t>
            </w:r>
          </w:p>
        </w:tc>
        <w:tc>
          <w:tcPr>
            <w:tcW w:w="1114" w:type="dxa"/>
            <w:tcBorders>
              <w:top w:val="nil"/>
              <w:left w:val="nil"/>
              <w:bottom w:val="nil"/>
              <w:right w:val="nil"/>
            </w:tcBorders>
            <w:shd w:val="clear" w:color="auto" w:fill="auto"/>
            <w:vAlign w:val="bottom"/>
          </w:tcPr>
          <w:p w14:paraId="5EA8C295"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181 (39.8)</w:t>
            </w:r>
          </w:p>
        </w:tc>
        <w:tc>
          <w:tcPr>
            <w:tcW w:w="1109" w:type="dxa"/>
            <w:tcBorders>
              <w:top w:val="nil"/>
              <w:left w:val="nil"/>
              <w:bottom w:val="nil"/>
              <w:right w:val="nil"/>
            </w:tcBorders>
            <w:shd w:val="clear" w:color="auto" w:fill="auto"/>
            <w:vAlign w:val="bottom"/>
          </w:tcPr>
          <w:p w14:paraId="0B3DC09F"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25 (52.1)</w:t>
            </w:r>
          </w:p>
        </w:tc>
        <w:tc>
          <w:tcPr>
            <w:tcW w:w="809" w:type="dxa"/>
            <w:tcBorders>
              <w:top w:val="nil"/>
              <w:left w:val="nil"/>
              <w:bottom w:val="nil"/>
              <w:right w:val="nil"/>
            </w:tcBorders>
            <w:shd w:val="clear" w:color="auto" w:fill="auto"/>
            <w:vAlign w:val="bottom"/>
          </w:tcPr>
          <w:p w14:paraId="5B135C37"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&lt;0.001</w:t>
            </w:r>
          </w:p>
        </w:tc>
      </w:tr>
      <w:tr w:rsidR="00822961" w:rsidRPr="00D80609" w14:paraId="46194120" w14:textId="77777777" w:rsidTr="00822961">
        <w:trPr>
          <w:jc w:val="center"/>
        </w:trPr>
        <w:tc>
          <w:tcPr>
            <w:tcW w:w="4702" w:type="dxa"/>
            <w:shd w:val="clear" w:color="auto" w:fill="auto"/>
            <w:vAlign w:val="bottom"/>
          </w:tcPr>
          <w:p w14:paraId="08165628" w14:textId="77777777" w:rsidR="00822961" w:rsidRPr="00340008" w:rsidRDefault="00822961" w:rsidP="00E068A0">
            <w:pPr>
              <w:spacing w:line="240" w:lineRule="auto"/>
              <w:ind w:firstLineChars="200" w:firstLine="400"/>
              <w:rPr>
                <w:rFonts w:ascii="Palatino Linotype" w:hAnsi="Palatino Linotype" w:cs="Arial"/>
                <w:sz w:val="20"/>
                <w:lang w:eastAsia="en-GB"/>
              </w:rPr>
            </w:pPr>
            <w:r w:rsidRPr="00340008">
              <w:rPr>
                <w:rFonts w:ascii="Palatino Linotype" w:hAnsi="Palatino Linotype" w:cs="Arial"/>
                <w:sz w:val="20"/>
                <w:lang w:eastAsia="en-GB"/>
              </w:rPr>
              <w:t>Moderate (2-14 units/</w:t>
            </w:r>
            <w:proofErr w:type="spellStart"/>
            <w:r w:rsidRPr="00340008">
              <w:rPr>
                <w:rFonts w:ascii="Palatino Linotype" w:hAnsi="Palatino Linotype" w:cs="Arial"/>
                <w:sz w:val="20"/>
                <w:lang w:eastAsia="en-GB"/>
              </w:rPr>
              <w:t>wk</w:t>
            </w:r>
            <w:proofErr w:type="spellEnd"/>
            <w:r w:rsidRPr="00340008">
              <w:rPr>
                <w:rFonts w:ascii="Palatino Linotype" w:hAnsi="Palatino Linotype" w:cs="Arial"/>
                <w:sz w:val="20"/>
                <w:lang w:eastAsia="en-GB"/>
              </w:rPr>
              <w:t>)</w:t>
            </w:r>
          </w:p>
        </w:tc>
        <w:tc>
          <w:tcPr>
            <w:tcW w:w="1187" w:type="dxa"/>
            <w:tcBorders>
              <w:top w:val="nil"/>
              <w:left w:val="nil"/>
              <w:bottom w:val="nil"/>
              <w:right w:val="nil"/>
            </w:tcBorders>
            <w:shd w:val="clear" w:color="auto" w:fill="auto"/>
            <w:vAlign w:val="bottom"/>
          </w:tcPr>
          <w:p w14:paraId="5BF40091"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678 (68.7)</w:t>
            </w:r>
          </w:p>
        </w:tc>
        <w:tc>
          <w:tcPr>
            <w:tcW w:w="1438" w:type="dxa"/>
            <w:tcBorders>
              <w:top w:val="nil"/>
              <w:left w:val="nil"/>
              <w:bottom w:val="nil"/>
              <w:right w:val="nil"/>
            </w:tcBorders>
            <w:shd w:val="clear" w:color="auto" w:fill="auto"/>
            <w:vAlign w:val="bottom"/>
          </w:tcPr>
          <w:p w14:paraId="3AC691D1"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460 (65.6)</w:t>
            </w:r>
          </w:p>
        </w:tc>
        <w:tc>
          <w:tcPr>
            <w:tcW w:w="1114" w:type="dxa"/>
            <w:tcBorders>
              <w:top w:val="nil"/>
              <w:left w:val="nil"/>
              <w:bottom w:val="nil"/>
              <w:right w:val="nil"/>
            </w:tcBorders>
            <w:shd w:val="clear" w:color="auto" w:fill="auto"/>
            <w:vAlign w:val="bottom"/>
          </w:tcPr>
          <w:p w14:paraId="6ED4E247"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245 (53.9)</w:t>
            </w:r>
          </w:p>
        </w:tc>
        <w:tc>
          <w:tcPr>
            <w:tcW w:w="1109" w:type="dxa"/>
            <w:tcBorders>
              <w:top w:val="nil"/>
              <w:left w:val="nil"/>
              <w:bottom w:val="nil"/>
              <w:right w:val="nil"/>
            </w:tcBorders>
            <w:shd w:val="clear" w:color="auto" w:fill="auto"/>
            <w:vAlign w:val="bottom"/>
          </w:tcPr>
          <w:p w14:paraId="77F9B873"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20 (41.7)</w:t>
            </w:r>
          </w:p>
        </w:tc>
        <w:tc>
          <w:tcPr>
            <w:tcW w:w="809" w:type="dxa"/>
            <w:tcBorders>
              <w:top w:val="nil"/>
              <w:left w:val="nil"/>
              <w:bottom w:val="nil"/>
              <w:right w:val="nil"/>
            </w:tcBorders>
            <w:shd w:val="clear" w:color="auto" w:fill="auto"/>
            <w:vAlign w:val="bottom"/>
          </w:tcPr>
          <w:p w14:paraId="4225FAF4" w14:textId="77777777" w:rsidR="00822961" w:rsidRPr="00737107" w:rsidRDefault="00822961" w:rsidP="00E068A0">
            <w:pPr>
              <w:spacing w:line="240" w:lineRule="auto"/>
              <w:jc w:val="center"/>
              <w:rPr>
                <w:rFonts w:ascii="Palatino Linotype" w:hAnsi="Palatino Linotype" w:cs="Arial"/>
                <w:sz w:val="20"/>
                <w:lang w:eastAsia="en-GB"/>
              </w:rPr>
            </w:pPr>
          </w:p>
        </w:tc>
      </w:tr>
      <w:tr w:rsidR="00822961" w:rsidRPr="00D80609" w14:paraId="01F7F9BB" w14:textId="77777777" w:rsidTr="00822961">
        <w:trPr>
          <w:jc w:val="center"/>
        </w:trPr>
        <w:tc>
          <w:tcPr>
            <w:tcW w:w="4702" w:type="dxa"/>
            <w:shd w:val="clear" w:color="auto" w:fill="auto"/>
            <w:vAlign w:val="bottom"/>
          </w:tcPr>
          <w:p w14:paraId="51E44456" w14:textId="77777777" w:rsidR="00822961" w:rsidRPr="00340008" w:rsidRDefault="00822961" w:rsidP="00E068A0">
            <w:pPr>
              <w:spacing w:line="240" w:lineRule="auto"/>
              <w:ind w:firstLineChars="200" w:firstLine="400"/>
              <w:rPr>
                <w:rFonts w:ascii="Palatino Linotype" w:hAnsi="Palatino Linotype" w:cs="Arial"/>
                <w:sz w:val="20"/>
                <w:lang w:eastAsia="en-GB"/>
              </w:rPr>
            </w:pPr>
            <w:r w:rsidRPr="00340008">
              <w:rPr>
                <w:rFonts w:ascii="Palatino Linotype" w:hAnsi="Palatino Linotype" w:cs="Arial"/>
                <w:sz w:val="20"/>
                <w:lang w:eastAsia="en-GB"/>
              </w:rPr>
              <w:t>Heavy (15+ units/</w:t>
            </w:r>
            <w:proofErr w:type="spellStart"/>
            <w:r w:rsidRPr="00340008">
              <w:rPr>
                <w:rFonts w:ascii="Palatino Linotype" w:hAnsi="Palatino Linotype" w:cs="Arial"/>
                <w:sz w:val="20"/>
                <w:lang w:eastAsia="en-GB"/>
              </w:rPr>
              <w:t>wk</w:t>
            </w:r>
            <w:proofErr w:type="spellEnd"/>
            <w:r w:rsidRPr="00340008">
              <w:rPr>
                <w:rFonts w:ascii="Palatino Linotype" w:hAnsi="Palatino Linotype" w:cs="Arial"/>
                <w:sz w:val="20"/>
                <w:lang w:eastAsia="en-GB"/>
              </w:rPr>
              <w:t>)</w:t>
            </w:r>
          </w:p>
        </w:tc>
        <w:tc>
          <w:tcPr>
            <w:tcW w:w="1187" w:type="dxa"/>
            <w:tcBorders>
              <w:top w:val="nil"/>
              <w:left w:val="nil"/>
              <w:bottom w:val="nil"/>
              <w:right w:val="nil"/>
            </w:tcBorders>
            <w:shd w:val="clear" w:color="auto" w:fill="auto"/>
            <w:vAlign w:val="bottom"/>
          </w:tcPr>
          <w:p w14:paraId="3D1E7DAB"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89 (9.0)</w:t>
            </w:r>
          </w:p>
        </w:tc>
        <w:tc>
          <w:tcPr>
            <w:tcW w:w="1438" w:type="dxa"/>
            <w:tcBorders>
              <w:top w:val="nil"/>
              <w:left w:val="nil"/>
              <w:bottom w:val="nil"/>
              <w:right w:val="nil"/>
            </w:tcBorders>
            <w:shd w:val="clear" w:color="auto" w:fill="auto"/>
            <w:vAlign w:val="bottom"/>
          </w:tcPr>
          <w:p w14:paraId="55C7EE93"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49 (7.0)</w:t>
            </w:r>
          </w:p>
        </w:tc>
        <w:tc>
          <w:tcPr>
            <w:tcW w:w="1114" w:type="dxa"/>
            <w:tcBorders>
              <w:top w:val="nil"/>
              <w:left w:val="nil"/>
              <w:bottom w:val="nil"/>
              <w:right w:val="nil"/>
            </w:tcBorders>
            <w:shd w:val="clear" w:color="auto" w:fill="auto"/>
            <w:vAlign w:val="bottom"/>
          </w:tcPr>
          <w:p w14:paraId="721854FE"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29 (6.4)</w:t>
            </w:r>
          </w:p>
        </w:tc>
        <w:tc>
          <w:tcPr>
            <w:tcW w:w="1109" w:type="dxa"/>
            <w:tcBorders>
              <w:top w:val="nil"/>
              <w:left w:val="nil"/>
              <w:bottom w:val="nil"/>
              <w:right w:val="nil"/>
            </w:tcBorders>
            <w:shd w:val="clear" w:color="auto" w:fill="auto"/>
            <w:vAlign w:val="bottom"/>
          </w:tcPr>
          <w:p w14:paraId="2A817B14"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3 (6.3)</w:t>
            </w:r>
          </w:p>
        </w:tc>
        <w:tc>
          <w:tcPr>
            <w:tcW w:w="809" w:type="dxa"/>
            <w:tcBorders>
              <w:top w:val="nil"/>
              <w:left w:val="nil"/>
              <w:bottom w:val="nil"/>
              <w:right w:val="nil"/>
            </w:tcBorders>
            <w:shd w:val="clear" w:color="auto" w:fill="auto"/>
            <w:vAlign w:val="bottom"/>
          </w:tcPr>
          <w:p w14:paraId="445B69D5" w14:textId="77777777" w:rsidR="00822961" w:rsidRPr="00737107" w:rsidRDefault="00822961" w:rsidP="00E068A0">
            <w:pPr>
              <w:spacing w:line="240" w:lineRule="auto"/>
              <w:jc w:val="center"/>
              <w:rPr>
                <w:rFonts w:ascii="Palatino Linotype" w:hAnsi="Palatino Linotype" w:cs="Arial"/>
                <w:sz w:val="20"/>
                <w:lang w:eastAsia="en-GB"/>
              </w:rPr>
            </w:pPr>
          </w:p>
        </w:tc>
      </w:tr>
      <w:tr w:rsidR="00822961" w:rsidRPr="00D80609" w14:paraId="3D1CC570" w14:textId="77777777" w:rsidTr="00822961">
        <w:trPr>
          <w:jc w:val="center"/>
        </w:trPr>
        <w:tc>
          <w:tcPr>
            <w:tcW w:w="4702" w:type="dxa"/>
            <w:shd w:val="clear" w:color="auto" w:fill="auto"/>
            <w:vAlign w:val="bottom"/>
          </w:tcPr>
          <w:p w14:paraId="21343D3F" w14:textId="77777777" w:rsidR="00822961" w:rsidRPr="00340008" w:rsidRDefault="00822961" w:rsidP="00E068A0">
            <w:pPr>
              <w:spacing w:line="240" w:lineRule="auto"/>
              <w:rPr>
                <w:rFonts w:ascii="Palatino Linotype" w:hAnsi="Palatino Linotype" w:cs="Arial"/>
                <w:sz w:val="20"/>
                <w:lang w:eastAsia="en-GB"/>
              </w:rPr>
            </w:pPr>
            <w:r w:rsidRPr="00340008">
              <w:rPr>
                <w:rFonts w:ascii="Palatino Linotype" w:hAnsi="Palatino Linotype" w:cs="Arial"/>
                <w:sz w:val="20"/>
                <w:lang w:eastAsia="en-GB"/>
              </w:rPr>
              <w:t>Ex/current smoker</w:t>
            </w:r>
          </w:p>
        </w:tc>
        <w:tc>
          <w:tcPr>
            <w:tcW w:w="1187" w:type="dxa"/>
            <w:tcBorders>
              <w:top w:val="nil"/>
              <w:left w:val="nil"/>
              <w:bottom w:val="nil"/>
              <w:right w:val="nil"/>
            </w:tcBorders>
            <w:shd w:val="clear" w:color="auto" w:fill="auto"/>
            <w:vAlign w:val="bottom"/>
          </w:tcPr>
          <w:p w14:paraId="6C1E6A36"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412 (39.2)</w:t>
            </w:r>
          </w:p>
        </w:tc>
        <w:tc>
          <w:tcPr>
            <w:tcW w:w="1438" w:type="dxa"/>
            <w:tcBorders>
              <w:top w:val="nil"/>
              <w:left w:val="nil"/>
              <w:bottom w:val="nil"/>
              <w:right w:val="nil"/>
            </w:tcBorders>
            <w:shd w:val="clear" w:color="auto" w:fill="auto"/>
            <w:vAlign w:val="bottom"/>
          </w:tcPr>
          <w:p w14:paraId="65DD7FAB"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352 (45.0)</w:t>
            </w:r>
          </w:p>
        </w:tc>
        <w:tc>
          <w:tcPr>
            <w:tcW w:w="1114" w:type="dxa"/>
            <w:tcBorders>
              <w:top w:val="nil"/>
              <w:left w:val="nil"/>
              <w:bottom w:val="nil"/>
              <w:right w:val="nil"/>
            </w:tcBorders>
            <w:shd w:val="clear" w:color="auto" w:fill="auto"/>
            <w:vAlign w:val="bottom"/>
          </w:tcPr>
          <w:p w14:paraId="7D77AC18"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236 (45.5)</w:t>
            </w:r>
          </w:p>
        </w:tc>
        <w:tc>
          <w:tcPr>
            <w:tcW w:w="1109" w:type="dxa"/>
            <w:tcBorders>
              <w:top w:val="nil"/>
              <w:left w:val="nil"/>
              <w:bottom w:val="nil"/>
              <w:right w:val="nil"/>
            </w:tcBorders>
            <w:shd w:val="clear" w:color="auto" w:fill="auto"/>
            <w:vAlign w:val="bottom"/>
          </w:tcPr>
          <w:p w14:paraId="731200EA"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24 (38.1)</w:t>
            </w:r>
          </w:p>
        </w:tc>
        <w:tc>
          <w:tcPr>
            <w:tcW w:w="809" w:type="dxa"/>
            <w:tcBorders>
              <w:top w:val="nil"/>
              <w:left w:val="nil"/>
              <w:bottom w:val="nil"/>
              <w:right w:val="nil"/>
            </w:tcBorders>
            <w:shd w:val="clear" w:color="auto" w:fill="auto"/>
            <w:vAlign w:val="bottom"/>
          </w:tcPr>
          <w:p w14:paraId="14B9F5F0"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0.03</w:t>
            </w:r>
          </w:p>
        </w:tc>
      </w:tr>
      <w:tr w:rsidR="00822961" w:rsidRPr="00D80609" w14:paraId="225415E7" w14:textId="77777777" w:rsidTr="00822961">
        <w:trPr>
          <w:jc w:val="center"/>
        </w:trPr>
        <w:tc>
          <w:tcPr>
            <w:tcW w:w="4702" w:type="dxa"/>
            <w:shd w:val="clear" w:color="auto" w:fill="auto"/>
            <w:vAlign w:val="bottom"/>
          </w:tcPr>
          <w:p w14:paraId="13CF3DF2" w14:textId="77777777" w:rsidR="00822961" w:rsidRPr="00340008" w:rsidRDefault="00822961" w:rsidP="00E068A0">
            <w:pPr>
              <w:spacing w:line="240" w:lineRule="auto"/>
              <w:rPr>
                <w:rFonts w:ascii="Palatino Linotype" w:hAnsi="Palatino Linotype" w:cs="Arial"/>
                <w:i/>
                <w:sz w:val="20"/>
                <w:lang w:eastAsia="en-GB"/>
              </w:rPr>
            </w:pPr>
            <w:r w:rsidRPr="00340008">
              <w:rPr>
                <w:rFonts w:ascii="Palatino Linotype" w:hAnsi="Palatino Linotype" w:cs="Arial"/>
                <w:i/>
                <w:sz w:val="20"/>
                <w:lang w:eastAsia="en-GB"/>
              </w:rPr>
              <w:t>Health from CPRD</w:t>
            </w:r>
          </w:p>
        </w:tc>
        <w:tc>
          <w:tcPr>
            <w:tcW w:w="1187" w:type="dxa"/>
            <w:tcBorders>
              <w:top w:val="nil"/>
              <w:left w:val="nil"/>
              <w:bottom w:val="nil"/>
              <w:right w:val="nil"/>
            </w:tcBorders>
            <w:shd w:val="clear" w:color="auto" w:fill="auto"/>
            <w:vAlign w:val="bottom"/>
          </w:tcPr>
          <w:p w14:paraId="108821BE" w14:textId="77777777" w:rsidR="00822961" w:rsidRPr="00737107" w:rsidRDefault="00822961" w:rsidP="00E068A0">
            <w:pPr>
              <w:spacing w:line="240" w:lineRule="auto"/>
              <w:jc w:val="center"/>
              <w:rPr>
                <w:rFonts w:ascii="Palatino Linotype" w:hAnsi="Palatino Linotype" w:cs="Arial"/>
                <w:sz w:val="20"/>
                <w:lang w:eastAsia="en-GB"/>
              </w:rPr>
            </w:pPr>
          </w:p>
        </w:tc>
        <w:tc>
          <w:tcPr>
            <w:tcW w:w="1438" w:type="dxa"/>
            <w:tcBorders>
              <w:top w:val="nil"/>
              <w:left w:val="nil"/>
              <w:bottom w:val="nil"/>
              <w:right w:val="nil"/>
            </w:tcBorders>
            <w:shd w:val="clear" w:color="auto" w:fill="auto"/>
            <w:vAlign w:val="bottom"/>
          </w:tcPr>
          <w:p w14:paraId="51832BAC" w14:textId="77777777" w:rsidR="00822961" w:rsidRPr="00737107" w:rsidRDefault="00822961" w:rsidP="00E068A0">
            <w:pPr>
              <w:spacing w:line="240" w:lineRule="auto"/>
              <w:jc w:val="center"/>
              <w:rPr>
                <w:rFonts w:ascii="Palatino Linotype" w:hAnsi="Palatino Linotype" w:cs="Arial"/>
                <w:sz w:val="20"/>
                <w:lang w:eastAsia="en-GB"/>
              </w:rPr>
            </w:pPr>
          </w:p>
        </w:tc>
        <w:tc>
          <w:tcPr>
            <w:tcW w:w="1114" w:type="dxa"/>
            <w:tcBorders>
              <w:top w:val="nil"/>
              <w:left w:val="nil"/>
              <w:bottom w:val="nil"/>
              <w:right w:val="nil"/>
            </w:tcBorders>
            <w:shd w:val="clear" w:color="auto" w:fill="auto"/>
            <w:vAlign w:val="bottom"/>
          </w:tcPr>
          <w:p w14:paraId="302F416C" w14:textId="77777777" w:rsidR="00822961" w:rsidRPr="00737107" w:rsidRDefault="00822961" w:rsidP="00E068A0">
            <w:pPr>
              <w:spacing w:line="240" w:lineRule="auto"/>
              <w:jc w:val="center"/>
              <w:rPr>
                <w:rFonts w:ascii="Palatino Linotype" w:hAnsi="Palatino Linotype" w:cs="Arial"/>
                <w:sz w:val="20"/>
                <w:lang w:eastAsia="en-GB"/>
              </w:rPr>
            </w:pPr>
          </w:p>
        </w:tc>
        <w:tc>
          <w:tcPr>
            <w:tcW w:w="1109" w:type="dxa"/>
            <w:tcBorders>
              <w:top w:val="nil"/>
              <w:left w:val="nil"/>
              <w:bottom w:val="nil"/>
              <w:right w:val="nil"/>
            </w:tcBorders>
            <w:shd w:val="clear" w:color="auto" w:fill="auto"/>
            <w:vAlign w:val="bottom"/>
          </w:tcPr>
          <w:p w14:paraId="1FEDA135" w14:textId="77777777" w:rsidR="00822961" w:rsidRPr="00737107" w:rsidRDefault="00822961" w:rsidP="00E068A0">
            <w:pPr>
              <w:spacing w:line="240" w:lineRule="auto"/>
              <w:jc w:val="center"/>
              <w:rPr>
                <w:rFonts w:ascii="Palatino Linotype" w:hAnsi="Palatino Linotype" w:cs="Arial"/>
                <w:sz w:val="20"/>
                <w:lang w:eastAsia="en-GB"/>
              </w:rPr>
            </w:pPr>
          </w:p>
        </w:tc>
        <w:tc>
          <w:tcPr>
            <w:tcW w:w="809" w:type="dxa"/>
            <w:tcBorders>
              <w:top w:val="nil"/>
              <w:left w:val="nil"/>
              <w:bottom w:val="nil"/>
              <w:right w:val="nil"/>
            </w:tcBorders>
            <w:shd w:val="clear" w:color="auto" w:fill="auto"/>
            <w:vAlign w:val="bottom"/>
          </w:tcPr>
          <w:p w14:paraId="7A4E20FA" w14:textId="77777777" w:rsidR="00822961" w:rsidRPr="00737107" w:rsidRDefault="00822961" w:rsidP="00E068A0">
            <w:pPr>
              <w:spacing w:line="240" w:lineRule="auto"/>
              <w:jc w:val="center"/>
              <w:rPr>
                <w:rFonts w:ascii="Palatino Linotype" w:hAnsi="Palatino Linotype" w:cs="Arial"/>
                <w:sz w:val="20"/>
                <w:lang w:eastAsia="en-GB"/>
              </w:rPr>
            </w:pPr>
          </w:p>
        </w:tc>
      </w:tr>
      <w:tr w:rsidR="00822961" w:rsidRPr="00D80609" w14:paraId="3105C90D" w14:textId="77777777" w:rsidTr="00822961">
        <w:trPr>
          <w:jc w:val="center"/>
        </w:trPr>
        <w:tc>
          <w:tcPr>
            <w:tcW w:w="4702" w:type="dxa"/>
            <w:shd w:val="clear" w:color="auto" w:fill="auto"/>
            <w:vAlign w:val="bottom"/>
          </w:tcPr>
          <w:p w14:paraId="0ED8F4CB" w14:textId="77777777" w:rsidR="00822961" w:rsidRPr="00340008" w:rsidRDefault="00822961" w:rsidP="00E068A0">
            <w:pPr>
              <w:spacing w:line="240" w:lineRule="auto"/>
              <w:rPr>
                <w:rFonts w:ascii="Palatino Linotype" w:hAnsi="Palatino Linotype" w:cs="Arial"/>
                <w:sz w:val="20"/>
                <w:lang w:eastAsia="en-GB"/>
              </w:rPr>
            </w:pPr>
            <w:r w:rsidRPr="00340008">
              <w:rPr>
                <w:rFonts w:ascii="Palatino Linotype" w:hAnsi="Palatino Linotype" w:cs="Arial"/>
                <w:sz w:val="20"/>
                <w:lang w:eastAsia="en-GB"/>
              </w:rPr>
              <w:t>Diabetes</w:t>
            </w:r>
          </w:p>
        </w:tc>
        <w:tc>
          <w:tcPr>
            <w:tcW w:w="1187" w:type="dxa"/>
            <w:tcBorders>
              <w:top w:val="nil"/>
              <w:left w:val="nil"/>
              <w:bottom w:val="nil"/>
              <w:right w:val="nil"/>
            </w:tcBorders>
            <w:shd w:val="clear" w:color="auto" w:fill="auto"/>
            <w:vAlign w:val="bottom"/>
          </w:tcPr>
          <w:p w14:paraId="3433DA3A"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25 (2.4)</w:t>
            </w:r>
          </w:p>
        </w:tc>
        <w:tc>
          <w:tcPr>
            <w:tcW w:w="1438" w:type="dxa"/>
            <w:tcBorders>
              <w:top w:val="nil"/>
              <w:left w:val="nil"/>
              <w:bottom w:val="nil"/>
              <w:right w:val="nil"/>
            </w:tcBorders>
            <w:shd w:val="clear" w:color="auto" w:fill="auto"/>
            <w:vAlign w:val="bottom"/>
          </w:tcPr>
          <w:p w14:paraId="4447ABAD"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44 (5.6)</w:t>
            </w:r>
          </w:p>
        </w:tc>
        <w:tc>
          <w:tcPr>
            <w:tcW w:w="1114" w:type="dxa"/>
            <w:tcBorders>
              <w:top w:val="nil"/>
              <w:left w:val="nil"/>
              <w:bottom w:val="nil"/>
              <w:right w:val="nil"/>
            </w:tcBorders>
            <w:shd w:val="clear" w:color="auto" w:fill="auto"/>
            <w:vAlign w:val="bottom"/>
          </w:tcPr>
          <w:p w14:paraId="0C91E611"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65 (12.5)</w:t>
            </w:r>
          </w:p>
        </w:tc>
        <w:tc>
          <w:tcPr>
            <w:tcW w:w="1109" w:type="dxa"/>
            <w:tcBorders>
              <w:top w:val="nil"/>
              <w:left w:val="nil"/>
              <w:bottom w:val="nil"/>
              <w:right w:val="nil"/>
            </w:tcBorders>
            <w:shd w:val="clear" w:color="auto" w:fill="auto"/>
            <w:vAlign w:val="bottom"/>
          </w:tcPr>
          <w:p w14:paraId="5433C1F6"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13 (20.6)</w:t>
            </w:r>
          </w:p>
        </w:tc>
        <w:tc>
          <w:tcPr>
            <w:tcW w:w="809" w:type="dxa"/>
            <w:tcBorders>
              <w:top w:val="nil"/>
              <w:left w:val="nil"/>
              <w:bottom w:val="nil"/>
              <w:right w:val="nil"/>
            </w:tcBorders>
            <w:shd w:val="clear" w:color="auto" w:fill="auto"/>
            <w:vAlign w:val="bottom"/>
          </w:tcPr>
          <w:p w14:paraId="60A4E583"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&lt;0.001</w:t>
            </w:r>
          </w:p>
        </w:tc>
      </w:tr>
      <w:tr w:rsidR="00822961" w:rsidRPr="00D80609" w14:paraId="6447B6F2" w14:textId="77777777" w:rsidTr="00822961">
        <w:trPr>
          <w:jc w:val="center"/>
        </w:trPr>
        <w:tc>
          <w:tcPr>
            <w:tcW w:w="4702" w:type="dxa"/>
            <w:shd w:val="clear" w:color="auto" w:fill="auto"/>
            <w:vAlign w:val="bottom"/>
          </w:tcPr>
          <w:p w14:paraId="45FED83B" w14:textId="77777777" w:rsidR="00822961" w:rsidRPr="00340008" w:rsidRDefault="00822961" w:rsidP="00E068A0">
            <w:pPr>
              <w:spacing w:line="240" w:lineRule="auto"/>
              <w:rPr>
                <w:rFonts w:ascii="Palatino Linotype" w:hAnsi="Palatino Linotype" w:cs="Arial"/>
                <w:sz w:val="20"/>
                <w:lang w:eastAsia="en-GB"/>
              </w:rPr>
            </w:pPr>
            <w:r w:rsidRPr="00340008">
              <w:rPr>
                <w:rFonts w:ascii="Palatino Linotype" w:hAnsi="Palatino Linotype" w:cs="Arial"/>
                <w:sz w:val="20"/>
                <w:lang w:eastAsia="en-GB"/>
              </w:rPr>
              <w:t>Musculoskeletal diagnoses</w:t>
            </w:r>
          </w:p>
        </w:tc>
        <w:tc>
          <w:tcPr>
            <w:tcW w:w="1187" w:type="dxa"/>
            <w:tcBorders>
              <w:top w:val="nil"/>
              <w:left w:val="nil"/>
              <w:bottom w:val="nil"/>
              <w:right w:val="nil"/>
            </w:tcBorders>
            <w:shd w:val="clear" w:color="auto" w:fill="auto"/>
            <w:vAlign w:val="bottom"/>
          </w:tcPr>
          <w:p w14:paraId="5CBA2779"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226 (21.4)</w:t>
            </w:r>
          </w:p>
        </w:tc>
        <w:tc>
          <w:tcPr>
            <w:tcW w:w="1438" w:type="dxa"/>
            <w:tcBorders>
              <w:top w:val="nil"/>
              <w:left w:val="nil"/>
              <w:bottom w:val="nil"/>
              <w:right w:val="nil"/>
            </w:tcBorders>
            <w:shd w:val="clear" w:color="auto" w:fill="auto"/>
            <w:vAlign w:val="bottom"/>
          </w:tcPr>
          <w:p w14:paraId="6C893734"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232 (29.5)</w:t>
            </w:r>
          </w:p>
        </w:tc>
        <w:tc>
          <w:tcPr>
            <w:tcW w:w="1114" w:type="dxa"/>
            <w:tcBorders>
              <w:top w:val="nil"/>
              <w:left w:val="nil"/>
              <w:bottom w:val="nil"/>
              <w:right w:val="nil"/>
            </w:tcBorders>
            <w:shd w:val="clear" w:color="auto" w:fill="auto"/>
            <w:vAlign w:val="bottom"/>
          </w:tcPr>
          <w:p w14:paraId="6717B575"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165 (31.7)</w:t>
            </w:r>
          </w:p>
        </w:tc>
        <w:tc>
          <w:tcPr>
            <w:tcW w:w="1109" w:type="dxa"/>
            <w:tcBorders>
              <w:top w:val="nil"/>
              <w:left w:val="nil"/>
              <w:bottom w:val="nil"/>
              <w:right w:val="nil"/>
            </w:tcBorders>
            <w:shd w:val="clear" w:color="auto" w:fill="auto"/>
            <w:vAlign w:val="bottom"/>
          </w:tcPr>
          <w:p w14:paraId="1399352E"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26 (41.3)</w:t>
            </w:r>
          </w:p>
        </w:tc>
        <w:tc>
          <w:tcPr>
            <w:tcW w:w="809" w:type="dxa"/>
            <w:tcBorders>
              <w:top w:val="nil"/>
              <w:left w:val="nil"/>
              <w:bottom w:val="nil"/>
              <w:right w:val="nil"/>
            </w:tcBorders>
            <w:shd w:val="clear" w:color="auto" w:fill="auto"/>
            <w:vAlign w:val="bottom"/>
          </w:tcPr>
          <w:p w14:paraId="7799D9DC"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&lt;0.001</w:t>
            </w:r>
          </w:p>
        </w:tc>
      </w:tr>
      <w:tr w:rsidR="00822961" w:rsidRPr="00D80609" w14:paraId="1D188FD2" w14:textId="77777777" w:rsidTr="00822961">
        <w:trPr>
          <w:jc w:val="center"/>
        </w:trPr>
        <w:tc>
          <w:tcPr>
            <w:tcW w:w="4702" w:type="dxa"/>
            <w:shd w:val="clear" w:color="auto" w:fill="auto"/>
            <w:vAlign w:val="bottom"/>
          </w:tcPr>
          <w:p w14:paraId="2E423CA7" w14:textId="77777777" w:rsidR="00822961" w:rsidRPr="00340008" w:rsidRDefault="00822961" w:rsidP="00E068A0">
            <w:pPr>
              <w:spacing w:line="240" w:lineRule="auto"/>
              <w:rPr>
                <w:rFonts w:ascii="Palatino Linotype" w:hAnsi="Palatino Linotype" w:cs="Arial"/>
                <w:sz w:val="20"/>
                <w:lang w:eastAsia="en-GB"/>
              </w:rPr>
            </w:pPr>
            <w:r w:rsidRPr="00340008">
              <w:rPr>
                <w:rFonts w:ascii="Palatino Linotype" w:hAnsi="Palatino Linotype" w:cs="Arial"/>
                <w:sz w:val="20"/>
                <w:lang w:eastAsia="en-GB"/>
              </w:rPr>
              <w:t>Stroke/CVA or TIA - ever before</w:t>
            </w:r>
          </w:p>
        </w:tc>
        <w:tc>
          <w:tcPr>
            <w:tcW w:w="1187" w:type="dxa"/>
            <w:tcBorders>
              <w:top w:val="nil"/>
              <w:left w:val="nil"/>
              <w:bottom w:val="nil"/>
              <w:right w:val="nil"/>
            </w:tcBorders>
            <w:shd w:val="clear" w:color="auto" w:fill="auto"/>
            <w:vAlign w:val="bottom"/>
          </w:tcPr>
          <w:p w14:paraId="3E1DAB3C"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3 (0.3)</w:t>
            </w:r>
          </w:p>
        </w:tc>
        <w:tc>
          <w:tcPr>
            <w:tcW w:w="1438" w:type="dxa"/>
            <w:tcBorders>
              <w:top w:val="nil"/>
              <w:left w:val="nil"/>
              <w:bottom w:val="nil"/>
              <w:right w:val="nil"/>
            </w:tcBorders>
            <w:shd w:val="clear" w:color="auto" w:fill="auto"/>
            <w:vAlign w:val="bottom"/>
          </w:tcPr>
          <w:p w14:paraId="133EEB1A"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7 (0.9)</w:t>
            </w:r>
          </w:p>
        </w:tc>
        <w:tc>
          <w:tcPr>
            <w:tcW w:w="1114" w:type="dxa"/>
            <w:tcBorders>
              <w:top w:val="nil"/>
              <w:left w:val="nil"/>
              <w:bottom w:val="nil"/>
              <w:right w:val="nil"/>
            </w:tcBorders>
            <w:shd w:val="clear" w:color="auto" w:fill="auto"/>
            <w:vAlign w:val="bottom"/>
          </w:tcPr>
          <w:p w14:paraId="6FCDF0CD"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3 (0.6)</w:t>
            </w:r>
          </w:p>
        </w:tc>
        <w:tc>
          <w:tcPr>
            <w:tcW w:w="1109" w:type="dxa"/>
            <w:tcBorders>
              <w:top w:val="nil"/>
              <w:left w:val="nil"/>
              <w:bottom w:val="nil"/>
              <w:right w:val="nil"/>
            </w:tcBorders>
            <w:shd w:val="clear" w:color="auto" w:fill="auto"/>
            <w:vAlign w:val="bottom"/>
          </w:tcPr>
          <w:p w14:paraId="4A9BD6B1"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1 (1.6)</w:t>
            </w:r>
          </w:p>
        </w:tc>
        <w:tc>
          <w:tcPr>
            <w:tcW w:w="809" w:type="dxa"/>
            <w:tcBorders>
              <w:top w:val="nil"/>
              <w:left w:val="nil"/>
              <w:bottom w:val="nil"/>
              <w:right w:val="nil"/>
            </w:tcBorders>
            <w:shd w:val="clear" w:color="auto" w:fill="auto"/>
            <w:vAlign w:val="bottom"/>
          </w:tcPr>
          <w:p w14:paraId="578825A2"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0.26</w:t>
            </w:r>
          </w:p>
        </w:tc>
      </w:tr>
      <w:tr w:rsidR="00822961" w:rsidRPr="00D80609" w14:paraId="2EE1DCD9" w14:textId="77777777" w:rsidTr="00822961">
        <w:trPr>
          <w:jc w:val="center"/>
        </w:trPr>
        <w:tc>
          <w:tcPr>
            <w:tcW w:w="4702" w:type="dxa"/>
            <w:shd w:val="clear" w:color="auto" w:fill="auto"/>
            <w:vAlign w:val="bottom"/>
          </w:tcPr>
          <w:p w14:paraId="52522834" w14:textId="77777777" w:rsidR="00822961" w:rsidRPr="00340008" w:rsidRDefault="00822961" w:rsidP="00E068A0">
            <w:pPr>
              <w:spacing w:line="240" w:lineRule="auto"/>
              <w:rPr>
                <w:rFonts w:ascii="Palatino Linotype" w:hAnsi="Palatino Linotype" w:cs="Arial"/>
                <w:sz w:val="20"/>
                <w:lang w:eastAsia="en-GB"/>
              </w:rPr>
            </w:pPr>
            <w:r w:rsidRPr="00340008">
              <w:rPr>
                <w:rFonts w:ascii="Palatino Linotype" w:hAnsi="Palatino Linotype" w:cs="Arial"/>
                <w:sz w:val="20"/>
                <w:lang w:eastAsia="en-GB"/>
              </w:rPr>
              <w:t xml:space="preserve">Common mental health and treatment in past 12 m </w:t>
            </w:r>
          </w:p>
        </w:tc>
        <w:tc>
          <w:tcPr>
            <w:tcW w:w="1187" w:type="dxa"/>
            <w:tcBorders>
              <w:top w:val="nil"/>
              <w:left w:val="nil"/>
              <w:bottom w:val="nil"/>
              <w:right w:val="nil"/>
            </w:tcBorders>
            <w:shd w:val="clear" w:color="auto" w:fill="auto"/>
            <w:vAlign w:val="bottom"/>
          </w:tcPr>
          <w:p w14:paraId="34DD4695"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196 (18.6)</w:t>
            </w:r>
          </w:p>
        </w:tc>
        <w:tc>
          <w:tcPr>
            <w:tcW w:w="1438" w:type="dxa"/>
            <w:tcBorders>
              <w:top w:val="nil"/>
              <w:left w:val="nil"/>
              <w:bottom w:val="nil"/>
              <w:right w:val="nil"/>
            </w:tcBorders>
            <w:shd w:val="clear" w:color="auto" w:fill="auto"/>
            <w:vAlign w:val="bottom"/>
          </w:tcPr>
          <w:p w14:paraId="27E986FD"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145 (18.4)</w:t>
            </w:r>
          </w:p>
        </w:tc>
        <w:tc>
          <w:tcPr>
            <w:tcW w:w="1114" w:type="dxa"/>
            <w:tcBorders>
              <w:top w:val="nil"/>
              <w:left w:val="nil"/>
              <w:bottom w:val="nil"/>
              <w:right w:val="nil"/>
            </w:tcBorders>
            <w:shd w:val="clear" w:color="auto" w:fill="auto"/>
            <w:vAlign w:val="bottom"/>
          </w:tcPr>
          <w:p w14:paraId="44EC6EFA"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138 (26.5)</w:t>
            </w:r>
          </w:p>
        </w:tc>
        <w:tc>
          <w:tcPr>
            <w:tcW w:w="1109" w:type="dxa"/>
            <w:tcBorders>
              <w:top w:val="nil"/>
              <w:left w:val="nil"/>
              <w:bottom w:val="nil"/>
              <w:right w:val="nil"/>
            </w:tcBorders>
            <w:shd w:val="clear" w:color="auto" w:fill="auto"/>
            <w:vAlign w:val="bottom"/>
          </w:tcPr>
          <w:p w14:paraId="3D6A4935"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19 (30.2)</w:t>
            </w:r>
          </w:p>
        </w:tc>
        <w:tc>
          <w:tcPr>
            <w:tcW w:w="809" w:type="dxa"/>
            <w:tcBorders>
              <w:top w:val="nil"/>
              <w:left w:val="nil"/>
              <w:bottom w:val="nil"/>
              <w:right w:val="nil"/>
            </w:tcBorders>
            <w:shd w:val="clear" w:color="auto" w:fill="auto"/>
            <w:vAlign w:val="bottom"/>
          </w:tcPr>
          <w:p w14:paraId="31874EAC"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&lt;0.001</w:t>
            </w:r>
          </w:p>
        </w:tc>
      </w:tr>
      <w:tr w:rsidR="00822961" w:rsidRPr="00D80609" w14:paraId="312B555C" w14:textId="77777777" w:rsidTr="00822961">
        <w:trPr>
          <w:jc w:val="center"/>
        </w:trPr>
        <w:tc>
          <w:tcPr>
            <w:tcW w:w="4702" w:type="dxa"/>
            <w:shd w:val="clear" w:color="auto" w:fill="auto"/>
            <w:vAlign w:val="bottom"/>
          </w:tcPr>
          <w:p w14:paraId="29E24BCC" w14:textId="77777777" w:rsidR="00822961" w:rsidRPr="00340008" w:rsidRDefault="00822961" w:rsidP="00E068A0">
            <w:pPr>
              <w:spacing w:line="240" w:lineRule="auto"/>
              <w:rPr>
                <w:rFonts w:ascii="Palatino Linotype" w:hAnsi="Palatino Linotype" w:cs="Arial"/>
                <w:sz w:val="20"/>
                <w:lang w:eastAsia="en-GB"/>
              </w:rPr>
            </w:pPr>
            <w:r w:rsidRPr="00340008">
              <w:rPr>
                <w:rFonts w:ascii="Palatino Linotype" w:hAnsi="Palatino Linotype" w:cs="Arial"/>
                <w:sz w:val="20"/>
                <w:lang w:eastAsia="en-GB"/>
              </w:rPr>
              <w:t>Hypertension and treatment in past 12m</w:t>
            </w:r>
          </w:p>
        </w:tc>
        <w:tc>
          <w:tcPr>
            <w:tcW w:w="1187" w:type="dxa"/>
            <w:tcBorders>
              <w:top w:val="nil"/>
              <w:left w:val="nil"/>
              <w:bottom w:val="nil"/>
              <w:right w:val="nil"/>
            </w:tcBorders>
            <w:shd w:val="clear" w:color="auto" w:fill="auto"/>
            <w:vAlign w:val="bottom"/>
          </w:tcPr>
          <w:p w14:paraId="69829837"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106 (10.1)</w:t>
            </w:r>
          </w:p>
        </w:tc>
        <w:tc>
          <w:tcPr>
            <w:tcW w:w="1438" w:type="dxa"/>
            <w:tcBorders>
              <w:top w:val="nil"/>
              <w:left w:val="nil"/>
              <w:bottom w:val="nil"/>
              <w:right w:val="nil"/>
            </w:tcBorders>
            <w:shd w:val="clear" w:color="auto" w:fill="auto"/>
            <w:vAlign w:val="bottom"/>
          </w:tcPr>
          <w:p w14:paraId="52165E48"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133 (16.9)</w:t>
            </w:r>
          </w:p>
        </w:tc>
        <w:tc>
          <w:tcPr>
            <w:tcW w:w="1114" w:type="dxa"/>
            <w:tcBorders>
              <w:top w:val="nil"/>
              <w:left w:val="nil"/>
              <w:bottom w:val="nil"/>
              <w:right w:val="nil"/>
            </w:tcBorders>
            <w:shd w:val="clear" w:color="auto" w:fill="auto"/>
            <w:vAlign w:val="bottom"/>
          </w:tcPr>
          <w:p w14:paraId="3F2BC400"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124 (23.9)</w:t>
            </w:r>
          </w:p>
        </w:tc>
        <w:tc>
          <w:tcPr>
            <w:tcW w:w="1109" w:type="dxa"/>
            <w:tcBorders>
              <w:top w:val="nil"/>
              <w:left w:val="nil"/>
              <w:bottom w:val="nil"/>
              <w:right w:val="nil"/>
            </w:tcBorders>
            <w:shd w:val="clear" w:color="auto" w:fill="auto"/>
            <w:vAlign w:val="bottom"/>
          </w:tcPr>
          <w:p w14:paraId="0D0B17A8"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26 (41.3)</w:t>
            </w:r>
          </w:p>
        </w:tc>
        <w:tc>
          <w:tcPr>
            <w:tcW w:w="809" w:type="dxa"/>
            <w:tcBorders>
              <w:top w:val="nil"/>
              <w:left w:val="nil"/>
              <w:bottom w:val="nil"/>
              <w:right w:val="nil"/>
            </w:tcBorders>
            <w:shd w:val="clear" w:color="auto" w:fill="auto"/>
            <w:vAlign w:val="bottom"/>
          </w:tcPr>
          <w:p w14:paraId="7D9751D5"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&lt;0.001</w:t>
            </w:r>
          </w:p>
        </w:tc>
      </w:tr>
      <w:tr w:rsidR="00822961" w:rsidRPr="00D80609" w14:paraId="51FEB123" w14:textId="77777777" w:rsidTr="00822961">
        <w:trPr>
          <w:jc w:val="center"/>
        </w:trPr>
        <w:tc>
          <w:tcPr>
            <w:tcW w:w="4702" w:type="dxa"/>
            <w:tcBorders>
              <w:bottom w:val="nil"/>
            </w:tcBorders>
            <w:shd w:val="clear" w:color="auto" w:fill="auto"/>
            <w:vAlign w:val="bottom"/>
          </w:tcPr>
          <w:p w14:paraId="6676835C" w14:textId="77777777" w:rsidR="00822961" w:rsidRPr="00340008" w:rsidRDefault="00822961" w:rsidP="00E068A0">
            <w:pPr>
              <w:spacing w:line="240" w:lineRule="auto"/>
              <w:rPr>
                <w:rFonts w:ascii="Palatino Linotype" w:hAnsi="Palatino Linotype" w:cs="Arial"/>
                <w:sz w:val="20"/>
                <w:lang w:eastAsia="en-GB"/>
              </w:rPr>
            </w:pPr>
            <w:r w:rsidRPr="00340008">
              <w:rPr>
                <w:rFonts w:ascii="Palatino Linotype" w:hAnsi="Palatino Linotype" w:cs="Arial"/>
                <w:sz w:val="20"/>
                <w:lang w:eastAsia="en-GB"/>
              </w:rPr>
              <w:t>Cardiac conditions - ever before</w:t>
            </w:r>
          </w:p>
        </w:tc>
        <w:tc>
          <w:tcPr>
            <w:tcW w:w="1187" w:type="dxa"/>
            <w:tcBorders>
              <w:top w:val="nil"/>
              <w:left w:val="nil"/>
              <w:bottom w:val="nil"/>
              <w:right w:val="nil"/>
            </w:tcBorders>
            <w:shd w:val="clear" w:color="auto" w:fill="auto"/>
            <w:vAlign w:val="bottom"/>
          </w:tcPr>
          <w:p w14:paraId="6B9A5190"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19 (1.8)</w:t>
            </w:r>
          </w:p>
        </w:tc>
        <w:tc>
          <w:tcPr>
            <w:tcW w:w="1438" w:type="dxa"/>
            <w:tcBorders>
              <w:top w:val="nil"/>
              <w:left w:val="nil"/>
              <w:bottom w:val="nil"/>
              <w:right w:val="nil"/>
            </w:tcBorders>
            <w:shd w:val="clear" w:color="auto" w:fill="auto"/>
            <w:vAlign w:val="bottom"/>
          </w:tcPr>
          <w:p w14:paraId="1A37E5CB"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22 (2.8)</w:t>
            </w:r>
          </w:p>
        </w:tc>
        <w:tc>
          <w:tcPr>
            <w:tcW w:w="1114" w:type="dxa"/>
            <w:tcBorders>
              <w:top w:val="nil"/>
              <w:left w:val="nil"/>
              <w:bottom w:val="nil"/>
              <w:right w:val="nil"/>
            </w:tcBorders>
            <w:shd w:val="clear" w:color="auto" w:fill="auto"/>
            <w:vAlign w:val="bottom"/>
          </w:tcPr>
          <w:p w14:paraId="6D77668C"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15 (2.9)</w:t>
            </w:r>
          </w:p>
        </w:tc>
        <w:tc>
          <w:tcPr>
            <w:tcW w:w="1109" w:type="dxa"/>
            <w:tcBorders>
              <w:top w:val="nil"/>
              <w:left w:val="nil"/>
              <w:bottom w:val="nil"/>
              <w:right w:val="nil"/>
            </w:tcBorders>
            <w:shd w:val="clear" w:color="auto" w:fill="auto"/>
            <w:vAlign w:val="bottom"/>
          </w:tcPr>
          <w:p w14:paraId="18A605D8"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3 (4.8)</w:t>
            </w:r>
          </w:p>
        </w:tc>
        <w:tc>
          <w:tcPr>
            <w:tcW w:w="809" w:type="dxa"/>
            <w:tcBorders>
              <w:top w:val="nil"/>
              <w:left w:val="nil"/>
              <w:bottom w:val="nil"/>
              <w:right w:val="nil"/>
            </w:tcBorders>
            <w:shd w:val="clear" w:color="auto" w:fill="auto"/>
            <w:vAlign w:val="bottom"/>
          </w:tcPr>
          <w:p w14:paraId="343AE20C"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0.25</w:t>
            </w:r>
          </w:p>
        </w:tc>
      </w:tr>
      <w:tr w:rsidR="00822961" w:rsidRPr="00D80609" w14:paraId="0656E90D" w14:textId="77777777" w:rsidTr="00822961">
        <w:trPr>
          <w:jc w:val="center"/>
        </w:trPr>
        <w:tc>
          <w:tcPr>
            <w:tcW w:w="4702" w:type="dxa"/>
            <w:tcBorders>
              <w:top w:val="nil"/>
              <w:bottom w:val="nil"/>
            </w:tcBorders>
            <w:shd w:val="clear" w:color="auto" w:fill="auto"/>
            <w:vAlign w:val="bottom"/>
          </w:tcPr>
          <w:p w14:paraId="32DE7032" w14:textId="77777777" w:rsidR="00822961" w:rsidRPr="00737107" w:rsidRDefault="00822961" w:rsidP="00E068A0">
            <w:pPr>
              <w:spacing w:line="240" w:lineRule="auto"/>
              <w:rPr>
                <w:rFonts w:ascii="Palatino Linotype" w:hAnsi="Palatino Linotype" w:cs="Arial"/>
                <w:i/>
                <w:sz w:val="20"/>
                <w:lang w:eastAsia="en-GB"/>
              </w:rPr>
            </w:pPr>
            <w:r w:rsidRPr="00737107">
              <w:rPr>
                <w:rFonts w:ascii="Palatino Linotype" w:hAnsi="Palatino Linotype" w:cs="Arial"/>
                <w:i/>
                <w:sz w:val="20"/>
                <w:lang w:eastAsia="en-GB"/>
              </w:rPr>
              <w:t>Work factors</w:t>
            </w:r>
            <w:r w:rsidRPr="00D80609">
              <w:rPr>
                <w:vertAlign w:val="superscript"/>
              </w:rPr>
              <w:t>1</w:t>
            </w:r>
          </w:p>
        </w:tc>
        <w:tc>
          <w:tcPr>
            <w:tcW w:w="1187" w:type="dxa"/>
            <w:tcBorders>
              <w:top w:val="nil"/>
              <w:left w:val="nil"/>
              <w:bottom w:val="nil"/>
              <w:right w:val="nil"/>
            </w:tcBorders>
            <w:shd w:val="clear" w:color="auto" w:fill="auto"/>
            <w:vAlign w:val="bottom"/>
          </w:tcPr>
          <w:p w14:paraId="1A82F7E5" w14:textId="77777777" w:rsidR="00822961" w:rsidRPr="00737107" w:rsidRDefault="00822961" w:rsidP="00E068A0">
            <w:pPr>
              <w:spacing w:line="240" w:lineRule="auto"/>
              <w:jc w:val="center"/>
              <w:rPr>
                <w:rFonts w:ascii="Palatino Linotype" w:hAnsi="Palatino Linotype" w:cs="Arial"/>
                <w:sz w:val="20"/>
                <w:lang w:eastAsia="en-GB"/>
              </w:rPr>
            </w:pPr>
          </w:p>
        </w:tc>
        <w:tc>
          <w:tcPr>
            <w:tcW w:w="1438" w:type="dxa"/>
            <w:tcBorders>
              <w:top w:val="nil"/>
              <w:left w:val="nil"/>
              <w:bottom w:val="nil"/>
              <w:right w:val="nil"/>
            </w:tcBorders>
            <w:shd w:val="clear" w:color="auto" w:fill="auto"/>
            <w:vAlign w:val="bottom"/>
          </w:tcPr>
          <w:p w14:paraId="2D6CDBD7" w14:textId="77777777" w:rsidR="00822961" w:rsidRPr="00737107" w:rsidRDefault="00822961" w:rsidP="00E068A0">
            <w:pPr>
              <w:spacing w:line="240" w:lineRule="auto"/>
              <w:jc w:val="center"/>
              <w:rPr>
                <w:rFonts w:ascii="Palatino Linotype" w:hAnsi="Palatino Linotype" w:cs="Arial"/>
                <w:sz w:val="20"/>
                <w:lang w:eastAsia="en-GB"/>
              </w:rPr>
            </w:pPr>
          </w:p>
        </w:tc>
        <w:tc>
          <w:tcPr>
            <w:tcW w:w="1114" w:type="dxa"/>
            <w:tcBorders>
              <w:top w:val="nil"/>
              <w:left w:val="nil"/>
              <w:bottom w:val="nil"/>
              <w:right w:val="nil"/>
            </w:tcBorders>
            <w:shd w:val="clear" w:color="auto" w:fill="auto"/>
            <w:vAlign w:val="bottom"/>
          </w:tcPr>
          <w:p w14:paraId="443AA42B" w14:textId="77777777" w:rsidR="00822961" w:rsidRPr="00737107" w:rsidRDefault="00822961" w:rsidP="00E068A0">
            <w:pPr>
              <w:spacing w:line="240" w:lineRule="auto"/>
              <w:jc w:val="center"/>
              <w:rPr>
                <w:rFonts w:ascii="Palatino Linotype" w:hAnsi="Palatino Linotype" w:cs="Arial"/>
                <w:sz w:val="20"/>
                <w:lang w:eastAsia="en-GB"/>
              </w:rPr>
            </w:pPr>
          </w:p>
        </w:tc>
        <w:tc>
          <w:tcPr>
            <w:tcW w:w="1109" w:type="dxa"/>
            <w:tcBorders>
              <w:top w:val="nil"/>
              <w:left w:val="nil"/>
              <w:bottom w:val="nil"/>
              <w:right w:val="nil"/>
            </w:tcBorders>
            <w:shd w:val="clear" w:color="auto" w:fill="auto"/>
            <w:vAlign w:val="bottom"/>
          </w:tcPr>
          <w:p w14:paraId="18B8D007" w14:textId="77777777" w:rsidR="00822961" w:rsidRPr="00737107" w:rsidRDefault="00822961" w:rsidP="00E068A0">
            <w:pPr>
              <w:spacing w:line="240" w:lineRule="auto"/>
              <w:jc w:val="center"/>
              <w:rPr>
                <w:rFonts w:ascii="Palatino Linotype" w:hAnsi="Palatino Linotype" w:cs="Arial"/>
                <w:sz w:val="20"/>
                <w:lang w:eastAsia="en-GB"/>
              </w:rPr>
            </w:pPr>
          </w:p>
        </w:tc>
        <w:tc>
          <w:tcPr>
            <w:tcW w:w="809" w:type="dxa"/>
            <w:tcBorders>
              <w:top w:val="nil"/>
              <w:left w:val="nil"/>
              <w:bottom w:val="nil"/>
              <w:right w:val="nil"/>
            </w:tcBorders>
            <w:shd w:val="clear" w:color="auto" w:fill="auto"/>
            <w:vAlign w:val="bottom"/>
          </w:tcPr>
          <w:p w14:paraId="05115E2F" w14:textId="77777777" w:rsidR="00822961" w:rsidRPr="00737107" w:rsidRDefault="00822961" w:rsidP="00E068A0">
            <w:pPr>
              <w:spacing w:line="240" w:lineRule="auto"/>
              <w:jc w:val="center"/>
              <w:rPr>
                <w:rFonts w:ascii="Palatino Linotype" w:hAnsi="Palatino Linotype" w:cs="Arial"/>
                <w:sz w:val="20"/>
                <w:lang w:eastAsia="en-GB"/>
              </w:rPr>
            </w:pPr>
          </w:p>
        </w:tc>
      </w:tr>
      <w:tr w:rsidR="00822961" w:rsidRPr="00D80609" w14:paraId="22C4F75C" w14:textId="77777777" w:rsidTr="00822961">
        <w:trPr>
          <w:jc w:val="center"/>
        </w:trPr>
        <w:tc>
          <w:tcPr>
            <w:tcW w:w="4702" w:type="dxa"/>
            <w:tcBorders>
              <w:top w:val="nil"/>
            </w:tcBorders>
            <w:shd w:val="clear" w:color="auto" w:fill="auto"/>
            <w:vAlign w:val="bottom"/>
          </w:tcPr>
          <w:p w14:paraId="4F373F22" w14:textId="77777777" w:rsidR="00822961" w:rsidRPr="00340008" w:rsidRDefault="00822961" w:rsidP="00E068A0">
            <w:pPr>
              <w:spacing w:line="240" w:lineRule="auto"/>
              <w:rPr>
                <w:rFonts w:ascii="Palatino Linotype" w:hAnsi="Palatino Linotype" w:cs="Arial"/>
                <w:sz w:val="20"/>
                <w:lang w:eastAsia="en-GB"/>
              </w:rPr>
            </w:pPr>
            <w:r w:rsidRPr="00340008">
              <w:rPr>
                <w:rFonts w:ascii="Palatino Linotype" w:hAnsi="Palatino Linotype" w:cs="Arial"/>
                <w:sz w:val="20"/>
                <w:lang w:eastAsia="en-GB"/>
              </w:rPr>
              <w:t>Overall job dissatisfaction</w:t>
            </w:r>
          </w:p>
        </w:tc>
        <w:tc>
          <w:tcPr>
            <w:tcW w:w="1187" w:type="dxa"/>
            <w:tcBorders>
              <w:top w:val="nil"/>
              <w:left w:val="nil"/>
              <w:bottom w:val="nil"/>
              <w:right w:val="nil"/>
            </w:tcBorders>
            <w:shd w:val="clear" w:color="auto" w:fill="auto"/>
            <w:vAlign w:val="bottom"/>
          </w:tcPr>
          <w:p w14:paraId="157DEA06"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55 (5.4)</w:t>
            </w:r>
          </w:p>
        </w:tc>
        <w:tc>
          <w:tcPr>
            <w:tcW w:w="1438" w:type="dxa"/>
            <w:tcBorders>
              <w:top w:val="nil"/>
              <w:left w:val="nil"/>
              <w:bottom w:val="nil"/>
              <w:right w:val="nil"/>
            </w:tcBorders>
            <w:shd w:val="clear" w:color="auto" w:fill="auto"/>
            <w:vAlign w:val="bottom"/>
          </w:tcPr>
          <w:p w14:paraId="1A87A686"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39 (5.1)</w:t>
            </w:r>
          </w:p>
        </w:tc>
        <w:tc>
          <w:tcPr>
            <w:tcW w:w="1114" w:type="dxa"/>
            <w:tcBorders>
              <w:top w:val="nil"/>
              <w:left w:val="nil"/>
              <w:bottom w:val="nil"/>
              <w:right w:val="nil"/>
            </w:tcBorders>
            <w:shd w:val="clear" w:color="auto" w:fill="auto"/>
            <w:vAlign w:val="bottom"/>
          </w:tcPr>
          <w:p w14:paraId="610C1AF3"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42 (8.2)</w:t>
            </w:r>
          </w:p>
        </w:tc>
        <w:tc>
          <w:tcPr>
            <w:tcW w:w="1109" w:type="dxa"/>
            <w:tcBorders>
              <w:top w:val="nil"/>
              <w:left w:val="nil"/>
              <w:bottom w:val="nil"/>
              <w:right w:val="nil"/>
            </w:tcBorders>
            <w:shd w:val="clear" w:color="auto" w:fill="auto"/>
            <w:vAlign w:val="bottom"/>
          </w:tcPr>
          <w:p w14:paraId="2872C5EE"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6 (9.8)</w:t>
            </w:r>
          </w:p>
        </w:tc>
        <w:tc>
          <w:tcPr>
            <w:tcW w:w="809" w:type="dxa"/>
            <w:tcBorders>
              <w:top w:val="nil"/>
              <w:left w:val="nil"/>
              <w:bottom w:val="nil"/>
              <w:right w:val="nil"/>
            </w:tcBorders>
            <w:shd w:val="clear" w:color="auto" w:fill="auto"/>
            <w:vAlign w:val="bottom"/>
          </w:tcPr>
          <w:p w14:paraId="561FF348"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0.05</w:t>
            </w:r>
          </w:p>
        </w:tc>
      </w:tr>
      <w:tr w:rsidR="00822961" w:rsidRPr="00D80609" w14:paraId="303699A3" w14:textId="77777777" w:rsidTr="00822961">
        <w:trPr>
          <w:jc w:val="center"/>
        </w:trPr>
        <w:tc>
          <w:tcPr>
            <w:tcW w:w="4702" w:type="dxa"/>
            <w:shd w:val="clear" w:color="auto" w:fill="auto"/>
            <w:vAlign w:val="bottom"/>
          </w:tcPr>
          <w:p w14:paraId="795254F7" w14:textId="77777777" w:rsidR="00822961" w:rsidRPr="00340008" w:rsidRDefault="00822961" w:rsidP="00E068A0">
            <w:pPr>
              <w:spacing w:line="240" w:lineRule="auto"/>
              <w:rPr>
                <w:rFonts w:ascii="Palatino Linotype" w:hAnsi="Palatino Linotype" w:cs="Arial"/>
                <w:sz w:val="20"/>
                <w:lang w:eastAsia="en-GB"/>
              </w:rPr>
            </w:pPr>
            <w:r w:rsidRPr="00340008">
              <w:rPr>
                <w:rFonts w:ascii="Palatino Linotype" w:hAnsi="Palatino Linotype" w:cs="Arial"/>
                <w:sz w:val="20"/>
                <w:lang w:eastAsia="en-GB"/>
              </w:rPr>
              <w:t xml:space="preserve">Physical work activities score (0-6), median (IQR) </w:t>
            </w:r>
          </w:p>
        </w:tc>
        <w:tc>
          <w:tcPr>
            <w:tcW w:w="1187" w:type="dxa"/>
            <w:tcBorders>
              <w:top w:val="nil"/>
              <w:left w:val="nil"/>
              <w:bottom w:val="single" w:sz="4" w:space="0" w:color="auto"/>
              <w:right w:val="nil"/>
            </w:tcBorders>
            <w:shd w:val="clear" w:color="auto" w:fill="auto"/>
            <w:vAlign w:val="bottom"/>
          </w:tcPr>
          <w:p w14:paraId="6692920C"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0 (0,1.0)</w:t>
            </w:r>
          </w:p>
        </w:tc>
        <w:tc>
          <w:tcPr>
            <w:tcW w:w="1438" w:type="dxa"/>
            <w:tcBorders>
              <w:top w:val="nil"/>
              <w:left w:val="nil"/>
              <w:bottom w:val="single" w:sz="4" w:space="0" w:color="auto"/>
              <w:right w:val="nil"/>
            </w:tcBorders>
            <w:shd w:val="clear" w:color="auto" w:fill="auto"/>
            <w:vAlign w:val="bottom"/>
          </w:tcPr>
          <w:p w14:paraId="1FF9BC0A"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0 (0,1.0)</w:t>
            </w:r>
          </w:p>
        </w:tc>
        <w:tc>
          <w:tcPr>
            <w:tcW w:w="1114" w:type="dxa"/>
            <w:tcBorders>
              <w:top w:val="nil"/>
              <w:left w:val="nil"/>
              <w:bottom w:val="single" w:sz="4" w:space="0" w:color="auto"/>
              <w:right w:val="nil"/>
            </w:tcBorders>
            <w:shd w:val="clear" w:color="auto" w:fill="auto"/>
            <w:vAlign w:val="bottom"/>
          </w:tcPr>
          <w:p w14:paraId="4AAF91C4"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0 (0,1.0)</w:t>
            </w:r>
          </w:p>
        </w:tc>
        <w:tc>
          <w:tcPr>
            <w:tcW w:w="1109" w:type="dxa"/>
            <w:tcBorders>
              <w:top w:val="nil"/>
              <w:left w:val="nil"/>
              <w:bottom w:val="single" w:sz="4" w:space="0" w:color="auto"/>
              <w:right w:val="nil"/>
            </w:tcBorders>
            <w:shd w:val="clear" w:color="auto" w:fill="auto"/>
            <w:vAlign w:val="bottom"/>
          </w:tcPr>
          <w:p w14:paraId="4C77E6A4"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0 (0,2.0)</w:t>
            </w:r>
          </w:p>
        </w:tc>
        <w:tc>
          <w:tcPr>
            <w:tcW w:w="809" w:type="dxa"/>
            <w:tcBorders>
              <w:top w:val="nil"/>
              <w:left w:val="nil"/>
              <w:bottom w:val="single" w:sz="4" w:space="0" w:color="auto"/>
              <w:right w:val="nil"/>
            </w:tcBorders>
            <w:shd w:val="clear" w:color="auto" w:fill="auto"/>
            <w:vAlign w:val="bottom"/>
          </w:tcPr>
          <w:p w14:paraId="2ED804A2" w14:textId="77777777" w:rsidR="00822961" w:rsidRPr="00737107" w:rsidRDefault="00822961" w:rsidP="00E068A0">
            <w:pPr>
              <w:spacing w:line="240" w:lineRule="auto"/>
              <w:jc w:val="center"/>
              <w:rPr>
                <w:rFonts w:ascii="Palatino Linotype" w:hAnsi="Palatino Linotype" w:cs="Arial"/>
                <w:sz w:val="20"/>
                <w:lang w:eastAsia="en-GB"/>
              </w:rPr>
            </w:pPr>
            <w:r w:rsidRPr="00737107">
              <w:rPr>
                <w:rFonts w:ascii="Palatino Linotype" w:hAnsi="Palatino Linotype" w:cs="Arial"/>
                <w:sz w:val="20"/>
                <w:lang w:eastAsia="en-GB"/>
              </w:rPr>
              <w:t>0.94</w:t>
            </w:r>
          </w:p>
        </w:tc>
      </w:tr>
    </w:tbl>
    <w:p w14:paraId="14F17867" w14:textId="26CAAE7C" w:rsidR="00822961" w:rsidRPr="00822961" w:rsidRDefault="00822961" w:rsidP="00822961">
      <w:pPr>
        <w:pStyle w:val="MDPI43tablefooter"/>
        <w:spacing w:after="240"/>
        <w:jc w:val="left"/>
        <w:rPr>
          <w:szCs w:val="18"/>
        </w:rPr>
      </w:pPr>
      <w:r w:rsidRPr="00822961">
        <w:rPr>
          <w:szCs w:val="18"/>
          <w:vertAlign w:val="superscript"/>
        </w:rPr>
        <w:t>1</w:t>
      </w:r>
      <w:r w:rsidRPr="00822961">
        <w:rPr>
          <w:szCs w:val="18"/>
        </w:rPr>
        <w:t xml:space="preserve"> For descriptive purposes in this table only, we describe work factors on the basis of baseline information for 2347(97%) women </w:t>
      </w:r>
      <w:r>
        <w:rPr>
          <w:szCs w:val="18"/>
        </w:rPr>
        <w:t>and</w:t>
      </w:r>
      <w:r w:rsidRPr="00822961">
        <w:rPr>
          <w:szCs w:val="18"/>
        </w:rPr>
        <w:t xml:space="preserve"> for 78 women who were not in paid employment at baseline but were in work at the first annual follow-up.</w:t>
      </w:r>
      <w:r w:rsidR="00D828F0">
        <w:t xml:space="preserve"> </w:t>
      </w:r>
      <w:r w:rsidR="00D828F0" w:rsidRPr="00EA2429">
        <w:rPr>
          <w:vertAlign w:val="superscript"/>
        </w:rPr>
        <w:t>2</w:t>
      </w:r>
      <w:r w:rsidR="00D828F0">
        <w:t xml:space="preserve"> p values from Chi-squared test</w:t>
      </w:r>
    </w:p>
    <w:p w14:paraId="1A923A21" w14:textId="1CA9C713" w:rsidR="00012A84" w:rsidRPr="005B174A" w:rsidRDefault="005B174A" w:rsidP="005B174A">
      <w:pPr>
        <w:pStyle w:val="MDPI22heading2"/>
      </w:pPr>
      <w:r w:rsidRPr="005B174A">
        <w:t xml:space="preserve">3.1. </w:t>
      </w:r>
      <w:r w:rsidR="00012A84" w:rsidRPr="005B174A">
        <w:t>Cutting down at work and prolonged sickness absence</w:t>
      </w:r>
    </w:p>
    <w:p w14:paraId="76CCD5E2" w14:textId="697DA337" w:rsidR="00012A84" w:rsidRPr="008A71D2" w:rsidRDefault="00012A84" w:rsidP="005B174A">
      <w:pPr>
        <w:pStyle w:val="MDPI31text"/>
      </w:pPr>
      <w:r w:rsidRPr="008A71D2">
        <w:t xml:space="preserve">In total, across 2 years of follow-up, 206 (10.4%) men and 276 (12.6%) women experienced at least one episode of long-term sickness absence and 176 (8.9%) men and 182 (8.3%) women needed to cut down, avoid, or change what they usually did at work because of a health problem. Women with </w:t>
      </w:r>
      <w:r w:rsidR="00ED4679">
        <w:t>severe</w:t>
      </w:r>
      <w:r w:rsidR="00ED4679" w:rsidRPr="008A71D2">
        <w:t xml:space="preserve"> </w:t>
      </w:r>
      <w:r w:rsidRPr="008A71D2">
        <w:t xml:space="preserve">obesity reported increased odds of having had to cut down, avoid, or change what they did at work because of a health problem, even after adjustment for age, socio-economic, lifestyle factors and either work factors or health (Table 3). No significant associations were reported among men after adjustment for the relevant factors. </w:t>
      </w:r>
    </w:p>
    <w:p w14:paraId="587863EA" w14:textId="77777777" w:rsidR="00012A84" w:rsidRDefault="00012A84" w:rsidP="005B174A">
      <w:pPr>
        <w:pStyle w:val="MDPI31text"/>
      </w:pPr>
      <w:r w:rsidRPr="008A71D2">
        <w:t>Amongst men, the odds of prolonged sickness absence were slightly increased amongst those with obesity. However, the association was attenuated by adjustment for health conditions. Women with obesity or severe obesity had greater odds of prolonged sickness absence compared with women of normal weight. Even after adjustment for socio-economic, lifestyle, and either work factors or health, these associations remained elevated (ORs (95%CI) =1.7 (1.2, 2.3) and =2.2 (1.1,</w:t>
      </w:r>
      <w:r w:rsidR="007533DB">
        <w:t xml:space="preserve"> </w:t>
      </w:r>
      <w:r w:rsidRPr="008A71D2">
        <w:t xml:space="preserve">4.4) for women with obesity and severe obesity respectively). </w:t>
      </w:r>
    </w:p>
    <w:p w14:paraId="4DA0A5D1" w14:textId="4FCF81CE" w:rsidR="00822961" w:rsidRPr="009A6F83" w:rsidRDefault="005B174A" w:rsidP="005B174A">
      <w:pPr>
        <w:pStyle w:val="MDPI41tablecaption"/>
      </w:pPr>
      <w:r w:rsidRPr="005B174A">
        <w:rPr>
          <w:b/>
        </w:rPr>
        <w:t>Table 3.</w:t>
      </w:r>
      <w:r w:rsidR="00822961" w:rsidRPr="005B174A">
        <w:rPr>
          <w:b/>
        </w:rPr>
        <w:t xml:space="preserve"> </w:t>
      </w:r>
      <w:r w:rsidR="00822961" w:rsidRPr="009A6F83">
        <w:t>Odds ratio (OR) and 95%CI for work outcomes within 2 years of follow-up by categories of Body Mass Index (BMI) for men and women</w:t>
      </w:r>
      <w:r>
        <w:t>.</w:t>
      </w:r>
      <w:r w:rsidR="00D56D68">
        <w:t xml:space="preserve"> (Bold type denotes statistical significance</w:t>
      </w:r>
      <w:r w:rsidR="00D06EAA">
        <w:t xml:space="preserve"> at the p</w:t>
      </w:r>
      <w:r w:rsidR="00AE2F3C">
        <w:t>&lt;0.05 level</w:t>
      </w:r>
      <w:r w:rsidR="00D56D68">
        <w:t>)</w:t>
      </w:r>
    </w:p>
    <w:tbl>
      <w:tblPr>
        <w:tblW w:w="11199" w:type="dxa"/>
        <w:tblInd w:w="-1134" w:type="dxa"/>
        <w:tblBorders>
          <w:top w:val="single" w:sz="8" w:space="0" w:color="auto"/>
          <w:bottom w:val="single" w:sz="8" w:space="0" w:color="auto"/>
        </w:tblBorders>
        <w:tblLayout w:type="fixed"/>
        <w:tblLook w:val="04A0" w:firstRow="1" w:lastRow="0" w:firstColumn="1" w:lastColumn="0" w:noHBand="0" w:noVBand="1"/>
      </w:tblPr>
      <w:tblGrid>
        <w:gridCol w:w="1701"/>
        <w:gridCol w:w="709"/>
        <w:gridCol w:w="1134"/>
        <w:gridCol w:w="992"/>
        <w:gridCol w:w="993"/>
        <w:gridCol w:w="992"/>
        <w:gridCol w:w="709"/>
        <w:gridCol w:w="992"/>
        <w:gridCol w:w="992"/>
        <w:gridCol w:w="992"/>
        <w:gridCol w:w="993"/>
      </w:tblGrid>
      <w:tr w:rsidR="00822961" w:rsidRPr="003663D4" w14:paraId="64D838EB" w14:textId="77777777" w:rsidTr="00E068A0">
        <w:tc>
          <w:tcPr>
            <w:tcW w:w="1701" w:type="dxa"/>
            <w:tcBorders>
              <w:bottom w:val="single" w:sz="4" w:space="0" w:color="auto"/>
              <w:right w:val="nil"/>
            </w:tcBorders>
            <w:shd w:val="clear" w:color="auto" w:fill="auto"/>
            <w:vAlign w:val="center"/>
          </w:tcPr>
          <w:p w14:paraId="48E49712" w14:textId="77777777" w:rsidR="00822961" w:rsidRPr="007D1435" w:rsidRDefault="00822961" w:rsidP="00E068A0">
            <w:pPr>
              <w:pStyle w:val="MDPI42tablebody"/>
              <w:spacing w:line="240" w:lineRule="auto"/>
              <w:rPr>
                <w:b/>
              </w:rPr>
            </w:pPr>
          </w:p>
        </w:tc>
        <w:tc>
          <w:tcPr>
            <w:tcW w:w="9498" w:type="dxa"/>
            <w:gridSpan w:val="10"/>
            <w:tcBorders>
              <w:top w:val="single" w:sz="8" w:space="0" w:color="auto"/>
              <w:left w:val="nil"/>
              <w:bottom w:val="single" w:sz="4" w:space="0" w:color="auto"/>
            </w:tcBorders>
            <w:shd w:val="clear" w:color="auto" w:fill="auto"/>
            <w:vAlign w:val="center"/>
          </w:tcPr>
          <w:p w14:paraId="04845C5E" w14:textId="77777777" w:rsidR="00822961" w:rsidRPr="007D1435" w:rsidRDefault="00822961" w:rsidP="00E068A0">
            <w:pPr>
              <w:pStyle w:val="MDPI42tablebody"/>
              <w:spacing w:line="240" w:lineRule="auto"/>
              <w:rPr>
                <w:b/>
              </w:rPr>
            </w:pPr>
            <w:r>
              <w:rPr>
                <w:b/>
              </w:rPr>
              <w:t>OR (95%CI)</w:t>
            </w:r>
          </w:p>
        </w:tc>
      </w:tr>
      <w:tr w:rsidR="00822961" w:rsidRPr="003663D4" w14:paraId="1A107A90" w14:textId="77777777" w:rsidTr="00E068A0">
        <w:tc>
          <w:tcPr>
            <w:tcW w:w="1701" w:type="dxa"/>
            <w:tcBorders>
              <w:bottom w:val="single" w:sz="4" w:space="0" w:color="auto"/>
            </w:tcBorders>
            <w:shd w:val="clear" w:color="auto" w:fill="auto"/>
            <w:vAlign w:val="center"/>
          </w:tcPr>
          <w:p w14:paraId="560C871B" w14:textId="77777777" w:rsidR="00822961" w:rsidRPr="007D1435" w:rsidRDefault="00822961" w:rsidP="00E068A0">
            <w:pPr>
              <w:pStyle w:val="MDPI42tablebody"/>
              <w:spacing w:line="240" w:lineRule="auto"/>
              <w:rPr>
                <w:b/>
              </w:rPr>
            </w:pPr>
          </w:p>
        </w:tc>
        <w:tc>
          <w:tcPr>
            <w:tcW w:w="4820" w:type="dxa"/>
            <w:gridSpan w:val="5"/>
            <w:tcBorders>
              <w:top w:val="single" w:sz="4" w:space="0" w:color="auto"/>
              <w:bottom w:val="single" w:sz="4" w:space="0" w:color="auto"/>
              <w:right w:val="single" w:sz="4" w:space="0" w:color="auto"/>
            </w:tcBorders>
            <w:shd w:val="clear" w:color="auto" w:fill="auto"/>
            <w:vAlign w:val="center"/>
          </w:tcPr>
          <w:p w14:paraId="39A7FAB0" w14:textId="77777777" w:rsidR="00822961" w:rsidRPr="007D1435" w:rsidRDefault="00822961" w:rsidP="00E068A0">
            <w:pPr>
              <w:pStyle w:val="MDPI42tablebody"/>
              <w:spacing w:line="240" w:lineRule="auto"/>
              <w:rPr>
                <w:b/>
              </w:rPr>
            </w:pPr>
            <w:r>
              <w:rPr>
                <w:b/>
              </w:rPr>
              <w:t>MEN</w:t>
            </w:r>
          </w:p>
        </w:tc>
        <w:tc>
          <w:tcPr>
            <w:tcW w:w="4678" w:type="dxa"/>
            <w:gridSpan w:val="5"/>
            <w:tcBorders>
              <w:top w:val="single" w:sz="4" w:space="0" w:color="auto"/>
              <w:left w:val="single" w:sz="4" w:space="0" w:color="auto"/>
              <w:bottom w:val="single" w:sz="4" w:space="0" w:color="auto"/>
            </w:tcBorders>
          </w:tcPr>
          <w:p w14:paraId="7C4910A5" w14:textId="77777777" w:rsidR="00822961" w:rsidRPr="007D1435" w:rsidRDefault="00822961" w:rsidP="00E068A0">
            <w:pPr>
              <w:pStyle w:val="MDPI42tablebody"/>
              <w:spacing w:line="240" w:lineRule="auto"/>
              <w:rPr>
                <w:b/>
              </w:rPr>
            </w:pPr>
            <w:r>
              <w:rPr>
                <w:b/>
              </w:rPr>
              <w:t>WOMEN</w:t>
            </w:r>
          </w:p>
        </w:tc>
      </w:tr>
      <w:tr w:rsidR="00822961" w:rsidRPr="00D80609" w14:paraId="49C250D7" w14:textId="77777777" w:rsidTr="00E068A0">
        <w:tc>
          <w:tcPr>
            <w:tcW w:w="1701" w:type="dxa"/>
            <w:shd w:val="clear" w:color="auto" w:fill="auto"/>
            <w:vAlign w:val="center"/>
          </w:tcPr>
          <w:p w14:paraId="053A9A18" w14:textId="77777777" w:rsidR="00822961" w:rsidRPr="0046726B" w:rsidRDefault="00822961" w:rsidP="00E068A0">
            <w:pPr>
              <w:pStyle w:val="MDPI42tablebody"/>
              <w:spacing w:line="240" w:lineRule="auto"/>
            </w:pPr>
          </w:p>
        </w:tc>
        <w:tc>
          <w:tcPr>
            <w:tcW w:w="709" w:type="dxa"/>
            <w:tcBorders>
              <w:top w:val="single" w:sz="4" w:space="0" w:color="auto"/>
              <w:bottom w:val="single" w:sz="4" w:space="0" w:color="auto"/>
            </w:tcBorders>
            <w:shd w:val="clear" w:color="auto" w:fill="auto"/>
          </w:tcPr>
          <w:p w14:paraId="34362B8A" w14:textId="77777777" w:rsidR="00822961" w:rsidRPr="009A6F83" w:rsidRDefault="00822961" w:rsidP="00E068A0">
            <w:pPr>
              <w:pStyle w:val="MDPI42tablebody"/>
              <w:spacing w:line="240" w:lineRule="auto"/>
              <w:rPr>
                <w:b/>
              </w:rPr>
            </w:pPr>
            <w:r w:rsidRPr="00BE61EF">
              <w:rPr>
                <w:b/>
              </w:rPr>
              <w:t>N(%) cases</w:t>
            </w:r>
          </w:p>
        </w:tc>
        <w:tc>
          <w:tcPr>
            <w:tcW w:w="1134" w:type="dxa"/>
            <w:tcBorders>
              <w:top w:val="single" w:sz="4" w:space="0" w:color="auto"/>
              <w:bottom w:val="single" w:sz="4" w:space="0" w:color="auto"/>
            </w:tcBorders>
            <w:shd w:val="clear" w:color="auto" w:fill="auto"/>
          </w:tcPr>
          <w:p w14:paraId="1D31160A" w14:textId="77777777" w:rsidR="00822961" w:rsidRPr="009A6F83" w:rsidRDefault="00822961" w:rsidP="00E068A0">
            <w:pPr>
              <w:pStyle w:val="MDPI42tablebody"/>
              <w:spacing w:line="240" w:lineRule="auto"/>
              <w:rPr>
                <w:b/>
              </w:rPr>
            </w:pPr>
            <w:r w:rsidRPr="00BE61EF">
              <w:rPr>
                <w:b/>
              </w:rPr>
              <w:t>Model 1</w:t>
            </w:r>
          </w:p>
        </w:tc>
        <w:tc>
          <w:tcPr>
            <w:tcW w:w="992" w:type="dxa"/>
            <w:tcBorders>
              <w:top w:val="single" w:sz="4" w:space="0" w:color="auto"/>
              <w:bottom w:val="single" w:sz="4" w:space="0" w:color="auto"/>
            </w:tcBorders>
          </w:tcPr>
          <w:p w14:paraId="7F274D5A" w14:textId="77777777" w:rsidR="00822961" w:rsidRPr="009A6F83" w:rsidRDefault="00822961" w:rsidP="00E068A0">
            <w:pPr>
              <w:pStyle w:val="MDPI42tablebody"/>
              <w:spacing w:line="240" w:lineRule="auto"/>
              <w:rPr>
                <w:b/>
              </w:rPr>
            </w:pPr>
            <w:r w:rsidRPr="00BE61EF">
              <w:rPr>
                <w:b/>
              </w:rPr>
              <w:t>Model 2</w:t>
            </w:r>
          </w:p>
        </w:tc>
        <w:tc>
          <w:tcPr>
            <w:tcW w:w="993" w:type="dxa"/>
            <w:tcBorders>
              <w:top w:val="single" w:sz="4" w:space="0" w:color="auto"/>
              <w:bottom w:val="single" w:sz="4" w:space="0" w:color="auto"/>
            </w:tcBorders>
          </w:tcPr>
          <w:p w14:paraId="21CF8017" w14:textId="77777777" w:rsidR="00822961" w:rsidRPr="009A6F83" w:rsidRDefault="00822961" w:rsidP="00E068A0">
            <w:pPr>
              <w:pStyle w:val="MDPI42tablebody"/>
              <w:spacing w:line="240" w:lineRule="auto"/>
              <w:rPr>
                <w:b/>
              </w:rPr>
            </w:pPr>
            <w:r w:rsidRPr="00BE61EF">
              <w:rPr>
                <w:b/>
              </w:rPr>
              <w:t>Model 3</w:t>
            </w:r>
          </w:p>
        </w:tc>
        <w:tc>
          <w:tcPr>
            <w:tcW w:w="992" w:type="dxa"/>
            <w:tcBorders>
              <w:top w:val="single" w:sz="4" w:space="0" w:color="auto"/>
              <w:bottom w:val="single" w:sz="4" w:space="0" w:color="auto"/>
              <w:right w:val="single" w:sz="4" w:space="0" w:color="auto"/>
            </w:tcBorders>
          </w:tcPr>
          <w:p w14:paraId="3071B8B7" w14:textId="77777777" w:rsidR="00822961" w:rsidRPr="009A6F83" w:rsidRDefault="00822961" w:rsidP="00E068A0">
            <w:pPr>
              <w:pStyle w:val="MDPI42tablebody"/>
              <w:spacing w:line="240" w:lineRule="auto"/>
              <w:rPr>
                <w:b/>
              </w:rPr>
            </w:pPr>
            <w:r w:rsidRPr="00BE61EF">
              <w:rPr>
                <w:b/>
              </w:rPr>
              <w:t>Model 4</w:t>
            </w:r>
          </w:p>
        </w:tc>
        <w:tc>
          <w:tcPr>
            <w:tcW w:w="709" w:type="dxa"/>
            <w:tcBorders>
              <w:top w:val="single" w:sz="4" w:space="0" w:color="auto"/>
              <w:left w:val="single" w:sz="4" w:space="0" w:color="auto"/>
              <w:bottom w:val="single" w:sz="4" w:space="0" w:color="auto"/>
            </w:tcBorders>
          </w:tcPr>
          <w:p w14:paraId="15C80D77" w14:textId="77777777" w:rsidR="00822961" w:rsidRPr="009A6F83" w:rsidRDefault="00822961" w:rsidP="00E068A0">
            <w:pPr>
              <w:pStyle w:val="MDPI42tablebody"/>
              <w:spacing w:line="240" w:lineRule="auto"/>
              <w:rPr>
                <w:b/>
              </w:rPr>
            </w:pPr>
            <w:r w:rsidRPr="00BE61EF">
              <w:rPr>
                <w:b/>
              </w:rPr>
              <w:t>N(%) cases</w:t>
            </w:r>
          </w:p>
        </w:tc>
        <w:tc>
          <w:tcPr>
            <w:tcW w:w="992" w:type="dxa"/>
            <w:tcBorders>
              <w:top w:val="single" w:sz="4" w:space="0" w:color="auto"/>
              <w:bottom w:val="single" w:sz="4" w:space="0" w:color="auto"/>
            </w:tcBorders>
          </w:tcPr>
          <w:p w14:paraId="36B93E8F" w14:textId="77777777" w:rsidR="00822961" w:rsidRPr="009A6F83" w:rsidRDefault="00822961" w:rsidP="00E068A0">
            <w:pPr>
              <w:pStyle w:val="MDPI42tablebody"/>
              <w:spacing w:line="240" w:lineRule="auto"/>
              <w:rPr>
                <w:b/>
              </w:rPr>
            </w:pPr>
            <w:r w:rsidRPr="00BE61EF">
              <w:rPr>
                <w:b/>
              </w:rPr>
              <w:t>Model 1</w:t>
            </w:r>
          </w:p>
        </w:tc>
        <w:tc>
          <w:tcPr>
            <w:tcW w:w="992" w:type="dxa"/>
            <w:tcBorders>
              <w:top w:val="single" w:sz="4" w:space="0" w:color="auto"/>
              <w:bottom w:val="single" w:sz="4" w:space="0" w:color="auto"/>
            </w:tcBorders>
          </w:tcPr>
          <w:p w14:paraId="7BA1D3DB" w14:textId="77777777" w:rsidR="00822961" w:rsidRPr="009A6F83" w:rsidRDefault="00822961" w:rsidP="00E068A0">
            <w:pPr>
              <w:pStyle w:val="MDPI42tablebody"/>
              <w:spacing w:line="240" w:lineRule="auto"/>
              <w:rPr>
                <w:b/>
              </w:rPr>
            </w:pPr>
            <w:r w:rsidRPr="00BE61EF">
              <w:rPr>
                <w:b/>
              </w:rPr>
              <w:t>Model 2</w:t>
            </w:r>
          </w:p>
        </w:tc>
        <w:tc>
          <w:tcPr>
            <w:tcW w:w="992" w:type="dxa"/>
            <w:tcBorders>
              <w:top w:val="single" w:sz="4" w:space="0" w:color="auto"/>
              <w:bottom w:val="single" w:sz="4" w:space="0" w:color="auto"/>
            </w:tcBorders>
          </w:tcPr>
          <w:p w14:paraId="0A496595" w14:textId="77777777" w:rsidR="00822961" w:rsidRPr="009A6F83" w:rsidRDefault="00822961" w:rsidP="00E068A0">
            <w:pPr>
              <w:pStyle w:val="MDPI42tablebody"/>
              <w:spacing w:line="240" w:lineRule="auto"/>
              <w:rPr>
                <w:b/>
              </w:rPr>
            </w:pPr>
            <w:r w:rsidRPr="00BE61EF">
              <w:rPr>
                <w:b/>
              </w:rPr>
              <w:t>Model 3</w:t>
            </w:r>
          </w:p>
        </w:tc>
        <w:tc>
          <w:tcPr>
            <w:tcW w:w="993" w:type="dxa"/>
            <w:tcBorders>
              <w:top w:val="single" w:sz="4" w:space="0" w:color="auto"/>
              <w:bottom w:val="single" w:sz="4" w:space="0" w:color="auto"/>
            </w:tcBorders>
          </w:tcPr>
          <w:p w14:paraId="3CCAC3B2" w14:textId="77777777" w:rsidR="00822961" w:rsidRPr="009A6F83" w:rsidRDefault="00822961" w:rsidP="00E068A0">
            <w:pPr>
              <w:pStyle w:val="MDPI42tablebody"/>
              <w:spacing w:line="240" w:lineRule="auto"/>
              <w:rPr>
                <w:b/>
              </w:rPr>
            </w:pPr>
            <w:r w:rsidRPr="00BE61EF">
              <w:rPr>
                <w:b/>
              </w:rPr>
              <w:t>Model 4</w:t>
            </w:r>
          </w:p>
        </w:tc>
      </w:tr>
      <w:tr w:rsidR="00822961" w:rsidRPr="00D80609" w14:paraId="364E854B" w14:textId="77777777" w:rsidTr="00E068A0">
        <w:tc>
          <w:tcPr>
            <w:tcW w:w="1701" w:type="dxa"/>
            <w:shd w:val="clear" w:color="auto" w:fill="auto"/>
            <w:vAlign w:val="center"/>
          </w:tcPr>
          <w:p w14:paraId="3EA42564" w14:textId="77777777" w:rsidR="00822961" w:rsidRPr="0046726B" w:rsidRDefault="00822961" w:rsidP="00E068A0">
            <w:pPr>
              <w:pStyle w:val="MDPI42tablebody"/>
              <w:spacing w:line="240" w:lineRule="auto"/>
              <w:jc w:val="left"/>
            </w:pPr>
            <w:r w:rsidRPr="0017403E">
              <w:rPr>
                <w:i/>
              </w:rPr>
              <w:t xml:space="preserve">Prolonged sickness absence </w:t>
            </w:r>
            <w:r w:rsidRPr="00057903">
              <w:t>(M=1,983; W=2,195)</w:t>
            </w:r>
          </w:p>
        </w:tc>
        <w:tc>
          <w:tcPr>
            <w:tcW w:w="709" w:type="dxa"/>
            <w:tcBorders>
              <w:top w:val="single" w:sz="4" w:space="0" w:color="auto"/>
            </w:tcBorders>
            <w:shd w:val="clear" w:color="auto" w:fill="auto"/>
            <w:vAlign w:val="center"/>
          </w:tcPr>
          <w:p w14:paraId="3A3B4CA3" w14:textId="77777777" w:rsidR="00822961" w:rsidRPr="0046726B" w:rsidRDefault="00822961" w:rsidP="00E068A0">
            <w:pPr>
              <w:pStyle w:val="MDPI42tablebody"/>
              <w:spacing w:line="240" w:lineRule="auto"/>
            </w:pPr>
          </w:p>
        </w:tc>
        <w:tc>
          <w:tcPr>
            <w:tcW w:w="1134" w:type="dxa"/>
            <w:tcBorders>
              <w:top w:val="single" w:sz="4" w:space="0" w:color="auto"/>
            </w:tcBorders>
            <w:shd w:val="clear" w:color="auto" w:fill="auto"/>
            <w:vAlign w:val="center"/>
          </w:tcPr>
          <w:p w14:paraId="0FF7E4DB" w14:textId="77777777" w:rsidR="00822961" w:rsidRPr="0046726B" w:rsidRDefault="00822961" w:rsidP="00E068A0">
            <w:pPr>
              <w:pStyle w:val="MDPI42tablebody"/>
              <w:spacing w:line="240" w:lineRule="auto"/>
            </w:pPr>
          </w:p>
        </w:tc>
        <w:tc>
          <w:tcPr>
            <w:tcW w:w="992" w:type="dxa"/>
            <w:tcBorders>
              <w:top w:val="single" w:sz="4" w:space="0" w:color="auto"/>
            </w:tcBorders>
          </w:tcPr>
          <w:p w14:paraId="34135EA8" w14:textId="77777777" w:rsidR="00822961" w:rsidRPr="0046726B" w:rsidRDefault="00822961" w:rsidP="00E068A0">
            <w:pPr>
              <w:pStyle w:val="MDPI42tablebody"/>
              <w:spacing w:line="240" w:lineRule="auto"/>
            </w:pPr>
          </w:p>
        </w:tc>
        <w:tc>
          <w:tcPr>
            <w:tcW w:w="993" w:type="dxa"/>
            <w:tcBorders>
              <w:top w:val="single" w:sz="4" w:space="0" w:color="auto"/>
            </w:tcBorders>
          </w:tcPr>
          <w:p w14:paraId="6623163D" w14:textId="77777777" w:rsidR="00822961" w:rsidRPr="0046726B" w:rsidRDefault="00822961" w:rsidP="00E068A0">
            <w:pPr>
              <w:pStyle w:val="MDPI42tablebody"/>
              <w:spacing w:line="240" w:lineRule="auto"/>
            </w:pPr>
          </w:p>
        </w:tc>
        <w:tc>
          <w:tcPr>
            <w:tcW w:w="992" w:type="dxa"/>
            <w:tcBorders>
              <w:top w:val="single" w:sz="4" w:space="0" w:color="auto"/>
            </w:tcBorders>
          </w:tcPr>
          <w:p w14:paraId="6B191FBD" w14:textId="77777777" w:rsidR="00822961" w:rsidRPr="0046726B" w:rsidRDefault="00822961" w:rsidP="00E068A0">
            <w:pPr>
              <w:pStyle w:val="MDPI42tablebody"/>
              <w:spacing w:line="240" w:lineRule="auto"/>
            </w:pPr>
          </w:p>
        </w:tc>
        <w:tc>
          <w:tcPr>
            <w:tcW w:w="709" w:type="dxa"/>
            <w:tcBorders>
              <w:top w:val="single" w:sz="4" w:space="0" w:color="auto"/>
            </w:tcBorders>
          </w:tcPr>
          <w:p w14:paraId="3DE37FFC" w14:textId="77777777" w:rsidR="00822961" w:rsidRPr="0046726B" w:rsidRDefault="00822961" w:rsidP="00E068A0">
            <w:pPr>
              <w:pStyle w:val="MDPI42tablebody"/>
              <w:spacing w:line="240" w:lineRule="auto"/>
            </w:pPr>
          </w:p>
        </w:tc>
        <w:tc>
          <w:tcPr>
            <w:tcW w:w="992" w:type="dxa"/>
            <w:tcBorders>
              <w:top w:val="single" w:sz="4" w:space="0" w:color="auto"/>
            </w:tcBorders>
          </w:tcPr>
          <w:p w14:paraId="5BB1B6CB" w14:textId="77777777" w:rsidR="00822961" w:rsidRPr="0046726B" w:rsidRDefault="00822961" w:rsidP="00E068A0">
            <w:pPr>
              <w:pStyle w:val="MDPI42tablebody"/>
              <w:spacing w:line="240" w:lineRule="auto"/>
            </w:pPr>
          </w:p>
        </w:tc>
        <w:tc>
          <w:tcPr>
            <w:tcW w:w="992" w:type="dxa"/>
            <w:tcBorders>
              <w:top w:val="single" w:sz="4" w:space="0" w:color="auto"/>
            </w:tcBorders>
          </w:tcPr>
          <w:p w14:paraId="4BBE7831" w14:textId="77777777" w:rsidR="00822961" w:rsidRPr="0046726B" w:rsidRDefault="00822961" w:rsidP="00E068A0">
            <w:pPr>
              <w:pStyle w:val="MDPI42tablebody"/>
              <w:spacing w:line="240" w:lineRule="auto"/>
            </w:pPr>
          </w:p>
        </w:tc>
        <w:tc>
          <w:tcPr>
            <w:tcW w:w="992" w:type="dxa"/>
            <w:tcBorders>
              <w:top w:val="single" w:sz="4" w:space="0" w:color="auto"/>
            </w:tcBorders>
          </w:tcPr>
          <w:p w14:paraId="6515BF99" w14:textId="77777777" w:rsidR="00822961" w:rsidRPr="0046726B" w:rsidRDefault="00822961" w:rsidP="00E068A0">
            <w:pPr>
              <w:pStyle w:val="MDPI42tablebody"/>
              <w:spacing w:line="240" w:lineRule="auto"/>
            </w:pPr>
          </w:p>
        </w:tc>
        <w:tc>
          <w:tcPr>
            <w:tcW w:w="993" w:type="dxa"/>
            <w:tcBorders>
              <w:top w:val="single" w:sz="4" w:space="0" w:color="auto"/>
            </w:tcBorders>
          </w:tcPr>
          <w:p w14:paraId="0E643B95" w14:textId="77777777" w:rsidR="00822961" w:rsidRPr="0046726B" w:rsidRDefault="00822961" w:rsidP="00E068A0">
            <w:pPr>
              <w:pStyle w:val="MDPI42tablebody"/>
              <w:spacing w:line="240" w:lineRule="auto"/>
            </w:pPr>
          </w:p>
        </w:tc>
      </w:tr>
      <w:tr w:rsidR="00822961" w:rsidRPr="00D80609" w14:paraId="1B90FBDC" w14:textId="77777777" w:rsidTr="00E068A0">
        <w:tc>
          <w:tcPr>
            <w:tcW w:w="1701" w:type="dxa"/>
            <w:shd w:val="clear" w:color="auto" w:fill="auto"/>
          </w:tcPr>
          <w:p w14:paraId="7D5C50A1" w14:textId="77777777" w:rsidR="00822961" w:rsidRPr="0046726B" w:rsidRDefault="00822961" w:rsidP="00E068A0">
            <w:pPr>
              <w:pStyle w:val="MDPI42tablebody"/>
              <w:spacing w:line="240" w:lineRule="auto"/>
              <w:jc w:val="left"/>
            </w:pPr>
            <w:r w:rsidRPr="00F60C9D">
              <w:t>18.5 - 24.9 (Normal)</w:t>
            </w:r>
          </w:p>
        </w:tc>
        <w:tc>
          <w:tcPr>
            <w:tcW w:w="709" w:type="dxa"/>
            <w:shd w:val="clear" w:color="auto" w:fill="auto"/>
          </w:tcPr>
          <w:p w14:paraId="598E2E24" w14:textId="77777777" w:rsidR="00822961" w:rsidRPr="0046726B" w:rsidRDefault="00822961" w:rsidP="00E068A0">
            <w:pPr>
              <w:pStyle w:val="MDPI42tablebody"/>
              <w:spacing w:line="240" w:lineRule="auto"/>
            </w:pPr>
            <w:r w:rsidRPr="00731616">
              <w:t>42 (4.8)</w:t>
            </w:r>
          </w:p>
        </w:tc>
        <w:tc>
          <w:tcPr>
            <w:tcW w:w="4111" w:type="dxa"/>
            <w:gridSpan w:val="4"/>
            <w:shd w:val="clear" w:color="auto" w:fill="auto"/>
            <w:vAlign w:val="center"/>
          </w:tcPr>
          <w:p w14:paraId="3E8D0C72" w14:textId="77777777" w:rsidR="00822961" w:rsidRPr="0046726B" w:rsidRDefault="00822961" w:rsidP="00E068A0">
            <w:pPr>
              <w:pStyle w:val="MDPI42tablebody"/>
              <w:spacing w:line="240" w:lineRule="auto"/>
            </w:pPr>
            <w:r>
              <w:t>Ref</w:t>
            </w:r>
          </w:p>
        </w:tc>
        <w:tc>
          <w:tcPr>
            <w:tcW w:w="709" w:type="dxa"/>
          </w:tcPr>
          <w:p w14:paraId="4423446F" w14:textId="77777777" w:rsidR="00822961" w:rsidRPr="0046726B" w:rsidRDefault="00822961" w:rsidP="00E068A0">
            <w:pPr>
              <w:pStyle w:val="MDPI42tablebody"/>
              <w:spacing w:line="240" w:lineRule="auto"/>
            </w:pPr>
            <w:r w:rsidRPr="00057903">
              <w:t>97 (6.3)</w:t>
            </w:r>
          </w:p>
        </w:tc>
        <w:tc>
          <w:tcPr>
            <w:tcW w:w="3969" w:type="dxa"/>
            <w:gridSpan w:val="4"/>
            <w:vAlign w:val="center"/>
          </w:tcPr>
          <w:p w14:paraId="18053A0E" w14:textId="77777777" w:rsidR="00822961" w:rsidRPr="0046726B" w:rsidRDefault="00822961" w:rsidP="00E068A0">
            <w:pPr>
              <w:pStyle w:val="MDPI42tablebody"/>
              <w:spacing w:line="240" w:lineRule="auto"/>
            </w:pPr>
            <w:r>
              <w:t>Ref</w:t>
            </w:r>
          </w:p>
        </w:tc>
      </w:tr>
      <w:tr w:rsidR="00822961" w:rsidRPr="00D80609" w14:paraId="3BCC4EAF" w14:textId="77777777" w:rsidTr="00E068A0">
        <w:tc>
          <w:tcPr>
            <w:tcW w:w="1701" w:type="dxa"/>
            <w:shd w:val="clear" w:color="auto" w:fill="auto"/>
          </w:tcPr>
          <w:p w14:paraId="241AF96C" w14:textId="77777777" w:rsidR="00822961" w:rsidRPr="0046726B" w:rsidRDefault="00822961" w:rsidP="00E068A0">
            <w:pPr>
              <w:pStyle w:val="MDPI42tablebody"/>
              <w:spacing w:line="240" w:lineRule="auto"/>
              <w:jc w:val="left"/>
            </w:pPr>
            <w:r w:rsidRPr="00F60C9D">
              <w:t>25 - 29.9 (Overweight)</w:t>
            </w:r>
          </w:p>
        </w:tc>
        <w:tc>
          <w:tcPr>
            <w:tcW w:w="709" w:type="dxa"/>
            <w:shd w:val="clear" w:color="auto" w:fill="auto"/>
          </w:tcPr>
          <w:p w14:paraId="39DF5730" w14:textId="77777777" w:rsidR="00822961" w:rsidRPr="0046726B" w:rsidRDefault="00822961" w:rsidP="00E068A0">
            <w:pPr>
              <w:pStyle w:val="MDPI42tablebody"/>
              <w:spacing w:line="240" w:lineRule="auto"/>
            </w:pPr>
            <w:r w:rsidRPr="00731616">
              <w:t>107 (7.4)</w:t>
            </w:r>
          </w:p>
        </w:tc>
        <w:tc>
          <w:tcPr>
            <w:tcW w:w="1134" w:type="dxa"/>
            <w:shd w:val="clear" w:color="auto" w:fill="auto"/>
          </w:tcPr>
          <w:p w14:paraId="482093B2" w14:textId="77777777" w:rsidR="00822961" w:rsidRPr="00057903" w:rsidRDefault="00822961" w:rsidP="00E068A0">
            <w:pPr>
              <w:pStyle w:val="MDPI42tablebody"/>
              <w:spacing w:line="240" w:lineRule="auto"/>
              <w:rPr>
                <w:b/>
              </w:rPr>
            </w:pPr>
            <w:r w:rsidRPr="00057903">
              <w:rPr>
                <w:b/>
              </w:rPr>
              <w:t>1.5 (1.0,2.1)</w:t>
            </w:r>
          </w:p>
        </w:tc>
        <w:tc>
          <w:tcPr>
            <w:tcW w:w="992" w:type="dxa"/>
          </w:tcPr>
          <w:p w14:paraId="24CEE38A" w14:textId="77777777" w:rsidR="00822961" w:rsidRPr="0046726B" w:rsidRDefault="00822961" w:rsidP="00E068A0">
            <w:pPr>
              <w:pStyle w:val="MDPI42tablebody"/>
              <w:spacing w:line="240" w:lineRule="auto"/>
            </w:pPr>
            <w:r w:rsidRPr="00057903">
              <w:t>1.4 (0.9,2.0)</w:t>
            </w:r>
          </w:p>
        </w:tc>
        <w:tc>
          <w:tcPr>
            <w:tcW w:w="993" w:type="dxa"/>
          </w:tcPr>
          <w:p w14:paraId="2FFBF0BD" w14:textId="77777777" w:rsidR="00822961" w:rsidRPr="0046726B" w:rsidRDefault="00822961" w:rsidP="00E068A0">
            <w:pPr>
              <w:pStyle w:val="MDPI42tablebody"/>
              <w:spacing w:line="240" w:lineRule="auto"/>
            </w:pPr>
            <w:r w:rsidRPr="00057903">
              <w:t>1.4 (0.9,2.1)</w:t>
            </w:r>
          </w:p>
        </w:tc>
        <w:tc>
          <w:tcPr>
            <w:tcW w:w="992" w:type="dxa"/>
          </w:tcPr>
          <w:p w14:paraId="6F4F40B3" w14:textId="77777777" w:rsidR="00822961" w:rsidRPr="0046726B" w:rsidRDefault="00822961" w:rsidP="00E068A0">
            <w:pPr>
              <w:pStyle w:val="MDPI42tablebody"/>
              <w:spacing w:line="240" w:lineRule="auto"/>
            </w:pPr>
            <w:r w:rsidRPr="00057903">
              <w:t>1.4 (0.9,2.0)</w:t>
            </w:r>
          </w:p>
        </w:tc>
        <w:tc>
          <w:tcPr>
            <w:tcW w:w="709" w:type="dxa"/>
          </w:tcPr>
          <w:p w14:paraId="4E71FC27" w14:textId="77777777" w:rsidR="00822961" w:rsidRPr="0046726B" w:rsidRDefault="00822961" w:rsidP="00E068A0">
            <w:pPr>
              <w:pStyle w:val="MDPI42tablebody"/>
              <w:spacing w:line="240" w:lineRule="auto"/>
            </w:pPr>
            <w:r w:rsidRPr="00057903">
              <w:t>78 (6.4)</w:t>
            </w:r>
          </w:p>
        </w:tc>
        <w:tc>
          <w:tcPr>
            <w:tcW w:w="992" w:type="dxa"/>
          </w:tcPr>
          <w:p w14:paraId="05E33804" w14:textId="77777777" w:rsidR="00822961" w:rsidRPr="0046726B" w:rsidRDefault="00822961" w:rsidP="00E068A0">
            <w:pPr>
              <w:pStyle w:val="MDPI42tablebody"/>
              <w:spacing w:line="240" w:lineRule="auto"/>
            </w:pPr>
            <w:r w:rsidRPr="00A67B4E">
              <w:t>1.1 (0.8,1.5)</w:t>
            </w:r>
          </w:p>
        </w:tc>
        <w:tc>
          <w:tcPr>
            <w:tcW w:w="992" w:type="dxa"/>
          </w:tcPr>
          <w:p w14:paraId="78E8AEBE" w14:textId="77777777" w:rsidR="00822961" w:rsidRPr="0046726B" w:rsidRDefault="00822961" w:rsidP="00E068A0">
            <w:pPr>
              <w:pStyle w:val="MDPI42tablebody"/>
              <w:spacing w:line="240" w:lineRule="auto"/>
            </w:pPr>
            <w:r w:rsidRPr="00A67B4E">
              <w:t>1.0 (0.8,1.5)</w:t>
            </w:r>
          </w:p>
        </w:tc>
        <w:tc>
          <w:tcPr>
            <w:tcW w:w="992" w:type="dxa"/>
          </w:tcPr>
          <w:p w14:paraId="11849F32" w14:textId="77777777" w:rsidR="00822961" w:rsidRPr="0046726B" w:rsidRDefault="00822961" w:rsidP="00E068A0">
            <w:pPr>
              <w:pStyle w:val="MDPI42tablebody"/>
              <w:spacing w:line="240" w:lineRule="auto"/>
            </w:pPr>
            <w:r w:rsidRPr="00A67B4E">
              <w:t>1.0 (0.7,1.5)</w:t>
            </w:r>
          </w:p>
        </w:tc>
        <w:tc>
          <w:tcPr>
            <w:tcW w:w="993" w:type="dxa"/>
          </w:tcPr>
          <w:p w14:paraId="27DBF17F" w14:textId="77777777" w:rsidR="00822961" w:rsidRPr="0046726B" w:rsidRDefault="00822961" w:rsidP="00E068A0">
            <w:pPr>
              <w:pStyle w:val="MDPI42tablebody"/>
              <w:spacing w:line="240" w:lineRule="auto"/>
            </w:pPr>
            <w:r w:rsidRPr="00A67B4E">
              <w:t>1.0 (0.7,1.4)</w:t>
            </w:r>
          </w:p>
        </w:tc>
      </w:tr>
      <w:tr w:rsidR="00822961" w:rsidRPr="00D80609" w14:paraId="4A07FC73" w14:textId="77777777" w:rsidTr="00E068A0">
        <w:tc>
          <w:tcPr>
            <w:tcW w:w="1701" w:type="dxa"/>
            <w:shd w:val="clear" w:color="auto" w:fill="auto"/>
          </w:tcPr>
          <w:p w14:paraId="27F3563C" w14:textId="77777777" w:rsidR="00822961" w:rsidRPr="0046726B" w:rsidRDefault="00822961" w:rsidP="00E068A0">
            <w:pPr>
              <w:pStyle w:val="MDPI42tablebody"/>
              <w:spacing w:line="240" w:lineRule="auto"/>
              <w:jc w:val="left"/>
            </w:pPr>
            <w:r w:rsidRPr="00F60C9D">
              <w:t>30 - 39.9 (Obese)</w:t>
            </w:r>
          </w:p>
        </w:tc>
        <w:tc>
          <w:tcPr>
            <w:tcW w:w="709" w:type="dxa"/>
            <w:shd w:val="clear" w:color="auto" w:fill="auto"/>
          </w:tcPr>
          <w:p w14:paraId="3D3FFA4A" w14:textId="77777777" w:rsidR="00822961" w:rsidRPr="0046726B" w:rsidRDefault="00822961" w:rsidP="00E068A0">
            <w:pPr>
              <w:pStyle w:val="MDPI42tablebody"/>
              <w:spacing w:line="240" w:lineRule="auto"/>
            </w:pPr>
            <w:r w:rsidRPr="00731616">
              <w:t>54 (8.0)</w:t>
            </w:r>
          </w:p>
        </w:tc>
        <w:tc>
          <w:tcPr>
            <w:tcW w:w="1134" w:type="dxa"/>
            <w:shd w:val="clear" w:color="auto" w:fill="auto"/>
          </w:tcPr>
          <w:p w14:paraId="5A71AF17" w14:textId="77777777" w:rsidR="00822961" w:rsidRPr="00057903" w:rsidRDefault="00822961" w:rsidP="00E068A0">
            <w:pPr>
              <w:pStyle w:val="MDPI42tablebody"/>
              <w:spacing w:line="240" w:lineRule="auto"/>
              <w:rPr>
                <w:b/>
              </w:rPr>
            </w:pPr>
            <w:r w:rsidRPr="00057903">
              <w:rPr>
                <w:b/>
              </w:rPr>
              <w:t>1.7 (1.1,2.6)</w:t>
            </w:r>
          </w:p>
        </w:tc>
        <w:tc>
          <w:tcPr>
            <w:tcW w:w="992" w:type="dxa"/>
          </w:tcPr>
          <w:p w14:paraId="5656E6C3" w14:textId="77777777" w:rsidR="00822961" w:rsidRPr="00057903" w:rsidRDefault="00822961" w:rsidP="00E068A0">
            <w:pPr>
              <w:pStyle w:val="MDPI42tablebody"/>
              <w:spacing w:line="240" w:lineRule="auto"/>
              <w:rPr>
                <w:b/>
              </w:rPr>
            </w:pPr>
            <w:r w:rsidRPr="00057903">
              <w:rPr>
                <w:b/>
              </w:rPr>
              <w:t>1.6 (1.0,2.4)</w:t>
            </w:r>
          </w:p>
        </w:tc>
        <w:tc>
          <w:tcPr>
            <w:tcW w:w="993" w:type="dxa"/>
          </w:tcPr>
          <w:p w14:paraId="5EDFA5C6" w14:textId="77777777" w:rsidR="00822961" w:rsidRPr="00057903" w:rsidRDefault="00822961" w:rsidP="00E068A0">
            <w:pPr>
              <w:pStyle w:val="MDPI42tablebody"/>
              <w:spacing w:line="240" w:lineRule="auto"/>
              <w:rPr>
                <w:b/>
              </w:rPr>
            </w:pPr>
            <w:r w:rsidRPr="00057903">
              <w:rPr>
                <w:b/>
              </w:rPr>
              <w:t>1.6 (1.0,2.5)</w:t>
            </w:r>
          </w:p>
        </w:tc>
        <w:tc>
          <w:tcPr>
            <w:tcW w:w="992" w:type="dxa"/>
          </w:tcPr>
          <w:p w14:paraId="44E77C17" w14:textId="77777777" w:rsidR="00822961" w:rsidRPr="0046726B" w:rsidRDefault="00822961" w:rsidP="00E068A0">
            <w:pPr>
              <w:pStyle w:val="MDPI42tablebody"/>
              <w:spacing w:line="240" w:lineRule="auto"/>
            </w:pPr>
            <w:r w:rsidRPr="00057903">
              <w:t>1.5 (0.9,2.3)</w:t>
            </w:r>
          </w:p>
        </w:tc>
        <w:tc>
          <w:tcPr>
            <w:tcW w:w="709" w:type="dxa"/>
          </w:tcPr>
          <w:p w14:paraId="7F904C0D" w14:textId="77777777" w:rsidR="00822961" w:rsidRPr="0046726B" w:rsidRDefault="00822961" w:rsidP="00E068A0">
            <w:pPr>
              <w:pStyle w:val="MDPI42tablebody"/>
              <w:spacing w:line="240" w:lineRule="auto"/>
            </w:pPr>
            <w:r w:rsidRPr="00057903">
              <w:t>87 (11.0)</w:t>
            </w:r>
          </w:p>
        </w:tc>
        <w:tc>
          <w:tcPr>
            <w:tcW w:w="992" w:type="dxa"/>
          </w:tcPr>
          <w:p w14:paraId="5DC29CC9" w14:textId="77777777" w:rsidR="00822961" w:rsidRPr="00057903" w:rsidRDefault="00822961" w:rsidP="00E068A0">
            <w:pPr>
              <w:pStyle w:val="MDPI42tablebody"/>
              <w:spacing w:line="240" w:lineRule="auto"/>
              <w:rPr>
                <w:b/>
              </w:rPr>
            </w:pPr>
            <w:r w:rsidRPr="00057903">
              <w:rPr>
                <w:b/>
              </w:rPr>
              <w:t>2.0 (1.4,2.7)</w:t>
            </w:r>
          </w:p>
        </w:tc>
        <w:tc>
          <w:tcPr>
            <w:tcW w:w="992" w:type="dxa"/>
          </w:tcPr>
          <w:p w14:paraId="0E05B3D9" w14:textId="77777777" w:rsidR="00822961" w:rsidRPr="00057903" w:rsidRDefault="00822961" w:rsidP="00E068A0">
            <w:pPr>
              <w:pStyle w:val="MDPI42tablebody"/>
              <w:spacing w:line="240" w:lineRule="auto"/>
              <w:rPr>
                <w:b/>
              </w:rPr>
            </w:pPr>
            <w:r w:rsidRPr="00057903">
              <w:rPr>
                <w:b/>
              </w:rPr>
              <w:t>2.0 (1.4,2.7)</w:t>
            </w:r>
          </w:p>
        </w:tc>
        <w:tc>
          <w:tcPr>
            <w:tcW w:w="992" w:type="dxa"/>
          </w:tcPr>
          <w:p w14:paraId="0BD143BB" w14:textId="77777777" w:rsidR="00822961" w:rsidRPr="00057903" w:rsidRDefault="00822961" w:rsidP="00E068A0">
            <w:pPr>
              <w:pStyle w:val="MDPI42tablebody"/>
              <w:spacing w:line="240" w:lineRule="auto"/>
              <w:rPr>
                <w:b/>
              </w:rPr>
            </w:pPr>
            <w:r w:rsidRPr="00057903">
              <w:rPr>
                <w:b/>
              </w:rPr>
              <w:t>2.0 (1.4,2.7)</w:t>
            </w:r>
          </w:p>
        </w:tc>
        <w:tc>
          <w:tcPr>
            <w:tcW w:w="993" w:type="dxa"/>
          </w:tcPr>
          <w:p w14:paraId="762023BD" w14:textId="77777777" w:rsidR="00822961" w:rsidRPr="00057903" w:rsidRDefault="00822961" w:rsidP="00E068A0">
            <w:pPr>
              <w:pStyle w:val="MDPI42tablebody"/>
              <w:spacing w:line="240" w:lineRule="auto"/>
              <w:rPr>
                <w:b/>
              </w:rPr>
            </w:pPr>
            <w:r w:rsidRPr="00057903">
              <w:rPr>
                <w:b/>
              </w:rPr>
              <w:t>1.7 (1.2,2.3)</w:t>
            </w:r>
          </w:p>
        </w:tc>
      </w:tr>
      <w:tr w:rsidR="00822961" w:rsidRPr="00D80609" w14:paraId="0C241434" w14:textId="77777777" w:rsidTr="00E068A0">
        <w:tc>
          <w:tcPr>
            <w:tcW w:w="1701" w:type="dxa"/>
            <w:shd w:val="clear" w:color="auto" w:fill="auto"/>
          </w:tcPr>
          <w:p w14:paraId="2F6CAC1C" w14:textId="13EB70B1" w:rsidR="00822961" w:rsidRPr="0046726B" w:rsidRDefault="00822961" w:rsidP="00FC276C">
            <w:pPr>
              <w:pStyle w:val="MDPI42tablebody"/>
              <w:spacing w:line="240" w:lineRule="auto"/>
              <w:jc w:val="left"/>
            </w:pPr>
            <w:r w:rsidRPr="00F60C9D">
              <w:t>≥40 (</w:t>
            </w:r>
            <w:r w:rsidR="00FC276C">
              <w:rPr>
                <w:rFonts w:cs="Arial"/>
                <w:b/>
                <w:lang w:eastAsia="en-GB"/>
              </w:rPr>
              <w:t>Severely</w:t>
            </w:r>
            <w:r w:rsidR="00FC276C" w:rsidRPr="00F60C9D">
              <w:t xml:space="preserve"> </w:t>
            </w:r>
            <w:r w:rsidRPr="00F60C9D">
              <w:t>Obese )</w:t>
            </w:r>
          </w:p>
        </w:tc>
        <w:tc>
          <w:tcPr>
            <w:tcW w:w="709" w:type="dxa"/>
            <w:shd w:val="clear" w:color="auto" w:fill="auto"/>
          </w:tcPr>
          <w:p w14:paraId="771369F6" w14:textId="77777777" w:rsidR="00822961" w:rsidRPr="0046726B" w:rsidRDefault="00822961" w:rsidP="00E068A0">
            <w:pPr>
              <w:pStyle w:val="MDPI42tablebody"/>
              <w:spacing w:line="240" w:lineRule="auto"/>
            </w:pPr>
            <w:r w:rsidRPr="00731616">
              <w:t>3 (7.0)</w:t>
            </w:r>
          </w:p>
        </w:tc>
        <w:tc>
          <w:tcPr>
            <w:tcW w:w="1134" w:type="dxa"/>
            <w:shd w:val="clear" w:color="auto" w:fill="auto"/>
          </w:tcPr>
          <w:p w14:paraId="3ED5009F" w14:textId="77777777" w:rsidR="00822961" w:rsidRPr="0046726B" w:rsidRDefault="00822961" w:rsidP="00E068A0">
            <w:pPr>
              <w:pStyle w:val="MDPI42tablebody"/>
              <w:spacing w:line="240" w:lineRule="auto"/>
            </w:pPr>
            <w:r w:rsidRPr="00057903">
              <w:t>1.9 (0.5,6.6)</w:t>
            </w:r>
          </w:p>
        </w:tc>
        <w:tc>
          <w:tcPr>
            <w:tcW w:w="992" w:type="dxa"/>
          </w:tcPr>
          <w:p w14:paraId="0C85B027" w14:textId="77777777" w:rsidR="00822961" w:rsidRPr="0046726B" w:rsidRDefault="00822961" w:rsidP="00E068A0">
            <w:pPr>
              <w:pStyle w:val="MDPI42tablebody"/>
              <w:spacing w:line="240" w:lineRule="auto"/>
            </w:pPr>
            <w:r w:rsidRPr="00057903">
              <w:t>1.7 (0.5,6.1)</w:t>
            </w:r>
          </w:p>
        </w:tc>
        <w:tc>
          <w:tcPr>
            <w:tcW w:w="993" w:type="dxa"/>
          </w:tcPr>
          <w:p w14:paraId="7FC37A37" w14:textId="77777777" w:rsidR="00822961" w:rsidRPr="0046726B" w:rsidRDefault="00822961" w:rsidP="00E068A0">
            <w:pPr>
              <w:pStyle w:val="MDPI42tablebody"/>
              <w:spacing w:line="240" w:lineRule="auto"/>
            </w:pPr>
            <w:r w:rsidRPr="00057903">
              <w:t>1.9 (0.5,6.7)</w:t>
            </w:r>
          </w:p>
        </w:tc>
        <w:tc>
          <w:tcPr>
            <w:tcW w:w="992" w:type="dxa"/>
          </w:tcPr>
          <w:p w14:paraId="09349D13" w14:textId="77777777" w:rsidR="00822961" w:rsidRPr="0046726B" w:rsidRDefault="00822961" w:rsidP="00E068A0">
            <w:pPr>
              <w:pStyle w:val="MDPI42tablebody"/>
              <w:spacing w:line="240" w:lineRule="auto"/>
            </w:pPr>
            <w:r w:rsidRPr="00057903">
              <w:t>1.3 (0.4,4.9)</w:t>
            </w:r>
          </w:p>
        </w:tc>
        <w:tc>
          <w:tcPr>
            <w:tcW w:w="709" w:type="dxa"/>
          </w:tcPr>
          <w:p w14:paraId="427A9694" w14:textId="77777777" w:rsidR="00822961" w:rsidRPr="0046726B" w:rsidRDefault="00822961" w:rsidP="00E068A0">
            <w:pPr>
              <w:pStyle w:val="MDPI42tablebody"/>
              <w:spacing w:line="240" w:lineRule="auto"/>
            </w:pPr>
            <w:r w:rsidRPr="00057903">
              <w:t>14 (13.7)</w:t>
            </w:r>
          </w:p>
        </w:tc>
        <w:tc>
          <w:tcPr>
            <w:tcW w:w="992" w:type="dxa"/>
          </w:tcPr>
          <w:p w14:paraId="73EF79D7" w14:textId="77777777" w:rsidR="00822961" w:rsidRPr="00057903" w:rsidRDefault="00822961" w:rsidP="00E068A0">
            <w:pPr>
              <w:pStyle w:val="MDPI42tablebody"/>
              <w:spacing w:line="240" w:lineRule="auto"/>
              <w:rPr>
                <w:b/>
              </w:rPr>
            </w:pPr>
            <w:r w:rsidRPr="00057903">
              <w:rPr>
                <w:b/>
              </w:rPr>
              <w:t>2.9 (1.5,5.5)</w:t>
            </w:r>
          </w:p>
        </w:tc>
        <w:tc>
          <w:tcPr>
            <w:tcW w:w="992" w:type="dxa"/>
          </w:tcPr>
          <w:p w14:paraId="45221149" w14:textId="77777777" w:rsidR="00822961" w:rsidRPr="00057903" w:rsidRDefault="00822961" w:rsidP="00E068A0">
            <w:pPr>
              <w:pStyle w:val="MDPI42tablebody"/>
              <w:spacing w:line="240" w:lineRule="auto"/>
              <w:rPr>
                <w:b/>
              </w:rPr>
            </w:pPr>
            <w:r w:rsidRPr="00057903">
              <w:rPr>
                <w:b/>
              </w:rPr>
              <w:t>2.6 (1.3,5.1)</w:t>
            </w:r>
          </w:p>
        </w:tc>
        <w:tc>
          <w:tcPr>
            <w:tcW w:w="992" w:type="dxa"/>
          </w:tcPr>
          <w:p w14:paraId="46FDF1D0" w14:textId="77777777" w:rsidR="00822961" w:rsidRPr="00057903" w:rsidRDefault="00822961" w:rsidP="00E068A0">
            <w:pPr>
              <w:pStyle w:val="MDPI42tablebody"/>
              <w:spacing w:line="240" w:lineRule="auto"/>
              <w:rPr>
                <w:b/>
              </w:rPr>
            </w:pPr>
            <w:r w:rsidRPr="00057903">
              <w:rPr>
                <w:b/>
              </w:rPr>
              <w:t>2.6 (1.3,5.1)</w:t>
            </w:r>
          </w:p>
        </w:tc>
        <w:tc>
          <w:tcPr>
            <w:tcW w:w="993" w:type="dxa"/>
          </w:tcPr>
          <w:p w14:paraId="17329FAB" w14:textId="77777777" w:rsidR="00822961" w:rsidRPr="00057903" w:rsidRDefault="00822961" w:rsidP="00E068A0">
            <w:pPr>
              <w:pStyle w:val="MDPI42tablebody"/>
              <w:spacing w:line="240" w:lineRule="auto"/>
              <w:rPr>
                <w:b/>
              </w:rPr>
            </w:pPr>
            <w:r w:rsidRPr="00057903">
              <w:rPr>
                <w:b/>
              </w:rPr>
              <w:t>2.2 (1.1,4.4)</w:t>
            </w:r>
          </w:p>
        </w:tc>
      </w:tr>
      <w:tr w:rsidR="00822961" w:rsidRPr="00D80609" w14:paraId="199CA3D1" w14:textId="77777777" w:rsidTr="00E068A0">
        <w:tc>
          <w:tcPr>
            <w:tcW w:w="1701" w:type="dxa"/>
            <w:shd w:val="clear" w:color="auto" w:fill="auto"/>
            <w:vAlign w:val="center"/>
          </w:tcPr>
          <w:p w14:paraId="5F27C164" w14:textId="77777777" w:rsidR="00822961" w:rsidRPr="0046726B" w:rsidRDefault="00822961" w:rsidP="00E068A0">
            <w:pPr>
              <w:pStyle w:val="MDPI42tablebody"/>
              <w:spacing w:line="240" w:lineRule="auto"/>
            </w:pPr>
          </w:p>
        </w:tc>
        <w:tc>
          <w:tcPr>
            <w:tcW w:w="709" w:type="dxa"/>
            <w:shd w:val="clear" w:color="auto" w:fill="auto"/>
            <w:vAlign w:val="center"/>
          </w:tcPr>
          <w:p w14:paraId="13330381" w14:textId="77777777" w:rsidR="00822961" w:rsidRPr="0046726B" w:rsidRDefault="00822961" w:rsidP="00E068A0">
            <w:pPr>
              <w:pStyle w:val="MDPI42tablebody"/>
              <w:spacing w:line="240" w:lineRule="auto"/>
            </w:pPr>
          </w:p>
        </w:tc>
        <w:tc>
          <w:tcPr>
            <w:tcW w:w="1134" w:type="dxa"/>
            <w:shd w:val="clear" w:color="auto" w:fill="auto"/>
            <w:vAlign w:val="center"/>
          </w:tcPr>
          <w:p w14:paraId="271A2E1A" w14:textId="77777777" w:rsidR="00822961" w:rsidRPr="0046726B" w:rsidRDefault="00822961" w:rsidP="00E068A0">
            <w:pPr>
              <w:pStyle w:val="MDPI42tablebody"/>
              <w:spacing w:line="240" w:lineRule="auto"/>
            </w:pPr>
          </w:p>
        </w:tc>
        <w:tc>
          <w:tcPr>
            <w:tcW w:w="992" w:type="dxa"/>
          </w:tcPr>
          <w:p w14:paraId="326764CD" w14:textId="77777777" w:rsidR="00822961" w:rsidRPr="0046726B" w:rsidRDefault="00822961" w:rsidP="00E068A0">
            <w:pPr>
              <w:pStyle w:val="MDPI42tablebody"/>
              <w:spacing w:line="240" w:lineRule="auto"/>
            </w:pPr>
          </w:p>
        </w:tc>
        <w:tc>
          <w:tcPr>
            <w:tcW w:w="993" w:type="dxa"/>
          </w:tcPr>
          <w:p w14:paraId="4392DFA5" w14:textId="77777777" w:rsidR="00822961" w:rsidRPr="0046726B" w:rsidRDefault="00822961" w:rsidP="00E068A0">
            <w:pPr>
              <w:pStyle w:val="MDPI42tablebody"/>
              <w:spacing w:line="240" w:lineRule="auto"/>
            </w:pPr>
          </w:p>
        </w:tc>
        <w:tc>
          <w:tcPr>
            <w:tcW w:w="992" w:type="dxa"/>
          </w:tcPr>
          <w:p w14:paraId="749A883E" w14:textId="77777777" w:rsidR="00822961" w:rsidRPr="0046726B" w:rsidRDefault="00822961" w:rsidP="00E068A0">
            <w:pPr>
              <w:pStyle w:val="MDPI42tablebody"/>
              <w:spacing w:line="240" w:lineRule="auto"/>
            </w:pPr>
          </w:p>
        </w:tc>
        <w:tc>
          <w:tcPr>
            <w:tcW w:w="709" w:type="dxa"/>
          </w:tcPr>
          <w:p w14:paraId="6769A16A" w14:textId="77777777" w:rsidR="00822961" w:rsidRPr="0046726B" w:rsidRDefault="00822961" w:rsidP="00E068A0">
            <w:pPr>
              <w:pStyle w:val="MDPI42tablebody"/>
              <w:spacing w:line="240" w:lineRule="auto"/>
            </w:pPr>
          </w:p>
        </w:tc>
        <w:tc>
          <w:tcPr>
            <w:tcW w:w="992" w:type="dxa"/>
          </w:tcPr>
          <w:p w14:paraId="5A62591D" w14:textId="77777777" w:rsidR="00822961" w:rsidRPr="0046726B" w:rsidRDefault="00822961" w:rsidP="00E068A0">
            <w:pPr>
              <w:pStyle w:val="MDPI42tablebody"/>
              <w:spacing w:line="240" w:lineRule="auto"/>
            </w:pPr>
          </w:p>
        </w:tc>
        <w:tc>
          <w:tcPr>
            <w:tcW w:w="992" w:type="dxa"/>
          </w:tcPr>
          <w:p w14:paraId="0A01A62C" w14:textId="77777777" w:rsidR="00822961" w:rsidRPr="0046726B" w:rsidRDefault="00822961" w:rsidP="00E068A0">
            <w:pPr>
              <w:pStyle w:val="MDPI42tablebody"/>
              <w:spacing w:line="240" w:lineRule="auto"/>
            </w:pPr>
          </w:p>
        </w:tc>
        <w:tc>
          <w:tcPr>
            <w:tcW w:w="992" w:type="dxa"/>
          </w:tcPr>
          <w:p w14:paraId="7C50AA64" w14:textId="77777777" w:rsidR="00822961" w:rsidRPr="0046726B" w:rsidRDefault="00822961" w:rsidP="00E068A0">
            <w:pPr>
              <w:pStyle w:val="MDPI42tablebody"/>
              <w:spacing w:line="240" w:lineRule="auto"/>
            </w:pPr>
          </w:p>
        </w:tc>
        <w:tc>
          <w:tcPr>
            <w:tcW w:w="993" w:type="dxa"/>
          </w:tcPr>
          <w:p w14:paraId="3DA5B850" w14:textId="77777777" w:rsidR="00822961" w:rsidRPr="0046726B" w:rsidRDefault="00822961" w:rsidP="00E068A0">
            <w:pPr>
              <w:pStyle w:val="MDPI42tablebody"/>
              <w:spacing w:line="240" w:lineRule="auto"/>
            </w:pPr>
          </w:p>
        </w:tc>
      </w:tr>
      <w:tr w:rsidR="00822961" w:rsidRPr="00D80609" w14:paraId="0966F2B2" w14:textId="77777777" w:rsidTr="00E068A0">
        <w:tc>
          <w:tcPr>
            <w:tcW w:w="1701" w:type="dxa"/>
            <w:shd w:val="clear" w:color="auto" w:fill="auto"/>
            <w:vAlign w:val="center"/>
          </w:tcPr>
          <w:p w14:paraId="294538BB" w14:textId="77777777" w:rsidR="00822961" w:rsidRPr="0046726B" w:rsidRDefault="00822961" w:rsidP="00E068A0">
            <w:pPr>
              <w:pStyle w:val="MDPI42tablebody"/>
              <w:spacing w:line="240" w:lineRule="auto"/>
              <w:jc w:val="left"/>
            </w:pPr>
            <w:r w:rsidRPr="0017403E">
              <w:rPr>
                <w:i/>
              </w:rPr>
              <w:t xml:space="preserve">Had to cut down work for health reasons </w:t>
            </w:r>
            <w:r w:rsidRPr="00057903">
              <w:t>(M=1,981; W=2,194)</w:t>
            </w:r>
          </w:p>
        </w:tc>
        <w:tc>
          <w:tcPr>
            <w:tcW w:w="709" w:type="dxa"/>
            <w:shd w:val="clear" w:color="auto" w:fill="auto"/>
            <w:vAlign w:val="center"/>
          </w:tcPr>
          <w:p w14:paraId="5F9E336D" w14:textId="77777777" w:rsidR="00822961" w:rsidRPr="0046726B" w:rsidRDefault="00822961" w:rsidP="00E068A0">
            <w:pPr>
              <w:pStyle w:val="MDPI42tablebody"/>
              <w:spacing w:line="240" w:lineRule="auto"/>
            </w:pPr>
          </w:p>
        </w:tc>
        <w:tc>
          <w:tcPr>
            <w:tcW w:w="1134" w:type="dxa"/>
            <w:shd w:val="clear" w:color="auto" w:fill="auto"/>
            <w:vAlign w:val="center"/>
          </w:tcPr>
          <w:p w14:paraId="5327C01A" w14:textId="77777777" w:rsidR="00822961" w:rsidRPr="0046726B" w:rsidRDefault="00822961" w:rsidP="00E068A0">
            <w:pPr>
              <w:pStyle w:val="MDPI42tablebody"/>
              <w:spacing w:line="240" w:lineRule="auto"/>
            </w:pPr>
          </w:p>
        </w:tc>
        <w:tc>
          <w:tcPr>
            <w:tcW w:w="992" w:type="dxa"/>
          </w:tcPr>
          <w:p w14:paraId="370187AD" w14:textId="77777777" w:rsidR="00822961" w:rsidRPr="0046726B" w:rsidRDefault="00822961" w:rsidP="00E068A0">
            <w:pPr>
              <w:pStyle w:val="MDPI42tablebody"/>
              <w:spacing w:line="240" w:lineRule="auto"/>
            </w:pPr>
          </w:p>
        </w:tc>
        <w:tc>
          <w:tcPr>
            <w:tcW w:w="993" w:type="dxa"/>
          </w:tcPr>
          <w:p w14:paraId="50BED6B5" w14:textId="77777777" w:rsidR="00822961" w:rsidRPr="0046726B" w:rsidRDefault="00822961" w:rsidP="00E068A0">
            <w:pPr>
              <w:pStyle w:val="MDPI42tablebody"/>
              <w:spacing w:line="240" w:lineRule="auto"/>
            </w:pPr>
          </w:p>
        </w:tc>
        <w:tc>
          <w:tcPr>
            <w:tcW w:w="992" w:type="dxa"/>
          </w:tcPr>
          <w:p w14:paraId="443FB5F2" w14:textId="77777777" w:rsidR="00822961" w:rsidRPr="0046726B" w:rsidRDefault="00822961" w:rsidP="00E068A0">
            <w:pPr>
              <w:pStyle w:val="MDPI42tablebody"/>
              <w:spacing w:line="240" w:lineRule="auto"/>
            </w:pPr>
          </w:p>
        </w:tc>
        <w:tc>
          <w:tcPr>
            <w:tcW w:w="709" w:type="dxa"/>
          </w:tcPr>
          <w:p w14:paraId="5B33D6BC" w14:textId="77777777" w:rsidR="00822961" w:rsidRPr="0046726B" w:rsidRDefault="00822961" w:rsidP="00E068A0">
            <w:pPr>
              <w:pStyle w:val="MDPI42tablebody"/>
              <w:spacing w:line="240" w:lineRule="auto"/>
            </w:pPr>
          </w:p>
        </w:tc>
        <w:tc>
          <w:tcPr>
            <w:tcW w:w="992" w:type="dxa"/>
          </w:tcPr>
          <w:p w14:paraId="6EC1D19F" w14:textId="77777777" w:rsidR="00822961" w:rsidRPr="0046726B" w:rsidRDefault="00822961" w:rsidP="00E068A0">
            <w:pPr>
              <w:pStyle w:val="MDPI42tablebody"/>
              <w:spacing w:line="240" w:lineRule="auto"/>
            </w:pPr>
          </w:p>
        </w:tc>
        <w:tc>
          <w:tcPr>
            <w:tcW w:w="992" w:type="dxa"/>
          </w:tcPr>
          <w:p w14:paraId="1C93AD1C" w14:textId="77777777" w:rsidR="00822961" w:rsidRPr="0046726B" w:rsidRDefault="00822961" w:rsidP="00E068A0">
            <w:pPr>
              <w:pStyle w:val="MDPI42tablebody"/>
              <w:spacing w:line="240" w:lineRule="auto"/>
            </w:pPr>
          </w:p>
        </w:tc>
        <w:tc>
          <w:tcPr>
            <w:tcW w:w="992" w:type="dxa"/>
          </w:tcPr>
          <w:p w14:paraId="6864D7AC" w14:textId="77777777" w:rsidR="00822961" w:rsidRPr="0046726B" w:rsidRDefault="00822961" w:rsidP="00E068A0">
            <w:pPr>
              <w:pStyle w:val="MDPI42tablebody"/>
              <w:spacing w:line="240" w:lineRule="auto"/>
            </w:pPr>
          </w:p>
        </w:tc>
        <w:tc>
          <w:tcPr>
            <w:tcW w:w="993" w:type="dxa"/>
          </w:tcPr>
          <w:p w14:paraId="7FB2CCC7" w14:textId="77777777" w:rsidR="00822961" w:rsidRPr="0046726B" w:rsidRDefault="00822961" w:rsidP="00E068A0">
            <w:pPr>
              <w:pStyle w:val="MDPI42tablebody"/>
              <w:spacing w:line="240" w:lineRule="auto"/>
            </w:pPr>
          </w:p>
        </w:tc>
      </w:tr>
      <w:tr w:rsidR="00822961" w:rsidRPr="00D80609" w14:paraId="0992CE35" w14:textId="77777777" w:rsidTr="00E068A0">
        <w:tc>
          <w:tcPr>
            <w:tcW w:w="1701" w:type="dxa"/>
            <w:shd w:val="clear" w:color="auto" w:fill="auto"/>
          </w:tcPr>
          <w:p w14:paraId="4D7948A4" w14:textId="77777777" w:rsidR="00822961" w:rsidRPr="0046726B" w:rsidRDefault="00822961" w:rsidP="00E068A0">
            <w:pPr>
              <w:pStyle w:val="MDPI42tablebody"/>
              <w:spacing w:line="240" w:lineRule="auto"/>
              <w:jc w:val="left"/>
            </w:pPr>
            <w:r w:rsidRPr="00057903">
              <w:t>18.5 - 24.9 (Normal)</w:t>
            </w:r>
          </w:p>
        </w:tc>
        <w:tc>
          <w:tcPr>
            <w:tcW w:w="709" w:type="dxa"/>
            <w:shd w:val="clear" w:color="auto" w:fill="auto"/>
            <w:vAlign w:val="center"/>
          </w:tcPr>
          <w:p w14:paraId="40E49B56" w14:textId="77777777" w:rsidR="00822961" w:rsidRPr="0046726B" w:rsidRDefault="00822961" w:rsidP="00E068A0">
            <w:pPr>
              <w:pStyle w:val="MDPI42tablebody"/>
              <w:spacing w:line="240" w:lineRule="auto"/>
            </w:pPr>
            <w:r w:rsidRPr="00057903">
              <w:t>37 (4.2)</w:t>
            </w:r>
          </w:p>
        </w:tc>
        <w:tc>
          <w:tcPr>
            <w:tcW w:w="4111" w:type="dxa"/>
            <w:gridSpan w:val="4"/>
            <w:shd w:val="clear" w:color="auto" w:fill="auto"/>
            <w:vAlign w:val="center"/>
          </w:tcPr>
          <w:p w14:paraId="1D281154" w14:textId="77777777" w:rsidR="00822961" w:rsidRPr="0046726B" w:rsidRDefault="00822961" w:rsidP="00E068A0">
            <w:pPr>
              <w:pStyle w:val="MDPI42tablebody"/>
              <w:spacing w:line="240" w:lineRule="auto"/>
            </w:pPr>
            <w:r>
              <w:t>Ref</w:t>
            </w:r>
          </w:p>
        </w:tc>
        <w:tc>
          <w:tcPr>
            <w:tcW w:w="709" w:type="dxa"/>
          </w:tcPr>
          <w:p w14:paraId="252D8A40" w14:textId="77777777" w:rsidR="00822961" w:rsidRPr="0046726B" w:rsidRDefault="00822961" w:rsidP="00E068A0">
            <w:pPr>
              <w:pStyle w:val="MDPI42tablebody"/>
              <w:spacing w:line="240" w:lineRule="auto"/>
            </w:pPr>
            <w:r w:rsidRPr="00F20284">
              <w:t>69 (4.5)</w:t>
            </w:r>
          </w:p>
        </w:tc>
        <w:tc>
          <w:tcPr>
            <w:tcW w:w="3969" w:type="dxa"/>
            <w:gridSpan w:val="4"/>
            <w:vAlign w:val="center"/>
          </w:tcPr>
          <w:p w14:paraId="5F1D7EB5" w14:textId="77777777" w:rsidR="00822961" w:rsidRPr="0046726B" w:rsidRDefault="00822961" w:rsidP="00E068A0">
            <w:pPr>
              <w:pStyle w:val="MDPI42tablebody"/>
              <w:spacing w:line="240" w:lineRule="auto"/>
            </w:pPr>
            <w:r>
              <w:t>Ref</w:t>
            </w:r>
          </w:p>
        </w:tc>
      </w:tr>
      <w:tr w:rsidR="00822961" w:rsidRPr="00D80609" w14:paraId="2351ED03" w14:textId="77777777" w:rsidTr="00E068A0">
        <w:tc>
          <w:tcPr>
            <w:tcW w:w="1701" w:type="dxa"/>
            <w:shd w:val="clear" w:color="auto" w:fill="auto"/>
          </w:tcPr>
          <w:p w14:paraId="5FFD82AC" w14:textId="77777777" w:rsidR="00822961" w:rsidRPr="0046726B" w:rsidRDefault="00822961" w:rsidP="00E068A0">
            <w:pPr>
              <w:pStyle w:val="MDPI42tablebody"/>
              <w:spacing w:line="240" w:lineRule="auto"/>
              <w:jc w:val="left"/>
            </w:pPr>
            <w:r w:rsidRPr="00057903">
              <w:t>25 - 29.9 (Overweight)</w:t>
            </w:r>
          </w:p>
        </w:tc>
        <w:tc>
          <w:tcPr>
            <w:tcW w:w="709" w:type="dxa"/>
            <w:shd w:val="clear" w:color="auto" w:fill="auto"/>
          </w:tcPr>
          <w:p w14:paraId="1B8ADBE6" w14:textId="77777777" w:rsidR="00822961" w:rsidRPr="0046726B" w:rsidRDefault="00822961" w:rsidP="00E068A0">
            <w:pPr>
              <w:pStyle w:val="MDPI42tablebody"/>
              <w:spacing w:line="240" w:lineRule="auto"/>
            </w:pPr>
            <w:r w:rsidRPr="005D1BE0">
              <w:t>77 (5.3)</w:t>
            </w:r>
          </w:p>
        </w:tc>
        <w:tc>
          <w:tcPr>
            <w:tcW w:w="1134" w:type="dxa"/>
            <w:shd w:val="clear" w:color="auto" w:fill="auto"/>
          </w:tcPr>
          <w:p w14:paraId="3922D11C" w14:textId="77777777" w:rsidR="00822961" w:rsidRPr="0046726B" w:rsidRDefault="00822961" w:rsidP="00E068A0">
            <w:pPr>
              <w:pStyle w:val="MDPI42tablebody"/>
              <w:spacing w:line="240" w:lineRule="auto"/>
            </w:pPr>
            <w:r w:rsidRPr="004732F0">
              <w:t>1.2 (0.8,1.8)</w:t>
            </w:r>
          </w:p>
        </w:tc>
        <w:tc>
          <w:tcPr>
            <w:tcW w:w="992" w:type="dxa"/>
          </w:tcPr>
          <w:p w14:paraId="07BCEEC0" w14:textId="77777777" w:rsidR="00822961" w:rsidRPr="0046726B" w:rsidRDefault="00822961" w:rsidP="00E068A0">
            <w:pPr>
              <w:pStyle w:val="MDPI42tablebody"/>
              <w:spacing w:line="240" w:lineRule="auto"/>
            </w:pPr>
            <w:r w:rsidRPr="004732F0">
              <w:t>1.1 (0.7,1.7)</w:t>
            </w:r>
          </w:p>
        </w:tc>
        <w:tc>
          <w:tcPr>
            <w:tcW w:w="993" w:type="dxa"/>
          </w:tcPr>
          <w:p w14:paraId="761FEB7A" w14:textId="77777777" w:rsidR="00822961" w:rsidRPr="0046726B" w:rsidRDefault="00822961" w:rsidP="00E068A0">
            <w:pPr>
              <w:pStyle w:val="MDPI42tablebody"/>
              <w:spacing w:line="240" w:lineRule="auto"/>
            </w:pPr>
            <w:r w:rsidRPr="004732F0">
              <w:t>1.2 (0.8,2.0)</w:t>
            </w:r>
          </w:p>
        </w:tc>
        <w:tc>
          <w:tcPr>
            <w:tcW w:w="992" w:type="dxa"/>
          </w:tcPr>
          <w:p w14:paraId="41999C35" w14:textId="77777777" w:rsidR="00822961" w:rsidRPr="0046726B" w:rsidRDefault="00822961" w:rsidP="00E068A0">
            <w:pPr>
              <w:pStyle w:val="MDPI42tablebody"/>
              <w:spacing w:line="240" w:lineRule="auto"/>
            </w:pPr>
            <w:r w:rsidRPr="004732F0">
              <w:t>1.1 (0.7,1.7)</w:t>
            </w:r>
          </w:p>
        </w:tc>
        <w:tc>
          <w:tcPr>
            <w:tcW w:w="709" w:type="dxa"/>
          </w:tcPr>
          <w:p w14:paraId="3D0A84E1" w14:textId="77777777" w:rsidR="00822961" w:rsidRPr="0046726B" w:rsidRDefault="00822961" w:rsidP="00E068A0">
            <w:pPr>
              <w:pStyle w:val="MDPI42tablebody"/>
              <w:spacing w:line="240" w:lineRule="auto"/>
            </w:pPr>
            <w:r w:rsidRPr="00BA2E0C">
              <w:t>57 (4.7)</w:t>
            </w:r>
          </w:p>
        </w:tc>
        <w:tc>
          <w:tcPr>
            <w:tcW w:w="992" w:type="dxa"/>
          </w:tcPr>
          <w:p w14:paraId="57988D98" w14:textId="77777777" w:rsidR="00822961" w:rsidRPr="0046726B" w:rsidRDefault="00822961" w:rsidP="00E068A0">
            <w:pPr>
              <w:pStyle w:val="MDPI42tablebody"/>
              <w:spacing w:line="240" w:lineRule="auto"/>
            </w:pPr>
            <w:r w:rsidRPr="00667934">
              <w:t>1.1 (0.8,1.6)</w:t>
            </w:r>
          </w:p>
        </w:tc>
        <w:tc>
          <w:tcPr>
            <w:tcW w:w="992" w:type="dxa"/>
          </w:tcPr>
          <w:p w14:paraId="127CE29A" w14:textId="77777777" w:rsidR="00822961" w:rsidRPr="0046726B" w:rsidRDefault="00822961" w:rsidP="00E068A0">
            <w:pPr>
              <w:pStyle w:val="MDPI42tablebody"/>
              <w:spacing w:line="240" w:lineRule="auto"/>
            </w:pPr>
            <w:r w:rsidRPr="00667934">
              <w:t>1.2 (0.8,1.7)</w:t>
            </w:r>
          </w:p>
        </w:tc>
        <w:tc>
          <w:tcPr>
            <w:tcW w:w="992" w:type="dxa"/>
          </w:tcPr>
          <w:p w14:paraId="5C0DF460" w14:textId="77777777" w:rsidR="00822961" w:rsidRPr="0046726B" w:rsidRDefault="00822961" w:rsidP="00E068A0">
            <w:pPr>
              <w:pStyle w:val="MDPI42tablebody"/>
              <w:spacing w:line="240" w:lineRule="auto"/>
            </w:pPr>
            <w:r w:rsidRPr="00667934">
              <w:t>1.2 (0.8,1.7)</w:t>
            </w:r>
          </w:p>
        </w:tc>
        <w:tc>
          <w:tcPr>
            <w:tcW w:w="993" w:type="dxa"/>
          </w:tcPr>
          <w:p w14:paraId="1E64FD30" w14:textId="77777777" w:rsidR="00822961" w:rsidRPr="0046726B" w:rsidRDefault="00822961" w:rsidP="00E068A0">
            <w:pPr>
              <w:pStyle w:val="MDPI42tablebody"/>
              <w:spacing w:line="240" w:lineRule="auto"/>
            </w:pPr>
            <w:r w:rsidRPr="00667934">
              <w:t>1.1 (0.8,1.7)</w:t>
            </w:r>
          </w:p>
        </w:tc>
      </w:tr>
      <w:tr w:rsidR="00822961" w:rsidRPr="00D80609" w14:paraId="2C46F1AF" w14:textId="77777777" w:rsidTr="00E068A0">
        <w:tc>
          <w:tcPr>
            <w:tcW w:w="1701" w:type="dxa"/>
            <w:shd w:val="clear" w:color="auto" w:fill="auto"/>
          </w:tcPr>
          <w:p w14:paraId="18FE4603" w14:textId="77777777" w:rsidR="00822961" w:rsidRPr="0046726B" w:rsidRDefault="00822961" w:rsidP="00E068A0">
            <w:pPr>
              <w:pStyle w:val="MDPI42tablebody"/>
              <w:spacing w:line="240" w:lineRule="auto"/>
              <w:jc w:val="left"/>
            </w:pPr>
            <w:r w:rsidRPr="00057903">
              <w:t>30 - 39.9 (Obese)</w:t>
            </w:r>
          </w:p>
        </w:tc>
        <w:tc>
          <w:tcPr>
            <w:tcW w:w="709" w:type="dxa"/>
            <w:shd w:val="clear" w:color="auto" w:fill="auto"/>
          </w:tcPr>
          <w:p w14:paraId="6DD0A439" w14:textId="77777777" w:rsidR="00822961" w:rsidRPr="0046726B" w:rsidRDefault="00822961" w:rsidP="00E068A0">
            <w:pPr>
              <w:pStyle w:val="MDPI42tablebody"/>
              <w:spacing w:line="240" w:lineRule="auto"/>
            </w:pPr>
            <w:r w:rsidRPr="005D1BE0">
              <w:t>57 (8.4)</w:t>
            </w:r>
          </w:p>
        </w:tc>
        <w:tc>
          <w:tcPr>
            <w:tcW w:w="1134" w:type="dxa"/>
            <w:shd w:val="clear" w:color="auto" w:fill="auto"/>
          </w:tcPr>
          <w:p w14:paraId="78391551" w14:textId="77777777" w:rsidR="00822961" w:rsidRPr="00057903" w:rsidRDefault="00822961" w:rsidP="00E068A0">
            <w:pPr>
              <w:pStyle w:val="MDPI42tablebody"/>
              <w:spacing w:line="240" w:lineRule="auto"/>
              <w:rPr>
                <w:b/>
              </w:rPr>
            </w:pPr>
            <w:r w:rsidRPr="00057903">
              <w:rPr>
                <w:b/>
              </w:rPr>
              <w:t>2.0 (1.3,3.1)</w:t>
            </w:r>
          </w:p>
        </w:tc>
        <w:tc>
          <w:tcPr>
            <w:tcW w:w="992" w:type="dxa"/>
          </w:tcPr>
          <w:p w14:paraId="40F3B2F2" w14:textId="77777777" w:rsidR="00822961" w:rsidRPr="00057903" w:rsidRDefault="00822961" w:rsidP="00E068A0">
            <w:pPr>
              <w:pStyle w:val="MDPI42tablebody"/>
              <w:spacing w:line="240" w:lineRule="auto"/>
              <w:rPr>
                <w:b/>
              </w:rPr>
            </w:pPr>
            <w:r w:rsidRPr="00057903">
              <w:rPr>
                <w:b/>
              </w:rPr>
              <w:t>1.7 (1.1,2.8)</w:t>
            </w:r>
          </w:p>
        </w:tc>
        <w:tc>
          <w:tcPr>
            <w:tcW w:w="993" w:type="dxa"/>
          </w:tcPr>
          <w:p w14:paraId="6024C4C1" w14:textId="77777777" w:rsidR="00822961" w:rsidRPr="00057903" w:rsidRDefault="00822961" w:rsidP="00E068A0">
            <w:pPr>
              <w:pStyle w:val="MDPI42tablebody"/>
              <w:spacing w:line="240" w:lineRule="auto"/>
              <w:rPr>
                <w:b/>
              </w:rPr>
            </w:pPr>
            <w:r w:rsidRPr="00057903">
              <w:rPr>
                <w:b/>
              </w:rPr>
              <w:t>1.9 (1.1,3.1)</w:t>
            </w:r>
          </w:p>
        </w:tc>
        <w:tc>
          <w:tcPr>
            <w:tcW w:w="992" w:type="dxa"/>
          </w:tcPr>
          <w:p w14:paraId="7D9D0DF4" w14:textId="77777777" w:rsidR="00822961" w:rsidRPr="0046726B" w:rsidRDefault="00822961" w:rsidP="00E068A0">
            <w:pPr>
              <w:pStyle w:val="MDPI42tablebody"/>
              <w:spacing w:line="240" w:lineRule="auto"/>
            </w:pPr>
            <w:r w:rsidRPr="004732F0">
              <w:t>1.5 (0.9,2.4)</w:t>
            </w:r>
          </w:p>
        </w:tc>
        <w:tc>
          <w:tcPr>
            <w:tcW w:w="709" w:type="dxa"/>
          </w:tcPr>
          <w:p w14:paraId="0D2D54C9" w14:textId="77777777" w:rsidR="00822961" w:rsidRPr="0046726B" w:rsidRDefault="00822961" w:rsidP="00E068A0">
            <w:pPr>
              <w:pStyle w:val="MDPI42tablebody"/>
              <w:spacing w:line="240" w:lineRule="auto"/>
            </w:pPr>
            <w:r w:rsidRPr="00BA2E0C">
              <w:t>44 (5.6)</w:t>
            </w:r>
          </w:p>
        </w:tc>
        <w:tc>
          <w:tcPr>
            <w:tcW w:w="992" w:type="dxa"/>
          </w:tcPr>
          <w:p w14:paraId="1F1A6256" w14:textId="77777777" w:rsidR="00822961" w:rsidRPr="0046726B" w:rsidRDefault="00822961" w:rsidP="00E068A0">
            <w:pPr>
              <w:pStyle w:val="MDPI42tablebody"/>
              <w:spacing w:line="240" w:lineRule="auto"/>
            </w:pPr>
            <w:r w:rsidRPr="00667934">
              <w:t>1.3 (0.9,1.9)</w:t>
            </w:r>
          </w:p>
        </w:tc>
        <w:tc>
          <w:tcPr>
            <w:tcW w:w="992" w:type="dxa"/>
          </w:tcPr>
          <w:p w14:paraId="523B4360" w14:textId="77777777" w:rsidR="00822961" w:rsidRPr="0046726B" w:rsidRDefault="00822961" w:rsidP="00E068A0">
            <w:pPr>
              <w:pStyle w:val="MDPI42tablebody"/>
              <w:spacing w:line="240" w:lineRule="auto"/>
            </w:pPr>
            <w:r w:rsidRPr="00667934">
              <w:t>1.3 (0.9,2.0)</w:t>
            </w:r>
          </w:p>
        </w:tc>
        <w:tc>
          <w:tcPr>
            <w:tcW w:w="992" w:type="dxa"/>
          </w:tcPr>
          <w:p w14:paraId="46949450" w14:textId="77777777" w:rsidR="00822961" w:rsidRPr="0046726B" w:rsidRDefault="00822961" w:rsidP="00E068A0">
            <w:pPr>
              <w:pStyle w:val="MDPI42tablebody"/>
              <w:spacing w:line="240" w:lineRule="auto"/>
            </w:pPr>
            <w:r w:rsidRPr="00667934">
              <w:t>1.4 (0.9,2.2)</w:t>
            </w:r>
          </w:p>
        </w:tc>
        <w:tc>
          <w:tcPr>
            <w:tcW w:w="993" w:type="dxa"/>
          </w:tcPr>
          <w:p w14:paraId="4D0AA41E" w14:textId="77777777" w:rsidR="00822961" w:rsidRPr="0046726B" w:rsidRDefault="00822961" w:rsidP="00E068A0">
            <w:pPr>
              <w:pStyle w:val="MDPI42tablebody"/>
              <w:spacing w:line="240" w:lineRule="auto"/>
            </w:pPr>
            <w:r w:rsidRPr="00667934">
              <w:t>1.1 (0.7,1.7)</w:t>
            </w:r>
          </w:p>
        </w:tc>
      </w:tr>
      <w:tr w:rsidR="00822961" w:rsidRPr="00D80609" w14:paraId="188C3D70" w14:textId="77777777" w:rsidTr="00E068A0">
        <w:tc>
          <w:tcPr>
            <w:tcW w:w="1701" w:type="dxa"/>
            <w:shd w:val="clear" w:color="auto" w:fill="auto"/>
          </w:tcPr>
          <w:p w14:paraId="38B297CC" w14:textId="4A4EE581" w:rsidR="00822961" w:rsidRPr="0046726B" w:rsidRDefault="00822961" w:rsidP="00FC276C">
            <w:pPr>
              <w:pStyle w:val="MDPI42tablebody"/>
              <w:spacing w:line="240" w:lineRule="auto"/>
              <w:jc w:val="left"/>
            </w:pPr>
            <w:r w:rsidRPr="00057903">
              <w:t>≥40 (</w:t>
            </w:r>
            <w:r w:rsidR="00FC276C">
              <w:rPr>
                <w:rFonts w:cs="Arial"/>
                <w:b/>
                <w:lang w:eastAsia="en-GB"/>
              </w:rPr>
              <w:t>Severely</w:t>
            </w:r>
            <w:r w:rsidR="00FC276C" w:rsidRPr="00057903">
              <w:t xml:space="preserve"> </w:t>
            </w:r>
            <w:r w:rsidRPr="00057903">
              <w:t>Obese )</w:t>
            </w:r>
          </w:p>
        </w:tc>
        <w:tc>
          <w:tcPr>
            <w:tcW w:w="709" w:type="dxa"/>
            <w:shd w:val="clear" w:color="auto" w:fill="auto"/>
          </w:tcPr>
          <w:p w14:paraId="3676430E" w14:textId="77777777" w:rsidR="00822961" w:rsidRPr="0046726B" w:rsidRDefault="00822961" w:rsidP="00E068A0">
            <w:pPr>
              <w:pStyle w:val="MDPI42tablebody"/>
              <w:spacing w:line="240" w:lineRule="auto"/>
            </w:pPr>
            <w:r w:rsidRPr="005D1BE0">
              <w:t>5 (11.6)</w:t>
            </w:r>
          </w:p>
        </w:tc>
        <w:tc>
          <w:tcPr>
            <w:tcW w:w="1134" w:type="dxa"/>
            <w:shd w:val="clear" w:color="auto" w:fill="auto"/>
          </w:tcPr>
          <w:p w14:paraId="71F730AC" w14:textId="77777777" w:rsidR="00822961" w:rsidRPr="00057903" w:rsidRDefault="00822961" w:rsidP="00E068A0">
            <w:pPr>
              <w:pStyle w:val="MDPI42tablebody"/>
              <w:spacing w:line="240" w:lineRule="auto"/>
              <w:rPr>
                <w:b/>
              </w:rPr>
            </w:pPr>
            <w:r w:rsidRPr="00057903">
              <w:rPr>
                <w:b/>
              </w:rPr>
              <w:t>3.9 (1.4,11.1)</w:t>
            </w:r>
          </w:p>
        </w:tc>
        <w:tc>
          <w:tcPr>
            <w:tcW w:w="992" w:type="dxa"/>
          </w:tcPr>
          <w:p w14:paraId="3313265A" w14:textId="77777777" w:rsidR="00822961" w:rsidRPr="0046726B" w:rsidRDefault="00822961" w:rsidP="00E068A0">
            <w:pPr>
              <w:pStyle w:val="MDPI42tablebody"/>
              <w:spacing w:line="240" w:lineRule="auto"/>
            </w:pPr>
            <w:r w:rsidRPr="004732F0">
              <w:t>2.0 (0.5,7.6)</w:t>
            </w:r>
          </w:p>
        </w:tc>
        <w:tc>
          <w:tcPr>
            <w:tcW w:w="993" w:type="dxa"/>
          </w:tcPr>
          <w:p w14:paraId="00B32BE2" w14:textId="77777777" w:rsidR="00822961" w:rsidRPr="0046726B" w:rsidRDefault="00822961" w:rsidP="00E068A0">
            <w:pPr>
              <w:pStyle w:val="MDPI42tablebody"/>
              <w:spacing w:line="240" w:lineRule="auto"/>
            </w:pPr>
            <w:r w:rsidRPr="004732F0">
              <w:t>1.9 (0.5,7.5)</w:t>
            </w:r>
          </w:p>
        </w:tc>
        <w:tc>
          <w:tcPr>
            <w:tcW w:w="992" w:type="dxa"/>
          </w:tcPr>
          <w:p w14:paraId="74A720C4" w14:textId="77777777" w:rsidR="00822961" w:rsidRPr="0046726B" w:rsidRDefault="00822961" w:rsidP="00E068A0">
            <w:pPr>
              <w:pStyle w:val="MDPI42tablebody"/>
              <w:spacing w:line="240" w:lineRule="auto"/>
            </w:pPr>
            <w:r w:rsidRPr="004732F0">
              <w:t>1.3 (0.3,5.1)</w:t>
            </w:r>
          </w:p>
        </w:tc>
        <w:tc>
          <w:tcPr>
            <w:tcW w:w="709" w:type="dxa"/>
          </w:tcPr>
          <w:p w14:paraId="4AA0EABA" w14:textId="77777777" w:rsidR="00822961" w:rsidRPr="0046726B" w:rsidRDefault="00822961" w:rsidP="00E068A0">
            <w:pPr>
              <w:pStyle w:val="MDPI42tablebody"/>
              <w:spacing w:line="240" w:lineRule="auto"/>
            </w:pPr>
            <w:r w:rsidRPr="00BA2E0C">
              <w:t>12 (11.8)</w:t>
            </w:r>
          </w:p>
        </w:tc>
        <w:tc>
          <w:tcPr>
            <w:tcW w:w="992" w:type="dxa"/>
          </w:tcPr>
          <w:p w14:paraId="1A59B99D" w14:textId="77777777" w:rsidR="00822961" w:rsidRPr="00F20284" w:rsidRDefault="00822961" w:rsidP="00E068A0">
            <w:pPr>
              <w:pStyle w:val="MDPI42tablebody"/>
              <w:spacing w:line="240" w:lineRule="auto"/>
              <w:rPr>
                <w:b/>
              </w:rPr>
            </w:pPr>
            <w:r w:rsidRPr="00F20284">
              <w:rPr>
                <w:b/>
              </w:rPr>
              <w:t>3.4 (1.7,6.7)</w:t>
            </w:r>
          </w:p>
        </w:tc>
        <w:tc>
          <w:tcPr>
            <w:tcW w:w="992" w:type="dxa"/>
          </w:tcPr>
          <w:p w14:paraId="7F327FEB" w14:textId="77777777" w:rsidR="00822961" w:rsidRPr="00F20284" w:rsidRDefault="00822961" w:rsidP="00E068A0">
            <w:pPr>
              <w:pStyle w:val="MDPI42tablebody"/>
              <w:spacing w:line="240" w:lineRule="auto"/>
              <w:rPr>
                <w:b/>
              </w:rPr>
            </w:pPr>
            <w:r w:rsidRPr="00F20284">
              <w:rPr>
                <w:b/>
              </w:rPr>
              <w:t>3.3 (1.6,6.7)</w:t>
            </w:r>
          </w:p>
        </w:tc>
        <w:tc>
          <w:tcPr>
            <w:tcW w:w="992" w:type="dxa"/>
          </w:tcPr>
          <w:p w14:paraId="4F6249F0" w14:textId="77777777" w:rsidR="00822961" w:rsidRPr="00F20284" w:rsidRDefault="00822961" w:rsidP="00E068A0">
            <w:pPr>
              <w:pStyle w:val="MDPI42tablebody"/>
              <w:spacing w:line="240" w:lineRule="auto"/>
              <w:rPr>
                <w:b/>
              </w:rPr>
            </w:pPr>
            <w:r w:rsidRPr="00F20284">
              <w:rPr>
                <w:b/>
              </w:rPr>
              <w:t>3.4 (1.6,7.2)</w:t>
            </w:r>
          </w:p>
        </w:tc>
        <w:tc>
          <w:tcPr>
            <w:tcW w:w="993" w:type="dxa"/>
          </w:tcPr>
          <w:p w14:paraId="08BB67DD" w14:textId="77777777" w:rsidR="00822961" w:rsidRPr="00F20284" w:rsidRDefault="00822961" w:rsidP="00E068A0">
            <w:pPr>
              <w:pStyle w:val="MDPI42tablebody"/>
              <w:spacing w:line="240" w:lineRule="auto"/>
              <w:rPr>
                <w:b/>
              </w:rPr>
            </w:pPr>
            <w:r w:rsidRPr="00F20284">
              <w:rPr>
                <w:b/>
              </w:rPr>
              <w:t>2.6 (1.2,5.5)</w:t>
            </w:r>
          </w:p>
        </w:tc>
      </w:tr>
    </w:tbl>
    <w:p w14:paraId="274BAE2D" w14:textId="77777777" w:rsidR="00822961" w:rsidRDefault="00822961" w:rsidP="00822961">
      <w:pPr>
        <w:pStyle w:val="MDPI43tablefooter"/>
        <w:spacing w:after="240"/>
        <w:jc w:val="left"/>
      </w:pPr>
      <w:r w:rsidRPr="00006D83">
        <w:rPr>
          <w:b/>
        </w:rPr>
        <w:t>Prolonged sickness absence</w:t>
      </w:r>
      <w:r>
        <w:rPr>
          <w:b/>
        </w:rPr>
        <w:t>:</w:t>
      </w:r>
      <w:r w:rsidRPr="00737107">
        <w:t xml:space="preserve"> </w:t>
      </w:r>
      <w:r w:rsidRPr="00A7469A">
        <w:rPr>
          <w:i/>
        </w:rPr>
        <w:t>Model 1</w:t>
      </w:r>
      <w:r w:rsidRPr="00F20284">
        <w:t>: adjusted for age</w:t>
      </w:r>
      <w:r>
        <w:t xml:space="preserve">, </w:t>
      </w:r>
      <w:r w:rsidRPr="00A7469A">
        <w:rPr>
          <w:i/>
        </w:rPr>
        <w:t>Model 2</w:t>
      </w:r>
      <w:r w:rsidRPr="00F20284">
        <w:t>: adjusted for age + household income + social class</w:t>
      </w:r>
      <w:r>
        <w:t>,</w:t>
      </w:r>
      <w:r w:rsidRPr="00737107">
        <w:t xml:space="preserve"> </w:t>
      </w:r>
      <w:r w:rsidRPr="00A7469A">
        <w:rPr>
          <w:i/>
        </w:rPr>
        <w:t>Model 3</w:t>
      </w:r>
      <w:r w:rsidRPr="00F20284">
        <w:t>: as Model 2 + physical work activity score</w:t>
      </w:r>
      <w:r>
        <w:t>,</w:t>
      </w:r>
      <w:r w:rsidRPr="00A7469A">
        <w:rPr>
          <w:i/>
        </w:rPr>
        <w:t xml:space="preserve"> Model 4</w:t>
      </w:r>
      <w:r w:rsidRPr="00F20284">
        <w:t>: as Model 2 + common mental health problems, musculoskeletal disorders</w:t>
      </w:r>
    </w:p>
    <w:p w14:paraId="1D65B7EF" w14:textId="77777777" w:rsidR="00822961" w:rsidRDefault="00822961" w:rsidP="00822961">
      <w:pPr>
        <w:pStyle w:val="MDPI43tablefooter"/>
        <w:spacing w:after="240"/>
        <w:jc w:val="left"/>
      </w:pPr>
      <w:r w:rsidRPr="00006D83">
        <w:rPr>
          <w:b/>
        </w:rPr>
        <w:t>Having to cut down work a lot</w:t>
      </w:r>
      <w:r>
        <w:rPr>
          <w:b/>
        </w:rPr>
        <w:t>:</w:t>
      </w:r>
      <w:r w:rsidRPr="00737107">
        <w:t xml:space="preserve"> </w:t>
      </w:r>
      <w:r w:rsidRPr="00BE3A7C">
        <w:rPr>
          <w:i/>
        </w:rPr>
        <w:t>Model 1</w:t>
      </w:r>
      <w:r w:rsidRPr="00006D83">
        <w:t>: adjusted for age</w:t>
      </w:r>
      <w:r>
        <w:t>,</w:t>
      </w:r>
      <w:r w:rsidRPr="00BE3A7C">
        <w:rPr>
          <w:i/>
        </w:rPr>
        <w:t xml:space="preserve"> Model 2</w:t>
      </w:r>
      <w:r w:rsidRPr="00006D83">
        <w:t>: adjusted for age + household income + social class + finances + no physical activity + smoking status</w:t>
      </w:r>
      <w:r w:rsidRPr="00737107">
        <w:t xml:space="preserve"> </w:t>
      </w:r>
      <w:r w:rsidRPr="00006D83">
        <w:t>(men); age + finances + having no friends</w:t>
      </w:r>
      <w:r>
        <w:t>,</w:t>
      </w:r>
      <w:r w:rsidRPr="00737107">
        <w:t xml:space="preserve"> </w:t>
      </w:r>
      <w:r w:rsidRPr="00BE3A7C">
        <w:rPr>
          <w:i/>
        </w:rPr>
        <w:t>Model 3</w:t>
      </w:r>
      <w:r w:rsidRPr="00006D83">
        <w:t>: as Model 2 + job satisfaction + physical work activity score (men); as Model 2 + physical work activity score (women)</w:t>
      </w:r>
      <w:r>
        <w:t>,</w:t>
      </w:r>
      <w:r w:rsidRPr="00737107">
        <w:t xml:space="preserve"> </w:t>
      </w:r>
      <w:r w:rsidRPr="00BE3A7C">
        <w:rPr>
          <w:i/>
        </w:rPr>
        <w:t>Model 4</w:t>
      </w:r>
      <w:r w:rsidRPr="00006D83">
        <w:t>: as Model 2 + common mental health problems + regional pain (men); as Model 2 + common mental</w:t>
      </w:r>
      <w:r w:rsidRPr="00737107">
        <w:t xml:space="preserve"> </w:t>
      </w:r>
      <w:r w:rsidRPr="00006D83">
        <w:t>health problems + regional pain + hypertension (women)</w:t>
      </w:r>
    </w:p>
    <w:p w14:paraId="50BC87A9" w14:textId="671E4B94" w:rsidR="00012A84" w:rsidRPr="005B174A" w:rsidRDefault="005B174A" w:rsidP="005B174A">
      <w:pPr>
        <w:pStyle w:val="MDPI22heading2"/>
      </w:pPr>
      <w:r w:rsidRPr="005B174A">
        <w:t xml:space="preserve">3.2. </w:t>
      </w:r>
      <w:r w:rsidR="00012A84" w:rsidRPr="005B174A">
        <w:t>Health-related job loss (HRJL)</w:t>
      </w:r>
    </w:p>
    <w:p w14:paraId="6BAD4E2F" w14:textId="77777777" w:rsidR="00012A84" w:rsidRPr="008A71D2" w:rsidRDefault="00012A84" w:rsidP="005B174A">
      <w:pPr>
        <w:pStyle w:val="MDPI31text"/>
      </w:pPr>
      <w:r w:rsidRPr="008A71D2">
        <w:t>A total of 101 (4.4%) men and 152 (6.3%) women experienced a health-related job loss over the two-year follow-up.  Amongst women, risk of HRJL was somewhat elevated across all categories of BMI ≥ 25kg/m</w:t>
      </w:r>
      <w:r w:rsidRPr="008A71D2">
        <w:rPr>
          <w:vertAlign w:val="superscript"/>
        </w:rPr>
        <w:t>2</w:t>
      </w:r>
      <w:r w:rsidRPr="008A71D2">
        <w:t xml:space="preserve"> in comparison with women of normal weight (Table 4, model 1); however, adjustment for age, sociodemographic characteristics and lifestyle risk factors showed that this increased risk was </w:t>
      </w:r>
      <w:r w:rsidR="007533DB" w:rsidRPr="008A71D2">
        <w:t>focused</w:t>
      </w:r>
      <w:r w:rsidRPr="008A71D2">
        <w:t xml:space="preserve"> amongst women with severe obesity (HR=2.93; 95%CI 1.38 to 6.23).  We found no convincing evidence for an association between BMI and risk of HRJL among men. </w:t>
      </w:r>
    </w:p>
    <w:p w14:paraId="1AB53206" w14:textId="77777777" w:rsidR="00012A84" w:rsidRPr="008A71D2" w:rsidRDefault="00012A84" w:rsidP="005B174A">
      <w:pPr>
        <w:pStyle w:val="MDPI31text"/>
      </w:pPr>
      <w:r w:rsidRPr="008A71D2">
        <w:t xml:space="preserve">In univariate analysis (data not shown), baseline obesity was associated with job dissatisfaction (only among men) and physical activity score at work (both sexes) and therefore, we further adjusted the analyses for these factors (model 3). Once again, compared with women of normal weight, women with severe obesity were almost three times as likely to </w:t>
      </w:r>
      <w:r w:rsidR="007533DB" w:rsidRPr="008A71D2">
        <w:t>experience HRJL</w:t>
      </w:r>
      <w:r w:rsidRPr="008A71D2">
        <w:t xml:space="preserve"> (HR 2.98, 95%CI 1.40-6.33).</w:t>
      </w:r>
    </w:p>
    <w:p w14:paraId="043F2490" w14:textId="376268EE" w:rsidR="00012A84" w:rsidRPr="008A71D2" w:rsidRDefault="00012A84" w:rsidP="005B174A">
      <w:pPr>
        <w:pStyle w:val="MDPI31text"/>
      </w:pPr>
      <w:r w:rsidRPr="008A71D2">
        <w:t xml:space="preserve">Amongst women, musculoskeletal disorders and common mental health conditions were independent risk factors for </w:t>
      </w:r>
      <w:r w:rsidR="00ED4679">
        <w:t>HRJL</w:t>
      </w:r>
      <w:r w:rsidRPr="008A71D2">
        <w:t xml:space="preserve"> (data not shown). Therefore, in model 4, we adjusted for the effects of these conditions and found that women with severe obesity remained at increased risk of HRJL compared to women of normal weight (HR=2.52; 95%CI 1.12 to 5.67). This increased risk for women with </w:t>
      </w:r>
      <w:r w:rsidR="00ED4679">
        <w:t>severe</w:t>
      </w:r>
      <w:r w:rsidR="00ED4679" w:rsidRPr="008A71D2">
        <w:t xml:space="preserve"> </w:t>
      </w:r>
      <w:r w:rsidRPr="008A71D2">
        <w:t>obesity persisted when we mutually adjusted for both work and health conditions (model 5).</w:t>
      </w:r>
    </w:p>
    <w:p w14:paraId="6EEED24E" w14:textId="0ABB9BB0" w:rsidR="006D7394" w:rsidRPr="006D7394" w:rsidRDefault="005B174A" w:rsidP="005B174A">
      <w:pPr>
        <w:pStyle w:val="MDPI41tablecaption"/>
      </w:pPr>
      <w:r w:rsidRPr="005B174A">
        <w:rPr>
          <w:b/>
        </w:rPr>
        <w:t>Table 4.</w:t>
      </w:r>
      <w:r w:rsidR="006D7394" w:rsidRPr="005B174A">
        <w:rPr>
          <w:b/>
        </w:rPr>
        <w:t xml:space="preserve"> </w:t>
      </w:r>
      <w:r w:rsidR="006D7394" w:rsidRPr="006D7394">
        <w:t>Hazard Ratio (HR) and 95%CI for Health-related Job Loss (HRJL) by categories of Body Mass Index (BMI), for men and women</w:t>
      </w:r>
      <w:r>
        <w:t>.</w:t>
      </w:r>
      <w:r w:rsidR="00D56D68">
        <w:t xml:space="preserve"> (Bold type denotes statistical significance</w:t>
      </w:r>
      <w:r w:rsidR="00D06EAA">
        <w:t xml:space="preserve"> at the p&lt;0.05 level</w:t>
      </w:r>
      <w:r w:rsidR="00D56D68">
        <w:t>)</w:t>
      </w:r>
    </w:p>
    <w:tbl>
      <w:tblPr>
        <w:tblW w:w="8844" w:type="dxa"/>
        <w:jc w:val="center"/>
        <w:tblBorders>
          <w:top w:val="single" w:sz="8" w:space="0" w:color="auto"/>
          <w:bottom w:val="single" w:sz="8" w:space="0" w:color="auto"/>
        </w:tblBorders>
        <w:tblLook w:val="04A0" w:firstRow="1" w:lastRow="0" w:firstColumn="1" w:lastColumn="0" w:noHBand="0" w:noVBand="1"/>
      </w:tblPr>
      <w:tblGrid>
        <w:gridCol w:w="2268"/>
        <w:gridCol w:w="1276"/>
        <w:gridCol w:w="1331"/>
        <w:gridCol w:w="1323"/>
        <w:gridCol w:w="1323"/>
        <w:gridCol w:w="1323"/>
      </w:tblGrid>
      <w:tr w:rsidR="002B0927" w:rsidRPr="003663D4" w14:paraId="715961C0" w14:textId="2483EA97" w:rsidTr="0017403E">
        <w:trPr>
          <w:jc w:val="center"/>
        </w:trPr>
        <w:tc>
          <w:tcPr>
            <w:tcW w:w="2268" w:type="dxa"/>
            <w:tcBorders>
              <w:bottom w:val="single" w:sz="4" w:space="0" w:color="auto"/>
            </w:tcBorders>
            <w:shd w:val="clear" w:color="auto" w:fill="auto"/>
            <w:vAlign w:val="center"/>
          </w:tcPr>
          <w:p w14:paraId="16EA5832" w14:textId="4C9472DF" w:rsidR="002B0927" w:rsidRPr="007D1435" w:rsidRDefault="002B0927" w:rsidP="00737107">
            <w:pPr>
              <w:pStyle w:val="MDPI42tablebody"/>
              <w:spacing w:line="240" w:lineRule="auto"/>
              <w:rPr>
                <w:b/>
              </w:rPr>
            </w:pPr>
          </w:p>
        </w:tc>
        <w:tc>
          <w:tcPr>
            <w:tcW w:w="6576" w:type="dxa"/>
            <w:gridSpan w:val="5"/>
            <w:tcBorders>
              <w:top w:val="single" w:sz="8" w:space="0" w:color="auto"/>
              <w:bottom w:val="single" w:sz="4" w:space="0" w:color="auto"/>
            </w:tcBorders>
            <w:shd w:val="clear" w:color="auto" w:fill="auto"/>
            <w:vAlign w:val="center"/>
          </w:tcPr>
          <w:p w14:paraId="104F91DA" w14:textId="7E5CE399" w:rsidR="002B0927" w:rsidRPr="007D1435" w:rsidRDefault="002B0927" w:rsidP="00737107">
            <w:pPr>
              <w:pStyle w:val="MDPI42tablebody"/>
              <w:spacing w:line="240" w:lineRule="auto"/>
              <w:rPr>
                <w:b/>
              </w:rPr>
            </w:pPr>
            <w:r>
              <w:rPr>
                <w:b/>
              </w:rPr>
              <w:t>HR (95%CI)</w:t>
            </w:r>
          </w:p>
        </w:tc>
      </w:tr>
      <w:tr w:rsidR="002B0927" w:rsidRPr="00D80609" w14:paraId="1E180CE3" w14:textId="579B0DB1" w:rsidTr="0017403E">
        <w:trPr>
          <w:jc w:val="center"/>
        </w:trPr>
        <w:tc>
          <w:tcPr>
            <w:tcW w:w="2268" w:type="dxa"/>
            <w:shd w:val="clear" w:color="auto" w:fill="auto"/>
            <w:vAlign w:val="center"/>
          </w:tcPr>
          <w:p w14:paraId="0D07E895" w14:textId="69D7100D" w:rsidR="002B0927" w:rsidRPr="0046726B" w:rsidRDefault="002B0927" w:rsidP="00737107">
            <w:pPr>
              <w:pStyle w:val="MDPI42tablebody"/>
              <w:spacing w:line="240" w:lineRule="auto"/>
            </w:pPr>
          </w:p>
        </w:tc>
        <w:tc>
          <w:tcPr>
            <w:tcW w:w="1276" w:type="dxa"/>
            <w:tcBorders>
              <w:top w:val="single" w:sz="4" w:space="0" w:color="auto"/>
              <w:bottom w:val="single" w:sz="4" w:space="0" w:color="auto"/>
            </w:tcBorders>
            <w:shd w:val="clear" w:color="auto" w:fill="auto"/>
            <w:vAlign w:val="center"/>
          </w:tcPr>
          <w:p w14:paraId="037249EA" w14:textId="79E0747B" w:rsidR="002B0927" w:rsidRPr="002B0927" w:rsidRDefault="002B0927" w:rsidP="00737107">
            <w:pPr>
              <w:pStyle w:val="MDPI42tablebody"/>
              <w:spacing w:line="240" w:lineRule="auto"/>
              <w:rPr>
                <w:b/>
              </w:rPr>
            </w:pPr>
            <w:r>
              <w:rPr>
                <w:b/>
              </w:rPr>
              <w:t>Model 1</w:t>
            </w:r>
          </w:p>
        </w:tc>
        <w:tc>
          <w:tcPr>
            <w:tcW w:w="1331" w:type="dxa"/>
            <w:tcBorders>
              <w:top w:val="single" w:sz="4" w:space="0" w:color="auto"/>
              <w:bottom w:val="single" w:sz="4" w:space="0" w:color="auto"/>
            </w:tcBorders>
            <w:shd w:val="clear" w:color="auto" w:fill="auto"/>
            <w:vAlign w:val="center"/>
          </w:tcPr>
          <w:p w14:paraId="528A48CF" w14:textId="02023BA4" w:rsidR="002B0927" w:rsidRPr="002B0927" w:rsidRDefault="002B0927" w:rsidP="00737107">
            <w:pPr>
              <w:pStyle w:val="MDPI42tablebody"/>
              <w:spacing w:line="240" w:lineRule="auto"/>
              <w:rPr>
                <w:b/>
              </w:rPr>
            </w:pPr>
            <w:r>
              <w:rPr>
                <w:b/>
              </w:rPr>
              <w:t>Model 2</w:t>
            </w:r>
          </w:p>
        </w:tc>
        <w:tc>
          <w:tcPr>
            <w:tcW w:w="1323" w:type="dxa"/>
            <w:tcBorders>
              <w:top w:val="single" w:sz="4" w:space="0" w:color="auto"/>
              <w:bottom w:val="single" w:sz="4" w:space="0" w:color="auto"/>
            </w:tcBorders>
          </w:tcPr>
          <w:p w14:paraId="726933A9" w14:textId="6412404C" w:rsidR="002B0927" w:rsidRPr="002B0927" w:rsidRDefault="002B0927" w:rsidP="00737107">
            <w:pPr>
              <w:pStyle w:val="MDPI42tablebody"/>
              <w:spacing w:line="240" w:lineRule="auto"/>
              <w:rPr>
                <w:b/>
              </w:rPr>
            </w:pPr>
            <w:r>
              <w:rPr>
                <w:b/>
              </w:rPr>
              <w:t>Model 3</w:t>
            </w:r>
          </w:p>
        </w:tc>
        <w:tc>
          <w:tcPr>
            <w:tcW w:w="1323" w:type="dxa"/>
            <w:tcBorders>
              <w:top w:val="single" w:sz="4" w:space="0" w:color="auto"/>
              <w:bottom w:val="single" w:sz="4" w:space="0" w:color="auto"/>
            </w:tcBorders>
          </w:tcPr>
          <w:p w14:paraId="48EFDDF8" w14:textId="5FDA2255" w:rsidR="002B0927" w:rsidRPr="002B0927" w:rsidRDefault="002B0927" w:rsidP="00737107">
            <w:pPr>
              <w:pStyle w:val="MDPI42tablebody"/>
              <w:spacing w:line="240" w:lineRule="auto"/>
              <w:rPr>
                <w:b/>
              </w:rPr>
            </w:pPr>
            <w:r>
              <w:rPr>
                <w:b/>
              </w:rPr>
              <w:t>Model 4</w:t>
            </w:r>
          </w:p>
        </w:tc>
        <w:tc>
          <w:tcPr>
            <w:tcW w:w="1323" w:type="dxa"/>
            <w:tcBorders>
              <w:top w:val="single" w:sz="4" w:space="0" w:color="auto"/>
              <w:bottom w:val="single" w:sz="4" w:space="0" w:color="auto"/>
            </w:tcBorders>
          </w:tcPr>
          <w:p w14:paraId="35234B6F" w14:textId="07768B9F" w:rsidR="002B0927" w:rsidRPr="002B0927" w:rsidRDefault="002B0927" w:rsidP="00737107">
            <w:pPr>
              <w:pStyle w:val="MDPI42tablebody"/>
              <w:spacing w:line="240" w:lineRule="auto"/>
              <w:rPr>
                <w:b/>
              </w:rPr>
            </w:pPr>
            <w:r>
              <w:rPr>
                <w:b/>
              </w:rPr>
              <w:t>Model 5</w:t>
            </w:r>
          </w:p>
        </w:tc>
      </w:tr>
      <w:tr w:rsidR="002B0927" w:rsidRPr="00D80609" w14:paraId="3808B2A5" w14:textId="2611C116" w:rsidTr="0017403E">
        <w:trPr>
          <w:jc w:val="center"/>
        </w:trPr>
        <w:tc>
          <w:tcPr>
            <w:tcW w:w="2268" w:type="dxa"/>
            <w:shd w:val="clear" w:color="auto" w:fill="auto"/>
          </w:tcPr>
          <w:p w14:paraId="1BB31238" w14:textId="2A6E9D56" w:rsidR="002B0927" w:rsidRPr="00A7469A" w:rsidRDefault="002B0927" w:rsidP="002B0927">
            <w:pPr>
              <w:pStyle w:val="MDPI42tablebody"/>
              <w:spacing w:line="240" w:lineRule="auto"/>
              <w:jc w:val="left"/>
              <w:rPr>
                <w:i/>
              </w:rPr>
            </w:pPr>
            <w:r w:rsidRPr="00A7469A">
              <w:rPr>
                <w:i/>
              </w:rPr>
              <w:t>Men</w:t>
            </w:r>
          </w:p>
        </w:tc>
        <w:tc>
          <w:tcPr>
            <w:tcW w:w="1276" w:type="dxa"/>
            <w:tcBorders>
              <w:top w:val="single" w:sz="4" w:space="0" w:color="auto"/>
            </w:tcBorders>
            <w:shd w:val="clear" w:color="auto" w:fill="auto"/>
            <w:vAlign w:val="center"/>
          </w:tcPr>
          <w:p w14:paraId="3FCEB933" w14:textId="7AA43669" w:rsidR="002B0927" w:rsidRPr="0046726B" w:rsidRDefault="002B0927" w:rsidP="002B0927">
            <w:pPr>
              <w:pStyle w:val="MDPI42tablebody"/>
              <w:spacing w:line="240" w:lineRule="auto"/>
            </w:pPr>
          </w:p>
        </w:tc>
        <w:tc>
          <w:tcPr>
            <w:tcW w:w="1331" w:type="dxa"/>
            <w:tcBorders>
              <w:top w:val="single" w:sz="4" w:space="0" w:color="auto"/>
            </w:tcBorders>
            <w:shd w:val="clear" w:color="auto" w:fill="auto"/>
            <w:vAlign w:val="center"/>
          </w:tcPr>
          <w:p w14:paraId="78A39E9C" w14:textId="55D58034" w:rsidR="002B0927" w:rsidRPr="0046726B" w:rsidRDefault="002B0927" w:rsidP="002B0927">
            <w:pPr>
              <w:pStyle w:val="MDPI42tablebody"/>
              <w:spacing w:line="240" w:lineRule="auto"/>
            </w:pPr>
          </w:p>
        </w:tc>
        <w:tc>
          <w:tcPr>
            <w:tcW w:w="1323" w:type="dxa"/>
            <w:tcBorders>
              <w:top w:val="single" w:sz="4" w:space="0" w:color="auto"/>
            </w:tcBorders>
          </w:tcPr>
          <w:p w14:paraId="122921B7" w14:textId="77777777" w:rsidR="002B0927" w:rsidRPr="0046726B" w:rsidRDefault="002B0927" w:rsidP="002B0927">
            <w:pPr>
              <w:pStyle w:val="MDPI42tablebody"/>
              <w:spacing w:line="240" w:lineRule="auto"/>
            </w:pPr>
          </w:p>
        </w:tc>
        <w:tc>
          <w:tcPr>
            <w:tcW w:w="1323" w:type="dxa"/>
            <w:tcBorders>
              <w:top w:val="single" w:sz="4" w:space="0" w:color="auto"/>
            </w:tcBorders>
          </w:tcPr>
          <w:p w14:paraId="4EFF3036" w14:textId="77777777" w:rsidR="002B0927" w:rsidRPr="0046726B" w:rsidRDefault="002B0927" w:rsidP="002B0927">
            <w:pPr>
              <w:pStyle w:val="MDPI42tablebody"/>
              <w:spacing w:line="240" w:lineRule="auto"/>
            </w:pPr>
          </w:p>
        </w:tc>
        <w:tc>
          <w:tcPr>
            <w:tcW w:w="1323" w:type="dxa"/>
            <w:tcBorders>
              <w:top w:val="single" w:sz="4" w:space="0" w:color="auto"/>
            </w:tcBorders>
          </w:tcPr>
          <w:p w14:paraId="2EE97371" w14:textId="77777777" w:rsidR="002B0927" w:rsidRPr="0046726B" w:rsidRDefault="002B0927" w:rsidP="002B0927">
            <w:pPr>
              <w:pStyle w:val="MDPI42tablebody"/>
              <w:spacing w:line="240" w:lineRule="auto"/>
            </w:pPr>
          </w:p>
        </w:tc>
      </w:tr>
      <w:tr w:rsidR="002B0927" w:rsidRPr="00D80609" w14:paraId="6723C4E1" w14:textId="77777777" w:rsidTr="003F2CA0">
        <w:trPr>
          <w:jc w:val="center"/>
        </w:trPr>
        <w:tc>
          <w:tcPr>
            <w:tcW w:w="2268" w:type="dxa"/>
            <w:shd w:val="clear" w:color="auto" w:fill="auto"/>
          </w:tcPr>
          <w:p w14:paraId="0ED55CD4" w14:textId="7096B48C" w:rsidR="002B0927" w:rsidRPr="0046726B" w:rsidRDefault="002B0927" w:rsidP="002B0927">
            <w:pPr>
              <w:pStyle w:val="MDPI42tablebody"/>
              <w:spacing w:line="240" w:lineRule="auto"/>
              <w:jc w:val="left"/>
            </w:pPr>
            <w:r w:rsidRPr="00A24993">
              <w:t>18.5 - 24.9 (Normal)</w:t>
            </w:r>
          </w:p>
        </w:tc>
        <w:tc>
          <w:tcPr>
            <w:tcW w:w="1276" w:type="dxa"/>
            <w:shd w:val="clear" w:color="auto" w:fill="auto"/>
          </w:tcPr>
          <w:p w14:paraId="2A56F2BB" w14:textId="7BC18918" w:rsidR="002B0927" w:rsidRPr="0046726B" w:rsidRDefault="002B0927" w:rsidP="002B0927">
            <w:pPr>
              <w:pStyle w:val="MDPI42tablebody"/>
              <w:spacing w:line="240" w:lineRule="auto"/>
            </w:pPr>
            <w:r w:rsidRPr="00BF6C9D">
              <w:t>Ref</w:t>
            </w:r>
          </w:p>
        </w:tc>
        <w:tc>
          <w:tcPr>
            <w:tcW w:w="1331" w:type="dxa"/>
            <w:shd w:val="clear" w:color="auto" w:fill="auto"/>
          </w:tcPr>
          <w:p w14:paraId="64AAAEDF" w14:textId="4AB54D70" w:rsidR="002B0927" w:rsidRPr="0046726B" w:rsidRDefault="002B0927" w:rsidP="002B0927">
            <w:pPr>
              <w:pStyle w:val="MDPI42tablebody"/>
              <w:spacing w:line="240" w:lineRule="auto"/>
            </w:pPr>
            <w:r w:rsidRPr="00BF6C9D">
              <w:t>Ref</w:t>
            </w:r>
          </w:p>
        </w:tc>
        <w:tc>
          <w:tcPr>
            <w:tcW w:w="1323" w:type="dxa"/>
          </w:tcPr>
          <w:p w14:paraId="03039109" w14:textId="286894EF" w:rsidR="002B0927" w:rsidRPr="0046726B" w:rsidRDefault="002B0927" w:rsidP="002B0927">
            <w:pPr>
              <w:pStyle w:val="MDPI42tablebody"/>
              <w:spacing w:line="240" w:lineRule="auto"/>
            </w:pPr>
            <w:r w:rsidRPr="00BF6C9D">
              <w:t>Ref</w:t>
            </w:r>
          </w:p>
        </w:tc>
        <w:tc>
          <w:tcPr>
            <w:tcW w:w="1323" w:type="dxa"/>
          </w:tcPr>
          <w:p w14:paraId="3ADFA896" w14:textId="4F266718" w:rsidR="002B0927" w:rsidRPr="0046726B" w:rsidRDefault="002B0927" w:rsidP="002B0927">
            <w:pPr>
              <w:pStyle w:val="MDPI42tablebody"/>
              <w:spacing w:line="240" w:lineRule="auto"/>
            </w:pPr>
            <w:r w:rsidRPr="00BF6C9D">
              <w:t>Ref</w:t>
            </w:r>
          </w:p>
        </w:tc>
        <w:tc>
          <w:tcPr>
            <w:tcW w:w="1323" w:type="dxa"/>
          </w:tcPr>
          <w:p w14:paraId="315363AE" w14:textId="0F4DEE7F" w:rsidR="002B0927" w:rsidRPr="0046726B" w:rsidRDefault="002B0927" w:rsidP="002B0927">
            <w:pPr>
              <w:pStyle w:val="MDPI42tablebody"/>
              <w:spacing w:line="240" w:lineRule="auto"/>
            </w:pPr>
            <w:r w:rsidRPr="00BF6C9D">
              <w:t>Ref</w:t>
            </w:r>
          </w:p>
        </w:tc>
      </w:tr>
      <w:tr w:rsidR="002B0927" w:rsidRPr="00D80609" w14:paraId="6E886153" w14:textId="77777777" w:rsidTr="003F2CA0">
        <w:trPr>
          <w:jc w:val="center"/>
        </w:trPr>
        <w:tc>
          <w:tcPr>
            <w:tcW w:w="2268" w:type="dxa"/>
            <w:shd w:val="clear" w:color="auto" w:fill="auto"/>
          </w:tcPr>
          <w:p w14:paraId="68339B02" w14:textId="60994390" w:rsidR="002B0927" w:rsidRPr="0046726B" w:rsidRDefault="002B0927" w:rsidP="002B0927">
            <w:pPr>
              <w:pStyle w:val="MDPI42tablebody"/>
              <w:spacing w:line="240" w:lineRule="auto"/>
              <w:jc w:val="left"/>
            </w:pPr>
            <w:r w:rsidRPr="00A24993">
              <w:t>25 - 29.9 (Overweight)</w:t>
            </w:r>
          </w:p>
        </w:tc>
        <w:tc>
          <w:tcPr>
            <w:tcW w:w="1276" w:type="dxa"/>
            <w:shd w:val="clear" w:color="auto" w:fill="auto"/>
          </w:tcPr>
          <w:p w14:paraId="1ECE98DC" w14:textId="3BC32B65" w:rsidR="002B0927" w:rsidRPr="0046726B" w:rsidRDefault="002B0927" w:rsidP="002B0927">
            <w:pPr>
              <w:pStyle w:val="MDPI42tablebody"/>
              <w:spacing w:line="240" w:lineRule="auto"/>
            </w:pPr>
            <w:r w:rsidRPr="00BF6C9D">
              <w:t>1.07 (0.67,1.73)</w:t>
            </w:r>
          </w:p>
        </w:tc>
        <w:tc>
          <w:tcPr>
            <w:tcW w:w="1331" w:type="dxa"/>
            <w:shd w:val="clear" w:color="auto" w:fill="auto"/>
          </w:tcPr>
          <w:p w14:paraId="76CAF06F" w14:textId="49649071" w:rsidR="002B0927" w:rsidRPr="0046726B" w:rsidRDefault="002B0927" w:rsidP="002B0927">
            <w:pPr>
              <w:pStyle w:val="MDPI42tablebody"/>
              <w:spacing w:line="240" w:lineRule="auto"/>
            </w:pPr>
            <w:r w:rsidRPr="00BF6C9D">
              <w:t>1.26 (0.75,2.11)</w:t>
            </w:r>
          </w:p>
        </w:tc>
        <w:tc>
          <w:tcPr>
            <w:tcW w:w="1323" w:type="dxa"/>
          </w:tcPr>
          <w:p w14:paraId="6276BB39" w14:textId="32061538" w:rsidR="002B0927" w:rsidRPr="0046726B" w:rsidRDefault="002B0927" w:rsidP="002B0927">
            <w:pPr>
              <w:pStyle w:val="MDPI42tablebody"/>
              <w:spacing w:line="240" w:lineRule="auto"/>
            </w:pPr>
            <w:r w:rsidRPr="00BF6C9D">
              <w:t>1.21 (0.72,2.04)</w:t>
            </w:r>
          </w:p>
        </w:tc>
        <w:tc>
          <w:tcPr>
            <w:tcW w:w="1323" w:type="dxa"/>
          </w:tcPr>
          <w:p w14:paraId="7FF95EEE" w14:textId="2E68DAD7" w:rsidR="002B0927" w:rsidRPr="0046726B" w:rsidRDefault="002B0927" w:rsidP="002B0927">
            <w:pPr>
              <w:pStyle w:val="MDPI42tablebody"/>
              <w:spacing w:line="240" w:lineRule="auto"/>
            </w:pPr>
            <w:r w:rsidRPr="00BF6C9D">
              <w:t>1.22 (0.72,2.05)</w:t>
            </w:r>
          </w:p>
        </w:tc>
        <w:tc>
          <w:tcPr>
            <w:tcW w:w="1323" w:type="dxa"/>
          </w:tcPr>
          <w:p w14:paraId="1CBBDFE0" w14:textId="07A02740" w:rsidR="002B0927" w:rsidRPr="0046726B" w:rsidRDefault="002B0927" w:rsidP="002B0927">
            <w:pPr>
              <w:pStyle w:val="MDPI42tablebody"/>
              <w:spacing w:line="240" w:lineRule="auto"/>
            </w:pPr>
            <w:r w:rsidRPr="00BF6C9D">
              <w:t>1.17 (0.69,1.98)</w:t>
            </w:r>
          </w:p>
        </w:tc>
      </w:tr>
      <w:tr w:rsidR="002B0927" w:rsidRPr="00D80609" w14:paraId="792FB2A3" w14:textId="77777777" w:rsidTr="003F2CA0">
        <w:trPr>
          <w:jc w:val="center"/>
        </w:trPr>
        <w:tc>
          <w:tcPr>
            <w:tcW w:w="2268" w:type="dxa"/>
            <w:shd w:val="clear" w:color="auto" w:fill="auto"/>
          </w:tcPr>
          <w:p w14:paraId="619800DF" w14:textId="72C1C9F2" w:rsidR="002B0927" w:rsidRPr="0046726B" w:rsidRDefault="002B0927" w:rsidP="002B0927">
            <w:pPr>
              <w:pStyle w:val="MDPI42tablebody"/>
              <w:spacing w:line="240" w:lineRule="auto"/>
              <w:jc w:val="left"/>
            </w:pPr>
            <w:r w:rsidRPr="00A24993">
              <w:t>30 - 39.9 (Obese)</w:t>
            </w:r>
          </w:p>
        </w:tc>
        <w:tc>
          <w:tcPr>
            <w:tcW w:w="1276" w:type="dxa"/>
            <w:shd w:val="clear" w:color="auto" w:fill="auto"/>
          </w:tcPr>
          <w:p w14:paraId="1F665EA1" w14:textId="260E7E1F" w:rsidR="002B0927" w:rsidRPr="0046726B" w:rsidRDefault="002B0927" w:rsidP="002B0927">
            <w:pPr>
              <w:pStyle w:val="MDPI42tablebody"/>
              <w:spacing w:line="240" w:lineRule="auto"/>
            </w:pPr>
            <w:r w:rsidRPr="00BF6C9D">
              <w:t>1.06 (0.61,1.86)</w:t>
            </w:r>
          </w:p>
        </w:tc>
        <w:tc>
          <w:tcPr>
            <w:tcW w:w="1331" w:type="dxa"/>
            <w:shd w:val="clear" w:color="auto" w:fill="auto"/>
          </w:tcPr>
          <w:p w14:paraId="35490461" w14:textId="150923C3" w:rsidR="002B0927" w:rsidRPr="0046726B" w:rsidRDefault="002B0927" w:rsidP="002B0927">
            <w:pPr>
              <w:pStyle w:val="MDPI42tablebody"/>
              <w:spacing w:line="240" w:lineRule="auto"/>
            </w:pPr>
            <w:r w:rsidRPr="00BF6C9D">
              <w:t>1.20 (0.66,2.18)</w:t>
            </w:r>
          </w:p>
        </w:tc>
        <w:tc>
          <w:tcPr>
            <w:tcW w:w="1323" w:type="dxa"/>
          </w:tcPr>
          <w:p w14:paraId="4D39D86D" w14:textId="1AADA1AB" w:rsidR="002B0927" w:rsidRPr="0046726B" w:rsidRDefault="002B0927" w:rsidP="002B0927">
            <w:pPr>
              <w:pStyle w:val="MDPI42tablebody"/>
              <w:spacing w:line="240" w:lineRule="auto"/>
            </w:pPr>
            <w:r w:rsidRPr="00BF6C9D">
              <w:t>1.18 (0.65,2.16)</w:t>
            </w:r>
          </w:p>
        </w:tc>
        <w:tc>
          <w:tcPr>
            <w:tcW w:w="1323" w:type="dxa"/>
          </w:tcPr>
          <w:p w14:paraId="3F30A99C" w14:textId="121FEEF2" w:rsidR="002B0927" w:rsidRPr="0046726B" w:rsidRDefault="002B0927" w:rsidP="002B0927">
            <w:pPr>
              <w:pStyle w:val="MDPI42tablebody"/>
              <w:spacing w:line="240" w:lineRule="auto"/>
            </w:pPr>
            <w:r w:rsidRPr="00BF6C9D">
              <w:t>1.04 (0.57,1.93)</w:t>
            </w:r>
          </w:p>
        </w:tc>
        <w:tc>
          <w:tcPr>
            <w:tcW w:w="1323" w:type="dxa"/>
          </w:tcPr>
          <w:p w14:paraId="48E7A19C" w14:textId="6E1E7AE0" w:rsidR="002B0927" w:rsidRPr="0046726B" w:rsidRDefault="002B0927" w:rsidP="002B0927">
            <w:pPr>
              <w:pStyle w:val="MDPI42tablebody"/>
              <w:spacing w:line="240" w:lineRule="auto"/>
            </w:pPr>
            <w:r w:rsidRPr="00BF6C9D">
              <w:t>1.01 (0.55,1.87)</w:t>
            </w:r>
          </w:p>
        </w:tc>
      </w:tr>
      <w:tr w:rsidR="002B0927" w:rsidRPr="00D80609" w14:paraId="6BBC1FEB" w14:textId="77777777" w:rsidTr="003F2CA0">
        <w:trPr>
          <w:jc w:val="center"/>
        </w:trPr>
        <w:tc>
          <w:tcPr>
            <w:tcW w:w="2268" w:type="dxa"/>
            <w:shd w:val="clear" w:color="auto" w:fill="auto"/>
          </w:tcPr>
          <w:p w14:paraId="4120CF46" w14:textId="55604721" w:rsidR="002B0927" w:rsidRPr="0046726B" w:rsidRDefault="002B0927" w:rsidP="00FC276C">
            <w:pPr>
              <w:pStyle w:val="MDPI42tablebody"/>
              <w:spacing w:line="240" w:lineRule="auto"/>
              <w:jc w:val="left"/>
            </w:pPr>
            <w:r w:rsidRPr="00A24993">
              <w:t>≥40 (</w:t>
            </w:r>
            <w:r w:rsidR="00FC276C">
              <w:rPr>
                <w:rFonts w:cs="Arial"/>
                <w:b/>
                <w:lang w:eastAsia="en-GB"/>
              </w:rPr>
              <w:t>Severely</w:t>
            </w:r>
            <w:r w:rsidR="00FC276C" w:rsidRPr="00A24993">
              <w:t xml:space="preserve"> </w:t>
            </w:r>
            <w:r w:rsidRPr="00A24993">
              <w:t>Obese)</w:t>
            </w:r>
          </w:p>
        </w:tc>
        <w:tc>
          <w:tcPr>
            <w:tcW w:w="1276" w:type="dxa"/>
            <w:shd w:val="clear" w:color="auto" w:fill="auto"/>
          </w:tcPr>
          <w:p w14:paraId="22BC8BD8" w14:textId="225CCFB9" w:rsidR="002B0927" w:rsidRPr="0046726B" w:rsidRDefault="002B0927" w:rsidP="002B0927">
            <w:pPr>
              <w:pStyle w:val="MDPI42tablebody"/>
              <w:spacing w:line="240" w:lineRule="auto"/>
            </w:pPr>
            <w:r w:rsidRPr="00BF6C9D">
              <w:t>1.82 (0.43,7.69)</w:t>
            </w:r>
          </w:p>
        </w:tc>
        <w:tc>
          <w:tcPr>
            <w:tcW w:w="1331" w:type="dxa"/>
            <w:shd w:val="clear" w:color="auto" w:fill="auto"/>
          </w:tcPr>
          <w:p w14:paraId="364DA806" w14:textId="5D99B8DB" w:rsidR="002B0927" w:rsidRPr="0046726B" w:rsidRDefault="002B0927" w:rsidP="002B0927">
            <w:pPr>
              <w:pStyle w:val="MDPI42tablebody"/>
              <w:spacing w:line="240" w:lineRule="auto"/>
            </w:pPr>
            <w:r w:rsidRPr="00BF6C9D">
              <w:t>1.53 (0.35,6.75)</w:t>
            </w:r>
          </w:p>
        </w:tc>
        <w:tc>
          <w:tcPr>
            <w:tcW w:w="1323" w:type="dxa"/>
          </w:tcPr>
          <w:p w14:paraId="5C33BDC1" w14:textId="6D55A2CA" w:rsidR="002B0927" w:rsidRPr="0046726B" w:rsidRDefault="002B0927" w:rsidP="002B0927">
            <w:pPr>
              <w:pStyle w:val="MDPI42tablebody"/>
              <w:spacing w:line="240" w:lineRule="auto"/>
            </w:pPr>
            <w:r w:rsidRPr="00BF6C9D">
              <w:t>1.57 (0.36,6.92)</w:t>
            </w:r>
          </w:p>
        </w:tc>
        <w:tc>
          <w:tcPr>
            <w:tcW w:w="1323" w:type="dxa"/>
          </w:tcPr>
          <w:p w14:paraId="48036B35" w14:textId="09531B8B" w:rsidR="002B0927" w:rsidRPr="0046726B" w:rsidRDefault="002B0927" w:rsidP="002B0927">
            <w:pPr>
              <w:pStyle w:val="MDPI42tablebody"/>
              <w:spacing w:line="240" w:lineRule="auto"/>
            </w:pPr>
            <w:r w:rsidRPr="00BF6C9D">
              <w:t>0.83 (0.18,3.84)</w:t>
            </w:r>
          </w:p>
        </w:tc>
        <w:tc>
          <w:tcPr>
            <w:tcW w:w="1323" w:type="dxa"/>
          </w:tcPr>
          <w:p w14:paraId="46349EC7" w14:textId="54545639" w:rsidR="002B0927" w:rsidRPr="0046726B" w:rsidRDefault="002B0927" w:rsidP="002B0927">
            <w:pPr>
              <w:pStyle w:val="MDPI42tablebody"/>
              <w:spacing w:line="240" w:lineRule="auto"/>
            </w:pPr>
            <w:r w:rsidRPr="00BF6C9D">
              <w:t>0.99 (0.22,4.49)</w:t>
            </w:r>
          </w:p>
        </w:tc>
      </w:tr>
      <w:tr w:rsidR="002B0927" w:rsidRPr="00D80609" w14:paraId="01DD8853" w14:textId="77777777" w:rsidTr="003F2CA0">
        <w:trPr>
          <w:jc w:val="center"/>
        </w:trPr>
        <w:tc>
          <w:tcPr>
            <w:tcW w:w="2268" w:type="dxa"/>
            <w:shd w:val="clear" w:color="auto" w:fill="auto"/>
          </w:tcPr>
          <w:p w14:paraId="2F57E011" w14:textId="77777777" w:rsidR="002B0927" w:rsidRPr="0046726B" w:rsidRDefault="002B0927" w:rsidP="002B0927">
            <w:pPr>
              <w:pStyle w:val="MDPI42tablebody"/>
              <w:spacing w:line="240" w:lineRule="auto"/>
              <w:jc w:val="left"/>
            </w:pPr>
          </w:p>
        </w:tc>
        <w:tc>
          <w:tcPr>
            <w:tcW w:w="1276" w:type="dxa"/>
            <w:shd w:val="clear" w:color="auto" w:fill="auto"/>
          </w:tcPr>
          <w:p w14:paraId="593BC185" w14:textId="77777777" w:rsidR="002B0927" w:rsidRPr="0046726B" w:rsidRDefault="002B0927" w:rsidP="002B0927">
            <w:pPr>
              <w:pStyle w:val="MDPI42tablebody"/>
              <w:spacing w:line="240" w:lineRule="auto"/>
            </w:pPr>
          </w:p>
        </w:tc>
        <w:tc>
          <w:tcPr>
            <w:tcW w:w="1331" w:type="dxa"/>
            <w:shd w:val="clear" w:color="auto" w:fill="auto"/>
          </w:tcPr>
          <w:p w14:paraId="647BE0E2" w14:textId="77777777" w:rsidR="002B0927" w:rsidRPr="0046726B" w:rsidRDefault="002B0927" w:rsidP="002B0927">
            <w:pPr>
              <w:pStyle w:val="MDPI42tablebody"/>
              <w:spacing w:line="240" w:lineRule="auto"/>
            </w:pPr>
          </w:p>
        </w:tc>
        <w:tc>
          <w:tcPr>
            <w:tcW w:w="1323" w:type="dxa"/>
          </w:tcPr>
          <w:p w14:paraId="7F6F2892" w14:textId="77777777" w:rsidR="002B0927" w:rsidRPr="0046726B" w:rsidRDefault="002B0927" w:rsidP="002B0927">
            <w:pPr>
              <w:pStyle w:val="MDPI42tablebody"/>
              <w:spacing w:line="240" w:lineRule="auto"/>
            </w:pPr>
          </w:p>
        </w:tc>
        <w:tc>
          <w:tcPr>
            <w:tcW w:w="1323" w:type="dxa"/>
          </w:tcPr>
          <w:p w14:paraId="66746D83" w14:textId="77777777" w:rsidR="002B0927" w:rsidRPr="0046726B" w:rsidRDefault="002B0927" w:rsidP="002B0927">
            <w:pPr>
              <w:pStyle w:val="MDPI42tablebody"/>
              <w:spacing w:line="240" w:lineRule="auto"/>
            </w:pPr>
          </w:p>
        </w:tc>
        <w:tc>
          <w:tcPr>
            <w:tcW w:w="1323" w:type="dxa"/>
          </w:tcPr>
          <w:p w14:paraId="1B9A19D4" w14:textId="77777777" w:rsidR="002B0927" w:rsidRPr="0046726B" w:rsidRDefault="002B0927" w:rsidP="002B0927">
            <w:pPr>
              <w:pStyle w:val="MDPI42tablebody"/>
              <w:spacing w:line="240" w:lineRule="auto"/>
            </w:pPr>
          </w:p>
        </w:tc>
      </w:tr>
      <w:tr w:rsidR="002B0927" w:rsidRPr="00D80609" w14:paraId="6FFAC019" w14:textId="77777777" w:rsidTr="003F2CA0">
        <w:trPr>
          <w:jc w:val="center"/>
        </w:trPr>
        <w:tc>
          <w:tcPr>
            <w:tcW w:w="2268" w:type="dxa"/>
            <w:shd w:val="clear" w:color="auto" w:fill="auto"/>
          </w:tcPr>
          <w:p w14:paraId="440D331E" w14:textId="6B399CA5" w:rsidR="002B0927" w:rsidRPr="00A7469A" w:rsidRDefault="002B0927" w:rsidP="002B0927">
            <w:pPr>
              <w:pStyle w:val="MDPI42tablebody"/>
              <w:spacing w:line="240" w:lineRule="auto"/>
              <w:jc w:val="left"/>
              <w:rPr>
                <w:i/>
              </w:rPr>
            </w:pPr>
            <w:r w:rsidRPr="00A7469A">
              <w:rPr>
                <w:i/>
              </w:rPr>
              <w:t>Women</w:t>
            </w:r>
          </w:p>
        </w:tc>
        <w:tc>
          <w:tcPr>
            <w:tcW w:w="1276" w:type="dxa"/>
            <w:shd w:val="clear" w:color="auto" w:fill="auto"/>
          </w:tcPr>
          <w:p w14:paraId="496EDED7" w14:textId="77777777" w:rsidR="002B0927" w:rsidRPr="0046726B" w:rsidRDefault="002B0927" w:rsidP="002B0927">
            <w:pPr>
              <w:pStyle w:val="MDPI42tablebody"/>
              <w:spacing w:line="240" w:lineRule="auto"/>
            </w:pPr>
          </w:p>
        </w:tc>
        <w:tc>
          <w:tcPr>
            <w:tcW w:w="1331" w:type="dxa"/>
            <w:shd w:val="clear" w:color="auto" w:fill="auto"/>
          </w:tcPr>
          <w:p w14:paraId="3D67A8E2" w14:textId="77777777" w:rsidR="002B0927" w:rsidRPr="0046726B" w:rsidRDefault="002B0927" w:rsidP="002B0927">
            <w:pPr>
              <w:pStyle w:val="MDPI42tablebody"/>
              <w:spacing w:line="240" w:lineRule="auto"/>
            </w:pPr>
          </w:p>
        </w:tc>
        <w:tc>
          <w:tcPr>
            <w:tcW w:w="1323" w:type="dxa"/>
          </w:tcPr>
          <w:p w14:paraId="4CC6CA94" w14:textId="77777777" w:rsidR="002B0927" w:rsidRPr="0046726B" w:rsidRDefault="002B0927" w:rsidP="002B0927">
            <w:pPr>
              <w:pStyle w:val="MDPI42tablebody"/>
              <w:spacing w:line="240" w:lineRule="auto"/>
            </w:pPr>
          </w:p>
        </w:tc>
        <w:tc>
          <w:tcPr>
            <w:tcW w:w="1323" w:type="dxa"/>
          </w:tcPr>
          <w:p w14:paraId="01567FDD" w14:textId="77777777" w:rsidR="002B0927" w:rsidRPr="0046726B" w:rsidRDefault="002B0927" w:rsidP="002B0927">
            <w:pPr>
              <w:pStyle w:val="MDPI42tablebody"/>
              <w:spacing w:line="240" w:lineRule="auto"/>
            </w:pPr>
          </w:p>
        </w:tc>
        <w:tc>
          <w:tcPr>
            <w:tcW w:w="1323" w:type="dxa"/>
          </w:tcPr>
          <w:p w14:paraId="6E73EA91" w14:textId="77777777" w:rsidR="002B0927" w:rsidRPr="0046726B" w:rsidRDefault="002B0927" w:rsidP="002B0927">
            <w:pPr>
              <w:pStyle w:val="MDPI42tablebody"/>
              <w:spacing w:line="240" w:lineRule="auto"/>
            </w:pPr>
          </w:p>
        </w:tc>
      </w:tr>
      <w:tr w:rsidR="002B0927" w:rsidRPr="00D80609" w14:paraId="019F9967" w14:textId="77777777" w:rsidTr="003F2CA0">
        <w:trPr>
          <w:jc w:val="center"/>
        </w:trPr>
        <w:tc>
          <w:tcPr>
            <w:tcW w:w="2268" w:type="dxa"/>
            <w:shd w:val="clear" w:color="auto" w:fill="auto"/>
          </w:tcPr>
          <w:p w14:paraId="572B54B6" w14:textId="1C3B5A15" w:rsidR="002B0927" w:rsidRPr="0046726B" w:rsidRDefault="002B0927" w:rsidP="002B0927">
            <w:pPr>
              <w:pStyle w:val="MDPI42tablebody"/>
              <w:spacing w:line="240" w:lineRule="auto"/>
              <w:jc w:val="left"/>
            </w:pPr>
            <w:r w:rsidRPr="00A24993">
              <w:t>18.5 - 24.9 (Normal)</w:t>
            </w:r>
          </w:p>
        </w:tc>
        <w:tc>
          <w:tcPr>
            <w:tcW w:w="1276" w:type="dxa"/>
            <w:shd w:val="clear" w:color="auto" w:fill="auto"/>
          </w:tcPr>
          <w:p w14:paraId="345D9F63" w14:textId="427CA16C" w:rsidR="002B0927" w:rsidRPr="0046726B" w:rsidRDefault="002B0927" w:rsidP="002B0927">
            <w:pPr>
              <w:pStyle w:val="MDPI42tablebody"/>
              <w:spacing w:line="240" w:lineRule="auto"/>
            </w:pPr>
            <w:r w:rsidRPr="00BF6C9D">
              <w:t>Ref</w:t>
            </w:r>
          </w:p>
        </w:tc>
        <w:tc>
          <w:tcPr>
            <w:tcW w:w="1331" w:type="dxa"/>
            <w:shd w:val="clear" w:color="auto" w:fill="auto"/>
          </w:tcPr>
          <w:p w14:paraId="06B86792" w14:textId="42498879" w:rsidR="002B0927" w:rsidRPr="0046726B" w:rsidRDefault="002B0927" w:rsidP="002B0927">
            <w:pPr>
              <w:pStyle w:val="MDPI42tablebody"/>
              <w:spacing w:line="240" w:lineRule="auto"/>
            </w:pPr>
            <w:r w:rsidRPr="00BF6C9D">
              <w:t>Ref</w:t>
            </w:r>
          </w:p>
        </w:tc>
        <w:tc>
          <w:tcPr>
            <w:tcW w:w="1323" w:type="dxa"/>
          </w:tcPr>
          <w:p w14:paraId="6B69EDE8" w14:textId="1A055470" w:rsidR="002B0927" w:rsidRPr="0046726B" w:rsidRDefault="002B0927" w:rsidP="002B0927">
            <w:pPr>
              <w:pStyle w:val="MDPI42tablebody"/>
              <w:spacing w:line="240" w:lineRule="auto"/>
            </w:pPr>
            <w:r w:rsidRPr="00BF6C9D">
              <w:t>Ref</w:t>
            </w:r>
          </w:p>
        </w:tc>
        <w:tc>
          <w:tcPr>
            <w:tcW w:w="1323" w:type="dxa"/>
          </w:tcPr>
          <w:p w14:paraId="59D8BB04" w14:textId="5985154B" w:rsidR="002B0927" w:rsidRPr="0046726B" w:rsidRDefault="002B0927" w:rsidP="002B0927">
            <w:pPr>
              <w:pStyle w:val="MDPI42tablebody"/>
              <w:spacing w:line="240" w:lineRule="auto"/>
            </w:pPr>
            <w:r w:rsidRPr="00BF6C9D">
              <w:t>Ref</w:t>
            </w:r>
          </w:p>
        </w:tc>
        <w:tc>
          <w:tcPr>
            <w:tcW w:w="1323" w:type="dxa"/>
          </w:tcPr>
          <w:p w14:paraId="6A8B6B48" w14:textId="618EB875" w:rsidR="002B0927" w:rsidRPr="0046726B" w:rsidRDefault="002B0927" w:rsidP="002B0927">
            <w:pPr>
              <w:pStyle w:val="MDPI42tablebody"/>
              <w:spacing w:line="240" w:lineRule="auto"/>
            </w:pPr>
            <w:r w:rsidRPr="00BF6C9D">
              <w:t>Ref</w:t>
            </w:r>
          </w:p>
        </w:tc>
      </w:tr>
      <w:tr w:rsidR="002B0927" w:rsidRPr="00D80609" w14:paraId="12B0F436" w14:textId="77777777" w:rsidTr="003F2CA0">
        <w:trPr>
          <w:jc w:val="center"/>
        </w:trPr>
        <w:tc>
          <w:tcPr>
            <w:tcW w:w="2268" w:type="dxa"/>
            <w:shd w:val="clear" w:color="auto" w:fill="auto"/>
          </w:tcPr>
          <w:p w14:paraId="0EED6F6D" w14:textId="2BFBA016" w:rsidR="002B0927" w:rsidRPr="0046726B" w:rsidRDefault="002B0927" w:rsidP="002B0927">
            <w:pPr>
              <w:pStyle w:val="MDPI42tablebody"/>
              <w:spacing w:line="240" w:lineRule="auto"/>
              <w:jc w:val="left"/>
            </w:pPr>
            <w:r w:rsidRPr="00A24993">
              <w:t>25 - 29.9 (Overweight)</w:t>
            </w:r>
          </w:p>
        </w:tc>
        <w:tc>
          <w:tcPr>
            <w:tcW w:w="1276" w:type="dxa"/>
            <w:shd w:val="clear" w:color="auto" w:fill="auto"/>
          </w:tcPr>
          <w:p w14:paraId="45D8633B" w14:textId="3B475505" w:rsidR="002B0927" w:rsidRPr="0046726B" w:rsidRDefault="002B0927" w:rsidP="002B0927">
            <w:pPr>
              <w:pStyle w:val="MDPI42tablebody"/>
              <w:spacing w:line="240" w:lineRule="auto"/>
            </w:pPr>
            <w:r w:rsidRPr="00BF6C9D">
              <w:t>1.42 (0.98,2.07)</w:t>
            </w:r>
          </w:p>
        </w:tc>
        <w:tc>
          <w:tcPr>
            <w:tcW w:w="1331" w:type="dxa"/>
            <w:shd w:val="clear" w:color="auto" w:fill="auto"/>
          </w:tcPr>
          <w:p w14:paraId="19639A3A" w14:textId="3A95659A" w:rsidR="002B0927" w:rsidRPr="002B0927" w:rsidRDefault="002B0927" w:rsidP="002B0927">
            <w:pPr>
              <w:pStyle w:val="MDPI42tablebody"/>
              <w:spacing w:line="240" w:lineRule="auto"/>
              <w:rPr>
                <w:b/>
              </w:rPr>
            </w:pPr>
            <w:r w:rsidRPr="002B0927">
              <w:rPr>
                <w:b/>
              </w:rPr>
              <w:t>1.55 (1.04,2.32)</w:t>
            </w:r>
          </w:p>
        </w:tc>
        <w:tc>
          <w:tcPr>
            <w:tcW w:w="1323" w:type="dxa"/>
          </w:tcPr>
          <w:p w14:paraId="1D205F51" w14:textId="1067950C" w:rsidR="002B0927" w:rsidRPr="002B0927" w:rsidRDefault="002B0927" w:rsidP="002B0927">
            <w:pPr>
              <w:pStyle w:val="MDPI42tablebody"/>
              <w:spacing w:line="240" w:lineRule="auto"/>
              <w:rPr>
                <w:b/>
              </w:rPr>
            </w:pPr>
            <w:r w:rsidRPr="002B0927">
              <w:rPr>
                <w:b/>
              </w:rPr>
              <w:t>1.56 (1.04,2.32)</w:t>
            </w:r>
          </w:p>
        </w:tc>
        <w:tc>
          <w:tcPr>
            <w:tcW w:w="1323" w:type="dxa"/>
          </w:tcPr>
          <w:p w14:paraId="7DF55B66" w14:textId="70CDA780" w:rsidR="002B0927" w:rsidRPr="0046726B" w:rsidRDefault="002B0927" w:rsidP="002B0927">
            <w:pPr>
              <w:pStyle w:val="MDPI42tablebody"/>
              <w:spacing w:line="240" w:lineRule="auto"/>
            </w:pPr>
            <w:r w:rsidRPr="00BF6C9D">
              <w:t>1.26 (0.82,1.95)</w:t>
            </w:r>
          </w:p>
        </w:tc>
        <w:tc>
          <w:tcPr>
            <w:tcW w:w="1323" w:type="dxa"/>
          </w:tcPr>
          <w:p w14:paraId="48C04201" w14:textId="1C9FD7E8" w:rsidR="002B0927" w:rsidRPr="0046726B" w:rsidRDefault="002B0927" w:rsidP="002B0927">
            <w:pPr>
              <w:pStyle w:val="MDPI42tablebody"/>
              <w:spacing w:line="240" w:lineRule="auto"/>
            </w:pPr>
            <w:r w:rsidRPr="00BF6C9D">
              <w:t>1.26 (0.82,1.95)</w:t>
            </w:r>
          </w:p>
        </w:tc>
      </w:tr>
      <w:tr w:rsidR="002B0927" w:rsidRPr="00D80609" w14:paraId="3C961F0E" w14:textId="77777777" w:rsidTr="003F2CA0">
        <w:trPr>
          <w:jc w:val="center"/>
        </w:trPr>
        <w:tc>
          <w:tcPr>
            <w:tcW w:w="2268" w:type="dxa"/>
            <w:shd w:val="clear" w:color="auto" w:fill="auto"/>
          </w:tcPr>
          <w:p w14:paraId="4DC1F88E" w14:textId="6F393844" w:rsidR="002B0927" w:rsidRPr="0046726B" w:rsidRDefault="002B0927" w:rsidP="002B0927">
            <w:pPr>
              <w:pStyle w:val="MDPI42tablebody"/>
              <w:spacing w:line="240" w:lineRule="auto"/>
              <w:jc w:val="left"/>
            </w:pPr>
            <w:r w:rsidRPr="00A24993">
              <w:t>30 - 39.9 (Obese)</w:t>
            </w:r>
          </w:p>
        </w:tc>
        <w:tc>
          <w:tcPr>
            <w:tcW w:w="1276" w:type="dxa"/>
            <w:shd w:val="clear" w:color="auto" w:fill="auto"/>
          </w:tcPr>
          <w:p w14:paraId="25693FB9" w14:textId="3B2AA33E" w:rsidR="002B0927" w:rsidRPr="0046726B" w:rsidRDefault="002B0927" w:rsidP="002B0927">
            <w:pPr>
              <w:pStyle w:val="MDPI42tablebody"/>
              <w:spacing w:line="240" w:lineRule="auto"/>
            </w:pPr>
            <w:r w:rsidRPr="00BF6C9D">
              <w:t>1.34 (0.87,2.05)</w:t>
            </w:r>
          </w:p>
        </w:tc>
        <w:tc>
          <w:tcPr>
            <w:tcW w:w="1331" w:type="dxa"/>
            <w:shd w:val="clear" w:color="auto" w:fill="auto"/>
          </w:tcPr>
          <w:p w14:paraId="51BE5168" w14:textId="6DC551B2" w:rsidR="002B0927" w:rsidRPr="0046726B" w:rsidRDefault="002B0927" w:rsidP="002B0927">
            <w:pPr>
              <w:pStyle w:val="MDPI42tablebody"/>
              <w:spacing w:line="240" w:lineRule="auto"/>
            </w:pPr>
            <w:r w:rsidRPr="00BF6C9D">
              <w:t>1.29 (0.81,2.07)</w:t>
            </w:r>
          </w:p>
        </w:tc>
        <w:tc>
          <w:tcPr>
            <w:tcW w:w="1323" w:type="dxa"/>
          </w:tcPr>
          <w:p w14:paraId="0D45DB46" w14:textId="45DC0124" w:rsidR="002B0927" w:rsidRPr="0046726B" w:rsidRDefault="002B0927" w:rsidP="002B0927">
            <w:pPr>
              <w:pStyle w:val="MDPI42tablebody"/>
              <w:spacing w:line="240" w:lineRule="auto"/>
            </w:pPr>
            <w:r w:rsidRPr="00BF6C9D">
              <w:t>1.31 (0.82,2.10)</w:t>
            </w:r>
          </w:p>
        </w:tc>
        <w:tc>
          <w:tcPr>
            <w:tcW w:w="1323" w:type="dxa"/>
          </w:tcPr>
          <w:p w14:paraId="4BF9D3C3" w14:textId="24249613" w:rsidR="002B0927" w:rsidRPr="0046726B" w:rsidRDefault="002B0927" w:rsidP="002B0927">
            <w:pPr>
              <w:pStyle w:val="MDPI42tablebody"/>
              <w:spacing w:line="240" w:lineRule="auto"/>
            </w:pPr>
            <w:r w:rsidRPr="00BF6C9D">
              <w:t>1.18 (0.72,1.93)</w:t>
            </w:r>
          </w:p>
        </w:tc>
        <w:tc>
          <w:tcPr>
            <w:tcW w:w="1323" w:type="dxa"/>
          </w:tcPr>
          <w:p w14:paraId="4A3DB6AE" w14:textId="2A9E2222" w:rsidR="002B0927" w:rsidRPr="0046726B" w:rsidRDefault="002B0927" w:rsidP="002B0927">
            <w:pPr>
              <w:pStyle w:val="MDPI42tablebody"/>
              <w:spacing w:line="240" w:lineRule="auto"/>
            </w:pPr>
            <w:r w:rsidRPr="00BF6C9D">
              <w:t>1.19 (0.73,1.94)</w:t>
            </w:r>
          </w:p>
        </w:tc>
      </w:tr>
      <w:tr w:rsidR="002B0927" w:rsidRPr="00D80609" w14:paraId="62C2880A" w14:textId="77777777" w:rsidTr="003F2CA0">
        <w:trPr>
          <w:jc w:val="center"/>
        </w:trPr>
        <w:tc>
          <w:tcPr>
            <w:tcW w:w="2268" w:type="dxa"/>
            <w:shd w:val="clear" w:color="auto" w:fill="auto"/>
          </w:tcPr>
          <w:p w14:paraId="7F34703C" w14:textId="6995A091" w:rsidR="002B0927" w:rsidRPr="0046726B" w:rsidRDefault="002B0927" w:rsidP="002B0927">
            <w:pPr>
              <w:pStyle w:val="MDPI42tablebody"/>
              <w:spacing w:line="240" w:lineRule="auto"/>
              <w:jc w:val="left"/>
            </w:pPr>
            <w:r w:rsidRPr="00A24993">
              <w:t>≥40 (</w:t>
            </w:r>
            <w:r w:rsidR="00FC276C">
              <w:rPr>
                <w:rFonts w:cs="Arial"/>
                <w:b/>
                <w:lang w:eastAsia="en-GB"/>
              </w:rPr>
              <w:t>Severely</w:t>
            </w:r>
            <w:r w:rsidR="00FC276C" w:rsidRPr="00A24993">
              <w:t xml:space="preserve"> </w:t>
            </w:r>
            <w:r w:rsidRPr="00A24993">
              <w:t>Obese )</w:t>
            </w:r>
          </w:p>
        </w:tc>
        <w:tc>
          <w:tcPr>
            <w:tcW w:w="1276" w:type="dxa"/>
            <w:shd w:val="clear" w:color="auto" w:fill="auto"/>
          </w:tcPr>
          <w:p w14:paraId="19C2AF93" w14:textId="0F9033EB" w:rsidR="002B0927" w:rsidRPr="002B0927" w:rsidRDefault="002B0927" w:rsidP="002B0927">
            <w:pPr>
              <w:pStyle w:val="MDPI42tablebody"/>
              <w:spacing w:line="240" w:lineRule="auto"/>
              <w:rPr>
                <w:b/>
              </w:rPr>
            </w:pPr>
            <w:r w:rsidRPr="002B0927">
              <w:rPr>
                <w:b/>
              </w:rPr>
              <w:t>2.52 (1.20,5.30)</w:t>
            </w:r>
          </w:p>
        </w:tc>
        <w:tc>
          <w:tcPr>
            <w:tcW w:w="1331" w:type="dxa"/>
            <w:shd w:val="clear" w:color="auto" w:fill="auto"/>
          </w:tcPr>
          <w:p w14:paraId="5CD664F4" w14:textId="2A246F60" w:rsidR="002B0927" w:rsidRPr="002B0927" w:rsidRDefault="002B0927" w:rsidP="002B0927">
            <w:pPr>
              <w:pStyle w:val="MDPI42tablebody"/>
              <w:spacing w:line="240" w:lineRule="auto"/>
              <w:rPr>
                <w:b/>
              </w:rPr>
            </w:pPr>
            <w:r w:rsidRPr="002B0927">
              <w:rPr>
                <w:b/>
              </w:rPr>
              <w:t>2.93 (1.38,6.23)</w:t>
            </w:r>
          </w:p>
        </w:tc>
        <w:tc>
          <w:tcPr>
            <w:tcW w:w="1323" w:type="dxa"/>
          </w:tcPr>
          <w:p w14:paraId="27EBDA94" w14:textId="52D187C5" w:rsidR="002B0927" w:rsidRPr="002B0927" w:rsidRDefault="002B0927" w:rsidP="002B0927">
            <w:pPr>
              <w:pStyle w:val="MDPI42tablebody"/>
              <w:spacing w:line="240" w:lineRule="auto"/>
              <w:rPr>
                <w:b/>
              </w:rPr>
            </w:pPr>
            <w:r w:rsidRPr="002B0927">
              <w:rPr>
                <w:b/>
              </w:rPr>
              <w:t>2.98 (1.40,6.33)</w:t>
            </w:r>
          </w:p>
        </w:tc>
        <w:tc>
          <w:tcPr>
            <w:tcW w:w="1323" w:type="dxa"/>
          </w:tcPr>
          <w:p w14:paraId="1E2D35DC" w14:textId="4B527EDC" w:rsidR="002B0927" w:rsidRPr="002B0927" w:rsidRDefault="002B0927" w:rsidP="002B0927">
            <w:pPr>
              <w:pStyle w:val="MDPI42tablebody"/>
              <w:spacing w:line="240" w:lineRule="auto"/>
              <w:rPr>
                <w:b/>
              </w:rPr>
            </w:pPr>
            <w:r w:rsidRPr="002B0927">
              <w:rPr>
                <w:b/>
              </w:rPr>
              <w:t>2.52 (1.12,5.67)</w:t>
            </w:r>
          </w:p>
        </w:tc>
        <w:tc>
          <w:tcPr>
            <w:tcW w:w="1323" w:type="dxa"/>
          </w:tcPr>
          <w:p w14:paraId="47780772" w14:textId="36D9A626" w:rsidR="002B0927" w:rsidRPr="002B0927" w:rsidRDefault="002B0927" w:rsidP="002B0927">
            <w:pPr>
              <w:pStyle w:val="MDPI42tablebody"/>
              <w:spacing w:line="240" w:lineRule="auto"/>
              <w:rPr>
                <w:b/>
              </w:rPr>
            </w:pPr>
            <w:r w:rsidRPr="002B0927">
              <w:rPr>
                <w:b/>
              </w:rPr>
              <w:t>2.56 (1.14,5.77)</w:t>
            </w:r>
          </w:p>
        </w:tc>
      </w:tr>
    </w:tbl>
    <w:p w14:paraId="16A3B1E7" w14:textId="6C3820C0" w:rsidR="00A7469A" w:rsidRDefault="00A7469A" w:rsidP="00A7469A">
      <w:pPr>
        <w:pStyle w:val="MDPI43tablefooter"/>
        <w:spacing w:after="240"/>
        <w:jc w:val="left"/>
      </w:pPr>
      <w:r w:rsidRPr="00A7469A">
        <w:rPr>
          <w:i/>
        </w:rPr>
        <w:t>Model 1</w:t>
      </w:r>
      <w:r w:rsidRPr="00F20284">
        <w:t>: adjusted for age</w:t>
      </w:r>
      <w:r>
        <w:t xml:space="preserve">, </w:t>
      </w:r>
      <w:r w:rsidRPr="00A7469A">
        <w:rPr>
          <w:i/>
        </w:rPr>
        <w:t>Model 2</w:t>
      </w:r>
      <w:r w:rsidRPr="00F20284">
        <w:t xml:space="preserve">: </w:t>
      </w:r>
      <w:r w:rsidRPr="00A7469A">
        <w:t>adjusted for age, proximity to retirement, financial difficulties, home ownership and physical activity for men; adjusted for age, proximity to retirement, financial difficulties, educational level and smoking for women</w:t>
      </w:r>
      <w:r>
        <w:t>,</w:t>
      </w:r>
      <w:r w:rsidRPr="00737107">
        <w:t xml:space="preserve"> </w:t>
      </w:r>
      <w:r w:rsidRPr="00A7469A">
        <w:rPr>
          <w:i/>
        </w:rPr>
        <w:t>Model 3</w:t>
      </w:r>
      <w:r w:rsidRPr="00F20284">
        <w:t xml:space="preserve">: as Model 2 + </w:t>
      </w:r>
      <w:r w:rsidRPr="00A7469A">
        <w:t>job dissatisfaction, physical work activity score among men; as Model 2 + physical work activity score among women</w:t>
      </w:r>
      <w:r>
        <w:t>,</w:t>
      </w:r>
      <w:r w:rsidRPr="00A7469A">
        <w:rPr>
          <w:i/>
        </w:rPr>
        <w:t xml:space="preserve"> Model 4</w:t>
      </w:r>
      <w:r w:rsidRPr="00F20284">
        <w:t xml:space="preserve">: as Model 2 + </w:t>
      </w:r>
      <w:r w:rsidRPr="00A7469A">
        <w:t>hypertension, cardiac conditions, common mental health problems among men; as Model 2 + musculoskeletal disorders, common mental health problems among women</w:t>
      </w:r>
      <w:r>
        <w:t xml:space="preserve">, </w:t>
      </w:r>
      <w:r w:rsidRPr="00A7469A">
        <w:rPr>
          <w:i/>
        </w:rPr>
        <w:t>Model 5</w:t>
      </w:r>
      <w:r w:rsidRPr="00A7469A">
        <w:t>: as Model 3 + CPRD health conditions</w:t>
      </w:r>
    </w:p>
    <w:p w14:paraId="426B4424" w14:textId="461611B2" w:rsidR="0046726B" w:rsidRPr="00D80609" w:rsidRDefault="005B174A" w:rsidP="005B174A">
      <w:pPr>
        <w:pStyle w:val="MDPI21heading1"/>
      </w:pPr>
      <w:r>
        <w:t xml:space="preserve">4. </w:t>
      </w:r>
      <w:r w:rsidR="0046726B" w:rsidRPr="00D80609">
        <w:t>Discussion</w:t>
      </w:r>
    </w:p>
    <w:p w14:paraId="2821F11F" w14:textId="05511BC0" w:rsidR="00012A84" w:rsidRPr="008A71D2" w:rsidRDefault="00012A84" w:rsidP="005B174A">
      <w:pPr>
        <w:pStyle w:val="MDPI31text"/>
      </w:pPr>
      <w:r w:rsidRPr="008A71D2">
        <w:t>In this longitudinal study, obesity, and particularly severe obesity, predicted difficult</w:t>
      </w:r>
      <w:r w:rsidR="00AB6343">
        <w:t>ies coping at work</w:t>
      </w:r>
      <w:r w:rsidRPr="008A71D2">
        <w:t xml:space="preserve"> </w:t>
      </w:r>
      <w:r w:rsidR="00216DB0">
        <w:t>amongst older workers</w:t>
      </w:r>
      <w:r w:rsidRPr="008A71D2">
        <w:t>. Amongst men and women, severe obesity predicted needing to cut down, avoid, or change what they did at work over two years of follow-up. Compared with those of normal weight, a higher risk of prolonged sickness absence during two years of follow-up was seen amongst women with obesity or severe obesity. Women with a BMI ≥25kg/m</w:t>
      </w:r>
      <w:r w:rsidRPr="008A71D2">
        <w:rPr>
          <w:vertAlign w:val="superscript"/>
        </w:rPr>
        <w:t xml:space="preserve">2 </w:t>
      </w:r>
      <w:r w:rsidRPr="008A71D2">
        <w:t xml:space="preserve">were at greater risk of </w:t>
      </w:r>
      <w:r w:rsidR="00ED4679">
        <w:t>HRJL</w:t>
      </w:r>
      <w:r w:rsidRPr="008A71D2">
        <w:t xml:space="preserve"> during two-year follow-up when compared with those of normal weight; however, only women with severe obesity had an elevated risk of HRJL (more than 2.5-fold increased) after adjustment for other risk factors.</w:t>
      </w:r>
      <w:r w:rsidR="00AB6343">
        <w:t xml:space="preserve"> These findings add to a growing body of literature which suggests that obesity may impair work ability</w:t>
      </w:r>
      <w:r w:rsidR="002E175E">
        <w:t>, adding to it by studying several different work outcomes longitudinally and focusing on workers aged ≥50 years at a time when societies are looking to encourage people to stay in work to older ages.</w:t>
      </w:r>
    </w:p>
    <w:p w14:paraId="668ED902" w14:textId="02C9E73E" w:rsidR="00012A84" w:rsidRPr="008A71D2" w:rsidRDefault="00012A84" w:rsidP="005B174A">
      <w:pPr>
        <w:pStyle w:val="MDPI31text"/>
      </w:pPr>
      <w:r w:rsidRPr="008A71D2">
        <w:t>Obesity and work</w:t>
      </w:r>
      <w:r w:rsidR="00ED4679">
        <w:t xml:space="preserve"> </w:t>
      </w:r>
      <w:r w:rsidRPr="008A71D2">
        <w:t>ability has been studied previously</w:t>
      </w:r>
      <w:r w:rsidR="008B211D">
        <w:t xml:space="preserve">. </w:t>
      </w:r>
      <w:r w:rsidR="00EE7885">
        <w:t>In a cross-sectional study including</w:t>
      </w:r>
      <w:r w:rsidR="00216DB0">
        <w:t xml:space="preserve"> 10,400 Danish workers, mean age </w:t>
      </w:r>
      <w:r w:rsidR="00EE7885">
        <w:t>43.5 years (range 18-59 years</w:t>
      </w:r>
      <w:r w:rsidR="00216DB0">
        <w:t xml:space="preserve">), work ability </w:t>
      </w:r>
      <w:r w:rsidR="00EE7885">
        <w:t>defined as</w:t>
      </w:r>
      <w:r w:rsidR="00216DB0">
        <w:t xml:space="preserve"> “coping with physical demands” was found to be impaired </w:t>
      </w:r>
      <w:r w:rsidR="00AB6343">
        <w:t xml:space="preserve">in association with obesity </w:t>
      </w:r>
      <w:r w:rsidR="00EE7885">
        <w:t>with estimated risks increasing with increasing BMI (</w:t>
      </w:r>
      <w:r w:rsidR="008356A7">
        <w:t>26</w:t>
      </w:r>
      <w:proofErr w:type="gramStart"/>
      <w:r w:rsidR="00EE7885">
        <w:t xml:space="preserve">), </w:t>
      </w:r>
      <w:r w:rsidRPr="008A71D2">
        <w:t xml:space="preserve"> but</w:t>
      </w:r>
      <w:proofErr w:type="gramEnd"/>
      <w:r w:rsidRPr="008A71D2">
        <w:t xml:space="preserve"> to our knowledge, our finding that severe obesity predicted needing to cut down, avoid, or change what individuals can manage at work</w:t>
      </w:r>
      <w:r w:rsidR="00EE7885">
        <w:t>, as well as health-related job loss,</w:t>
      </w:r>
      <w:r w:rsidRPr="008A71D2">
        <w:t xml:space="preserve"> over the next two years is novel.  Interestingly, Gates and colleagues (1</w:t>
      </w:r>
      <w:r w:rsidR="008356A7">
        <w:t>6</w:t>
      </w:r>
      <w:r w:rsidRPr="008A71D2">
        <w:t xml:space="preserve">) evaluated presenteeism amongst &gt;300 workers in the manufacturing sector using the Work Limitations Questionnaire and found that severe obesity was associated with health-related work limitations, particularly regarding time needed to perform tasks and ability to cope with the physical demands of work. Moreover, in a systematic review, </w:t>
      </w:r>
      <w:proofErr w:type="spellStart"/>
      <w:r w:rsidRPr="008A71D2">
        <w:t>Goettler</w:t>
      </w:r>
      <w:proofErr w:type="spellEnd"/>
      <w:r w:rsidRPr="008A71D2">
        <w:t xml:space="preserve"> and colleagues (1</w:t>
      </w:r>
      <w:r w:rsidR="008356A7">
        <w:t>9</w:t>
      </w:r>
      <w:r w:rsidRPr="008A71D2">
        <w:t xml:space="preserve">) reported the high rate of indirect costs associated with overweight and obesity attributable to the burden of lost productivity as well as absenteeism. </w:t>
      </w:r>
    </w:p>
    <w:p w14:paraId="4893FCB2" w14:textId="6C6C5643" w:rsidR="00012A84" w:rsidRPr="008A71D2" w:rsidRDefault="00012A84" w:rsidP="005B174A">
      <w:pPr>
        <w:pStyle w:val="MDPI31text"/>
      </w:pPr>
      <w:r w:rsidRPr="008A71D2">
        <w:t>Sickness absence associated with overweight and obesity has been more widely studied (1</w:t>
      </w:r>
      <w:r w:rsidR="008356A7">
        <w:t>2</w:t>
      </w:r>
      <w:r w:rsidRPr="008A71D2">
        <w:t>-1</w:t>
      </w:r>
      <w:r w:rsidR="008356A7">
        <w:t>5</w:t>
      </w:r>
      <w:r w:rsidRPr="008A71D2">
        <w:t>,1</w:t>
      </w:r>
      <w:r w:rsidR="008356A7">
        <w:t>8</w:t>
      </w:r>
      <w:r w:rsidRPr="008A71D2">
        <w:t>,2</w:t>
      </w:r>
      <w:r w:rsidR="008356A7">
        <w:t>6</w:t>
      </w:r>
      <w:r w:rsidRPr="008A71D2">
        <w:t>,2</w:t>
      </w:r>
      <w:r w:rsidR="008356A7">
        <w:t>7</w:t>
      </w:r>
      <w:r w:rsidRPr="008A71D2">
        <w:t>), and it has been estimated that individuals with obesity take an extra four days of sick leave annually compared with employees of a normal weight (1</w:t>
      </w:r>
      <w:r w:rsidR="008356A7">
        <w:t>4</w:t>
      </w:r>
      <w:r w:rsidRPr="008A71D2">
        <w:t>). Such is the extent of this literature that there have been three systematic reviews (2</w:t>
      </w:r>
      <w:r w:rsidR="008356A7">
        <w:t>9</w:t>
      </w:r>
      <w:r w:rsidRPr="008A71D2">
        <w:t>-</w:t>
      </w:r>
      <w:r w:rsidR="008356A7">
        <w:t>31</w:t>
      </w:r>
      <w:r w:rsidRPr="008A71D2">
        <w:t>), each of which suggest that overweight and obesity are associated with increased sickness absence. Whilst the data conflict somewhat regarding the relationship with short-term sickness absence, studies consistently demonstrate that obesity predicts sickness absence of &gt;7days (</w:t>
      </w:r>
      <w:r w:rsidR="008356A7">
        <w:t>31</w:t>
      </w:r>
      <w:r w:rsidRPr="008A71D2">
        <w:t>). Although extensively studied across the working-age range, we found few data specific to older workers with which to compare the current results. It is important to interpret our findings in light of the fact that, to be eligible for this analysis, people had to be in paid work at baseline or the first year of follow-up in order for their future sickness absence to be evaluated. This suggests that this cohort have, to some extent, exhibited a “healthy worker” effect at least until the age of 50 years and that, even then, it is possible to observe an impact of obesity on future absenteeism. Rates of return to any type of work from sick leave decline progressively with increasing duration of sickness absence, and long-term sick leave is an important predictor of future unemployment (</w:t>
      </w:r>
      <w:r w:rsidR="008356A7">
        <w:t>32</w:t>
      </w:r>
      <w:r w:rsidRPr="008A71D2">
        <w:t xml:space="preserve">). Hence, we chose to study prolonged sick leave (&gt;20 days) as a marker of risk of future work disability. It is, therefore, an important finding that, amongst </w:t>
      </w:r>
      <w:r w:rsidR="00EE7885" w:rsidRPr="008A71D2">
        <w:t>women</w:t>
      </w:r>
      <w:r w:rsidR="00EE7885">
        <w:t xml:space="preserve">, </w:t>
      </w:r>
      <w:r w:rsidRPr="008A71D2">
        <w:t xml:space="preserve">obesity was an important predictor of prolonged absenteeism. </w:t>
      </w:r>
    </w:p>
    <w:p w14:paraId="1AA7AD7E" w14:textId="3A9F38BA" w:rsidR="00012A84" w:rsidRPr="008A71D2" w:rsidRDefault="00012A84" w:rsidP="005B174A">
      <w:pPr>
        <w:pStyle w:val="MDPI31text"/>
      </w:pPr>
      <w:r w:rsidRPr="008A71D2">
        <w:t>Numerous studies have investigated the relationship between disability pensioning and overweight and obesity (3</w:t>
      </w:r>
      <w:r w:rsidR="008356A7">
        <w:t>3</w:t>
      </w:r>
      <w:r w:rsidRPr="008A71D2">
        <w:t>,3</w:t>
      </w:r>
      <w:r w:rsidR="008356A7">
        <w:t>4</w:t>
      </w:r>
      <w:r w:rsidRPr="008A71D2">
        <w:t>). A meta-analysis of 28 studies reported that the relative risk of disability pensioning was 1.53 for individuals with obesity and 1.16 for those overweight (3</w:t>
      </w:r>
      <w:r w:rsidR="008356A7">
        <w:t>5</w:t>
      </w:r>
      <w:r w:rsidRPr="008A71D2">
        <w:t>). Similar results were reported more recently in a meta-analysis in which the outcome was “disability retirement” and which demonstrated that obesity was also associated with disability retirement caused by musculoskeletal disorders, cardiovascular diseases and mental disorders (3</w:t>
      </w:r>
      <w:r w:rsidR="008356A7">
        <w:t>6</w:t>
      </w:r>
      <w:r w:rsidRPr="008A71D2">
        <w:t xml:space="preserve">). Unfortunately, fundamental differences in the structuring of welfare systems make comparison unfeasible between countries regarding disability pensioning and disability retirement.  For example, in some countries, all paid employees have insurance offered by the employer that provides a disability pension when and if required. In the UK, only </w:t>
      </w:r>
      <w:r w:rsidR="007533DB" w:rsidRPr="008A71D2">
        <w:t>a minority of workers has</w:t>
      </w:r>
      <w:r w:rsidRPr="008A71D2">
        <w:t xml:space="preserve"> access to privately paid health insurance and therefore, people who stop working because of their health before the state pension age frequently rely on either private finance or state welfare (“benefit”) payments. For this reason, we decided to study “health-related job loss” in order to identify people who attribute their inability to work at least partly to their health, irrespective of their financial circumstances or insurance provision. Our results indicate that amongst older female workers, severe obesity more than doubles the risk of health-related job loss. To our knowledge, the only similar data are from a study by Houston and colleagues (3</w:t>
      </w:r>
      <w:r w:rsidR="008356A7">
        <w:t>7</w:t>
      </w:r>
      <w:r w:rsidRPr="008A71D2">
        <w:t>) who showed that obesity at age 45-55 years predicted retirement before the age of 65 years due to a health reason in men and women from white and African-American backgrounds. Interestingly however, their study demonstrated the highest risk was amongst white men (HR: 4.29 (95%CI 2.28-8.07)), with similar risk estimates to those attained in the current study, although, in their study, participants were not necessarily in paid work at the time BMI was calculated. In another study of older workers, severe obesity predicted exit from paid work through unemployment (OR 1.92, 95%CI 1.21-3.07) and retirement (OR 1.40, 95%CI 1.05-1.84) but not disability (3</w:t>
      </w:r>
      <w:r w:rsidR="008356A7">
        <w:t>8</w:t>
      </w:r>
      <w:r w:rsidRPr="008A71D2">
        <w:t>). Thus, despite some variation in the outcome measure, the message is consistent: severe obesity increases the risk of exit from paid employment amongst older workers.</w:t>
      </w:r>
    </w:p>
    <w:p w14:paraId="705B26F0" w14:textId="5F655E91" w:rsidR="00012A84" w:rsidRPr="008A71D2" w:rsidRDefault="00012A84" w:rsidP="005B174A">
      <w:pPr>
        <w:pStyle w:val="MDPI31text"/>
      </w:pPr>
      <w:r w:rsidRPr="008A71D2">
        <w:t>One could postulate two possible mechanisms by which obesity influences</w:t>
      </w:r>
      <w:r w:rsidRPr="008A71D2" w:rsidDel="002A7018">
        <w:t xml:space="preserve"> </w:t>
      </w:r>
      <w:r w:rsidRPr="008A71D2">
        <w:t>workability: firstly, the shape/size and physical capacity of the individual affects their ability to undertake the physical demands of work; or secondly, through ill-health and comorbidity resulting from obesity.  In our analyses, we adjusted both for physical work demands and for those health conditions (musculoskeletal disorders and common mental health conditions) which were found to be independently associated with health-related job loss. It is interesting that a significant effect of obesity remained, even after adjustment for these variables.  This suggests either additional health impacts of the obesity which are not yet diagnosed or manifest, or indeed, that other factors relating to obesity exist that impact workability amongst older female workers. Stigma, discrimination, impaired body image (3</w:t>
      </w:r>
      <w:r w:rsidR="008356A7">
        <w:t>9</w:t>
      </w:r>
      <w:r w:rsidRPr="008A71D2">
        <w:t>), or poorer coping skills, might all play a role (</w:t>
      </w:r>
      <w:r w:rsidR="008356A7">
        <w:t>40</w:t>
      </w:r>
      <w:r w:rsidRPr="008A71D2">
        <w:t>). Certainly, if an older worker is struggling to cope at work, they may opt to retire in preference to finding alternative employment.  This may be particularly pertinent in the case of obesity, which is likely to adversely affect an individual’s body image and their perceived likelihood of being successful at competitive interview, given the discrimination which is ubiquitous in the workplace.</w:t>
      </w:r>
    </w:p>
    <w:p w14:paraId="2827D437" w14:textId="6B1B5EB8" w:rsidR="002E175E" w:rsidRPr="008A71D2" w:rsidRDefault="002E175E" w:rsidP="002E175E">
      <w:pPr>
        <w:pStyle w:val="MDPI31text"/>
      </w:pPr>
      <w:r>
        <w:t xml:space="preserve">Our findings need to be considered alongside a number of limitations. Firstly, the prevalence of overweight, obesity and severe obesity </w:t>
      </w:r>
      <w:r w:rsidR="00026A71">
        <w:t>was</w:t>
      </w:r>
      <w:r>
        <w:t xml:space="preserve"> based upon self-reported height and weight data. It is recognised that self-reported sampling may </w:t>
      </w:r>
      <w:r w:rsidR="00026A71">
        <w:t>lead to underestimation of the</w:t>
      </w:r>
      <w:r w:rsidR="008356A7">
        <w:t xml:space="preserve"> true BMI (43</w:t>
      </w:r>
      <w:r>
        <w:t>). However, as the</w:t>
      </w:r>
      <w:r w:rsidR="00026A71">
        <w:t xml:space="preserve"> &gt;8000 HEAF participants we</w:t>
      </w:r>
      <w:r>
        <w:t xml:space="preserve">re deliberately sampled all across England, we were logistically unable to objectively measure these parameters. </w:t>
      </w:r>
      <w:r w:rsidRPr="008A71D2">
        <w:t xml:space="preserve">The prevalence of overweight and obesity may have been underestimated if those who had a high BMI were less likely to return a questionnaire. </w:t>
      </w:r>
      <w:r w:rsidR="00026A71">
        <w:t>To mitigate this risk, t</w:t>
      </w:r>
      <w:r>
        <w:t>he questions about height and weight were in the “lifestyle” section of th</w:t>
      </w:r>
      <w:r w:rsidR="00026A71">
        <w:t>e</w:t>
      </w:r>
      <w:r>
        <w:t xml:space="preserve"> questionnaire</w:t>
      </w:r>
      <w:r w:rsidR="00026A71">
        <w:t>s</w:t>
      </w:r>
      <w:r>
        <w:t xml:space="preserve"> and were </w:t>
      </w:r>
      <w:r w:rsidR="00026A71">
        <w:t>not emphasised to the participants within a range of questions which were specifically focused around health and work. Therefore, we believe that any</w:t>
      </w:r>
      <w:r w:rsidRPr="008A71D2">
        <w:t xml:space="preserve"> errors in the assessment of BMI would be expected to be non-differential, and therefore to have obscured any true associations with employment outcomes. </w:t>
      </w:r>
      <w:r w:rsidR="00CE46DF">
        <w:t>It is important to note however, that we found a relatively low prevalence of severe obesity amongst the male respondents, which may have limited our statistical power to find associations in men that were seen in women.</w:t>
      </w:r>
    </w:p>
    <w:p w14:paraId="1B28F65B" w14:textId="5FC47E2C" w:rsidR="00012A84" w:rsidRPr="008A71D2" w:rsidRDefault="00012A84" w:rsidP="005B174A">
      <w:pPr>
        <w:pStyle w:val="MDPI31text"/>
        <w:rPr>
          <w:i/>
        </w:rPr>
      </w:pPr>
      <w:r w:rsidRPr="008A71D2">
        <w:t xml:space="preserve">Our longitudinal study has the advantage that it employed a rigorous population-based sampling strategy with a broad geographical representation.  Almost everyone in England registers for primary care services, making GP lists an excellent sampling frame for </w:t>
      </w:r>
      <w:r w:rsidR="00026A71">
        <w:t>population-based epidemiological studies</w:t>
      </w:r>
      <w:r w:rsidRPr="008A71D2">
        <w:t xml:space="preserve">. </w:t>
      </w:r>
      <w:r w:rsidR="00026A71">
        <w:t>H</w:t>
      </w:r>
      <w:r w:rsidRPr="008A71D2">
        <w:t xml:space="preserve">owever, despite the large achieved sample size, </w:t>
      </w:r>
      <w:r w:rsidR="00026A71">
        <w:t>it must be borne in mind that only around 20.7% of the adults aged 50-64 years who were registered with each of the sampled practices consented to enter the</w:t>
      </w:r>
      <w:r w:rsidRPr="008A71D2">
        <w:t xml:space="preserve">. Responders were somewhat older, more affluent and more often female than non-responders, although the sample’s demographic profile approximated reasonably to national statistics for the age band under study </w:t>
      </w:r>
      <w:r w:rsidR="00026A71">
        <w:t xml:space="preserve">and included the full range of socio-economic deprivation </w:t>
      </w:r>
      <w:r w:rsidRPr="008A71D2">
        <w:t>(2</w:t>
      </w:r>
      <w:r w:rsidR="008356A7">
        <w:t>4</w:t>
      </w:r>
      <w:r w:rsidRPr="008A71D2">
        <w:t>).</w:t>
      </w:r>
      <w:r w:rsidR="00026A71">
        <w:t xml:space="preserve"> The analyses presented here rely upon internal comparisons drawn amongst participants within the HEAF cohort and importantly for </w:t>
      </w:r>
      <w:r w:rsidRPr="008A71D2">
        <w:t xml:space="preserve"> internal comparisons, the retention rate to the HEAF study has been excellent (84% and 83% at the first and second year follow-ups respectively), and therefore there is a low risk of attrition bias having </w:t>
      </w:r>
      <w:r w:rsidR="00026A71">
        <w:t>led to biased</w:t>
      </w:r>
      <w:r w:rsidRPr="008A71D2">
        <w:t xml:space="preserve"> results.</w:t>
      </w:r>
    </w:p>
    <w:p w14:paraId="71233F11" w14:textId="5CF8E37F" w:rsidR="00012A84" w:rsidRDefault="00026A71" w:rsidP="005B174A">
      <w:pPr>
        <w:pStyle w:val="MDPI31text"/>
      </w:pPr>
      <w:r>
        <w:t>Whilst t</w:t>
      </w:r>
      <w:r w:rsidR="00012A84" w:rsidRPr="008A71D2">
        <w:t>he HEAF study benefits greatly from the access to objective health diagnoses for the majority of participants via the CPRD</w:t>
      </w:r>
      <w:r>
        <w:t xml:space="preserve">, it is important to be aware </w:t>
      </w:r>
      <w:proofErr w:type="gramStart"/>
      <w:r>
        <w:t xml:space="preserve">that </w:t>
      </w:r>
      <w:r w:rsidR="00012A84" w:rsidRPr="008A71D2">
        <w:t xml:space="preserve"> CPRD</w:t>
      </w:r>
      <w:proofErr w:type="gramEnd"/>
      <w:r w:rsidR="00012A84" w:rsidRPr="008A71D2">
        <w:t xml:space="preserve"> records may contain numerous entries for each individual patient</w:t>
      </w:r>
      <w:r>
        <w:t xml:space="preserve">. In some cases, the CPRD record for HEAF participants went back for more than 20 years. One accepted limitation of the CPRD is that there is </w:t>
      </w:r>
      <w:r w:rsidR="00012A84" w:rsidRPr="008A71D2">
        <w:t xml:space="preserve">heterogeneity in terms of diagnostic coding quality, since many healthcare professionals allocate codes based upon their individual assessment of a particular consultation. </w:t>
      </w:r>
      <w:r w:rsidR="00EF3FEF">
        <w:t xml:space="preserve">The governance of CPRD does include a regular assessment of fidelity of coding for some objective conditions but it is well-recognised that it is more difficult to substantiate diagnoses with less objective criteria, e.g. musculoskeletal pain and osteoarthritis. </w:t>
      </w:r>
      <w:r w:rsidR="00012A84" w:rsidRPr="008A71D2">
        <w:t xml:space="preserve">For this reason, we </w:t>
      </w:r>
      <w:r w:rsidR="007533DB" w:rsidRPr="008A71D2">
        <w:t>focused</w:t>
      </w:r>
      <w:r w:rsidR="00012A84" w:rsidRPr="008A71D2">
        <w:t xml:space="preserve"> our analyses on unambiguous diagnostic entities with good validity e.g. diabetes mellitus and cardiovascular disease [</w:t>
      </w:r>
      <w:r w:rsidR="008356A7">
        <w:t>42</w:t>
      </w:r>
      <w:r w:rsidR="00012A84" w:rsidRPr="008A71D2">
        <w:t>]. For commonly-occurring mental health conditions which may be mild and fluctuating in nature, the analyses were deliberately restricted to consider only those diagnosed and</w:t>
      </w:r>
      <w:r w:rsidR="00EF3FEF">
        <w:t>/or</w:t>
      </w:r>
      <w:r w:rsidR="00012A84" w:rsidRPr="008A71D2">
        <w:t xml:space="preserve"> treated within the past 12 months, in order to make them as relevant as possible to the current self-reported health data.</w:t>
      </w:r>
    </w:p>
    <w:p w14:paraId="196B1168" w14:textId="3331012F" w:rsidR="00012A84" w:rsidRPr="008A71D2" w:rsidRDefault="00EF3FEF" w:rsidP="005B174A">
      <w:pPr>
        <w:pStyle w:val="MDPI31text"/>
      </w:pPr>
      <w:r>
        <w:t xml:space="preserve">Finally, it is important to consider our findings alongside an awareness that obesity is a complex and multi-factorial condition. By definition therefore, it is simplistic to consider single outcomes (in this case work ability) in association with obesity as if they were isolated exposures and outcomes without a complex causal pathway. In the current study we present longitudinal observational data collected from a population sample of contemporary workers in order to shed new insights for generation of hypotheses for future testing. As </w:t>
      </w:r>
      <w:proofErr w:type="gramStart"/>
      <w:r>
        <w:t xml:space="preserve">expected, </w:t>
      </w:r>
      <w:r w:rsidR="00012A84" w:rsidRPr="008A71D2">
        <w:t xml:space="preserve"> (</w:t>
      </w:r>
      <w:proofErr w:type="gramEnd"/>
      <w:r w:rsidR="00012A84" w:rsidRPr="008A71D2">
        <w:t>4</w:t>
      </w:r>
      <w:r w:rsidR="008356A7">
        <w:t>4</w:t>
      </w:r>
      <w:r w:rsidR="00012A84" w:rsidRPr="008A71D2">
        <w:t xml:space="preserve">), we found that obesity was strongly associated with other markers of lower socio-economic position (SEP): educational attainment; struggling financially; and lack of home ownership. </w:t>
      </w:r>
      <w:r>
        <w:t>Marmot and others have highlighted the complexities underpinning the social determinants of health (</w:t>
      </w:r>
      <w:r w:rsidR="008356A7">
        <w:t>45</w:t>
      </w:r>
      <w:r>
        <w:t>). However, our aim was solely to shed light on the relationship between obesity and</w:t>
      </w:r>
      <w:r w:rsidR="00012A84" w:rsidRPr="008A71D2">
        <w:t xml:space="preserve"> ability to work to older ages</w:t>
      </w:r>
      <w:r>
        <w:t xml:space="preserve"> at a time when policy makers have </w:t>
      </w:r>
      <w:r w:rsidR="007E64AD">
        <w:t>changed policy in the assumption</w:t>
      </w:r>
      <w:r>
        <w:t xml:space="preserve"> that everybody can be expected to be able to continue in paid work into their 7</w:t>
      </w:r>
      <w:r w:rsidRPr="00EF3FEF">
        <w:rPr>
          <w:vertAlign w:val="superscript"/>
        </w:rPr>
        <w:t>th</w:t>
      </w:r>
      <w:r>
        <w:t xml:space="preserve"> decade of life</w:t>
      </w:r>
      <w:r w:rsidR="00012A84" w:rsidRPr="008A71D2">
        <w:t>. People from a poorer SEP are more likely to have physically-demanding occupations and less likely to have robust private pension arrangements. The implication is that obesity, yet another consequence of low SEP, adds to the risk of premature loss of personal economic productivity, resulting in more individuals dependent</w:t>
      </w:r>
      <w:r w:rsidR="00012A84" w:rsidRPr="008A71D2" w:rsidDel="003A06AE">
        <w:t xml:space="preserve"> </w:t>
      </w:r>
      <w:r w:rsidR="00012A84" w:rsidRPr="008A71D2">
        <w:t>upon state welfare (indirect costs),</w:t>
      </w:r>
      <w:r w:rsidR="00012A84" w:rsidRPr="008A71D2" w:rsidDel="003A06AE">
        <w:t xml:space="preserve"> </w:t>
      </w:r>
      <w:r w:rsidR="00012A84" w:rsidRPr="008A71D2">
        <w:t xml:space="preserve">experiencing poorer health (consequently higher direct health costs) and furthermore in a precarious position in respect of their home circumstances. Governments that have increased the age of eligibility for state pensions (such as the UK and Denmark), have made such wholesale changes without considering the nature and type of work that individuals are expected to carry out into their seventh decade of life. Our findings suggest that any fiscal savings achieved by raising state pension age may well be negated by increased health and welfare costs. </w:t>
      </w:r>
    </w:p>
    <w:p w14:paraId="3B877210" w14:textId="26A0B16A" w:rsidR="0046726B" w:rsidRPr="00D80609" w:rsidRDefault="005B174A" w:rsidP="005B174A">
      <w:pPr>
        <w:pStyle w:val="MDPI21heading1"/>
      </w:pPr>
      <w:r>
        <w:t xml:space="preserve">5. </w:t>
      </w:r>
      <w:r w:rsidR="0046726B">
        <w:t>Conclusions</w:t>
      </w:r>
    </w:p>
    <w:p w14:paraId="562F9AE4" w14:textId="77777777" w:rsidR="00D84297" w:rsidRPr="006B1F3F" w:rsidRDefault="003F4D78" w:rsidP="005B174A">
      <w:pPr>
        <w:pStyle w:val="MDPI31text"/>
        <w:rPr>
          <w:b/>
        </w:rPr>
      </w:pPr>
      <w:r w:rsidRPr="008A71D2">
        <w:t>Overall, our study supports an association of obesity</w:t>
      </w:r>
      <w:r w:rsidR="00D84297">
        <w:t>,</w:t>
      </w:r>
      <w:r w:rsidRPr="008A71D2">
        <w:t xml:space="preserve"> </w:t>
      </w:r>
      <w:r w:rsidR="00D84297" w:rsidRPr="006B1F3F">
        <w:t>and particularly severe obesity</w:t>
      </w:r>
      <w:r w:rsidR="00D84297">
        <w:t>,</w:t>
      </w:r>
      <w:r w:rsidR="00D84297" w:rsidRPr="008A71D2">
        <w:t xml:space="preserve"> </w:t>
      </w:r>
      <w:r w:rsidRPr="008A71D2">
        <w:t xml:space="preserve">with adverse employment outcomes, particularly in </w:t>
      </w:r>
      <w:r w:rsidR="00D84297">
        <w:t>older female workers</w:t>
      </w:r>
      <w:r w:rsidRPr="008A71D2">
        <w:t>.  The high and growing population burden of obesity can be expected to hinder attempts to encourage work to older ages.</w:t>
      </w:r>
      <w:r w:rsidR="00D84297" w:rsidRPr="00D84297">
        <w:t xml:space="preserve"> </w:t>
      </w:r>
      <w:r w:rsidR="00D84297" w:rsidRPr="006B1F3F">
        <w:t>There is a growing incentive for employers to introduce measures designed to help employees maintain a healthy weight</w:t>
      </w:r>
      <w:r w:rsidR="00D84297">
        <w:t>.</w:t>
      </w:r>
    </w:p>
    <w:p w14:paraId="2BEA8F89" w14:textId="79B30F48" w:rsidR="003F4D78" w:rsidRDefault="000D4CAC" w:rsidP="005B174A">
      <w:pPr>
        <w:spacing w:before="240" w:line="240" w:lineRule="auto"/>
        <w:rPr>
          <w:rFonts w:ascii="Palatino Linotype" w:hAnsi="Palatino Linotype" w:cs="Arial"/>
          <w:sz w:val="18"/>
          <w:szCs w:val="18"/>
        </w:rPr>
      </w:pPr>
      <w:r w:rsidRPr="00276025">
        <w:rPr>
          <w:rFonts w:ascii="Palatino Linotype" w:hAnsi="Palatino Linotype"/>
          <w:b/>
          <w:sz w:val="18"/>
          <w:szCs w:val="18"/>
        </w:rPr>
        <w:t xml:space="preserve">Author Contributions: </w:t>
      </w:r>
      <w:r w:rsidR="000D67B1">
        <w:rPr>
          <w:rFonts w:ascii="Palatino Linotype" w:hAnsi="Palatino Linotype" w:cs="Arial"/>
          <w:sz w:val="18"/>
          <w:szCs w:val="18"/>
        </w:rPr>
        <w:t>Conceptualisation CL, S</w:t>
      </w:r>
      <w:r w:rsidR="005E7B32">
        <w:rPr>
          <w:rFonts w:ascii="Palatino Linotype" w:hAnsi="Palatino Linotype" w:cs="Arial"/>
          <w:sz w:val="18"/>
          <w:szCs w:val="18"/>
        </w:rPr>
        <w:t>D</w:t>
      </w:r>
      <w:r w:rsidR="000D67B1">
        <w:rPr>
          <w:rFonts w:ascii="Palatino Linotype" w:hAnsi="Palatino Linotype" w:cs="Arial"/>
          <w:sz w:val="18"/>
          <w:szCs w:val="18"/>
        </w:rPr>
        <w:t xml:space="preserve">, HES, ECH, CC, KWB, Formal analysis </w:t>
      </w:r>
      <w:r w:rsidR="000D67B1" w:rsidRPr="008A71D2">
        <w:rPr>
          <w:rFonts w:ascii="Palatino Linotype" w:hAnsi="Palatino Linotype" w:cs="Arial"/>
          <w:sz w:val="18"/>
          <w:szCs w:val="18"/>
        </w:rPr>
        <w:t>SD</w:t>
      </w:r>
      <w:r w:rsidR="000D67B1">
        <w:rPr>
          <w:rFonts w:ascii="Palatino Linotype" w:hAnsi="Palatino Linotype" w:cs="Arial"/>
          <w:sz w:val="18"/>
          <w:szCs w:val="18"/>
        </w:rPr>
        <w:t>, HES, Funding Acquisition CC, KWB, Investigation</w:t>
      </w:r>
      <w:r w:rsidR="003F4D78">
        <w:rPr>
          <w:rFonts w:ascii="Palatino Linotype" w:hAnsi="Palatino Linotype" w:cs="Arial"/>
          <w:sz w:val="18"/>
          <w:szCs w:val="18"/>
        </w:rPr>
        <w:t xml:space="preserve"> </w:t>
      </w:r>
      <w:r w:rsidR="00093DF9" w:rsidRPr="008A71D2">
        <w:rPr>
          <w:rFonts w:ascii="Palatino Linotype" w:hAnsi="Palatino Linotype" w:cs="Arial"/>
          <w:sz w:val="18"/>
          <w:szCs w:val="18"/>
        </w:rPr>
        <w:t>CL</w:t>
      </w:r>
      <w:r w:rsidR="00093DF9">
        <w:rPr>
          <w:rFonts w:ascii="Palatino Linotype" w:hAnsi="Palatino Linotype" w:cs="Arial"/>
          <w:sz w:val="18"/>
          <w:szCs w:val="18"/>
        </w:rPr>
        <w:t>,</w:t>
      </w:r>
      <w:r w:rsidR="00093DF9" w:rsidRPr="008A71D2">
        <w:rPr>
          <w:rFonts w:ascii="Palatino Linotype" w:hAnsi="Palatino Linotype" w:cs="Arial"/>
          <w:sz w:val="18"/>
          <w:szCs w:val="18"/>
        </w:rPr>
        <w:t xml:space="preserve"> ECH</w:t>
      </w:r>
      <w:r w:rsidR="003F4D78">
        <w:rPr>
          <w:rFonts w:ascii="Palatino Linotype" w:hAnsi="Palatino Linotype" w:cs="Arial"/>
          <w:sz w:val="18"/>
          <w:szCs w:val="18"/>
        </w:rPr>
        <w:t xml:space="preserve">, </w:t>
      </w:r>
      <w:r w:rsidR="000D67B1">
        <w:rPr>
          <w:rFonts w:ascii="Palatino Linotype" w:hAnsi="Palatino Linotype" w:cs="Arial"/>
          <w:sz w:val="18"/>
          <w:szCs w:val="18"/>
        </w:rPr>
        <w:t>Methodology CL, ECH, KWB, Project administration CL, ECH, , Visualisation</w:t>
      </w:r>
      <w:r w:rsidR="003F4D78" w:rsidRPr="008A71D2">
        <w:rPr>
          <w:rFonts w:ascii="Palatino Linotype" w:hAnsi="Palatino Linotype" w:cs="Arial"/>
          <w:sz w:val="18"/>
          <w:szCs w:val="18"/>
        </w:rPr>
        <w:t xml:space="preserve"> CL, SD, HS and KWB</w:t>
      </w:r>
      <w:r w:rsidR="003F4D78">
        <w:rPr>
          <w:rFonts w:ascii="Palatino Linotype" w:hAnsi="Palatino Linotype" w:cs="Arial"/>
          <w:sz w:val="18"/>
          <w:szCs w:val="18"/>
        </w:rPr>
        <w:t>, and</w:t>
      </w:r>
      <w:r w:rsidR="00276025">
        <w:rPr>
          <w:rFonts w:ascii="Palatino Linotype" w:hAnsi="Palatino Linotype" w:cs="Arial"/>
          <w:sz w:val="18"/>
          <w:szCs w:val="18"/>
        </w:rPr>
        <w:t>, w</w:t>
      </w:r>
      <w:r w:rsidR="003F4D78">
        <w:rPr>
          <w:rFonts w:ascii="Palatino Linotype" w:hAnsi="Palatino Linotype" w:cs="Arial"/>
          <w:sz w:val="18"/>
          <w:szCs w:val="18"/>
        </w:rPr>
        <w:t>riting</w:t>
      </w:r>
      <w:r w:rsidR="00276025">
        <w:rPr>
          <w:rFonts w:ascii="Palatino Linotype" w:hAnsi="Palatino Linotype" w:cs="Arial"/>
          <w:sz w:val="18"/>
          <w:szCs w:val="18"/>
        </w:rPr>
        <w:t xml:space="preserve">-original draft preparation CL, writing-review </w:t>
      </w:r>
      <w:r w:rsidR="003F4D78">
        <w:rPr>
          <w:rFonts w:ascii="Palatino Linotype" w:hAnsi="Palatino Linotype" w:cs="Arial"/>
          <w:sz w:val="18"/>
          <w:szCs w:val="18"/>
        </w:rPr>
        <w:t>and editing KWB, HS, SD, ECH, CC</w:t>
      </w:r>
      <w:r w:rsidR="003F4D78" w:rsidRPr="008A71D2">
        <w:rPr>
          <w:rFonts w:ascii="Palatino Linotype" w:hAnsi="Palatino Linotype" w:cs="Arial"/>
          <w:sz w:val="18"/>
          <w:szCs w:val="18"/>
        </w:rPr>
        <w:t xml:space="preserve"> </w:t>
      </w:r>
      <w:r w:rsidR="00276025">
        <w:rPr>
          <w:rFonts w:ascii="Palatino Linotype" w:hAnsi="Palatino Linotype" w:cs="Arial"/>
          <w:sz w:val="18"/>
          <w:szCs w:val="18"/>
        </w:rPr>
        <w:t>.</w:t>
      </w:r>
    </w:p>
    <w:p w14:paraId="411A4559" w14:textId="77777777" w:rsidR="00276025" w:rsidRDefault="00514646" w:rsidP="005B174A">
      <w:pPr>
        <w:spacing w:before="120" w:line="240" w:lineRule="auto"/>
        <w:rPr>
          <w:rFonts w:ascii="Palatino Linotype" w:hAnsi="Palatino Linotype" w:cs="Arial"/>
          <w:sz w:val="18"/>
          <w:szCs w:val="18"/>
        </w:rPr>
      </w:pPr>
      <w:r w:rsidRPr="00276025">
        <w:rPr>
          <w:rFonts w:ascii="Palatino Linotype" w:hAnsi="Palatino Linotype"/>
          <w:b/>
          <w:sz w:val="18"/>
          <w:szCs w:val="18"/>
        </w:rPr>
        <w:t>Funding:</w:t>
      </w:r>
      <w:r>
        <w:rPr>
          <w:b/>
        </w:rPr>
        <w:t xml:space="preserve"> </w:t>
      </w:r>
      <w:r w:rsidR="00276025" w:rsidRPr="006B1F3F">
        <w:rPr>
          <w:rFonts w:ascii="Palatino Linotype" w:hAnsi="Palatino Linotype" w:cs="Arial"/>
          <w:sz w:val="18"/>
          <w:szCs w:val="18"/>
        </w:rPr>
        <w:t>This work was supported by Arthritis Research UK (grant numbers ARC 19817, ARUK 20665); the Medical Research Council and the Economic and Social Research Council jointly (grant number ES/L002663/1) and a Medical Research Council programme grant (number MRC_MC_UP_A620_1018).</w:t>
      </w:r>
    </w:p>
    <w:p w14:paraId="511D6B20" w14:textId="77777777" w:rsidR="00276025" w:rsidRDefault="00AF44C1" w:rsidP="005B174A">
      <w:pPr>
        <w:spacing w:before="120" w:line="240" w:lineRule="auto"/>
        <w:rPr>
          <w:rFonts w:ascii="Palatino Linotype" w:hAnsi="Palatino Linotype" w:cs="Arial"/>
          <w:sz w:val="18"/>
          <w:szCs w:val="18"/>
        </w:rPr>
      </w:pPr>
      <w:r w:rsidRPr="00276025">
        <w:rPr>
          <w:rFonts w:ascii="Palatino Linotype" w:hAnsi="Palatino Linotype"/>
          <w:b/>
          <w:sz w:val="18"/>
          <w:szCs w:val="18"/>
        </w:rPr>
        <w:t>Acknowledgments:</w:t>
      </w:r>
      <w:r w:rsidRPr="00276025">
        <w:rPr>
          <w:rFonts w:ascii="Palatino Linotype" w:hAnsi="Palatino Linotype"/>
          <w:sz w:val="18"/>
          <w:szCs w:val="18"/>
        </w:rPr>
        <w:t xml:space="preserve"> </w:t>
      </w:r>
      <w:r w:rsidR="00276025" w:rsidRPr="00276025">
        <w:rPr>
          <w:rFonts w:ascii="Palatino Linotype" w:hAnsi="Palatino Linotype" w:cs="Arial"/>
          <w:sz w:val="18"/>
          <w:szCs w:val="18"/>
        </w:rPr>
        <w:t>The</w:t>
      </w:r>
      <w:r w:rsidR="00276025" w:rsidRPr="006B1F3F">
        <w:rPr>
          <w:rFonts w:ascii="Palatino Linotype" w:hAnsi="Palatino Linotype" w:cs="Arial"/>
          <w:sz w:val="18"/>
          <w:szCs w:val="18"/>
        </w:rPr>
        <w:t xml:space="preserve"> HEAF study is funded by grants from the Medical Research Council, Arthritis Research UK and the Economic and Social Research Council.  We wish to thank the CPRD and the 24 general practices that have supported data collection; also, the staff of the MRC LEU who provided invaluable support with data collection, entry and computing, especially Martin Stevens and Vanessa Cox. </w:t>
      </w:r>
    </w:p>
    <w:p w14:paraId="4DBB8847" w14:textId="77777777" w:rsidR="00205AC7" w:rsidRPr="00276025" w:rsidRDefault="00205AC7" w:rsidP="005B174A">
      <w:pPr>
        <w:spacing w:before="120" w:line="240" w:lineRule="auto"/>
        <w:rPr>
          <w:rFonts w:ascii="Palatino Linotype" w:hAnsi="Palatino Linotype" w:cs="Arial"/>
          <w:sz w:val="18"/>
          <w:szCs w:val="18"/>
        </w:rPr>
      </w:pPr>
      <w:r w:rsidRPr="00276025">
        <w:rPr>
          <w:rFonts w:ascii="Palatino Linotype" w:hAnsi="Palatino Linotype"/>
          <w:b/>
          <w:sz w:val="18"/>
          <w:szCs w:val="18"/>
        </w:rPr>
        <w:t>Conflicts of Interest:</w:t>
      </w:r>
      <w:r w:rsidRPr="00D80609">
        <w:t xml:space="preserve"> </w:t>
      </w:r>
      <w:r w:rsidR="00276025" w:rsidRPr="006B1F3F">
        <w:rPr>
          <w:rFonts w:ascii="Palatino Linotype" w:hAnsi="Palatino Linotype" w:cs="Arial"/>
          <w:sz w:val="18"/>
          <w:szCs w:val="18"/>
        </w:rPr>
        <w:t>Professor Cooper has received consultancy and honoraria from Alliance for Better Bone Health, Amgen, Eli Lilly, GSK, Medtronic, Merck, Novartis, Pfizer, Roche, Servier, Takeda and UCB. The remaining authors declared no conflict of interest.</w:t>
      </w:r>
      <w:r w:rsidR="00276025">
        <w:rPr>
          <w:rFonts w:ascii="Palatino Linotype" w:hAnsi="Palatino Linotype" w:cs="Arial"/>
          <w:sz w:val="18"/>
          <w:szCs w:val="18"/>
        </w:rPr>
        <w:t xml:space="preserve">  </w:t>
      </w:r>
      <w:r w:rsidRPr="00276025">
        <w:rPr>
          <w:rFonts w:ascii="Palatino Linotype" w:hAnsi="Palatino Linotype"/>
          <w:sz w:val="18"/>
          <w:szCs w:val="18"/>
        </w:rPr>
        <w:t xml:space="preserve">The </w:t>
      </w:r>
      <w:r w:rsidR="00DD5900" w:rsidRPr="00276025">
        <w:rPr>
          <w:rFonts w:ascii="Palatino Linotype" w:hAnsi="Palatino Linotype"/>
          <w:sz w:val="18"/>
          <w:szCs w:val="18"/>
        </w:rPr>
        <w:t>funders</w:t>
      </w:r>
      <w:r w:rsidRPr="00276025">
        <w:rPr>
          <w:rFonts w:ascii="Palatino Linotype" w:hAnsi="Palatino Linotype"/>
          <w:sz w:val="18"/>
          <w:szCs w:val="18"/>
        </w:rPr>
        <w:t xml:space="preserve"> had no role in the design of the study; in the collection, analyses, or interpretation of data; in the writing of the </w:t>
      </w:r>
      <w:r w:rsidR="007B3E14" w:rsidRPr="00276025">
        <w:rPr>
          <w:rFonts w:ascii="Palatino Linotype" w:hAnsi="Palatino Linotype"/>
          <w:sz w:val="18"/>
          <w:szCs w:val="18"/>
        </w:rPr>
        <w:t xml:space="preserve">manuscript, or in the </w:t>
      </w:r>
      <w:r w:rsidRPr="00276025">
        <w:rPr>
          <w:rFonts w:ascii="Palatino Linotype" w:hAnsi="Palatino Linotype"/>
          <w:sz w:val="18"/>
          <w:szCs w:val="18"/>
        </w:rPr>
        <w:t>decision to publish the results.</w:t>
      </w:r>
    </w:p>
    <w:p w14:paraId="2E67F9B7" w14:textId="77777777" w:rsidR="0046726B" w:rsidRPr="00D80609" w:rsidRDefault="0046726B" w:rsidP="0046726B">
      <w:pPr>
        <w:pStyle w:val="MDPI21heading1"/>
      </w:pPr>
      <w:r w:rsidRPr="00D80609">
        <w:t>References</w:t>
      </w:r>
    </w:p>
    <w:p w14:paraId="65E3A6DD" w14:textId="655E3CD6" w:rsidR="00D84297" w:rsidRPr="00D84297" w:rsidRDefault="00D84297" w:rsidP="00D84297">
      <w:pPr>
        <w:pStyle w:val="ListParagraph"/>
        <w:numPr>
          <w:ilvl w:val="0"/>
          <w:numId w:val="6"/>
        </w:numPr>
        <w:spacing w:after="0" w:line="240" w:lineRule="auto"/>
        <w:ind w:left="644"/>
        <w:jc w:val="both"/>
        <w:rPr>
          <w:rFonts w:ascii="Palatino Linotype" w:hAnsi="Palatino Linotype" w:cs="Arial"/>
          <w:sz w:val="20"/>
          <w:szCs w:val="20"/>
        </w:rPr>
      </w:pPr>
      <w:r w:rsidRPr="00D84297">
        <w:rPr>
          <w:rFonts w:ascii="Palatino Linotype" w:hAnsi="Palatino Linotype" w:cs="Arial"/>
          <w:sz w:val="20"/>
          <w:szCs w:val="20"/>
        </w:rPr>
        <w:t xml:space="preserve">Kelly T, Yang W, Chen CS, Reynolds K, He J. Global burden of obesity in 2005 and projections to 2030. </w:t>
      </w:r>
      <w:proofErr w:type="spellStart"/>
      <w:r w:rsidRPr="00D84297">
        <w:rPr>
          <w:rFonts w:ascii="Palatino Linotype" w:hAnsi="Palatino Linotype" w:cs="Arial"/>
          <w:sz w:val="20"/>
          <w:szCs w:val="20"/>
        </w:rPr>
        <w:t>Int</w:t>
      </w:r>
      <w:proofErr w:type="spellEnd"/>
      <w:r w:rsidRPr="00D84297">
        <w:rPr>
          <w:rFonts w:ascii="Palatino Linotype" w:hAnsi="Palatino Linotype" w:cs="Arial"/>
          <w:sz w:val="20"/>
          <w:szCs w:val="20"/>
        </w:rPr>
        <w:t xml:space="preserve"> J </w:t>
      </w:r>
      <w:proofErr w:type="spellStart"/>
      <w:r w:rsidRPr="00D84297">
        <w:rPr>
          <w:rFonts w:ascii="Palatino Linotype" w:hAnsi="Palatino Linotype" w:cs="Arial"/>
          <w:sz w:val="20"/>
          <w:szCs w:val="20"/>
        </w:rPr>
        <w:t>Obes</w:t>
      </w:r>
      <w:proofErr w:type="spellEnd"/>
      <w:r w:rsidRPr="00D84297">
        <w:rPr>
          <w:rFonts w:ascii="Palatino Linotype" w:hAnsi="Palatino Linotype" w:cs="Arial"/>
          <w:sz w:val="20"/>
          <w:szCs w:val="20"/>
        </w:rPr>
        <w:t xml:space="preserve"> </w:t>
      </w:r>
      <w:r w:rsidR="00093DF9" w:rsidRPr="00D84297">
        <w:rPr>
          <w:rFonts w:ascii="Palatino Linotype" w:hAnsi="Palatino Linotype" w:cs="Arial"/>
          <w:sz w:val="20"/>
          <w:szCs w:val="20"/>
        </w:rPr>
        <w:t>2008; 32:1431</w:t>
      </w:r>
      <w:r w:rsidRPr="00D84297">
        <w:rPr>
          <w:rFonts w:ascii="Palatino Linotype" w:hAnsi="Palatino Linotype" w:cs="Arial"/>
          <w:sz w:val="20"/>
          <w:szCs w:val="20"/>
        </w:rPr>
        <w:t>-7</w:t>
      </w:r>
    </w:p>
    <w:p w14:paraId="69854DC4" w14:textId="77777777" w:rsidR="00D84297" w:rsidRPr="00D84297" w:rsidRDefault="00D84297" w:rsidP="00D84297">
      <w:pPr>
        <w:pStyle w:val="ListParagraph"/>
        <w:numPr>
          <w:ilvl w:val="0"/>
          <w:numId w:val="6"/>
        </w:numPr>
        <w:spacing w:after="0" w:line="240" w:lineRule="auto"/>
        <w:ind w:left="644"/>
        <w:jc w:val="both"/>
        <w:rPr>
          <w:rFonts w:ascii="Palatino Linotype" w:hAnsi="Palatino Linotype" w:cs="Arial"/>
          <w:color w:val="FF0000"/>
          <w:sz w:val="20"/>
          <w:szCs w:val="20"/>
        </w:rPr>
      </w:pPr>
      <w:r w:rsidRPr="00D84297">
        <w:rPr>
          <w:rFonts w:ascii="Palatino Linotype" w:hAnsi="Palatino Linotype" w:cs="Arial"/>
          <w:sz w:val="20"/>
          <w:szCs w:val="20"/>
        </w:rPr>
        <w:t xml:space="preserve">World Health Organisation, 10 facts about obesity. World Health Organisation, 2017, </w:t>
      </w:r>
      <w:hyperlink r:id="rId8" w:history="1">
        <w:r w:rsidRPr="00D84297">
          <w:rPr>
            <w:rStyle w:val="Hyperlink"/>
            <w:rFonts w:ascii="Palatino Linotype" w:hAnsi="Palatino Linotype" w:cs="Arial"/>
            <w:sz w:val="20"/>
            <w:szCs w:val="20"/>
          </w:rPr>
          <w:t>https://www.who.int/features/factfiles/obesity/en/</w:t>
        </w:r>
      </w:hyperlink>
      <w:r w:rsidRPr="00D84297">
        <w:rPr>
          <w:rFonts w:ascii="Palatino Linotype" w:hAnsi="Palatino Linotype" w:cs="Arial"/>
          <w:sz w:val="20"/>
          <w:szCs w:val="20"/>
        </w:rPr>
        <w:t xml:space="preserve"> (Accessed October 10 2019)</w:t>
      </w:r>
    </w:p>
    <w:p w14:paraId="3A053E1B" w14:textId="77777777" w:rsidR="00D84297" w:rsidRPr="00D84297" w:rsidRDefault="00D84297" w:rsidP="00D84297">
      <w:pPr>
        <w:pStyle w:val="ListParagraph"/>
        <w:numPr>
          <w:ilvl w:val="0"/>
          <w:numId w:val="6"/>
        </w:numPr>
        <w:spacing w:after="0" w:line="240" w:lineRule="auto"/>
        <w:ind w:left="644"/>
        <w:jc w:val="both"/>
        <w:rPr>
          <w:rFonts w:ascii="Palatino Linotype" w:hAnsi="Palatino Linotype" w:cs="Arial"/>
          <w:color w:val="FF0000"/>
          <w:sz w:val="20"/>
          <w:szCs w:val="20"/>
        </w:rPr>
      </w:pPr>
      <w:r w:rsidRPr="00D84297">
        <w:rPr>
          <w:rFonts w:ascii="Palatino Linotype" w:hAnsi="Palatino Linotype" w:cs="Arial"/>
          <w:sz w:val="20"/>
          <w:szCs w:val="20"/>
        </w:rPr>
        <w:t>WHO Consultation on Obesity. WHO Technical Report Series 894. Obesity: Preventing and Managing the Global Epidemic. World Health Organization, 2004, https://www.who.int/nutrition/publications/obesity/WHO_TRS_894/en/ (Accessed October 10 2019)</w:t>
      </w:r>
    </w:p>
    <w:p w14:paraId="762C6CD8" w14:textId="77777777" w:rsidR="00D84297" w:rsidRPr="00D84297" w:rsidRDefault="00D84297" w:rsidP="00D84297">
      <w:pPr>
        <w:pStyle w:val="ListParagraph"/>
        <w:numPr>
          <w:ilvl w:val="0"/>
          <w:numId w:val="6"/>
        </w:numPr>
        <w:spacing w:after="0" w:line="240" w:lineRule="auto"/>
        <w:ind w:left="644"/>
        <w:jc w:val="both"/>
        <w:rPr>
          <w:rFonts w:ascii="Palatino Linotype" w:hAnsi="Palatino Linotype" w:cs="Arial"/>
          <w:color w:val="FF0000"/>
          <w:sz w:val="20"/>
          <w:szCs w:val="20"/>
        </w:rPr>
      </w:pPr>
      <w:r w:rsidRPr="00D84297">
        <w:rPr>
          <w:rFonts w:ascii="Palatino Linotype" w:hAnsi="Palatino Linotype" w:cs="Arial"/>
          <w:sz w:val="20"/>
          <w:szCs w:val="20"/>
        </w:rPr>
        <w:t xml:space="preserve">National Obesity Observatory 2011 Obesity and mental health Available at: </w:t>
      </w:r>
      <w:hyperlink r:id="rId9" w:history="1">
        <w:r w:rsidRPr="00D84297">
          <w:rPr>
            <w:rStyle w:val="Hyperlink"/>
            <w:rFonts w:ascii="Palatino Linotype" w:hAnsi="Palatino Linotype" w:cs="Arial"/>
            <w:sz w:val="20"/>
            <w:szCs w:val="20"/>
          </w:rPr>
          <w:t>https://www.yumpu.com/en/document/read/7926879/obesity-and-mental-health-national-obesity-observatory</w:t>
        </w:r>
      </w:hyperlink>
      <w:r w:rsidRPr="00D84297">
        <w:rPr>
          <w:rFonts w:ascii="Palatino Linotype" w:hAnsi="Palatino Linotype" w:cs="Arial"/>
          <w:sz w:val="20"/>
          <w:szCs w:val="20"/>
        </w:rPr>
        <w:t xml:space="preserve"> (Accessed October 10 2019)</w:t>
      </w:r>
    </w:p>
    <w:p w14:paraId="21588EE9" w14:textId="6B50BC13" w:rsidR="00D84297" w:rsidRPr="009D3371" w:rsidRDefault="00D84297" w:rsidP="00D84297">
      <w:pPr>
        <w:pStyle w:val="ListParagraph"/>
        <w:numPr>
          <w:ilvl w:val="0"/>
          <w:numId w:val="6"/>
        </w:numPr>
        <w:spacing w:after="0" w:line="240" w:lineRule="auto"/>
        <w:ind w:left="644"/>
        <w:jc w:val="both"/>
        <w:rPr>
          <w:rFonts w:ascii="Palatino Linotype" w:hAnsi="Palatino Linotype" w:cs="Arial"/>
          <w:color w:val="FF0000"/>
          <w:sz w:val="20"/>
          <w:szCs w:val="20"/>
        </w:rPr>
      </w:pPr>
      <w:r w:rsidRPr="00D84297">
        <w:rPr>
          <w:rFonts w:ascii="Palatino Linotype" w:hAnsi="Palatino Linotype" w:cs="Arial"/>
          <w:sz w:val="20"/>
          <w:szCs w:val="20"/>
        </w:rPr>
        <w:t>Connolly A, Saunders C Health Survey for England 2016</w:t>
      </w:r>
      <w:r w:rsidR="00AB2E67">
        <w:rPr>
          <w:rFonts w:ascii="Palatino Linotype" w:hAnsi="Palatino Linotype" w:cs="Arial"/>
          <w:sz w:val="20"/>
          <w:szCs w:val="20"/>
        </w:rPr>
        <w:t>.</w:t>
      </w:r>
      <w:r w:rsidRPr="00D84297">
        <w:rPr>
          <w:rFonts w:ascii="Palatino Linotype" w:hAnsi="Palatino Linotype" w:cs="Arial"/>
          <w:sz w:val="20"/>
          <w:szCs w:val="20"/>
        </w:rPr>
        <w:t xml:space="preserve">Adult overweight and </w:t>
      </w:r>
      <w:proofErr w:type="gramStart"/>
      <w:r w:rsidRPr="00D84297">
        <w:rPr>
          <w:rFonts w:ascii="Palatino Linotype" w:hAnsi="Palatino Linotype" w:cs="Arial"/>
          <w:sz w:val="20"/>
          <w:szCs w:val="20"/>
        </w:rPr>
        <w:t>obesity  ISBN</w:t>
      </w:r>
      <w:proofErr w:type="gramEnd"/>
      <w:r w:rsidRPr="00D84297">
        <w:rPr>
          <w:rFonts w:ascii="Palatino Linotype" w:hAnsi="Palatino Linotype" w:cs="Arial"/>
          <w:sz w:val="20"/>
          <w:szCs w:val="20"/>
        </w:rPr>
        <w:t xml:space="preserve">: 978-1-78734-099-2.  Health and Social Care Information Centre/NHS Digital, 2017 </w:t>
      </w:r>
      <w:hyperlink r:id="rId10" w:history="1">
        <w:r w:rsidRPr="00D84297">
          <w:rPr>
            <w:rStyle w:val="Hyperlink"/>
            <w:rFonts w:ascii="Palatino Linotype" w:hAnsi="Palatino Linotype" w:cs="Arial"/>
            <w:sz w:val="20"/>
            <w:szCs w:val="20"/>
          </w:rPr>
          <w:t>http://healthsurvey.hscic.gov.uk/media/63745/HSE2016-Adult-obe.pdf</w:t>
        </w:r>
      </w:hyperlink>
      <w:r w:rsidRPr="00D84297">
        <w:rPr>
          <w:rFonts w:ascii="Palatino Linotype" w:hAnsi="Palatino Linotype" w:cs="Arial"/>
          <w:sz w:val="20"/>
          <w:szCs w:val="20"/>
        </w:rPr>
        <w:t xml:space="preserve"> (Accessed October 10 2019)</w:t>
      </w:r>
    </w:p>
    <w:p w14:paraId="461BB229" w14:textId="32458209" w:rsidR="00212D83" w:rsidRDefault="009D3371" w:rsidP="00D84297">
      <w:pPr>
        <w:pStyle w:val="ListParagraph"/>
        <w:numPr>
          <w:ilvl w:val="0"/>
          <w:numId w:val="6"/>
        </w:numPr>
        <w:spacing w:after="0" w:line="240" w:lineRule="auto"/>
        <w:ind w:left="644"/>
        <w:rPr>
          <w:rFonts w:ascii="Palatino Linotype" w:hAnsi="Palatino Linotype" w:cs="Arial"/>
          <w:sz w:val="20"/>
          <w:szCs w:val="20"/>
        </w:rPr>
      </w:pPr>
      <w:r w:rsidRPr="00212D83">
        <w:rPr>
          <w:rFonts w:ascii="Palatino Linotype" w:hAnsi="Palatino Linotype" w:cs="Arial"/>
          <w:sz w:val="20"/>
          <w:szCs w:val="20"/>
        </w:rPr>
        <w:t xml:space="preserve">Eurostat. Population structure and ageing. Accessed online: </w:t>
      </w:r>
      <w:hyperlink r:id="rId11" w:anchor="Past_and_future_population_ageing_trends_in_the_EU" w:history="1">
        <w:r w:rsidRPr="00447380">
          <w:rPr>
            <w:rStyle w:val="Hyperlink"/>
            <w:rFonts w:ascii="Palatino Linotype" w:hAnsi="Palatino Linotype" w:cs="Arial"/>
            <w:sz w:val="20"/>
            <w:szCs w:val="20"/>
          </w:rPr>
          <w:t>https://ec.europa.eu/eurostat/statistics-explained/index.php/Population_structure_and_ageing#Past_and_future_population_ageing_trends_in_the_EU</w:t>
        </w:r>
      </w:hyperlink>
      <w:r>
        <w:rPr>
          <w:rFonts w:ascii="Palatino Linotype" w:hAnsi="Palatino Linotype" w:cs="Arial"/>
          <w:sz w:val="20"/>
          <w:szCs w:val="20"/>
        </w:rPr>
        <w:t>. (Accessed 10</w:t>
      </w:r>
      <w:r w:rsidRPr="009D3371">
        <w:rPr>
          <w:rFonts w:ascii="Palatino Linotype" w:hAnsi="Palatino Linotype" w:cs="Arial"/>
          <w:sz w:val="20"/>
          <w:szCs w:val="20"/>
          <w:vertAlign w:val="superscript"/>
        </w:rPr>
        <w:t>th</w:t>
      </w:r>
      <w:r>
        <w:rPr>
          <w:rFonts w:ascii="Palatino Linotype" w:hAnsi="Palatino Linotype" w:cs="Arial"/>
          <w:sz w:val="20"/>
          <w:szCs w:val="20"/>
        </w:rPr>
        <w:t xml:space="preserve"> Feb 2020. </w:t>
      </w:r>
    </w:p>
    <w:p w14:paraId="2F9A5642" w14:textId="3C65BB63" w:rsidR="009D3371" w:rsidRDefault="009D3371" w:rsidP="009D3371">
      <w:pPr>
        <w:pStyle w:val="ListParagraph"/>
        <w:numPr>
          <w:ilvl w:val="0"/>
          <w:numId w:val="6"/>
        </w:numPr>
        <w:spacing w:after="0" w:line="240" w:lineRule="auto"/>
        <w:rPr>
          <w:rFonts w:ascii="Palatino Linotype" w:hAnsi="Palatino Linotype" w:cs="Arial"/>
          <w:sz w:val="20"/>
          <w:szCs w:val="20"/>
        </w:rPr>
      </w:pPr>
      <w:r w:rsidRPr="009D3371">
        <w:rPr>
          <w:rFonts w:ascii="Palatino Linotype" w:hAnsi="Palatino Linotype" w:cs="Arial"/>
          <w:sz w:val="20"/>
          <w:szCs w:val="20"/>
        </w:rPr>
        <w:t>OECD (2006), in “Live Longer, Work Longer” p16, OECD Publishing, Paris, https://doi.org/10.1787/9789264035881-en</w:t>
      </w:r>
    </w:p>
    <w:p w14:paraId="0FC1C8D5" w14:textId="77777777" w:rsidR="00D84297" w:rsidRPr="00D84297" w:rsidRDefault="00D84297" w:rsidP="00D84297">
      <w:pPr>
        <w:pStyle w:val="ListParagraph"/>
        <w:numPr>
          <w:ilvl w:val="0"/>
          <w:numId w:val="6"/>
        </w:numPr>
        <w:spacing w:after="0" w:line="240" w:lineRule="auto"/>
        <w:ind w:left="644"/>
        <w:rPr>
          <w:rFonts w:ascii="Palatino Linotype" w:hAnsi="Palatino Linotype" w:cs="Arial"/>
          <w:sz w:val="20"/>
          <w:szCs w:val="20"/>
        </w:rPr>
      </w:pPr>
      <w:r w:rsidRPr="00D84297">
        <w:rPr>
          <w:rFonts w:ascii="Palatino Linotype" w:hAnsi="Palatino Linotype" w:cs="Arial"/>
          <w:sz w:val="20"/>
          <w:szCs w:val="20"/>
        </w:rPr>
        <w:t xml:space="preserve">Office for National Statistics: Employment, unemployment and economic inactivity by age group (seasonally adjusted). September 2019 </w:t>
      </w:r>
      <w:hyperlink r:id="rId12" w:history="1">
        <w:r w:rsidRPr="00D84297">
          <w:rPr>
            <w:rStyle w:val="Hyperlink"/>
            <w:rFonts w:ascii="Palatino Linotype" w:hAnsi="Palatino Linotype" w:cs="Arial"/>
            <w:sz w:val="20"/>
            <w:szCs w:val="20"/>
          </w:rPr>
          <w:t>https://www.ons.gov.uk/employmentandlabourmarket/peopleinwork/employmentandemployeetypes/datasets/employmentunemploymentandeconomicinactivitybyagegroupseasonallyadjusteda05sa</w:t>
        </w:r>
      </w:hyperlink>
      <w:r w:rsidRPr="00D84297">
        <w:rPr>
          <w:rFonts w:ascii="Palatino Linotype" w:hAnsi="Palatino Linotype" w:cs="Arial"/>
          <w:sz w:val="20"/>
          <w:szCs w:val="20"/>
        </w:rPr>
        <w:t xml:space="preserve"> (Accessed October 10 2019)</w:t>
      </w:r>
    </w:p>
    <w:p w14:paraId="2D671C18" w14:textId="40A2840B" w:rsidR="009D3371" w:rsidRDefault="009D3371" w:rsidP="009D3371">
      <w:pPr>
        <w:pStyle w:val="ListParagraph"/>
        <w:numPr>
          <w:ilvl w:val="0"/>
          <w:numId w:val="6"/>
        </w:numPr>
        <w:spacing w:after="0" w:line="240" w:lineRule="auto"/>
        <w:jc w:val="both"/>
        <w:rPr>
          <w:rFonts w:ascii="Palatino Linotype" w:hAnsi="Palatino Linotype" w:cs="Arial"/>
          <w:sz w:val="20"/>
          <w:szCs w:val="20"/>
        </w:rPr>
      </w:pPr>
      <w:proofErr w:type="spellStart"/>
      <w:r>
        <w:rPr>
          <w:rFonts w:ascii="Palatino Linotype" w:hAnsi="Palatino Linotype" w:cs="Arial"/>
          <w:sz w:val="20"/>
          <w:szCs w:val="20"/>
        </w:rPr>
        <w:t>Tengland</w:t>
      </w:r>
      <w:proofErr w:type="spellEnd"/>
      <w:r>
        <w:rPr>
          <w:rFonts w:ascii="Palatino Linotype" w:hAnsi="Palatino Linotype" w:cs="Arial"/>
          <w:sz w:val="20"/>
          <w:szCs w:val="20"/>
        </w:rPr>
        <w:t xml:space="preserve"> PA. </w:t>
      </w:r>
      <w:r w:rsidRPr="009D3371">
        <w:rPr>
          <w:rFonts w:ascii="Palatino Linotype" w:hAnsi="Palatino Linotype" w:cs="Arial"/>
          <w:sz w:val="20"/>
          <w:szCs w:val="20"/>
        </w:rPr>
        <w:t xml:space="preserve">The concept of work </w:t>
      </w:r>
      <w:r w:rsidR="00093DF9" w:rsidRPr="009D3371">
        <w:rPr>
          <w:rFonts w:ascii="Palatino Linotype" w:hAnsi="Palatino Linotype" w:cs="Arial"/>
          <w:sz w:val="20"/>
          <w:szCs w:val="20"/>
        </w:rPr>
        <w:t>ability, J</w:t>
      </w:r>
      <w:r>
        <w:rPr>
          <w:rFonts w:ascii="Palatino Linotype" w:hAnsi="Palatino Linotype" w:cs="Arial"/>
          <w:sz w:val="20"/>
          <w:szCs w:val="20"/>
        </w:rPr>
        <w:t xml:space="preserve"> </w:t>
      </w:r>
      <w:proofErr w:type="spellStart"/>
      <w:r>
        <w:rPr>
          <w:rFonts w:ascii="Palatino Linotype" w:hAnsi="Palatino Linotype" w:cs="Arial"/>
          <w:sz w:val="20"/>
          <w:szCs w:val="20"/>
        </w:rPr>
        <w:t>Occup</w:t>
      </w:r>
      <w:proofErr w:type="spellEnd"/>
      <w:r>
        <w:rPr>
          <w:rFonts w:ascii="Palatino Linotype" w:hAnsi="Palatino Linotype" w:cs="Arial"/>
          <w:sz w:val="20"/>
          <w:szCs w:val="20"/>
        </w:rPr>
        <w:t xml:space="preserve"> </w:t>
      </w:r>
      <w:proofErr w:type="spellStart"/>
      <w:r>
        <w:rPr>
          <w:rFonts w:ascii="Palatino Linotype" w:hAnsi="Palatino Linotype" w:cs="Arial"/>
          <w:sz w:val="20"/>
          <w:szCs w:val="20"/>
        </w:rPr>
        <w:t>Rehabil</w:t>
      </w:r>
      <w:proofErr w:type="spellEnd"/>
      <w:r>
        <w:rPr>
          <w:rFonts w:ascii="Palatino Linotype" w:hAnsi="Palatino Linotype" w:cs="Arial"/>
          <w:sz w:val="20"/>
          <w:szCs w:val="20"/>
        </w:rPr>
        <w:t xml:space="preserve">. </w:t>
      </w:r>
      <w:r w:rsidR="00093DF9">
        <w:rPr>
          <w:rFonts w:ascii="Palatino Linotype" w:hAnsi="Palatino Linotype" w:cs="Arial"/>
          <w:sz w:val="20"/>
          <w:szCs w:val="20"/>
        </w:rPr>
        <w:t>2011</w:t>
      </w:r>
      <w:r w:rsidR="00093DF9" w:rsidRPr="009D3371">
        <w:rPr>
          <w:rFonts w:ascii="Palatino Linotype" w:hAnsi="Palatino Linotype" w:cs="Arial"/>
          <w:sz w:val="20"/>
          <w:szCs w:val="20"/>
        </w:rPr>
        <w:t>; 21:275</w:t>
      </w:r>
      <w:r w:rsidRPr="009D3371">
        <w:rPr>
          <w:rFonts w:ascii="Palatino Linotype" w:hAnsi="Palatino Linotype" w:cs="Arial"/>
          <w:sz w:val="20"/>
          <w:szCs w:val="20"/>
        </w:rPr>
        <w:t>-85</w:t>
      </w:r>
    </w:p>
    <w:p w14:paraId="184244E9" w14:textId="10704D50" w:rsidR="00D84297" w:rsidRPr="00D84297" w:rsidRDefault="00D84297" w:rsidP="00D84297">
      <w:pPr>
        <w:pStyle w:val="ListParagraph"/>
        <w:numPr>
          <w:ilvl w:val="0"/>
          <w:numId w:val="6"/>
        </w:numPr>
        <w:spacing w:after="0" w:line="240" w:lineRule="auto"/>
        <w:ind w:left="644"/>
        <w:jc w:val="both"/>
        <w:rPr>
          <w:rFonts w:ascii="Palatino Linotype" w:hAnsi="Palatino Linotype" w:cs="Arial"/>
          <w:sz w:val="20"/>
          <w:szCs w:val="20"/>
        </w:rPr>
      </w:pPr>
      <w:proofErr w:type="spellStart"/>
      <w:r w:rsidRPr="00D84297">
        <w:rPr>
          <w:rFonts w:ascii="Palatino Linotype" w:hAnsi="Palatino Linotype" w:cs="Arial"/>
          <w:sz w:val="20"/>
          <w:szCs w:val="20"/>
        </w:rPr>
        <w:t>Jusot</w:t>
      </w:r>
      <w:proofErr w:type="spellEnd"/>
      <w:r w:rsidRPr="00D84297">
        <w:rPr>
          <w:rFonts w:ascii="Palatino Linotype" w:hAnsi="Palatino Linotype" w:cs="Arial"/>
          <w:sz w:val="20"/>
          <w:szCs w:val="20"/>
        </w:rPr>
        <w:t xml:space="preserve"> F, </w:t>
      </w:r>
      <w:proofErr w:type="spellStart"/>
      <w:r w:rsidRPr="00D84297">
        <w:rPr>
          <w:rFonts w:ascii="Palatino Linotype" w:hAnsi="Palatino Linotype" w:cs="Arial"/>
          <w:sz w:val="20"/>
          <w:szCs w:val="20"/>
        </w:rPr>
        <w:t>Khlat</w:t>
      </w:r>
      <w:proofErr w:type="spellEnd"/>
      <w:r w:rsidRPr="00D84297">
        <w:rPr>
          <w:rFonts w:ascii="Palatino Linotype" w:hAnsi="Palatino Linotype" w:cs="Arial"/>
          <w:sz w:val="20"/>
          <w:szCs w:val="20"/>
        </w:rPr>
        <w:t xml:space="preserve"> M, </w:t>
      </w:r>
      <w:proofErr w:type="spellStart"/>
      <w:r w:rsidRPr="00D84297">
        <w:rPr>
          <w:rFonts w:ascii="Palatino Linotype" w:hAnsi="Palatino Linotype" w:cs="Arial"/>
          <w:sz w:val="20"/>
          <w:szCs w:val="20"/>
        </w:rPr>
        <w:t>Rochereau</w:t>
      </w:r>
      <w:proofErr w:type="spellEnd"/>
      <w:r w:rsidRPr="00D84297">
        <w:rPr>
          <w:rFonts w:ascii="Palatino Linotype" w:hAnsi="Palatino Linotype" w:cs="Arial"/>
          <w:sz w:val="20"/>
          <w:szCs w:val="20"/>
        </w:rPr>
        <w:t xml:space="preserve"> T, </w:t>
      </w:r>
      <w:proofErr w:type="spellStart"/>
      <w:r w:rsidRPr="00D84297">
        <w:rPr>
          <w:rFonts w:ascii="Palatino Linotype" w:hAnsi="Palatino Linotype" w:cs="Arial"/>
          <w:sz w:val="20"/>
          <w:szCs w:val="20"/>
        </w:rPr>
        <w:t>Serme</w:t>
      </w:r>
      <w:proofErr w:type="spellEnd"/>
      <w:r w:rsidRPr="00D84297">
        <w:rPr>
          <w:rFonts w:ascii="Palatino Linotype" w:hAnsi="Palatino Linotype" w:cs="Arial"/>
          <w:sz w:val="20"/>
          <w:szCs w:val="20"/>
        </w:rPr>
        <w:t xml:space="preserve"> C. Job loss from poor health, smoking and obesity: a national prospective survey in France. J </w:t>
      </w:r>
      <w:proofErr w:type="spellStart"/>
      <w:r w:rsidRPr="00D84297">
        <w:rPr>
          <w:rFonts w:ascii="Palatino Linotype" w:hAnsi="Palatino Linotype" w:cs="Arial"/>
          <w:sz w:val="20"/>
          <w:szCs w:val="20"/>
        </w:rPr>
        <w:t>Epidemiol</w:t>
      </w:r>
      <w:proofErr w:type="spellEnd"/>
      <w:r w:rsidRPr="00D84297">
        <w:rPr>
          <w:rFonts w:ascii="Palatino Linotype" w:hAnsi="Palatino Linotype" w:cs="Arial"/>
          <w:sz w:val="20"/>
          <w:szCs w:val="20"/>
        </w:rPr>
        <w:t xml:space="preserve"> Community Health </w:t>
      </w:r>
      <w:r w:rsidR="00093DF9" w:rsidRPr="00D84297">
        <w:rPr>
          <w:rFonts w:ascii="Palatino Linotype" w:hAnsi="Palatino Linotype" w:cs="Arial"/>
          <w:sz w:val="20"/>
          <w:szCs w:val="20"/>
        </w:rPr>
        <w:t>2008; 62:332</w:t>
      </w:r>
      <w:r w:rsidRPr="00D84297">
        <w:rPr>
          <w:rFonts w:ascii="Palatino Linotype" w:hAnsi="Palatino Linotype" w:cs="Arial"/>
          <w:sz w:val="20"/>
          <w:szCs w:val="20"/>
        </w:rPr>
        <w:t>-7</w:t>
      </w:r>
    </w:p>
    <w:p w14:paraId="415A5498" w14:textId="3F52B6CD" w:rsidR="00D84297" w:rsidRPr="00D84297" w:rsidRDefault="00D84297" w:rsidP="00D84297">
      <w:pPr>
        <w:pStyle w:val="ListParagraph"/>
        <w:numPr>
          <w:ilvl w:val="0"/>
          <w:numId w:val="6"/>
        </w:numPr>
        <w:spacing w:after="0" w:line="240" w:lineRule="auto"/>
        <w:ind w:left="644"/>
        <w:jc w:val="both"/>
        <w:rPr>
          <w:rFonts w:ascii="Palatino Linotype" w:hAnsi="Palatino Linotype" w:cs="Arial"/>
          <w:sz w:val="20"/>
          <w:szCs w:val="20"/>
        </w:rPr>
      </w:pPr>
      <w:proofErr w:type="spellStart"/>
      <w:r w:rsidRPr="00D84297">
        <w:rPr>
          <w:rFonts w:ascii="Palatino Linotype" w:hAnsi="Palatino Linotype" w:cs="Arial"/>
          <w:sz w:val="20"/>
          <w:szCs w:val="20"/>
        </w:rPr>
        <w:t>Leino-Arjas</w:t>
      </w:r>
      <w:proofErr w:type="spellEnd"/>
      <w:r w:rsidRPr="00D84297">
        <w:rPr>
          <w:rFonts w:ascii="Palatino Linotype" w:hAnsi="Palatino Linotype" w:cs="Arial"/>
          <w:sz w:val="20"/>
          <w:szCs w:val="20"/>
        </w:rPr>
        <w:t xml:space="preserve"> P, </w:t>
      </w:r>
      <w:proofErr w:type="spellStart"/>
      <w:r w:rsidRPr="00D84297">
        <w:rPr>
          <w:rFonts w:ascii="Palatino Linotype" w:hAnsi="Palatino Linotype" w:cs="Arial"/>
          <w:sz w:val="20"/>
          <w:szCs w:val="20"/>
        </w:rPr>
        <w:t>Liira</w:t>
      </w:r>
      <w:proofErr w:type="spellEnd"/>
      <w:r w:rsidRPr="00D84297">
        <w:rPr>
          <w:rFonts w:ascii="Palatino Linotype" w:hAnsi="Palatino Linotype" w:cs="Arial"/>
          <w:sz w:val="20"/>
          <w:szCs w:val="20"/>
        </w:rPr>
        <w:t xml:space="preserve"> J, </w:t>
      </w:r>
      <w:proofErr w:type="spellStart"/>
      <w:r w:rsidRPr="00D84297">
        <w:rPr>
          <w:rFonts w:ascii="Palatino Linotype" w:hAnsi="Palatino Linotype" w:cs="Arial"/>
          <w:sz w:val="20"/>
          <w:szCs w:val="20"/>
        </w:rPr>
        <w:t>Mutanen</w:t>
      </w:r>
      <w:proofErr w:type="spellEnd"/>
      <w:r w:rsidRPr="00D84297">
        <w:rPr>
          <w:rFonts w:ascii="Palatino Linotype" w:hAnsi="Palatino Linotype" w:cs="Arial"/>
          <w:sz w:val="20"/>
          <w:szCs w:val="20"/>
        </w:rPr>
        <w:t xml:space="preserve"> P, </w:t>
      </w:r>
      <w:proofErr w:type="spellStart"/>
      <w:r w:rsidRPr="00D84297">
        <w:rPr>
          <w:rFonts w:ascii="Palatino Linotype" w:hAnsi="Palatino Linotype" w:cs="Arial"/>
          <w:sz w:val="20"/>
          <w:szCs w:val="20"/>
        </w:rPr>
        <w:t>Malmivaara</w:t>
      </w:r>
      <w:proofErr w:type="spellEnd"/>
      <w:r w:rsidRPr="00D84297">
        <w:rPr>
          <w:rFonts w:ascii="Palatino Linotype" w:hAnsi="Palatino Linotype" w:cs="Arial"/>
          <w:sz w:val="20"/>
          <w:szCs w:val="20"/>
        </w:rPr>
        <w:t xml:space="preserve"> A, </w:t>
      </w:r>
      <w:proofErr w:type="spellStart"/>
      <w:r w:rsidRPr="00D84297">
        <w:rPr>
          <w:rFonts w:ascii="Palatino Linotype" w:hAnsi="Palatino Linotype" w:cs="Arial"/>
          <w:sz w:val="20"/>
          <w:szCs w:val="20"/>
        </w:rPr>
        <w:t>Matikainen</w:t>
      </w:r>
      <w:proofErr w:type="spellEnd"/>
      <w:r w:rsidRPr="00D84297">
        <w:rPr>
          <w:rFonts w:ascii="Palatino Linotype" w:hAnsi="Palatino Linotype" w:cs="Arial"/>
          <w:sz w:val="20"/>
          <w:szCs w:val="20"/>
        </w:rPr>
        <w:t xml:space="preserve"> E. Predictors and consequences of unemployment among construction workers: prospective cohort study. BMJ </w:t>
      </w:r>
      <w:r w:rsidR="00093DF9" w:rsidRPr="00D84297">
        <w:rPr>
          <w:rFonts w:ascii="Palatino Linotype" w:hAnsi="Palatino Linotype" w:cs="Arial"/>
          <w:sz w:val="20"/>
          <w:szCs w:val="20"/>
        </w:rPr>
        <w:t>1999; 319:600</w:t>
      </w:r>
      <w:r w:rsidRPr="00D84297">
        <w:rPr>
          <w:rFonts w:ascii="Palatino Linotype" w:hAnsi="Palatino Linotype" w:cs="Arial"/>
          <w:sz w:val="20"/>
          <w:szCs w:val="20"/>
        </w:rPr>
        <w:t>–605</w:t>
      </w:r>
    </w:p>
    <w:p w14:paraId="416C1CAB" w14:textId="633BADEA" w:rsidR="00D84297" w:rsidRPr="00D84297" w:rsidRDefault="00D84297" w:rsidP="00D84297">
      <w:pPr>
        <w:pStyle w:val="ListParagraph"/>
        <w:numPr>
          <w:ilvl w:val="0"/>
          <w:numId w:val="6"/>
        </w:numPr>
        <w:spacing w:after="0" w:line="240" w:lineRule="auto"/>
        <w:ind w:left="644"/>
        <w:jc w:val="both"/>
        <w:rPr>
          <w:rFonts w:ascii="Palatino Linotype" w:hAnsi="Palatino Linotype" w:cs="Arial"/>
          <w:sz w:val="20"/>
          <w:szCs w:val="20"/>
        </w:rPr>
      </w:pPr>
      <w:proofErr w:type="spellStart"/>
      <w:r w:rsidRPr="00D84297">
        <w:rPr>
          <w:rFonts w:ascii="Palatino Linotype" w:hAnsi="Palatino Linotype" w:cs="Arial"/>
          <w:sz w:val="20"/>
          <w:szCs w:val="20"/>
        </w:rPr>
        <w:t>Jans</w:t>
      </w:r>
      <w:proofErr w:type="spellEnd"/>
      <w:r w:rsidRPr="00D84297">
        <w:rPr>
          <w:rFonts w:ascii="Palatino Linotype" w:hAnsi="Palatino Linotype" w:cs="Arial"/>
          <w:sz w:val="20"/>
          <w:szCs w:val="20"/>
        </w:rPr>
        <w:t xml:space="preserve"> MP, van den </w:t>
      </w:r>
      <w:proofErr w:type="spellStart"/>
      <w:r w:rsidRPr="00D84297">
        <w:rPr>
          <w:rFonts w:ascii="Palatino Linotype" w:hAnsi="Palatino Linotype" w:cs="Arial"/>
          <w:sz w:val="20"/>
          <w:szCs w:val="20"/>
        </w:rPr>
        <w:t>Heuvel</w:t>
      </w:r>
      <w:proofErr w:type="spellEnd"/>
      <w:r w:rsidRPr="00D84297">
        <w:rPr>
          <w:rFonts w:ascii="Palatino Linotype" w:hAnsi="Palatino Linotype" w:cs="Arial"/>
          <w:sz w:val="20"/>
          <w:szCs w:val="20"/>
        </w:rPr>
        <w:t xml:space="preserve"> SG, Hildebrandt VH, </w:t>
      </w:r>
      <w:proofErr w:type="spellStart"/>
      <w:r w:rsidRPr="00D84297">
        <w:rPr>
          <w:rFonts w:ascii="Palatino Linotype" w:hAnsi="Palatino Linotype" w:cs="Arial"/>
          <w:sz w:val="20"/>
          <w:szCs w:val="20"/>
        </w:rPr>
        <w:t>Bongers</w:t>
      </w:r>
      <w:proofErr w:type="spellEnd"/>
      <w:r w:rsidRPr="00D84297">
        <w:rPr>
          <w:rFonts w:ascii="Palatino Linotype" w:hAnsi="Palatino Linotype" w:cs="Arial"/>
          <w:sz w:val="20"/>
          <w:szCs w:val="20"/>
        </w:rPr>
        <w:t xml:space="preserve"> PM.  Overweight and obesity as predictors of absenteeism in the working population of the Netherlands.  J </w:t>
      </w:r>
      <w:proofErr w:type="spellStart"/>
      <w:r w:rsidRPr="00D84297">
        <w:rPr>
          <w:rFonts w:ascii="Palatino Linotype" w:hAnsi="Palatino Linotype" w:cs="Arial"/>
          <w:sz w:val="20"/>
          <w:szCs w:val="20"/>
        </w:rPr>
        <w:t>Occup</w:t>
      </w:r>
      <w:proofErr w:type="spellEnd"/>
      <w:r w:rsidRPr="00D84297">
        <w:rPr>
          <w:rFonts w:ascii="Palatino Linotype" w:hAnsi="Palatino Linotype" w:cs="Arial"/>
          <w:sz w:val="20"/>
          <w:szCs w:val="20"/>
        </w:rPr>
        <w:t xml:space="preserve"> Environ Med </w:t>
      </w:r>
      <w:r w:rsidR="00093DF9" w:rsidRPr="00D84297">
        <w:rPr>
          <w:rFonts w:ascii="Palatino Linotype" w:hAnsi="Palatino Linotype" w:cs="Arial"/>
          <w:sz w:val="20"/>
          <w:szCs w:val="20"/>
        </w:rPr>
        <w:t>2007; 49:975</w:t>
      </w:r>
      <w:r w:rsidRPr="00D84297">
        <w:rPr>
          <w:rFonts w:ascii="Palatino Linotype" w:hAnsi="Palatino Linotype" w:cs="Arial"/>
          <w:sz w:val="20"/>
          <w:szCs w:val="20"/>
        </w:rPr>
        <w:t>-80</w:t>
      </w:r>
    </w:p>
    <w:p w14:paraId="6B94909A" w14:textId="038BC2E0" w:rsidR="00D84297" w:rsidRPr="00D84297" w:rsidRDefault="00D84297" w:rsidP="00D84297">
      <w:pPr>
        <w:pStyle w:val="ListParagraph"/>
        <w:numPr>
          <w:ilvl w:val="0"/>
          <w:numId w:val="6"/>
        </w:numPr>
        <w:spacing w:after="0" w:line="240" w:lineRule="auto"/>
        <w:ind w:left="644"/>
        <w:jc w:val="both"/>
        <w:rPr>
          <w:rFonts w:ascii="Palatino Linotype" w:hAnsi="Palatino Linotype" w:cs="Arial"/>
          <w:sz w:val="20"/>
          <w:szCs w:val="20"/>
        </w:rPr>
      </w:pPr>
      <w:proofErr w:type="spellStart"/>
      <w:r w:rsidRPr="00D84297">
        <w:rPr>
          <w:rFonts w:ascii="Palatino Linotype" w:hAnsi="Palatino Linotype" w:cs="Arial"/>
          <w:sz w:val="20"/>
          <w:szCs w:val="20"/>
        </w:rPr>
        <w:t>Janssens</w:t>
      </w:r>
      <w:proofErr w:type="spellEnd"/>
      <w:r w:rsidRPr="00D84297">
        <w:rPr>
          <w:rFonts w:ascii="Palatino Linotype" w:hAnsi="Palatino Linotype" w:cs="Arial"/>
          <w:color w:val="FF0000"/>
          <w:sz w:val="20"/>
          <w:szCs w:val="20"/>
        </w:rPr>
        <w:t xml:space="preserve"> </w:t>
      </w:r>
      <w:r w:rsidRPr="00D84297">
        <w:rPr>
          <w:rFonts w:ascii="Palatino Linotype" w:hAnsi="Palatino Linotype" w:cs="Arial"/>
          <w:sz w:val="20"/>
          <w:szCs w:val="20"/>
        </w:rPr>
        <w:t xml:space="preserve">H, Clays E, Kittel F, De </w:t>
      </w:r>
      <w:proofErr w:type="spellStart"/>
      <w:r w:rsidRPr="00D84297">
        <w:rPr>
          <w:rFonts w:ascii="Palatino Linotype" w:hAnsi="Palatino Linotype" w:cs="Arial"/>
          <w:sz w:val="20"/>
          <w:szCs w:val="20"/>
        </w:rPr>
        <w:t>Bacquer</w:t>
      </w:r>
      <w:proofErr w:type="spellEnd"/>
      <w:r w:rsidRPr="00D84297">
        <w:rPr>
          <w:rFonts w:ascii="Palatino Linotype" w:hAnsi="Palatino Linotype" w:cs="Arial"/>
          <w:sz w:val="20"/>
          <w:szCs w:val="20"/>
        </w:rPr>
        <w:t xml:space="preserve"> D, </w:t>
      </w:r>
      <w:proofErr w:type="spellStart"/>
      <w:r w:rsidRPr="00D84297">
        <w:rPr>
          <w:rFonts w:ascii="Palatino Linotype" w:hAnsi="Palatino Linotype" w:cs="Arial"/>
          <w:sz w:val="20"/>
          <w:szCs w:val="20"/>
        </w:rPr>
        <w:t>Casini</w:t>
      </w:r>
      <w:proofErr w:type="spellEnd"/>
      <w:r w:rsidRPr="00D84297">
        <w:rPr>
          <w:rFonts w:ascii="Palatino Linotype" w:hAnsi="Palatino Linotype" w:cs="Arial"/>
          <w:sz w:val="20"/>
          <w:szCs w:val="20"/>
        </w:rPr>
        <w:t xml:space="preserve"> A, </w:t>
      </w:r>
      <w:proofErr w:type="spellStart"/>
      <w:r w:rsidRPr="00D84297">
        <w:rPr>
          <w:rFonts w:ascii="Palatino Linotype" w:hAnsi="Palatino Linotype" w:cs="Arial"/>
          <w:sz w:val="20"/>
          <w:szCs w:val="20"/>
        </w:rPr>
        <w:t>Braeckman</w:t>
      </w:r>
      <w:proofErr w:type="spellEnd"/>
      <w:r w:rsidRPr="00D84297">
        <w:rPr>
          <w:rFonts w:ascii="Palatino Linotype" w:hAnsi="Palatino Linotype" w:cs="Arial"/>
          <w:sz w:val="20"/>
          <w:szCs w:val="20"/>
        </w:rPr>
        <w:t xml:space="preserve"> L.  The association between body mass index class, sickness absence, and presenteeism.  J </w:t>
      </w:r>
      <w:proofErr w:type="spellStart"/>
      <w:r w:rsidRPr="00D84297">
        <w:rPr>
          <w:rFonts w:ascii="Palatino Linotype" w:hAnsi="Palatino Linotype" w:cs="Arial"/>
          <w:sz w:val="20"/>
          <w:szCs w:val="20"/>
        </w:rPr>
        <w:t>Occup</w:t>
      </w:r>
      <w:proofErr w:type="spellEnd"/>
      <w:r w:rsidRPr="00D84297">
        <w:rPr>
          <w:rFonts w:ascii="Palatino Linotype" w:hAnsi="Palatino Linotype" w:cs="Arial"/>
          <w:sz w:val="20"/>
          <w:szCs w:val="20"/>
        </w:rPr>
        <w:t xml:space="preserve"> Environ Med </w:t>
      </w:r>
      <w:r w:rsidR="00093DF9" w:rsidRPr="00D84297">
        <w:rPr>
          <w:rFonts w:ascii="Palatino Linotype" w:hAnsi="Palatino Linotype" w:cs="Arial"/>
          <w:sz w:val="20"/>
          <w:szCs w:val="20"/>
        </w:rPr>
        <w:t>2012; 54:604</w:t>
      </w:r>
      <w:r w:rsidRPr="00D84297">
        <w:rPr>
          <w:rFonts w:ascii="Palatino Linotype" w:hAnsi="Palatino Linotype" w:cs="Arial"/>
          <w:sz w:val="20"/>
          <w:szCs w:val="20"/>
        </w:rPr>
        <w:t>-9</w:t>
      </w:r>
    </w:p>
    <w:p w14:paraId="3D7C64E6" w14:textId="05E48435" w:rsidR="00D84297" w:rsidRPr="00D84297" w:rsidRDefault="00D84297" w:rsidP="00D84297">
      <w:pPr>
        <w:pStyle w:val="ListParagraph"/>
        <w:numPr>
          <w:ilvl w:val="0"/>
          <w:numId w:val="6"/>
        </w:numPr>
        <w:spacing w:after="0" w:line="240" w:lineRule="auto"/>
        <w:ind w:left="644"/>
        <w:jc w:val="both"/>
        <w:rPr>
          <w:rFonts w:ascii="Palatino Linotype" w:hAnsi="Palatino Linotype" w:cs="Arial"/>
          <w:sz w:val="20"/>
          <w:szCs w:val="20"/>
        </w:rPr>
      </w:pPr>
      <w:r w:rsidRPr="00D84297">
        <w:rPr>
          <w:rFonts w:ascii="Palatino Linotype" w:hAnsi="Palatino Linotype" w:cs="Arial"/>
          <w:sz w:val="20"/>
          <w:szCs w:val="20"/>
        </w:rPr>
        <w:t xml:space="preserve">Harvey SB, Glazier N, Carlton O, </w:t>
      </w:r>
      <w:r w:rsidRPr="00D84297">
        <w:rPr>
          <w:rFonts w:ascii="Palatino Linotype" w:hAnsi="Palatino Linotype" w:cs="Arial"/>
          <w:i/>
          <w:sz w:val="20"/>
          <w:szCs w:val="20"/>
        </w:rPr>
        <w:t xml:space="preserve">et </w:t>
      </w:r>
      <w:r w:rsidR="00093DF9" w:rsidRPr="00D84297">
        <w:rPr>
          <w:rFonts w:ascii="Palatino Linotype" w:hAnsi="Palatino Linotype" w:cs="Arial"/>
          <w:i/>
          <w:sz w:val="20"/>
          <w:szCs w:val="20"/>
        </w:rPr>
        <w:t>al</w:t>
      </w:r>
      <w:r w:rsidR="00093DF9" w:rsidRPr="00D84297">
        <w:rPr>
          <w:rFonts w:ascii="Palatino Linotype" w:hAnsi="Palatino Linotype" w:cs="Arial"/>
          <w:sz w:val="20"/>
          <w:szCs w:val="20"/>
        </w:rPr>
        <w:t xml:space="preserve"> Obesity</w:t>
      </w:r>
      <w:r w:rsidRPr="00D84297">
        <w:rPr>
          <w:rFonts w:ascii="Palatino Linotype" w:hAnsi="Palatino Linotype" w:cs="Arial"/>
          <w:sz w:val="20"/>
          <w:szCs w:val="20"/>
        </w:rPr>
        <w:t xml:space="preserve"> and sickness absence: results from the CHAP study. </w:t>
      </w:r>
      <w:proofErr w:type="spellStart"/>
      <w:r w:rsidRPr="00D84297">
        <w:rPr>
          <w:rFonts w:ascii="Palatino Linotype" w:hAnsi="Palatino Linotype" w:cs="Arial"/>
          <w:sz w:val="20"/>
          <w:szCs w:val="20"/>
        </w:rPr>
        <w:t>Occup</w:t>
      </w:r>
      <w:proofErr w:type="spellEnd"/>
      <w:r w:rsidRPr="00D84297">
        <w:rPr>
          <w:rFonts w:ascii="Palatino Linotype" w:hAnsi="Palatino Linotype" w:cs="Arial"/>
          <w:sz w:val="20"/>
          <w:szCs w:val="20"/>
        </w:rPr>
        <w:t xml:space="preserve"> Med </w:t>
      </w:r>
      <w:r w:rsidR="00093DF9" w:rsidRPr="00D84297">
        <w:rPr>
          <w:rFonts w:ascii="Palatino Linotype" w:hAnsi="Palatino Linotype" w:cs="Arial"/>
          <w:sz w:val="20"/>
          <w:szCs w:val="20"/>
        </w:rPr>
        <w:t>2010; 60:362</w:t>
      </w:r>
      <w:r w:rsidRPr="00D84297">
        <w:rPr>
          <w:rFonts w:ascii="Palatino Linotype" w:hAnsi="Palatino Linotype" w:cs="Arial"/>
          <w:sz w:val="20"/>
          <w:szCs w:val="20"/>
        </w:rPr>
        <w:t>-368</w:t>
      </w:r>
    </w:p>
    <w:p w14:paraId="68379642" w14:textId="2AB09210" w:rsidR="00D84297" w:rsidRPr="00D84297" w:rsidRDefault="00D84297" w:rsidP="00D84297">
      <w:pPr>
        <w:pStyle w:val="ListParagraph"/>
        <w:numPr>
          <w:ilvl w:val="0"/>
          <w:numId w:val="6"/>
        </w:numPr>
        <w:spacing w:after="0" w:line="240" w:lineRule="auto"/>
        <w:ind w:left="644"/>
        <w:jc w:val="both"/>
        <w:rPr>
          <w:rFonts w:ascii="Palatino Linotype" w:hAnsi="Palatino Linotype" w:cs="Arial"/>
          <w:sz w:val="20"/>
          <w:szCs w:val="20"/>
        </w:rPr>
      </w:pPr>
      <w:proofErr w:type="spellStart"/>
      <w:r w:rsidRPr="00D84297">
        <w:rPr>
          <w:rFonts w:ascii="Palatino Linotype" w:hAnsi="Palatino Linotype" w:cs="Arial"/>
          <w:sz w:val="20"/>
          <w:szCs w:val="20"/>
        </w:rPr>
        <w:t>Ferrie</w:t>
      </w:r>
      <w:proofErr w:type="spellEnd"/>
      <w:r w:rsidRPr="00D84297">
        <w:rPr>
          <w:rFonts w:ascii="Palatino Linotype" w:hAnsi="Palatino Linotype" w:cs="Arial"/>
          <w:sz w:val="20"/>
          <w:szCs w:val="20"/>
        </w:rPr>
        <w:t xml:space="preserve"> JE, Head J, Shipley MJ, </w:t>
      </w:r>
      <w:proofErr w:type="spellStart"/>
      <w:r w:rsidRPr="00D84297">
        <w:rPr>
          <w:rFonts w:ascii="Palatino Linotype" w:hAnsi="Palatino Linotype" w:cs="Arial"/>
          <w:sz w:val="20"/>
          <w:szCs w:val="20"/>
        </w:rPr>
        <w:t>Vahtera</w:t>
      </w:r>
      <w:proofErr w:type="spellEnd"/>
      <w:r w:rsidRPr="00D84297">
        <w:rPr>
          <w:rFonts w:ascii="Palatino Linotype" w:hAnsi="Palatino Linotype" w:cs="Arial"/>
          <w:sz w:val="20"/>
          <w:szCs w:val="20"/>
        </w:rPr>
        <w:t xml:space="preserve"> J, Marmot MG, </w:t>
      </w:r>
      <w:proofErr w:type="spellStart"/>
      <w:r w:rsidRPr="00D84297">
        <w:rPr>
          <w:rFonts w:ascii="Palatino Linotype" w:hAnsi="Palatino Linotype" w:cs="Arial"/>
          <w:sz w:val="20"/>
          <w:szCs w:val="20"/>
        </w:rPr>
        <w:t>Kivimäki</w:t>
      </w:r>
      <w:proofErr w:type="spellEnd"/>
      <w:r w:rsidRPr="00D84297">
        <w:rPr>
          <w:rFonts w:ascii="Palatino Linotype" w:hAnsi="Palatino Linotype" w:cs="Arial"/>
          <w:sz w:val="20"/>
          <w:szCs w:val="20"/>
        </w:rPr>
        <w:t xml:space="preserve"> M. BMI, obesity, and sickness absence in the Whitehall II study. Obesity </w:t>
      </w:r>
      <w:r w:rsidR="00093DF9" w:rsidRPr="00D84297">
        <w:rPr>
          <w:rFonts w:ascii="Palatino Linotype" w:hAnsi="Palatino Linotype" w:cs="Arial"/>
          <w:sz w:val="20"/>
          <w:szCs w:val="20"/>
        </w:rPr>
        <w:t>2007; 15:1554</w:t>
      </w:r>
      <w:r w:rsidRPr="00D84297">
        <w:rPr>
          <w:rFonts w:ascii="Palatino Linotype" w:hAnsi="Palatino Linotype" w:cs="Arial"/>
          <w:sz w:val="20"/>
          <w:szCs w:val="20"/>
        </w:rPr>
        <w:t>-64</w:t>
      </w:r>
    </w:p>
    <w:p w14:paraId="378C3F7D" w14:textId="52E03B1D" w:rsidR="00D84297" w:rsidRPr="00D84297" w:rsidRDefault="00D84297" w:rsidP="00D84297">
      <w:pPr>
        <w:pStyle w:val="ListParagraph"/>
        <w:numPr>
          <w:ilvl w:val="0"/>
          <w:numId w:val="6"/>
        </w:numPr>
        <w:spacing w:after="0" w:line="240" w:lineRule="auto"/>
        <w:ind w:left="644"/>
        <w:jc w:val="both"/>
        <w:rPr>
          <w:rFonts w:ascii="Palatino Linotype" w:hAnsi="Palatino Linotype" w:cs="Arial"/>
          <w:sz w:val="20"/>
          <w:szCs w:val="20"/>
        </w:rPr>
      </w:pPr>
      <w:r w:rsidRPr="00D84297">
        <w:rPr>
          <w:rFonts w:ascii="Palatino Linotype" w:hAnsi="Palatino Linotype" w:cs="Arial"/>
          <w:sz w:val="20"/>
          <w:szCs w:val="20"/>
        </w:rPr>
        <w:t xml:space="preserve">Gates DM, </w:t>
      </w:r>
      <w:proofErr w:type="spellStart"/>
      <w:r w:rsidRPr="00D84297">
        <w:rPr>
          <w:rFonts w:ascii="Palatino Linotype" w:hAnsi="Palatino Linotype" w:cs="Arial"/>
          <w:sz w:val="20"/>
          <w:szCs w:val="20"/>
        </w:rPr>
        <w:t>Succop</w:t>
      </w:r>
      <w:proofErr w:type="spellEnd"/>
      <w:r w:rsidRPr="00D84297">
        <w:rPr>
          <w:rFonts w:ascii="Palatino Linotype" w:hAnsi="Palatino Linotype" w:cs="Arial"/>
          <w:sz w:val="20"/>
          <w:szCs w:val="20"/>
        </w:rPr>
        <w:t xml:space="preserve"> P, </w:t>
      </w:r>
      <w:proofErr w:type="spellStart"/>
      <w:r w:rsidRPr="00D84297">
        <w:rPr>
          <w:rFonts w:ascii="Palatino Linotype" w:hAnsi="Palatino Linotype" w:cs="Arial"/>
          <w:sz w:val="20"/>
          <w:szCs w:val="20"/>
        </w:rPr>
        <w:t>Brehm</w:t>
      </w:r>
      <w:proofErr w:type="spellEnd"/>
      <w:r w:rsidRPr="00D84297">
        <w:rPr>
          <w:rFonts w:ascii="Palatino Linotype" w:hAnsi="Palatino Linotype" w:cs="Arial"/>
          <w:sz w:val="20"/>
          <w:szCs w:val="20"/>
        </w:rPr>
        <w:t xml:space="preserve"> BJ, Gillespie GL, Sommers BD. Obesity and presenteeism: the impact of body mass index on workplace productivity. J </w:t>
      </w:r>
      <w:proofErr w:type="spellStart"/>
      <w:r w:rsidRPr="00D84297">
        <w:rPr>
          <w:rFonts w:ascii="Palatino Linotype" w:hAnsi="Palatino Linotype" w:cs="Arial"/>
          <w:sz w:val="20"/>
          <w:szCs w:val="20"/>
        </w:rPr>
        <w:t>Occup</w:t>
      </w:r>
      <w:proofErr w:type="spellEnd"/>
      <w:r w:rsidRPr="00D84297">
        <w:rPr>
          <w:rFonts w:ascii="Palatino Linotype" w:hAnsi="Palatino Linotype" w:cs="Arial"/>
          <w:sz w:val="20"/>
          <w:szCs w:val="20"/>
        </w:rPr>
        <w:t xml:space="preserve"> Environ Med </w:t>
      </w:r>
      <w:r w:rsidR="00093DF9" w:rsidRPr="00D84297">
        <w:rPr>
          <w:rFonts w:ascii="Palatino Linotype" w:hAnsi="Palatino Linotype" w:cs="Arial"/>
          <w:sz w:val="20"/>
          <w:szCs w:val="20"/>
        </w:rPr>
        <w:t>2008; 50:39</w:t>
      </w:r>
      <w:r w:rsidRPr="00D84297">
        <w:rPr>
          <w:rFonts w:ascii="Palatino Linotype" w:hAnsi="Palatino Linotype" w:cs="Arial"/>
          <w:sz w:val="20"/>
          <w:szCs w:val="20"/>
        </w:rPr>
        <w:t>-45</w:t>
      </w:r>
    </w:p>
    <w:p w14:paraId="1A6C6C43" w14:textId="77777777" w:rsidR="00D84297" w:rsidRPr="00D84297" w:rsidRDefault="00D84297" w:rsidP="00D84297">
      <w:pPr>
        <w:pStyle w:val="ListParagraph"/>
        <w:numPr>
          <w:ilvl w:val="0"/>
          <w:numId w:val="6"/>
        </w:numPr>
        <w:spacing w:after="0" w:line="240" w:lineRule="auto"/>
        <w:ind w:left="644"/>
        <w:jc w:val="both"/>
        <w:rPr>
          <w:rFonts w:ascii="Palatino Linotype" w:hAnsi="Palatino Linotype" w:cs="Arial"/>
          <w:sz w:val="20"/>
          <w:szCs w:val="20"/>
        </w:rPr>
      </w:pPr>
      <w:proofErr w:type="spellStart"/>
      <w:r w:rsidRPr="00D84297">
        <w:rPr>
          <w:rFonts w:ascii="Palatino Linotype" w:hAnsi="Palatino Linotype" w:cs="Arial"/>
          <w:sz w:val="20"/>
          <w:szCs w:val="20"/>
        </w:rPr>
        <w:t>Robroek</w:t>
      </w:r>
      <w:proofErr w:type="spellEnd"/>
      <w:r w:rsidRPr="00D84297">
        <w:rPr>
          <w:rFonts w:ascii="Palatino Linotype" w:hAnsi="Palatino Linotype" w:cs="Arial"/>
          <w:sz w:val="20"/>
          <w:szCs w:val="20"/>
        </w:rPr>
        <w:t xml:space="preserve"> SJW, </w:t>
      </w:r>
      <w:proofErr w:type="spellStart"/>
      <w:r w:rsidRPr="00D84297">
        <w:rPr>
          <w:rFonts w:ascii="Palatino Linotype" w:hAnsi="Palatino Linotype" w:cs="Arial"/>
          <w:sz w:val="20"/>
          <w:szCs w:val="20"/>
        </w:rPr>
        <w:t>Schuring</w:t>
      </w:r>
      <w:proofErr w:type="spellEnd"/>
      <w:r w:rsidRPr="00D84297">
        <w:rPr>
          <w:rFonts w:ascii="Palatino Linotype" w:hAnsi="Palatino Linotype" w:cs="Arial"/>
          <w:sz w:val="20"/>
          <w:szCs w:val="20"/>
        </w:rPr>
        <w:t xml:space="preserve"> M, </w:t>
      </w:r>
      <w:proofErr w:type="spellStart"/>
      <w:r w:rsidRPr="00D84297">
        <w:rPr>
          <w:rFonts w:ascii="Palatino Linotype" w:hAnsi="Palatino Linotype" w:cs="Arial"/>
          <w:sz w:val="20"/>
          <w:szCs w:val="20"/>
        </w:rPr>
        <w:t>Croezen</w:t>
      </w:r>
      <w:proofErr w:type="spellEnd"/>
      <w:r w:rsidRPr="00D84297">
        <w:rPr>
          <w:rFonts w:ascii="Palatino Linotype" w:hAnsi="Palatino Linotype" w:cs="Arial"/>
          <w:sz w:val="20"/>
          <w:szCs w:val="20"/>
        </w:rPr>
        <w:t xml:space="preserve"> S, </w:t>
      </w:r>
      <w:proofErr w:type="spellStart"/>
      <w:r w:rsidRPr="00D84297">
        <w:rPr>
          <w:rFonts w:ascii="Palatino Linotype" w:hAnsi="Palatino Linotype" w:cs="Arial"/>
          <w:sz w:val="20"/>
          <w:szCs w:val="20"/>
        </w:rPr>
        <w:t>Stattin</w:t>
      </w:r>
      <w:proofErr w:type="spellEnd"/>
      <w:r w:rsidRPr="00D84297">
        <w:rPr>
          <w:rFonts w:ascii="Palatino Linotype" w:hAnsi="Palatino Linotype" w:cs="Arial"/>
          <w:sz w:val="20"/>
          <w:szCs w:val="20"/>
        </w:rPr>
        <w:t xml:space="preserve"> M, </w:t>
      </w:r>
      <w:proofErr w:type="spellStart"/>
      <w:r w:rsidRPr="00D84297">
        <w:rPr>
          <w:rFonts w:ascii="Palatino Linotype" w:hAnsi="Palatino Linotype" w:cs="Arial"/>
          <w:sz w:val="20"/>
          <w:szCs w:val="20"/>
        </w:rPr>
        <w:t>Burdorf</w:t>
      </w:r>
      <w:proofErr w:type="spellEnd"/>
      <w:r w:rsidRPr="00D84297">
        <w:rPr>
          <w:rFonts w:ascii="Palatino Linotype" w:hAnsi="Palatino Linotype" w:cs="Arial"/>
          <w:sz w:val="20"/>
          <w:szCs w:val="20"/>
        </w:rPr>
        <w:t xml:space="preserve"> A. Poor health, unhealthy </w:t>
      </w:r>
      <w:proofErr w:type="spellStart"/>
      <w:r w:rsidRPr="00D84297">
        <w:rPr>
          <w:rFonts w:ascii="Palatino Linotype" w:hAnsi="Palatino Linotype" w:cs="Arial"/>
          <w:sz w:val="20"/>
          <w:szCs w:val="20"/>
        </w:rPr>
        <w:t>behaviors</w:t>
      </w:r>
      <w:proofErr w:type="spellEnd"/>
      <w:r w:rsidRPr="00D84297">
        <w:rPr>
          <w:rFonts w:ascii="Palatino Linotype" w:hAnsi="Palatino Linotype" w:cs="Arial"/>
          <w:sz w:val="20"/>
          <w:szCs w:val="20"/>
        </w:rPr>
        <w:t xml:space="preserve">, and unfavourable work characteristics influence pathways of exit from paid employment among older workers in Europe: a four year follow-up study.  </w:t>
      </w:r>
      <w:proofErr w:type="spellStart"/>
      <w:r w:rsidRPr="00D84297">
        <w:rPr>
          <w:rFonts w:ascii="Palatino Linotype" w:hAnsi="Palatino Linotype" w:cs="Arial"/>
          <w:sz w:val="20"/>
          <w:szCs w:val="20"/>
        </w:rPr>
        <w:t>Scand</w:t>
      </w:r>
      <w:proofErr w:type="spellEnd"/>
      <w:r w:rsidRPr="00D84297">
        <w:rPr>
          <w:rFonts w:ascii="Palatino Linotype" w:hAnsi="Palatino Linotype" w:cs="Arial"/>
          <w:sz w:val="20"/>
          <w:szCs w:val="20"/>
        </w:rPr>
        <w:t xml:space="preserve"> J Work Environ Health 2013;39 (2):125-133</w:t>
      </w:r>
    </w:p>
    <w:p w14:paraId="4C82159D" w14:textId="77777777" w:rsidR="00D84297" w:rsidRPr="00D84297" w:rsidRDefault="00D84297" w:rsidP="00D84297">
      <w:pPr>
        <w:pStyle w:val="ListParagraph"/>
        <w:numPr>
          <w:ilvl w:val="0"/>
          <w:numId w:val="6"/>
        </w:numPr>
        <w:spacing w:after="0" w:line="240" w:lineRule="auto"/>
        <w:ind w:left="644"/>
        <w:jc w:val="both"/>
        <w:rPr>
          <w:rFonts w:ascii="Palatino Linotype" w:hAnsi="Palatino Linotype" w:cs="Arial"/>
          <w:sz w:val="20"/>
          <w:szCs w:val="20"/>
        </w:rPr>
      </w:pPr>
      <w:proofErr w:type="spellStart"/>
      <w:r w:rsidRPr="00D84297">
        <w:rPr>
          <w:rFonts w:ascii="Palatino Linotype" w:hAnsi="Palatino Linotype" w:cs="Arial"/>
          <w:sz w:val="20"/>
          <w:szCs w:val="20"/>
        </w:rPr>
        <w:t>Bramming</w:t>
      </w:r>
      <w:proofErr w:type="spellEnd"/>
      <w:r w:rsidRPr="00D84297">
        <w:rPr>
          <w:rFonts w:ascii="Palatino Linotype" w:hAnsi="Palatino Linotype" w:cs="Arial"/>
          <w:sz w:val="20"/>
          <w:szCs w:val="20"/>
        </w:rPr>
        <w:t xml:space="preserve"> M, Jorgensen MB, Christensen AI, Lau CJ, Egan KK, </w:t>
      </w:r>
      <w:proofErr w:type="spellStart"/>
      <w:r w:rsidRPr="00D84297">
        <w:rPr>
          <w:rFonts w:ascii="Palatino Linotype" w:hAnsi="Palatino Linotype" w:cs="Arial"/>
          <w:sz w:val="20"/>
          <w:szCs w:val="20"/>
        </w:rPr>
        <w:t>Tolstrup</w:t>
      </w:r>
      <w:proofErr w:type="spellEnd"/>
      <w:r w:rsidRPr="00D84297">
        <w:rPr>
          <w:rFonts w:ascii="Palatino Linotype" w:hAnsi="Palatino Linotype" w:cs="Arial"/>
          <w:sz w:val="20"/>
          <w:szCs w:val="20"/>
        </w:rPr>
        <w:t xml:space="preserve"> JS. BMI and </w:t>
      </w:r>
      <w:proofErr w:type="spellStart"/>
      <w:r w:rsidRPr="00D84297">
        <w:rPr>
          <w:rFonts w:ascii="Palatino Linotype" w:hAnsi="Palatino Linotype" w:cs="Arial"/>
          <w:sz w:val="20"/>
          <w:szCs w:val="20"/>
        </w:rPr>
        <w:t>labor</w:t>
      </w:r>
      <w:proofErr w:type="spellEnd"/>
      <w:r w:rsidRPr="00D84297">
        <w:rPr>
          <w:rFonts w:ascii="Palatino Linotype" w:hAnsi="Palatino Linotype" w:cs="Arial"/>
          <w:sz w:val="20"/>
          <w:szCs w:val="20"/>
        </w:rPr>
        <w:t xml:space="preserve"> market participation: a cohort study of transitions between work, unemployment and sickness absence. Obesity 2019; 27: 1703-1710</w:t>
      </w:r>
    </w:p>
    <w:p w14:paraId="3584089E" w14:textId="7F48B66D" w:rsidR="00D84297" w:rsidRPr="00D84297" w:rsidRDefault="00D84297" w:rsidP="00D84297">
      <w:pPr>
        <w:pStyle w:val="ListParagraph"/>
        <w:numPr>
          <w:ilvl w:val="0"/>
          <w:numId w:val="6"/>
        </w:numPr>
        <w:spacing w:after="0" w:line="240" w:lineRule="auto"/>
        <w:ind w:left="644"/>
        <w:jc w:val="both"/>
        <w:rPr>
          <w:rFonts w:ascii="Palatino Linotype" w:hAnsi="Palatino Linotype" w:cs="Arial"/>
          <w:sz w:val="20"/>
          <w:szCs w:val="20"/>
        </w:rPr>
      </w:pPr>
      <w:proofErr w:type="spellStart"/>
      <w:r w:rsidRPr="00D84297">
        <w:rPr>
          <w:rFonts w:ascii="Palatino Linotype" w:hAnsi="Palatino Linotype" w:cs="Arial"/>
          <w:sz w:val="20"/>
          <w:szCs w:val="20"/>
        </w:rPr>
        <w:t>Goettler</w:t>
      </w:r>
      <w:proofErr w:type="spellEnd"/>
      <w:r w:rsidRPr="00D84297">
        <w:rPr>
          <w:rFonts w:ascii="Palatino Linotype" w:hAnsi="Palatino Linotype" w:cs="Arial"/>
          <w:sz w:val="20"/>
          <w:szCs w:val="20"/>
        </w:rPr>
        <w:t xml:space="preserve"> A, Grosse A, Sonntag D.  Productivity loss due to overweight and obesity: a systematic review of indirect costs. BMJ Open 2017;</w:t>
      </w:r>
      <w:r w:rsidR="00093DF9" w:rsidRPr="00D84297">
        <w:rPr>
          <w:rFonts w:ascii="Palatino Linotype" w:hAnsi="Palatino Linotype" w:cs="Arial"/>
          <w:sz w:val="20"/>
          <w:szCs w:val="20"/>
        </w:rPr>
        <w:t>7: e</w:t>
      </w:r>
      <w:r w:rsidRPr="00D84297">
        <w:rPr>
          <w:rFonts w:ascii="Palatino Linotype" w:hAnsi="Palatino Linotype" w:cs="Arial"/>
          <w:sz w:val="20"/>
          <w:szCs w:val="20"/>
        </w:rPr>
        <w:t>014632 1-9</w:t>
      </w:r>
    </w:p>
    <w:p w14:paraId="254B7469" w14:textId="238B6D35" w:rsidR="00D84297" w:rsidRPr="00D84297" w:rsidRDefault="00D84297" w:rsidP="00D84297">
      <w:pPr>
        <w:pStyle w:val="ListParagraph"/>
        <w:numPr>
          <w:ilvl w:val="0"/>
          <w:numId w:val="6"/>
        </w:numPr>
        <w:spacing w:after="0" w:line="240" w:lineRule="auto"/>
        <w:ind w:left="644"/>
        <w:jc w:val="both"/>
        <w:rPr>
          <w:rFonts w:ascii="Palatino Linotype" w:hAnsi="Palatino Linotype" w:cs="Arial"/>
          <w:sz w:val="20"/>
          <w:szCs w:val="20"/>
        </w:rPr>
      </w:pPr>
      <w:proofErr w:type="spellStart"/>
      <w:r w:rsidRPr="00D84297">
        <w:rPr>
          <w:rFonts w:ascii="Palatino Linotype" w:hAnsi="Palatino Linotype" w:cs="Arial"/>
          <w:sz w:val="20"/>
          <w:szCs w:val="20"/>
        </w:rPr>
        <w:t>Tremmel</w:t>
      </w:r>
      <w:proofErr w:type="spellEnd"/>
      <w:r w:rsidRPr="00D84297">
        <w:rPr>
          <w:rFonts w:ascii="Palatino Linotype" w:hAnsi="Palatino Linotype" w:cs="Arial"/>
          <w:sz w:val="20"/>
          <w:szCs w:val="20"/>
        </w:rPr>
        <w:t xml:space="preserve"> M, </w:t>
      </w:r>
      <w:proofErr w:type="spellStart"/>
      <w:r w:rsidRPr="00D84297">
        <w:rPr>
          <w:rFonts w:ascii="Palatino Linotype" w:hAnsi="Palatino Linotype" w:cs="Arial"/>
          <w:sz w:val="20"/>
          <w:szCs w:val="20"/>
        </w:rPr>
        <w:t>Gerdtham</w:t>
      </w:r>
      <w:proofErr w:type="spellEnd"/>
      <w:r w:rsidRPr="00D84297">
        <w:rPr>
          <w:rFonts w:ascii="Palatino Linotype" w:hAnsi="Palatino Linotype" w:cs="Arial"/>
          <w:sz w:val="20"/>
          <w:szCs w:val="20"/>
        </w:rPr>
        <w:t xml:space="preserve"> U-G, Nilsson PM, </w:t>
      </w:r>
      <w:proofErr w:type="spellStart"/>
      <w:r w:rsidRPr="00D84297">
        <w:rPr>
          <w:rFonts w:ascii="Palatino Linotype" w:hAnsi="Palatino Linotype" w:cs="Arial"/>
          <w:sz w:val="20"/>
          <w:szCs w:val="20"/>
        </w:rPr>
        <w:t>Saha</w:t>
      </w:r>
      <w:proofErr w:type="spellEnd"/>
      <w:r w:rsidRPr="00D84297">
        <w:rPr>
          <w:rFonts w:ascii="Palatino Linotype" w:hAnsi="Palatino Linotype" w:cs="Arial"/>
          <w:sz w:val="20"/>
          <w:szCs w:val="20"/>
        </w:rPr>
        <w:t xml:space="preserve"> S.  Economic burden of obesity: a systematic literature </w:t>
      </w:r>
      <w:r w:rsidR="00093DF9" w:rsidRPr="00D84297">
        <w:rPr>
          <w:rFonts w:ascii="Palatino Linotype" w:hAnsi="Palatino Linotype" w:cs="Arial"/>
          <w:sz w:val="20"/>
          <w:szCs w:val="20"/>
        </w:rPr>
        <w:t>review</w:t>
      </w:r>
      <w:r w:rsidRPr="00D84297">
        <w:rPr>
          <w:rFonts w:ascii="Palatino Linotype" w:hAnsi="Palatino Linotype" w:cs="Arial"/>
          <w:sz w:val="20"/>
          <w:szCs w:val="20"/>
        </w:rPr>
        <w:t xml:space="preserve">. </w:t>
      </w:r>
      <w:proofErr w:type="spellStart"/>
      <w:r w:rsidRPr="00D84297">
        <w:rPr>
          <w:rFonts w:ascii="Palatino Linotype" w:hAnsi="Palatino Linotype" w:cs="Arial"/>
          <w:sz w:val="20"/>
          <w:szCs w:val="20"/>
        </w:rPr>
        <w:t>Int</w:t>
      </w:r>
      <w:proofErr w:type="spellEnd"/>
      <w:r w:rsidRPr="00D84297">
        <w:rPr>
          <w:rFonts w:ascii="Palatino Linotype" w:hAnsi="Palatino Linotype" w:cs="Arial"/>
          <w:sz w:val="20"/>
          <w:szCs w:val="20"/>
        </w:rPr>
        <w:t xml:space="preserve"> J Environ Res Public Health 2017,14,435</w:t>
      </w:r>
    </w:p>
    <w:p w14:paraId="5ABD9FE8" w14:textId="77777777" w:rsidR="00D84297" w:rsidRPr="00D84297" w:rsidRDefault="00D84297" w:rsidP="00D84297">
      <w:pPr>
        <w:pStyle w:val="ListParagraph"/>
        <w:numPr>
          <w:ilvl w:val="0"/>
          <w:numId w:val="6"/>
        </w:numPr>
        <w:spacing w:after="0" w:line="240" w:lineRule="auto"/>
        <w:ind w:left="644"/>
        <w:jc w:val="both"/>
        <w:rPr>
          <w:rFonts w:ascii="Palatino Linotype" w:hAnsi="Palatino Linotype" w:cs="Arial"/>
          <w:sz w:val="20"/>
          <w:szCs w:val="20"/>
        </w:rPr>
      </w:pPr>
      <w:r w:rsidRPr="00D84297">
        <w:rPr>
          <w:rFonts w:ascii="Palatino Linotype" w:hAnsi="Palatino Linotype" w:cs="Arial"/>
          <w:sz w:val="20"/>
          <w:szCs w:val="20"/>
        </w:rPr>
        <w:t xml:space="preserve">Public Health England. 2017 Health Matters: obesity and the food environment. </w:t>
      </w:r>
      <w:hyperlink r:id="rId13" w:history="1">
        <w:r w:rsidRPr="00D84297">
          <w:rPr>
            <w:rStyle w:val="Hyperlink"/>
            <w:rFonts w:ascii="Palatino Linotype" w:hAnsi="Palatino Linotype" w:cs="Arial"/>
            <w:sz w:val="20"/>
            <w:szCs w:val="20"/>
          </w:rPr>
          <w:t>https://www.gov.uk/government/publications/health-matters-obesity-and-the-food-environment/health-matters-obesity-and-the-food-environment--2</w:t>
        </w:r>
      </w:hyperlink>
      <w:r w:rsidRPr="00D84297">
        <w:rPr>
          <w:rStyle w:val="Hyperlink"/>
          <w:rFonts w:ascii="Palatino Linotype" w:hAnsi="Palatino Linotype" w:cs="Arial"/>
          <w:sz w:val="20"/>
          <w:szCs w:val="20"/>
        </w:rPr>
        <w:t xml:space="preserve"> </w:t>
      </w:r>
      <w:r w:rsidRPr="00D84297">
        <w:rPr>
          <w:rFonts w:ascii="Palatino Linotype" w:hAnsi="Palatino Linotype" w:cs="Arial"/>
          <w:sz w:val="20"/>
          <w:szCs w:val="20"/>
        </w:rPr>
        <w:t>(Accessed October 10 2019)</w:t>
      </w:r>
    </w:p>
    <w:p w14:paraId="37AC773A" w14:textId="36E95C9A" w:rsidR="00D84297" w:rsidRPr="00D84297" w:rsidRDefault="00D84297" w:rsidP="00D84297">
      <w:pPr>
        <w:pStyle w:val="ListParagraph"/>
        <w:numPr>
          <w:ilvl w:val="0"/>
          <w:numId w:val="6"/>
        </w:numPr>
        <w:spacing w:after="0" w:line="240" w:lineRule="auto"/>
        <w:ind w:left="644"/>
        <w:jc w:val="both"/>
        <w:rPr>
          <w:rFonts w:ascii="Palatino Linotype" w:hAnsi="Palatino Linotype" w:cs="Arial"/>
          <w:sz w:val="20"/>
          <w:szCs w:val="20"/>
        </w:rPr>
      </w:pPr>
      <w:r w:rsidRPr="00D84297">
        <w:rPr>
          <w:rFonts w:ascii="Palatino Linotype" w:hAnsi="Palatino Linotype" w:cs="Arial"/>
          <w:sz w:val="20"/>
          <w:szCs w:val="20"/>
        </w:rPr>
        <w:t xml:space="preserve">Dee A, Kearns K, O’Neill C, </w:t>
      </w:r>
      <w:r w:rsidRPr="00D84297">
        <w:rPr>
          <w:rFonts w:ascii="Palatino Linotype" w:hAnsi="Palatino Linotype" w:cs="Arial"/>
          <w:i/>
          <w:sz w:val="20"/>
          <w:szCs w:val="20"/>
        </w:rPr>
        <w:t>et al.</w:t>
      </w:r>
      <w:r w:rsidRPr="00D84297">
        <w:rPr>
          <w:rFonts w:ascii="Palatino Linotype" w:hAnsi="Palatino Linotype" w:cs="Arial"/>
          <w:sz w:val="20"/>
          <w:szCs w:val="20"/>
        </w:rPr>
        <w:t xml:space="preserve"> The direct and indirect costs of both overweight and obesity: a systematic review. BMC Research Notes </w:t>
      </w:r>
      <w:r w:rsidR="00093DF9" w:rsidRPr="00D84297">
        <w:rPr>
          <w:rFonts w:ascii="Palatino Linotype" w:hAnsi="Palatino Linotype" w:cs="Arial"/>
          <w:sz w:val="20"/>
          <w:szCs w:val="20"/>
        </w:rPr>
        <w:t>2014; 7:242</w:t>
      </w:r>
    </w:p>
    <w:p w14:paraId="6E66ADC8" w14:textId="77777777" w:rsidR="00D84297" w:rsidRPr="00D84297" w:rsidRDefault="00D84297" w:rsidP="00D84297">
      <w:pPr>
        <w:pStyle w:val="ListParagraph"/>
        <w:numPr>
          <w:ilvl w:val="0"/>
          <w:numId w:val="6"/>
        </w:numPr>
        <w:spacing w:after="0" w:line="240" w:lineRule="auto"/>
        <w:jc w:val="both"/>
        <w:rPr>
          <w:rFonts w:ascii="Palatino Linotype" w:hAnsi="Palatino Linotype" w:cs="Arial"/>
          <w:sz w:val="20"/>
          <w:szCs w:val="20"/>
        </w:rPr>
      </w:pPr>
      <w:r w:rsidRPr="00D84297">
        <w:rPr>
          <w:rFonts w:ascii="Palatino Linotype" w:hAnsi="Palatino Linotype" w:cs="Arial"/>
          <w:sz w:val="20"/>
          <w:szCs w:val="20"/>
        </w:rPr>
        <w:t xml:space="preserve">Black C. An Independent Review into the impact on employment outcomes of drug or alcohol addiction, and obesity. Cm 9336. London, The Stationery Office, 2016. </w:t>
      </w:r>
      <w:hyperlink r:id="rId14" w:history="1">
        <w:r w:rsidRPr="00D84297">
          <w:rPr>
            <w:rStyle w:val="Hyperlink"/>
            <w:rFonts w:ascii="Palatino Linotype" w:hAnsi="Palatino Linotype" w:cs="Arial"/>
            <w:sz w:val="20"/>
            <w:szCs w:val="20"/>
          </w:rPr>
          <w:t>https://www.gov.uk/government/publications/drug-and-alcohol-addiction-and-obesity-effects-on-employment-outcomes</w:t>
        </w:r>
      </w:hyperlink>
      <w:r w:rsidRPr="00D84297">
        <w:rPr>
          <w:rFonts w:ascii="Palatino Linotype" w:hAnsi="Palatino Linotype" w:cs="Arial"/>
          <w:sz w:val="20"/>
          <w:szCs w:val="20"/>
        </w:rPr>
        <w:t xml:space="preserve"> (Accessed October 10 2019)</w:t>
      </w:r>
    </w:p>
    <w:p w14:paraId="7425B6F5" w14:textId="31924B53" w:rsidR="00D84297" w:rsidRPr="00D84297" w:rsidRDefault="00D84297" w:rsidP="00D84297">
      <w:pPr>
        <w:pStyle w:val="ListParagraph"/>
        <w:numPr>
          <w:ilvl w:val="0"/>
          <w:numId w:val="6"/>
        </w:numPr>
        <w:spacing w:after="0" w:line="240" w:lineRule="auto"/>
        <w:ind w:left="644"/>
        <w:jc w:val="both"/>
        <w:rPr>
          <w:rFonts w:ascii="Palatino Linotype" w:hAnsi="Palatino Linotype" w:cs="Arial"/>
          <w:sz w:val="20"/>
          <w:szCs w:val="20"/>
        </w:rPr>
      </w:pPr>
      <w:r w:rsidRPr="00D84297">
        <w:rPr>
          <w:rFonts w:ascii="Palatino Linotype" w:hAnsi="Palatino Linotype" w:cs="Arial"/>
          <w:sz w:val="20"/>
          <w:szCs w:val="20"/>
        </w:rPr>
        <w:t xml:space="preserve">Palmer KT, Walker-Bone K, Harris EC </w:t>
      </w:r>
      <w:r w:rsidRPr="00D84297">
        <w:rPr>
          <w:rFonts w:ascii="Palatino Linotype" w:hAnsi="Palatino Linotype" w:cs="Arial"/>
          <w:i/>
          <w:sz w:val="20"/>
          <w:szCs w:val="20"/>
        </w:rPr>
        <w:t>et al</w:t>
      </w:r>
      <w:r w:rsidRPr="00D84297">
        <w:rPr>
          <w:rFonts w:ascii="Palatino Linotype" w:hAnsi="Palatino Linotype" w:cs="Arial"/>
          <w:sz w:val="20"/>
          <w:szCs w:val="20"/>
        </w:rPr>
        <w:t xml:space="preserve">.  Health and Employment after Fifty (HEAF): a new prospective cohort study.  BMC Public Health </w:t>
      </w:r>
      <w:r w:rsidR="00093DF9" w:rsidRPr="00D84297">
        <w:rPr>
          <w:rFonts w:ascii="Palatino Linotype" w:hAnsi="Palatino Linotype" w:cs="Arial"/>
          <w:sz w:val="20"/>
          <w:szCs w:val="20"/>
        </w:rPr>
        <w:t>2015; 15:1071</w:t>
      </w:r>
      <w:r w:rsidRPr="00D84297">
        <w:rPr>
          <w:rFonts w:ascii="Palatino Linotype" w:hAnsi="Palatino Linotype" w:cs="Arial"/>
          <w:sz w:val="20"/>
          <w:szCs w:val="20"/>
        </w:rPr>
        <w:t xml:space="preserve">  </w:t>
      </w:r>
    </w:p>
    <w:p w14:paraId="65E8C505" w14:textId="101D3E51" w:rsidR="00D84297" w:rsidRPr="008356A7" w:rsidRDefault="00D84297" w:rsidP="00D84297">
      <w:pPr>
        <w:pStyle w:val="ListParagraph"/>
        <w:numPr>
          <w:ilvl w:val="0"/>
          <w:numId w:val="6"/>
        </w:numPr>
        <w:spacing w:after="0" w:line="240" w:lineRule="auto"/>
        <w:ind w:left="644"/>
        <w:jc w:val="both"/>
        <w:rPr>
          <w:rFonts w:ascii="Palatino Linotype" w:hAnsi="Palatino Linotype" w:cs="Arial"/>
          <w:sz w:val="20"/>
          <w:szCs w:val="20"/>
        </w:rPr>
      </w:pPr>
      <w:r w:rsidRPr="00D84297">
        <w:rPr>
          <w:rFonts w:ascii="Palatino Linotype" w:hAnsi="Palatino Linotype" w:cs="Arial"/>
          <w:color w:val="333333"/>
          <w:sz w:val="20"/>
          <w:szCs w:val="20"/>
          <w:shd w:val="clear" w:color="auto" w:fill="FFFFFF"/>
        </w:rPr>
        <w:t xml:space="preserve">World Health Organization Regional Office for Europe. Body Mass Index. </w:t>
      </w:r>
      <w:hyperlink r:id="rId15" w:history="1">
        <w:r w:rsidRPr="00D84297">
          <w:rPr>
            <w:rStyle w:val="Hyperlink"/>
            <w:rFonts w:ascii="Palatino Linotype" w:hAnsi="Palatino Linotype" w:cs="Arial"/>
            <w:sz w:val="20"/>
            <w:szCs w:val="20"/>
            <w:shd w:val="clear" w:color="auto" w:fill="FFFFFF"/>
          </w:rPr>
          <w:t>http://www.euro.who.int/en/health-topics/disease-prevention/nutrition/a-healthy-lifestyle/body-mass-index-bmi</w:t>
        </w:r>
      </w:hyperlink>
      <w:r w:rsidRPr="00D84297">
        <w:rPr>
          <w:rFonts w:ascii="Palatino Linotype" w:hAnsi="Palatino Linotype" w:cs="Arial"/>
          <w:color w:val="333333"/>
          <w:sz w:val="20"/>
          <w:szCs w:val="20"/>
          <w:shd w:val="clear" w:color="auto" w:fill="FFFFFF"/>
        </w:rPr>
        <w:t xml:space="preserve"> (Accessed October 10 2019)</w:t>
      </w:r>
    </w:p>
    <w:p w14:paraId="2F9D480F" w14:textId="77777777" w:rsidR="008356A7" w:rsidRPr="008356A7" w:rsidRDefault="008356A7" w:rsidP="008356A7">
      <w:pPr>
        <w:pStyle w:val="ListParagraph"/>
        <w:numPr>
          <w:ilvl w:val="0"/>
          <w:numId w:val="6"/>
        </w:numPr>
        <w:rPr>
          <w:rFonts w:ascii="Palatino Linotype" w:hAnsi="Palatino Linotype" w:cs="Arial"/>
          <w:sz w:val="20"/>
          <w:szCs w:val="20"/>
        </w:rPr>
      </w:pPr>
      <w:r w:rsidRPr="008356A7">
        <w:rPr>
          <w:rFonts w:ascii="Palatino Linotype" w:hAnsi="Palatino Linotype" w:cs="Arial"/>
          <w:sz w:val="20"/>
          <w:szCs w:val="20"/>
        </w:rPr>
        <w:t xml:space="preserve">Andersen LL, </w:t>
      </w:r>
      <w:proofErr w:type="spellStart"/>
      <w:r w:rsidRPr="008356A7">
        <w:rPr>
          <w:rFonts w:ascii="Palatino Linotype" w:hAnsi="Palatino Linotype" w:cs="Arial"/>
          <w:sz w:val="20"/>
          <w:szCs w:val="20"/>
        </w:rPr>
        <w:t>Izquierdo</w:t>
      </w:r>
      <w:proofErr w:type="spellEnd"/>
      <w:r w:rsidRPr="008356A7">
        <w:rPr>
          <w:rFonts w:ascii="Palatino Linotype" w:hAnsi="Palatino Linotype" w:cs="Arial"/>
          <w:sz w:val="20"/>
          <w:szCs w:val="20"/>
        </w:rPr>
        <w:t xml:space="preserve"> M, </w:t>
      </w:r>
      <w:proofErr w:type="spellStart"/>
      <w:r w:rsidRPr="008356A7">
        <w:rPr>
          <w:rFonts w:ascii="Palatino Linotype" w:hAnsi="Palatino Linotype" w:cs="Arial"/>
          <w:sz w:val="20"/>
          <w:szCs w:val="20"/>
        </w:rPr>
        <w:t>Sundstrup</w:t>
      </w:r>
      <w:proofErr w:type="spellEnd"/>
      <w:r w:rsidRPr="008356A7">
        <w:rPr>
          <w:rFonts w:ascii="Palatino Linotype" w:hAnsi="Palatino Linotype" w:cs="Arial"/>
          <w:sz w:val="20"/>
          <w:szCs w:val="20"/>
        </w:rPr>
        <w:t xml:space="preserve"> E. Overweight and obesity are progressively associated with lower work ability in the general working population: cross-sectional study among 10,000 adults. </w:t>
      </w:r>
      <w:proofErr w:type="spellStart"/>
      <w:r w:rsidRPr="008356A7">
        <w:rPr>
          <w:rFonts w:ascii="Palatino Linotype" w:hAnsi="Palatino Linotype" w:cs="Arial"/>
          <w:sz w:val="20"/>
          <w:szCs w:val="20"/>
        </w:rPr>
        <w:t>Int</w:t>
      </w:r>
      <w:proofErr w:type="spellEnd"/>
      <w:r w:rsidRPr="008356A7">
        <w:rPr>
          <w:rFonts w:ascii="Palatino Linotype" w:hAnsi="Palatino Linotype" w:cs="Arial"/>
          <w:sz w:val="20"/>
          <w:szCs w:val="20"/>
        </w:rPr>
        <w:t xml:space="preserve"> Arch </w:t>
      </w:r>
      <w:proofErr w:type="spellStart"/>
      <w:r w:rsidRPr="008356A7">
        <w:rPr>
          <w:rFonts w:ascii="Palatino Linotype" w:hAnsi="Palatino Linotype" w:cs="Arial"/>
          <w:sz w:val="20"/>
          <w:szCs w:val="20"/>
        </w:rPr>
        <w:t>Occup</w:t>
      </w:r>
      <w:proofErr w:type="spellEnd"/>
      <w:r w:rsidRPr="008356A7">
        <w:rPr>
          <w:rFonts w:ascii="Palatino Linotype" w:hAnsi="Palatino Linotype" w:cs="Arial"/>
          <w:sz w:val="20"/>
          <w:szCs w:val="20"/>
        </w:rPr>
        <w:t xml:space="preserve"> Environ Health (2017) 90:779-787</w:t>
      </w:r>
    </w:p>
    <w:p w14:paraId="2DDB3FF0" w14:textId="54607EA6" w:rsidR="00D84297" w:rsidRPr="00D84297" w:rsidRDefault="00D84297" w:rsidP="00D84297">
      <w:pPr>
        <w:pStyle w:val="ListParagraph"/>
        <w:numPr>
          <w:ilvl w:val="0"/>
          <w:numId w:val="6"/>
        </w:numPr>
        <w:spacing w:after="0" w:line="240" w:lineRule="auto"/>
        <w:ind w:left="644"/>
        <w:jc w:val="both"/>
        <w:rPr>
          <w:rFonts w:ascii="Palatino Linotype" w:hAnsi="Palatino Linotype" w:cs="Arial"/>
          <w:sz w:val="20"/>
          <w:szCs w:val="20"/>
        </w:rPr>
      </w:pPr>
      <w:r w:rsidRPr="00D84297">
        <w:rPr>
          <w:rFonts w:ascii="Palatino Linotype" w:hAnsi="Palatino Linotype" w:cs="Arial"/>
          <w:sz w:val="20"/>
          <w:szCs w:val="20"/>
        </w:rPr>
        <w:t xml:space="preserve">Arena VC, </w:t>
      </w:r>
      <w:proofErr w:type="spellStart"/>
      <w:r w:rsidRPr="00D84297">
        <w:rPr>
          <w:rFonts w:ascii="Palatino Linotype" w:hAnsi="Palatino Linotype" w:cs="Arial"/>
          <w:sz w:val="20"/>
          <w:szCs w:val="20"/>
        </w:rPr>
        <w:t>Padiyar</w:t>
      </w:r>
      <w:proofErr w:type="spellEnd"/>
      <w:r w:rsidRPr="00D84297">
        <w:rPr>
          <w:rFonts w:ascii="Palatino Linotype" w:hAnsi="Palatino Linotype" w:cs="Arial"/>
          <w:sz w:val="20"/>
          <w:szCs w:val="20"/>
        </w:rPr>
        <w:t xml:space="preserve"> KR, Burton WN, </w:t>
      </w:r>
      <w:proofErr w:type="spellStart"/>
      <w:r w:rsidRPr="00D84297">
        <w:rPr>
          <w:rFonts w:ascii="Palatino Linotype" w:hAnsi="Palatino Linotype" w:cs="Arial"/>
          <w:sz w:val="20"/>
          <w:szCs w:val="20"/>
        </w:rPr>
        <w:t>Schwerha</w:t>
      </w:r>
      <w:proofErr w:type="spellEnd"/>
      <w:r w:rsidRPr="00D84297">
        <w:rPr>
          <w:rFonts w:ascii="Palatino Linotype" w:hAnsi="Palatino Linotype" w:cs="Arial"/>
          <w:sz w:val="20"/>
          <w:szCs w:val="20"/>
        </w:rPr>
        <w:t xml:space="preserve"> JJ.  The impact of body mass index on short-term disability in the workplace. J </w:t>
      </w:r>
      <w:proofErr w:type="spellStart"/>
      <w:r w:rsidRPr="00D84297">
        <w:rPr>
          <w:rFonts w:ascii="Palatino Linotype" w:hAnsi="Palatino Linotype" w:cs="Arial"/>
          <w:sz w:val="20"/>
          <w:szCs w:val="20"/>
        </w:rPr>
        <w:t>Occup</w:t>
      </w:r>
      <w:proofErr w:type="spellEnd"/>
      <w:r w:rsidRPr="00D84297">
        <w:rPr>
          <w:rFonts w:ascii="Palatino Linotype" w:hAnsi="Palatino Linotype" w:cs="Arial"/>
          <w:sz w:val="20"/>
          <w:szCs w:val="20"/>
        </w:rPr>
        <w:t xml:space="preserve"> Environ Med </w:t>
      </w:r>
      <w:r w:rsidR="00093DF9" w:rsidRPr="00D84297">
        <w:rPr>
          <w:rFonts w:ascii="Palatino Linotype" w:hAnsi="Palatino Linotype" w:cs="Arial"/>
          <w:sz w:val="20"/>
          <w:szCs w:val="20"/>
        </w:rPr>
        <w:t>2006; 48:1118</w:t>
      </w:r>
      <w:r w:rsidRPr="00D84297">
        <w:rPr>
          <w:rFonts w:ascii="Palatino Linotype" w:hAnsi="Palatino Linotype" w:cs="Arial"/>
          <w:sz w:val="20"/>
          <w:szCs w:val="20"/>
        </w:rPr>
        <w:t>-24</w:t>
      </w:r>
    </w:p>
    <w:p w14:paraId="4F309BF9" w14:textId="14E79BCC" w:rsidR="00D84297" w:rsidRPr="00D84297" w:rsidRDefault="00D84297" w:rsidP="00D84297">
      <w:pPr>
        <w:pStyle w:val="ListParagraph"/>
        <w:numPr>
          <w:ilvl w:val="0"/>
          <w:numId w:val="6"/>
        </w:numPr>
        <w:spacing w:after="0" w:line="240" w:lineRule="auto"/>
        <w:ind w:left="644"/>
        <w:jc w:val="both"/>
        <w:rPr>
          <w:rFonts w:ascii="Palatino Linotype" w:hAnsi="Palatino Linotype" w:cs="Arial"/>
          <w:sz w:val="20"/>
          <w:szCs w:val="20"/>
        </w:rPr>
      </w:pPr>
      <w:proofErr w:type="spellStart"/>
      <w:r w:rsidRPr="00D84297">
        <w:rPr>
          <w:rFonts w:ascii="Palatino Linotype" w:hAnsi="Palatino Linotype" w:cs="Arial"/>
          <w:sz w:val="20"/>
          <w:szCs w:val="20"/>
        </w:rPr>
        <w:t>Alavinia</w:t>
      </w:r>
      <w:proofErr w:type="spellEnd"/>
      <w:r w:rsidRPr="00D84297">
        <w:rPr>
          <w:rFonts w:ascii="Palatino Linotype" w:hAnsi="Palatino Linotype" w:cs="Arial"/>
          <w:sz w:val="20"/>
          <w:szCs w:val="20"/>
        </w:rPr>
        <w:t xml:space="preserve"> SM, van den Berg TIJ, van </w:t>
      </w:r>
      <w:proofErr w:type="spellStart"/>
      <w:r w:rsidRPr="00D84297">
        <w:rPr>
          <w:rFonts w:ascii="Palatino Linotype" w:hAnsi="Palatino Linotype" w:cs="Arial"/>
          <w:sz w:val="20"/>
          <w:szCs w:val="20"/>
        </w:rPr>
        <w:t>Duivenbooden</w:t>
      </w:r>
      <w:proofErr w:type="spellEnd"/>
      <w:r w:rsidRPr="00D84297">
        <w:rPr>
          <w:rFonts w:ascii="Palatino Linotype" w:hAnsi="Palatino Linotype" w:cs="Arial"/>
          <w:sz w:val="20"/>
          <w:szCs w:val="20"/>
        </w:rPr>
        <w:t xml:space="preserve"> C, Elders LAM, </w:t>
      </w:r>
      <w:proofErr w:type="spellStart"/>
      <w:r w:rsidRPr="00D84297">
        <w:rPr>
          <w:rFonts w:ascii="Palatino Linotype" w:hAnsi="Palatino Linotype" w:cs="Arial"/>
          <w:sz w:val="20"/>
          <w:szCs w:val="20"/>
        </w:rPr>
        <w:t>Burdorf</w:t>
      </w:r>
      <w:proofErr w:type="spellEnd"/>
      <w:r w:rsidRPr="00D84297">
        <w:rPr>
          <w:rFonts w:ascii="Palatino Linotype" w:hAnsi="Palatino Linotype" w:cs="Arial"/>
          <w:sz w:val="20"/>
          <w:szCs w:val="20"/>
        </w:rPr>
        <w:t xml:space="preserve"> A.  Impact of work-related factors, lifestyle, and work ability on sickness absence among Dutch construction workers.  </w:t>
      </w:r>
      <w:proofErr w:type="spellStart"/>
      <w:r w:rsidRPr="00D84297">
        <w:rPr>
          <w:rFonts w:ascii="Palatino Linotype" w:hAnsi="Palatino Linotype" w:cs="Arial"/>
          <w:sz w:val="20"/>
          <w:szCs w:val="20"/>
        </w:rPr>
        <w:t>Scand</w:t>
      </w:r>
      <w:proofErr w:type="spellEnd"/>
      <w:r w:rsidRPr="00D84297">
        <w:rPr>
          <w:rFonts w:ascii="Palatino Linotype" w:hAnsi="Palatino Linotype" w:cs="Arial"/>
          <w:sz w:val="20"/>
          <w:szCs w:val="20"/>
        </w:rPr>
        <w:t xml:space="preserve"> J Work Environ </w:t>
      </w:r>
      <w:r w:rsidR="00093DF9" w:rsidRPr="00D84297">
        <w:rPr>
          <w:rFonts w:ascii="Palatino Linotype" w:hAnsi="Palatino Linotype" w:cs="Arial"/>
          <w:sz w:val="20"/>
          <w:szCs w:val="20"/>
        </w:rPr>
        <w:t>Health 2009</w:t>
      </w:r>
      <w:r w:rsidRPr="00D84297">
        <w:rPr>
          <w:rFonts w:ascii="Palatino Linotype" w:hAnsi="Palatino Linotype" w:cs="Arial"/>
          <w:sz w:val="20"/>
          <w:szCs w:val="20"/>
        </w:rPr>
        <w:t>;35:325-33</w:t>
      </w:r>
    </w:p>
    <w:p w14:paraId="16DC8BBB" w14:textId="14508D65" w:rsidR="00D84297" w:rsidRPr="00D84297" w:rsidRDefault="00D84297" w:rsidP="00D84297">
      <w:pPr>
        <w:pStyle w:val="ListParagraph"/>
        <w:numPr>
          <w:ilvl w:val="0"/>
          <w:numId w:val="6"/>
        </w:numPr>
        <w:spacing w:after="0" w:line="240" w:lineRule="auto"/>
        <w:ind w:left="644"/>
        <w:jc w:val="both"/>
        <w:rPr>
          <w:rFonts w:ascii="Palatino Linotype" w:hAnsi="Palatino Linotype" w:cs="Arial"/>
          <w:sz w:val="20"/>
          <w:szCs w:val="20"/>
        </w:rPr>
      </w:pPr>
      <w:proofErr w:type="spellStart"/>
      <w:r w:rsidRPr="00D84297">
        <w:rPr>
          <w:rFonts w:ascii="Palatino Linotype" w:hAnsi="Palatino Linotype" w:cs="Arial"/>
          <w:sz w:val="20"/>
          <w:szCs w:val="20"/>
        </w:rPr>
        <w:t>Neovius</w:t>
      </w:r>
      <w:proofErr w:type="spellEnd"/>
      <w:r w:rsidRPr="00D84297">
        <w:rPr>
          <w:rFonts w:ascii="Palatino Linotype" w:hAnsi="Palatino Linotype" w:cs="Arial"/>
          <w:sz w:val="20"/>
          <w:szCs w:val="20"/>
        </w:rPr>
        <w:t xml:space="preserve"> K, Johansson K, </w:t>
      </w:r>
      <w:proofErr w:type="spellStart"/>
      <w:r w:rsidRPr="00D84297">
        <w:rPr>
          <w:rFonts w:ascii="Palatino Linotype" w:hAnsi="Palatino Linotype" w:cs="Arial"/>
          <w:sz w:val="20"/>
          <w:szCs w:val="20"/>
        </w:rPr>
        <w:t>Kark</w:t>
      </w:r>
      <w:proofErr w:type="spellEnd"/>
      <w:r w:rsidRPr="00D84297">
        <w:rPr>
          <w:rFonts w:ascii="Palatino Linotype" w:hAnsi="Palatino Linotype" w:cs="Arial"/>
          <w:sz w:val="20"/>
          <w:szCs w:val="20"/>
        </w:rPr>
        <w:t xml:space="preserve"> M, </w:t>
      </w:r>
      <w:proofErr w:type="spellStart"/>
      <w:r w:rsidRPr="00D84297">
        <w:rPr>
          <w:rFonts w:ascii="Palatino Linotype" w:hAnsi="Palatino Linotype" w:cs="Arial"/>
          <w:sz w:val="20"/>
          <w:szCs w:val="20"/>
        </w:rPr>
        <w:t>Neovius</w:t>
      </w:r>
      <w:proofErr w:type="spellEnd"/>
      <w:r w:rsidRPr="00D84297">
        <w:rPr>
          <w:rFonts w:ascii="Palatino Linotype" w:hAnsi="Palatino Linotype" w:cs="Arial"/>
          <w:sz w:val="20"/>
          <w:szCs w:val="20"/>
        </w:rPr>
        <w:t xml:space="preserve"> M.  Obesity status and sick leave: a systematic review.  Obesity Reviews </w:t>
      </w:r>
      <w:r w:rsidR="00093DF9" w:rsidRPr="00D84297">
        <w:rPr>
          <w:rFonts w:ascii="Palatino Linotype" w:hAnsi="Palatino Linotype" w:cs="Arial"/>
          <w:sz w:val="20"/>
          <w:szCs w:val="20"/>
        </w:rPr>
        <w:t>2009; 10:17</w:t>
      </w:r>
      <w:r w:rsidRPr="00D84297">
        <w:rPr>
          <w:rFonts w:ascii="Palatino Linotype" w:hAnsi="Palatino Linotype" w:cs="Arial"/>
          <w:sz w:val="20"/>
          <w:szCs w:val="20"/>
        </w:rPr>
        <w:t>-27</w:t>
      </w:r>
    </w:p>
    <w:p w14:paraId="25E94A78" w14:textId="714D1C94" w:rsidR="00D84297" w:rsidRPr="00D84297" w:rsidRDefault="00D84297" w:rsidP="00D84297">
      <w:pPr>
        <w:pStyle w:val="ListParagraph"/>
        <w:numPr>
          <w:ilvl w:val="0"/>
          <w:numId w:val="6"/>
        </w:numPr>
        <w:spacing w:after="0" w:line="240" w:lineRule="auto"/>
        <w:ind w:left="644"/>
        <w:jc w:val="both"/>
        <w:rPr>
          <w:rFonts w:ascii="Palatino Linotype" w:hAnsi="Palatino Linotype" w:cs="Arial"/>
          <w:sz w:val="20"/>
          <w:szCs w:val="20"/>
        </w:rPr>
      </w:pPr>
      <w:proofErr w:type="spellStart"/>
      <w:r w:rsidRPr="00D84297">
        <w:rPr>
          <w:rFonts w:ascii="Palatino Linotype" w:hAnsi="Palatino Linotype" w:cs="Arial"/>
          <w:sz w:val="20"/>
          <w:szCs w:val="20"/>
        </w:rPr>
        <w:t>Amiri</w:t>
      </w:r>
      <w:proofErr w:type="spellEnd"/>
      <w:r w:rsidRPr="00D84297">
        <w:rPr>
          <w:rFonts w:ascii="Palatino Linotype" w:hAnsi="Palatino Linotype" w:cs="Arial"/>
          <w:sz w:val="20"/>
          <w:szCs w:val="20"/>
        </w:rPr>
        <w:t xml:space="preserve"> S, </w:t>
      </w:r>
      <w:proofErr w:type="spellStart"/>
      <w:r w:rsidRPr="00D84297">
        <w:rPr>
          <w:rFonts w:ascii="Palatino Linotype" w:hAnsi="Palatino Linotype" w:cs="Arial"/>
          <w:sz w:val="20"/>
          <w:szCs w:val="20"/>
        </w:rPr>
        <w:t>Behnezhad</w:t>
      </w:r>
      <w:proofErr w:type="spellEnd"/>
      <w:r w:rsidRPr="00D84297">
        <w:rPr>
          <w:rFonts w:ascii="Palatino Linotype" w:hAnsi="Palatino Linotype" w:cs="Arial"/>
          <w:sz w:val="20"/>
          <w:szCs w:val="20"/>
        </w:rPr>
        <w:t xml:space="preserve"> S. Body mass index and risk of sick leave: a systematic review and meta-analysis. Clinical Obesity </w:t>
      </w:r>
      <w:r w:rsidR="00093DF9" w:rsidRPr="00D84297">
        <w:rPr>
          <w:rFonts w:ascii="Palatino Linotype" w:hAnsi="Palatino Linotype" w:cs="Arial"/>
          <w:sz w:val="20"/>
          <w:szCs w:val="20"/>
        </w:rPr>
        <w:t>2019; e</w:t>
      </w:r>
      <w:r w:rsidRPr="00D84297">
        <w:rPr>
          <w:rFonts w:ascii="Palatino Linotype" w:hAnsi="Palatino Linotype" w:cs="Arial"/>
          <w:sz w:val="20"/>
          <w:szCs w:val="20"/>
        </w:rPr>
        <w:t>12334</w:t>
      </w:r>
    </w:p>
    <w:p w14:paraId="01DAA6A7" w14:textId="364E3F25" w:rsidR="00D84297" w:rsidRPr="00D84297" w:rsidRDefault="00D84297" w:rsidP="00D84297">
      <w:pPr>
        <w:pStyle w:val="ListParagraph"/>
        <w:numPr>
          <w:ilvl w:val="0"/>
          <w:numId w:val="6"/>
        </w:numPr>
        <w:spacing w:after="0" w:line="240" w:lineRule="auto"/>
        <w:ind w:left="644"/>
        <w:jc w:val="both"/>
        <w:rPr>
          <w:rFonts w:ascii="Palatino Linotype" w:hAnsi="Palatino Linotype" w:cs="Arial"/>
          <w:sz w:val="20"/>
          <w:szCs w:val="20"/>
        </w:rPr>
      </w:pPr>
      <w:r w:rsidRPr="00D84297">
        <w:rPr>
          <w:rFonts w:ascii="Palatino Linotype" w:hAnsi="Palatino Linotype" w:cs="Arial"/>
          <w:sz w:val="20"/>
          <w:szCs w:val="20"/>
        </w:rPr>
        <w:t xml:space="preserve">van </w:t>
      </w:r>
      <w:proofErr w:type="spellStart"/>
      <w:r w:rsidRPr="00D84297">
        <w:rPr>
          <w:rFonts w:ascii="Palatino Linotype" w:hAnsi="Palatino Linotype" w:cs="Arial"/>
          <w:sz w:val="20"/>
          <w:szCs w:val="20"/>
        </w:rPr>
        <w:t>Duijvenbode</w:t>
      </w:r>
      <w:proofErr w:type="spellEnd"/>
      <w:r w:rsidRPr="00D84297">
        <w:rPr>
          <w:rFonts w:ascii="Palatino Linotype" w:hAnsi="Palatino Linotype" w:cs="Arial"/>
          <w:sz w:val="20"/>
          <w:szCs w:val="20"/>
        </w:rPr>
        <w:t xml:space="preserve"> DC, </w:t>
      </w:r>
      <w:proofErr w:type="spellStart"/>
      <w:r w:rsidRPr="00D84297">
        <w:rPr>
          <w:rFonts w:ascii="Palatino Linotype" w:hAnsi="Palatino Linotype" w:cs="Arial"/>
          <w:sz w:val="20"/>
          <w:szCs w:val="20"/>
        </w:rPr>
        <w:t>Hoozemans</w:t>
      </w:r>
      <w:proofErr w:type="spellEnd"/>
      <w:r w:rsidRPr="00D84297">
        <w:rPr>
          <w:rFonts w:ascii="Palatino Linotype" w:hAnsi="Palatino Linotype" w:cs="Arial"/>
          <w:sz w:val="20"/>
          <w:szCs w:val="20"/>
        </w:rPr>
        <w:t xml:space="preserve"> MJM, van </w:t>
      </w:r>
      <w:proofErr w:type="spellStart"/>
      <w:r w:rsidRPr="00D84297">
        <w:rPr>
          <w:rFonts w:ascii="Palatino Linotype" w:hAnsi="Palatino Linotype" w:cs="Arial"/>
          <w:sz w:val="20"/>
          <w:szCs w:val="20"/>
        </w:rPr>
        <w:t>Poppel</w:t>
      </w:r>
      <w:proofErr w:type="spellEnd"/>
      <w:r w:rsidRPr="00D84297">
        <w:rPr>
          <w:rFonts w:ascii="Palatino Linotype" w:hAnsi="Palatino Linotype" w:cs="Arial"/>
          <w:sz w:val="20"/>
          <w:szCs w:val="20"/>
        </w:rPr>
        <w:t xml:space="preserve"> MNM, Proper KI.  The relationship between overweight and obesity, and sick leave: a systematic review.  </w:t>
      </w:r>
      <w:proofErr w:type="spellStart"/>
      <w:r w:rsidRPr="00D84297">
        <w:rPr>
          <w:rFonts w:ascii="Palatino Linotype" w:hAnsi="Palatino Linotype" w:cs="Arial"/>
          <w:sz w:val="20"/>
          <w:szCs w:val="20"/>
        </w:rPr>
        <w:t>Int</w:t>
      </w:r>
      <w:proofErr w:type="spellEnd"/>
      <w:r w:rsidRPr="00D84297">
        <w:rPr>
          <w:rFonts w:ascii="Palatino Linotype" w:hAnsi="Palatino Linotype" w:cs="Arial"/>
          <w:sz w:val="20"/>
          <w:szCs w:val="20"/>
        </w:rPr>
        <w:t xml:space="preserve"> J Obesity </w:t>
      </w:r>
      <w:r w:rsidR="00093DF9" w:rsidRPr="00D84297">
        <w:rPr>
          <w:rFonts w:ascii="Palatino Linotype" w:hAnsi="Palatino Linotype" w:cs="Arial"/>
          <w:sz w:val="20"/>
          <w:szCs w:val="20"/>
        </w:rPr>
        <w:t>2009; 33:807</w:t>
      </w:r>
      <w:r w:rsidRPr="00D84297">
        <w:rPr>
          <w:rFonts w:ascii="Palatino Linotype" w:hAnsi="Palatino Linotype" w:cs="Arial"/>
          <w:sz w:val="20"/>
          <w:szCs w:val="20"/>
        </w:rPr>
        <w:t>-16</w:t>
      </w:r>
    </w:p>
    <w:p w14:paraId="3C380BF7" w14:textId="1358139C" w:rsidR="00D84297" w:rsidRPr="00D84297" w:rsidRDefault="00D84297" w:rsidP="00D84297">
      <w:pPr>
        <w:pStyle w:val="ListParagraph"/>
        <w:numPr>
          <w:ilvl w:val="0"/>
          <w:numId w:val="6"/>
        </w:numPr>
        <w:spacing w:after="0" w:line="240" w:lineRule="auto"/>
        <w:ind w:left="644"/>
        <w:jc w:val="both"/>
        <w:rPr>
          <w:rFonts w:ascii="Palatino Linotype" w:hAnsi="Palatino Linotype" w:cs="Arial"/>
          <w:sz w:val="20"/>
          <w:szCs w:val="20"/>
        </w:rPr>
      </w:pPr>
      <w:proofErr w:type="spellStart"/>
      <w:r w:rsidRPr="00D84297">
        <w:rPr>
          <w:rFonts w:ascii="Palatino Linotype" w:hAnsi="Palatino Linotype" w:cs="Arial"/>
          <w:sz w:val="20"/>
          <w:szCs w:val="20"/>
        </w:rPr>
        <w:t>Hultin</w:t>
      </w:r>
      <w:proofErr w:type="spellEnd"/>
      <w:r w:rsidRPr="00D84297">
        <w:rPr>
          <w:rFonts w:ascii="Palatino Linotype" w:hAnsi="Palatino Linotype" w:cs="Arial"/>
          <w:sz w:val="20"/>
          <w:szCs w:val="20"/>
        </w:rPr>
        <w:t xml:space="preserve"> H, </w:t>
      </w:r>
      <w:proofErr w:type="spellStart"/>
      <w:r w:rsidRPr="00D84297">
        <w:rPr>
          <w:rFonts w:ascii="Palatino Linotype" w:hAnsi="Palatino Linotype" w:cs="Arial"/>
          <w:sz w:val="20"/>
          <w:szCs w:val="20"/>
        </w:rPr>
        <w:t>Lindholm</w:t>
      </w:r>
      <w:proofErr w:type="spellEnd"/>
      <w:r w:rsidRPr="00D84297">
        <w:rPr>
          <w:rFonts w:ascii="Palatino Linotype" w:hAnsi="Palatino Linotype" w:cs="Arial"/>
          <w:sz w:val="20"/>
          <w:szCs w:val="20"/>
        </w:rPr>
        <w:t xml:space="preserve"> C, </w:t>
      </w:r>
      <w:proofErr w:type="spellStart"/>
      <w:r w:rsidRPr="00D84297">
        <w:rPr>
          <w:rFonts w:ascii="Palatino Linotype" w:hAnsi="Palatino Linotype" w:cs="Arial"/>
          <w:sz w:val="20"/>
          <w:szCs w:val="20"/>
        </w:rPr>
        <w:t>Möller</w:t>
      </w:r>
      <w:proofErr w:type="spellEnd"/>
      <w:r w:rsidRPr="00D84297">
        <w:rPr>
          <w:rFonts w:ascii="Palatino Linotype" w:hAnsi="Palatino Linotype" w:cs="Arial"/>
          <w:sz w:val="20"/>
          <w:szCs w:val="20"/>
        </w:rPr>
        <w:t xml:space="preserve"> J. Is there an association between long-term sick leave and disability pension and unemployment beyond the effect of health status? - A cohort study. PLoS ONE 7(4</w:t>
      </w:r>
      <w:r w:rsidR="00093DF9" w:rsidRPr="00D84297">
        <w:rPr>
          <w:rFonts w:ascii="Palatino Linotype" w:hAnsi="Palatino Linotype" w:cs="Arial"/>
          <w:sz w:val="20"/>
          <w:szCs w:val="20"/>
        </w:rPr>
        <w:t>): e</w:t>
      </w:r>
      <w:r w:rsidRPr="00D84297">
        <w:rPr>
          <w:rFonts w:ascii="Palatino Linotype" w:hAnsi="Palatino Linotype" w:cs="Arial"/>
          <w:sz w:val="20"/>
          <w:szCs w:val="20"/>
        </w:rPr>
        <w:t>35614</w:t>
      </w:r>
    </w:p>
    <w:p w14:paraId="4D2FDE85" w14:textId="34F4FEBF" w:rsidR="00D84297" w:rsidRPr="00D84297" w:rsidRDefault="00D84297" w:rsidP="00D84297">
      <w:pPr>
        <w:pStyle w:val="ListParagraph"/>
        <w:numPr>
          <w:ilvl w:val="0"/>
          <w:numId w:val="6"/>
        </w:numPr>
        <w:spacing w:after="0" w:line="240" w:lineRule="auto"/>
        <w:ind w:left="644"/>
        <w:jc w:val="both"/>
        <w:rPr>
          <w:rFonts w:ascii="Palatino Linotype" w:hAnsi="Palatino Linotype" w:cs="Arial"/>
          <w:sz w:val="20"/>
          <w:szCs w:val="20"/>
        </w:rPr>
      </w:pPr>
      <w:r w:rsidRPr="00D84297">
        <w:rPr>
          <w:rFonts w:ascii="Palatino Linotype" w:hAnsi="Palatino Linotype" w:cs="Arial"/>
          <w:sz w:val="20"/>
          <w:szCs w:val="20"/>
          <w:lang w:val="it-IT"/>
        </w:rPr>
        <w:t xml:space="preserve">Roos E, Laaksonen M, Rahkonen O, Lahelma E, Lallukka T.  </w:t>
      </w:r>
      <w:r w:rsidRPr="00D84297">
        <w:rPr>
          <w:rFonts w:ascii="Palatino Linotype" w:hAnsi="Palatino Linotype" w:cs="Arial"/>
          <w:sz w:val="20"/>
          <w:szCs w:val="20"/>
        </w:rPr>
        <w:t xml:space="preserve">Relative weight and disability retirement: a prospective cohort study.  </w:t>
      </w:r>
      <w:proofErr w:type="spellStart"/>
      <w:r w:rsidRPr="00D84297">
        <w:rPr>
          <w:rFonts w:ascii="Palatino Linotype" w:hAnsi="Palatino Linotype" w:cs="Arial"/>
          <w:sz w:val="20"/>
          <w:szCs w:val="20"/>
        </w:rPr>
        <w:t>Scand</w:t>
      </w:r>
      <w:proofErr w:type="spellEnd"/>
      <w:r w:rsidRPr="00D84297">
        <w:rPr>
          <w:rFonts w:ascii="Palatino Linotype" w:hAnsi="Palatino Linotype" w:cs="Arial"/>
          <w:sz w:val="20"/>
          <w:szCs w:val="20"/>
        </w:rPr>
        <w:t xml:space="preserve"> J Work Environ </w:t>
      </w:r>
      <w:r w:rsidR="00093DF9" w:rsidRPr="00D84297">
        <w:rPr>
          <w:rFonts w:ascii="Palatino Linotype" w:hAnsi="Palatino Linotype" w:cs="Arial"/>
          <w:sz w:val="20"/>
          <w:szCs w:val="20"/>
        </w:rPr>
        <w:t xml:space="preserve">Health </w:t>
      </w:r>
      <w:proofErr w:type="gramStart"/>
      <w:r w:rsidR="00093DF9" w:rsidRPr="00D84297">
        <w:rPr>
          <w:rFonts w:ascii="Palatino Linotype" w:hAnsi="Palatino Linotype" w:cs="Arial"/>
          <w:sz w:val="20"/>
          <w:szCs w:val="20"/>
        </w:rPr>
        <w:t>2013</w:t>
      </w:r>
      <w:r w:rsidRPr="00D84297">
        <w:rPr>
          <w:rFonts w:ascii="Palatino Linotype" w:hAnsi="Palatino Linotype" w:cs="Arial"/>
          <w:sz w:val="20"/>
          <w:szCs w:val="20"/>
        </w:rPr>
        <w:t>;39:259</w:t>
      </w:r>
      <w:proofErr w:type="gramEnd"/>
      <w:r w:rsidRPr="00D84297">
        <w:rPr>
          <w:rFonts w:ascii="Palatino Linotype" w:hAnsi="Palatino Linotype" w:cs="Arial"/>
          <w:sz w:val="20"/>
          <w:szCs w:val="20"/>
        </w:rPr>
        <w:t>-67.</w:t>
      </w:r>
    </w:p>
    <w:p w14:paraId="4078725A" w14:textId="35DDAC45" w:rsidR="00D84297" w:rsidRPr="00D84297" w:rsidRDefault="00D84297" w:rsidP="00D84297">
      <w:pPr>
        <w:pStyle w:val="ListParagraph"/>
        <w:numPr>
          <w:ilvl w:val="0"/>
          <w:numId w:val="6"/>
        </w:numPr>
        <w:spacing w:after="0" w:line="240" w:lineRule="auto"/>
        <w:ind w:left="644"/>
        <w:jc w:val="both"/>
        <w:rPr>
          <w:rFonts w:ascii="Palatino Linotype" w:hAnsi="Palatino Linotype" w:cs="Arial"/>
          <w:sz w:val="20"/>
          <w:szCs w:val="20"/>
        </w:rPr>
      </w:pPr>
      <w:proofErr w:type="spellStart"/>
      <w:r w:rsidRPr="00D84297">
        <w:rPr>
          <w:rFonts w:ascii="Palatino Linotype" w:hAnsi="Palatino Linotype" w:cs="Arial"/>
          <w:sz w:val="20"/>
          <w:szCs w:val="20"/>
        </w:rPr>
        <w:t>Neovius</w:t>
      </w:r>
      <w:proofErr w:type="spellEnd"/>
      <w:r w:rsidRPr="00D84297">
        <w:rPr>
          <w:rFonts w:ascii="Palatino Linotype" w:hAnsi="Palatino Linotype" w:cs="Arial"/>
          <w:sz w:val="20"/>
          <w:szCs w:val="20"/>
        </w:rPr>
        <w:t xml:space="preserve"> K, Johansson K, </w:t>
      </w:r>
      <w:proofErr w:type="spellStart"/>
      <w:r w:rsidRPr="00D84297">
        <w:rPr>
          <w:rFonts w:ascii="Palatino Linotype" w:hAnsi="Palatino Linotype" w:cs="Arial"/>
          <w:sz w:val="20"/>
          <w:szCs w:val="20"/>
        </w:rPr>
        <w:t>Rössner</w:t>
      </w:r>
      <w:proofErr w:type="spellEnd"/>
      <w:r w:rsidRPr="00D84297">
        <w:rPr>
          <w:rFonts w:ascii="Palatino Linotype" w:hAnsi="Palatino Linotype" w:cs="Arial"/>
          <w:sz w:val="20"/>
          <w:szCs w:val="20"/>
        </w:rPr>
        <w:t xml:space="preserve"> S, </w:t>
      </w:r>
      <w:proofErr w:type="spellStart"/>
      <w:r w:rsidRPr="00D84297">
        <w:rPr>
          <w:rFonts w:ascii="Palatino Linotype" w:hAnsi="Palatino Linotype" w:cs="Arial"/>
          <w:sz w:val="20"/>
          <w:szCs w:val="20"/>
        </w:rPr>
        <w:t>Neovius</w:t>
      </w:r>
      <w:proofErr w:type="spellEnd"/>
      <w:r w:rsidRPr="00D84297">
        <w:rPr>
          <w:rFonts w:ascii="Palatino Linotype" w:hAnsi="Palatino Linotype" w:cs="Arial"/>
          <w:sz w:val="20"/>
          <w:szCs w:val="20"/>
        </w:rPr>
        <w:t xml:space="preserve"> M.  Disability pension, employment and obesity status: a systematic review.  Obesity Reviews </w:t>
      </w:r>
      <w:r w:rsidR="00093DF9" w:rsidRPr="00D84297">
        <w:rPr>
          <w:rFonts w:ascii="Palatino Linotype" w:hAnsi="Palatino Linotype" w:cs="Arial"/>
          <w:sz w:val="20"/>
          <w:szCs w:val="20"/>
        </w:rPr>
        <w:t>2008; 9:572</w:t>
      </w:r>
      <w:r w:rsidRPr="00D84297">
        <w:rPr>
          <w:rFonts w:ascii="Palatino Linotype" w:hAnsi="Palatino Linotype" w:cs="Arial"/>
          <w:sz w:val="20"/>
          <w:szCs w:val="20"/>
        </w:rPr>
        <w:t>-81.</w:t>
      </w:r>
    </w:p>
    <w:p w14:paraId="67C7BEF5" w14:textId="1426A677" w:rsidR="00D84297" w:rsidRPr="00D84297" w:rsidRDefault="00D84297" w:rsidP="00D84297">
      <w:pPr>
        <w:pStyle w:val="ListParagraph"/>
        <w:numPr>
          <w:ilvl w:val="0"/>
          <w:numId w:val="6"/>
        </w:numPr>
        <w:spacing w:after="0" w:line="240" w:lineRule="auto"/>
        <w:ind w:left="644"/>
        <w:jc w:val="both"/>
        <w:rPr>
          <w:rFonts w:ascii="Palatino Linotype" w:hAnsi="Palatino Linotype" w:cs="Arial"/>
          <w:sz w:val="20"/>
          <w:szCs w:val="20"/>
        </w:rPr>
      </w:pPr>
      <w:proofErr w:type="spellStart"/>
      <w:r w:rsidRPr="00D84297">
        <w:rPr>
          <w:rFonts w:ascii="Palatino Linotype" w:hAnsi="Palatino Linotype" w:cs="Arial"/>
          <w:sz w:val="20"/>
          <w:szCs w:val="20"/>
        </w:rPr>
        <w:t>Robroek</w:t>
      </w:r>
      <w:proofErr w:type="spellEnd"/>
      <w:r w:rsidRPr="00D84297">
        <w:rPr>
          <w:rFonts w:ascii="Palatino Linotype" w:hAnsi="Palatino Linotype" w:cs="Arial"/>
          <w:sz w:val="20"/>
          <w:szCs w:val="20"/>
        </w:rPr>
        <w:t xml:space="preserve"> SJW, </w:t>
      </w:r>
      <w:proofErr w:type="spellStart"/>
      <w:r w:rsidRPr="00D84297">
        <w:rPr>
          <w:rFonts w:ascii="Palatino Linotype" w:hAnsi="Palatino Linotype" w:cs="Arial"/>
          <w:sz w:val="20"/>
          <w:szCs w:val="20"/>
        </w:rPr>
        <w:t>Reeuwijk</w:t>
      </w:r>
      <w:proofErr w:type="spellEnd"/>
      <w:r w:rsidRPr="00D84297">
        <w:rPr>
          <w:rFonts w:ascii="Palatino Linotype" w:hAnsi="Palatino Linotype" w:cs="Arial"/>
          <w:sz w:val="20"/>
          <w:szCs w:val="20"/>
        </w:rPr>
        <w:t xml:space="preserve"> KG, Hillier FC, </w:t>
      </w:r>
      <w:proofErr w:type="spellStart"/>
      <w:r w:rsidRPr="00D84297">
        <w:rPr>
          <w:rFonts w:ascii="Palatino Linotype" w:hAnsi="Palatino Linotype" w:cs="Arial"/>
          <w:sz w:val="20"/>
          <w:szCs w:val="20"/>
        </w:rPr>
        <w:t>Bambra</w:t>
      </w:r>
      <w:proofErr w:type="spellEnd"/>
      <w:r w:rsidRPr="00D84297">
        <w:rPr>
          <w:rFonts w:ascii="Palatino Linotype" w:hAnsi="Palatino Linotype" w:cs="Arial"/>
          <w:sz w:val="20"/>
          <w:szCs w:val="20"/>
        </w:rPr>
        <w:t xml:space="preserve"> CL, van Rijn RM, </w:t>
      </w:r>
      <w:proofErr w:type="spellStart"/>
      <w:r w:rsidRPr="00D84297">
        <w:rPr>
          <w:rFonts w:ascii="Palatino Linotype" w:hAnsi="Palatino Linotype" w:cs="Arial"/>
          <w:sz w:val="20"/>
          <w:szCs w:val="20"/>
        </w:rPr>
        <w:t>Burdorf</w:t>
      </w:r>
      <w:proofErr w:type="spellEnd"/>
      <w:r w:rsidRPr="00D84297">
        <w:rPr>
          <w:rFonts w:ascii="Palatino Linotype" w:hAnsi="Palatino Linotype" w:cs="Arial"/>
          <w:sz w:val="20"/>
          <w:szCs w:val="20"/>
        </w:rPr>
        <w:t xml:space="preserve"> A.  The contribution of overweight, obesity, and lack of physical activity to exit from paid employment: a meta-analysis.  </w:t>
      </w:r>
      <w:proofErr w:type="spellStart"/>
      <w:r w:rsidRPr="00D84297">
        <w:rPr>
          <w:rFonts w:ascii="Palatino Linotype" w:hAnsi="Palatino Linotype" w:cs="Arial"/>
          <w:sz w:val="20"/>
          <w:szCs w:val="20"/>
        </w:rPr>
        <w:t>Scand</w:t>
      </w:r>
      <w:proofErr w:type="spellEnd"/>
      <w:r w:rsidRPr="00D84297">
        <w:rPr>
          <w:rFonts w:ascii="Palatino Linotype" w:hAnsi="Palatino Linotype" w:cs="Arial"/>
          <w:sz w:val="20"/>
          <w:szCs w:val="20"/>
        </w:rPr>
        <w:t xml:space="preserve"> J Work Environ Health </w:t>
      </w:r>
      <w:r w:rsidR="00093DF9" w:rsidRPr="00D84297">
        <w:rPr>
          <w:rFonts w:ascii="Palatino Linotype" w:hAnsi="Palatino Linotype" w:cs="Arial"/>
          <w:sz w:val="20"/>
          <w:szCs w:val="20"/>
        </w:rPr>
        <w:t>2013; 39:233</w:t>
      </w:r>
      <w:r w:rsidRPr="00D84297">
        <w:rPr>
          <w:rFonts w:ascii="Palatino Linotype" w:hAnsi="Palatino Linotype" w:cs="Arial"/>
          <w:sz w:val="20"/>
          <w:szCs w:val="20"/>
        </w:rPr>
        <w:t>-40</w:t>
      </w:r>
    </w:p>
    <w:p w14:paraId="74F5BC28" w14:textId="29CCDD14" w:rsidR="00D84297" w:rsidRPr="00D84297" w:rsidRDefault="00D84297" w:rsidP="00D84297">
      <w:pPr>
        <w:pStyle w:val="ListParagraph"/>
        <w:numPr>
          <w:ilvl w:val="0"/>
          <w:numId w:val="6"/>
        </w:numPr>
        <w:spacing w:after="0" w:line="240" w:lineRule="auto"/>
        <w:ind w:left="644"/>
        <w:jc w:val="both"/>
        <w:rPr>
          <w:rFonts w:ascii="Palatino Linotype" w:hAnsi="Palatino Linotype" w:cs="Arial"/>
          <w:sz w:val="20"/>
          <w:szCs w:val="20"/>
        </w:rPr>
      </w:pPr>
      <w:r w:rsidRPr="00D84297">
        <w:rPr>
          <w:rFonts w:ascii="Palatino Linotype" w:hAnsi="Palatino Linotype" w:cs="Arial"/>
          <w:sz w:val="20"/>
          <w:szCs w:val="20"/>
        </w:rPr>
        <w:t xml:space="preserve">Shiri R, </w:t>
      </w:r>
      <w:proofErr w:type="spellStart"/>
      <w:r w:rsidRPr="00D84297">
        <w:rPr>
          <w:rFonts w:ascii="Palatino Linotype" w:hAnsi="Palatino Linotype" w:cs="Arial"/>
          <w:sz w:val="20"/>
          <w:szCs w:val="20"/>
        </w:rPr>
        <w:t>Falah-Hassani</w:t>
      </w:r>
      <w:proofErr w:type="spellEnd"/>
      <w:r w:rsidRPr="00D84297">
        <w:rPr>
          <w:rFonts w:ascii="Palatino Linotype" w:hAnsi="Palatino Linotype" w:cs="Arial"/>
          <w:sz w:val="20"/>
          <w:szCs w:val="20"/>
        </w:rPr>
        <w:t xml:space="preserve"> K, </w:t>
      </w:r>
      <w:proofErr w:type="spellStart"/>
      <w:r w:rsidRPr="00D84297">
        <w:rPr>
          <w:rFonts w:ascii="Palatino Linotype" w:hAnsi="Palatino Linotype" w:cs="Arial"/>
          <w:sz w:val="20"/>
          <w:szCs w:val="20"/>
        </w:rPr>
        <w:t>Lallukka</w:t>
      </w:r>
      <w:proofErr w:type="spellEnd"/>
      <w:r w:rsidRPr="00D84297">
        <w:rPr>
          <w:rFonts w:ascii="Palatino Linotype" w:hAnsi="Palatino Linotype" w:cs="Arial"/>
          <w:sz w:val="20"/>
          <w:szCs w:val="20"/>
        </w:rPr>
        <w:t xml:space="preserve"> T. Body mass index and the risk of disability retirement: a systematic review and meta-analysis.  </w:t>
      </w:r>
      <w:proofErr w:type="spellStart"/>
      <w:r w:rsidRPr="00D84297">
        <w:rPr>
          <w:rFonts w:ascii="Palatino Linotype" w:hAnsi="Palatino Linotype" w:cs="Arial"/>
          <w:sz w:val="20"/>
          <w:szCs w:val="20"/>
        </w:rPr>
        <w:t>Occup</w:t>
      </w:r>
      <w:proofErr w:type="spellEnd"/>
      <w:r w:rsidRPr="00D84297">
        <w:rPr>
          <w:rFonts w:ascii="Palatino Linotype" w:hAnsi="Palatino Linotype" w:cs="Arial"/>
          <w:sz w:val="20"/>
          <w:szCs w:val="20"/>
        </w:rPr>
        <w:t xml:space="preserve"> Environ Med </w:t>
      </w:r>
      <w:r w:rsidR="00093DF9" w:rsidRPr="00D84297">
        <w:rPr>
          <w:rFonts w:ascii="Palatino Linotype" w:hAnsi="Palatino Linotype" w:cs="Arial"/>
          <w:sz w:val="20"/>
          <w:szCs w:val="20"/>
        </w:rPr>
        <w:t>2019; 0:1</w:t>
      </w:r>
      <w:r w:rsidRPr="00D84297">
        <w:rPr>
          <w:rFonts w:ascii="Palatino Linotype" w:hAnsi="Palatino Linotype" w:cs="Arial"/>
          <w:sz w:val="20"/>
          <w:szCs w:val="20"/>
        </w:rPr>
        <w:t>-8</w:t>
      </w:r>
    </w:p>
    <w:p w14:paraId="12402DBD" w14:textId="334A046F" w:rsidR="00D84297" w:rsidRPr="00D84297" w:rsidRDefault="00D84297" w:rsidP="00D84297">
      <w:pPr>
        <w:pStyle w:val="ListParagraph"/>
        <w:numPr>
          <w:ilvl w:val="0"/>
          <w:numId w:val="6"/>
        </w:numPr>
        <w:spacing w:after="0" w:line="240" w:lineRule="auto"/>
        <w:ind w:left="644"/>
        <w:jc w:val="both"/>
        <w:rPr>
          <w:rFonts w:ascii="Palatino Linotype" w:hAnsi="Palatino Linotype" w:cs="Arial"/>
          <w:sz w:val="20"/>
          <w:szCs w:val="20"/>
        </w:rPr>
      </w:pPr>
      <w:r w:rsidRPr="00D84297">
        <w:rPr>
          <w:rFonts w:ascii="Palatino Linotype" w:hAnsi="Palatino Linotype" w:cs="Arial"/>
          <w:sz w:val="20"/>
          <w:szCs w:val="20"/>
        </w:rPr>
        <w:t xml:space="preserve">Houston DK, Cai J, </w:t>
      </w:r>
      <w:proofErr w:type="spellStart"/>
      <w:r w:rsidRPr="00D84297">
        <w:rPr>
          <w:rFonts w:ascii="Palatino Linotype" w:hAnsi="Palatino Linotype" w:cs="Arial"/>
          <w:sz w:val="20"/>
          <w:szCs w:val="20"/>
        </w:rPr>
        <w:t>Stevenes</w:t>
      </w:r>
      <w:proofErr w:type="spellEnd"/>
      <w:r w:rsidRPr="00D84297">
        <w:rPr>
          <w:rFonts w:ascii="Palatino Linotype" w:hAnsi="Palatino Linotype" w:cs="Arial"/>
          <w:sz w:val="20"/>
          <w:szCs w:val="20"/>
        </w:rPr>
        <w:t xml:space="preserve"> J. Overweight and obesity in young and middle age and early retirement: The ARIC study. Obesity </w:t>
      </w:r>
      <w:r w:rsidR="00093DF9" w:rsidRPr="00D84297">
        <w:rPr>
          <w:rFonts w:ascii="Palatino Linotype" w:hAnsi="Palatino Linotype" w:cs="Arial"/>
          <w:sz w:val="20"/>
          <w:szCs w:val="20"/>
        </w:rPr>
        <w:t>2008; 17:143</w:t>
      </w:r>
      <w:r w:rsidRPr="00D84297">
        <w:rPr>
          <w:rFonts w:ascii="Palatino Linotype" w:hAnsi="Palatino Linotype" w:cs="Arial"/>
          <w:sz w:val="20"/>
          <w:szCs w:val="20"/>
        </w:rPr>
        <w:t>-149</w:t>
      </w:r>
    </w:p>
    <w:p w14:paraId="43277205" w14:textId="3998EAB2" w:rsidR="00D84297" w:rsidRPr="00D84297" w:rsidRDefault="00D84297" w:rsidP="00D84297">
      <w:pPr>
        <w:pStyle w:val="ListParagraph"/>
        <w:numPr>
          <w:ilvl w:val="0"/>
          <w:numId w:val="6"/>
        </w:numPr>
        <w:spacing w:after="0" w:line="240" w:lineRule="auto"/>
        <w:ind w:left="644"/>
        <w:jc w:val="both"/>
        <w:rPr>
          <w:rFonts w:ascii="Palatino Linotype" w:hAnsi="Palatino Linotype" w:cs="Arial"/>
          <w:sz w:val="20"/>
          <w:szCs w:val="20"/>
        </w:rPr>
      </w:pPr>
      <w:r w:rsidRPr="00D84297">
        <w:rPr>
          <w:rFonts w:ascii="Palatino Linotype" w:hAnsi="Palatino Linotype" w:cs="Arial"/>
          <w:sz w:val="20"/>
          <w:szCs w:val="20"/>
        </w:rPr>
        <w:t xml:space="preserve">van den Berg T, </w:t>
      </w:r>
      <w:proofErr w:type="spellStart"/>
      <w:r w:rsidRPr="00D84297">
        <w:rPr>
          <w:rFonts w:ascii="Palatino Linotype" w:hAnsi="Palatino Linotype" w:cs="Arial"/>
          <w:sz w:val="20"/>
          <w:szCs w:val="20"/>
        </w:rPr>
        <w:t>Schuring</w:t>
      </w:r>
      <w:proofErr w:type="spellEnd"/>
      <w:r w:rsidRPr="00D84297">
        <w:rPr>
          <w:rFonts w:ascii="Palatino Linotype" w:hAnsi="Palatino Linotype" w:cs="Arial"/>
          <w:sz w:val="20"/>
          <w:szCs w:val="20"/>
        </w:rPr>
        <w:t xml:space="preserve"> M, </w:t>
      </w:r>
      <w:proofErr w:type="spellStart"/>
      <w:r w:rsidRPr="00D84297">
        <w:rPr>
          <w:rFonts w:ascii="Palatino Linotype" w:hAnsi="Palatino Linotype" w:cs="Arial"/>
          <w:sz w:val="20"/>
          <w:szCs w:val="20"/>
        </w:rPr>
        <w:t>Avendano</w:t>
      </w:r>
      <w:proofErr w:type="spellEnd"/>
      <w:r w:rsidRPr="00D84297">
        <w:rPr>
          <w:rFonts w:ascii="Palatino Linotype" w:hAnsi="Palatino Linotype" w:cs="Arial"/>
          <w:sz w:val="20"/>
          <w:szCs w:val="20"/>
        </w:rPr>
        <w:t xml:space="preserve"> M, </w:t>
      </w:r>
      <w:proofErr w:type="spellStart"/>
      <w:r w:rsidRPr="00D84297">
        <w:rPr>
          <w:rFonts w:ascii="Palatino Linotype" w:hAnsi="Palatino Linotype" w:cs="Arial"/>
          <w:sz w:val="20"/>
          <w:szCs w:val="20"/>
        </w:rPr>
        <w:t>Mackenbach</w:t>
      </w:r>
      <w:proofErr w:type="spellEnd"/>
      <w:r w:rsidRPr="00D84297">
        <w:rPr>
          <w:rFonts w:ascii="Palatino Linotype" w:hAnsi="Palatino Linotype" w:cs="Arial"/>
          <w:sz w:val="20"/>
          <w:szCs w:val="20"/>
        </w:rPr>
        <w:t xml:space="preserve"> J, </w:t>
      </w:r>
      <w:proofErr w:type="spellStart"/>
      <w:r w:rsidRPr="00D84297">
        <w:rPr>
          <w:rFonts w:ascii="Palatino Linotype" w:hAnsi="Palatino Linotype" w:cs="Arial"/>
          <w:sz w:val="20"/>
          <w:szCs w:val="20"/>
        </w:rPr>
        <w:t>Burdorf</w:t>
      </w:r>
      <w:proofErr w:type="spellEnd"/>
      <w:r w:rsidRPr="00D84297">
        <w:rPr>
          <w:rFonts w:ascii="Palatino Linotype" w:hAnsi="Palatino Linotype" w:cs="Arial"/>
          <w:sz w:val="20"/>
          <w:szCs w:val="20"/>
        </w:rPr>
        <w:t xml:space="preserve"> A. The impact of ill health on exit from paid employment in Europe among older workers. </w:t>
      </w:r>
      <w:proofErr w:type="spellStart"/>
      <w:r w:rsidRPr="00D84297">
        <w:rPr>
          <w:rFonts w:ascii="Palatino Linotype" w:hAnsi="Palatino Linotype" w:cs="Arial"/>
          <w:sz w:val="20"/>
          <w:szCs w:val="20"/>
        </w:rPr>
        <w:t>Occup</w:t>
      </w:r>
      <w:proofErr w:type="spellEnd"/>
      <w:r w:rsidRPr="00D84297">
        <w:rPr>
          <w:rFonts w:ascii="Palatino Linotype" w:hAnsi="Palatino Linotype" w:cs="Arial"/>
          <w:sz w:val="20"/>
          <w:szCs w:val="20"/>
        </w:rPr>
        <w:t xml:space="preserve"> Environ Med </w:t>
      </w:r>
      <w:r w:rsidR="00093DF9" w:rsidRPr="00D84297">
        <w:rPr>
          <w:rFonts w:ascii="Palatino Linotype" w:hAnsi="Palatino Linotype" w:cs="Arial"/>
          <w:sz w:val="20"/>
          <w:szCs w:val="20"/>
        </w:rPr>
        <w:t>2010; 67:845</w:t>
      </w:r>
      <w:r w:rsidRPr="00D84297">
        <w:rPr>
          <w:rFonts w:ascii="Palatino Linotype" w:hAnsi="Palatino Linotype" w:cs="Arial"/>
          <w:sz w:val="20"/>
          <w:szCs w:val="20"/>
        </w:rPr>
        <w:t>-852</w:t>
      </w:r>
    </w:p>
    <w:p w14:paraId="5B4DF2CC" w14:textId="3A70765F" w:rsidR="00D84297" w:rsidRPr="00D84297" w:rsidRDefault="00D84297" w:rsidP="00D84297">
      <w:pPr>
        <w:pStyle w:val="ListParagraph"/>
        <w:numPr>
          <w:ilvl w:val="0"/>
          <w:numId w:val="6"/>
        </w:numPr>
        <w:spacing w:after="0" w:line="240" w:lineRule="auto"/>
        <w:ind w:left="644"/>
        <w:jc w:val="both"/>
        <w:rPr>
          <w:rFonts w:ascii="Palatino Linotype" w:hAnsi="Palatino Linotype" w:cs="Arial"/>
          <w:sz w:val="20"/>
          <w:szCs w:val="20"/>
        </w:rPr>
      </w:pPr>
      <w:r w:rsidRPr="00D84297">
        <w:rPr>
          <w:rFonts w:ascii="Palatino Linotype" w:hAnsi="Palatino Linotype" w:cs="Arial"/>
          <w:sz w:val="20"/>
          <w:szCs w:val="20"/>
        </w:rPr>
        <w:t xml:space="preserve">Lund RS, </w:t>
      </w:r>
      <w:proofErr w:type="spellStart"/>
      <w:r w:rsidRPr="00D84297">
        <w:rPr>
          <w:rFonts w:ascii="Palatino Linotype" w:hAnsi="Palatino Linotype" w:cs="Arial"/>
          <w:sz w:val="20"/>
          <w:szCs w:val="20"/>
        </w:rPr>
        <w:t>Kralsen</w:t>
      </w:r>
      <w:proofErr w:type="spellEnd"/>
      <w:r w:rsidRPr="00D84297">
        <w:rPr>
          <w:rFonts w:ascii="Palatino Linotype" w:hAnsi="Palatino Linotype" w:cs="Arial"/>
          <w:sz w:val="20"/>
          <w:szCs w:val="20"/>
        </w:rPr>
        <w:t xml:space="preserve"> t-V, </w:t>
      </w:r>
      <w:proofErr w:type="spellStart"/>
      <w:r w:rsidRPr="00D84297">
        <w:rPr>
          <w:rFonts w:ascii="Palatino Linotype" w:hAnsi="Palatino Linotype" w:cs="Arial"/>
          <w:sz w:val="20"/>
          <w:szCs w:val="20"/>
        </w:rPr>
        <w:t>Hofsø</w:t>
      </w:r>
      <w:proofErr w:type="spellEnd"/>
      <w:r w:rsidRPr="00D84297">
        <w:rPr>
          <w:rFonts w:ascii="Palatino Linotype" w:hAnsi="Palatino Linotype" w:cs="Arial"/>
          <w:sz w:val="20"/>
          <w:szCs w:val="20"/>
        </w:rPr>
        <w:t xml:space="preserve"> D et al. Employment is associated with the health-related quality of life of morbidly obese persons. </w:t>
      </w:r>
      <w:proofErr w:type="spellStart"/>
      <w:r w:rsidRPr="00D84297">
        <w:rPr>
          <w:rFonts w:ascii="Palatino Linotype" w:hAnsi="Palatino Linotype" w:cs="Arial"/>
          <w:sz w:val="20"/>
          <w:szCs w:val="20"/>
        </w:rPr>
        <w:t>Obes</w:t>
      </w:r>
      <w:proofErr w:type="spellEnd"/>
      <w:r w:rsidRPr="00D84297">
        <w:rPr>
          <w:rFonts w:ascii="Palatino Linotype" w:hAnsi="Palatino Linotype" w:cs="Arial"/>
          <w:sz w:val="20"/>
          <w:szCs w:val="20"/>
        </w:rPr>
        <w:t xml:space="preserve"> </w:t>
      </w:r>
      <w:proofErr w:type="spellStart"/>
      <w:r w:rsidRPr="00D84297">
        <w:rPr>
          <w:rFonts w:ascii="Palatino Linotype" w:hAnsi="Palatino Linotype" w:cs="Arial"/>
          <w:sz w:val="20"/>
          <w:szCs w:val="20"/>
        </w:rPr>
        <w:t>Surg</w:t>
      </w:r>
      <w:proofErr w:type="spellEnd"/>
      <w:r w:rsidRPr="00D84297">
        <w:rPr>
          <w:rFonts w:ascii="Palatino Linotype" w:hAnsi="Palatino Linotype" w:cs="Arial"/>
          <w:sz w:val="20"/>
          <w:szCs w:val="20"/>
        </w:rPr>
        <w:t xml:space="preserve"> </w:t>
      </w:r>
      <w:r w:rsidR="00093DF9" w:rsidRPr="00D84297">
        <w:rPr>
          <w:rFonts w:ascii="Palatino Linotype" w:hAnsi="Palatino Linotype" w:cs="Arial"/>
          <w:sz w:val="20"/>
          <w:szCs w:val="20"/>
        </w:rPr>
        <w:t>2011; 21:1704</w:t>
      </w:r>
      <w:r w:rsidRPr="00D84297">
        <w:rPr>
          <w:rFonts w:ascii="Palatino Linotype" w:hAnsi="Palatino Linotype" w:cs="Arial"/>
          <w:sz w:val="20"/>
          <w:szCs w:val="20"/>
        </w:rPr>
        <w:t>-1709</w:t>
      </w:r>
    </w:p>
    <w:p w14:paraId="586852CD" w14:textId="0779EDD6" w:rsidR="00D84297" w:rsidRPr="00D84297" w:rsidRDefault="00D84297" w:rsidP="00D84297">
      <w:pPr>
        <w:pStyle w:val="ListParagraph"/>
        <w:numPr>
          <w:ilvl w:val="0"/>
          <w:numId w:val="6"/>
        </w:numPr>
        <w:spacing w:after="0" w:line="240" w:lineRule="auto"/>
        <w:ind w:left="644"/>
        <w:jc w:val="both"/>
        <w:rPr>
          <w:rFonts w:ascii="Palatino Linotype" w:hAnsi="Palatino Linotype" w:cs="Arial"/>
          <w:sz w:val="20"/>
          <w:szCs w:val="20"/>
        </w:rPr>
      </w:pPr>
      <w:r w:rsidRPr="00D84297">
        <w:rPr>
          <w:rFonts w:ascii="Palatino Linotype" w:hAnsi="Palatino Linotype" w:cs="Arial"/>
          <w:sz w:val="20"/>
          <w:szCs w:val="20"/>
        </w:rPr>
        <w:t xml:space="preserve">Nilsson T, Ericsson M, Poston WSC II et al. Perceived coping capacity: a comparison between obese patients and patients on long-term sick leave. Eating Weight </w:t>
      </w:r>
      <w:proofErr w:type="spellStart"/>
      <w:r w:rsidRPr="00D84297">
        <w:rPr>
          <w:rFonts w:ascii="Palatino Linotype" w:hAnsi="Palatino Linotype" w:cs="Arial"/>
          <w:sz w:val="20"/>
          <w:szCs w:val="20"/>
        </w:rPr>
        <w:t>Disord</w:t>
      </w:r>
      <w:proofErr w:type="spellEnd"/>
      <w:r w:rsidRPr="00D84297">
        <w:rPr>
          <w:rFonts w:ascii="Palatino Linotype" w:hAnsi="Palatino Linotype" w:cs="Arial"/>
          <w:sz w:val="20"/>
          <w:szCs w:val="20"/>
        </w:rPr>
        <w:t xml:space="preserve"> </w:t>
      </w:r>
      <w:r w:rsidR="00093DF9" w:rsidRPr="00D84297">
        <w:rPr>
          <w:rFonts w:ascii="Palatino Linotype" w:hAnsi="Palatino Linotype" w:cs="Arial"/>
          <w:sz w:val="20"/>
          <w:szCs w:val="20"/>
        </w:rPr>
        <w:t>1997; 2:182</w:t>
      </w:r>
      <w:r w:rsidRPr="00D84297">
        <w:rPr>
          <w:rFonts w:ascii="Palatino Linotype" w:hAnsi="Palatino Linotype" w:cs="Arial"/>
          <w:sz w:val="20"/>
          <w:szCs w:val="20"/>
        </w:rPr>
        <w:t>-187</w:t>
      </w:r>
    </w:p>
    <w:p w14:paraId="353D6262" w14:textId="6BA5DD9E" w:rsidR="00D84297" w:rsidRPr="00D84297" w:rsidRDefault="00D84297" w:rsidP="00D84297">
      <w:pPr>
        <w:pStyle w:val="ListParagraph"/>
        <w:numPr>
          <w:ilvl w:val="0"/>
          <w:numId w:val="6"/>
        </w:numPr>
        <w:spacing w:after="0" w:line="240" w:lineRule="auto"/>
        <w:ind w:left="644"/>
        <w:jc w:val="both"/>
        <w:rPr>
          <w:rFonts w:ascii="Palatino Linotype" w:hAnsi="Palatino Linotype" w:cs="Arial"/>
          <w:sz w:val="20"/>
          <w:szCs w:val="20"/>
        </w:rPr>
      </w:pPr>
      <w:r w:rsidRPr="00D84297">
        <w:rPr>
          <w:rFonts w:ascii="Palatino Linotype" w:hAnsi="Palatino Linotype" w:cs="Arial"/>
          <w:sz w:val="20"/>
          <w:szCs w:val="20"/>
        </w:rPr>
        <w:t xml:space="preserve">Connor </w:t>
      </w:r>
      <w:proofErr w:type="spellStart"/>
      <w:r w:rsidRPr="00D84297">
        <w:rPr>
          <w:rFonts w:ascii="Palatino Linotype" w:hAnsi="Palatino Linotype" w:cs="Arial"/>
          <w:sz w:val="20"/>
          <w:szCs w:val="20"/>
        </w:rPr>
        <w:t>Gorber</w:t>
      </w:r>
      <w:proofErr w:type="spellEnd"/>
      <w:r w:rsidRPr="00D84297">
        <w:rPr>
          <w:rFonts w:ascii="Palatino Linotype" w:hAnsi="Palatino Linotype" w:cs="Arial"/>
          <w:sz w:val="20"/>
          <w:szCs w:val="20"/>
        </w:rPr>
        <w:t xml:space="preserve"> S, Tremblay M, Moher D, </w:t>
      </w:r>
      <w:proofErr w:type="spellStart"/>
      <w:r w:rsidRPr="00D84297">
        <w:rPr>
          <w:rFonts w:ascii="Palatino Linotype" w:hAnsi="Palatino Linotype" w:cs="Arial"/>
          <w:sz w:val="20"/>
          <w:szCs w:val="20"/>
        </w:rPr>
        <w:t>Gorber</w:t>
      </w:r>
      <w:proofErr w:type="spellEnd"/>
      <w:r w:rsidRPr="00D84297">
        <w:rPr>
          <w:rFonts w:ascii="Palatino Linotype" w:hAnsi="Palatino Linotype" w:cs="Arial"/>
          <w:sz w:val="20"/>
          <w:szCs w:val="20"/>
        </w:rPr>
        <w:t xml:space="preserve"> B.  A comparison of direct vs. self-report measures for assessing height, weight and body mass index: a systematic review.  Obesity Reviews </w:t>
      </w:r>
      <w:r w:rsidR="00093DF9" w:rsidRPr="00D84297">
        <w:rPr>
          <w:rFonts w:ascii="Palatino Linotype" w:hAnsi="Palatino Linotype" w:cs="Arial"/>
          <w:sz w:val="20"/>
          <w:szCs w:val="20"/>
        </w:rPr>
        <w:t>2007; 8:307</w:t>
      </w:r>
      <w:r w:rsidRPr="00D84297">
        <w:rPr>
          <w:rFonts w:ascii="Palatino Linotype" w:hAnsi="Palatino Linotype" w:cs="Arial"/>
          <w:sz w:val="20"/>
          <w:szCs w:val="20"/>
        </w:rPr>
        <w:t>-326</w:t>
      </w:r>
    </w:p>
    <w:p w14:paraId="0EF41043" w14:textId="77777777" w:rsidR="00D84297" w:rsidRPr="00D84297" w:rsidRDefault="00D84297" w:rsidP="00D84297">
      <w:pPr>
        <w:pStyle w:val="ListParagraph"/>
        <w:numPr>
          <w:ilvl w:val="0"/>
          <w:numId w:val="6"/>
        </w:numPr>
        <w:spacing w:after="0" w:line="240" w:lineRule="auto"/>
        <w:ind w:left="644"/>
        <w:jc w:val="both"/>
        <w:rPr>
          <w:rFonts w:ascii="Palatino Linotype" w:hAnsi="Palatino Linotype" w:cs="Arial"/>
          <w:sz w:val="20"/>
          <w:szCs w:val="20"/>
        </w:rPr>
      </w:pPr>
      <w:proofErr w:type="spellStart"/>
      <w:r w:rsidRPr="00D84297">
        <w:rPr>
          <w:rFonts w:ascii="Palatino Linotype" w:hAnsi="Palatino Linotype" w:cs="Arial"/>
          <w:sz w:val="20"/>
          <w:szCs w:val="20"/>
        </w:rPr>
        <w:t>Hollowell</w:t>
      </w:r>
      <w:proofErr w:type="spellEnd"/>
      <w:r w:rsidRPr="00D84297">
        <w:rPr>
          <w:rFonts w:ascii="Palatino Linotype" w:hAnsi="Palatino Linotype" w:cs="Arial"/>
          <w:sz w:val="20"/>
          <w:szCs w:val="20"/>
        </w:rPr>
        <w:t xml:space="preserve"> J. General Practice Research Database (GPRD): Scope and Quality of Data. London: Office of Population Censuses and Statistics, 1994.</w:t>
      </w:r>
    </w:p>
    <w:p w14:paraId="442098D5" w14:textId="77777777" w:rsidR="00D84297" w:rsidRPr="00D84297" w:rsidRDefault="00D84297" w:rsidP="00D84297">
      <w:pPr>
        <w:pStyle w:val="ListParagraph"/>
        <w:numPr>
          <w:ilvl w:val="0"/>
          <w:numId w:val="6"/>
        </w:numPr>
        <w:spacing w:after="0" w:line="240" w:lineRule="auto"/>
        <w:ind w:left="644"/>
        <w:jc w:val="both"/>
        <w:rPr>
          <w:rFonts w:ascii="Palatino Linotype" w:hAnsi="Palatino Linotype" w:cs="Arial"/>
          <w:sz w:val="20"/>
          <w:szCs w:val="20"/>
        </w:rPr>
      </w:pPr>
      <w:proofErr w:type="spellStart"/>
      <w:r w:rsidRPr="00D84297">
        <w:rPr>
          <w:rFonts w:ascii="Palatino Linotype" w:hAnsi="Palatino Linotype" w:cs="Arial"/>
          <w:sz w:val="20"/>
          <w:szCs w:val="20"/>
        </w:rPr>
        <w:t>Jick</w:t>
      </w:r>
      <w:proofErr w:type="spellEnd"/>
      <w:r w:rsidRPr="00D84297">
        <w:rPr>
          <w:rFonts w:ascii="Palatino Linotype" w:hAnsi="Palatino Linotype" w:cs="Arial"/>
          <w:sz w:val="20"/>
          <w:szCs w:val="20"/>
        </w:rPr>
        <w:t xml:space="preserve"> H, </w:t>
      </w:r>
      <w:proofErr w:type="spellStart"/>
      <w:r w:rsidRPr="00D84297">
        <w:rPr>
          <w:rFonts w:ascii="Palatino Linotype" w:hAnsi="Palatino Linotype" w:cs="Arial"/>
          <w:sz w:val="20"/>
          <w:szCs w:val="20"/>
        </w:rPr>
        <w:t>Jick</w:t>
      </w:r>
      <w:proofErr w:type="spellEnd"/>
      <w:r w:rsidRPr="00D84297">
        <w:rPr>
          <w:rFonts w:ascii="Palatino Linotype" w:hAnsi="Palatino Linotype" w:cs="Arial"/>
          <w:sz w:val="20"/>
          <w:szCs w:val="20"/>
        </w:rPr>
        <w:t xml:space="preserve"> SS, Derby LE. Validation of information recorded on general practitioner based computerised data resource in the United Kingdom. BMJ 1991; 302: 766-768.</w:t>
      </w:r>
    </w:p>
    <w:p w14:paraId="3193E997" w14:textId="41B40FDE" w:rsidR="00D84297" w:rsidRDefault="00D84297" w:rsidP="00D84297">
      <w:pPr>
        <w:pStyle w:val="ListParagraph"/>
        <w:numPr>
          <w:ilvl w:val="0"/>
          <w:numId w:val="6"/>
        </w:numPr>
        <w:spacing w:after="0" w:line="240" w:lineRule="auto"/>
        <w:ind w:left="644"/>
        <w:jc w:val="both"/>
        <w:rPr>
          <w:rFonts w:ascii="Palatino Linotype" w:hAnsi="Palatino Linotype" w:cs="Arial"/>
          <w:sz w:val="20"/>
          <w:szCs w:val="20"/>
        </w:rPr>
      </w:pPr>
      <w:r w:rsidRPr="00D84297">
        <w:rPr>
          <w:rFonts w:ascii="Palatino Linotype" w:hAnsi="Palatino Linotype" w:cs="Arial"/>
          <w:sz w:val="20"/>
          <w:szCs w:val="20"/>
        </w:rPr>
        <w:t xml:space="preserve">Power C, Graham H, Due P </w:t>
      </w:r>
      <w:r w:rsidRPr="00D84297">
        <w:rPr>
          <w:rFonts w:ascii="Palatino Linotype" w:hAnsi="Palatino Linotype" w:cs="Arial"/>
          <w:i/>
          <w:sz w:val="20"/>
          <w:szCs w:val="20"/>
        </w:rPr>
        <w:t>et al</w:t>
      </w:r>
      <w:r w:rsidRPr="00D84297">
        <w:rPr>
          <w:rFonts w:ascii="Palatino Linotype" w:hAnsi="Palatino Linotype" w:cs="Arial"/>
          <w:sz w:val="20"/>
          <w:szCs w:val="20"/>
        </w:rPr>
        <w:t xml:space="preserve">. The contribution of childhood and adult socioeconomic position to adult obesity and smoking behaviour: an international comparison. International Journal of Epidemiology </w:t>
      </w:r>
      <w:r w:rsidR="00093DF9" w:rsidRPr="00D84297">
        <w:rPr>
          <w:rFonts w:ascii="Palatino Linotype" w:hAnsi="Palatino Linotype" w:cs="Arial"/>
          <w:sz w:val="20"/>
          <w:szCs w:val="20"/>
        </w:rPr>
        <w:t>2005; 34:335</w:t>
      </w:r>
      <w:r w:rsidRPr="00D84297">
        <w:rPr>
          <w:rFonts w:ascii="Palatino Linotype" w:hAnsi="Palatino Linotype" w:cs="Arial"/>
          <w:sz w:val="20"/>
          <w:szCs w:val="20"/>
        </w:rPr>
        <w:t>–344</w:t>
      </w:r>
    </w:p>
    <w:p w14:paraId="3B7662D1" w14:textId="0E8282AA" w:rsidR="008356A7" w:rsidRPr="008356A7" w:rsidRDefault="008356A7" w:rsidP="008356A7">
      <w:pPr>
        <w:pStyle w:val="ListParagraph"/>
        <w:numPr>
          <w:ilvl w:val="0"/>
          <w:numId w:val="6"/>
        </w:numPr>
        <w:spacing w:after="0" w:line="240" w:lineRule="auto"/>
        <w:jc w:val="both"/>
        <w:rPr>
          <w:rFonts w:ascii="Palatino Linotype" w:hAnsi="Palatino Linotype" w:cs="Arial"/>
          <w:sz w:val="20"/>
          <w:szCs w:val="20"/>
        </w:rPr>
      </w:pPr>
      <w:r w:rsidRPr="008356A7">
        <w:rPr>
          <w:rFonts w:ascii="Palatino Linotype" w:hAnsi="Palatino Linotype" w:cs="Arial"/>
          <w:sz w:val="20"/>
          <w:szCs w:val="20"/>
        </w:rPr>
        <w:t>Marmot M. Social determinants of health inequalities.</w:t>
      </w:r>
      <w:r>
        <w:rPr>
          <w:rFonts w:ascii="Palatino Linotype" w:hAnsi="Palatino Linotype" w:cs="Arial"/>
          <w:sz w:val="20"/>
          <w:szCs w:val="20"/>
        </w:rPr>
        <w:t xml:space="preserve"> </w:t>
      </w:r>
      <w:r w:rsidRPr="008356A7">
        <w:rPr>
          <w:rFonts w:ascii="Palatino Linotype" w:hAnsi="Palatino Linotype" w:cs="Arial"/>
          <w:sz w:val="20"/>
          <w:szCs w:val="20"/>
        </w:rPr>
        <w:t>Lancet. 2005;365(9464):1099-104.</w:t>
      </w:r>
    </w:p>
    <w:p w14:paraId="127500E7" w14:textId="77777777" w:rsidR="00AE348C" w:rsidRDefault="00AE348C" w:rsidP="005C76A5">
      <w:pPr>
        <w:pStyle w:val="MDPI71References"/>
        <w:numPr>
          <w:ilvl w:val="0"/>
          <w:numId w:val="0"/>
        </w:numPr>
        <w:spacing w:after="240"/>
        <w:ind w:left="425"/>
      </w:pPr>
    </w:p>
    <w:tbl>
      <w:tblPr>
        <w:tblW w:w="0" w:type="auto"/>
        <w:jc w:val="center"/>
        <w:tblLook w:val="04A0" w:firstRow="1" w:lastRow="0" w:firstColumn="1" w:lastColumn="0" w:noHBand="0" w:noVBand="1"/>
      </w:tblPr>
      <w:tblGrid>
        <w:gridCol w:w="1721"/>
        <w:gridCol w:w="7123"/>
      </w:tblGrid>
      <w:tr w:rsidR="00AE348C" w:rsidRPr="00FA6084" w14:paraId="5F6B26BD" w14:textId="77777777" w:rsidTr="006211DD">
        <w:trPr>
          <w:jc w:val="center"/>
        </w:trPr>
        <w:tc>
          <w:tcPr>
            <w:tcW w:w="0" w:type="auto"/>
            <w:shd w:val="clear" w:color="auto" w:fill="auto"/>
            <w:vAlign w:val="center"/>
          </w:tcPr>
          <w:p w14:paraId="2DB0567E" w14:textId="7360C17E" w:rsidR="00AE348C" w:rsidRPr="00FA6084" w:rsidRDefault="00127339" w:rsidP="005940DE">
            <w:pPr>
              <w:pStyle w:val="MDPI71References"/>
              <w:numPr>
                <w:ilvl w:val="0"/>
                <w:numId w:val="0"/>
              </w:numPr>
              <w:ind w:left="-85"/>
              <w:rPr>
                <w:rFonts w:eastAsia="SimSun"/>
                <w:bCs/>
              </w:rPr>
            </w:pPr>
            <w:r>
              <w:rPr>
                <w:rFonts w:eastAsia="SimSun"/>
                <w:bCs/>
                <w:noProof/>
                <w:lang w:val="en-GB" w:eastAsia="en-GB" w:bidi="ar-SA"/>
              </w:rPr>
              <w:drawing>
                <wp:inline distT="0" distB="0" distL="0" distR="0" wp14:anchorId="77DF9A3E" wp14:editId="70E74576">
                  <wp:extent cx="1005840" cy="358140"/>
                  <wp:effectExtent l="0" t="0" r="3810" b="3810"/>
                  <wp:docPr id="1" name="Picture 1"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Righ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5840" cy="358140"/>
                          </a:xfrm>
                          <a:prstGeom prst="rect">
                            <a:avLst/>
                          </a:prstGeom>
                          <a:noFill/>
                          <a:ln>
                            <a:noFill/>
                          </a:ln>
                        </pic:spPr>
                      </pic:pic>
                    </a:graphicData>
                  </a:graphic>
                </wp:inline>
              </w:drawing>
            </w:r>
          </w:p>
        </w:tc>
        <w:tc>
          <w:tcPr>
            <w:tcW w:w="7149" w:type="dxa"/>
            <w:shd w:val="clear" w:color="auto" w:fill="auto"/>
            <w:vAlign w:val="center"/>
          </w:tcPr>
          <w:p w14:paraId="60F2D891" w14:textId="77777777" w:rsidR="00AE348C" w:rsidRPr="00FA6084" w:rsidRDefault="001957FA" w:rsidP="005940DE">
            <w:pPr>
              <w:pStyle w:val="MDPI71References"/>
              <w:numPr>
                <w:ilvl w:val="0"/>
                <w:numId w:val="0"/>
              </w:numPr>
              <w:ind w:left="-85"/>
              <w:rPr>
                <w:rFonts w:eastAsia="SimSun"/>
                <w:bCs/>
              </w:rPr>
            </w:pPr>
            <w:r>
              <w:rPr>
                <w:rFonts w:eastAsia="SimSun"/>
                <w:bCs/>
              </w:rPr>
              <w:t>© 2019</w:t>
            </w:r>
            <w:r w:rsidR="00AE348C" w:rsidRPr="00FA6084">
              <w:rPr>
                <w:rFonts w:eastAsia="SimSun"/>
                <w:bCs/>
              </w:rPr>
              <w:t xml:space="preserve"> by the authors. Submitted for possible open access publication under the terms and conditions of the Creative Commons Attribution (CC BY) license (http://creativecommons.org/licenses/by/4.0/).</w:t>
            </w:r>
          </w:p>
        </w:tc>
      </w:tr>
    </w:tbl>
    <w:p w14:paraId="2CBA085D" w14:textId="77777777" w:rsidR="0046726B" w:rsidRPr="00991BB0" w:rsidRDefault="0046726B" w:rsidP="00AE348C">
      <w:pPr>
        <w:pStyle w:val="MDPI71References"/>
        <w:numPr>
          <w:ilvl w:val="0"/>
          <w:numId w:val="0"/>
        </w:numPr>
        <w:spacing w:after="240"/>
        <w:rPr>
          <w:rFonts w:eastAsia="SimSun"/>
        </w:rPr>
      </w:pPr>
    </w:p>
    <w:sectPr w:rsidR="0046726B" w:rsidRPr="00991BB0" w:rsidSect="0046726B">
      <w:headerReference w:type="even" r:id="rId17"/>
      <w:headerReference w:type="default" r:id="rId18"/>
      <w:footerReference w:type="default" r:id="rId19"/>
      <w:headerReference w:type="first" r:id="rId20"/>
      <w:footerReference w:type="first" r:id="rId21"/>
      <w:pgSz w:w="11906" w:h="16838" w:code="9"/>
      <w:pgMar w:top="1417" w:right="1531" w:bottom="1077" w:left="1531" w:header="1020" w:footer="850" w:gutter="0"/>
      <w:lnNumType w:countBy="1" w:restart="continuous"/>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665D6" w14:textId="77777777" w:rsidR="00A76074" w:rsidRDefault="00A76074">
      <w:pPr>
        <w:spacing w:line="240" w:lineRule="auto"/>
      </w:pPr>
      <w:r>
        <w:separator/>
      </w:r>
    </w:p>
  </w:endnote>
  <w:endnote w:type="continuationSeparator" w:id="0">
    <w:p w14:paraId="19100CF2" w14:textId="77777777" w:rsidR="00A76074" w:rsidRDefault="00A760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6DAA9" w14:textId="77777777" w:rsidR="00E9284E" w:rsidRPr="00590BF9" w:rsidRDefault="00E9284E" w:rsidP="00E90986">
    <w:pPr>
      <w:pStyle w:val="Footer"/>
      <w:spacing w:line="240" w:lineRule="auto"/>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4C3DD" w14:textId="325DDA8D" w:rsidR="00E9284E" w:rsidRPr="008B308E" w:rsidRDefault="0088240F" w:rsidP="00E90986">
    <w:pPr>
      <w:pStyle w:val="MDPIfooterfirstpage"/>
      <w:spacing w:line="240" w:lineRule="auto"/>
      <w:jc w:val="both"/>
      <w:rPr>
        <w:lang w:val="fr-CH"/>
      </w:rPr>
    </w:pPr>
    <w:r>
      <w:rPr>
        <w:lang w:val="fr-CH"/>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F8C3B" w14:textId="77777777" w:rsidR="00A76074" w:rsidRDefault="00A76074">
      <w:pPr>
        <w:spacing w:line="240" w:lineRule="auto"/>
      </w:pPr>
      <w:r>
        <w:separator/>
      </w:r>
    </w:p>
  </w:footnote>
  <w:footnote w:type="continuationSeparator" w:id="0">
    <w:p w14:paraId="5899777D" w14:textId="77777777" w:rsidR="00A76074" w:rsidRDefault="00A760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ED655" w14:textId="77777777" w:rsidR="00E9284E" w:rsidRDefault="00E9284E" w:rsidP="00E90986">
    <w:pPr>
      <w:pStyle w:val="Header"/>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3AA54" w14:textId="06C190CF" w:rsidR="00E9284E" w:rsidRPr="00305CED" w:rsidRDefault="00E9284E" w:rsidP="006211DD">
    <w:pPr>
      <w:tabs>
        <w:tab w:val="right" w:pos="8844"/>
      </w:tabs>
      <w:adjustRightInd w:val="0"/>
      <w:snapToGrid w:val="0"/>
      <w:spacing w:after="240" w:line="240" w:lineRule="auto"/>
      <w:rPr>
        <w:rFonts w:ascii="Palatino Linotype" w:hAnsi="Palatino Linotype"/>
        <w:sz w:val="16"/>
      </w:rPr>
    </w:pP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sidR="0088240F">
      <w:rPr>
        <w:rFonts w:ascii="Palatino Linotype" w:hAnsi="Palatino Linotype"/>
        <w:noProof/>
        <w:sz w:val="16"/>
      </w:rPr>
      <w:t>14</w:t>
    </w:r>
    <w:r>
      <w:rPr>
        <w:rFonts w:ascii="Palatino Linotype" w:hAnsi="Palatino Linotype"/>
        <w:sz w:val="16"/>
      </w:rPr>
      <w:fldChar w:fldCharType="end"/>
    </w:r>
    <w:r>
      <w:rPr>
        <w:rFonts w:ascii="Palatino Linotype" w:hAnsi="Palatino Linotype"/>
        <w:sz w:val="16"/>
      </w:rPr>
      <w:t xml:space="preserve"> of </w:t>
    </w:r>
    <w:r>
      <w:rPr>
        <w:rFonts w:ascii="Palatino Linotype" w:hAnsi="Palatino Linotype"/>
        <w:sz w:val="16"/>
      </w:rPr>
      <w:fldChar w:fldCharType="begin"/>
    </w:r>
    <w:r>
      <w:rPr>
        <w:rFonts w:ascii="Palatino Linotype" w:hAnsi="Palatino Linotype"/>
        <w:sz w:val="16"/>
      </w:rPr>
      <w:instrText xml:space="preserve"> NUMPAGES   \* MERGEFORMAT </w:instrText>
    </w:r>
    <w:r>
      <w:rPr>
        <w:rFonts w:ascii="Palatino Linotype" w:hAnsi="Palatino Linotype"/>
        <w:sz w:val="16"/>
      </w:rPr>
      <w:fldChar w:fldCharType="separate"/>
    </w:r>
    <w:r w:rsidR="0088240F">
      <w:rPr>
        <w:rFonts w:ascii="Palatino Linotype" w:hAnsi="Palatino Linotype"/>
        <w:noProof/>
        <w:sz w:val="16"/>
      </w:rPr>
      <w:t>14</w:t>
    </w:r>
    <w:r>
      <w:rPr>
        <w:rFonts w:ascii="Palatino Linotype" w:hAnsi="Palatino Linotype"/>
        <w:sz w:val="16"/>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57394" w14:textId="102B8515" w:rsidR="00E9284E" w:rsidRDefault="00E9284E" w:rsidP="00E90986">
    <w:pPr>
      <w:pStyle w:val="MDPIheaderjournallogo"/>
    </w:pPr>
    <w:r>
      <w:rPr>
        <w:i w:val="0"/>
        <w:noProof/>
        <w:szCs w:val="16"/>
        <w:lang w:val="en-GB" w:eastAsia="en-GB"/>
      </w:rPr>
      <mc:AlternateContent>
        <mc:Choice Requires="wps">
          <w:drawing>
            <wp:anchor distT="45720" distB="45720" distL="114300" distR="114300" simplePos="0" relativeHeight="251657728" behindDoc="1" locked="0" layoutInCell="1" allowOverlap="1" wp14:anchorId="3932CD6F" wp14:editId="04D97C63">
              <wp:simplePos x="0" y="0"/>
              <wp:positionH relativeFrom="page">
                <wp:posOffset>6029960</wp:posOffset>
              </wp:positionH>
              <wp:positionV relativeFrom="page">
                <wp:posOffset>647700</wp:posOffset>
              </wp:positionV>
              <wp:extent cx="540385" cy="709295"/>
              <wp:effectExtent l="0" t="0" r="317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709295"/>
                      </a:xfrm>
                      <a:prstGeom prst="rect">
                        <a:avLst/>
                      </a:prstGeom>
                      <a:solidFill>
                        <a:srgbClr val="FFFFFF"/>
                      </a:solidFill>
                      <a:ln w="9525">
                        <a:noFill/>
                        <a:miter lim="800000"/>
                        <a:headEnd/>
                        <a:tailEnd/>
                      </a:ln>
                    </wps:spPr>
                    <wps:txbx>
                      <w:txbxContent>
                        <w:p w14:paraId="33E2CD1E" w14:textId="2D98FA3C" w:rsidR="00E9284E" w:rsidRDefault="00E9284E" w:rsidP="00E90986">
                          <w:pPr>
                            <w:pStyle w:val="MDPIheaderjournallogo"/>
                            <w:jc w:val="center"/>
                            <w:textboxTightWrap w:val="allLines"/>
                            <w:rPr>
                              <w:i w:val="0"/>
                              <w:szCs w:val="16"/>
                            </w:rPr>
                          </w:pP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32CD6F" id="_x0000_t202" coordsize="21600,21600" o:spt="202" path="m,l,21600r21600,l21600,xe">
              <v:stroke joinstyle="miter"/>
              <v:path gradientshapeok="t" o:connecttype="rect"/>
            </v:shapetype>
            <v:shape id="Text Box 2" o:spid="_x0000_s1026" type="#_x0000_t202" style="position:absolute;margin-left:474.8pt;margin-top:51pt;width:42.55pt;height:55.85pt;z-index:-251658752;visibility:visible;mso-wrap-style:non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" stroked="f">
              <v:textbox inset="0,0,0,0">
                <w:txbxContent>
                  <w:p w14:paraId="33E2CD1E" w14:textId="2D98FA3C" w:rsidR="00E9284E" w:rsidRDefault="00E9284E" w:rsidP="00E90986">
                    <w:pPr>
                      <w:pStyle w:val="MDPIheaderjournallogo"/>
                      <w:jc w:val="center"/>
                      <w:textboxTightWrap w:val="allLines"/>
                      <w:rPr>
                        <w:i w:val="0"/>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74DC"/>
    <w:multiLevelType w:val="hybridMultilevel"/>
    <w:tmpl w:val="CAE66610"/>
    <w:lvl w:ilvl="0" w:tplc="07AA60E2">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E13C91"/>
    <w:multiLevelType w:val="hybridMultilevel"/>
    <w:tmpl w:val="AEA80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num w:numId="1">
    <w:abstractNumId w:val="3"/>
  </w:num>
  <w:num w:numId="2">
    <w:abstractNumId w:val="4"/>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efaultTabStop w:val="420"/>
  <w:drawingGridHorizontalSpacing w:val="120"/>
  <w:drawingGridVerticalSpacing w:val="163"/>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81"/>
    <w:rsid w:val="00006D83"/>
    <w:rsid w:val="00012A84"/>
    <w:rsid w:val="0002554A"/>
    <w:rsid w:val="00026A71"/>
    <w:rsid w:val="0003183D"/>
    <w:rsid w:val="00041937"/>
    <w:rsid w:val="00057903"/>
    <w:rsid w:val="00071CF6"/>
    <w:rsid w:val="00093DF9"/>
    <w:rsid w:val="000A508C"/>
    <w:rsid w:val="000B61C8"/>
    <w:rsid w:val="000D4CAC"/>
    <w:rsid w:val="000D67B1"/>
    <w:rsid w:val="000E00A1"/>
    <w:rsid w:val="00103DB0"/>
    <w:rsid w:val="00113A18"/>
    <w:rsid w:val="00116BA5"/>
    <w:rsid w:val="001228BC"/>
    <w:rsid w:val="00127339"/>
    <w:rsid w:val="0017403E"/>
    <w:rsid w:val="00177995"/>
    <w:rsid w:val="001957FA"/>
    <w:rsid w:val="001D41F9"/>
    <w:rsid w:val="001E1F35"/>
    <w:rsid w:val="001E2AEB"/>
    <w:rsid w:val="001F0C32"/>
    <w:rsid w:val="001F53CA"/>
    <w:rsid w:val="001F6D18"/>
    <w:rsid w:val="00204DEA"/>
    <w:rsid w:val="00205AC7"/>
    <w:rsid w:val="00212D83"/>
    <w:rsid w:val="00216DB0"/>
    <w:rsid w:val="0023397A"/>
    <w:rsid w:val="00235CB9"/>
    <w:rsid w:val="00276025"/>
    <w:rsid w:val="002B0927"/>
    <w:rsid w:val="002D57A5"/>
    <w:rsid w:val="002E175E"/>
    <w:rsid w:val="002E1FBF"/>
    <w:rsid w:val="00326141"/>
    <w:rsid w:val="00333050"/>
    <w:rsid w:val="00337BDB"/>
    <w:rsid w:val="00340008"/>
    <w:rsid w:val="003604C6"/>
    <w:rsid w:val="00364762"/>
    <w:rsid w:val="003663D4"/>
    <w:rsid w:val="003854C4"/>
    <w:rsid w:val="00391E52"/>
    <w:rsid w:val="003938DA"/>
    <w:rsid w:val="003A61EB"/>
    <w:rsid w:val="003D00A4"/>
    <w:rsid w:val="003F2CA0"/>
    <w:rsid w:val="003F4D78"/>
    <w:rsid w:val="00401D30"/>
    <w:rsid w:val="00407587"/>
    <w:rsid w:val="00417958"/>
    <w:rsid w:val="00455F81"/>
    <w:rsid w:val="0046726B"/>
    <w:rsid w:val="004A751A"/>
    <w:rsid w:val="004B46DB"/>
    <w:rsid w:val="004B5280"/>
    <w:rsid w:val="004D5A80"/>
    <w:rsid w:val="004D6B8D"/>
    <w:rsid w:val="00514646"/>
    <w:rsid w:val="00577286"/>
    <w:rsid w:val="005940DE"/>
    <w:rsid w:val="005B0E8A"/>
    <w:rsid w:val="005B174A"/>
    <w:rsid w:val="005C76A5"/>
    <w:rsid w:val="005E7B32"/>
    <w:rsid w:val="006211DD"/>
    <w:rsid w:val="00662E41"/>
    <w:rsid w:val="00692393"/>
    <w:rsid w:val="00692ADC"/>
    <w:rsid w:val="006A5323"/>
    <w:rsid w:val="006D7394"/>
    <w:rsid w:val="006F7187"/>
    <w:rsid w:val="00702526"/>
    <w:rsid w:val="007165B1"/>
    <w:rsid w:val="00737107"/>
    <w:rsid w:val="007533DB"/>
    <w:rsid w:val="007606C3"/>
    <w:rsid w:val="00780CA3"/>
    <w:rsid w:val="00782571"/>
    <w:rsid w:val="007A0755"/>
    <w:rsid w:val="007B3E14"/>
    <w:rsid w:val="007C437A"/>
    <w:rsid w:val="007D1435"/>
    <w:rsid w:val="007E5A5B"/>
    <w:rsid w:val="007E64AD"/>
    <w:rsid w:val="007F4907"/>
    <w:rsid w:val="00822961"/>
    <w:rsid w:val="008356A7"/>
    <w:rsid w:val="0088240F"/>
    <w:rsid w:val="00893126"/>
    <w:rsid w:val="008B211D"/>
    <w:rsid w:val="008C5CBF"/>
    <w:rsid w:val="008C5EB4"/>
    <w:rsid w:val="008E3B5E"/>
    <w:rsid w:val="00960690"/>
    <w:rsid w:val="009861A8"/>
    <w:rsid w:val="009A52C8"/>
    <w:rsid w:val="009A6F83"/>
    <w:rsid w:val="009D3371"/>
    <w:rsid w:val="009E24AA"/>
    <w:rsid w:val="009F274E"/>
    <w:rsid w:val="009F70E6"/>
    <w:rsid w:val="00A0136F"/>
    <w:rsid w:val="00A02301"/>
    <w:rsid w:val="00A13C52"/>
    <w:rsid w:val="00A146C0"/>
    <w:rsid w:val="00A36FE1"/>
    <w:rsid w:val="00A41EC8"/>
    <w:rsid w:val="00A64950"/>
    <w:rsid w:val="00A7469A"/>
    <w:rsid w:val="00A76074"/>
    <w:rsid w:val="00A917AB"/>
    <w:rsid w:val="00AA2618"/>
    <w:rsid w:val="00AB2E67"/>
    <w:rsid w:val="00AB6343"/>
    <w:rsid w:val="00AE2F3C"/>
    <w:rsid w:val="00AE348C"/>
    <w:rsid w:val="00AF44C1"/>
    <w:rsid w:val="00AF4F1B"/>
    <w:rsid w:val="00B00E09"/>
    <w:rsid w:val="00B02E13"/>
    <w:rsid w:val="00B06823"/>
    <w:rsid w:val="00B63802"/>
    <w:rsid w:val="00B75A18"/>
    <w:rsid w:val="00BA1443"/>
    <w:rsid w:val="00BD1B8C"/>
    <w:rsid w:val="00BE3A7C"/>
    <w:rsid w:val="00BE61EF"/>
    <w:rsid w:val="00BF00F5"/>
    <w:rsid w:val="00BF437C"/>
    <w:rsid w:val="00C13470"/>
    <w:rsid w:val="00C243C9"/>
    <w:rsid w:val="00C639EA"/>
    <w:rsid w:val="00C82596"/>
    <w:rsid w:val="00CC57CC"/>
    <w:rsid w:val="00CE46DF"/>
    <w:rsid w:val="00D06EAA"/>
    <w:rsid w:val="00D14FA0"/>
    <w:rsid w:val="00D412C1"/>
    <w:rsid w:val="00D56D68"/>
    <w:rsid w:val="00D75394"/>
    <w:rsid w:val="00D828F0"/>
    <w:rsid w:val="00D83491"/>
    <w:rsid w:val="00D84297"/>
    <w:rsid w:val="00DB2808"/>
    <w:rsid w:val="00DC7557"/>
    <w:rsid w:val="00DD5900"/>
    <w:rsid w:val="00DD6EBE"/>
    <w:rsid w:val="00E04E7D"/>
    <w:rsid w:val="00E068A0"/>
    <w:rsid w:val="00E55F83"/>
    <w:rsid w:val="00E66088"/>
    <w:rsid w:val="00E755FF"/>
    <w:rsid w:val="00E90986"/>
    <w:rsid w:val="00E9284E"/>
    <w:rsid w:val="00E966B1"/>
    <w:rsid w:val="00ED4679"/>
    <w:rsid w:val="00ED6995"/>
    <w:rsid w:val="00EE7885"/>
    <w:rsid w:val="00EF3FEF"/>
    <w:rsid w:val="00F005AA"/>
    <w:rsid w:val="00F0241D"/>
    <w:rsid w:val="00F20284"/>
    <w:rsid w:val="00F260E0"/>
    <w:rsid w:val="00F35C92"/>
    <w:rsid w:val="00F514E6"/>
    <w:rsid w:val="00F55287"/>
    <w:rsid w:val="00FA6084"/>
    <w:rsid w:val="00FB0D48"/>
    <w:rsid w:val="00FC0AB1"/>
    <w:rsid w:val="00FC276C"/>
    <w:rsid w:val="00FF17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5FAD6E"/>
  <w15:docId w15:val="{442B98CB-B692-45E0-B8DF-9B2CD8856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26B"/>
    <w:pPr>
      <w:spacing w:line="340" w:lineRule="atLeast"/>
      <w:jc w:val="both"/>
    </w:pPr>
    <w:rPr>
      <w:rFonts w:ascii="Times New Roman" w:eastAsia="Times New Roman" w:hAnsi="Times New Roman"/>
      <w:color w:val="000000"/>
      <w:sz w:val="24"/>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basedOn w:val="MDPI31text"/>
    <w:next w:val="MDPI12title"/>
    <w:qFormat/>
    <w:rsid w:val="0046726B"/>
    <w:pPr>
      <w:spacing w:before="240" w:line="240" w:lineRule="auto"/>
      <w:ind w:firstLine="0"/>
      <w:jc w:val="left"/>
    </w:pPr>
    <w:rPr>
      <w:i/>
    </w:rPr>
  </w:style>
  <w:style w:type="paragraph" w:customStyle="1" w:styleId="MDPI12title">
    <w:name w:val="MDPI_1.2_title"/>
    <w:next w:val="MDPI13authornames"/>
    <w:qFormat/>
    <w:rsid w:val="0046726B"/>
    <w:pPr>
      <w:adjustRightInd w:val="0"/>
      <w:snapToGrid w:val="0"/>
      <w:spacing w:after="240" w:line="400" w:lineRule="exact"/>
    </w:pPr>
    <w:rPr>
      <w:rFonts w:ascii="Palatino Linotype" w:eastAsia="Times New Roman" w:hAnsi="Palatino Linotype"/>
      <w:b/>
      <w:snapToGrid w:val="0"/>
      <w:color w:val="000000"/>
      <w:sz w:val="36"/>
      <w:lang w:val="en-US" w:eastAsia="de-DE" w:bidi="en-US"/>
    </w:rPr>
  </w:style>
  <w:style w:type="paragraph" w:customStyle="1" w:styleId="MDPI13authornames">
    <w:name w:val="MDPI_1.3_authornames"/>
    <w:basedOn w:val="MDPI31text"/>
    <w:next w:val="MDPI14history"/>
    <w:qFormat/>
    <w:rsid w:val="0046726B"/>
    <w:pPr>
      <w:spacing w:after="120"/>
      <w:ind w:firstLine="0"/>
      <w:jc w:val="left"/>
    </w:pPr>
    <w:rPr>
      <w:b/>
      <w:snapToGrid/>
    </w:rPr>
  </w:style>
  <w:style w:type="paragraph" w:customStyle="1" w:styleId="MDPI14history">
    <w:name w:val="MDPI_1.4_history"/>
    <w:basedOn w:val="MDPI62Acknowledgments"/>
    <w:next w:val="Normal"/>
    <w:qFormat/>
    <w:rsid w:val="0046726B"/>
    <w:pPr>
      <w:ind w:left="113"/>
      <w:jc w:val="left"/>
    </w:pPr>
    <w:rPr>
      <w:snapToGrid/>
    </w:rPr>
  </w:style>
  <w:style w:type="paragraph" w:customStyle="1" w:styleId="MDPI16affiliation">
    <w:name w:val="MDPI_1.6_affiliation"/>
    <w:basedOn w:val="MDPI62Acknowledgments"/>
    <w:qFormat/>
    <w:rsid w:val="0046726B"/>
    <w:pPr>
      <w:spacing w:before="0"/>
      <w:ind w:left="311" w:hanging="198"/>
      <w:jc w:val="left"/>
    </w:pPr>
    <w:rPr>
      <w:snapToGrid/>
      <w:szCs w:val="18"/>
    </w:rPr>
  </w:style>
  <w:style w:type="paragraph" w:customStyle="1" w:styleId="MDPI17abstract">
    <w:name w:val="MDPI_1.7_abstract"/>
    <w:basedOn w:val="MDPI31text"/>
    <w:next w:val="MDPI18keywords"/>
    <w:qFormat/>
    <w:rsid w:val="0046726B"/>
    <w:pPr>
      <w:spacing w:before="240"/>
      <w:ind w:left="113" w:firstLine="0"/>
    </w:pPr>
    <w:rPr>
      <w:snapToGrid/>
    </w:rPr>
  </w:style>
  <w:style w:type="paragraph" w:customStyle="1" w:styleId="MDPI18keywords">
    <w:name w:val="MDPI_1.8_keywords"/>
    <w:basedOn w:val="MDPI31text"/>
    <w:next w:val="Normal"/>
    <w:qFormat/>
    <w:rsid w:val="0046726B"/>
    <w:pPr>
      <w:spacing w:before="240"/>
      <w:ind w:left="113" w:firstLine="0"/>
    </w:pPr>
  </w:style>
  <w:style w:type="paragraph" w:customStyle="1" w:styleId="MDPI19line">
    <w:name w:val="MDPI_1.9_line"/>
    <w:basedOn w:val="MDPI31text"/>
    <w:qFormat/>
    <w:rsid w:val="0046726B"/>
    <w:pPr>
      <w:pBdr>
        <w:bottom w:val="single" w:sz="6" w:space="1" w:color="auto"/>
      </w:pBdr>
      <w:ind w:firstLine="0"/>
    </w:pPr>
    <w:rPr>
      <w:snapToGrid/>
      <w:szCs w:val="24"/>
    </w:rPr>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46726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6726B"/>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sid w:val="0046726B"/>
    <w:rPr>
      <w:rFonts w:ascii="Times New Roman" w:eastAsia="Times New Roman" w:hAnsi="Times New Roman" w:cs="Times New Roman"/>
      <w:color w:val="000000"/>
      <w:kern w:val="0"/>
      <w:sz w:val="18"/>
      <w:szCs w:val="18"/>
      <w:lang w:eastAsia="de-DE"/>
    </w:rPr>
  </w:style>
  <w:style w:type="paragraph" w:styleId="Header">
    <w:name w:val="header"/>
    <w:basedOn w:val="Normal"/>
    <w:link w:val="HeaderChar"/>
    <w:uiPriority w:val="99"/>
    <w:rsid w:val="0046726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46726B"/>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46726B"/>
    <w:pPr>
      <w:adjustRightInd w:val="0"/>
      <w:snapToGrid w:val="0"/>
    </w:pPr>
    <w:rPr>
      <w:rFonts w:ascii="Palatino Linotype" w:eastAsia="Times New Roman" w:hAnsi="Palatino Linotype"/>
      <w:i/>
      <w:color w:val="000000"/>
      <w:sz w:val="24"/>
      <w:szCs w:val="22"/>
      <w:lang w:val="en-US" w:eastAsia="de-CH"/>
    </w:rPr>
  </w:style>
  <w:style w:type="paragraph" w:customStyle="1" w:styleId="MDPI32textnoindent">
    <w:name w:val="MDPI_3.2_text_no_indent"/>
    <w:basedOn w:val="MDPI31text"/>
    <w:qFormat/>
    <w:rsid w:val="0046726B"/>
    <w:pPr>
      <w:ind w:firstLine="0"/>
    </w:pPr>
  </w:style>
  <w:style w:type="paragraph" w:customStyle="1" w:styleId="MDPI33textspaceafter">
    <w:name w:val="MDPI_3.3_text_space_after"/>
    <w:basedOn w:val="MDPI31text"/>
    <w:qFormat/>
    <w:rsid w:val="0046726B"/>
    <w:pPr>
      <w:spacing w:after="240"/>
    </w:pPr>
  </w:style>
  <w:style w:type="paragraph" w:customStyle="1" w:styleId="MDPI34textspacebefore">
    <w:name w:val="MDPI_3.4_text_space_before"/>
    <w:basedOn w:val="MDPI31text"/>
    <w:qFormat/>
    <w:rsid w:val="0046726B"/>
    <w:pPr>
      <w:spacing w:before="240"/>
    </w:pPr>
  </w:style>
  <w:style w:type="paragraph" w:customStyle="1" w:styleId="MDPI35textbeforelist">
    <w:name w:val="MDPI_3.5_text_before_list"/>
    <w:basedOn w:val="MDPI31text"/>
    <w:qFormat/>
    <w:rsid w:val="0046726B"/>
    <w:pPr>
      <w:spacing w:after="120"/>
    </w:pPr>
  </w:style>
  <w:style w:type="paragraph" w:customStyle="1" w:styleId="MDPI36textafterlist">
    <w:name w:val="MDPI_3.6_text_after_list"/>
    <w:basedOn w:val="MDPI31text"/>
    <w:qFormat/>
    <w:rsid w:val="0046726B"/>
    <w:pPr>
      <w:spacing w:before="120"/>
    </w:pPr>
  </w:style>
  <w:style w:type="paragraph" w:customStyle="1" w:styleId="MDPI37itemize">
    <w:name w:val="MDPI_3.7_itemize"/>
    <w:basedOn w:val="MDPI31text"/>
    <w:qFormat/>
    <w:rsid w:val="0046726B"/>
    <w:pPr>
      <w:numPr>
        <w:numId w:val="1"/>
      </w:numPr>
      <w:ind w:left="425" w:hanging="425"/>
    </w:pPr>
  </w:style>
  <w:style w:type="paragraph" w:customStyle="1" w:styleId="MDPI38bullet">
    <w:name w:val="MDPI_3.8_bullet"/>
    <w:basedOn w:val="MDPI31text"/>
    <w:qFormat/>
    <w:rsid w:val="0046726B"/>
    <w:pPr>
      <w:numPr>
        <w:numId w:val="2"/>
      </w:numPr>
      <w:ind w:left="425" w:hanging="425"/>
    </w:pPr>
  </w:style>
  <w:style w:type="paragraph" w:customStyle="1" w:styleId="MDPI39equation">
    <w:name w:val="MDPI_3.9_equation"/>
    <w:basedOn w:val="MDPI31text"/>
    <w:qFormat/>
    <w:rsid w:val="0046726B"/>
    <w:pPr>
      <w:spacing w:before="120" w:after="120"/>
      <w:ind w:left="709" w:firstLine="0"/>
      <w:jc w:val="center"/>
    </w:pPr>
  </w:style>
  <w:style w:type="paragraph" w:customStyle="1" w:styleId="MDPI3aequationnumber">
    <w:name w:val="MDPI_3.a_equation_number"/>
    <w:basedOn w:val="MDPI31text"/>
    <w:qFormat/>
    <w:rsid w:val="0046726B"/>
    <w:pPr>
      <w:spacing w:before="120" w:after="120" w:line="240" w:lineRule="auto"/>
      <w:ind w:firstLine="0"/>
      <w:jc w:val="right"/>
    </w:pPr>
  </w:style>
  <w:style w:type="paragraph" w:customStyle="1" w:styleId="MDPI62Acknowledgments">
    <w:name w:val="MDPI_6.2_Acknowledgments"/>
    <w:qFormat/>
    <w:rsid w:val="0046726B"/>
    <w:pPr>
      <w:adjustRightInd w:val="0"/>
      <w:snapToGrid w:val="0"/>
      <w:spacing w:before="120" w:line="200" w:lineRule="atLeast"/>
      <w:jc w:val="both"/>
    </w:pPr>
    <w:rPr>
      <w:rFonts w:ascii="Palatino Linotype" w:eastAsia="Times New Roman" w:hAnsi="Palatino Linotype"/>
      <w:snapToGrid w:val="0"/>
      <w:color w:val="000000"/>
      <w:sz w:val="18"/>
      <w:lang w:val="en-US" w:eastAsia="de-DE" w:bidi="en-US"/>
    </w:rPr>
  </w:style>
  <w:style w:type="paragraph" w:customStyle="1" w:styleId="MDPI41tablecaption">
    <w:name w:val="MDPI_4.1_table_caption"/>
    <w:basedOn w:val="MDPI62Acknowledgments"/>
    <w:qFormat/>
    <w:rsid w:val="0046726B"/>
    <w:pPr>
      <w:spacing w:before="240" w:after="120" w:line="260" w:lineRule="atLeast"/>
      <w:ind w:left="425" w:right="425"/>
    </w:pPr>
    <w:rPr>
      <w:snapToGrid/>
      <w:szCs w:val="22"/>
    </w:rPr>
  </w:style>
  <w:style w:type="paragraph" w:customStyle="1" w:styleId="MDPI42tablebody">
    <w:name w:val="MDPI_4.2_table_body"/>
    <w:qFormat/>
    <w:rsid w:val="007D1435"/>
    <w:pPr>
      <w:adjustRightInd w:val="0"/>
      <w:snapToGrid w:val="0"/>
      <w:spacing w:line="260" w:lineRule="atLeast"/>
      <w:jc w:val="center"/>
    </w:pPr>
    <w:rPr>
      <w:rFonts w:ascii="Palatino Linotype" w:eastAsia="Times New Roman" w:hAnsi="Palatino Linotype"/>
      <w:snapToGrid w:val="0"/>
      <w:color w:val="000000"/>
      <w:lang w:val="en-US" w:eastAsia="de-DE" w:bidi="en-US"/>
    </w:rPr>
  </w:style>
  <w:style w:type="paragraph" w:customStyle="1" w:styleId="MDPI43tablefooter">
    <w:name w:val="MDPI_4.3_table_footer"/>
    <w:basedOn w:val="MDPI41tablecaption"/>
    <w:next w:val="MDPI31text"/>
    <w:qFormat/>
    <w:rsid w:val="0046726B"/>
    <w:pPr>
      <w:spacing w:before="0"/>
      <w:ind w:left="0" w:right="0"/>
    </w:pPr>
  </w:style>
  <w:style w:type="paragraph" w:customStyle="1" w:styleId="MDPI51figurecaption">
    <w:name w:val="MDPI_5.1_figure_caption"/>
    <w:basedOn w:val="MDPI62Acknowledgments"/>
    <w:qFormat/>
    <w:rsid w:val="0046726B"/>
    <w:pPr>
      <w:spacing w:after="240" w:line="260" w:lineRule="atLeast"/>
      <w:ind w:left="425" w:right="425"/>
    </w:pPr>
    <w:rPr>
      <w:snapToGrid/>
    </w:rPr>
  </w:style>
  <w:style w:type="paragraph" w:customStyle="1" w:styleId="MDPI52figure">
    <w:name w:val="MDPI_5.2_figure"/>
    <w:qFormat/>
    <w:rsid w:val="0046726B"/>
    <w:pPr>
      <w:jc w:val="center"/>
    </w:pPr>
    <w:rPr>
      <w:rFonts w:ascii="Palatino Linotype" w:eastAsia="Times New Roman" w:hAnsi="Palatino Linotype"/>
      <w:snapToGrid w:val="0"/>
      <w:color w:val="000000"/>
      <w:sz w:val="24"/>
      <w:lang w:val="en-US" w:eastAsia="de-DE" w:bidi="en-US"/>
    </w:rPr>
  </w:style>
  <w:style w:type="paragraph" w:customStyle="1" w:styleId="MDPI61Supplementary">
    <w:name w:val="MDPI_6.1_Supplementary"/>
    <w:basedOn w:val="MDPI62Acknowledgments"/>
    <w:qFormat/>
    <w:rsid w:val="0046726B"/>
    <w:pPr>
      <w:spacing w:before="240"/>
    </w:pPr>
    <w:rPr>
      <w:lang w:eastAsia="en-US"/>
    </w:rPr>
  </w:style>
  <w:style w:type="paragraph" w:customStyle="1" w:styleId="MDPI63AuthorContributions">
    <w:name w:val="MDPI_6.3_AuthorContributions"/>
    <w:basedOn w:val="MDPI62Acknowledgments"/>
    <w:qFormat/>
    <w:rsid w:val="0046726B"/>
    <w:rPr>
      <w:rFonts w:eastAsia="SimSun"/>
      <w:color w:val="auto"/>
      <w:lang w:eastAsia="en-US"/>
    </w:rPr>
  </w:style>
  <w:style w:type="paragraph" w:customStyle="1" w:styleId="MDPI64CoI">
    <w:name w:val="MDPI_6.4_CoI"/>
    <w:basedOn w:val="MDPI62Acknowledgments"/>
    <w:qFormat/>
    <w:rsid w:val="0046726B"/>
  </w:style>
  <w:style w:type="paragraph" w:customStyle="1" w:styleId="MDPI81theorem">
    <w:name w:val="MDPI_8.1_theorem"/>
    <w:basedOn w:val="MDPI32textnoindent"/>
    <w:qFormat/>
    <w:rsid w:val="0046726B"/>
    <w:rPr>
      <w:i/>
    </w:rPr>
  </w:style>
  <w:style w:type="paragraph" w:customStyle="1" w:styleId="MDPI82proof">
    <w:name w:val="MDPI_8.2_proof"/>
    <w:basedOn w:val="MDPI32textnoindent"/>
    <w:qFormat/>
    <w:rsid w:val="0046726B"/>
  </w:style>
  <w:style w:type="paragraph" w:customStyle="1" w:styleId="MDPIfooterfirstpage">
    <w:name w:val="MDPI_footer_firstpage"/>
    <w:basedOn w:val="Normal"/>
    <w:qFormat/>
    <w:rsid w:val="0046726B"/>
    <w:pPr>
      <w:tabs>
        <w:tab w:val="right" w:pos="8845"/>
      </w:tabs>
      <w:adjustRightInd w:val="0"/>
      <w:snapToGrid w:val="0"/>
      <w:spacing w:before="120" w:line="160" w:lineRule="exact"/>
      <w:jc w:val="left"/>
    </w:pPr>
    <w:rPr>
      <w:rFonts w:ascii="Palatino Linotype" w:hAnsi="Palatino Linotype"/>
      <w:color w:val="auto"/>
      <w:sz w:val="16"/>
    </w:rPr>
  </w:style>
  <w:style w:type="paragraph" w:customStyle="1" w:styleId="MDPI31text">
    <w:name w:val="MDPI_3.1_text"/>
    <w:qFormat/>
    <w:rsid w:val="0046726B"/>
    <w:pPr>
      <w:adjustRightInd w:val="0"/>
      <w:snapToGrid w:val="0"/>
      <w:spacing w:line="260" w:lineRule="atLeast"/>
      <w:ind w:firstLine="425"/>
      <w:jc w:val="both"/>
    </w:pPr>
    <w:rPr>
      <w:rFonts w:ascii="Palatino Linotype" w:eastAsia="Times New Roman" w:hAnsi="Palatino Linotype"/>
      <w:snapToGrid w:val="0"/>
      <w:color w:val="000000"/>
      <w:szCs w:val="22"/>
      <w:lang w:val="en-US" w:eastAsia="de-DE" w:bidi="en-US"/>
    </w:rPr>
  </w:style>
  <w:style w:type="paragraph" w:customStyle="1" w:styleId="MDPI23heading3">
    <w:name w:val="MDPI_2.3_heading3"/>
    <w:basedOn w:val="MDPI31text"/>
    <w:qFormat/>
    <w:rsid w:val="0046726B"/>
    <w:pPr>
      <w:spacing w:before="240" w:after="120"/>
      <w:ind w:firstLine="0"/>
      <w:jc w:val="left"/>
      <w:outlineLvl w:val="2"/>
    </w:pPr>
  </w:style>
  <w:style w:type="paragraph" w:customStyle="1" w:styleId="MDPI21heading1">
    <w:name w:val="MDPI_2.1_heading1"/>
    <w:basedOn w:val="MDPI23heading3"/>
    <w:qFormat/>
    <w:rsid w:val="0046726B"/>
    <w:pPr>
      <w:outlineLvl w:val="0"/>
    </w:pPr>
    <w:rPr>
      <w:b/>
    </w:rPr>
  </w:style>
  <w:style w:type="paragraph" w:customStyle="1" w:styleId="MDPI22heading2">
    <w:name w:val="MDPI_2.2_heading2"/>
    <w:basedOn w:val="Normal"/>
    <w:qFormat/>
    <w:rsid w:val="0046726B"/>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46726B"/>
    <w:pPr>
      <w:numPr>
        <w:numId w:val="3"/>
      </w:numPr>
      <w:spacing w:before="0" w:line="260" w:lineRule="atLeast"/>
      <w:ind w:left="425" w:hanging="425"/>
    </w:pPr>
  </w:style>
  <w:style w:type="paragraph" w:styleId="BalloonText">
    <w:name w:val="Balloon Text"/>
    <w:basedOn w:val="Normal"/>
    <w:link w:val="BalloonTextChar"/>
    <w:uiPriority w:val="99"/>
    <w:semiHidden/>
    <w:unhideWhenUsed/>
    <w:rsid w:val="0046726B"/>
    <w:pPr>
      <w:spacing w:line="240" w:lineRule="auto"/>
    </w:pPr>
    <w:rPr>
      <w:sz w:val="18"/>
      <w:szCs w:val="18"/>
    </w:rPr>
  </w:style>
  <w:style w:type="character" w:customStyle="1" w:styleId="BalloonTextChar">
    <w:name w:val="Balloon Text Char"/>
    <w:link w:val="BalloonText"/>
    <w:uiPriority w:val="99"/>
    <w:semiHidden/>
    <w:rsid w:val="0046726B"/>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46726B"/>
  </w:style>
  <w:style w:type="table" w:customStyle="1" w:styleId="MDPI41threelinetable">
    <w:name w:val="MDPI_4.1_three_line_table"/>
    <w:basedOn w:val="TableNormal"/>
    <w:uiPriority w:val="99"/>
    <w:rsid w:val="007D1435"/>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Tahoma" w:hAnsi="Tahoma"/>
        <w:b/>
        <w:i w:val="0"/>
        <w:sz w:val="20"/>
      </w:rPr>
      <w:tblPr/>
      <w:tcPr>
        <w:tcBorders>
          <w:bottom w:val="single" w:sz="4" w:space="0" w:color="auto"/>
        </w:tcBorders>
      </w:tcPr>
    </w:tblStylePr>
  </w:style>
  <w:style w:type="character" w:styleId="Hyperlink">
    <w:name w:val="Hyperlink"/>
    <w:uiPriority w:val="99"/>
    <w:unhideWhenUsed/>
    <w:rsid w:val="00FB0D48"/>
    <w:rPr>
      <w:color w:val="0563C1"/>
      <w:u w:val="single"/>
    </w:rPr>
  </w:style>
  <w:style w:type="character" w:customStyle="1" w:styleId="UnresolvedMention">
    <w:name w:val="Unresolved Mention"/>
    <w:uiPriority w:val="99"/>
    <w:semiHidden/>
    <w:unhideWhenUsed/>
    <w:rsid w:val="00C243C9"/>
    <w:rPr>
      <w:color w:val="605E5C"/>
      <w:shd w:val="clear" w:color="auto" w:fill="E1DFDD"/>
    </w:rPr>
  </w:style>
  <w:style w:type="table" w:customStyle="1" w:styleId="PlainTable41">
    <w:name w:val="Plain Table 41"/>
    <w:basedOn w:val="Table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istParagraph">
    <w:name w:val="List Paragraph"/>
    <w:basedOn w:val="Normal"/>
    <w:uiPriority w:val="34"/>
    <w:qFormat/>
    <w:rsid w:val="00D84297"/>
    <w:pPr>
      <w:spacing w:after="200" w:line="276" w:lineRule="auto"/>
      <w:ind w:left="720"/>
      <w:contextualSpacing/>
      <w:jc w:val="left"/>
    </w:pPr>
    <w:rPr>
      <w:rFonts w:ascii="Calibri" w:eastAsia="Calibri" w:hAnsi="Calibri"/>
      <w:color w:val="auto"/>
      <w:sz w:val="22"/>
      <w:szCs w:val="22"/>
      <w:lang w:val="en-GB" w:eastAsia="en-US"/>
    </w:rPr>
  </w:style>
  <w:style w:type="character" w:styleId="CommentReference">
    <w:name w:val="annotation reference"/>
    <w:basedOn w:val="DefaultParagraphFont"/>
    <w:uiPriority w:val="99"/>
    <w:semiHidden/>
    <w:unhideWhenUsed/>
    <w:rsid w:val="00737107"/>
    <w:rPr>
      <w:sz w:val="16"/>
      <w:szCs w:val="16"/>
    </w:rPr>
  </w:style>
  <w:style w:type="paragraph" w:styleId="CommentText">
    <w:name w:val="annotation text"/>
    <w:basedOn w:val="Normal"/>
    <w:link w:val="CommentTextChar"/>
    <w:uiPriority w:val="99"/>
    <w:semiHidden/>
    <w:unhideWhenUsed/>
    <w:rsid w:val="00737107"/>
    <w:rPr>
      <w:sz w:val="20"/>
    </w:rPr>
  </w:style>
  <w:style w:type="character" w:customStyle="1" w:styleId="CommentTextChar">
    <w:name w:val="Comment Text Char"/>
    <w:basedOn w:val="DefaultParagraphFont"/>
    <w:link w:val="CommentText"/>
    <w:uiPriority w:val="99"/>
    <w:semiHidden/>
    <w:rsid w:val="00737107"/>
    <w:rPr>
      <w:rFonts w:ascii="Times New Roman" w:eastAsia="Times New Roman" w:hAnsi="Times New Roman"/>
      <w:color w:val="000000"/>
      <w:lang w:val="en-US" w:eastAsia="de-DE"/>
    </w:rPr>
  </w:style>
  <w:style w:type="paragraph" w:styleId="CommentSubject">
    <w:name w:val="annotation subject"/>
    <w:basedOn w:val="CommentText"/>
    <w:next w:val="CommentText"/>
    <w:link w:val="CommentSubjectChar"/>
    <w:uiPriority w:val="99"/>
    <w:semiHidden/>
    <w:unhideWhenUsed/>
    <w:rsid w:val="00737107"/>
    <w:rPr>
      <w:b/>
      <w:bCs/>
    </w:rPr>
  </w:style>
  <w:style w:type="character" w:customStyle="1" w:styleId="CommentSubjectChar">
    <w:name w:val="Comment Subject Char"/>
    <w:basedOn w:val="CommentTextChar"/>
    <w:link w:val="CommentSubject"/>
    <w:uiPriority w:val="99"/>
    <w:semiHidden/>
    <w:rsid w:val="00737107"/>
    <w:rPr>
      <w:rFonts w:ascii="Times New Roman" w:eastAsia="Times New Roman" w:hAnsi="Times New Roman"/>
      <w:b/>
      <w:bCs/>
      <w:color w:val="00000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features/factfiles/obesity/en/" TargetMode="External"/><Relationship Id="rId13" Type="http://schemas.openxmlformats.org/officeDocument/2006/relationships/hyperlink" Target="https://www.gov.uk/government/publications/health-matters-obesity-and-the-food-environment/health-matters-obesity-and-the-food-environment--2"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kwb@mrc.soton.ac.uk" TargetMode="External"/><Relationship Id="rId12" Type="http://schemas.openxmlformats.org/officeDocument/2006/relationships/hyperlink" Target="https://www.ons.gov.uk/employmentandlabourmarket/peopleinwork/employmentandemployeetypes/datasets/employmentunemploymentandeconomicinactivitybyagegroupseasonallyadjusteda05s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eurostat/statistics-explained/index.php/Population_structure_and_ageing" TargetMode="External"/><Relationship Id="rId5" Type="http://schemas.openxmlformats.org/officeDocument/2006/relationships/footnotes" Target="footnotes.xml"/><Relationship Id="rId15" Type="http://schemas.openxmlformats.org/officeDocument/2006/relationships/hyperlink" Target="http://www.euro.who.int/en/health-topics/disease-prevention/nutrition/a-healthy-lifestyle/body-mass-index-bmi" TargetMode="External"/><Relationship Id="rId23" Type="http://schemas.openxmlformats.org/officeDocument/2006/relationships/theme" Target="theme/theme1.xml"/><Relationship Id="rId10" Type="http://schemas.openxmlformats.org/officeDocument/2006/relationships/hyperlink" Target="http://healthsurvey.hscic.gov.uk/media/63745/HSE2016-Adult-obe.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yumpu.com/en/document/read/7926879/obesity-and-mental-health-national-obesity-observatory" TargetMode="External"/><Relationship Id="rId14" Type="http://schemas.openxmlformats.org/officeDocument/2006/relationships/hyperlink" Target="https://www.gov.uk/government/publications/drug-and-alcohol-addiction-and-obesity-effects-on-employment-outcome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herine.linaker\Downloads\ijerph-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ijerph-template</Template>
  <TotalTime>3</TotalTime>
  <Pages>14</Pages>
  <Words>7307</Words>
  <Characters>41655</Characters>
  <Application>Microsoft Office Word</Application>
  <DocSecurity>4</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48865</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Linaker</dc:creator>
  <cp:lastModifiedBy>Karen Drake</cp:lastModifiedBy>
  <cp:revision>2</cp:revision>
  <cp:lastPrinted>2020-02-12T03:42:00Z</cp:lastPrinted>
  <dcterms:created xsi:type="dcterms:W3CDTF">2020-03-05T12:06:00Z</dcterms:created>
  <dcterms:modified xsi:type="dcterms:W3CDTF">2020-03-05T12:06:00Z</dcterms:modified>
</cp:coreProperties>
</file>