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CFBE" w14:textId="661D603B" w:rsidR="0049375F" w:rsidRDefault="0049375F" w:rsidP="00BF0C8D">
      <w:pPr>
        <w:jc w:val="both"/>
        <w:rPr>
          <w:b/>
          <w:szCs w:val="20"/>
          <w:lang w:eastAsia="en-US"/>
        </w:rPr>
      </w:pPr>
      <w:r w:rsidRPr="0058289B">
        <w:rPr>
          <w:b/>
          <w:szCs w:val="20"/>
          <w:lang w:eastAsia="en-US"/>
        </w:rPr>
        <w:t xml:space="preserve">‘ONE HAND FOR THE SHIP’: THE DEVELOPMENT OF ERGONOMICS GUIDANCE </w:t>
      </w:r>
      <w:r w:rsidR="00276BC8" w:rsidRPr="0058289B">
        <w:rPr>
          <w:b/>
          <w:szCs w:val="20"/>
          <w:lang w:eastAsia="en-US"/>
        </w:rPr>
        <w:t xml:space="preserve">FOR </w:t>
      </w:r>
      <w:r w:rsidRPr="0058289B">
        <w:rPr>
          <w:b/>
          <w:szCs w:val="20"/>
          <w:lang w:eastAsia="en-US"/>
        </w:rPr>
        <w:t>ACCESS AND EGRESS</w:t>
      </w:r>
      <w:r>
        <w:rPr>
          <w:b/>
          <w:szCs w:val="20"/>
          <w:lang w:eastAsia="en-US"/>
        </w:rPr>
        <w:t xml:space="preserve"> </w:t>
      </w:r>
    </w:p>
    <w:p w14:paraId="11FEA73A" w14:textId="716219E2" w:rsidR="00BF0C8D" w:rsidRDefault="00BF0C8D" w:rsidP="00BF0C8D">
      <w:pPr>
        <w:jc w:val="both"/>
        <w:rPr>
          <w:b/>
          <w:szCs w:val="20"/>
          <w:lang w:eastAsia="en-US"/>
        </w:rPr>
      </w:pPr>
    </w:p>
    <w:p w14:paraId="55FD7EAE" w14:textId="16A1FE3C" w:rsidR="00AD793B" w:rsidRDefault="003A7796" w:rsidP="003A7796">
      <w:pPr>
        <w:jc w:val="both"/>
        <w:rPr>
          <w:sz w:val="20"/>
        </w:rPr>
      </w:pPr>
      <w:r w:rsidRPr="00EF4A5B">
        <w:rPr>
          <w:b/>
          <w:sz w:val="20"/>
        </w:rPr>
        <w:t>D Oakley,</w:t>
      </w:r>
      <w:r w:rsidRPr="00EF4A5B">
        <w:rPr>
          <w:sz w:val="20"/>
        </w:rPr>
        <w:t xml:space="preserve"> </w:t>
      </w:r>
      <w:r w:rsidR="00D6576E" w:rsidRPr="00EF4A5B">
        <w:rPr>
          <w:sz w:val="20"/>
        </w:rPr>
        <w:t xml:space="preserve">University of Southampton, </w:t>
      </w:r>
      <w:r w:rsidRPr="00EF4A5B">
        <w:rPr>
          <w:sz w:val="20"/>
        </w:rPr>
        <w:t>UK</w:t>
      </w:r>
    </w:p>
    <w:p w14:paraId="21E6EA21" w14:textId="25FDDA07" w:rsidR="00F340D0" w:rsidRDefault="00F340D0" w:rsidP="003A7796">
      <w:pPr>
        <w:jc w:val="both"/>
        <w:rPr>
          <w:sz w:val="20"/>
        </w:rPr>
      </w:pPr>
      <w:r w:rsidRPr="006F2170">
        <w:rPr>
          <w:b/>
          <w:sz w:val="20"/>
        </w:rPr>
        <w:t>J</w:t>
      </w:r>
      <w:r w:rsidR="00D1027A">
        <w:rPr>
          <w:b/>
          <w:sz w:val="20"/>
        </w:rPr>
        <w:t xml:space="preserve"> V</w:t>
      </w:r>
      <w:r w:rsidRPr="006F2170">
        <w:rPr>
          <w:b/>
          <w:sz w:val="20"/>
        </w:rPr>
        <w:t xml:space="preserve"> Earthy</w:t>
      </w:r>
      <w:r w:rsidR="00D1027A">
        <w:rPr>
          <w:b/>
          <w:sz w:val="20"/>
        </w:rPr>
        <w:t xml:space="preserve"> </w:t>
      </w:r>
      <w:r w:rsidR="00D1027A" w:rsidRPr="00D1027A">
        <w:rPr>
          <w:bCs/>
          <w:sz w:val="20"/>
        </w:rPr>
        <w:t>and</w:t>
      </w:r>
      <w:r w:rsidR="00831720" w:rsidRPr="006F2170">
        <w:rPr>
          <w:b/>
          <w:sz w:val="20"/>
        </w:rPr>
        <w:t xml:space="preserve"> A</w:t>
      </w:r>
      <w:r w:rsidR="00D1027A">
        <w:rPr>
          <w:b/>
          <w:sz w:val="20"/>
        </w:rPr>
        <w:t xml:space="preserve"> J</w:t>
      </w:r>
      <w:r w:rsidR="00536297">
        <w:rPr>
          <w:b/>
          <w:sz w:val="20"/>
        </w:rPr>
        <w:t xml:space="preserve"> </w:t>
      </w:r>
      <w:r w:rsidR="00831720" w:rsidRPr="006F2170">
        <w:rPr>
          <w:b/>
          <w:sz w:val="20"/>
        </w:rPr>
        <w:t>Gibbins</w:t>
      </w:r>
      <w:r w:rsidR="00831720">
        <w:rPr>
          <w:sz w:val="20"/>
        </w:rPr>
        <w:t>, Lloyd’s Register, UK</w:t>
      </w:r>
    </w:p>
    <w:p w14:paraId="4D2FE03F" w14:textId="77777777" w:rsidR="00AD793B" w:rsidRPr="00EF4A5B" w:rsidRDefault="00AD793B" w:rsidP="003A7796">
      <w:pPr>
        <w:jc w:val="both"/>
        <w:rPr>
          <w:sz w:val="20"/>
        </w:rPr>
      </w:pPr>
    </w:p>
    <w:p w14:paraId="66D67B95" w14:textId="78E7EB25" w:rsidR="00B211CF" w:rsidRDefault="0049375F" w:rsidP="00E92693">
      <w:pPr>
        <w:jc w:val="both"/>
        <w:rPr>
          <w:b/>
          <w:sz w:val="20"/>
        </w:rPr>
      </w:pPr>
      <w:commentRangeStart w:id="0"/>
      <w:r>
        <w:rPr>
          <w:b/>
          <w:sz w:val="20"/>
        </w:rPr>
        <w:t>SUMMARY</w:t>
      </w:r>
      <w:r w:rsidR="00E92693" w:rsidRPr="00EF4A5B">
        <w:rPr>
          <w:b/>
          <w:sz w:val="20"/>
        </w:rPr>
        <w:t xml:space="preserve"> </w:t>
      </w:r>
      <w:commentRangeEnd w:id="0"/>
      <w:r w:rsidR="004A5677">
        <w:rPr>
          <w:rStyle w:val="CommentReference"/>
          <w:lang w:eastAsia="en-US"/>
        </w:rPr>
        <w:commentReference w:id="0"/>
      </w:r>
    </w:p>
    <w:p w14:paraId="7434F475" w14:textId="77777777" w:rsidR="00AD793B" w:rsidRPr="00B211CF" w:rsidRDefault="00AD793B" w:rsidP="00E92693">
      <w:pPr>
        <w:jc w:val="both"/>
        <w:rPr>
          <w:b/>
          <w:color w:val="FF0000"/>
          <w:sz w:val="20"/>
        </w:rPr>
      </w:pPr>
    </w:p>
    <w:p w14:paraId="4A165D25" w14:textId="77777777" w:rsidR="00581EC0" w:rsidRPr="00A01DE8" w:rsidRDefault="00581EC0" w:rsidP="00581EC0">
      <w:pPr>
        <w:jc w:val="both"/>
        <w:rPr>
          <w:color w:val="000000"/>
          <w:sz w:val="20"/>
        </w:rPr>
      </w:pPr>
      <w:r w:rsidRPr="00A01DE8">
        <w:rPr>
          <w:color w:val="000000"/>
          <w:sz w:val="20"/>
        </w:rPr>
        <w:t xml:space="preserve">Ships are hazardous working environments in which inadequate access and egress arrangements are a leading cause of injuries and fatalities [1]. There is growing awareness that ship design needs to consider the Human Element to mitigate risks to crew safety and Class Rules can contribute. </w:t>
      </w:r>
    </w:p>
    <w:p w14:paraId="57003061" w14:textId="77777777" w:rsidR="00581EC0" w:rsidRPr="00A01DE8" w:rsidRDefault="00581EC0" w:rsidP="00581EC0">
      <w:pPr>
        <w:jc w:val="both"/>
        <w:rPr>
          <w:color w:val="000000"/>
          <w:sz w:val="20"/>
        </w:rPr>
      </w:pPr>
    </w:p>
    <w:p w14:paraId="3D4CCE35" w14:textId="77777777" w:rsidR="00581EC0" w:rsidRDefault="00581EC0" w:rsidP="00581EC0">
      <w:pPr>
        <w:jc w:val="both"/>
        <w:rPr>
          <w:sz w:val="20"/>
        </w:rPr>
      </w:pPr>
      <w:r w:rsidRPr="00A01DE8">
        <w:rPr>
          <w:color w:val="000000"/>
          <w:sz w:val="20"/>
        </w:rPr>
        <w:t>Th</w:t>
      </w:r>
      <w:r>
        <w:rPr>
          <w:color w:val="000000"/>
          <w:sz w:val="20"/>
        </w:rPr>
        <w:t>is</w:t>
      </w:r>
      <w:r w:rsidRPr="00A01DE8">
        <w:rPr>
          <w:color w:val="000000"/>
          <w:sz w:val="20"/>
        </w:rPr>
        <w:t xml:space="preserve"> paper outlines the development of ergonomics guidance for safe access and egress. It provides a background to the current regulatory environment and demonstrates the need for improved guidance on access and egress in the maritime industry. It </w:t>
      </w:r>
      <w:r w:rsidRPr="002F4189">
        <w:rPr>
          <w:sz w:val="20"/>
        </w:rPr>
        <w:t>outline</w:t>
      </w:r>
      <w:r>
        <w:rPr>
          <w:sz w:val="20"/>
        </w:rPr>
        <w:t>s</w:t>
      </w:r>
      <w:r w:rsidRPr="002F4189">
        <w:rPr>
          <w:sz w:val="20"/>
        </w:rPr>
        <w:t xml:space="preserve"> the</w:t>
      </w:r>
      <w:r>
        <w:rPr>
          <w:sz w:val="20"/>
        </w:rPr>
        <w:t xml:space="preserve"> </w:t>
      </w:r>
      <w:r w:rsidRPr="002F4189">
        <w:rPr>
          <w:sz w:val="20"/>
        </w:rPr>
        <w:t>development process including a technical justification of the scope, key criteria and application of ergonomics guidance</w:t>
      </w:r>
      <w:r>
        <w:rPr>
          <w:sz w:val="20"/>
        </w:rPr>
        <w:t xml:space="preserve"> for improved seafarer safety</w:t>
      </w:r>
      <w:r w:rsidRPr="002F4189">
        <w:rPr>
          <w:sz w:val="20"/>
        </w:rPr>
        <w:t xml:space="preserve">. </w:t>
      </w:r>
      <w:r>
        <w:rPr>
          <w:sz w:val="20"/>
        </w:rPr>
        <w:t>It</w:t>
      </w:r>
      <w:r w:rsidRPr="002F4189">
        <w:rPr>
          <w:sz w:val="20"/>
        </w:rPr>
        <w:t xml:space="preserve"> concludes with a critical analysis</w:t>
      </w:r>
      <w:r>
        <w:rPr>
          <w:sz w:val="20"/>
        </w:rPr>
        <w:t xml:space="preserve"> of the development process </w:t>
      </w:r>
      <w:r w:rsidRPr="002F4189">
        <w:rPr>
          <w:sz w:val="20"/>
        </w:rPr>
        <w:t xml:space="preserve">and a brief discussion on the challenges facing </w:t>
      </w:r>
      <w:r w:rsidRPr="002F4189">
        <w:rPr>
          <w:b/>
          <w:sz w:val="20"/>
        </w:rPr>
        <w:t xml:space="preserve">rules </w:t>
      </w:r>
      <w:r w:rsidRPr="007F3DC3">
        <w:rPr>
          <w:b/>
          <w:sz w:val="20"/>
        </w:rPr>
        <w:t>ergonomists</w:t>
      </w:r>
      <w:r>
        <w:rPr>
          <w:sz w:val="20"/>
        </w:rPr>
        <w:t xml:space="preserve"> [2]</w:t>
      </w:r>
      <w:r w:rsidRPr="00C14CFF">
        <w:rPr>
          <w:sz w:val="20"/>
        </w:rPr>
        <w:t>.</w:t>
      </w:r>
    </w:p>
    <w:p w14:paraId="6AE7B178" w14:textId="77777777" w:rsidR="00AD793B" w:rsidRDefault="00AD793B" w:rsidP="00C33069">
      <w:pPr>
        <w:jc w:val="both"/>
        <w:rPr>
          <w:sz w:val="20"/>
        </w:rPr>
      </w:pPr>
    </w:p>
    <w:p w14:paraId="06A418BB" w14:textId="77777777" w:rsidR="00581EC0" w:rsidRDefault="00581EC0" w:rsidP="00581EC0">
      <w:pPr>
        <w:jc w:val="both"/>
        <w:rPr>
          <w:i/>
          <w:sz w:val="20"/>
        </w:rPr>
      </w:pPr>
      <w:r w:rsidRPr="00CB2064">
        <w:rPr>
          <w:i/>
          <w:sz w:val="20"/>
        </w:rPr>
        <w:t>Keywords: Safety, Occupational Healt</w:t>
      </w:r>
      <w:r>
        <w:rPr>
          <w:i/>
          <w:sz w:val="20"/>
        </w:rPr>
        <w:t xml:space="preserve">h, </w:t>
      </w:r>
      <w:r w:rsidRPr="00CB2064">
        <w:rPr>
          <w:i/>
          <w:sz w:val="20"/>
        </w:rPr>
        <w:t>Slips, Trips and Falls, Falls from Height,</w:t>
      </w:r>
      <w:r>
        <w:rPr>
          <w:i/>
          <w:sz w:val="20"/>
        </w:rPr>
        <w:t xml:space="preserve"> Maritime</w:t>
      </w:r>
      <w:r w:rsidRPr="00CB2064">
        <w:rPr>
          <w:i/>
          <w:sz w:val="20"/>
        </w:rPr>
        <w:t xml:space="preserve"> Ergonomics, Access and Egress, Regulation, Class.</w:t>
      </w:r>
    </w:p>
    <w:p w14:paraId="1B7F0946" w14:textId="77777777" w:rsidR="00AD793B" w:rsidRDefault="00AD793B" w:rsidP="00E92693">
      <w:pPr>
        <w:jc w:val="both"/>
        <w:rPr>
          <w:i/>
          <w:sz w:val="20"/>
        </w:rPr>
      </w:pPr>
    </w:p>
    <w:p w14:paraId="61A7D7E2" w14:textId="77777777" w:rsidR="00581EC0" w:rsidRDefault="00581EC0" w:rsidP="00581EC0">
      <w:pPr>
        <w:jc w:val="both"/>
        <w:rPr>
          <w:b/>
          <w:sz w:val="20"/>
        </w:rPr>
      </w:pPr>
      <w:r>
        <w:rPr>
          <w:b/>
          <w:sz w:val="20"/>
        </w:rPr>
        <w:t>NOMENCLATURE</w:t>
      </w:r>
    </w:p>
    <w:p w14:paraId="7F11F4A8" w14:textId="77777777" w:rsidR="00581EC0" w:rsidRDefault="00581EC0" w:rsidP="00581EC0">
      <w:pPr>
        <w:jc w:val="both"/>
        <w:rPr>
          <w:sz w:val="20"/>
        </w:rPr>
      </w:pPr>
    </w:p>
    <w:p w14:paraId="6EE3CA7D" w14:textId="77777777" w:rsidR="00581EC0" w:rsidRPr="00DB026A" w:rsidRDefault="00581EC0" w:rsidP="00581EC0">
      <w:pPr>
        <w:rPr>
          <w:sz w:val="20"/>
        </w:rPr>
      </w:pPr>
      <w:r w:rsidRPr="00DB026A">
        <w:rPr>
          <w:sz w:val="20"/>
        </w:rPr>
        <w:t>ABS</w:t>
      </w:r>
      <w:r w:rsidRPr="00DB026A">
        <w:rPr>
          <w:sz w:val="20"/>
        </w:rPr>
        <w:tab/>
      </w:r>
      <w:r w:rsidRPr="00DB026A">
        <w:rPr>
          <w:sz w:val="20"/>
        </w:rPr>
        <w:tab/>
        <w:t>American Bureau of Shipping</w:t>
      </w:r>
    </w:p>
    <w:p w14:paraId="33DC082F" w14:textId="77777777" w:rsidR="00581EC0" w:rsidRDefault="00581EC0" w:rsidP="00581EC0">
      <w:pPr>
        <w:rPr>
          <w:sz w:val="20"/>
        </w:rPr>
      </w:pPr>
      <w:r w:rsidRPr="00DB026A">
        <w:rPr>
          <w:sz w:val="20"/>
        </w:rPr>
        <w:t>BV</w:t>
      </w:r>
      <w:r w:rsidRPr="00DB026A">
        <w:rPr>
          <w:sz w:val="20"/>
        </w:rPr>
        <w:tab/>
      </w:r>
      <w:r w:rsidRPr="00DB026A">
        <w:rPr>
          <w:sz w:val="20"/>
        </w:rPr>
        <w:tab/>
        <w:t>Bureau Veritas</w:t>
      </w:r>
    </w:p>
    <w:p w14:paraId="1B32C6C6" w14:textId="77777777" w:rsidR="00581EC0" w:rsidRPr="00DB026A" w:rsidRDefault="00581EC0" w:rsidP="00581EC0">
      <w:pPr>
        <w:rPr>
          <w:sz w:val="20"/>
        </w:rPr>
      </w:pPr>
      <w:r>
        <w:rPr>
          <w:sz w:val="20"/>
        </w:rPr>
        <w:t>CSR</w:t>
      </w:r>
      <w:r>
        <w:rPr>
          <w:sz w:val="20"/>
        </w:rPr>
        <w:tab/>
      </w:r>
      <w:r>
        <w:rPr>
          <w:sz w:val="20"/>
        </w:rPr>
        <w:tab/>
        <w:t>Common Structural Rules</w:t>
      </w:r>
    </w:p>
    <w:p w14:paraId="0600494A" w14:textId="77777777" w:rsidR="00581EC0" w:rsidRDefault="00581EC0" w:rsidP="00581EC0">
      <w:pPr>
        <w:ind w:left="1440" w:hanging="1440"/>
        <w:rPr>
          <w:sz w:val="20"/>
        </w:rPr>
      </w:pPr>
      <w:r w:rsidRPr="00654113">
        <w:rPr>
          <w:sz w:val="20"/>
        </w:rPr>
        <w:t>ECL</w:t>
      </w:r>
      <w:r w:rsidRPr="00654113">
        <w:rPr>
          <w:sz w:val="20"/>
        </w:rPr>
        <w:tab/>
        <w:t xml:space="preserve">Ergonomic Container Lashing </w:t>
      </w:r>
    </w:p>
    <w:p w14:paraId="54084791" w14:textId="77777777" w:rsidR="00581EC0" w:rsidRPr="00654113" w:rsidRDefault="00581EC0" w:rsidP="00581EC0">
      <w:pPr>
        <w:ind w:left="1440" w:hanging="1440"/>
        <w:rPr>
          <w:sz w:val="20"/>
        </w:rPr>
      </w:pPr>
      <w:r>
        <w:rPr>
          <w:sz w:val="20"/>
        </w:rPr>
        <w:t>ESAE</w:t>
      </w:r>
      <w:r>
        <w:rPr>
          <w:sz w:val="20"/>
        </w:rPr>
        <w:tab/>
        <w:t>Ergonomic Safe Access and Egress</w:t>
      </w:r>
    </w:p>
    <w:p w14:paraId="5CAE5B8B" w14:textId="77777777" w:rsidR="00581EC0" w:rsidRPr="00654113" w:rsidRDefault="00581EC0" w:rsidP="00581EC0">
      <w:pPr>
        <w:rPr>
          <w:sz w:val="20"/>
        </w:rPr>
      </w:pPr>
      <w:r w:rsidRPr="00654113">
        <w:rPr>
          <w:sz w:val="20"/>
        </w:rPr>
        <w:t>GBS</w:t>
      </w:r>
      <w:r w:rsidRPr="00654113">
        <w:rPr>
          <w:sz w:val="20"/>
        </w:rPr>
        <w:tab/>
      </w:r>
      <w:r w:rsidRPr="00654113">
        <w:rPr>
          <w:sz w:val="20"/>
        </w:rPr>
        <w:tab/>
        <w:t>Goal Based Standards</w:t>
      </w:r>
    </w:p>
    <w:p w14:paraId="27FAC37B" w14:textId="77777777" w:rsidR="00581EC0" w:rsidRDefault="00581EC0" w:rsidP="00581EC0">
      <w:pPr>
        <w:rPr>
          <w:sz w:val="20"/>
        </w:rPr>
      </w:pPr>
      <w:r w:rsidRPr="00434699">
        <w:rPr>
          <w:sz w:val="20"/>
        </w:rPr>
        <w:t>HEWG</w:t>
      </w:r>
      <w:r w:rsidRPr="00434699">
        <w:rPr>
          <w:sz w:val="20"/>
        </w:rPr>
        <w:tab/>
      </w:r>
      <w:r w:rsidRPr="00434699">
        <w:rPr>
          <w:sz w:val="20"/>
        </w:rPr>
        <w:tab/>
        <w:t>Human Element Working Group</w:t>
      </w:r>
    </w:p>
    <w:p w14:paraId="5A2A134F" w14:textId="77777777" w:rsidR="00581EC0" w:rsidRPr="007C6CB8" w:rsidRDefault="00581EC0" w:rsidP="00581EC0">
      <w:pPr>
        <w:rPr>
          <w:color w:val="000000"/>
          <w:sz w:val="20"/>
        </w:rPr>
      </w:pPr>
      <w:r w:rsidRPr="007C6CB8">
        <w:rPr>
          <w:color w:val="000000"/>
          <w:sz w:val="20"/>
        </w:rPr>
        <w:t>HCD</w:t>
      </w:r>
      <w:r w:rsidRPr="007C6CB8">
        <w:rPr>
          <w:color w:val="000000"/>
          <w:sz w:val="20"/>
        </w:rPr>
        <w:tab/>
      </w:r>
      <w:r w:rsidRPr="007C6CB8">
        <w:rPr>
          <w:color w:val="000000"/>
          <w:sz w:val="20"/>
        </w:rPr>
        <w:tab/>
        <w:t>Human-Centred Design</w:t>
      </w:r>
    </w:p>
    <w:p w14:paraId="1B339E6F" w14:textId="77777777" w:rsidR="00581EC0" w:rsidRPr="00434699" w:rsidRDefault="00581EC0" w:rsidP="00581EC0">
      <w:pPr>
        <w:ind w:left="1440" w:hanging="1440"/>
        <w:rPr>
          <w:sz w:val="20"/>
        </w:rPr>
      </w:pPr>
      <w:r>
        <w:rPr>
          <w:sz w:val="20"/>
        </w:rPr>
        <w:t>IACS</w:t>
      </w:r>
      <w:r>
        <w:rPr>
          <w:sz w:val="20"/>
        </w:rPr>
        <w:tab/>
        <w:t>International Association of Classification Societies</w:t>
      </w:r>
    </w:p>
    <w:p w14:paraId="2651CEE9" w14:textId="77777777" w:rsidR="00581EC0" w:rsidRPr="007C6CB8" w:rsidRDefault="00581EC0" w:rsidP="00581EC0">
      <w:pPr>
        <w:rPr>
          <w:color w:val="000000"/>
          <w:sz w:val="20"/>
        </w:rPr>
      </w:pPr>
      <w:r w:rsidRPr="007C6CB8">
        <w:rPr>
          <w:color w:val="000000"/>
          <w:sz w:val="20"/>
        </w:rPr>
        <w:t>ILO</w:t>
      </w:r>
      <w:r w:rsidRPr="007C6CB8">
        <w:rPr>
          <w:color w:val="000000"/>
          <w:sz w:val="20"/>
        </w:rPr>
        <w:tab/>
      </w:r>
      <w:r w:rsidRPr="007C6CB8">
        <w:rPr>
          <w:color w:val="000000"/>
          <w:sz w:val="20"/>
        </w:rPr>
        <w:tab/>
        <w:t>International Labour Organization</w:t>
      </w:r>
    </w:p>
    <w:p w14:paraId="2B7B782B" w14:textId="77777777" w:rsidR="00581EC0" w:rsidRPr="00654113" w:rsidRDefault="00581EC0" w:rsidP="00581EC0">
      <w:pPr>
        <w:rPr>
          <w:sz w:val="20"/>
        </w:rPr>
      </w:pPr>
      <w:r w:rsidRPr="00654113">
        <w:rPr>
          <w:sz w:val="20"/>
        </w:rPr>
        <w:t>IMO</w:t>
      </w:r>
      <w:r w:rsidRPr="00654113">
        <w:rPr>
          <w:sz w:val="20"/>
        </w:rPr>
        <w:tab/>
      </w:r>
      <w:r w:rsidRPr="00654113">
        <w:rPr>
          <w:sz w:val="20"/>
        </w:rPr>
        <w:tab/>
        <w:t>International Maritime Organization</w:t>
      </w:r>
    </w:p>
    <w:p w14:paraId="3ABDD3F3" w14:textId="77777777" w:rsidR="00581EC0" w:rsidRPr="00654113" w:rsidRDefault="00581EC0" w:rsidP="00581EC0">
      <w:pPr>
        <w:ind w:left="1440" w:hanging="1440"/>
        <w:rPr>
          <w:sz w:val="20"/>
        </w:rPr>
      </w:pPr>
      <w:r w:rsidRPr="00654113">
        <w:rPr>
          <w:sz w:val="20"/>
        </w:rPr>
        <w:t>ISO</w:t>
      </w:r>
      <w:r w:rsidRPr="00654113">
        <w:rPr>
          <w:sz w:val="20"/>
        </w:rPr>
        <w:tab/>
        <w:t>International Organization for Standardization</w:t>
      </w:r>
    </w:p>
    <w:p w14:paraId="1F78F250" w14:textId="77777777" w:rsidR="00581EC0" w:rsidRDefault="00581EC0" w:rsidP="00581EC0">
      <w:pPr>
        <w:rPr>
          <w:sz w:val="20"/>
        </w:rPr>
      </w:pPr>
      <w:r w:rsidRPr="00654113">
        <w:rPr>
          <w:sz w:val="20"/>
        </w:rPr>
        <w:t>LR</w:t>
      </w:r>
      <w:r w:rsidRPr="00654113">
        <w:rPr>
          <w:sz w:val="20"/>
        </w:rPr>
        <w:tab/>
      </w:r>
      <w:r w:rsidRPr="00654113">
        <w:rPr>
          <w:sz w:val="20"/>
        </w:rPr>
        <w:tab/>
        <w:t>Lloyd’s Register</w:t>
      </w:r>
    </w:p>
    <w:p w14:paraId="7DF4A327" w14:textId="77777777" w:rsidR="00581EC0" w:rsidRPr="00654113" w:rsidRDefault="00581EC0" w:rsidP="00581EC0">
      <w:pPr>
        <w:ind w:left="1440" w:hanging="1440"/>
        <w:rPr>
          <w:sz w:val="20"/>
        </w:rPr>
      </w:pPr>
      <w:r w:rsidRPr="00AB313B">
        <w:rPr>
          <w:sz w:val="20"/>
        </w:rPr>
        <w:t>MEPC</w:t>
      </w:r>
      <w:r>
        <w:rPr>
          <w:sz w:val="20"/>
        </w:rPr>
        <w:tab/>
      </w:r>
      <w:r w:rsidRPr="00AB313B">
        <w:rPr>
          <w:sz w:val="20"/>
        </w:rPr>
        <w:t>Marine Environment Protection Committee</w:t>
      </w:r>
    </w:p>
    <w:p w14:paraId="2D2402EF" w14:textId="77777777" w:rsidR="00581EC0" w:rsidRDefault="00581EC0" w:rsidP="00581EC0">
      <w:pPr>
        <w:rPr>
          <w:sz w:val="20"/>
        </w:rPr>
      </w:pPr>
      <w:r w:rsidRPr="00DB026A">
        <w:rPr>
          <w:sz w:val="20"/>
        </w:rPr>
        <w:t>MSC</w:t>
      </w:r>
      <w:r w:rsidRPr="00DB026A">
        <w:rPr>
          <w:sz w:val="20"/>
        </w:rPr>
        <w:tab/>
      </w:r>
      <w:r w:rsidRPr="00DB026A">
        <w:rPr>
          <w:sz w:val="20"/>
        </w:rPr>
        <w:tab/>
        <w:t xml:space="preserve">Maritime Safety Committee </w:t>
      </w:r>
    </w:p>
    <w:p w14:paraId="599156BA" w14:textId="77777777" w:rsidR="00581EC0" w:rsidRDefault="00581EC0" w:rsidP="00581EC0">
      <w:pPr>
        <w:rPr>
          <w:sz w:val="20"/>
        </w:rPr>
      </w:pPr>
      <w:r>
        <w:rPr>
          <w:sz w:val="20"/>
        </w:rPr>
        <w:t>POLA</w:t>
      </w:r>
      <w:r>
        <w:rPr>
          <w:sz w:val="20"/>
        </w:rPr>
        <w:tab/>
      </w:r>
      <w:r>
        <w:rPr>
          <w:sz w:val="20"/>
        </w:rPr>
        <w:tab/>
        <w:t>Principle of Least Astonishment</w:t>
      </w:r>
    </w:p>
    <w:p w14:paraId="37B8F77C" w14:textId="77777777" w:rsidR="00581EC0" w:rsidRDefault="00581EC0" w:rsidP="00581EC0">
      <w:pPr>
        <w:rPr>
          <w:sz w:val="20"/>
        </w:rPr>
      </w:pPr>
      <w:r>
        <w:rPr>
          <w:sz w:val="20"/>
        </w:rPr>
        <w:t>PPE</w:t>
      </w:r>
      <w:r>
        <w:rPr>
          <w:sz w:val="20"/>
        </w:rPr>
        <w:tab/>
      </w:r>
      <w:r>
        <w:rPr>
          <w:sz w:val="20"/>
        </w:rPr>
        <w:tab/>
        <w:t>Personal Protective Equipment</w:t>
      </w:r>
    </w:p>
    <w:p w14:paraId="4DFB28B0" w14:textId="77777777" w:rsidR="00581EC0" w:rsidRPr="0045622D" w:rsidRDefault="00581EC0" w:rsidP="00581EC0">
      <w:pPr>
        <w:rPr>
          <w:color w:val="000000"/>
          <w:sz w:val="20"/>
        </w:rPr>
      </w:pPr>
      <w:r w:rsidRPr="0045622D">
        <w:rPr>
          <w:color w:val="000000"/>
          <w:sz w:val="20"/>
        </w:rPr>
        <w:t>RHFP</w:t>
      </w:r>
      <w:r w:rsidRPr="0045622D">
        <w:rPr>
          <w:color w:val="000000"/>
          <w:sz w:val="20"/>
        </w:rPr>
        <w:tab/>
      </w:r>
      <w:r w:rsidRPr="0045622D">
        <w:rPr>
          <w:color w:val="000000"/>
          <w:sz w:val="20"/>
        </w:rPr>
        <w:tab/>
        <w:t>Rules Human Factors Panel</w:t>
      </w:r>
    </w:p>
    <w:p w14:paraId="3754BD35" w14:textId="77777777" w:rsidR="00581EC0" w:rsidRDefault="00581EC0" w:rsidP="00581EC0">
      <w:pPr>
        <w:rPr>
          <w:sz w:val="20"/>
        </w:rPr>
      </w:pPr>
      <w:r w:rsidRPr="004A67E0">
        <w:rPr>
          <w:sz w:val="20"/>
        </w:rPr>
        <w:t>SOLAS</w:t>
      </w:r>
      <w:r>
        <w:rPr>
          <w:sz w:val="20"/>
        </w:rPr>
        <w:tab/>
      </w:r>
      <w:r>
        <w:rPr>
          <w:sz w:val="20"/>
        </w:rPr>
        <w:tab/>
        <w:t>Safety of Life at Sea</w:t>
      </w:r>
    </w:p>
    <w:p w14:paraId="48EB68DA" w14:textId="77777777" w:rsidR="00581EC0" w:rsidRDefault="00581EC0" w:rsidP="00581EC0">
      <w:pPr>
        <w:jc w:val="both"/>
        <w:rPr>
          <w:sz w:val="20"/>
        </w:rPr>
      </w:pPr>
    </w:p>
    <w:p w14:paraId="0A2261CB" w14:textId="77777777" w:rsidR="00581EC0" w:rsidRDefault="00581EC0" w:rsidP="00581EC0">
      <w:pPr>
        <w:jc w:val="both"/>
        <w:rPr>
          <w:b/>
          <w:sz w:val="20"/>
        </w:rPr>
      </w:pPr>
      <w:r>
        <w:rPr>
          <w:b/>
          <w:sz w:val="20"/>
        </w:rPr>
        <w:t>1.</w:t>
      </w:r>
      <w:r>
        <w:rPr>
          <w:b/>
          <w:sz w:val="20"/>
        </w:rPr>
        <w:tab/>
        <w:t>INTRODUCTION</w:t>
      </w:r>
    </w:p>
    <w:p w14:paraId="640E601E" w14:textId="77777777" w:rsidR="00581EC0" w:rsidRDefault="00581EC0" w:rsidP="00581EC0">
      <w:pPr>
        <w:jc w:val="both"/>
        <w:rPr>
          <w:b/>
          <w:sz w:val="20"/>
        </w:rPr>
      </w:pPr>
    </w:p>
    <w:p w14:paraId="168A41A8" w14:textId="77777777" w:rsidR="00581EC0" w:rsidRDefault="00581EC0" w:rsidP="00581EC0">
      <w:pPr>
        <w:jc w:val="both"/>
        <w:rPr>
          <w:sz w:val="20"/>
        </w:rPr>
      </w:pPr>
      <w:r w:rsidRPr="00D5331E">
        <w:rPr>
          <w:sz w:val="20"/>
        </w:rPr>
        <w:t xml:space="preserve">Access structures and access openings facilitate movement between and within the spaces onboard ship </w:t>
      </w:r>
      <w:r>
        <w:rPr>
          <w:sz w:val="20"/>
        </w:rPr>
        <w:t xml:space="preserve">and </w:t>
      </w:r>
      <w:r w:rsidRPr="00D5331E">
        <w:rPr>
          <w:sz w:val="20"/>
        </w:rPr>
        <w:t xml:space="preserve">are essential for effective working and living. However, a ship is a </w:t>
      </w:r>
      <w:r>
        <w:rPr>
          <w:sz w:val="20"/>
        </w:rPr>
        <w:t>hazardous</w:t>
      </w:r>
      <w:r w:rsidRPr="00D5331E">
        <w:rPr>
          <w:sz w:val="20"/>
        </w:rPr>
        <w:t xml:space="preserve"> working environment and inadequate access and </w:t>
      </w:r>
      <w:r w:rsidRPr="008D7C9A">
        <w:rPr>
          <w:color w:val="000000"/>
          <w:sz w:val="20"/>
        </w:rPr>
        <w:t>egress arrangements are recognised as a leading cause of injuries and fatalities amongst seafarers [1] [3]</w:t>
      </w:r>
      <w:r>
        <w:rPr>
          <w:color w:val="000000"/>
          <w:sz w:val="20"/>
        </w:rPr>
        <w:t xml:space="preserve"> </w:t>
      </w:r>
      <w:r w:rsidRPr="008D7C9A">
        <w:rPr>
          <w:color w:val="000000"/>
          <w:sz w:val="20"/>
        </w:rPr>
        <w:t>[4]. The pattern of reported accidents has remained consistent over many years and the hazards facing crews are well-understood [5]</w:t>
      </w:r>
      <w:r w:rsidRPr="00D5331E">
        <w:rPr>
          <w:sz w:val="20"/>
        </w:rPr>
        <w:t xml:space="preserve">. </w:t>
      </w:r>
      <w:r>
        <w:rPr>
          <w:sz w:val="20"/>
        </w:rPr>
        <w:t>The HE Alert! Bulletin [6] summarises a comprehensive list of</w:t>
      </w:r>
      <w:r w:rsidRPr="00D5331E">
        <w:rPr>
          <w:sz w:val="20"/>
        </w:rPr>
        <w:t xml:space="preserve"> principal hazards includ</w:t>
      </w:r>
      <w:r>
        <w:rPr>
          <w:sz w:val="20"/>
        </w:rPr>
        <w:t>ing</w:t>
      </w:r>
      <w:r w:rsidRPr="00D5331E">
        <w:rPr>
          <w:sz w:val="20"/>
        </w:rPr>
        <w:t>:</w:t>
      </w:r>
    </w:p>
    <w:p w14:paraId="51058CF1" w14:textId="77777777" w:rsidR="00581EC0" w:rsidRPr="00D5331E" w:rsidRDefault="00581EC0" w:rsidP="00581EC0">
      <w:pPr>
        <w:jc w:val="both"/>
        <w:rPr>
          <w:sz w:val="20"/>
        </w:rPr>
      </w:pPr>
    </w:p>
    <w:p w14:paraId="5CFCDB41" w14:textId="77777777" w:rsidR="00581EC0" w:rsidRPr="00232990" w:rsidRDefault="00581EC0" w:rsidP="00553DD3">
      <w:pPr>
        <w:pStyle w:val="ListParagraph"/>
        <w:numPr>
          <w:ilvl w:val="0"/>
          <w:numId w:val="2"/>
        </w:numPr>
        <w:jc w:val="both"/>
        <w:rPr>
          <w:sz w:val="20"/>
        </w:rPr>
      </w:pPr>
      <w:r w:rsidRPr="00232990">
        <w:rPr>
          <w:sz w:val="20"/>
        </w:rPr>
        <w:t xml:space="preserve">Slips attributed to inappropriate deck surfaces with </w:t>
      </w:r>
      <w:r>
        <w:rPr>
          <w:sz w:val="20"/>
        </w:rPr>
        <w:t>poor</w:t>
      </w:r>
      <w:r w:rsidRPr="00232990">
        <w:rPr>
          <w:sz w:val="20"/>
        </w:rPr>
        <w:t xml:space="preserve"> slip resistance</w:t>
      </w:r>
      <w:r>
        <w:rPr>
          <w:sz w:val="20"/>
        </w:rPr>
        <w:t>.</w:t>
      </w:r>
    </w:p>
    <w:p w14:paraId="6B74476B" w14:textId="77777777" w:rsidR="00581EC0" w:rsidRPr="00232990" w:rsidRDefault="00581EC0" w:rsidP="00553DD3">
      <w:pPr>
        <w:pStyle w:val="ListParagraph"/>
        <w:numPr>
          <w:ilvl w:val="0"/>
          <w:numId w:val="2"/>
        </w:numPr>
        <w:jc w:val="both"/>
        <w:rPr>
          <w:sz w:val="20"/>
        </w:rPr>
      </w:pPr>
      <w:r w:rsidRPr="00232990">
        <w:rPr>
          <w:sz w:val="20"/>
        </w:rPr>
        <w:t xml:space="preserve">Trips attributed to </w:t>
      </w:r>
      <w:r>
        <w:rPr>
          <w:sz w:val="20"/>
        </w:rPr>
        <w:t xml:space="preserve">abrupt </w:t>
      </w:r>
      <w:r w:rsidRPr="00232990">
        <w:rPr>
          <w:sz w:val="20"/>
        </w:rPr>
        <w:t xml:space="preserve">changes in deck level, loose fittings </w:t>
      </w:r>
      <w:r>
        <w:rPr>
          <w:sz w:val="20"/>
        </w:rPr>
        <w:t>or low-level</w:t>
      </w:r>
      <w:r w:rsidRPr="00232990">
        <w:rPr>
          <w:sz w:val="20"/>
        </w:rPr>
        <w:t xml:space="preserve"> obstructions</w:t>
      </w:r>
      <w:r>
        <w:rPr>
          <w:sz w:val="20"/>
        </w:rPr>
        <w:t>.</w:t>
      </w:r>
    </w:p>
    <w:p w14:paraId="66E4C8E8" w14:textId="77777777" w:rsidR="00581EC0" w:rsidRPr="00AD793B" w:rsidRDefault="00581EC0" w:rsidP="00553DD3">
      <w:pPr>
        <w:pStyle w:val="ListParagraph"/>
        <w:numPr>
          <w:ilvl w:val="0"/>
          <w:numId w:val="2"/>
        </w:numPr>
        <w:jc w:val="both"/>
        <w:rPr>
          <w:strike/>
          <w:sz w:val="20"/>
        </w:rPr>
      </w:pPr>
      <w:r w:rsidRPr="00232990">
        <w:rPr>
          <w:sz w:val="20"/>
        </w:rPr>
        <w:t>Falls attributed to working at height,</w:t>
      </w:r>
      <w:r>
        <w:rPr>
          <w:sz w:val="20"/>
        </w:rPr>
        <w:t xml:space="preserve"> </w:t>
      </w:r>
      <w:r w:rsidRPr="00232990">
        <w:rPr>
          <w:sz w:val="20"/>
        </w:rPr>
        <w:t>unstable surfaces,</w:t>
      </w:r>
      <w:r>
        <w:rPr>
          <w:sz w:val="20"/>
        </w:rPr>
        <w:t xml:space="preserve"> </w:t>
      </w:r>
      <w:r w:rsidRPr="00232990">
        <w:rPr>
          <w:sz w:val="20"/>
        </w:rPr>
        <w:t>unguarded ladders, platforms or openings,</w:t>
      </w:r>
      <w:r>
        <w:rPr>
          <w:sz w:val="20"/>
        </w:rPr>
        <w:t xml:space="preserve"> or inadequate handholds and </w:t>
      </w:r>
      <w:r w:rsidRPr="00232990">
        <w:rPr>
          <w:sz w:val="20"/>
        </w:rPr>
        <w:t xml:space="preserve">anchorage points. </w:t>
      </w:r>
    </w:p>
    <w:p w14:paraId="71FC61FE" w14:textId="77777777" w:rsidR="00581EC0" w:rsidRPr="00AD793B" w:rsidRDefault="00581EC0" w:rsidP="00581EC0">
      <w:pPr>
        <w:jc w:val="both"/>
        <w:rPr>
          <w:strike/>
          <w:sz w:val="20"/>
        </w:rPr>
      </w:pPr>
    </w:p>
    <w:p w14:paraId="7A4834D2" w14:textId="77777777" w:rsidR="00581EC0" w:rsidRPr="008D7C9A" w:rsidRDefault="00581EC0" w:rsidP="00581EC0">
      <w:pPr>
        <w:jc w:val="both"/>
        <w:rPr>
          <w:color w:val="000000"/>
          <w:sz w:val="20"/>
          <w:lang w:val="en-US"/>
        </w:rPr>
      </w:pPr>
      <w:r w:rsidRPr="008D7C9A">
        <w:rPr>
          <w:color w:val="000000"/>
          <w:sz w:val="20"/>
        </w:rPr>
        <w:t xml:space="preserve">The maritime industry is gradually putting more emphasis on the need for a safe and secure working environment and there is a growing awareness that the Human Element needs to be considered during ship design to mitigate </w:t>
      </w:r>
      <w:r w:rsidRPr="008D7C9A">
        <w:rPr>
          <w:color w:val="000000"/>
          <w:sz w:val="20"/>
        </w:rPr>
        <w:lastRenderedPageBreak/>
        <w:t>risks to crew safety. Although, it has been identified that good ergonomics, safe working practices and the suitable provision of protective equipment results in greater awareness and an improved safety culture on ship [7]. The ergonomic design for seafarers is largely not well considered in the marine environment [8], and there is a distinct lack of knowledge in the integration of the human element and systems operational design amongst designers and other stakeholders.</w:t>
      </w:r>
      <w:r w:rsidRPr="008D7C9A">
        <w:rPr>
          <w:rFonts w:ascii="Calibri" w:hAnsi="Source Sans Pro"/>
          <w:color w:val="000000"/>
          <w:kern w:val="24"/>
          <w:sz w:val="40"/>
          <w:szCs w:val="40"/>
          <w:lang w:val="en-US"/>
        </w:rPr>
        <w:t xml:space="preserve"> </w:t>
      </w:r>
      <w:r w:rsidRPr="008D7C9A">
        <w:rPr>
          <w:color w:val="000000"/>
          <w:sz w:val="20"/>
          <w:lang w:val="en-US"/>
        </w:rPr>
        <w:t xml:space="preserve">To meet increasing challenges for safety and performance, the link between ship design and ship operation has to be re-established and the marine industry must address Human Element concerns more explicitly. </w:t>
      </w:r>
    </w:p>
    <w:p w14:paraId="3F1F5DB1" w14:textId="77777777" w:rsidR="00581EC0" w:rsidRDefault="00581EC0" w:rsidP="00581EC0">
      <w:pPr>
        <w:jc w:val="both"/>
        <w:rPr>
          <w:b/>
          <w:sz w:val="20"/>
        </w:rPr>
      </w:pPr>
    </w:p>
    <w:p w14:paraId="315A1D74" w14:textId="77777777" w:rsidR="00581EC0" w:rsidRDefault="00581EC0" w:rsidP="00581EC0">
      <w:pPr>
        <w:jc w:val="both"/>
        <w:rPr>
          <w:b/>
          <w:sz w:val="20"/>
        </w:rPr>
      </w:pPr>
      <w:r>
        <w:rPr>
          <w:b/>
          <w:sz w:val="20"/>
        </w:rPr>
        <w:t>2.</w:t>
      </w:r>
      <w:r>
        <w:rPr>
          <w:b/>
          <w:sz w:val="20"/>
        </w:rPr>
        <w:tab/>
        <w:t>BACKGROUND</w:t>
      </w:r>
    </w:p>
    <w:p w14:paraId="6928AFEC" w14:textId="77777777" w:rsidR="00581EC0" w:rsidRDefault="00581EC0" w:rsidP="00581EC0">
      <w:pPr>
        <w:jc w:val="both"/>
        <w:rPr>
          <w:b/>
          <w:sz w:val="20"/>
        </w:rPr>
      </w:pPr>
    </w:p>
    <w:p w14:paraId="58F1E732" w14:textId="77777777" w:rsidR="00581EC0" w:rsidRDefault="00581EC0" w:rsidP="00581EC0">
      <w:pPr>
        <w:jc w:val="both"/>
        <w:rPr>
          <w:sz w:val="20"/>
        </w:rPr>
      </w:pPr>
      <w:r>
        <w:rPr>
          <w:sz w:val="20"/>
        </w:rPr>
        <w:t>2.1</w:t>
      </w:r>
      <w:r>
        <w:rPr>
          <w:sz w:val="20"/>
        </w:rPr>
        <w:tab/>
        <w:t>INDUSTRY DRIVERS</w:t>
      </w:r>
    </w:p>
    <w:p w14:paraId="533F49AC" w14:textId="77777777" w:rsidR="00581EC0" w:rsidRPr="003B4229" w:rsidRDefault="00581EC0" w:rsidP="00581EC0">
      <w:pPr>
        <w:autoSpaceDE w:val="0"/>
        <w:autoSpaceDN w:val="0"/>
        <w:adjustRightInd w:val="0"/>
        <w:jc w:val="both"/>
        <w:rPr>
          <w:sz w:val="20"/>
        </w:rPr>
      </w:pPr>
      <w:r w:rsidRPr="00446DBA">
        <w:rPr>
          <w:sz w:val="20"/>
        </w:rPr>
        <w:t>International regulation has been increasingly responsive to the important influence</w:t>
      </w:r>
      <w:r>
        <w:rPr>
          <w:sz w:val="20"/>
        </w:rPr>
        <w:t xml:space="preserve"> of</w:t>
      </w:r>
      <w:r w:rsidRPr="00446DBA">
        <w:rPr>
          <w:sz w:val="20"/>
        </w:rPr>
        <w:t xml:space="preserve"> the </w:t>
      </w:r>
      <w:r>
        <w:rPr>
          <w:sz w:val="20"/>
        </w:rPr>
        <w:t>H</w:t>
      </w:r>
      <w:r w:rsidRPr="00446DBA">
        <w:rPr>
          <w:sz w:val="20"/>
        </w:rPr>
        <w:t xml:space="preserve">uman </w:t>
      </w:r>
      <w:r>
        <w:rPr>
          <w:sz w:val="20"/>
        </w:rPr>
        <w:t>E</w:t>
      </w:r>
      <w:r w:rsidRPr="00446DBA">
        <w:rPr>
          <w:sz w:val="20"/>
        </w:rPr>
        <w:t xml:space="preserve">lement on effective safety standards and </w:t>
      </w:r>
      <w:proofErr w:type="gramStart"/>
      <w:r w:rsidRPr="00446DBA">
        <w:rPr>
          <w:sz w:val="20"/>
        </w:rPr>
        <w:t>practices</w:t>
      </w:r>
      <w:r>
        <w:rPr>
          <w:sz w:val="20"/>
        </w:rPr>
        <w:t>, and</w:t>
      </w:r>
      <w:proofErr w:type="gramEnd"/>
      <w:r w:rsidRPr="00446DBA">
        <w:rPr>
          <w:sz w:val="20"/>
        </w:rPr>
        <w:t xml:space="preserve"> has set out clear aims to improve working conditions for the seafarer community through better ship design.</w:t>
      </w:r>
      <w:r>
        <w:rPr>
          <w:sz w:val="20"/>
        </w:rPr>
        <w:t xml:space="preserve"> In </w:t>
      </w:r>
      <w:r w:rsidRPr="00C5645E">
        <w:rPr>
          <w:sz w:val="20"/>
        </w:rPr>
        <w:t xml:space="preserve">2004, the IMO </w:t>
      </w:r>
      <w:r>
        <w:rPr>
          <w:sz w:val="20"/>
        </w:rPr>
        <w:t>restated</w:t>
      </w:r>
      <w:r w:rsidRPr="00C5645E">
        <w:rPr>
          <w:sz w:val="20"/>
        </w:rPr>
        <w:t xml:space="preserve"> its </w:t>
      </w:r>
      <w:r w:rsidRPr="001E0C82">
        <w:rPr>
          <w:i/>
          <w:iCs/>
          <w:sz w:val="20"/>
        </w:rPr>
        <w:t>Human Element</w:t>
      </w:r>
      <w:r>
        <w:rPr>
          <w:sz w:val="20"/>
        </w:rPr>
        <w:t xml:space="preserve"> </w:t>
      </w:r>
      <w:r>
        <w:rPr>
          <w:i/>
          <w:iCs/>
          <w:sz w:val="20"/>
        </w:rPr>
        <w:t>V</w:t>
      </w:r>
      <w:r w:rsidRPr="00401F75">
        <w:rPr>
          <w:i/>
          <w:iCs/>
          <w:sz w:val="20"/>
        </w:rPr>
        <w:t xml:space="preserve">ision, </w:t>
      </w:r>
      <w:r>
        <w:rPr>
          <w:i/>
          <w:iCs/>
          <w:sz w:val="20"/>
        </w:rPr>
        <w:t>P</w:t>
      </w:r>
      <w:r w:rsidRPr="00401F75">
        <w:rPr>
          <w:i/>
          <w:iCs/>
          <w:sz w:val="20"/>
        </w:rPr>
        <w:t xml:space="preserve">rinciples and </w:t>
      </w:r>
      <w:r>
        <w:rPr>
          <w:i/>
          <w:iCs/>
          <w:sz w:val="20"/>
        </w:rPr>
        <w:t>G</w:t>
      </w:r>
      <w:r w:rsidRPr="00401F75">
        <w:rPr>
          <w:i/>
          <w:iCs/>
          <w:sz w:val="20"/>
        </w:rPr>
        <w:t xml:space="preserve">oals for the </w:t>
      </w:r>
      <w:r>
        <w:rPr>
          <w:i/>
          <w:iCs/>
          <w:sz w:val="20"/>
        </w:rPr>
        <w:t>Organization</w:t>
      </w:r>
      <w:r>
        <w:rPr>
          <w:sz w:val="20"/>
        </w:rPr>
        <w:t xml:space="preserve"> (</w:t>
      </w:r>
      <w:r w:rsidRPr="003E6B2D">
        <w:rPr>
          <w:sz w:val="20"/>
        </w:rPr>
        <w:t>Resolution</w:t>
      </w:r>
      <w:r w:rsidRPr="004A67E0">
        <w:rPr>
          <w:sz w:val="20"/>
        </w:rPr>
        <w:t xml:space="preserve"> </w:t>
      </w:r>
      <w:r w:rsidRPr="003E6B2D">
        <w:rPr>
          <w:sz w:val="20"/>
        </w:rPr>
        <w:t>A.947(23)</w:t>
      </w:r>
      <w:r>
        <w:rPr>
          <w:sz w:val="20"/>
        </w:rPr>
        <w:t>) [9] including a specific goal to encourage</w:t>
      </w:r>
      <w:r w:rsidRPr="003B4229">
        <w:rPr>
          <w:sz w:val="20"/>
        </w:rPr>
        <w:t xml:space="preserve"> the development of non-regulatory solutions and</w:t>
      </w:r>
      <w:r>
        <w:rPr>
          <w:sz w:val="20"/>
        </w:rPr>
        <w:t xml:space="preserve"> </w:t>
      </w:r>
      <w:r w:rsidRPr="003B4229">
        <w:rPr>
          <w:sz w:val="20"/>
        </w:rPr>
        <w:t>their assessment</w:t>
      </w:r>
      <w:r>
        <w:rPr>
          <w:sz w:val="20"/>
        </w:rPr>
        <w:t xml:space="preserve"> </w:t>
      </w:r>
      <w:r w:rsidRPr="003B4229">
        <w:rPr>
          <w:sz w:val="20"/>
        </w:rPr>
        <w:t>on the basis of human element principles.</w:t>
      </w:r>
    </w:p>
    <w:p w14:paraId="3DFA2387" w14:textId="77777777" w:rsidR="00581EC0" w:rsidRPr="00A648FA" w:rsidRDefault="00581EC0" w:rsidP="00581EC0">
      <w:pPr>
        <w:autoSpaceDE w:val="0"/>
        <w:autoSpaceDN w:val="0"/>
        <w:adjustRightInd w:val="0"/>
        <w:jc w:val="both"/>
        <w:rPr>
          <w:sz w:val="20"/>
        </w:rPr>
      </w:pPr>
    </w:p>
    <w:p w14:paraId="4031B5EE" w14:textId="77777777" w:rsidR="00581EC0" w:rsidRDefault="00581EC0" w:rsidP="00581EC0">
      <w:pPr>
        <w:jc w:val="both"/>
        <w:rPr>
          <w:sz w:val="20"/>
        </w:rPr>
      </w:pPr>
      <w:r>
        <w:rPr>
          <w:sz w:val="20"/>
        </w:rPr>
        <w:t xml:space="preserve">There have also been a number of industry initiatives which identify safe access and egress as a particular concern. </w:t>
      </w:r>
      <w:r w:rsidRPr="00674832">
        <w:rPr>
          <w:sz w:val="20"/>
        </w:rPr>
        <w:t>In 2006, the IMO</w:t>
      </w:r>
      <w:r>
        <w:rPr>
          <w:sz w:val="20"/>
        </w:rPr>
        <w:t xml:space="preserve"> Human Element Working Group (HEWG</w:t>
      </w:r>
      <w:r w:rsidRPr="00AB313B">
        <w:rPr>
          <w:sz w:val="20"/>
        </w:rPr>
        <w:t>), convening at the Maritime Safety Committee (MSC) and Marine Environment Protection Committee (MEPC),</w:t>
      </w:r>
      <w:r>
        <w:rPr>
          <w:sz w:val="20"/>
        </w:rPr>
        <w:t xml:space="preserve"> </w:t>
      </w:r>
      <w:r w:rsidRPr="00AB313B">
        <w:rPr>
          <w:sz w:val="20"/>
        </w:rPr>
        <w:t xml:space="preserve">noted </w:t>
      </w:r>
      <w:r>
        <w:rPr>
          <w:sz w:val="20"/>
        </w:rPr>
        <w:t xml:space="preserve">that </w:t>
      </w:r>
      <w:r w:rsidRPr="00AB313B">
        <w:rPr>
          <w:sz w:val="20"/>
        </w:rPr>
        <w:t xml:space="preserve">P&amp;I Club </w:t>
      </w:r>
      <w:r>
        <w:rPr>
          <w:sz w:val="20"/>
        </w:rPr>
        <w:t xml:space="preserve">statistics </w:t>
      </w:r>
      <w:r w:rsidRPr="00AB313B">
        <w:rPr>
          <w:sz w:val="20"/>
        </w:rPr>
        <w:t xml:space="preserve">indicated that more than one out of </w:t>
      </w:r>
      <w:r>
        <w:rPr>
          <w:sz w:val="20"/>
        </w:rPr>
        <w:t>five</w:t>
      </w:r>
      <w:r w:rsidRPr="00AB313B">
        <w:rPr>
          <w:sz w:val="20"/>
        </w:rPr>
        <w:t xml:space="preserve"> personal injury incidents reported were the results of slips, trips or falls</w:t>
      </w:r>
      <w:r>
        <w:rPr>
          <w:sz w:val="20"/>
        </w:rPr>
        <w:t xml:space="preserve"> [10]</w:t>
      </w:r>
      <w:r w:rsidRPr="00AB313B">
        <w:rPr>
          <w:sz w:val="20"/>
        </w:rPr>
        <w:t xml:space="preserve">. </w:t>
      </w:r>
      <w:r w:rsidRPr="00674832">
        <w:rPr>
          <w:sz w:val="20"/>
        </w:rPr>
        <w:t xml:space="preserve">The </w:t>
      </w:r>
      <w:r>
        <w:rPr>
          <w:sz w:val="20"/>
        </w:rPr>
        <w:t xml:space="preserve">HEWG </w:t>
      </w:r>
      <w:r w:rsidRPr="00674832">
        <w:rPr>
          <w:sz w:val="20"/>
        </w:rPr>
        <w:t>agreed that the consideration of ergonomics could result in a significant reduction of accidents</w:t>
      </w:r>
      <w:r>
        <w:rPr>
          <w:sz w:val="20"/>
        </w:rPr>
        <w:t xml:space="preserve"> in</w:t>
      </w:r>
      <w:r w:rsidRPr="00674832">
        <w:rPr>
          <w:sz w:val="20"/>
        </w:rPr>
        <w:t xml:space="preserve"> seafarers and subsequently approved an initial </w:t>
      </w:r>
      <w:r w:rsidRPr="001E0C82">
        <w:rPr>
          <w:i/>
          <w:iCs/>
          <w:sz w:val="20"/>
        </w:rPr>
        <w:t>Framework for Consideration of Ergonomics and Work Environment</w:t>
      </w:r>
      <w:r w:rsidRPr="00674832" w:rsidDel="009F76A6">
        <w:rPr>
          <w:sz w:val="20"/>
        </w:rPr>
        <w:t xml:space="preserve"> </w:t>
      </w:r>
      <w:r w:rsidRPr="00674832">
        <w:rPr>
          <w:sz w:val="20"/>
        </w:rPr>
        <w:t>(MSC-MEPC.7/Circ.3</w:t>
      </w:r>
      <w:r>
        <w:rPr>
          <w:sz w:val="20"/>
        </w:rPr>
        <w:t>) [10]</w:t>
      </w:r>
      <w:r w:rsidRPr="00674832">
        <w:rPr>
          <w:sz w:val="20"/>
        </w:rPr>
        <w:t xml:space="preserve">. </w:t>
      </w:r>
      <w:r>
        <w:rPr>
          <w:sz w:val="20"/>
        </w:rPr>
        <w:t xml:space="preserve">The </w:t>
      </w:r>
      <w:r w:rsidRPr="00BD6B70">
        <w:rPr>
          <w:sz w:val="20"/>
        </w:rPr>
        <w:t>framework</w:t>
      </w:r>
      <w:r>
        <w:rPr>
          <w:sz w:val="20"/>
        </w:rPr>
        <w:t xml:space="preserve"> identified access structures such as stairs, ladders, ramps, walkways and work platforms as one of five key areas in which the application of ergonomics to design could reduce the incidence of personal injury and human error. </w:t>
      </w:r>
    </w:p>
    <w:p w14:paraId="4E1D34AA" w14:textId="77777777" w:rsidR="00581EC0" w:rsidRPr="00AB313B" w:rsidRDefault="00581EC0" w:rsidP="00581EC0">
      <w:pPr>
        <w:jc w:val="both"/>
      </w:pPr>
    </w:p>
    <w:p w14:paraId="517A495B" w14:textId="77777777" w:rsidR="00581EC0" w:rsidRPr="00AD793B" w:rsidRDefault="00581EC0" w:rsidP="00581EC0">
      <w:pPr>
        <w:autoSpaceDE w:val="0"/>
        <w:autoSpaceDN w:val="0"/>
        <w:adjustRightInd w:val="0"/>
        <w:jc w:val="both"/>
        <w:rPr>
          <w:sz w:val="20"/>
        </w:rPr>
      </w:pPr>
      <w:r w:rsidRPr="004A67E0">
        <w:rPr>
          <w:sz w:val="20"/>
        </w:rPr>
        <w:t xml:space="preserve">Additionally, in 2010, the IMO Maritime Safety Committee (MSC) adopted SOLAS regulation II-1/3-10 </w:t>
      </w:r>
      <w:r>
        <w:rPr>
          <w:sz w:val="20"/>
        </w:rPr>
        <w:t xml:space="preserve">on </w:t>
      </w:r>
      <w:r w:rsidRPr="001E0C82">
        <w:rPr>
          <w:i/>
          <w:iCs/>
          <w:sz w:val="20"/>
        </w:rPr>
        <w:t>Goal-based Ship Construction Standards for Bulk Carriers and Oil</w:t>
      </w:r>
      <w:r w:rsidRPr="004A67E0">
        <w:rPr>
          <w:sz w:val="20"/>
        </w:rPr>
        <w:t xml:space="preserve"> </w:t>
      </w:r>
      <w:r w:rsidRPr="001E0C82">
        <w:rPr>
          <w:i/>
          <w:iCs/>
          <w:sz w:val="20"/>
        </w:rPr>
        <w:t>Tankers</w:t>
      </w:r>
      <w:r>
        <w:rPr>
          <w:sz w:val="20"/>
        </w:rPr>
        <w:t xml:space="preserve"> </w:t>
      </w:r>
      <w:r w:rsidRPr="004A67E0">
        <w:rPr>
          <w:sz w:val="20"/>
        </w:rPr>
        <w:t>(GBS) (MSC.2</w:t>
      </w:r>
      <w:r>
        <w:rPr>
          <w:sz w:val="20"/>
        </w:rPr>
        <w:t>87</w:t>
      </w:r>
      <w:r w:rsidRPr="004A67E0">
        <w:rPr>
          <w:sz w:val="20"/>
        </w:rPr>
        <w:t>(87))</w:t>
      </w:r>
      <w:r>
        <w:rPr>
          <w:sz w:val="20"/>
        </w:rPr>
        <w:t xml:space="preserve"> [11] with a view to </w:t>
      </w:r>
      <w:r w:rsidRPr="00297932">
        <w:rPr>
          <w:sz w:val="20"/>
        </w:rPr>
        <w:t xml:space="preserve">consider expansion to other ship types and areas of safety at a later </w:t>
      </w:r>
      <w:r>
        <w:rPr>
          <w:sz w:val="20"/>
        </w:rPr>
        <w:t>date</w:t>
      </w:r>
      <w:r w:rsidRPr="004A67E0">
        <w:rPr>
          <w:sz w:val="20"/>
        </w:rPr>
        <w:t>. The standard stipulate</w:t>
      </w:r>
      <w:r>
        <w:rPr>
          <w:sz w:val="20"/>
        </w:rPr>
        <w:t>d</w:t>
      </w:r>
      <w:r w:rsidRPr="004A67E0">
        <w:rPr>
          <w:sz w:val="20"/>
        </w:rPr>
        <w:t xml:space="preserve"> that the </w:t>
      </w:r>
      <w:r>
        <w:rPr>
          <w:sz w:val="20"/>
        </w:rPr>
        <w:t>human element</w:t>
      </w:r>
      <w:r w:rsidRPr="004A67E0">
        <w:rPr>
          <w:sz w:val="20"/>
        </w:rPr>
        <w:t xml:space="preserve"> </w:t>
      </w:r>
      <w:r>
        <w:rPr>
          <w:sz w:val="20"/>
        </w:rPr>
        <w:t>should</w:t>
      </w:r>
      <w:r w:rsidRPr="004A67E0">
        <w:rPr>
          <w:sz w:val="20"/>
        </w:rPr>
        <w:t xml:space="preserve"> be considered during structural design and arrangement </w:t>
      </w:r>
      <w:r w:rsidRPr="005D117D">
        <w:rPr>
          <w:sz w:val="20"/>
        </w:rPr>
        <w:t xml:space="preserve">with the overarching goals of safety of life, safety of ship and safety of the environment. </w:t>
      </w:r>
      <w:r>
        <w:rPr>
          <w:sz w:val="20"/>
        </w:rPr>
        <w:t xml:space="preserve">GBS </w:t>
      </w:r>
      <w:r w:rsidRPr="005D117D">
        <w:rPr>
          <w:sz w:val="20"/>
        </w:rPr>
        <w:t xml:space="preserve">further </w:t>
      </w:r>
      <w:r>
        <w:rPr>
          <w:sz w:val="20"/>
        </w:rPr>
        <w:t>outlined</w:t>
      </w:r>
      <w:r w:rsidRPr="005D117D">
        <w:rPr>
          <w:sz w:val="20"/>
        </w:rPr>
        <w:t xml:space="preserve"> key</w:t>
      </w:r>
      <w:r>
        <w:rPr>
          <w:sz w:val="20"/>
        </w:rPr>
        <w:t xml:space="preserve"> </w:t>
      </w:r>
      <w:r w:rsidRPr="005D117D">
        <w:rPr>
          <w:sz w:val="20"/>
        </w:rPr>
        <w:t>functional requirements developed from experience, current rules and regulations</w:t>
      </w:r>
      <w:r>
        <w:rPr>
          <w:sz w:val="20"/>
        </w:rPr>
        <w:t xml:space="preserve"> and a</w:t>
      </w:r>
      <w:r w:rsidRPr="005D117D">
        <w:rPr>
          <w:sz w:val="20"/>
        </w:rPr>
        <w:t xml:space="preserve"> systematic analysis of hazards and risks </w:t>
      </w:r>
      <w:r>
        <w:rPr>
          <w:sz w:val="20"/>
        </w:rPr>
        <w:t>[12]</w:t>
      </w:r>
      <w:r w:rsidRPr="005D117D">
        <w:rPr>
          <w:sz w:val="20"/>
        </w:rPr>
        <w:t xml:space="preserve">. </w:t>
      </w:r>
      <w:r w:rsidRPr="00AD793B">
        <w:rPr>
          <w:sz w:val="20"/>
        </w:rPr>
        <w:t>A specific functional requirement (II.9) illustrate</w:t>
      </w:r>
      <w:r>
        <w:rPr>
          <w:sz w:val="20"/>
        </w:rPr>
        <w:t>s</w:t>
      </w:r>
      <w:r w:rsidRPr="00AD793B">
        <w:rPr>
          <w:sz w:val="20"/>
        </w:rPr>
        <w:t xml:space="preserve"> the need to consider ergonomic principles to ensure safety during operations, inspection and maintenance</w:t>
      </w:r>
      <w:r>
        <w:rPr>
          <w:sz w:val="20"/>
        </w:rPr>
        <w:t>,</w:t>
      </w:r>
      <w:r w:rsidRPr="00AD793B">
        <w:rPr>
          <w:sz w:val="20"/>
        </w:rPr>
        <w:t xml:space="preserve"> and specifies the provision of adequate means of acces</w:t>
      </w:r>
      <w:r>
        <w:rPr>
          <w:sz w:val="20"/>
        </w:rPr>
        <w:t>s</w:t>
      </w:r>
      <w:r w:rsidRPr="00AD793B">
        <w:rPr>
          <w:sz w:val="20"/>
        </w:rPr>
        <w:t xml:space="preserve">. </w:t>
      </w:r>
    </w:p>
    <w:p w14:paraId="5B5CFB9A" w14:textId="77777777" w:rsidR="00581EC0" w:rsidRPr="005D117D" w:rsidRDefault="00581EC0" w:rsidP="00581EC0">
      <w:pPr>
        <w:autoSpaceDE w:val="0"/>
        <w:autoSpaceDN w:val="0"/>
        <w:adjustRightInd w:val="0"/>
        <w:jc w:val="both"/>
        <w:rPr>
          <w:sz w:val="20"/>
        </w:rPr>
      </w:pPr>
    </w:p>
    <w:p w14:paraId="192D3118" w14:textId="77777777" w:rsidR="00581EC0" w:rsidRDefault="00581EC0" w:rsidP="00581EC0">
      <w:pPr>
        <w:autoSpaceDE w:val="0"/>
        <w:autoSpaceDN w:val="0"/>
        <w:adjustRightInd w:val="0"/>
        <w:jc w:val="both"/>
        <w:rPr>
          <w:sz w:val="20"/>
        </w:rPr>
      </w:pPr>
      <w:r w:rsidRPr="005F37E7">
        <w:rPr>
          <w:sz w:val="20"/>
        </w:rPr>
        <w:t xml:space="preserve">In response to the establishment of </w:t>
      </w:r>
      <w:r>
        <w:rPr>
          <w:sz w:val="20"/>
        </w:rPr>
        <w:t>GBS</w:t>
      </w:r>
      <w:r w:rsidRPr="005F37E7">
        <w:rPr>
          <w:sz w:val="20"/>
        </w:rPr>
        <w:t xml:space="preserve">, </w:t>
      </w:r>
      <w:r w:rsidRPr="004726BA">
        <w:rPr>
          <w:color w:val="000000"/>
          <w:sz w:val="20"/>
        </w:rPr>
        <w:t xml:space="preserve">IACS developed the </w:t>
      </w:r>
      <w:r w:rsidRPr="004726BA">
        <w:rPr>
          <w:i/>
          <w:iCs/>
          <w:color w:val="000000"/>
          <w:sz w:val="20"/>
        </w:rPr>
        <w:t xml:space="preserve">Common Structural Rules for Double Hull Oil Tankers and Bulk Carriers </w:t>
      </w:r>
      <w:r w:rsidRPr="004726BA">
        <w:rPr>
          <w:color w:val="000000"/>
          <w:sz w:val="20"/>
        </w:rPr>
        <w:t xml:space="preserve">(CSR) [13]. The IACS Council was satisfied that these rules were based on sound technical grounds and achieved the goal of safer ships. However, CSR failed to set out explicit rules for the human element. IACS therefore investigated safe access and egress considerations </w:t>
      </w:r>
      <w:r w:rsidRPr="005F37E7">
        <w:rPr>
          <w:sz w:val="20"/>
        </w:rPr>
        <w:t>through the development of the non-mandatory</w:t>
      </w:r>
      <w:r>
        <w:rPr>
          <w:sz w:val="20"/>
        </w:rPr>
        <w:t xml:space="preserve"> document</w:t>
      </w:r>
      <w:r w:rsidRPr="005F37E7">
        <w:rPr>
          <w:sz w:val="20"/>
        </w:rPr>
        <w:t xml:space="preserve"> </w:t>
      </w:r>
      <w:r w:rsidRPr="00C03541">
        <w:rPr>
          <w:i/>
          <w:iCs/>
          <w:sz w:val="20"/>
        </w:rPr>
        <w:t>IACS Recommendation No. 132 –</w:t>
      </w:r>
      <w:r w:rsidRPr="005F37E7">
        <w:rPr>
          <w:sz w:val="20"/>
        </w:rPr>
        <w:t xml:space="preserve"> </w:t>
      </w:r>
      <w:r>
        <w:rPr>
          <w:i/>
          <w:iCs/>
          <w:sz w:val="20"/>
        </w:rPr>
        <w:t>H</w:t>
      </w:r>
      <w:r w:rsidRPr="00C03541">
        <w:rPr>
          <w:i/>
          <w:iCs/>
          <w:sz w:val="20"/>
        </w:rPr>
        <w:t xml:space="preserve">uman </w:t>
      </w:r>
      <w:r>
        <w:rPr>
          <w:i/>
          <w:iCs/>
          <w:sz w:val="20"/>
        </w:rPr>
        <w:t>E</w:t>
      </w:r>
      <w:r w:rsidRPr="00C03541">
        <w:rPr>
          <w:i/>
          <w:iCs/>
          <w:sz w:val="20"/>
        </w:rPr>
        <w:t>lement</w:t>
      </w:r>
      <w:r>
        <w:rPr>
          <w:i/>
          <w:iCs/>
          <w:sz w:val="20"/>
        </w:rPr>
        <w:t xml:space="preserve"> R</w:t>
      </w:r>
      <w:r w:rsidRPr="00C03541">
        <w:rPr>
          <w:i/>
          <w:iCs/>
          <w:sz w:val="20"/>
        </w:rPr>
        <w:t xml:space="preserve">ecommendations for </w:t>
      </w:r>
      <w:r>
        <w:rPr>
          <w:i/>
          <w:iCs/>
          <w:sz w:val="20"/>
        </w:rPr>
        <w:t>the S</w:t>
      </w:r>
      <w:r w:rsidRPr="00C03541">
        <w:rPr>
          <w:i/>
          <w:iCs/>
          <w:sz w:val="20"/>
        </w:rPr>
        <w:t>tructural</w:t>
      </w:r>
      <w:r>
        <w:rPr>
          <w:i/>
          <w:iCs/>
          <w:sz w:val="20"/>
        </w:rPr>
        <w:t xml:space="preserve"> D</w:t>
      </w:r>
      <w:r w:rsidRPr="00C03541">
        <w:rPr>
          <w:i/>
          <w:iCs/>
          <w:sz w:val="20"/>
        </w:rPr>
        <w:t>esign of</w:t>
      </w:r>
      <w:r>
        <w:rPr>
          <w:i/>
          <w:iCs/>
          <w:sz w:val="20"/>
        </w:rPr>
        <w:t xml:space="preserve"> L</w:t>
      </w:r>
      <w:r w:rsidRPr="00C03541">
        <w:rPr>
          <w:i/>
          <w:iCs/>
          <w:sz w:val="20"/>
        </w:rPr>
        <w:t xml:space="preserve">ighting, </w:t>
      </w:r>
      <w:r>
        <w:rPr>
          <w:i/>
          <w:iCs/>
          <w:sz w:val="20"/>
        </w:rPr>
        <w:t>V</w:t>
      </w:r>
      <w:r w:rsidRPr="00C03541">
        <w:rPr>
          <w:i/>
          <w:iCs/>
          <w:sz w:val="20"/>
        </w:rPr>
        <w:t xml:space="preserve">entilation, </w:t>
      </w:r>
      <w:r>
        <w:rPr>
          <w:i/>
          <w:iCs/>
          <w:sz w:val="20"/>
        </w:rPr>
        <w:t>V</w:t>
      </w:r>
      <w:r w:rsidRPr="00C03541">
        <w:rPr>
          <w:i/>
          <w:iCs/>
          <w:sz w:val="20"/>
        </w:rPr>
        <w:t xml:space="preserve">ibration, </w:t>
      </w:r>
      <w:r w:rsidRPr="004726BA">
        <w:rPr>
          <w:i/>
          <w:iCs/>
          <w:color w:val="000000"/>
          <w:sz w:val="20"/>
        </w:rPr>
        <w:t>Noise and Access and Egress Arrangements</w:t>
      </w:r>
      <w:r w:rsidRPr="004726BA">
        <w:rPr>
          <w:color w:val="000000"/>
          <w:sz w:val="20"/>
        </w:rPr>
        <w:t xml:space="preserve"> [14]. Although the document summarises recommendations for the consideration of the Human Element and ergonomics in structural ship design and provides a broad means of compliance, a lack of </w:t>
      </w:r>
      <w:r w:rsidRPr="005F37E7">
        <w:rPr>
          <w:sz w:val="20"/>
        </w:rPr>
        <w:t>unified interpretation has prompted unilateral action by Class to address the issue</w:t>
      </w:r>
      <w:r>
        <w:rPr>
          <w:sz w:val="20"/>
        </w:rPr>
        <w:t xml:space="preserve"> </w:t>
      </w:r>
      <w:r w:rsidRPr="005F37E7">
        <w:rPr>
          <w:sz w:val="20"/>
        </w:rPr>
        <w:t xml:space="preserve">with </w:t>
      </w:r>
      <w:r>
        <w:rPr>
          <w:sz w:val="20"/>
        </w:rPr>
        <w:t>the American Bureau of Shipping (</w:t>
      </w:r>
      <w:r w:rsidRPr="005F37E7">
        <w:rPr>
          <w:sz w:val="20"/>
        </w:rPr>
        <w:t>ABS</w:t>
      </w:r>
      <w:r>
        <w:rPr>
          <w:sz w:val="20"/>
        </w:rPr>
        <w:t>)</w:t>
      </w:r>
      <w:r w:rsidRPr="005F37E7">
        <w:rPr>
          <w:sz w:val="20"/>
        </w:rPr>
        <w:t>,</w:t>
      </w:r>
      <w:r>
        <w:rPr>
          <w:sz w:val="20"/>
        </w:rPr>
        <w:t xml:space="preserve"> Bureau Veritas</w:t>
      </w:r>
      <w:r w:rsidRPr="005F37E7">
        <w:rPr>
          <w:sz w:val="20"/>
        </w:rPr>
        <w:t xml:space="preserve"> </w:t>
      </w:r>
      <w:r>
        <w:rPr>
          <w:sz w:val="20"/>
        </w:rPr>
        <w:t>(</w:t>
      </w:r>
      <w:r w:rsidRPr="005F37E7">
        <w:rPr>
          <w:sz w:val="20"/>
        </w:rPr>
        <w:t>BV</w:t>
      </w:r>
      <w:r>
        <w:rPr>
          <w:sz w:val="20"/>
        </w:rPr>
        <w:t>)</w:t>
      </w:r>
      <w:r w:rsidRPr="005F37E7">
        <w:rPr>
          <w:sz w:val="20"/>
        </w:rPr>
        <w:t xml:space="preserve"> and L</w:t>
      </w:r>
      <w:r>
        <w:rPr>
          <w:sz w:val="20"/>
        </w:rPr>
        <w:t xml:space="preserve">loyd’s </w:t>
      </w:r>
      <w:r w:rsidRPr="005F37E7">
        <w:rPr>
          <w:sz w:val="20"/>
        </w:rPr>
        <w:t>R</w:t>
      </w:r>
      <w:r>
        <w:rPr>
          <w:sz w:val="20"/>
        </w:rPr>
        <w:t>egister (LR)</w:t>
      </w:r>
      <w:r w:rsidRPr="005F37E7">
        <w:rPr>
          <w:sz w:val="20"/>
        </w:rPr>
        <w:t xml:space="preserve"> develop</w:t>
      </w:r>
      <w:r>
        <w:rPr>
          <w:sz w:val="20"/>
        </w:rPr>
        <w:t>ing</w:t>
      </w:r>
      <w:r w:rsidRPr="005F37E7">
        <w:rPr>
          <w:sz w:val="20"/>
        </w:rPr>
        <w:t xml:space="preserve"> ergonomics </w:t>
      </w:r>
      <w:r>
        <w:rPr>
          <w:sz w:val="20"/>
        </w:rPr>
        <w:t>r</w:t>
      </w:r>
      <w:r w:rsidRPr="005F37E7">
        <w:rPr>
          <w:sz w:val="20"/>
        </w:rPr>
        <w:t>ule sets.</w:t>
      </w:r>
    </w:p>
    <w:p w14:paraId="75C119A4" w14:textId="77777777" w:rsidR="00581EC0" w:rsidRDefault="00581EC0" w:rsidP="00581EC0">
      <w:pPr>
        <w:jc w:val="both"/>
        <w:rPr>
          <w:sz w:val="20"/>
        </w:rPr>
      </w:pPr>
    </w:p>
    <w:p w14:paraId="0C01A410" w14:textId="77777777" w:rsidR="00581EC0" w:rsidRDefault="00581EC0" w:rsidP="00581EC0">
      <w:pPr>
        <w:jc w:val="both"/>
        <w:rPr>
          <w:sz w:val="20"/>
        </w:rPr>
      </w:pPr>
      <w:r>
        <w:rPr>
          <w:sz w:val="20"/>
        </w:rPr>
        <w:t>2.2</w:t>
      </w:r>
      <w:r>
        <w:rPr>
          <w:sz w:val="20"/>
        </w:rPr>
        <w:tab/>
        <w:t>LR’S RESPONSE</w:t>
      </w:r>
    </w:p>
    <w:p w14:paraId="35FFBA7A" w14:textId="77777777" w:rsidR="00581EC0" w:rsidRDefault="00581EC0" w:rsidP="00581EC0">
      <w:pPr>
        <w:jc w:val="both"/>
        <w:rPr>
          <w:sz w:val="20"/>
        </w:rPr>
      </w:pPr>
    </w:p>
    <w:p w14:paraId="2EA1AACB" w14:textId="77777777" w:rsidR="00581EC0" w:rsidRPr="009C0C95" w:rsidRDefault="00581EC0" w:rsidP="00581EC0">
      <w:pPr>
        <w:jc w:val="both"/>
        <w:rPr>
          <w:color w:val="000000"/>
          <w:sz w:val="20"/>
        </w:rPr>
      </w:pPr>
      <w:r w:rsidRPr="00597AFA">
        <w:rPr>
          <w:sz w:val="20"/>
        </w:rPr>
        <w:t>In response to</w:t>
      </w:r>
      <w:r>
        <w:rPr>
          <w:sz w:val="20"/>
        </w:rPr>
        <w:t xml:space="preserve"> the identified</w:t>
      </w:r>
      <w:r w:rsidRPr="00597AFA">
        <w:rPr>
          <w:sz w:val="20"/>
        </w:rPr>
        <w:t xml:space="preserve"> </w:t>
      </w:r>
      <w:r>
        <w:rPr>
          <w:sz w:val="20"/>
        </w:rPr>
        <w:t>risks and hazards to seafarer safety</w:t>
      </w:r>
      <w:r w:rsidRPr="00597AFA">
        <w:rPr>
          <w:sz w:val="20"/>
        </w:rPr>
        <w:t xml:space="preserve"> and the increased industry drive to consider the </w:t>
      </w:r>
      <w:r>
        <w:rPr>
          <w:sz w:val="20"/>
        </w:rPr>
        <w:t>H</w:t>
      </w:r>
      <w:r w:rsidRPr="00597AFA">
        <w:rPr>
          <w:sz w:val="20"/>
        </w:rPr>
        <w:t xml:space="preserve">uman </w:t>
      </w:r>
      <w:r>
        <w:rPr>
          <w:sz w:val="20"/>
        </w:rPr>
        <w:t>E</w:t>
      </w:r>
      <w:r w:rsidRPr="00597AFA">
        <w:rPr>
          <w:sz w:val="20"/>
        </w:rPr>
        <w:t xml:space="preserve">lement within maritime regulation, </w:t>
      </w:r>
      <w:r>
        <w:rPr>
          <w:sz w:val="20"/>
        </w:rPr>
        <w:t>LR</w:t>
      </w:r>
      <w:r w:rsidRPr="00597AFA">
        <w:rPr>
          <w:sz w:val="20"/>
        </w:rPr>
        <w:t xml:space="preserve"> </w:t>
      </w:r>
      <w:r w:rsidRPr="0005094A">
        <w:rPr>
          <w:sz w:val="20"/>
        </w:rPr>
        <w:t xml:space="preserve">has </w:t>
      </w:r>
      <w:r>
        <w:rPr>
          <w:sz w:val="20"/>
        </w:rPr>
        <w:t>developed</w:t>
      </w:r>
      <w:r w:rsidRPr="0005094A">
        <w:rPr>
          <w:sz w:val="20"/>
        </w:rPr>
        <w:t xml:space="preserve"> a </w:t>
      </w:r>
      <w:r>
        <w:rPr>
          <w:sz w:val="20"/>
        </w:rPr>
        <w:t>strategy</w:t>
      </w:r>
      <w:r w:rsidRPr="0005094A">
        <w:rPr>
          <w:sz w:val="20"/>
        </w:rPr>
        <w:t xml:space="preserve"> to address the </w:t>
      </w:r>
      <w:r>
        <w:rPr>
          <w:sz w:val="20"/>
        </w:rPr>
        <w:t>H</w:t>
      </w:r>
      <w:r w:rsidRPr="0005094A">
        <w:rPr>
          <w:sz w:val="20"/>
        </w:rPr>
        <w:t xml:space="preserve">uman </w:t>
      </w:r>
      <w:r>
        <w:rPr>
          <w:sz w:val="20"/>
        </w:rPr>
        <w:t>E</w:t>
      </w:r>
      <w:r w:rsidRPr="0005094A">
        <w:rPr>
          <w:sz w:val="20"/>
        </w:rPr>
        <w:t>lement. In 2003</w:t>
      </w:r>
      <w:r>
        <w:rPr>
          <w:sz w:val="20"/>
        </w:rPr>
        <w:t xml:space="preserve">, an analysis of Class Rules and associated </w:t>
      </w:r>
      <w:r w:rsidRPr="009C0C95">
        <w:rPr>
          <w:color w:val="000000"/>
          <w:sz w:val="20"/>
        </w:rPr>
        <w:t xml:space="preserve">documents found a large number of implicit </w:t>
      </w:r>
      <w:r>
        <w:rPr>
          <w:sz w:val="20"/>
        </w:rPr>
        <w:t>H</w:t>
      </w:r>
      <w:r w:rsidRPr="0005094A">
        <w:rPr>
          <w:sz w:val="20"/>
        </w:rPr>
        <w:t xml:space="preserve">uman </w:t>
      </w:r>
      <w:r>
        <w:rPr>
          <w:sz w:val="20"/>
        </w:rPr>
        <w:t>E</w:t>
      </w:r>
      <w:r w:rsidRPr="0005094A">
        <w:rPr>
          <w:sz w:val="20"/>
        </w:rPr>
        <w:t>lement</w:t>
      </w:r>
      <w:r w:rsidRPr="009C0C95" w:rsidDel="00540637">
        <w:rPr>
          <w:color w:val="000000"/>
          <w:sz w:val="20"/>
        </w:rPr>
        <w:t xml:space="preserve"> </w:t>
      </w:r>
      <w:r w:rsidRPr="009C0C95">
        <w:rPr>
          <w:color w:val="000000"/>
          <w:sz w:val="20"/>
        </w:rPr>
        <w:t xml:space="preserve">requirements [15]. In this analysis, Antonio and Earthy [15] concluded that in order to be of value, </w:t>
      </w:r>
      <w:r>
        <w:rPr>
          <w:sz w:val="20"/>
        </w:rPr>
        <w:t>H</w:t>
      </w:r>
      <w:r w:rsidRPr="0005094A">
        <w:rPr>
          <w:sz w:val="20"/>
        </w:rPr>
        <w:t xml:space="preserve">uman </w:t>
      </w:r>
      <w:r>
        <w:rPr>
          <w:sz w:val="20"/>
        </w:rPr>
        <w:t>E</w:t>
      </w:r>
      <w:r w:rsidRPr="0005094A">
        <w:rPr>
          <w:sz w:val="20"/>
        </w:rPr>
        <w:t>lement</w:t>
      </w:r>
      <w:r w:rsidRPr="009C0C95" w:rsidDel="00540637">
        <w:rPr>
          <w:color w:val="000000"/>
          <w:sz w:val="20"/>
        </w:rPr>
        <w:t xml:space="preserve"> </w:t>
      </w:r>
      <w:r w:rsidRPr="009C0C95">
        <w:rPr>
          <w:color w:val="000000"/>
          <w:sz w:val="20"/>
        </w:rPr>
        <w:t xml:space="preserve">requirements in Class Rules need to be stated explicitly, consistently and to define the intended operational context in which they applied. </w:t>
      </w:r>
      <w:r w:rsidRPr="009C0C95">
        <w:rPr>
          <w:color w:val="000000"/>
          <w:sz w:val="20"/>
          <w:lang w:val="en-US"/>
        </w:rPr>
        <w:t xml:space="preserve"> </w:t>
      </w:r>
      <w:r w:rsidRPr="009C0C95">
        <w:rPr>
          <w:color w:val="000000"/>
          <w:sz w:val="20"/>
        </w:rPr>
        <w:t>Classification Rules and Regulations are the main means of mitigating error in design construction of ships [2]. Class Rules also provide a means of assurance and verification for the application of ergonomics. Hence, the inclusion of ergonomics requirements within Class Rules has the potential to make a credible impact and far-reaching improvements to safety on a large scale. The findings of the analysis resulted in the revision of rule requirements and the development of specific ergonomics rule sets [2].</w:t>
      </w:r>
    </w:p>
    <w:p w14:paraId="0B220ABC" w14:textId="77777777" w:rsidR="00581EC0" w:rsidRPr="00212AA2" w:rsidRDefault="00581EC0" w:rsidP="00581EC0">
      <w:pPr>
        <w:jc w:val="both"/>
        <w:rPr>
          <w:sz w:val="20"/>
        </w:rPr>
      </w:pPr>
    </w:p>
    <w:p w14:paraId="340291BC" w14:textId="77777777" w:rsidR="00581EC0" w:rsidRDefault="00581EC0" w:rsidP="00581EC0">
      <w:pPr>
        <w:jc w:val="both"/>
        <w:rPr>
          <w:sz w:val="20"/>
        </w:rPr>
      </w:pPr>
      <w:r>
        <w:rPr>
          <w:sz w:val="20"/>
        </w:rPr>
        <w:lastRenderedPageBreak/>
        <w:t xml:space="preserve">The </w:t>
      </w:r>
      <w:r w:rsidRPr="00BE39AD">
        <w:rPr>
          <w:sz w:val="20"/>
        </w:rPr>
        <w:t xml:space="preserve">Ergonomic Container Lashing (ECL) notation was the first </w:t>
      </w:r>
      <w:r>
        <w:rPr>
          <w:sz w:val="20"/>
        </w:rPr>
        <w:t xml:space="preserve">new physical </w:t>
      </w:r>
      <w:r w:rsidRPr="00BE39AD">
        <w:rPr>
          <w:sz w:val="20"/>
        </w:rPr>
        <w:t xml:space="preserve">ergonomics rule set to be </w:t>
      </w:r>
      <w:r>
        <w:rPr>
          <w:sz w:val="20"/>
        </w:rPr>
        <w:t>approved by</w:t>
      </w:r>
      <w:r w:rsidRPr="00BE39AD">
        <w:rPr>
          <w:sz w:val="20"/>
        </w:rPr>
        <w:t xml:space="preserve"> </w:t>
      </w:r>
      <w:r>
        <w:rPr>
          <w:sz w:val="20"/>
        </w:rPr>
        <w:t>LR [8]</w:t>
      </w:r>
      <w:r w:rsidRPr="00BE39AD">
        <w:rPr>
          <w:sz w:val="20"/>
        </w:rPr>
        <w:t xml:space="preserve">. </w:t>
      </w:r>
      <w:r>
        <w:rPr>
          <w:sz w:val="20"/>
        </w:rPr>
        <w:t>ECL was among the first rules products designed to mitigate against occupational health hazards, its</w:t>
      </w:r>
      <w:r w:rsidRPr="00FC6583">
        <w:rPr>
          <w:sz w:val="20"/>
        </w:rPr>
        <w:t xml:space="preserve"> </w:t>
      </w:r>
      <w:r>
        <w:rPr>
          <w:sz w:val="20"/>
        </w:rPr>
        <w:t xml:space="preserve">primary goal </w:t>
      </w:r>
      <w:r w:rsidRPr="00FC6583">
        <w:rPr>
          <w:sz w:val="20"/>
        </w:rPr>
        <w:t>to improve the safety of working arrangements for port workers and ship’s crew when performing container securing, inspection and other related tasks</w:t>
      </w:r>
      <w:r>
        <w:rPr>
          <w:sz w:val="20"/>
        </w:rPr>
        <w:t xml:space="preserve">. </w:t>
      </w:r>
      <w:r w:rsidRPr="009C0C95">
        <w:rPr>
          <w:color w:val="000000"/>
          <w:sz w:val="20"/>
        </w:rPr>
        <w:t xml:space="preserve">In developing ECL, Walker noted a particular challenge in translating from the task-based language of ergonomics to the prescriptive language of </w:t>
      </w:r>
      <w:r w:rsidRPr="00A06B58">
        <w:rPr>
          <w:sz w:val="20"/>
        </w:rPr>
        <w:t>rules and requirements</w:t>
      </w:r>
      <w:r>
        <w:rPr>
          <w:sz w:val="20"/>
        </w:rPr>
        <w:t xml:space="preserve"> [8]</w:t>
      </w:r>
      <w:r w:rsidRPr="00A06B58">
        <w:rPr>
          <w:sz w:val="20"/>
        </w:rPr>
        <w:t>. To ensure the development of criteria that are ergonomically sound, technically clear and assessable, Walker determined that ergonomics guidance must:</w:t>
      </w:r>
    </w:p>
    <w:p w14:paraId="619D9F0E" w14:textId="77777777" w:rsidR="00581EC0" w:rsidRPr="00A06B58" w:rsidRDefault="00581EC0" w:rsidP="00581EC0">
      <w:pPr>
        <w:jc w:val="both"/>
        <w:rPr>
          <w:sz w:val="20"/>
        </w:rPr>
      </w:pPr>
    </w:p>
    <w:p w14:paraId="76EBBA0B" w14:textId="77777777" w:rsidR="00581EC0" w:rsidRPr="00A06B58" w:rsidRDefault="00581EC0" w:rsidP="00553DD3">
      <w:pPr>
        <w:pStyle w:val="ListParagraph"/>
        <w:numPr>
          <w:ilvl w:val="0"/>
          <w:numId w:val="4"/>
        </w:numPr>
        <w:jc w:val="both"/>
        <w:rPr>
          <w:sz w:val="20"/>
        </w:rPr>
      </w:pPr>
      <w:r w:rsidRPr="00A06B58">
        <w:rPr>
          <w:sz w:val="20"/>
        </w:rPr>
        <w:t>Be prescriptive in order to provide clear unambiguous instructions to designers and manufacturers.</w:t>
      </w:r>
    </w:p>
    <w:p w14:paraId="4C4D2FA8" w14:textId="77777777" w:rsidR="00581EC0" w:rsidRPr="00A06B58" w:rsidRDefault="00581EC0" w:rsidP="00553DD3">
      <w:pPr>
        <w:pStyle w:val="ListParagraph"/>
        <w:numPr>
          <w:ilvl w:val="0"/>
          <w:numId w:val="4"/>
        </w:numPr>
        <w:jc w:val="both"/>
        <w:rPr>
          <w:sz w:val="20"/>
        </w:rPr>
      </w:pPr>
      <w:r w:rsidRPr="00A06B58">
        <w:rPr>
          <w:sz w:val="20"/>
        </w:rPr>
        <w:t>Be defensible and of scientific merit in order to withstand challenges by stakeholders.</w:t>
      </w:r>
    </w:p>
    <w:p w14:paraId="482A1D04" w14:textId="77777777" w:rsidR="00581EC0" w:rsidRPr="00A06B58" w:rsidRDefault="00581EC0" w:rsidP="00553DD3">
      <w:pPr>
        <w:pStyle w:val="ListParagraph"/>
        <w:numPr>
          <w:ilvl w:val="0"/>
          <w:numId w:val="4"/>
        </w:numPr>
        <w:jc w:val="both"/>
        <w:rPr>
          <w:sz w:val="20"/>
        </w:rPr>
      </w:pPr>
      <w:r w:rsidRPr="00A06B58">
        <w:rPr>
          <w:sz w:val="20"/>
        </w:rPr>
        <w:t>Be written in simple language that is understood by non-ergonomists.</w:t>
      </w:r>
    </w:p>
    <w:p w14:paraId="12A80C41" w14:textId="77777777" w:rsidR="00581EC0" w:rsidRDefault="00581EC0" w:rsidP="00553DD3">
      <w:pPr>
        <w:pStyle w:val="ListParagraph"/>
        <w:numPr>
          <w:ilvl w:val="0"/>
          <w:numId w:val="4"/>
        </w:numPr>
        <w:jc w:val="both"/>
        <w:rPr>
          <w:sz w:val="20"/>
        </w:rPr>
      </w:pPr>
      <w:r w:rsidRPr="00A06B58">
        <w:rPr>
          <w:sz w:val="20"/>
        </w:rPr>
        <w:t>Be verifiable such that compliance assessment is straightforward.</w:t>
      </w:r>
    </w:p>
    <w:p w14:paraId="53EADF5F" w14:textId="77777777" w:rsidR="00581EC0" w:rsidRDefault="00581EC0" w:rsidP="00581EC0">
      <w:pPr>
        <w:pStyle w:val="ListParagraph"/>
        <w:jc w:val="both"/>
        <w:rPr>
          <w:sz w:val="20"/>
        </w:rPr>
      </w:pPr>
    </w:p>
    <w:p w14:paraId="74881D78" w14:textId="77777777" w:rsidR="00581EC0" w:rsidRPr="00F06A71" w:rsidRDefault="00581EC0" w:rsidP="00581EC0">
      <w:pPr>
        <w:jc w:val="both"/>
        <w:rPr>
          <w:sz w:val="20"/>
        </w:rPr>
      </w:pPr>
      <w:r>
        <w:rPr>
          <w:sz w:val="20"/>
        </w:rPr>
        <w:t>An</w:t>
      </w:r>
      <w:r w:rsidRPr="0047148F">
        <w:rPr>
          <w:sz w:val="20"/>
        </w:rPr>
        <w:t xml:space="preserve"> awareness </w:t>
      </w:r>
      <w:r>
        <w:rPr>
          <w:sz w:val="20"/>
        </w:rPr>
        <w:t xml:space="preserve">of the challenges faced in developing and gaining approval for the ECL notation </w:t>
      </w:r>
      <w:r w:rsidRPr="009C0C95">
        <w:rPr>
          <w:color w:val="000000"/>
          <w:sz w:val="20"/>
        </w:rPr>
        <w:t>provides a basis for the development of new ergonomics rule sets.</w:t>
      </w:r>
    </w:p>
    <w:p w14:paraId="24DF7C42" w14:textId="77777777" w:rsidR="00581EC0" w:rsidRDefault="00581EC0" w:rsidP="00581EC0">
      <w:pPr>
        <w:jc w:val="both"/>
        <w:rPr>
          <w:sz w:val="20"/>
        </w:rPr>
      </w:pPr>
    </w:p>
    <w:p w14:paraId="2CAEA69A" w14:textId="77777777" w:rsidR="00581EC0" w:rsidRDefault="00581EC0" w:rsidP="00581EC0">
      <w:pPr>
        <w:jc w:val="both"/>
        <w:rPr>
          <w:b/>
          <w:sz w:val="20"/>
        </w:rPr>
      </w:pPr>
    </w:p>
    <w:p w14:paraId="433A2562" w14:textId="77777777" w:rsidR="00581EC0" w:rsidRDefault="00581EC0" w:rsidP="00581EC0">
      <w:pPr>
        <w:jc w:val="both"/>
        <w:rPr>
          <w:b/>
          <w:sz w:val="20"/>
        </w:rPr>
      </w:pPr>
      <w:r>
        <w:rPr>
          <w:b/>
          <w:sz w:val="20"/>
        </w:rPr>
        <w:t>3.</w:t>
      </w:r>
      <w:r>
        <w:rPr>
          <w:b/>
          <w:sz w:val="20"/>
        </w:rPr>
        <w:tab/>
        <w:t>RULES DEVELOPMENT</w:t>
      </w:r>
    </w:p>
    <w:p w14:paraId="28B8E65D" w14:textId="77777777" w:rsidR="00581EC0" w:rsidRDefault="00581EC0" w:rsidP="00581EC0">
      <w:pPr>
        <w:jc w:val="both"/>
        <w:rPr>
          <w:b/>
          <w:sz w:val="20"/>
        </w:rPr>
      </w:pPr>
    </w:p>
    <w:p w14:paraId="586A3561" w14:textId="77777777" w:rsidR="00581EC0" w:rsidRDefault="00581EC0" w:rsidP="00581EC0">
      <w:pPr>
        <w:jc w:val="both"/>
        <w:rPr>
          <w:sz w:val="20"/>
        </w:rPr>
      </w:pPr>
      <w:r>
        <w:rPr>
          <w:sz w:val="20"/>
        </w:rPr>
        <w:t xml:space="preserve">In order to address the specific risks and hazards associated with access and egress, LR has developed a </w:t>
      </w:r>
      <w:r w:rsidRPr="005A01C3">
        <w:rPr>
          <w:i/>
          <w:iCs/>
          <w:sz w:val="20"/>
        </w:rPr>
        <w:t>Guidance Note for Ergonomic Safe Access and Egress</w:t>
      </w:r>
      <w:r>
        <w:rPr>
          <w:sz w:val="20"/>
        </w:rPr>
        <w:t xml:space="preserve">. </w:t>
      </w:r>
    </w:p>
    <w:p w14:paraId="7D8EC1E5" w14:textId="77777777" w:rsidR="00581EC0" w:rsidRDefault="00581EC0" w:rsidP="00581EC0">
      <w:pPr>
        <w:jc w:val="both"/>
        <w:rPr>
          <w:sz w:val="20"/>
        </w:rPr>
      </w:pPr>
    </w:p>
    <w:p w14:paraId="68B17177" w14:textId="77777777" w:rsidR="00581EC0" w:rsidRPr="000629B3" w:rsidRDefault="00581EC0" w:rsidP="00581EC0">
      <w:pPr>
        <w:jc w:val="both"/>
        <w:rPr>
          <w:sz w:val="20"/>
        </w:rPr>
      </w:pPr>
      <w:r w:rsidRPr="000629B3">
        <w:rPr>
          <w:sz w:val="20"/>
        </w:rPr>
        <w:t xml:space="preserve">Class Rules communicate the requirements for minimum safe design to be satisfied for the consideration of Classification. However, there also exist </w:t>
      </w:r>
      <w:r>
        <w:rPr>
          <w:sz w:val="20"/>
        </w:rPr>
        <w:t xml:space="preserve">Class </w:t>
      </w:r>
      <w:r w:rsidRPr="000629B3">
        <w:rPr>
          <w:sz w:val="20"/>
        </w:rPr>
        <w:t xml:space="preserve">products which offer optional requirements which Class can apply on behalf of an owner or shipyard as necessary. Notations stipulate additional requirements which enhance the minimum tolerable level of safety or provide assurance of performance in defined circumstances. Notations describe the ship and its appraised aspects and are appended to the character of Classification for the purpose of providing additional information of a ship’s design and construction. On the other hand, Guidance Notes are complete documents which provide further explanation, clarification or technical recommendations on a specific topic supplementary to the Rules, their application may too be recognised by the award of a Notation. </w:t>
      </w:r>
    </w:p>
    <w:p w14:paraId="7A5AC50F" w14:textId="77777777" w:rsidR="00581EC0" w:rsidRDefault="00581EC0" w:rsidP="00581EC0">
      <w:pPr>
        <w:jc w:val="both"/>
        <w:rPr>
          <w:sz w:val="20"/>
        </w:rPr>
      </w:pPr>
    </w:p>
    <w:p w14:paraId="0746C0B2" w14:textId="77777777" w:rsidR="00581EC0" w:rsidRPr="00B5714E" w:rsidRDefault="00581EC0" w:rsidP="00581EC0">
      <w:pPr>
        <w:jc w:val="both"/>
        <w:rPr>
          <w:color w:val="000000"/>
        </w:rPr>
      </w:pPr>
      <w:r w:rsidRPr="00B5714E">
        <w:rPr>
          <w:color w:val="000000"/>
          <w:sz w:val="20"/>
        </w:rPr>
        <w:t>A Guidance Note structure is adopted for the consideration of access and egress in order to best present this large body of material and provide a complete reference text and resource</w:t>
      </w:r>
      <w:r w:rsidRPr="00B5714E">
        <w:rPr>
          <w:color w:val="000000"/>
        </w:rPr>
        <w:t>.</w:t>
      </w:r>
    </w:p>
    <w:p w14:paraId="405B2409" w14:textId="77777777" w:rsidR="00581EC0" w:rsidRDefault="00581EC0" w:rsidP="00581EC0">
      <w:pPr>
        <w:jc w:val="both"/>
        <w:rPr>
          <w:sz w:val="20"/>
        </w:rPr>
      </w:pPr>
    </w:p>
    <w:p w14:paraId="03825007" w14:textId="77777777" w:rsidR="00581EC0" w:rsidRDefault="00581EC0" w:rsidP="00581EC0">
      <w:pPr>
        <w:jc w:val="both"/>
        <w:rPr>
          <w:sz w:val="20"/>
        </w:rPr>
      </w:pPr>
      <w:r>
        <w:rPr>
          <w:sz w:val="20"/>
        </w:rPr>
        <w:t>3.1</w:t>
      </w:r>
      <w:r>
        <w:rPr>
          <w:sz w:val="20"/>
        </w:rPr>
        <w:tab/>
        <w:t>SCOPE</w:t>
      </w:r>
    </w:p>
    <w:p w14:paraId="3944DF74" w14:textId="77777777" w:rsidR="00581EC0" w:rsidRDefault="00581EC0" w:rsidP="00581EC0">
      <w:pPr>
        <w:jc w:val="both"/>
        <w:rPr>
          <w:sz w:val="20"/>
        </w:rPr>
      </w:pPr>
    </w:p>
    <w:p w14:paraId="223D46D9" w14:textId="77777777" w:rsidR="00581EC0" w:rsidRDefault="00581EC0" w:rsidP="00581EC0">
      <w:pPr>
        <w:jc w:val="both"/>
        <w:rPr>
          <w:sz w:val="20"/>
        </w:rPr>
      </w:pPr>
      <w:r w:rsidRPr="00597AFA">
        <w:rPr>
          <w:sz w:val="20"/>
        </w:rPr>
        <w:t xml:space="preserve">The scope of the </w:t>
      </w:r>
      <w:r>
        <w:rPr>
          <w:sz w:val="20"/>
        </w:rPr>
        <w:t>G</w:t>
      </w:r>
      <w:r w:rsidRPr="00597AFA">
        <w:rPr>
          <w:sz w:val="20"/>
        </w:rPr>
        <w:t xml:space="preserve">uidance </w:t>
      </w:r>
      <w:r>
        <w:rPr>
          <w:sz w:val="20"/>
        </w:rPr>
        <w:t>N</w:t>
      </w:r>
      <w:r w:rsidRPr="00597AFA">
        <w:rPr>
          <w:sz w:val="20"/>
        </w:rPr>
        <w:t xml:space="preserve">ote is </w:t>
      </w:r>
      <w:r w:rsidRPr="00433D9E">
        <w:rPr>
          <w:sz w:val="20"/>
        </w:rPr>
        <w:t xml:space="preserve">broad and aims to provide a ‘whole ship’ solution to access and egress design. </w:t>
      </w:r>
      <w:r w:rsidRPr="00D039AF">
        <w:rPr>
          <w:sz w:val="20"/>
        </w:rPr>
        <w:t>Although a sweeping approach may risk industry resistance</w:t>
      </w:r>
      <w:r w:rsidRPr="000629B3">
        <w:rPr>
          <w:sz w:val="20"/>
        </w:rPr>
        <w:t xml:space="preserve"> </w:t>
      </w:r>
      <w:r>
        <w:rPr>
          <w:sz w:val="20"/>
        </w:rPr>
        <w:t>and</w:t>
      </w:r>
      <w:r w:rsidRPr="009D5532">
        <w:rPr>
          <w:sz w:val="20"/>
        </w:rPr>
        <w:t xml:space="preserve"> places some restrictions on the level of description possible</w:t>
      </w:r>
      <w:r w:rsidRPr="00D039AF">
        <w:rPr>
          <w:sz w:val="20"/>
        </w:rPr>
        <w:t xml:space="preserve">, it is adopted to ensure consistency is maintained across access and egress structures on a </w:t>
      </w:r>
      <w:proofErr w:type="spellStart"/>
      <w:r w:rsidRPr="00D039AF">
        <w:rPr>
          <w:sz w:val="20"/>
        </w:rPr>
        <w:t>shipwide</w:t>
      </w:r>
      <w:proofErr w:type="spellEnd"/>
      <w:r w:rsidRPr="00D039AF">
        <w:rPr>
          <w:sz w:val="20"/>
        </w:rPr>
        <w:t xml:space="preserve"> basis. </w:t>
      </w:r>
    </w:p>
    <w:p w14:paraId="23D3C747" w14:textId="77777777" w:rsidR="00581EC0" w:rsidRDefault="00581EC0" w:rsidP="00581EC0">
      <w:pPr>
        <w:jc w:val="both"/>
        <w:rPr>
          <w:sz w:val="20"/>
        </w:rPr>
      </w:pPr>
    </w:p>
    <w:p w14:paraId="0E90BD79" w14:textId="77777777" w:rsidR="00581EC0" w:rsidRDefault="00581EC0" w:rsidP="00581EC0">
      <w:pPr>
        <w:jc w:val="both"/>
        <w:rPr>
          <w:sz w:val="20"/>
        </w:rPr>
      </w:pPr>
      <w:r>
        <w:rPr>
          <w:sz w:val="20"/>
        </w:rPr>
        <w:t>Design</w:t>
      </w:r>
      <w:r w:rsidRPr="00B9318F">
        <w:rPr>
          <w:sz w:val="20"/>
        </w:rPr>
        <w:t xml:space="preserve"> guidance is provided for a </w:t>
      </w:r>
      <w:r w:rsidRPr="00B9318F">
        <w:rPr>
          <w:bCs/>
          <w:sz w:val="20"/>
        </w:rPr>
        <w:t xml:space="preserve">comprehensive range of commonly used access and egress arrangements </w:t>
      </w:r>
      <w:r w:rsidRPr="00B9318F">
        <w:rPr>
          <w:sz w:val="20"/>
        </w:rPr>
        <w:t>on ship including:</w:t>
      </w:r>
    </w:p>
    <w:p w14:paraId="61C173CB" w14:textId="77777777" w:rsidR="00581EC0" w:rsidRPr="00B9318F" w:rsidRDefault="00581EC0" w:rsidP="00581EC0">
      <w:pPr>
        <w:jc w:val="both"/>
        <w:rPr>
          <w:sz w:val="20"/>
        </w:rPr>
      </w:pPr>
    </w:p>
    <w:p w14:paraId="55840C5C" w14:textId="77777777" w:rsidR="00581EC0" w:rsidRPr="00B9318F" w:rsidRDefault="00581EC0" w:rsidP="00553DD3">
      <w:pPr>
        <w:pStyle w:val="ListParagraph"/>
        <w:numPr>
          <w:ilvl w:val="0"/>
          <w:numId w:val="4"/>
        </w:numPr>
        <w:jc w:val="both"/>
        <w:rPr>
          <w:sz w:val="20"/>
        </w:rPr>
      </w:pPr>
      <w:r w:rsidRPr="00B9318F">
        <w:rPr>
          <w:sz w:val="20"/>
        </w:rPr>
        <w:t>Access Structures – stairs, vertical ladders, inclined ladders, individual rung ladders, ramps, walkways, work platforms</w:t>
      </w:r>
      <w:r>
        <w:rPr>
          <w:sz w:val="20"/>
        </w:rPr>
        <w:t>.</w:t>
      </w:r>
    </w:p>
    <w:p w14:paraId="45DB088D" w14:textId="77777777" w:rsidR="00581EC0" w:rsidRPr="00B9318F" w:rsidRDefault="00581EC0" w:rsidP="00553DD3">
      <w:pPr>
        <w:pStyle w:val="ListParagraph"/>
        <w:numPr>
          <w:ilvl w:val="0"/>
          <w:numId w:val="4"/>
        </w:numPr>
        <w:jc w:val="both"/>
        <w:rPr>
          <w:sz w:val="20"/>
        </w:rPr>
      </w:pPr>
      <w:r w:rsidRPr="00B9318F">
        <w:rPr>
          <w:sz w:val="20"/>
        </w:rPr>
        <w:t>Access Openings – doorways, hatches, manholes, scuttles.</w:t>
      </w:r>
    </w:p>
    <w:p w14:paraId="7EE3EEF9" w14:textId="77777777" w:rsidR="00581EC0" w:rsidRPr="00B9318F" w:rsidRDefault="00581EC0" w:rsidP="00553DD3">
      <w:pPr>
        <w:pStyle w:val="ListParagraph"/>
        <w:numPr>
          <w:ilvl w:val="0"/>
          <w:numId w:val="4"/>
        </w:numPr>
        <w:jc w:val="both"/>
        <w:rPr>
          <w:sz w:val="20"/>
        </w:rPr>
      </w:pPr>
      <w:r w:rsidRPr="00B9318F">
        <w:rPr>
          <w:sz w:val="20"/>
        </w:rPr>
        <w:t>Access Control – doors, hatch covers, manhole covers</w:t>
      </w:r>
      <w:r>
        <w:rPr>
          <w:sz w:val="20"/>
        </w:rPr>
        <w:t>.</w:t>
      </w:r>
    </w:p>
    <w:p w14:paraId="0953B9ED" w14:textId="77777777" w:rsidR="00581EC0" w:rsidRPr="00B9318F" w:rsidRDefault="00581EC0" w:rsidP="00553DD3">
      <w:pPr>
        <w:pStyle w:val="ListParagraph"/>
        <w:numPr>
          <w:ilvl w:val="0"/>
          <w:numId w:val="4"/>
        </w:numPr>
        <w:jc w:val="both"/>
        <w:rPr>
          <w:sz w:val="20"/>
        </w:rPr>
      </w:pPr>
      <w:r w:rsidRPr="00B9318F">
        <w:rPr>
          <w:sz w:val="20"/>
        </w:rPr>
        <w:t>Safety Devices – handrails, guardrails, safety rails, safety cages, safety cables, fall arrest devices</w:t>
      </w:r>
      <w:r>
        <w:rPr>
          <w:sz w:val="20"/>
        </w:rPr>
        <w:t>.</w:t>
      </w:r>
    </w:p>
    <w:p w14:paraId="6C106920" w14:textId="77777777" w:rsidR="00581EC0" w:rsidRDefault="00581EC0" w:rsidP="00553DD3">
      <w:pPr>
        <w:pStyle w:val="ListParagraph"/>
        <w:numPr>
          <w:ilvl w:val="0"/>
          <w:numId w:val="4"/>
        </w:numPr>
        <w:jc w:val="both"/>
        <w:rPr>
          <w:sz w:val="20"/>
        </w:rPr>
      </w:pPr>
      <w:r w:rsidRPr="00B9318F">
        <w:rPr>
          <w:sz w:val="20"/>
        </w:rPr>
        <w:t>Signage – safety signs, safety markings</w:t>
      </w:r>
      <w:r>
        <w:rPr>
          <w:sz w:val="20"/>
        </w:rPr>
        <w:t>.</w:t>
      </w:r>
    </w:p>
    <w:p w14:paraId="4C9DDB06" w14:textId="77777777" w:rsidR="00581EC0" w:rsidRDefault="00581EC0" w:rsidP="00581EC0">
      <w:pPr>
        <w:jc w:val="both"/>
        <w:rPr>
          <w:sz w:val="20"/>
        </w:rPr>
      </w:pPr>
    </w:p>
    <w:p w14:paraId="5EE84C52" w14:textId="77777777" w:rsidR="00581EC0" w:rsidRDefault="00581EC0" w:rsidP="00581EC0">
      <w:pPr>
        <w:jc w:val="both"/>
        <w:rPr>
          <w:sz w:val="20"/>
        </w:rPr>
      </w:pPr>
      <w:r w:rsidRPr="007522CB">
        <w:rPr>
          <w:sz w:val="20"/>
        </w:rPr>
        <w:t xml:space="preserve">The </w:t>
      </w:r>
      <w:r>
        <w:rPr>
          <w:sz w:val="20"/>
        </w:rPr>
        <w:t>G</w:t>
      </w:r>
      <w:r w:rsidRPr="007522CB">
        <w:rPr>
          <w:sz w:val="20"/>
        </w:rPr>
        <w:t xml:space="preserve">uidance </w:t>
      </w:r>
      <w:r>
        <w:rPr>
          <w:sz w:val="20"/>
        </w:rPr>
        <w:t>N</w:t>
      </w:r>
      <w:r w:rsidRPr="007522CB">
        <w:rPr>
          <w:sz w:val="20"/>
        </w:rPr>
        <w:t xml:space="preserve">ote stipulates that the design of permanent access structures </w:t>
      </w:r>
      <w:r w:rsidRPr="00B0235C">
        <w:rPr>
          <w:sz w:val="20"/>
        </w:rPr>
        <w:t xml:space="preserve">and access openings </w:t>
      </w:r>
      <w:r>
        <w:rPr>
          <w:sz w:val="20"/>
        </w:rPr>
        <w:t xml:space="preserve">should </w:t>
      </w:r>
      <w:r w:rsidRPr="00B0235C">
        <w:rPr>
          <w:sz w:val="20"/>
        </w:rPr>
        <w:t xml:space="preserve">facilitate safe movement </w:t>
      </w:r>
      <w:r>
        <w:rPr>
          <w:sz w:val="20"/>
        </w:rPr>
        <w:t xml:space="preserve">between or within the </w:t>
      </w:r>
      <w:r w:rsidRPr="00B0235C">
        <w:rPr>
          <w:sz w:val="20"/>
        </w:rPr>
        <w:t xml:space="preserve">spaces </w:t>
      </w:r>
      <w:r>
        <w:rPr>
          <w:sz w:val="20"/>
        </w:rPr>
        <w:t xml:space="preserve">onboard a ship. </w:t>
      </w:r>
      <w:r w:rsidRPr="00EF78E2">
        <w:rPr>
          <w:sz w:val="20"/>
        </w:rPr>
        <w:t xml:space="preserve">It should also allow suitable </w:t>
      </w:r>
      <w:r>
        <w:rPr>
          <w:sz w:val="20"/>
        </w:rPr>
        <w:t>access</w:t>
      </w:r>
      <w:r w:rsidRPr="00EF78E2">
        <w:rPr>
          <w:sz w:val="20"/>
        </w:rPr>
        <w:t xml:space="preserve"> for inspection, and maintenance tasks in spaces which are normally occupied, and inspection, survey and maintenance tasks in space which are not normally occupied.</w:t>
      </w:r>
      <w:r>
        <w:rPr>
          <w:sz w:val="20"/>
        </w:rPr>
        <w:t xml:space="preserve"> </w:t>
      </w:r>
      <w:r w:rsidRPr="00B5714E">
        <w:rPr>
          <w:color w:val="000000"/>
          <w:sz w:val="20"/>
        </w:rPr>
        <w:t xml:space="preserve">However, it should be noted that the guidance note does not provide explicit recommendations for emergency egress in the case of fire as this subject is extensively considered within the International Code for Fire Safety Systems [16]. </w:t>
      </w:r>
    </w:p>
    <w:p w14:paraId="10C4C926" w14:textId="77777777" w:rsidR="00581EC0" w:rsidRDefault="00581EC0" w:rsidP="00581EC0">
      <w:pPr>
        <w:jc w:val="both"/>
        <w:rPr>
          <w:sz w:val="20"/>
        </w:rPr>
      </w:pPr>
    </w:p>
    <w:p w14:paraId="686564BC" w14:textId="77777777" w:rsidR="00581EC0" w:rsidRPr="00B5714E" w:rsidRDefault="00581EC0" w:rsidP="00581EC0">
      <w:pPr>
        <w:jc w:val="both"/>
        <w:rPr>
          <w:bCs/>
          <w:color w:val="000000"/>
          <w:sz w:val="20"/>
        </w:rPr>
      </w:pPr>
      <w:r w:rsidRPr="00B5714E">
        <w:rPr>
          <w:bCs/>
          <w:color w:val="000000"/>
          <w:sz w:val="20"/>
        </w:rPr>
        <w:t xml:space="preserve">The Guidance Note is not a re-examination of ship safety. </w:t>
      </w:r>
      <w:r w:rsidRPr="00B5714E">
        <w:rPr>
          <w:color w:val="000000"/>
          <w:sz w:val="20"/>
        </w:rPr>
        <w:t xml:space="preserve">It closely follows and extends some aspects of the design recommendations outlined in IACS Recommendation No.132 in order to maintain alignment with existing </w:t>
      </w:r>
      <w:r w:rsidRPr="00B5714E">
        <w:rPr>
          <w:color w:val="000000"/>
          <w:sz w:val="20"/>
        </w:rPr>
        <w:lastRenderedPageBreak/>
        <w:t>standards for access and egress. A significant amount of research was conducted in the development of IACS Recommendation No.132 and</w:t>
      </w:r>
      <w:r>
        <w:rPr>
          <w:color w:val="000000"/>
          <w:sz w:val="20"/>
        </w:rPr>
        <w:t xml:space="preserve"> it</w:t>
      </w:r>
      <w:r w:rsidRPr="00B5714E">
        <w:rPr>
          <w:color w:val="000000"/>
          <w:sz w:val="20"/>
        </w:rPr>
        <w:t xml:space="preserve"> </w:t>
      </w:r>
      <w:r>
        <w:rPr>
          <w:color w:val="000000"/>
          <w:sz w:val="20"/>
        </w:rPr>
        <w:t>provides a good basis for Rule development</w:t>
      </w:r>
      <w:r w:rsidRPr="00B5714E">
        <w:rPr>
          <w:color w:val="000000"/>
          <w:sz w:val="20"/>
        </w:rPr>
        <w:t xml:space="preserve">. The Guidance Note also complies with relevant statutory regulations </w:t>
      </w:r>
      <w:r>
        <w:rPr>
          <w:color w:val="000000"/>
          <w:sz w:val="20"/>
        </w:rPr>
        <w:t xml:space="preserve">except where it is deemed appropriate to </w:t>
      </w:r>
      <w:r w:rsidRPr="00B5714E">
        <w:rPr>
          <w:color w:val="000000"/>
          <w:sz w:val="20"/>
        </w:rPr>
        <w:t>raise the base line for safety on board ship</w:t>
      </w:r>
      <w:r w:rsidRPr="00B5714E">
        <w:rPr>
          <w:bCs/>
          <w:color w:val="000000"/>
          <w:sz w:val="20"/>
        </w:rPr>
        <w:t xml:space="preserve"> by presenting more rigorous set of safety criteria</w:t>
      </w:r>
      <w:r w:rsidRPr="00B5714E">
        <w:rPr>
          <w:color w:val="000000"/>
          <w:sz w:val="20"/>
        </w:rPr>
        <w:t>.</w:t>
      </w:r>
      <w:r w:rsidRPr="00B5714E">
        <w:rPr>
          <w:bCs/>
          <w:color w:val="000000"/>
          <w:sz w:val="20"/>
        </w:rPr>
        <w:t xml:space="preserve"> </w:t>
      </w:r>
    </w:p>
    <w:p w14:paraId="14D66767" w14:textId="77777777" w:rsidR="00581EC0" w:rsidRDefault="00581EC0" w:rsidP="00581EC0">
      <w:pPr>
        <w:jc w:val="both"/>
        <w:rPr>
          <w:sz w:val="20"/>
        </w:rPr>
      </w:pPr>
    </w:p>
    <w:p w14:paraId="00498B80" w14:textId="77777777" w:rsidR="00581EC0" w:rsidRPr="00B5714E" w:rsidRDefault="00581EC0" w:rsidP="00581EC0">
      <w:pPr>
        <w:jc w:val="both"/>
        <w:rPr>
          <w:color w:val="000000"/>
          <w:sz w:val="20"/>
        </w:rPr>
      </w:pPr>
      <w:r w:rsidRPr="00B5714E">
        <w:rPr>
          <w:color w:val="000000"/>
          <w:sz w:val="20"/>
        </w:rPr>
        <w:t>The rationale for the consideration of ergonomics in the design of access and egress arrangements is based on the integration of safety and task performance. The Guidance Note considers physical ergonomics with recommendations for access structures, openings, control and safety devices designed for the expected range of anatomical, anthropometric, physiological and biomechanical characteristics of the ship’s crew. The Guidance Note also considers cognitive ergonomics from the perspective of signage. Finally, the guidance addresses the context of its application and operational use, such that it encourages a shift in the perspective of design from the arrangement of structural elements to considering access structures as links between the spaces used by seafarers in working and living on the ship.  From this perspective it is much easier to see the link between design and operational safety and performance. These contextual considerations are built into the guidance offering a ‘multiplier’ on ergonomics expertise for the designer.</w:t>
      </w:r>
    </w:p>
    <w:p w14:paraId="20796001" w14:textId="77777777" w:rsidR="00581EC0" w:rsidRDefault="00581EC0" w:rsidP="00581EC0">
      <w:pPr>
        <w:jc w:val="both"/>
        <w:rPr>
          <w:sz w:val="20"/>
        </w:rPr>
      </w:pPr>
    </w:p>
    <w:p w14:paraId="6B64CA2C" w14:textId="77777777" w:rsidR="00581EC0" w:rsidRDefault="00581EC0" w:rsidP="00581EC0">
      <w:pPr>
        <w:jc w:val="both"/>
        <w:rPr>
          <w:sz w:val="20"/>
        </w:rPr>
      </w:pPr>
      <w:r>
        <w:rPr>
          <w:sz w:val="20"/>
        </w:rPr>
        <w:t>3.2</w:t>
      </w:r>
      <w:r>
        <w:rPr>
          <w:sz w:val="20"/>
        </w:rPr>
        <w:tab/>
        <w:t>SHIP TYPES</w:t>
      </w:r>
    </w:p>
    <w:p w14:paraId="14ACF0F9" w14:textId="77777777" w:rsidR="00581EC0" w:rsidRDefault="00581EC0" w:rsidP="00581EC0">
      <w:pPr>
        <w:jc w:val="both"/>
        <w:rPr>
          <w:sz w:val="20"/>
        </w:rPr>
      </w:pPr>
    </w:p>
    <w:p w14:paraId="49A54504" w14:textId="77777777" w:rsidR="00581EC0" w:rsidRDefault="00581EC0" w:rsidP="00581EC0">
      <w:pPr>
        <w:autoSpaceDE w:val="0"/>
        <w:autoSpaceDN w:val="0"/>
        <w:adjustRightInd w:val="0"/>
        <w:jc w:val="both"/>
        <w:rPr>
          <w:sz w:val="20"/>
        </w:rPr>
      </w:pPr>
      <w:bookmarkStart w:id="1" w:name="_Toc15895272"/>
      <w:bookmarkStart w:id="2" w:name="_Toc16072046"/>
      <w:r>
        <w:rPr>
          <w:sz w:val="20"/>
        </w:rPr>
        <w:t>T</w:t>
      </w:r>
      <w:r w:rsidRPr="009D5532">
        <w:rPr>
          <w:sz w:val="20"/>
        </w:rPr>
        <w:t xml:space="preserve">he </w:t>
      </w:r>
      <w:r>
        <w:rPr>
          <w:sz w:val="20"/>
        </w:rPr>
        <w:t>G</w:t>
      </w:r>
      <w:r w:rsidRPr="009D5532">
        <w:rPr>
          <w:sz w:val="20"/>
        </w:rPr>
        <w:t xml:space="preserve">uidance </w:t>
      </w:r>
      <w:r>
        <w:rPr>
          <w:sz w:val="20"/>
        </w:rPr>
        <w:t>N</w:t>
      </w:r>
      <w:r w:rsidRPr="009D5532">
        <w:rPr>
          <w:sz w:val="20"/>
        </w:rPr>
        <w:t>ote</w:t>
      </w:r>
      <w:r>
        <w:rPr>
          <w:sz w:val="20"/>
        </w:rPr>
        <w:t xml:space="preserve"> presents general guidance for access and egress in order to provide</w:t>
      </w:r>
      <w:r w:rsidRPr="009D5532">
        <w:rPr>
          <w:sz w:val="20"/>
        </w:rPr>
        <w:t xml:space="preserve"> a flexible accreditation route which will be applicable to </w:t>
      </w:r>
      <w:r>
        <w:rPr>
          <w:sz w:val="20"/>
        </w:rPr>
        <w:t xml:space="preserve">a wide range of ship types. </w:t>
      </w:r>
      <w:r w:rsidRPr="00FF6F49">
        <w:rPr>
          <w:sz w:val="20"/>
        </w:rPr>
        <w:t xml:space="preserve">Cargo ships (32%) together with passenger ships (30.1%) </w:t>
      </w:r>
      <w:r>
        <w:rPr>
          <w:sz w:val="20"/>
        </w:rPr>
        <w:t xml:space="preserve">are </w:t>
      </w:r>
      <w:r w:rsidRPr="00FF6F49">
        <w:rPr>
          <w:sz w:val="20"/>
        </w:rPr>
        <w:t>the main categories of ship where occupational</w:t>
      </w:r>
      <w:r>
        <w:rPr>
          <w:sz w:val="20"/>
        </w:rPr>
        <w:t xml:space="preserve"> </w:t>
      </w:r>
      <w:r w:rsidRPr="00FF6F49">
        <w:rPr>
          <w:sz w:val="20"/>
        </w:rPr>
        <w:t xml:space="preserve">accidents occur </w:t>
      </w:r>
      <w:r>
        <w:rPr>
          <w:sz w:val="20"/>
        </w:rPr>
        <w:t>[1]</w:t>
      </w:r>
      <w:r w:rsidRPr="00FF6F49">
        <w:rPr>
          <w:sz w:val="20"/>
        </w:rPr>
        <w:t xml:space="preserve"> and therefore </w:t>
      </w:r>
      <w:r>
        <w:rPr>
          <w:sz w:val="20"/>
        </w:rPr>
        <w:t>represent</w:t>
      </w:r>
      <w:r w:rsidRPr="00FF6F49">
        <w:rPr>
          <w:sz w:val="20"/>
        </w:rPr>
        <w:t xml:space="preserve"> </w:t>
      </w:r>
      <w:r>
        <w:rPr>
          <w:sz w:val="20"/>
        </w:rPr>
        <w:t xml:space="preserve">a primary focus. The Guidance Note may also </w:t>
      </w:r>
      <w:r w:rsidRPr="009D5532">
        <w:rPr>
          <w:sz w:val="20"/>
        </w:rPr>
        <w:t xml:space="preserve">be applicable to special service </w:t>
      </w:r>
      <w:proofErr w:type="gramStart"/>
      <w:r w:rsidRPr="009D5532">
        <w:rPr>
          <w:sz w:val="20"/>
        </w:rPr>
        <w:t>craft</w:t>
      </w:r>
      <w:r>
        <w:rPr>
          <w:sz w:val="20"/>
        </w:rPr>
        <w:t>, but</w:t>
      </w:r>
      <w:proofErr w:type="gramEnd"/>
      <w:r>
        <w:rPr>
          <w:sz w:val="20"/>
        </w:rPr>
        <w:t xml:space="preserve"> is not </w:t>
      </w:r>
      <w:r w:rsidRPr="009D5532">
        <w:rPr>
          <w:sz w:val="20"/>
        </w:rPr>
        <w:t>currently</w:t>
      </w:r>
      <w:r>
        <w:rPr>
          <w:sz w:val="20"/>
        </w:rPr>
        <w:t xml:space="preserve"> deemed</w:t>
      </w:r>
      <w:r w:rsidRPr="009D5532">
        <w:rPr>
          <w:sz w:val="20"/>
        </w:rPr>
        <w:t xml:space="preserve"> applicable to naval vessels or offshore vessels and installations due to the varied nature of their operational requirements.</w:t>
      </w:r>
      <w:bookmarkEnd w:id="1"/>
      <w:bookmarkEnd w:id="2"/>
    </w:p>
    <w:p w14:paraId="64558C02" w14:textId="77777777" w:rsidR="00581EC0" w:rsidRDefault="00581EC0" w:rsidP="00581EC0">
      <w:pPr>
        <w:autoSpaceDE w:val="0"/>
        <w:autoSpaceDN w:val="0"/>
        <w:adjustRightInd w:val="0"/>
        <w:jc w:val="both"/>
        <w:rPr>
          <w:sz w:val="20"/>
        </w:rPr>
      </w:pPr>
    </w:p>
    <w:p w14:paraId="40E91599" w14:textId="77777777" w:rsidR="00581EC0" w:rsidRDefault="00581EC0" w:rsidP="00581EC0">
      <w:pPr>
        <w:jc w:val="both"/>
        <w:rPr>
          <w:sz w:val="20"/>
        </w:rPr>
      </w:pPr>
      <w:r>
        <w:rPr>
          <w:sz w:val="20"/>
        </w:rPr>
        <w:t>3.3</w:t>
      </w:r>
      <w:r>
        <w:rPr>
          <w:sz w:val="20"/>
        </w:rPr>
        <w:tab/>
        <w:t>STAKEHOLDER REQUIREMENTS</w:t>
      </w:r>
    </w:p>
    <w:p w14:paraId="48EE6580" w14:textId="77777777" w:rsidR="00581EC0" w:rsidRDefault="00581EC0" w:rsidP="00581EC0">
      <w:pPr>
        <w:jc w:val="both"/>
        <w:rPr>
          <w:sz w:val="20"/>
        </w:rPr>
      </w:pPr>
    </w:p>
    <w:p w14:paraId="7CB8ADF2" w14:textId="77777777" w:rsidR="00581EC0" w:rsidRDefault="00581EC0" w:rsidP="00581EC0">
      <w:pPr>
        <w:jc w:val="both"/>
        <w:rPr>
          <w:sz w:val="20"/>
        </w:rPr>
      </w:pPr>
      <w:r w:rsidRPr="00FF6F49">
        <w:rPr>
          <w:sz w:val="20"/>
        </w:rPr>
        <w:t xml:space="preserve">To ensure the </w:t>
      </w:r>
      <w:r>
        <w:rPr>
          <w:sz w:val="20"/>
        </w:rPr>
        <w:t>use</w:t>
      </w:r>
      <w:r w:rsidRPr="00FF6F49">
        <w:rPr>
          <w:sz w:val="20"/>
        </w:rPr>
        <w:t xml:space="preserve"> of the </w:t>
      </w:r>
      <w:r>
        <w:rPr>
          <w:sz w:val="20"/>
        </w:rPr>
        <w:t>G</w:t>
      </w:r>
      <w:r w:rsidRPr="00FF6F49">
        <w:rPr>
          <w:sz w:val="20"/>
        </w:rPr>
        <w:t xml:space="preserve">uidance </w:t>
      </w:r>
      <w:r>
        <w:rPr>
          <w:sz w:val="20"/>
        </w:rPr>
        <w:t>N</w:t>
      </w:r>
      <w:r w:rsidRPr="00FF6F49">
        <w:rPr>
          <w:sz w:val="20"/>
        </w:rPr>
        <w:t xml:space="preserve">ote it is important to gain acceptance from both internal and external </w:t>
      </w:r>
      <w:r w:rsidRPr="007016B9">
        <w:rPr>
          <w:sz w:val="20"/>
        </w:rPr>
        <w:t>stakeholders</w:t>
      </w:r>
      <w:r>
        <w:rPr>
          <w:sz w:val="20"/>
        </w:rPr>
        <w:t xml:space="preserve">. </w:t>
      </w:r>
      <w:r w:rsidRPr="00FF6F49">
        <w:rPr>
          <w:sz w:val="20"/>
        </w:rPr>
        <w:t xml:space="preserve">There are many stakeholders concerned with the safety of seafarers and ships in relation to access and egress. However, the links between them are often complex and variable requirements present a unique challenge to the development of ergonomics regulations and recommendations. The contractual environment in particular has not favoured consideration of human element issues in the past </w:t>
      </w:r>
      <w:r>
        <w:rPr>
          <w:sz w:val="20"/>
        </w:rPr>
        <w:t>[17]</w:t>
      </w:r>
      <w:r w:rsidRPr="00FF6F49">
        <w:rPr>
          <w:sz w:val="20"/>
        </w:rPr>
        <w:t xml:space="preserve"> due to</w:t>
      </w:r>
      <w:r>
        <w:rPr>
          <w:sz w:val="20"/>
        </w:rPr>
        <w:t xml:space="preserve"> </w:t>
      </w:r>
      <w:r w:rsidRPr="00FF6F49">
        <w:rPr>
          <w:sz w:val="20"/>
        </w:rPr>
        <w:t>increasing commercial pressure</w:t>
      </w:r>
      <w:r>
        <w:rPr>
          <w:sz w:val="20"/>
        </w:rPr>
        <w:t xml:space="preserve"> on both design and legislation</w:t>
      </w:r>
      <w:r w:rsidRPr="00FF6F49">
        <w:rPr>
          <w:sz w:val="20"/>
        </w:rPr>
        <w:t xml:space="preserve">. </w:t>
      </w:r>
      <w:r>
        <w:rPr>
          <w:sz w:val="20"/>
        </w:rPr>
        <w:t>Key stakeholders include:</w:t>
      </w:r>
    </w:p>
    <w:p w14:paraId="53F623EF" w14:textId="77777777" w:rsidR="00581EC0" w:rsidRDefault="00581EC0" w:rsidP="00581EC0">
      <w:pPr>
        <w:jc w:val="both"/>
        <w:rPr>
          <w:sz w:val="20"/>
        </w:rPr>
      </w:pPr>
    </w:p>
    <w:p w14:paraId="24CD6DF4" w14:textId="77777777" w:rsidR="00581EC0" w:rsidRDefault="00581EC0" w:rsidP="00581EC0">
      <w:pPr>
        <w:jc w:val="both"/>
        <w:rPr>
          <w:sz w:val="20"/>
        </w:rPr>
      </w:pPr>
      <w:r>
        <w:rPr>
          <w:sz w:val="20"/>
        </w:rPr>
        <w:t>3.1 (a)</w:t>
      </w:r>
      <w:r>
        <w:rPr>
          <w:sz w:val="20"/>
        </w:rPr>
        <w:tab/>
        <w:t>Designers</w:t>
      </w:r>
    </w:p>
    <w:p w14:paraId="77FFF338" w14:textId="77777777" w:rsidR="00581EC0" w:rsidRDefault="00581EC0" w:rsidP="00581EC0">
      <w:pPr>
        <w:jc w:val="both"/>
        <w:rPr>
          <w:sz w:val="20"/>
        </w:rPr>
      </w:pPr>
    </w:p>
    <w:p w14:paraId="3122936C" w14:textId="77777777" w:rsidR="00581EC0" w:rsidRPr="00871E5C" w:rsidRDefault="00581EC0" w:rsidP="00581EC0">
      <w:pPr>
        <w:pStyle w:val="ListParagraph"/>
        <w:ind w:left="0"/>
        <w:jc w:val="both"/>
        <w:rPr>
          <w:color w:val="FF0000"/>
          <w:sz w:val="20"/>
        </w:rPr>
      </w:pPr>
      <w:r w:rsidRPr="009F383C">
        <w:rPr>
          <w:color w:val="000000"/>
          <w:sz w:val="20"/>
        </w:rPr>
        <w:t xml:space="preserve">Naval architects and marine engineers </w:t>
      </w:r>
      <w:r w:rsidRPr="00B12233">
        <w:rPr>
          <w:sz w:val="20"/>
        </w:rPr>
        <w:t xml:space="preserve">have a professional obligation to act in the best interest of seafarers to assure their health and safety </w:t>
      </w:r>
      <w:r>
        <w:rPr>
          <w:sz w:val="20"/>
        </w:rPr>
        <w:t>[12]</w:t>
      </w:r>
      <w:r w:rsidRPr="00B12233">
        <w:rPr>
          <w:sz w:val="20"/>
        </w:rPr>
        <w:t xml:space="preserve">. </w:t>
      </w:r>
      <w:r w:rsidRPr="00844D6F">
        <w:rPr>
          <w:sz w:val="20"/>
        </w:rPr>
        <w:t xml:space="preserve">Traditionally, naval architects addressed safety through the subjects of speed, </w:t>
      </w:r>
      <w:r w:rsidRPr="00F67CC9">
        <w:rPr>
          <w:sz w:val="20"/>
        </w:rPr>
        <w:t xml:space="preserve">strength and stability with the belief that adequate safety was achieved through compliance with </w:t>
      </w:r>
      <w:r>
        <w:rPr>
          <w:sz w:val="20"/>
        </w:rPr>
        <w:t>Class R</w:t>
      </w:r>
      <w:r w:rsidRPr="00F67CC9">
        <w:rPr>
          <w:sz w:val="20"/>
        </w:rPr>
        <w:t xml:space="preserve">ules and </w:t>
      </w:r>
      <w:r>
        <w:rPr>
          <w:sz w:val="20"/>
        </w:rPr>
        <w:t>R</w:t>
      </w:r>
      <w:r w:rsidRPr="00F67CC9">
        <w:rPr>
          <w:sz w:val="20"/>
        </w:rPr>
        <w:t>egulations. However, investigations into recent maritime accidents have highlighted the impact</w:t>
      </w:r>
      <w:r>
        <w:rPr>
          <w:sz w:val="20"/>
        </w:rPr>
        <w:t xml:space="preserve"> of the Human Element</w:t>
      </w:r>
      <w:r w:rsidRPr="00F67CC9">
        <w:rPr>
          <w:sz w:val="20"/>
        </w:rPr>
        <w:t xml:space="preserve"> and </w:t>
      </w:r>
      <w:r>
        <w:rPr>
          <w:sz w:val="20"/>
        </w:rPr>
        <w:t xml:space="preserve">ergonomics </w:t>
      </w:r>
      <w:r w:rsidRPr="00F67CC9">
        <w:rPr>
          <w:sz w:val="20"/>
        </w:rPr>
        <w:t xml:space="preserve">on safety level </w:t>
      </w:r>
      <w:r>
        <w:rPr>
          <w:sz w:val="20"/>
        </w:rPr>
        <w:t>[12]</w:t>
      </w:r>
      <w:r w:rsidRPr="00F67CC9">
        <w:rPr>
          <w:sz w:val="20"/>
        </w:rPr>
        <w:t xml:space="preserve">.  The problem arises where naval architects do not have the proficiency to </w:t>
      </w:r>
      <w:r>
        <w:rPr>
          <w:sz w:val="20"/>
        </w:rPr>
        <w:t>analyse</w:t>
      </w:r>
      <w:r w:rsidRPr="00F67CC9">
        <w:rPr>
          <w:sz w:val="20"/>
        </w:rPr>
        <w:t xml:space="preserve"> context of use or </w:t>
      </w:r>
      <w:r>
        <w:rPr>
          <w:sz w:val="20"/>
        </w:rPr>
        <w:t xml:space="preserve">apply </w:t>
      </w:r>
      <w:r w:rsidRPr="00F67CC9">
        <w:rPr>
          <w:sz w:val="20"/>
        </w:rPr>
        <w:t xml:space="preserve">ergonomics principles and as such require precise recommendations and design rationale which </w:t>
      </w:r>
      <w:r>
        <w:rPr>
          <w:sz w:val="20"/>
        </w:rPr>
        <w:t xml:space="preserve">do </w:t>
      </w:r>
      <w:r w:rsidRPr="00F67CC9">
        <w:rPr>
          <w:sz w:val="20"/>
        </w:rPr>
        <w:t>not require external expertise or interpretation.</w:t>
      </w:r>
    </w:p>
    <w:p w14:paraId="167E5540" w14:textId="77777777" w:rsidR="00581EC0" w:rsidRDefault="00581EC0" w:rsidP="00581EC0">
      <w:pPr>
        <w:jc w:val="both"/>
        <w:rPr>
          <w:sz w:val="20"/>
        </w:rPr>
      </w:pPr>
    </w:p>
    <w:p w14:paraId="079948E0" w14:textId="77777777" w:rsidR="00581EC0" w:rsidRDefault="00581EC0" w:rsidP="00581EC0">
      <w:pPr>
        <w:jc w:val="both"/>
        <w:rPr>
          <w:sz w:val="20"/>
        </w:rPr>
      </w:pPr>
      <w:r>
        <w:rPr>
          <w:sz w:val="20"/>
        </w:rPr>
        <w:t>3.1 (b)</w:t>
      </w:r>
      <w:r>
        <w:rPr>
          <w:sz w:val="20"/>
        </w:rPr>
        <w:tab/>
        <w:t>Shipyards</w:t>
      </w:r>
    </w:p>
    <w:p w14:paraId="1E8D7DF0" w14:textId="77777777" w:rsidR="00581EC0" w:rsidRDefault="00581EC0" w:rsidP="00581EC0">
      <w:pPr>
        <w:jc w:val="both"/>
        <w:rPr>
          <w:sz w:val="20"/>
        </w:rPr>
      </w:pPr>
    </w:p>
    <w:p w14:paraId="35251B62" w14:textId="77777777" w:rsidR="00581EC0" w:rsidRPr="009F383C" w:rsidRDefault="00581EC0" w:rsidP="00581EC0">
      <w:pPr>
        <w:pStyle w:val="ListParagraph"/>
        <w:ind w:left="0"/>
        <w:jc w:val="both"/>
        <w:rPr>
          <w:color w:val="FF0000"/>
          <w:sz w:val="20"/>
        </w:rPr>
      </w:pPr>
      <w:r>
        <w:rPr>
          <w:sz w:val="20"/>
        </w:rPr>
        <w:t>Shipyards are</w:t>
      </w:r>
      <w:r w:rsidRPr="00B954F9">
        <w:rPr>
          <w:sz w:val="20"/>
        </w:rPr>
        <w:t xml:space="preserve"> a critical stakeholder as this is often the body which chooses the Classification Society </w:t>
      </w:r>
      <w:r>
        <w:rPr>
          <w:sz w:val="20"/>
        </w:rPr>
        <w:t>[8]</w:t>
      </w:r>
      <w:r w:rsidRPr="00B954F9">
        <w:rPr>
          <w:sz w:val="20"/>
        </w:rPr>
        <w:t>. It is the shipyard’s responsibility to ensure</w:t>
      </w:r>
      <w:r>
        <w:rPr>
          <w:sz w:val="20"/>
        </w:rPr>
        <w:t xml:space="preserve"> that</w:t>
      </w:r>
      <w:r w:rsidRPr="00B954F9">
        <w:rPr>
          <w:sz w:val="20"/>
        </w:rPr>
        <w:t xml:space="preserve"> a ship is built to the required specifications in line with regulation and Class. Shipyards </w:t>
      </w:r>
      <w:r>
        <w:rPr>
          <w:sz w:val="20"/>
        </w:rPr>
        <w:t xml:space="preserve">are </w:t>
      </w:r>
      <w:r w:rsidRPr="00B954F9">
        <w:rPr>
          <w:sz w:val="20"/>
        </w:rPr>
        <w:t xml:space="preserve">often reluctant to </w:t>
      </w:r>
      <w:r>
        <w:rPr>
          <w:sz w:val="20"/>
        </w:rPr>
        <w:t>consider</w:t>
      </w:r>
      <w:r w:rsidRPr="00B954F9">
        <w:rPr>
          <w:sz w:val="20"/>
        </w:rPr>
        <w:t xml:space="preserve"> significant changes to current designs </w:t>
      </w:r>
      <w:r>
        <w:rPr>
          <w:sz w:val="20"/>
        </w:rPr>
        <w:t>in case they</w:t>
      </w:r>
      <w:r w:rsidRPr="00B954F9">
        <w:rPr>
          <w:sz w:val="20"/>
        </w:rPr>
        <w:t xml:space="preserve"> increase the cost of build. </w:t>
      </w:r>
      <w:r>
        <w:rPr>
          <w:sz w:val="20"/>
        </w:rPr>
        <w:t>However,</w:t>
      </w:r>
      <w:r w:rsidRPr="00B954F9">
        <w:rPr>
          <w:sz w:val="20"/>
        </w:rPr>
        <w:t xml:space="preserve"> ergonomics rule requirements do not need to be complex and can</w:t>
      </w:r>
      <w:r>
        <w:rPr>
          <w:sz w:val="20"/>
        </w:rPr>
        <w:t xml:space="preserve"> often </w:t>
      </w:r>
      <w:r w:rsidRPr="00B954F9">
        <w:rPr>
          <w:sz w:val="20"/>
        </w:rPr>
        <w:t xml:space="preserve">be implemented </w:t>
      </w:r>
      <w:r>
        <w:rPr>
          <w:sz w:val="20"/>
        </w:rPr>
        <w:t>(at least partially)</w:t>
      </w:r>
      <w:r w:rsidRPr="00B954F9">
        <w:rPr>
          <w:sz w:val="20"/>
        </w:rPr>
        <w:t xml:space="preserve"> through simple prescriptive rule sets to which will enable better quality assurance and improve efficiency long term.</w:t>
      </w:r>
      <w:r>
        <w:rPr>
          <w:color w:val="FF0000"/>
          <w:sz w:val="20"/>
        </w:rPr>
        <w:t xml:space="preserve"> </w:t>
      </w:r>
    </w:p>
    <w:p w14:paraId="6B98451B" w14:textId="77777777" w:rsidR="00581EC0" w:rsidRDefault="00581EC0" w:rsidP="00581EC0">
      <w:pPr>
        <w:jc w:val="both"/>
        <w:rPr>
          <w:sz w:val="20"/>
        </w:rPr>
      </w:pPr>
    </w:p>
    <w:p w14:paraId="4BA01A17" w14:textId="77777777" w:rsidR="00581EC0" w:rsidRDefault="00581EC0" w:rsidP="00581EC0">
      <w:pPr>
        <w:jc w:val="both"/>
        <w:rPr>
          <w:sz w:val="20"/>
        </w:rPr>
      </w:pPr>
      <w:r>
        <w:rPr>
          <w:sz w:val="20"/>
        </w:rPr>
        <w:t>3.1 (c)</w:t>
      </w:r>
      <w:r>
        <w:rPr>
          <w:sz w:val="20"/>
        </w:rPr>
        <w:tab/>
        <w:t>Owners</w:t>
      </w:r>
    </w:p>
    <w:p w14:paraId="5815B2CE" w14:textId="77777777" w:rsidR="00581EC0" w:rsidRDefault="00581EC0" w:rsidP="00581EC0">
      <w:pPr>
        <w:jc w:val="both"/>
        <w:rPr>
          <w:sz w:val="20"/>
        </w:rPr>
      </w:pPr>
    </w:p>
    <w:p w14:paraId="5379697E" w14:textId="77777777" w:rsidR="00581EC0" w:rsidRDefault="00581EC0" w:rsidP="00581EC0">
      <w:pPr>
        <w:jc w:val="both"/>
        <w:rPr>
          <w:sz w:val="20"/>
        </w:rPr>
      </w:pPr>
      <w:r>
        <w:rPr>
          <w:sz w:val="20"/>
        </w:rPr>
        <w:t xml:space="preserve">The ILO states that owners have a professional obligation </w:t>
      </w:r>
      <w:r w:rsidRPr="00283C50">
        <w:rPr>
          <w:sz w:val="20"/>
        </w:rPr>
        <w:t>provide and maintain ships in such a</w:t>
      </w:r>
      <w:r>
        <w:rPr>
          <w:sz w:val="20"/>
        </w:rPr>
        <w:t xml:space="preserve"> </w:t>
      </w:r>
      <w:r w:rsidRPr="00283C50">
        <w:rPr>
          <w:sz w:val="20"/>
        </w:rPr>
        <w:t xml:space="preserve">manner that, as far as is reasonably </w:t>
      </w:r>
      <w:r w:rsidRPr="000129EA">
        <w:rPr>
          <w:color w:val="000000"/>
          <w:sz w:val="20"/>
        </w:rPr>
        <w:t>practicable, there is limited risk of accident or injury to seafarers [18]. The ILO [19] also emphasizes that ship owners should ensure that design of their ships takes account of ergonomic principles and conforms to relevant international and national laws, regulations, standards or codes of</w:t>
      </w:r>
      <w:r w:rsidRPr="00A06D85">
        <w:rPr>
          <w:sz w:val="20"/>
        </w:rPr>
        <w:t xml:space="preserve"> practice </w:t>
      </w:r>
      <w:r>
        <w:rPr>
          <w:sz w:val="20"/>
        </w:rPr>
        <w:t>in order to achieve this goal</w:t>
      </w:r>
      <w:r w:rsidRPr="003D544D">
        <w:rPr>
          <w:sz w:val="20"/>
        </w:rPr>
        <w:t xml:space="preserve">. However, owners </w:t>
      </w:r>
      <w:r>
        <w:rPr>
          <w:sz w:val="20"/>
        </w:rPr>
        <w:t xml:space="preserve">still </w:t>
      </w:r>
      <w:r w:rsidRPr="003D544D">
        <w:rPr>
          <w:sz w:val="20"/>
        </w:rPr>
        <w:t xml:space="preserve">need to be persuaded that the benefits of applying ergonomics </w:t>
      </w:r>
      <w:r w:rsidRPr="00D03C9A">
        <w:rPr>
          <w:sz w:val="20"/>
        </w:rPr>
        <w:t>recommendations outweigh initial and through-life costs</w:t>
      </w:r>
      <w:r>
        <w:rPr>
          <w:sz w:val="20"/>
        </w:rPr>
        <w:t>.</w:t>
      </w:r>
      <w:r w:rsidRPr="00A06D85">
        <w:rPr>
          <w:color w:val="FF0000"/>
          <w:sz w:val="20"/>
        </w:rPr>
        <w:t xml:space="preserve"> </w:t>
      </w:r>
      <w:r w:rsidRPr="009F383C">
        <w:rPr>
          <w:color w:val="000000"/>
          <w:sz w:val="20"/>
        </w:rPr>
        <w:t xml:space="preserve">In addition to their professional and ethical obligations, it may be beneficial </w:t>
      </w:r>
      <w:r w:rsidRPr="009F383C">
        <w:rPr>
          <w:color w:val="000000"/>
          <w:sz w:val="20"/>
        </w:rPr>
        <w:lastRenderedPageBreak/>
        <w:t xml:space="preserve">to emphasise to owners that there are financial implications associated with injury and fatality. The UK P&amp;I Club has reported a rise in personal injury claims in recent years which </w:t>
      </w:r>
      <w:r>
        <w:rPr>
          <w:color w:val="000000"/>
          <w:sz w:val="20"/>
        </w:rPr>
        <w:t>has a direct impact on</w:t>
      </w:r>
      <w:r w:rsidRPr="009F383C">
        <w:rPr>
          <w:color w:val="000000"/>
          <w:sz w:val="20"/>
        </w:rPr>
        <w:t xml:space="preserve"> liability and premiums [3].</w:t>
      </w:r>
    </w:p>
    <w:p w14:paraId="73D0ECBF" w14:textId="77777777" w:rsidR="00581EC0" w:rsidRDefault="00581EC0" w:rsidP="00581EC0">
      <w:pPr>
        <w:jc w:val="both"/>
        <w:rPr>
          <w:sz w:val="20"/>
        </w:rPr>
      </w:pPr>
    </w:p>
    <w:p w14:paraId="311763C2" w14:textId="77777777" w:rsidR="00581EC0" w:rsidRDefault="00581EC0" w:rsidP="00581EC0">
      <w:pPr>
        <w:jc w:val="both"/>
        <w:rPr>
          <w:sz w:val="20"/>
        </w:rPr>
      </w:pPr>
      <w:r>
        <w:rPr>
          <w:sz w:val="20"/>
        </w:rPr>
        <w:t>3.1 (d)</w:t>
      </w:r>
      <w:r>
        <w:rPr>
          <w:sz w:val="20"/>
        </w:rPr>
        <w:tab/>
        <w:t>Crews</w:t>
      </w:r>
    </w:p>
    <w:p w14:paraId="695AD36E" w14:textId="77777777" w:rsidR="00581EC0" w:rsidRDefault="00581EC0" w:rsidP="00581EC0">
      <w:pPr>
        <w:jc w:val="both"/>
        <w:rPr>
          <w:sz w:val="20"/>
        </w:rPr>
      </w:pPr>
    </w:p>
    <w:p w14:paraId="5C6E0783" w14:textId="77777777" w:rsidR="00581EC0" w:rsidRPr="008A2B28" w:rsidRDefault="00581EC0" w:rsidP="00581EC0">
      <w:pPr>
        <w:pStyle w:val="ListParagraph"/>
        <w:ind w:left="0"/>
        <w:jc w:val="both"/>
        <w:rPr>
          <w:sz w:val="20"/>
        </w:rPr>
      </w:pPr>
      <w:r w:rsidRPr="007115CF">
        <w:rPr>
          <w:sz w:val="20"/>
        </w:rPr>
        <w:t xml:space="preserve">Crews have a right to expect a safe and secure working environment which is operational and adequately protected from hazards </w:t>
      </w:r>
      <w:r>
        <w:rPr>
          <w:sz w:val="20"/>
        </w:rPr>
        <w:t>[18]</w:t>
      </w:r>
      <w:r w:rsidRPr="007115CF">
        <w:rPr>
          <w:sz w:val="20"/>
        </w:rPr>
        <w:t xml:space="preserve">. Crews also have a right to expect that the ship will be well maintained throughout </w:t>
      </w:r>
      <w:r w:rsidRPr="000129EA">
        <w:rPr>
          <w:color w:val="000000"/>
          <w:sz w:val="20"/>
        </w:rPr>
        <w:t>its lifetime to ensure safe working conditions are upheld [18]. However, crews must actively participate in ensuring safe</w:t>
      </w:r>
      <w:r w:rsidRPr="007115CF">
        <w:rPr>
          <w:sz w:val="20"/>
        </w:rPr>
        <w:t xml:space="preserve"> working conditions are maintained. Crews are expected to </w:t>
      </w:r>
      <w:r w:rsidRPr="00A06D85">
        <w:rPr>
          <w:sz w:val="20"/>
        </w:rPr>
        <w:t xml:space="preserve">take care of their own </w:t>
      </w:r>
      <w:r w:rsidRPr="007115CF">
        <w:rPr>
          <w:sz w:val="20"/>
        </w:rPr>
        <w:t>health and safety</w:t>
      </w:r>
      <w:r w:rsidRPr="00A06D85">
        <w:rPr>
          <w:sz w:val="20"/>
        </w:rPr>
        <w:t xml:space="preserve"> </w:t>
      </w:r>
      <w:r w:rsidRPr="007115CF">
        <w:rPr>
          <w:sz w:val="20"/>
        </w:rPr>
        <w:t xml:space="preserve">by </w:t>
      </w:r>
      <w:r w:rsidRPr="000129EA">
        <w:rPr>
          <w:color w:val="000000"/>
          <w:sz w:val="20"/>
        </w:rPr>
        <w:t>following ship safety procedures and using the personal protective equipment (PPE) and clothing at their disposal [19]. Requirements also exist for inspecting, reporting and correcting unsafe conditions [19]. The NIOSH Hierarchy of Controls (Figure 1) [20] explains that over reliance on administrative controls and the provision of PPE are least effective in safety assurance. There is a requirement for hazard elimination, substitution or isolation via engineering controls which most easily implemented in the ship</w:t>
      </w:r>
      <w:r w:rsidRPr="007115CF">
        <w:rPr>
          <w:sz w:val="20"/>
        </w:rPr>
        <w:t xml:space="preserve"> design phase.</w:t>
      </w:r>
    </w:p>
    <w:p w14:paraId="042323A8" w14:textId="77777777" w:rsidR="00581EC0" w:rsidRDefault="00581EC0" w:rsidP="00581EC0">
      <w:pPr>
        <w:jc w:val="both"/>
        <w:rPr>
          <w:b/>
          <w:bCs/>
          <w:sz w:val="20"/>
        </w:rPr>
      </w:pPr>
    </w:p>
    <w:p w14:paraId="531B8932" w14:textId="77777777" w:rsidR="00581EC0" w:rsidRDefault="00581EC0" w:rsidP="00581EC0">
      <w:pPr>
        <w:keepNext/>
        <w:jc w:val="center"/>
      </w:pPr>
      <w:r w:rsidRPr="000129EA">
        <w:rPr>
          <w:noProof/>
          <w:sz w:val="20"/>
        </w:rPr>
        <w:drawing>
          <wp:inline distT="0" distB="0" distL="0" distR="0" wp14:anchorId="72B6F244" wp14:editId="6F791549">
            <wp:extent cx="2909570" cy="2327275"/>
            <wp:effectExtent l="0" t="0" r="0" b="0"/>
            <wp:docPr id="1"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pic:cNvPicPr>
                  </pic:nvPicPr>
                  <pic:blipFill>
                    <a:blip r:embed="rId14">
                      <a:extLst>
                        <a:ext uri="{28A0092B-C50C-407E-A947-70E740481C1C}">
                          <a14:useLocalDpi xmlns:a14="http://schemas.microsoft.com/office/drawing/2010/main" val="0"/>
                        </a:ext>
                      </a:extLst>
                    </a:blip>
                    <a:srcRect l="6937" t="6532" r="6892" b="5679"/>
                    <a:stretch>
                      <a:fillRect/>
                    </a:stretch>
                  </pic:blipFill>
                  <pic:spPr bwMode="auto">
                    <a:xfrm>
                      <a:off x="0" y="0"/>
                      <a:ext cx="2909570" cy="2327275"/>
                    </a:xfrm>
                    <a:prstGeom prst="rect">
                      <a:avLst/>
                    </a:prstGeom>
                    <a:noFill/>
                    <a:ln>
                      <a:noFill/>
                    </a:ln>
                  </pic:spPr>
                </pic:pic>
              </a:graphicData>
            </a:graphic>
          </wp:inline>
        </w:drawing>
      </w:r>
    </w:p>
    <w:p w14:paraId="626B2099" w14:textId="77777777" w:rsidR="00581EC0" w:rsidRDefault="00581EC0" w:rsidP="00581EC0">
      <w:pPr>
        <w:keepNext/>
        <w:jc w:val="center"/>
      </w:pPr>
    </w:p>
    <w:p w14:paraId="42CE7AD4" w14:textId="77777777" w:rsidR="00581EC0" w:rsidRDefault="00581EC0" w:rsidP="00581EC0">
      <w:pPr>
        <w:jc w:val="center"/>
        <w:rPr>
          <w:sz w:val="20"/>
        </w:rPr>
      </w:pPr>
      <w:r>
        <w:rPr>
          <w:sz w:val="20"/>
        </w:rPr>
        <w:t xml:space="preserve">Figure 1: Hierarchy of </w:t>
      </w:r>
      <w:r w:rsidRPr="000129EA">
        <w:rPr>
          <w:color w:val="000000"/>
          <w:sz w:val="20"/>
        </w:rPr>
        <w:t>Controls [20]</w:t>
      </w:r>
    </w:p>
    <w:p w14:paraId="064AEA6A" w14:textId="77777777" w:rsidR="00581EC0" w:rsidRPr="00C10156" w:rsidRDefault="00581EC0" w:rsidP="00581EC0"/>
    <w:p w14:paraId="030F9E5B" w14:textId="77777777" w:rsidR="00581EC0" w:rsidRDefault="00581EC0" w:rsidP="00581EC0">
      <w:pPr>
        <w:jc w:val="both"/>
        <w:rPr>
          <w:sz w:val="20"/>
        </w:rPr>
      </w:pPr>
      <w:r>
        <w:rPr>
          <w:sz w:val="20"/>
        </w:rPr>
        <w:t>3.1 (e)</w:t>
      </w:r>
      <w:r>
        <w:rPr>
          <w:sz w:val="20"/>
        </w:rPr>
        <w:tab/>
        <w:t>Class Surveyors</w:t>
      </w:r>
    </w:p>
    <w:p w14:paraId="093AC53B" w14:textId="77777777" w:rsidR="00581EC0" w:rsidRDefault="00581EC0" w:rsidP="00581EC0">
      <w:pPr>
        <w:jc w:val="both"/>
        <w:rPr>
          <w:sz w:val="20"/>
        </w:rPr>
      </w:pPr>
    </w:p>
    <w:p w14:paraId="2EAD1671" w14:textId="77777777" w:rsidR="00581EC0" w:rsidRDefault="00581EC0" w:rsidP="00581EC0">
      <w:pPr>
        <w:pStyle w:val="ListParagraph"/>
        <w:ind w:left="0"/>
        <w:jc w:val="both"/>
        <w:rPr>
          <w:sz w:val="20"/>
        </w:rPr>
      </w:pPr>
      <w:r w:rsidRPr="00C87FF8">
        <w:rPr>
          <w:sz w:val="20"/>
        </w:rPr>
        <w:t xml:space="preserve">Plan approval and field surveyors may be required to verify ergonomics requirements and recommendations. However, surveyors are trained to make judgements about engineering, not human behaviour </w:t>
      </w:r>
      <w:r>
        <w:rPr>
          <w:sz w:val="20"/>
        </w:rPr>
        <w:t>[8]</w:t>
      </w:r>
      <w:r w:rsidRPr="00C87FF8">
        <w:rPr>
          <w:sz w:val="20"/>
        </w:rPr>
        <w:t>. Ergonomics recommendations that are not structurally defined cannot be easily verified on plans, hence, surveyors need to be provided with clear verifiable recommendations or alternate means of approval need to be made explicit.</w:t>
      </w:r>
      <w:r>
        <w:rPr>
          <w:sz w:val="20"/>
        </w:rPr>
        <w:t xml:space="preserve"> </w:t>
      </w:r>
      <w:r w:rsidRPr="00C87FF8">
        <w:rPr>
          <w:sz w:val="20"/>
        </w:rPr>
        <w:t xml:space="preserve">Additionally, if surveyors are expected to verify human element requirements and recommendations, a suitable training provision needs to be implemented to equip them with baseline knowledge of the subject </w:t>
      </w:r>
      <w:r>
        <w:rPr>
          <w:sz w:val="20"/>
        </w:rPr>
        <w:t>[2]</w:t>
      </w:r>
      <w:r w:rsidRPr="00C87FF8">
        <w:rPr>
          <w:sz w:val="20"/>
        </w:rPr>
        <w:t>.</w:t>
      </w:r>
    </w:p>
    <w:p w14:paraId="4142CBC0" w14:textId="77777777" w:rsidR="00581EC0" w:rsidRDefault="00581EC0" w:rsidP="00581EC0">
      <w:pPr>
        <w:pStyle w:val="ListParagraph"/>
        <w:ind w:left="0"/>
        <w:jc w:val="both"/>
        <w:rPr>
          <w:sz w:val="20"/>
        </w:rPr>
      </w:pPr>
    </w:p>
    <w:p w14:paraId="3A8F661F" w14:textId="77777777" w:rsidR="00581EC0" w:rsidRDefault="00581EC0" w:rsidP="00581EC0">
      <w:pPr>
        <w:pStyle w:val="ListParagraph"/>
        <w:ind w:left="0"/>
        <w:jc w:val="both"/>
        <w:rPr>
          <w:sz w:val="20"/>
        </w:rPr>
      </w:pPr>
      <w:r>
        <w:rPr>
          <w:sz w:val="20"/>
        </w:rPr>
        <w:t>3.1 (f)</w:t>
      </w:r>
      <w:r>
        <w:rPr>
          <w:sz w:val="20"/>
        </w:rPr>
        <w:tab/>
        <w:t>Regulators</w:t>
      </w:r>
    </w:p>
    <w:p w14:paraId="2A4D7B7F" w14:textId="77777777" w:rsidR="00581EC0" w:rsidRDefault="00581EC0" w:rsidP="00581EC0">
      <w:pPr>
        <w:pStyle w:val="ListParagraph"/>
        <w:ind w:left="0"/>
        <w:jc w:val="both"/>
        <w:rPr>
          <w:sz w:val="20"/>
        </w:rPr>
      </w:pPr>
    </w:p>
    <w:p w14:paraId="79876E81" w14:textId="77777777" w:rsidR="00581EC0" w:rsidRDefault="00581EC0" w:rsidP="00581EC0">
      <w:pPr>
        <w:pStyle w:val="ListParagraph"/>
        <w:ind w:left="0"/>
        <w:jc w:val="both"/>
        <w:rPr>
          <w:sz w:val="20"/>
        </w:rPr>
      </w:pPr>
      <w:r>
        <w:rPr>
          <w:sz w:val="20"/>
        </w:rPr>
        <w:t xml:space="preserve">Regulators stand to benefit from the success of non-mandatory frameworks such as a guidance notes or notations which can provide an evidence base or mandate for subsequent mandatory or statutory schemes to be implemented. </w:t>
      </w:r>
    </w:p>
    <w:p w14:paraId="5BA753FB" w14:textId="77777777" w:rsidR="00581EC0" w:rsidRDefault="00581EC0" w:rsidP="00581EC0">
      <w:pPr>
        <w:pStyle w:val="ListParagraph"/>
        <w:ind w:left="0"/>
        <w:jc w:val="both"/>
        <w:rPr>
          <w:sz w:val="20"/>
        </w:rPr>
      </w:pPr>
    </w:p>
    <w:p w14:paraId="3D4DAD9C" w14:textId="77777777" w:rsidR="00581EC0" w:rsidRPr="009F383C" w:rsidRDefault="00581EC0" w:rsidP="00581EC0">
      <w:pPr>
        <w:jc w:val="both"/>
        <w:rPr>
          <w:color w:val="000000"/>
          <w:sz w:val="20"/>
        </w:rPr>
      </w:pPr>
      <w:r w:rsidRPr="009F383C">
        <w:rPr>
          <w:color w:val="000000"/>
          <w:sz w:val="20"/>
        </w:rPr>
        <w:t>It is clear that the safety culture and economic pressures within stakeholder organisations have a significant effect on ship design, maintenance and operation [12]. The analysis of the stakeholder environment further illustrates the need for clear prescriptive guidance. Additionally, it highlights issues around the use of specialist terminology which can be misunderstood or vary within and between organisations and from ship to ship. All terminology used within the guidance note is consistent and clearly defined to ensure that essential safety issues are readily and reliably communicated both within and between organisations [12].</w:t>
      </w:r>
    </w:p>
    <w:p w14:paraId="680A02F3" w14:textId="77777777" w:rsidR="00581EC0" w:rsidRDefault="00581EC0" w:rsidP="00581EC0">
      <w:pPr>
        <w:jc w:val="both"/>
        <w:rPr>
          <w:sz w:val="20"/>
        </w:rPr>
      </w:pPr>
    </w:p>
    <w:p w14:paraId="632016D7" w14:textId="77777777" w:rsidR="00581EC0" w:rsidRPr="000129EA" w:rsidRDefault="00581EC0" w:rsidP="00581EC0">
      <w:pPr>
        <w:jc w:val="both"/>
        <w:rPr>
          <w:color w:val="000000"/>
          <w:sz w:val="20"/>
        </w:rPr>
      </w:pPr>
      <w:r w:rsidRPr="000129EA">
        <w:rPr>
          <w:color w:val="000000"/>
          <w:sz w:val="20"/>
        </w:rPr>
        <w:t xml:space="preserve">3.4 </w:t>
      </w:r>
      <w:r w:rsidRPr="000129EA">
        <w:rPr>
          <w:color w:val="000000"/>
          <w:sz w:val="20"/>
        </w:rPr>
        <w:tab/>
        <w:t>DESIGN CHALLENGES</w:t>
      </w:r>
    </w:p>
    <w:p w14:paraId="61192BE4" w14:textId="77777777" w:rsidR="00581EC0" w:rsidRDefault="00581EC0" w:rsidP="00581EC0">
      <w:pPr>
        <w:jc w:val="both"/>
        <w:rPr>
          <w:sz w:val="20"/>
        </w:rPr>
      </w:pPr>
    </w:p>
    <w:p w14:paraId="1DB5B85A" w14:textId="77777777" w:rsidR="00581EC0" w:rsidRDefault="00581EC0" w:rsidP="00581EC0">
      <w:pPr>
        <w:jc w:val="both"/>
        <w:rPr>
          <w:sz w:val="20"/>
        </w:rPr>
      </w:pPr>
      <w:r w:rsidRPr="00445877">
        <w:rPr>
          <w:sz w:val="20"/>
        </w:rPr>
        <w:lastRenderedPageBreak/>
        <w:t xml:space="preserve">A number of </w:t>
      </w:r>
      <w:r>
        <w:rPr>
          <w:sz w:val="20"/>
        </w:rPr>
        <w:t xml:space="preserve">design </w:t>
      </w:r>
      <w:r w:rsidRPr="00445877">
        <w:rPr>
          <w:sz w:val="20"/>
        </w:rPr>
        <w:t xml:space="preserve">challenges </w:t>
      </w:r>
      <w:r>
        <w:rPr>
          <w:sz w:val="20"/>
        </w:rPr>
        <w:t>emerged</w:t>
      </w:r>
      <w:r w:rsidRPr="00445877">
        <w:rPr>
          <w:sz w:val="20"/>
        </w:rPr>
        <w:t xml:space="preserve"> </w:t>
      </w:r>
      <w:r>
        <w:rPr>
          <w:sz w:val="20"/>
        </w:rPr>
        <w:t>during</w:t>
      </w:r>
      <w:r w:rsidRPr="00445877">
        <w:rPr>
          <w:sz w:val="20"/>
        </w:rPr>
        <w:t xml:space="preserve"> the development process of the </w:t>
      </w:r>
      <w:r>
        <w:rPr>
          <w:sz w:val="20"/>
        </w:rPr>
        <w:t>G</w:t>
      </w:r>
      <w:r w:rsidRPr="00445877">
        <w:rPr>
          <w:sz w:val="20"/>
        </w:rPr>
        <w:t xml:space="preserve">uidance </w:t>
      </w:r>
      <w:r>
        <w:rPr>
          <w:sz w:val="20"/>
        </w:rPr>
        <w:t>N</w:t>
      </w:r>
      <w:r w:rsidRPr="00445877">
        <w:rPr>
          <w:sz w:val="20"/>
        </w:rPr>
        <w:t>ote</w:t>
      </w:r>
      <w:r>
        <w:rPr>
          <w:sz w:val="20"/>
        </w:rPr>
        <w:t>. The following are some examples of specific challenges encountered in the development of ergonomic criteria for access and egress:</w:t>
      </w:r>
    </w:p>
    <w:p w14:paraId="5F6E0519" w14:textId="77777777" w:rsidR="00581EC0" w:rsidRDefault="00581EC0" w:rsidP="00581EC0">
      <w:pPr>
        <w:jc w:val="both"/>
        <w:rPr>
          <w:sz w:val="20"/>
        </w:rPr>
      </w:pPr>
    </w:p>
    <w:p w14:paraId="1AC676F6" w14:textId="77777777" w:rsidR="00581EC0" w:rsidRDefault="00581EC0" w:rsidP="00581EC0">
      <w:pPr>
        <w:jc w:val="both"/>
        <w:rPr>
          <w:sz w:val="20"/>
        </w:rPr>
      </w:pPr>
      <w:r>
        <w:rPr>
          <w:sz w:val="20"/>
        </w:rPr>
        <w:t>3.4 (a)</w:t>
      </w:r>
      <w:r>
        <w:rPr>
          <w:sz w:val="20"/>
        </w:rPr>
        <w:tab/>
        <w:t>Access Structures</w:t>
      </w:r>
    </w:p>
    <w:p w14:paraId="4ACE7DE7" w14:textId="77777777" w:rsidR="00581EC0" w:rsidRDefault="00581EC0" w:rsidP="00581EC0">
      <w:pPr>
        <w:jc w:val="both"/>
        <w:rPr>
          <w:sz w:val="20"/>
        </w:rPr>
      </w:pPr>
    </w:p>
    <w:p w14:paraId="6EC0EC25" w14:textId="77777777" w:rsidR="00581EC0" w:rsidRPr="001D2D6E" w:rsidRDefault="00581EC0" w:rsidP="00581EC0">
      <w:pPr>
        <w:pStyle w:val="ListParagraph"/>
        <w:ind w:left="0"/>
        <w:jc w:val="both"/>
        <w:rPr>
          <w:sz w:val="20"/>
        </w:rPr>
      </w:pPr>
      <w:r>
        <w:rPr>
          <w:sz w:val="20"/>
        </w:rPr>
        <w:t xml:space="preserve">The </w:t>
      </w:r>
      <w:r w:rsidRPr="00435B81">
        <w:rPr>
          <w:sz w:val="20"/>
        </w:rPr>
        <w:t>consistency of access structures plays a significant role in preventing accidents and injuries</w:t>
      </w:r>
      <w:r>
        <w:rPr>
          <w:sz w:val="20"/>
        </w:rPr>
        <w:t>.</w:t>
      </w:r>
      <w:r w:rsidRPr="00854B0F">
        <w:rPr>
          <w:sz w:val="20"/>
        </w:rPr>
        <w:t xml:space="preserve"> </w:t>
      </w:r>
      <w:r w:rsidRPr="00435B81">
        <w:rPr>
          <w:sz w:val="20"/>
        </w:rPr>
        <w:t>For example, even small differences in the rise or going between adjacent steps can cause a misstep or fall.</w:t>
      </w:r>
      <w:r>
        <w:rPr>
          <w:sz w:val="20"/>
        </w:rPr>
        <w:t xml:space="preserve"> C</w:t>
      </w:r>
      <w:r w:rsidRPr="00435B81">
        <w:rPr>
          <w:sz w:val="20"/>
        </w:rPr>
        <w:t xml:space="preserve">onsistency also plays a </w:t>
      </w:r>
      <w:r>
        <w:rPr>
          <w:sz w:val="20"/>
        </w:rPr>
        <w:t xml:space="preserve">vital </w:t>
      </w:r>
      <w:r w:rsidRPr="00435B81">
        <w:rPr>
          <w:sz w:val="20"/>
        </w:rPr>
        <w:t>part in meeting user expectations.</w:t>
      </w:r>
      <w:r w:rsidRPr="00854B0F">
        <w:rPr>
          <w:sz w:val="20"/>
        </w:rPr>
        <w:t xml:space="preserve"> </w:t>
      </w:r>
      <w:r>
        <w:rPr>
          <w:sz w:val="20"/>
        </w:rPr>
        <w:t xml:space="preserve">Human </w:t>
      </w:r>
      <w:r w:rsidRPr="000129EA">
        <w:rPr>
          <w:color w:val="000000"/>
          <w:sz w:val="20"/>
        </w:rPr>
        <w:t xml:space="preserve">beings make mental models of everything of the they encounter and create patterns of behaviour based on interaction and experience [21]. If a structure meets expectations and corresponds to the mental model, there is more chance it will be used as intended and less chance of accident or injury. The Guidance Note therefore recommends consistency for the design of access and egress structures on a </w:t>
      </w:r>
      <w:proofErr w:type="spellStart"/>
      <w:r w:rsidRPr="000129EA">
        <w:rPr>
          <w:color w:val="000000"/>
          <w:sz w:val="20"/>
        </w:rPr>
        <w:t>shipwide</w:t>
      </w:r>
      <w:proofErr w:type="spellEnd"/>
      <w:r w:rsidRPr="000129EA">
        <w:rPr>
          <w:color w:val="000000"/>
          <w:sz w:val="20"/>
        </w:rPr>
        <w:t xml:space="preserve"> basis to increase usability and decrease instances of human error. It adopts a principle of least astonishment (POLA) which typically applies to user interface and software design [21] but has applications</w:t>
      </w:r>
      <w:r>
        <w:rPr>
          <w:sz w:val="20"/>
        </w:rPr>
        <w:t xml:space="preserve"> in</w:t>
      </w:r>
      <w:r w:rsidRPr="001D2D6E">
        <w:rPr>
          <w:sz w:val="20"/>
        </w:rPr>
        <w:t xml:space="preserve"> structural design and</w:t>
      </w:r>
      <w:r>
        <w:rPr>
          <w:sz w:val="20"/>
        </w:rPr>
        <w:t xml:space="preserve"> significant</w:t>
      </w:r>
      <w:r w:rsidRPr="001D2D6E">
        <w:rPr>
          <w:sz w:val="20"/>
        </w:rPr>
        <w:t xml:space="preserve"> implications for safety.</w:t>
      </w:r>
      <w:r>
        <w:rPr>
          <w:sz w:val="20"/>
        </w:rPr>
        <w:t xml:space="preserve"> </w:t>
      </w:r>
    </w:p>
    <w:p w14:paraId="7A30307D" w14:textId="77777777" w:rsidR="00581EC0" w:rsidRDefault="00581EC0" w:rsidP="00581EC0">
      <w:pPr>
        <w:jc w:val="both"/>
        <w:rPr>
          <w:sz w:val="20"/>
        </w:rPr>
      </w:pPr>
    </w:p>
    <w:p w14:paraId="25C11EBA" w14:textId="77777777" w:rsidR="00581EC0" w:rsidRDefault="00581EC0" w:rsidP="00581EC0">
      <w:pPr>
        <w:jc w:val="both"/>
        <w:rPr>
          <w:sz w:val="20"/>
        </w:rPr>
      </w:pPr>
      <w:r>
        <w:rPr>
          <w:sz w:val="20"/>
        </w:rPr>
        <w:t>3.4 (b)</w:t>
      </w:r>
      <w:r>
        <w:rPr>
          <w:sz w:val="20"/>
        </w:rPr>
        <w:tab/>
        <w:t>Access Openings</w:t>
      </w:r>
    </w:p>
    <w:p w14:paraId="7CC48E06" w14:textId="77777777" w:rsidR="00581EC0" w:rsidRDefault="00581EC0" w:rsidP="00581EC0">
      <w:pPr>
        <w:jc w:val="both"/>
        <w:rPr>
          <w:sz w:val="20"/>
        </w:rPr>
      </w:pPr>
    </w:p>
    <w:p w14:paraId="1B896ED3" w14:textId="77777777" w:rsidR="00581EC0" w:rsidRDefault="00581EC0" w:rsidP="00581EC0">
      <w:pPr>
        <w:pStyle w:val="ListParagraph"/>
        <w:ind w:left="0"/>
        <w:jc w:val="both"/>
        <w:rPr>
          <w:sz w:val="20"/>
        </w:rPr>
      </w:pPr>
      <w:r w:rsidRPr="008F3A05">
        <w:rPr>
          <w:sz w:val="20"/>
        </w:rPr>
        <w:t>The consideration of access openings present</w:t>
      </w:r>
      <w:r>
        <w:rPr>
          <w:sz w:val="20"/>
        </w:rPr>
        <w:t>ed</w:t>
      </w:r>
      <w:r w:rsidRPr="008F3A05">
        <w:rPr>
          <w:sz w:val="20"/>
        </w:rPr>
        <w:t xml:space="preserve"> a particular challenge to the development of recommendations for safe access and egress. </w:t>
      </w:r>
      <w:r>
        <w:rPr>
          <w:sz w:val="20"/>
        </w:rPr>
        <w:t xml:space="preserve">The Guidance Note </w:t>
      </w:r>
      <w:r w:rsidRPr="006978DA">
        <w:rPr>
          <w:sz w:val="20"/>
        </w:rPr>
        <w:t>consider</w:t>
      </w:r>
      <w:r>
        <w:rPr>
          <w:sz w:val="20"/>
        </w:rPr>
        <w:t>s</w:t>
      </w:r>
      <w:r w:rsidRPr="006978DA">
        <w:rPr>
          <w:sz w:val="20"/>
        </w:rPr>
        <w:t xml:space="preserve"> anthropometrics in the development of prescriptive recommendations to make provision for the range of variability anticipated in the expected user population</w:t>
      </w:r>
      <w:r>
        <w:rPr>
          <w:sz w:val="20"/>
        </w:rPr>
        <w:t xml:space="preserve">. However, for </w:t>
      </w:r>
      <w:r w:rsidRPr="006978DA">
        <w:rPr>
          <w:sz w:val="20"/>
        </w:rPr>
        <w:t>the maritime sector, this becomes increasingly complex</w:t>
      </w:r>
      <w:r>
        <w:rPr>
          <w:sz w:val="20"/>
        </w:rPr>
        <w:t xml:space="preserve"> as t</w:t>
      </w:r>
      <w:r w:rsidRPr="006978DA">
        <w:rPr>
          <w:sz w:val="20"/>
        </w:rPr>
        <w:t>he global nature of the industry is such that the expected user population is extremely variable. The employment of multi-national, multi-cultural and multi-lingual crews is commonplace</w:t>
      </w:r>
      <w:r>
        <w:rPr>
          <w:sz w:val="20"/>
        </w:rPr>
        <w:t xml:space="preserve"> [7]</w:t>
      </w:r>
      <w:r w:rsidRPr="006978DA">
        <w:rPr>
          <w:sz w:val="20"/>
        </w:rPr>
        <w:t xml:space="preserve"> and the wide range of human variability and adaptability have led to conflicting practices worldwide. In particular</w:t>
      </w:r>
      <w:r>
        <w:rPr>
          <w:sz w:val="20"/>
        </w:rPr>
        <w:t>,</w:t>
      </w:r>
      <w:r w:rsidRPr="006978DA">
        <w:rPr>
          <w:sz w:val="20"/>
        </w:rPr>
        <w:t xml:space="preserve"> difficulties arise </w:t>
      </w:r>
      <w:r>
        <w:rPr>
          <w:sz w:val="20"/>
        </w:rPr>
        <w:t xml:space="preserve">due to a failure to recognise </w:t>
      </w:r>
      <w:r w:rsidRPr="006978DA">
        <w:rPr>
          <w:sz w:val="20"/>
        </w:rPr>
        <w:t>differences in global anthropometry.</w:t>
      </w:r>
      <w:r>
        <w:rPr>
          <w:sz w:val="20"/>
        </w:rPr>
        <w:t xml:space="preserve"> </w:t>
      </w:r>
      <w:r w:rsidRPr="006978DA">
        <w:rPr>
          <w:sz w:val="20"/>
        </w:rPr>
        <w:t xml:space="preserve">Walker </w:t>
      </w:r>
      <w:r>
        <w:rPr>
          <w:sz w:val="20"/>
        </w:rPr>
        <w:t>[8]</w:t>
      </w:r>
      <w:r w:rsidRPr="006978DA">
        <w:rPr>
          <w:sz w:val="20"/>
        </w:rPr>
        <w:t xml:space="preserve"> observes </w:t>
      </w:r>
      <w:r>
        <w:rPr>
          <w:sz w:val="20"/>
        </w:rPr>
        <w:t>this</w:t>
      </w:r>
      <w:r w:rsidRPr="006978DA">
        <w:rPr>
          <w:sz w:val="20"/>
        </w:rPr>
        <w:t xml:space="preserve"> phenomenon </w:t>
      </w:r>
      <w:r>
        <w:rPr>
          <w:sz w:val="20"/>
        </w:rPr>
        <w:t xml:space="preserve">in </w:t>
      </w:r>
      <w:r w:rsidRPr="006978DA">
        <w:rPr>
          <w:sz w:val="20"/>
        </w:rPr>
        <w:t xml:space="preserve">the development of ECL noting </w:t>
      </w:r>
      <w:r>
        <w:rPr>
          <w:sz w:val="20"/>
        </w:rPr>
        <w:t>difficulties in ‘(convincing)</w:t>
      </w:r>
      <w:r w:rsidRPr="006978DA">
        <w:rPr>
          <w:sz w:val="20"/>
        </w:rPr>
        <w:t xml:space="preserve"> designer</w:t>
      </w:r>
      <w:r>
        <w:rPr>
          <w:sz w:val="20"/>
        </w:rPr>
        <w:t>s</w:t>
      </w:r>
      <w:r w:rsidRPr="006978DA">
        <w:rPr>
          <w:sz w:val="20"/>
        </w:rPr>
        <w:t xml:space="preserve"> in Asian yard</w:t>
      </w:r>
      <w:r>
        <w:rPr>
          <w:sz w:val="20"/>
        </w:rPr>
        <w:t>s</w:t>
      </w:r>
      <w:r w:rsidRPr="006978DA">
        <w:rPr>
          <w:sz w:val="20"/>
        </w:rPr>
        <w:t xml:space="preserve"> for the need for sufficient headroom’.</w:t>
      </w:r>
      <w:r>
        <w:rPr>
          <w:sz w:val="20"/>
        </w:rPr>
        <w:t xml:space="preserve"> </w:t>
      </w:r>
    </w:p>
    <w:p w14:paraId="026D44D6" w14:textId="77777777" w:rsidR="00581EC0" w:rsidRDefault="00581EC0" w:rsidP="00581EC0">
      <w:pPr>
        <w:pStyle w:val="ListParagraph"/>
        <w:ind w:left="0"/>
        <w:jc w:val="both"/>
        <w:rPr>
          <w:sz w:val="20"/>
        </w:rPr>
      </w:pPr>
    </w:p>
    <w:p w14:paraId="34F6715A" w14:textId="77777777" w:rsidR="00581EC0" w:rsidRPr="006978DA" w:rsidRDefault="00581EC0" w:rsidP="00581EC0">
      <w:pPr>
        <w:pStyle w:val="ListParagraph"/>
        <w:ind w:left="0"/>
        <w:jc w:val="both"/>
        <w:rPr>
          <w:sz w:val="20"/>
        </w:rPr>
      </w:pPr>
      <w:r>
        <w:rPr>
          <w:sz w:val="20"/>
        </w:rPr>
        <w:t>Current specifications and locations for access openings, particularly for the purposes of inspection e.g. in double bottom, are insufficient for the majority of the global population, especially where persons are required to wear protective clothing or use breathing apparatus. The Guidance Note recommends adequate sizing for safe practical use.</w:t>
      </w:r>
    </w:p>
    <w:p w14:paraId="6D675898" w14:textId="77777777" w:rsidR="00581EC0" w:rsidRDefault="00581EC0" w:rsidP="00581EC0">
      <w:pPr>
        <w:jc w:val="both"/>
        <w:rPr>
          <w:sz w:val="20"/>
        </w:rPr>
      </w:pPr>
    </w:p>
    <w:p w14:paraId="30BEBA54" w14:textId="77777777" w:rsidR="00581EC0" w:rsidRDefault="00581EC0" w:rsidP="00581EC0">
      <w:pPr>
        <w:jc w:val="both"/>
        <w:rPr>
          <w:sz w:val="20"/>
        </w:rPr>
      </w:pPr>
      <w:r>
        <w:rPr>
          <w:sz w:val="20"/>
        </w:rPr>
        <w:t>3.4 (c)</w:t>
      </w:r>
      <w:r>
        <w:rPr>
          <w:sz w:val="20"/>
        </w:rPr>
        <w:tab/>
        <w:t>Access Control</w:t>
      </w:r>
    </w:p>
    <w:p w14:paraId="1FFEECC7" w14:textId="77777777" w:rsidR="00581EC0" w:rsidRDefault="00581EC0" w:rsidP="00581EC0">
      <w:pPr>
        <w:jc w:val="both"/>
        <w:rPr>
          <w:sz w:val="20"/>
        </w:rPr>
      </w:pPr>
    </w:p>
    <w:p w14:paraId="11CE53FB" w14:textId="77777777" w:rsidR="00581EC0" w:rsidRPr="0001294E" w:rsidRDefault="00581EC0" w:rsidP="00581EC0">
      <w:pPr>
        <w:pStyle w:val="ListParagraph"/>
        <w:ind w:left="0"/>
        <w:jc w:val="both"/>
        <w:rPr>
          <w:sz w:val="20"/>
        </w:rPr>
      </w:pPr>
      <w:r>
        <w:rPr>
          <w:sz w:val="20"/>
        </w:rPr>
        <w:t xml:space="preserve">The prevention of confined space deaths has been a growing concern for maritime industry. During the development of the Guidance Note, it was determined that </w:t>
      </w:r>
      <w:r w:rsidRPr="0001294E">
        <w:rPr>
          <w:sz w:val="20"/>
        </w:rPr>
        <w:t>good access control has a significant impact on crew safety</w:t>
      </w:r>
      <w:r>
        <w:rPr>
          <w:sz w:val="20"/>
        </w:rPr>
        <w:t>,</w:t>
      </w:r>
      <w:r w:rsidRPr="0001294E">
        <w:rPr>
          <w:sz w:val="20"/>
        </w:rPr>
        <w:t xml:space="preserve"> particularly in the prevention of entry into hazardous spaces. A </w:t>
      </w:r>
      <w:r>
        <w:rPr>
          <w:sz w:val="20"/>
        </w:rPr>
        <w:t>confined</w:t>
      </w:r>
      <w:r w:rsidRPr="0001294E">
        <w:rPr>
          <w:sz w:val="20"/>
        </w:rPr>
        <w:t xml:space="preserve"> space may be defined as a space which is </w:t>
      </w:r>
      <w:r w:rsidRPr="000129EA">
        <w:rPr>
          <w:color w:val="000000"/>
          <w:sz w:val="20"/>
        </w:rPr>
        <w:t>not designed for continuous occupancy, where access is limited, where there is poor or no natural ventilation, and which may contain dangerous equipment or atmospheres [22]. However, in many cases confined spaces are not always easily</w:t>
      </w:r>
      <w:r w:rsidRPr="008B0184">
        <w:rPr>
          <w:color w:val="000000"/>
          <w:sz w:val="20"/>
        </w:rPr>
        <w:t xml:space="preserve"> identified and some have freely accessible openings for entry and exit with limited access control. For example, many hazardous spaces such as paint and chemical lockers, CO</w:t>
      </w:r>
      <w:r w:rsidRPr="008B0184">
        <w:rPr>
          <w:color w:val="000000"/>
          <w:sz w:val="20"/>
          <w:vertAlign w:val="subscript"/>
        </w:rPr>
        <w:t>2</w:t>
      </w:r>
      <w:r w:rsidRPr="008B0184">
        <w:rPr>
          <w:color w:val="000000"/>
          <w:sz w:val="20"/>
        </w:rPr>
        <w:t xml:space="preserve"> and battery rooms can be entered through unlocked weathertight doors. The Guidance Note therefore recommends the use of appropriate access control devices in order to limit access into hazardous spaces including the provision of covers, mechanical closings, interlocks, and appropriate signage which makes clear any hazards and specified entry protocols. </w:t>
      </w:r>
    </w:p>
    <w:p w14:paraId="337874D0" w14:textId="77777777" w:rsidR="00581EC0" w:rsidRDefault="00581EC0" w:rsidP="00581EC0">
      <w:pPr>
        <w:jc w:val="both"/>
        <w:rPr>
          <w:sz w:val="20"/>
        </w:rPr>
      </w:pPr>
    </w:p>
    <w:p w14:paraId="2F2624FB" w14:textId="77777777" w:rsidR="00581EC0" w:rsidRDefault="00581EC0" w:rsidP="00581EC0">
      <w:pPr>
        <w:jc w:val="both"/>
        <w:rPr>
          <w:sz w:val="20"/>
        </w:rPr>
      </w:pPr>
      <w:r>
        <w:rPr>
          <w:sz w:val="20"/>
        </w:rPr>
        <w:t>3.4 (d)</w:t>
      </w:r>
      <w:r>
        <w:rPr>
          <w:sz w:val="20"/>
        </w:rPr>
        <w:tab/>
        <w:t>Fall Protection</w:t>
      </w:r>
    </w:p>
    <w:p w14:paraId="65658DB8" w14:textId="77777777" w:rsidR="00581EC0" w:rsidRDefault="00581EC0" w:rsidP="00581EC0">
      <w:pPr>
        <w:jc w:val="both"/>
        <w:rPr>
          <w:sz w:val="20"/>
        </w:rPr>
      </w:pPr>
    </w:p>
    <w:p w14:paraId="03FAB233" w14:textId="77777777" w:rsidR="00581EC0" w:rsidRDefault="00581EC0" w:rsidP="00581EC0">
      <w:pPr>
        <w:pStyle w:val="ListParagraph"/>
        <w:ind w:left="0"/>
        <w:jc w:val="both"/>
        <w:rPr>
          <w:sz w:val="20"/>
        </w:rPr>
      </w:pPr>
      <w:r w:rsidRPr="00BC0EFA">
        <w:rPr>
          <w:sz w:val="20"/>
        </w:rPr>
        <w:t>The provision of fall protection arrangements</w:t>
      </w:r>
      <w:r>
        <w:rPr>
          <w:sz w:val="20"/>
        </w:rPr>
        <w:t xml:space="preserve"> is</w:t>
      </w:r>
      <w:r w:rsidRPr="00BC0EFA">
        <w:rPr>
          <w:sz w:val="20"/>
        </w:rPr>
        <w:t xml:space="preserve"> essential to prevent slips, trips and falls and in particular falls from height.</w:t>
      </w:r>
      <w:r>
        <w:rPr>
          <w:sz w:val="20"/>
        </w:rPr>
        <w:t xml:space="preserve"> However, fall arrest devices</w:t>
      </w:r>
      <w:r w:rsidRPr="00C53E3D">
        <w:rPr>
          <w:sz w:val="20"/>
        </w:rPr>
        <w:t xml:space="preserve"> are typically used as </w:t>
      </w:r>
      <w:r>
        <w:rPr>
          <w:sz w:val="20"/>
        </w:rPr>
        <w:t>first line</w:t>
      </w:r>
      <w:r w:rsidRPr="00C53E3D">
        <w:rPr>
          <w:sz w:val="20"/>
        </w:rPr>
        <w:t xml:space="preserve"> of defence</w:t>
      </w:r>
      <w:r w:rsidRPr="00BC0EFA">
        <w:rPr>
          <w:sz w:val="20"/>
        </w:rPr>
        <w:t xml:space="preserve"> </w:t>
      </w:r>
      <w:r>
        <w:rPr>
          <w:sz w:val="20"/>
        </w:rPr>
        <w:t>in fall protection. In contrast to this practice and acknowledging that this represents a change in the industry, the Guidance Note recommends f</w:t>
      </w:r>
      <w:r w:rsidRPr="00BC0EFA">
        <w:rPr>
          <w:sz w:val="20"/>
        </w:rPr>
        <w:t xml:space="preserve">all elimination </w:t>
      </w:r>
      <w:r>
        <w:rPr>
          <w:sz w:val="20"/>
        </w:rPr>
        <w:t xml:space="preserve">as </w:t>
      </w:r>
      <w:r w:rsidRPr="00BC0EFA">
        <w:rPr>
          <w:sz w:val="20"/>
        </w:rPr>
        <w:t>the preferred method of fall protection with</w:t>
      </w:r>
      <w:r>
        <w:rPr>
          <w:sz w:val="20"/>
        </w:rPr>
        <w:t xml:space="preserve"> recommendations stating that working at height should be avoided where operationally possible. G</w:t>
      </w:r>
      <w:r w:rsidRPr="00BC0EFA">
        <w:rPr>
          <w:sz w:val="20"/>
        </w:rPr>
        <w:t xml:space="preserve">uidance </w:t>
      </w:r>
      <w:r>
        <w:rPr>
          <w:sz w:val="20"/>
        </w:rPr>
        <w:t xml:space="preserve">for </w:t>
      </w:r>
      <w:r w:rsidRPr="00BC0EFA">
        <w:rPr>
          <w:sz w:val="20"/>
        </w:rPr>
        <w:t>fall protection arrangements and devices employs</w:t>
      </w:r>
      <w:r>
        <w:rPr>
          <w:sz w:val="20"/>
        </w:rPr>
        <w:t xml:space="preserve"> an adapted </w:t>
      </w:r>
      <w:r w:rsidRPr="00BC0EFA">
        <w:rPr>
          <w:sz w:val="20"/>
        </w:rPr>
        <w:t xml:space="preserve">four-tier hierarchy of </w:t>
      </w:r>
      <w:r>
        <w:rPr>
          <w:sz w:val="20"/>
        </w:rPr>
        <w:t xml:space="preserve">fall protection </w:t>
      </w:r>
      <w:r w:rsidRPr="00BC0EFA">
        <w:rPr>
          <w:sz w:val="20"/>
        </w:rPr>
        <w:t>controls</w:t>
      </w:r>
      <w:r>
        <w:rPr>
          <w:sz w:val="20"/>
        </w:rPr>
        <w:t xml:space="preserve"> (Figure 2) for improved safety. This four-tier hierarchy of fall protection controls is categorised by:</w:t>
      </w:r>
    </w:p>
    <w:p w14:paraId="439306A6" w14:textId="77777777" w:rsidR="00581EC0" w:rsidRPr="00BC0EFA" w:rsidRDefault="00581EC0" w:rsidP="00581EC0">
      <w:pPr>
        <w:pStyle w:val="ListParagraph"/>
        <w:ind w:left="0"/>
        <w:jc w:val="both"/>
        <w:rPr>
          <w:sz w:val="20"/>
        </w:rPr>
      </w:pPr>
    </w:p>
    <w:p w14:paraId="7A72EA04" w14:textId="77777777" w:rsidR="00581EC0" w:rsidRPr="006151CB" w:rsidRDefault="00581EC0" w:rsidP="00553DD3">
      <w:pPr>
        <w:pStyle w:val="ListParagraph"/>
        <w:numPr>
          <w:ilvl w:val="0"/>
          <w:numId w:val="4"/>
        </w:numPr>
        <w:jc w:val="both"/>
        <w:rPr>
          <w:sz w:val="20"/>
        </w:rPr>
      </w:pPr>
      <w:r w:rsidRPr="00BC0EFA">
        <w:rPr>
          <w:sz w:val="20"/>
        </w:rPr>
        <w:t>Fall elimination - the arrangements which facilitate the completion of required tasks without persons entering fall hazard areas</w:t>
      </w:r>
      <w:r>
        <w:rPr>
          <w:sz w:val="20"/>
        </w:rPr>
        <w:t>.</w:t>
      </w:r>
    </w:p>
    <w:p w14:paraId="258881E2" w14:textId="77777777" w:rsidR="00581EC0" w:rsidRPr="00BC0EFA" w:rsidRDefault="00581EC0" w:rsidP="00553DD3">
      <w:pPr>
        <w:pStyle w:val="ListParagraph"/>
        <w:numPr>
          <w:ilvl w:val="0"/>
          <w:numId w:val="4"/>
        </w:numPr>
        <w:jc w:val="both"/>
        <w:rPr>
          <w:sz w:val="20"/>
        </w:rPr>
      </w:pPr>
      <w:r w:rsidRPr="00BC0EFA">
        <w:rPr>
          <w:sz w:val="20"/>
        </w:rPr>
        <w:t>Fall prevention - the arrangements or devices which protect against the fall of persons including fencing.</w:t>
      </w:r>
    </w:p>
    <w:p w14:paraId="00EB7A45" w14:textId="77777777" w:rsidR="00581EC0" w:rsidRPr="00BC0EFA" w:rsidRDefault="00581EC0" w:rsidP="00553DD3">
      <w:pPr>
        <w:pStyle w:val="ListParagraph"/>
        <w:numPr>
          <w:ilvl w:val="0"/>
          <w:numId w:val="4"/>
        </w:numPr>
        <w:jc w:val="both"/>
        <w:rPr>
          <w:sz w:val="20"/>
        </w:rPr>
      </w:pPr>
      <w:r w:rsidRPr="00BC0EFA">
        <w:rPr>
          <w:sz w:val="20"/>
        </w:rPr>
        <w:lastRenderedPageBreak/>
        <w:t>Fall restraint - the devices or personal protective equipment (PPE) which prevent the fall of persons including fall protections devices such as safety cables.</w:t>
      </w:r>
    </w:p>
    <w:p w14:paraId="64BE6143" w14:textId="77777777" w:rsidR="00581EC0" w:rsidRPr="00C40456" w:rsidRDefault="00581EC0" w:rsidP="00553DD3">
      <w:pPr>
        <w:pStyle w:val="ListParagraph"/>
        <w:numPr>
          <w:ilvl w:val="0"/>
          <w:numId w:val="4"/>
        </w:numPr>
        <w:jc w:val="both"/>
        <w:rPr>
          <w:sz w:val="20"/>
        </w:rPr>
      </w:pPr>
      <w:r w:rsidRPr="00BC0EFA">
        <w:rPr>
          <w:sz w:val="20"/>
        </w:rPr>
        <w:t>Fall arrest - the devices or personal protective equipment (PPE) which provide the safe stopping of persons already falling including fall arrest devices.</w:t>
      </w:r>
      <w:r w:rsidRPr="00C40456">
        <w:rPr>
          <w:sz w:val="20"/>
        </w:rPr>
        <w:t xml:space="preserve"> </w:t>
      </w:r>
    </w:p>
    <w:p w14:paraId="76A62A05" w14:textId="77777777" w:rsidR="00581EC0" w:rsidRPr="00C40456" w:rsidRDefault="00581EC0" w:rsidP="00581EC0">
      <w:pPr>
        <w:pStyle w:val="ListParagraph"/>
        <w:ind w:left="0"/>
        <w:jc w:val="center"/>
        <w:rPr>
          <w:sz w:val="20"/>
        </w:rPr>
      </w:pPr>
      <w:r w:rsidRPr="0045622D">
        <w:rPr>
          <w:noProof/>
          <w:sz w:val="20"/>
        </w:rPr>
        <w:drawing>
          <wp:inline distT="0" distB="0" distL="0" distR="0" wp14:anchorId="133271A8" wp14:editId="113EEF4F">
            <wp:extent cx="2936875" cy="2438400"/>
            <wp:effectExtent l="0" t="0" r="0" b="0"/>
            <wp:docPr id="2" name="Picture 3"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6875" cy="2438400"/>
                    </a:xfrm>
                    <a:prstGeom prst="rect">
                      <a:avLst/>
                    </a:prstGeom>
                    <a:noFill/>
                    <a:ln>
                      <a:noFill/>
                    </a:ln>
                  </pic:spPr>
                </pic:pic>
              </a:graphicData>
            </a:graphic>
          </wp:inline>
        </w:drawing>
      </w:r>
    </w:p>
    <w:p w14:paraId="5FA6EF96" w14:textId="77777777" w:rsidR="00581EC0" w:rsidRPr="00A01DE8" w:rsidRDefault="00581EC0" w:rsidP="00581EC0">
      <w:pPr>
        <w:pStyle w:val="ListParagraph"/>
        <w:keepNext/>
        <w:ind w:left="0"/>
        <w:jc w:val="center"/>
      </w:pPr>
      <w:r>
        <w:rPr>
          <w:sz w:val="20"/>
        </w:rPr>
        <w:t>Figure 2: Hierarchy of Fall Protection Controls</w:t>
      </w:r>
    </w:p>
    <w:p w14:paraId="22422B61" w14:textId="77777777" w:rsidR="00581EC0" w:rsidRPr="0001294E" w:rsidRDefault="00581EC0" w:rsidP="00581EC0">
      <w:pPr>
        <w:pStyle w:val="ListParagraph"/>
        <w:ind w:left="0"/>
        <w:rPr>
          <w:sz w:val="20"/>
        </w:rPr>
      </w:pPr>
    </w:p>
    <w:p w14:paraId="5F86F291" w14:textId="77777777" w:rsidR="00581EC0" w:rsidRDefault="00581EC0" w:rsidP="00581EC0">
      <w:pPr>
        <w:pStyle w:val="ListParagraph"/>
        <w:ind w:left="0"/>
        <w:jc w:val="both"/>
        <w:rPr>
          <w:sz w:val="20"/>
        </w:rPr>
      </w:pPr>
      <w:r w:rsidRPr="005D534F">
        <w:rPr>
          <w:sz w:val="20"/>
        </w:rPr>
        <w:t xml:space="preserve">It </w:t>
      </w:r>
      <w:r>
        <w:rPr>
          <w:sz w:val="20"/>
        </w:rPr>
        <w:t xml:space="preserve">should also </w:t>
      </w:r>
      <w:r w:rsidRPr="005D534F">
        <w:rPr>
          <w:sz w:val="20"/>
        </w:rPr>
        <w:t xml:space="preserve">be noted that statutory </w:t>
      </w:r>
      <w:r w:rsidRPr="008F3A05">
        <w:rPr>
          <w:sz w:val="20"/>
        </w:rPr>
        <w:t xml:space="preserve">requirements for </w:t>
      </w:r>
      <w:r>
        <w:rPr>
          <w:sz w:val="20"/>
        </w:rPr>
        <w:t>fall prevention</w:t>
      </w:r>
      <w:r w:rsidRPr="008F3A05">
        <w:rPr>
          <w:sz w:val="20"/>
        </w:rPr>
        <w:t xml:space="preserve"> in ship design do exist within the </w:t>
      </w:r>
      <w:r w:rsidRPr="000129EA">
        <w:rPr>
          <w:color w:val="000000"/>
          <w:sz w:val="20"/>
        </w:rPr>
        <w:t>International Convention on Load Lines (Regulation 25) [23]</w:t>
      </w:r>
      <w:r w:rsidRPr="000129EA">
        <w:rPr>
          <w:color w:val="000000"/>
          <w:sz w:val="21"/>
          <w:szCs w:val="21"/>
        </w:rPr>
        <w:t xml:space="preserve">. </w:t>
      </w:r>
      <w:r w:rsidRPr="000129EA">
        <w:rPr>
          <w:color w:val="000000"/>
          <w:sz w:val="20"/>
        </w:rPr>
        <w:t>However, this Convention only requires the provision of a low-level guardrails to prevent persons being swept overboard. In general, these requirements are sufficient for safe access and egress purposes, but, where fencing is in place for fall protection purposes the convention does not apply, and more appropriate ergonomic standards may be adopted. Fencing requirements to</w:t>
      </w:r>
      <w:r w:rsidRPr="005D534F">
        <w:rPr>
          <w:sz w:val="20"/>
        </w:rPr>
        <w:t xml:space="preserve"> prevent falls from height are well-established for shore-based industry and there is strong evidence base for the incorporation of such requirements into the ship design process </w:t>
      </w:r>
      <w:r>
        <w:rPr>
          <w:sz w:val="20"/>
        </w:rPr>
        <w:t>[2]</w:t>
      </w:r>
      <w:r w:rsidRPr="005D534F">
        <w:rPr>
          <w:sz w:val="20"/>
        </w:rPr>
        <w:t>.</w:t>
      </w:r>
    </w:p>
    <w:p w14:paraId="571485B5" w14:textId="77777777" w:rsidR="00581EC0" w:rsidRDefault="00581EC0" w:rsidP="00581EC0">
      <w:pPr>
        <w:jc w:val="both"/>
        <w:rPr>
          <w:sz w:val="20"/>
        </w:rPr>
      </w:pPr>
    </w:p>
    <w:p w14:paraId="495A5336" w14:textId="77777777" w:rsidR="00581EC0" w:rsidRDefault="00581EC0" w:rsidP="00581EC0">
      <w:pPr>
        <w:jc w:val="both"/>
        <w:rPr>
          <w:sz w:val="20"/>
        </w:rPr>
      </w:pPr>
      <w:r>
        <w:rPr>
          <w:sz w:val="20"/>
        </w:rPr>
        <w:t>3.4 (e)</w:t>
      </w:r>
      <w:r>
        <w:rPr>
          <w:sz w:val="20"/>
        </w:rPr>
        <w:tab/>
        <w:t>Signage</w:t>
      </w:r>
    </w:p>
    <w:p w14:paraId="29370C05" w14:textId="77777777" w:rsidR="00581EC0" w:rsidRDefault="00581EC0" w:rsidP="00581EC0">
      <w:pPr>
        <w:jc w:val="both"/>
        <w:rPr>
          <w:sz w:val="20"/>
        </w:rPr>
      </w:pPr>
    </w:p>
    <w:p w14:paraId="3FD4E7A5" w14:textId="77777777" w:rsidR="00581EC0" w:rsidRPr="006151CB" w:rsidRDefault="00581EC0" w:rsidP="00581EC0">
      <w:pPr>
        <w:pStyle w:val="ListParagraph"/>
        <w:ind w:left="0"/>
        <w:jc w:val="both"/>
        <w:rPr>
          <w:color w:val="000000"/>
          <w:sz w:val="20"/>
        </w:rPr>
      </w:pPr>
      <w:r w:rsidRPr="006151CB">
        <w:rPr>
          <w:color w:val="000000"/>
          <w:sz w:val="20"/>
        </w:rPr>
        <w:t xml:space="preserve">The provision of guidance around safety signs and safety markings is a novel addition to the scope of the Guidance Note. It can be argued that for safety to be assured, the ergonomics of communications systems must also be considered including the provision of adequate signage in a language appropriate to the native languages of all onboard [7]. Recommendations for the provision of signage are provided within the Guidance Note with the purpose of facilitating the safe use of access </w:t>
      </w:r>
      <w:r w:rsidRPr="000129EA">
        <w:rPr>
          <w:color w:val="000000"/>
          <w:sz w:val="20"/>
        </w:rPr>
        <w:t>structures, highlighting hazards to reduce the risk of slips, trips and falls, and controlling access to hazardous spaces. The Guidance Note presents a ‘marinized tailoring’ [17] of</w:t>
      </w:r>
      <w:r w:rsidRPr="006151CB">
        <w:rPr>
          <w:color w:val="000000"/>
          <w:sz w:val="20"/>
        </w:rPr>
        <w:t xml:space="preserve"> ISO standards </w:t>
      </w:r>
      <w:r w:rsidRPr="000129EA">
        <w:rPr>
          <w:color w:val="000000"/>
          <w:sz w:val="20"/>
        </w:rPr>
        <w:t xml:space="preserve">for signage [24] that are widely applicable in other sectors and used effectively within terrestrial architectural practice. The Guidance Note also makes normative </w:t>
      </w:r>
      <w:r w:rsidRPr="000129EA">
        <w:rPr>
          <w:i/>
          <w:iCs/>
          <w:color w:val="000000"/>
          <w:sz w:val="20"/>
        </w:rPr>
        <w:t>ISO 24409 Ships and Marine Technology – Design, Location, and Use of Shipboard Safety Signs, Safety-related Signs, Safety Notices and Safety Markings</w:t>
      </w:r>
      <w:r w:rsidRPr="000129EA">
        <w:rPr>
          <w:color w:val="000000"/>
          <w:sz w:val="20"/>
        </w:rPr>
        <w:t xml:space="preserve"> [25] which presents recommendations specific to the maritime industry</w:t>
      </w:r>
      <w:r w:rsidRPr="006151CB">
        <w:rPr>
          <w:color w:val="000000"/>
          <w:sz w:val="20"/>
        </w:rPr>
        <w:t xml:space="preserve">, and provides guidance for its appropriate application in the context of ship access structures and arrangements. </w:t>
      </w:r>
    </w:p>
    <w:p w14:paraId="65C777E3" w14:textId="77777777" w:rsidR="00581EC0" w:rsidRDefault="00581EC0" w:rsidP="00581EC0">
      <w:pPr>
        <w:jc w:val="both"/>
        <w:rPr>
          <w:sz w:val="20"/>
        </w:rPr>
      </w:pPr>
    </w:p>
    <w:p w14:paraId="304F1C3A" w14:textId="77777777" w:rsidR="00581EC0" w:rsidRPr="000129EA" w:rsidRDefault="00581EC0" w:rsidP="00581EC0">
      <w:pPr>
        <w:jc w:val="both"/>
        <w:rPr>
          <w:color w:val="000000"/>
          <w:sz w:val="20"/>
        </w:rPr>
      </w:pPr>
      <w:r w:rsidRPr="000129EA">
        <w:rPr>
          <w:color w:val="000000"/>
          <w:sz w:val="20"/>
        </w:rPr>
        <w:t>3.5</w:t>
      </w:r>
      <w:r w:rsidRPr="000129EA">
        <w:rPr>
          <w:color w:val="000000"/>
          <w:sz w:val="20"/>
        </w:rPr>
        <w:tab/>
        <w:t>APPLICATION</w:t>
      </w:r>
    </w:p>
    <w:p w14:paraId="65FAB1F6" w14:textId="77777777" w:rsidR="00581EC0" w:rsidRDefault="00581EC0" w:rsidP="00581EC0">
      <w:pPr>
        <w:jc w:val="both"/>
        <w:rPr>
          <w:sz w:val="20"/>
        </w:rPr>
      </w:pPr>
    </w:p>
    <w:p w14:paraId="5D8A22DA" w14:textId="77777777" w:rsidR="00581EC0" w:rsidRDefault="00581EC0" w:rsidP="00581EC0">
      <w:pPr>
        <w:jc w:val="both"/>
        <w:rPr>
          <w:sz w:val="20"/>
        </w:rPr>
      </w:pPr>
      <w:r>
        <w:rPr>
          <w:sz w:val="20"/>
        </w:rPr>
        <w:t>T</w:t>
      </w:r>
      <w:r w:rsidRPr="00B54DF8">
        <w:rPr>
          <w:sz w:val="20"/>
        </w:rPr>
        <w:t>he</w:t>
      </w:r>
      <w:r>
        <w:rPr>
          <w:sz w:val="20"/>
        </w:rPr>
        <w:t xml:space="preserve"> </w:t>
      </w:r>
      <w:r w:rsidRPr="001E0C82">
        <w:rPr>
          <w:i/>
          <w:iCs/>
          <w:sz w:val="20"/>
        </w:rPr>
        <w:t>Guidance Note for Ergonomic Safe Access and Egress</w:t>
      </w:r>
      <w:r w:rsidRPr="00B54DF8">
        <w:rPr>
          <w:sz w:val="20"/>
        </w:rPr>
        <w:t xml:space="preserve"> provides an optional framework for best practice leading to enhanced ergonomics and improved safety. The </w:t>
      </w:r>
      <w:r>
        <w:rPr>
          <w:sz w:val="20"/>
        </w:rPr>
        <w:t xml:space="preserve">accreditation </w:t>
      </w:r>
      <w:r w:rsidRPr="00B54DF8">
        <w:rPr>
          <w:sz w:val="20"/>
        </w:rPr>
        <w:t xml:space="preserve">of the </w:t>
      </w:r>
      <w:r>
        <w:rPr>
          <w:sz w:val="20"/>
        </w:rPr>
        <w:t>G</w:t>
      </w:r>
      <w:r w:rsidRPr="00B54DF8">
        <w:rPr>
          <w:sz w:val="20"/>
        </w:rPr>
        <w:t xml:space="preserve">uidance </w:t>
      </w:r>
      <w:r>
        <w:rPr>
          <w:sz w:val="20"/>
        </w:rPr>
        <w:t>N</w:t>
      </w:r>
      <w:r w:rsidRPr="00B54DF8">
        <w:rPr>
          <w:sz w:val="20"/>
        </w:rPr>
        <w:t xml:space="preserve">ote is an important consideration from </w:t>
      </w:r>
      <w:r>
        <w:rPr>
          <w:sz w:val="20"/>
        </w:rPr>
        <w:t>the</w:t>
      </w:r>
      <w:r w:rsidRPr="00B54DF8">
        <w:rPr>
          <w:sz w:val="20"/>
        </w:rPr>
        <w:t xml:space="preserve"> perspective </w:t>
      </w:r>
      <w:r>
        <w:rPr>
          <w:sz w:val="20"/>
        </w:rPr>
        <w:t xml:space="preserve">of uptake, </w:t>
      </w:r>
      <w:r w:rsidRPr="00B54DF8">
        <w:rPr>
          <w:sz w:val="20"/>
        </w:rPr>
        <w:t>as stakeholders will desire recognition for the appropr</w:t>
      </w:r>
      <w:r>
        <w:rPr>
          <w:sz w:val="20"/>
        </w:rPr>
        <w:t>i</w:t>
      </w:r>
      <w:r w:rsidRPr="00B54DF8">
        <w:rPr>
          <w:sz w:val="20"/>
        </w:rPr>
        <w:t>ate application of ergonomic</w:t>
      </w:r>
      <w:r>
        <w:rPr>
          <w:sz w:val="20"/>
        </w:rPr>
        <w:t>s considerations</w:t>
      </w:r>
      <w:r w:rsidRPr="00B54DF8">
        <w:rPr>
          <w:sz w:val="20"/>
        </w:rPr>
        <w:t xml:space="preserve">. It is intended that </w:t>
      </w:r>
      <w:r>
        <w:rPr>
          <w:sz w:val="20"/>
        </w:rPr>
        <w:t xml:space="preserve">the </w:t>
      </w:r>
      <w:r w:rsidRPr="00B54DF8">
        <w:rPr>
          <w:sz w:val="20"/>
        </w:rPr>
        <w:t xml:space="preserve">application of guidance note will result in the award of an optional </w:t>
      </w:r>
      <w:r>
        <w:rPr>
          <w:sz w:val="20"/>
        </w:rPr>
        <w:t>C</w:t>
      </w:r>
      <w:r w:rsidRPr="00B54DF8">
        <w:rPr>
          <w:sz w:val="20"/>
        </w:rPr>
        <w:t xml:space="preserve">lass </w:t>
      </w:r>
      <w:r>
        <w:rPr>
          <w:sz w:val="20"/>
        </w:rPr>
        <w:t>N</w:t>
      </w:r>
      <w:r w:rsidRPr="00B54DF8">
        <w:rPr>
          <w:sz w:val="20"/>
        </w:rPr>
        <w:t xml:space="preserve">otation </w:t>
      </w:r>
      <w:r w:rsidRPr="005B6B63">
        <w:rPr>
          <w:sz w:val="20"/>
        </w:rPr>
        <w:t>ESAE</w:t>
      </w:r>
      <w:r w:rsidRPr="00B54DF8">
        <w:rPr>
          <w:sz w:val="20"/>
        </w:rPr>
        <w:t xml:space="preserve">. </w:t>
      </w:r>
      <w:r w:rsidRPr="00A04C6D">
        <w:rPr>
          <w:sz w:val="20"/>
        </w:rPr>
        <w:t xml:space="preserve">It </w:t>
      </w:r>
      <w:r>
        <w:rPr>
          <w:sz w:val="20"/>
        </w:rPr>
        <w:t>is also</w:t>
      </w:r>
      <w:r w:rsidRPr="00A04C6D">
        <w:rPr>
          <w:sz w:val="20"/>
        </w:rPr>
        <w:t xml:space="preserve"> determined that survey requirements for assigning the ESAE </w:t>
      </w:r>
      <w:r>
        <w:rPr>
          <w:sz w:val="20"/>
        </w:rPr>
        <w:t>N</w:t>
      </w:r>
      <w:r w:rsidRPr="00A04C6D">
        <w:rPr>
          <w:sz w:val="20"/>
        </w:rPr>
        <w:t xml:space="preserve">otation and for maintaining it though life will be fulfilled through the provision of a manual for safe access. The manual will be provided for initial plan approval and retained onboard for further reference at periodical survey to ensure compliance against the notation is maintained. </w:t>
      </w:r>
      <w:r>
        <w:rPr>
          <w:sz w:val="20"/>
        </w:rPr>
        <w:t>The manual for safe access will contain:</w:t>
      </w:r>
    </w:p>
    <w:p w14:paraId="1767E209" w14:textId="77777777" w:rsidR="00581EC0" w:rsidRDefault="00581EC0" w:rsidP="00581EC0">
      <w:pPr>
        <w:jc w:val="both"/>
        <w:rPr>
          <w:sz w:val="20"/>
        </w:rPr>
      </w:pPr>
    </w:p>
    <w:p w14:paraId="075728C6" w14:textId="77777777" w:rsidR="00581EC0" w:rsidRDefault="00581EC0" w:rsidP="00581EC0">
      <w:pPr>
        <w:jc w:val="both"/>
        <w:rPr>
          <w:sz w:val="20"/>
        </w:rPr>
      </w:pPr>
      <w:r>
        <w:rPr>
          <w:sz w:val="20"/>
        </w:rPr>
        <w:t>3.5 (a)</w:t>
      </w:r>
      <w:r>
        <w:rPr>
          <w:sz w:val="20"/>
        </w:rPr>
        <w:tab/>
        <w:t>Ship particulars and specification</w:t>
      </w:r>
    </w:p>
    <w:p w14:paraId="35C3DB91" w14:textId="77777777" w:rsidR="00581EC0" w:rsidRDefault="00581EC0" w:rsidP="00581EC0">
      <w:pPr>
        <w:jc w:val="both"/>
        <w:rPr>
          <w:sz w:val="20"/>
        </w:rPr>
      </w:pPr>
    </w:p>
    <w:p w14:paraId="35CB26E3" w14:textId="77777777" w:rsidR="00581EC0" w:rsidRDefault="00581EC0" w:rsidP="00581EC0">
      <w:pPr>
        <w:jc w:val="both"/>
        <w:rPr>
          <w:sz w:val="20"/>
        </w:rPr>
      </w:pPr>
      <w:r>
        <w:rPr>
          <w:sz w:val="20"/>
        </w:rPr>
        <w:t>Ship particulars and specification provides information of type of ship and identity.</w:t>
      </w:r>
    </w:p>
    <w:p w14:paraId="4D9FAACE" w14:textId="77777777" w:rsidR="00581EC0" w:rsidRDefault="00581EC0" w:rsidP="00581EC0">
      <w:pPr>
        <w:jc w:val="both"/>
        <w:rPr>
          <w:sz w:val="20"/>
        </w:rPr>
      </w:pPr>
    </w:p>
    <w:p w14:paraId="01688099" w14:textId="77777777" w:rsidR="00581EC0" w:rsidRDefault="00581EC0" w:rsidP="00581EC0">
      <w:pPr>
        <w:jc w:val="both"/>
        <w:rPr>
          <w:sz w:val="20"/>
        </w:rPr>
      </w:pPr>
      <w:r>
        <w:rPr>
          <w:sz w:val="20"/>
        </w:rPr>
        <w:lastRenderedPageBreak/>
        <w:t>3.5 (b)</w:t>
      </w:r>
      <w:r>
        <w:rPr>
          <w:sz w:val="20"/>
        </w:rPr>
        <w:tab/>
        <w:t>Access operational concept</w:t>
      </w:r>
      <w:r w:rsidRPr="00C40456">
        <w:rPr>
          <w:noProof/>
        </w:rPr>
        <w:t xml:space="preserve"> </w:t>
      </w:r>
    </w:p>
    <w:p w14:paraId="211A264E" w14:textId="77777777" w:rsidR="00581EC0" w:rsidRDefault="00581EC0" w:rsidP="00581EC0">
      <w:pPr>
        <w:jc w:val="both"/>
        <w:rPr>
          <w:sz w:val="20"/>
        </w:rPr>
      </w:pPr>
    </w:p>
    <w:p w14:paraId="033C4513" w14:textId="77777777" w:rsidR="00581EC0" w:rsidRPr="00CF2CDC" w:rsidRDefault="00581EC0" w:rsidP="00581EC0">
      <w:pPr>
        <w:pStyle w:val="ListParagraph"/>
        <w:ind w:left="0"/>
        <w:jc w:val="both"/>
        <w:rPr>
          <w:color w:val="FF0000"/>
          <w:sz w:val="20"/>
        </w:rPr>
      </w:pPr>
      <w:r w:rsidRPr="001A0ADF">
        <w:rPr>
          <w:sz w:val="20"/>
        </w:rPr>
        <w:t xml:space="preserve">The access operational concept is a verbal and graphic statement of design intent with regard to the operation of the ship. It is a user-oriented document that describes a designer’s </w:t>
      </w:r>
      <w:r w:rsidRPr="000129EA">
        <w:rPr>
          <w:color w:val="000000"/>
          <w:sz w:val="20"/>
        </w:rPr>
        <w:t>understanding of the users’ needs and how a system will operate to fulfil those needs. The operational concept framework is typically used within systems engineering [26] and is an effective tool to establish a link between ship design and ship operation. The access operational concept should</w:t>
      </w:r>
      <w:r w:rsidRPr="003924AB">
        <w:rPr>
          <w:sz w:val="20"/>
        </w:rPr>
        <w:t xml:space="preserve"> </w:t>
      </w:r>
      <w:r>
        <w:rPr>
          <w:sz w:val="20"/>
        </w:rPr>
        <w:t>describe</w:t>
      </w:r>
      <w:r w:rsidRPr="003924AB">
        <w:rPr>
          <w:sz w:val="20"/>
        </w:rPr>
        <w:t xml:space="preserve"> the </w:t>
      </w:r>
      <w:r>
        <w:rPr>
          <w:sz w:val="20"/>
        </w:rPr>
        <w:t xml:space="preserve">form and </w:t>
      </w:r>
      <w:r w:rsidRPr="003924AB">
        <w:rPr>
          <w:sz w:val="20"/>
        </w:rPr>
        <w:t xml:space="preserve">use of access and egress arrangements with the ship ‘system’ and describe </w:t>
      </w:r>
      <w:r>
        <w:rPr>
          <w:sz w:val="20"/>
        </w:rPr>
        <w:t xml:space="preserve">a strategy for </w:t>
      </w:r>
      <w:r w:rsidRPr="00AD68AC">
        <w:rPr>
          <w:sz w:val="20"/>
        </w:rPr>
        <w:t xml:space="preserve">access and egress </w:t>
      </w:r>
      <w:r>
        <w:rPr>
          <w:sz w:val="20"/>
        </w:rPr>
        <w:t>through a</w:t>
      </w:r>
      <w:r w:rsidRPr="003924AB">
        <w:rPr>
          <w:sz w:val="20"/>
        </w:rPr>
        <w:t xml:space="preserve"> statement of design rationale. In general, it should include:</w:t>
      </w:r>
    </w:p>
    <w:p w14:paraId="3A329480" w14:textId="77777777" w:rsidR="00581EC0" w:rsidRPr="003924AB" w:rsidRDefault="00581EC0" w:rsidP="00581EC0">
      <w:pPr>
        <w:pStyle w:val="ListParagraph"/>
        <w:ind w:left="0"/>
        <w:jc w:val="both"/>
        <w:rPr>
          <w:sz w:val="20"/>
        </w:rPr>
      </w:pPr>
    </w:p>
    <w:p w14:paraId="4177C33D" w14:textId="77777777" w:rsidR="00581EC0" w:rsidRPr="003924AB" w:rsidRDefault="00581EC0" w:rsidP="00553DD3">
      <w:pPr>
        <w:pStyle w:val="ListParagraph"/>
        <w:numPr>
          <w:ilvl w:val="0"/>
          <w:numId w:val="4"/>
        </w:numPr>
        <w:jc w:val="both"/>
        <w:rPr>
          <w:sz w:val="20"/>
        </w:rPr>
      </w:pPr>
      <w:r w:rsidRPr="003924AB">
        <w:rPr>
          <w:sz w:val="20"/>
        </w:rPr>
        <w:t>A statement of the goals, objectives and motivations of the systems together with the strategies, solutions, tactics, methods, and techniques used to accomplish them.</w:t>
      </w:r>
    </w:p>
    <w:p w14:paraId="2A89CDF5" w14:textId="77777777" w:rsidR="00581EC0" w:rsidRPr="003924AB" w:rsidRDefault="00581EC0" w:rsidP="00553DD3">
      <w:pPr>
        <w:pStyle w:val="ListParagraph"/>
        <w:numPr>
          <w:ilvl w:val="0"/>
          <w:numId w:val="4"/>
        </w:numPr>
        <w:jc w:val="both"/>
        <w:rPr>
          <w:sz w:val="20"/>
        </w:rPr>
      </w:pPr>
      <w:r w:rsidRPr="003924AB">
        <w:rPr>
          <w:sz w:val="20"/>
        </w:rPr>
        <w:t>A statement of the boundary conditions and constraints of the system. For example</w:t>
      </w:r>
      <w:r>
        <w:rPr>
          <w:sz w:val="20"/>
        </w:rPr>
        <w:t>,</w:t>
      </w:r>
      <w:r w:rsidRPr="003924AB">
        <w:rPr>
          <w:sz w:val="20"/>
        </w:rPr>
        <w:t xml:space="preserve"> there may exist a constraint on the hours of operation of the system, a constraint on the number of personnel available to operate the system or a constraint on operational facilities or space.</w:t>
      </w:r>
    </w:p>
    <w:p w14:paraId="03AEFED5" w14:textId="77777777" w:rsidR="00581EC0" w:rsidRPr="003924AB" w:rsidRDefault="00581EC0" w:rsidP="00553DD3">
      <w:pPr>
        <w:pStyle w:val="ListParagraph"/>
        <w:numPr>
          <w:ilvl w:val="0"/>
          <w:numId w:val="4"/>
        </w:numPr>
        <w:jc w:val="both"/>
        <w:rPr>
          <w:sz w:val="20"/>
        </w:rPr>
      </w:pPr>
      <w:r w:rsidRPr="003924AB">
        <w:rPr>
          <w:sz w:val="20"/>
        </w:rPr>
        <w:t>A user profile including responsibilities, education, background, skill level, activities, and modes of interaction with the current system.</w:t>
      </w:r>
    </w:p>
    <w:p w14:paraId="6B72E826" w14:textId="77777777" w:rsidR="00581EC0" w:rsidRPr="003924AB" w:rsidRDefault="00581EC0" w:rsidP="00553DD3">
      <w:pPr>
        <w:pStyle w:val="ListParagraph"/>
        <w:numPr>
          <w:ilvl w:val="0"/>
          <w:numId w:val="4"/>
        </w:numPr>
        <w:jc w:val="both"/>
        <w:rPr>
          <w:sz w:val="20"/>
        </w:rPr>
      </w:pPr>
      <w:r w:rsidRPr="003924AB">
        <w:rPr>
          <w:sz w:val="20"/>
        </w:rPr>
        <w:t>A description of the system including the operational environment and its characteristics, major system components and the interconnections</w:t>
      </w:r>
      <w:r>
        <w:rPr>
          <w:sz w:val="20"/>
        </w:rPr>
        <w:t xml:space="preserve"> and i</w:t>
      </w:r>
      <w:r w:rsidRPr="003924AB">
        <w:rPr>
          <w:sz w:val="20"/>
        </w:rPr>
        <w:t>nterfaces</w:t>
      </w:r>
      <w:r>
        <w:rPr>
          <w:sz w:val="20"/>
        </w:rPr>
        <w:t>, p</w:t>
      </w:r>
      <w:r w:rsidRPr="003924AB">
        <w:rPr>
          <w:sz w:val="20"/>
        </w:rPr>
        <w:t>erformance characteristics and attributes, such as speed, frequency, flexibility, maintainability, portability, and usability and operational risk factors. Provisions for safety, security, privacy, integrity, and continuity of operations in emergencies.</w:t>
      </w:r>
    </w:p>
    <w:p w14:paraId="3240F18B" w14:textId="77777777" w:rsidR="00581EC0" w:rsidRDefault="00581EC0" w:rsidP="00553DD3">
      <w:pPr>
        <w:pStyle w:val="ListParagraph"/>
        <w:numPr>
          <w:ilvl w:val="0"/>
          <w:numId w:val="4"/>
        </w:numPr>
        <w:jc w:val="both"/>
        <w:rPr>
          <w:sz w:val="20"/>
        </w:rPr>
      </w:pPr>
      <w:r w:rsidRPr="003924AB">
        <w:rPr>
          <w:sz w:val="20"/>
        </w:rPr>
        <w:t>A graphical overview of the system</w:t>
      </w:r>
      <w:r>
        <w:rPr>
          <w:sz w:val="20"/>
        </w:rPr>
        <w:t xml:space="preserve">. </w:t>
      </w:r>
      <w:r w:rsidRPr="003924AB">
        <w:rPr>
          <w:sz w:val="20"/>
        </w:rPr>
        <w:t>This can be in the form of any type of diagram that depicts the system and its environment.</w:t>
      </w:r>
    </w:p>
    <w:p w14:paraId="007F1F2B" w14:textId="77777777" w:rsidR="00581EC0" w:rsidRDefault="00581EC0" w:rsidP="00581EC0">
      <w:pPr>
        <w:jc w:val="both"/>
        <w:rPr>
          <w:sz w:val="20"/>
        </w:rPr>
      </w:pPr>
    </w:p>
    <w:p w14:paraId="27DB548B" w14:textId="77777777" w:rsidR="00581EC0" w:rsidRDefault="00581EC0" w:rsidP="00581EC0">
      <w:pPr>
        <w:jc w:val="both"/>
        <w:rPr>
          <w:sz w:val="20"/>
        </w:rPr>
      </w:pPr>
      <w:r>
        <w:rPr>
          <w:sz w:val="20"/>
        </w:rPr>
        <w:t>3.5 (c)</w:t>
      </w:r>
      <w:r>
        <w:rPr>
          <w:sz w:val="20"/>
        </w:rPr>
        <w:tab/>
        <w:t>Ship general arrangement</w:t>
      </w:r>
    </w:p>
    <w:p w14:paraId="24471A83" w14:textId="77777777" w:rsidR="00581EC0" w:rsidRDefault="00581EC0" w:rsidP="00581EC0">
      <w:pPr>
        <w:pStyle w:val="ListParagraph"/>
        <w:ind w:left="0"/>
        <w:jc w:val="both"/>
        <w:rPr>
          <w:sz w:val="20"/>
        </w:rPr>
      </w:pPr>
    </w:p>
    <w:p w14:paraId="56D0D38A" w14:textId="77777777" w:rsidR="00581EC0" w:rsidRPr="00464881" w:rsidRDefault="00581EC0" w:rsidP="00581EC0">
      <w:pPr>
        <w:pStyle w:val="ListParagraph"/>
        <w:ind w:left="0"/>
        <w:jc w:val="both"/>
        <w:rPr>
          <w:sz w:val="20"/>
        </w:rPr>
      </w:pPr>
      <w:r w:rsidRPr="00AD68AC">
        <w:rPr>
          <w:sz w:val="20"/>
        </w:rPr>
        <w:t xml:space="preserve">The general arrangement gives an overview of the whole ship access and egress strategy. </w:t>
      </w:r>
      <w:r>
        <w:rPr>
          <w:sz w:val="20"/>
        </w:rPr>
        <w:t xml:space="preserve">The current </w:t>
      </w:r>
      <w:r w:rsidRPr="00AD68AC">
        <w:rPr>
          <w:sz w:val="20"/>
        </w:rPr>
        <w:t xml:space="preserve">convention </w:t>
      </w:r>
      <w:r>
        <w:rPr>
          <w:sz w:val="20"/>
        </w:rPr>
        <w:t xml:space="preserve">is </w:t>
      </w:r>
      <w:r w:rsidRPr="00AD68AC">
        <w:rPr>
          <w:sz w:val="20"/>
        </w:rPr>
        <w:t>to present the general arrangement of a ship via plan and profile views. However, it is counterintuitive to design access and egress requirements in plan and this practice is rarely seen in terrestrial architectural design</w:t>
      </w:r>
      <w:r w:rsidRPr="005B6B63">
        <w:rPr>
          <w:sz w:val="20"/>
        </w:rPr>
        <w:t>. It is recommended that sectional</w:t>
      </w:r>
      <w:r w:rsidRPr="00AD68AC">
        <w:rPr>
          <w:sz w:val="20"/>
        </w:rPr>
        <w:t xml:space="preserve"> views should be included as part of the general arrangement provision. </w:t>
      </w:r>
    </w:p>
    <w:p w14:paraId="24504351" w14:textId="77777777" w:rsidR="00581EC0" w:rsidRDefault="00581EC0" w:rsidP="00581EC0">
      <w:pPr>
        <w:jc w:val="both"/>
        <w:rPr>
          <w:sz w:val="20"/>
        </w:rPr>
      </w:pPr>
    </w:p>
    <w:p w14:paraId="3633450E" w14:textId="77777777" w:rsidR="00581EC0" w:rsidRDefault="00581EC0" w:rsidP="00581EC0">
      <w:pPr>
        <w:pStyle w:val="ListParagraph"/>
        <w:ind w:left="0"/>
        <w:jc w:val="both"/>
        <w:rPr>
          <w:sz w:val="20"/>
        </w:rPr>
      </w:pPr>
      <w:r>
        <w:rPr>
          <w:sz w:val="20"/>
        </w:rPr>
        <w:t>3.5 (d)</w:t>
      </w:r>
      <w:r>
        <w:rPr>
          <w:sz w:val="20"/>
        </w:rPr>
        <w:tab/>
        <w:t>Structural details</w:t>
      </w:r>
    </w:p>
    <w:p w14:paraId="67ED00A0" w14:textId="77777777" w:rsidR="00581EC0" w:rsidRDefault="00581EC0" w:rsidP="00581EC0">
      <w:pPr>
        <w:pStyle w:val="ListParagraph"/>
        <w:ind w:left="0"/>
        <w:jc w:val="both"/>
        <w:rPr>
          <w:sz w:val="20"/>
        </w:rPr>
      </w:pPr>
    </w:p>
    <w:p w14:paraId="0A3DF277" w14:textId="77777777" w:rsidR="00581EC0" w:rsidRPr="00EC5FED" w:rsidRDefault="00581EC0" w:rsidP="00581EC0">
      <w:pPr>
        <w:pStyle w:val="ListParagraph"/>
        <w:ind w:left="0"/>
        <w:jc w:val="both"/>
        <w:rPr>
          <w:sz w:val="20"/>
        </w:rPr>
      </w:pPr>
      <w:r w:rsidRPr="00EC5FED">
        <w:rPr>
          <w:sz w:val="20"/>
        </w:rPr>
        <w:t>Plans and sections showing the permanent means of access to/from and within each space with appropriate technical specifications and dimensions</w:t>
      </w:r>
      <w:r>
        <w:rPr>
          <w:sz w:val="20"/>
        </w:rPr>
        <w:t>.</w:t>
      </w:r>
    </w:p>
    <w:p w14:paraId="058B67C5" w14:textId="77777777" w:rsidR="00581EC0" w:rsidRDefault="00581EC0" w:rsidP="00581EC0">
      <w:pPr>
        <w:jc w:val="both"/>
        <w:rPr>
          <w:sz w:val="20"/>
        </w:rPr>
      </w:pPr>
    </w:p>
    <w:p w14:paraId="5018AE4F" w14:textId="77777777" w:rsidR="00581EC0" w:rsidRPr="00F27CD3" w:rsidRDefault="00581EC0" w:rsidP="00581EC0">
      <w:pPr>
        <w:pStyle w:val="ListParagraph"/>
        <w:ind w:left="0"/>
        <w:jc w:val="both"/>
        <w:rPr>
          <w:sz w:val="20"/>
        </w:rPr>
      </w:pPr>
      <w:r>
        <w:rPr>
          <w:sz w:val="20"/>
        </w:rPr>
        <w:t>3.5 (e)</w:t>
      </w:r>
      <w:r>
        <w:rPr>
          <w:sz w:val="20"/>
        </w:rPr>
        <w:tab/>
      </w:r>
      <w:r w:rsidRPr="00F27CD3">
        <w:rPr>
          <w:sz w:val="20"/>
        </w:rPr>
        <w:t>Inventory of permanent means of access</w:t>
      </w:r>
    </w:p>
    <w:p w14:paraId="5DE3D9F3" w14:textId="77777777" w:rsidR="00581EC0" w:rsidRDefault="00581EC0" w:rsidP="00581EC0">
      <w:pPr>
        <w:pStyle w:val="ListParagraph"/>
        <w:ind w:left="0"/>
        <w:jc w:val="both"/>
        <w:rPr>
          <w:sz w:val="20"/>
        </w:rPr>
      </w:pPr>
    </w:p>
    <w:p w14:paraId="092D2389" w14:textId="77777777" w:rsidR="00581EC0" w:rsidRDefault="00581EC0" w:rsidP="00581EC0">
      <w:pPr>
        <w:pStyle w:val="ListParagraph"/>
        <w:ind w:left="0"/>
        <w:jc w:val="both"/>
        <w:rPr>
          <w:sz w:val="20"/>
        </w:rPr>
      </w:pPr>
      <w:r>
        <w:rPr>
          <w:sz w:val="20"/>
        </w:rPr>
        <w:t>The i</w:t>
      </w:r>
      <w:r w:rsidRPr="00F27CD3">
        <w:rPr>
          <w:sz w:val="20"/>
        </w:rPr>
        <w:t>nventory of permanent means of access should</w:t>
      </w:r>
      <w:r>
        <w:rPr>
          <w:sz w:val="20"/>
        </w:rPr>
        <w:t xml:space="preserve"> group means of access together into operational systems and</w:t>
      </w:r>
      <w:r w:rsidRPr="00F27CD3">
        <w:rPr>
          <w:sz w:val="20"/>
        </w:rPr>
        <w:t xml:space="preserve"> include information on any features relevant to the ergonomic design of the access structure.</w:t>
      </w:r>
    </w:p>
    <w:p w14:paraId="23B8F399" w14:textId="77777777" w:rsidR="00581EC0" w:rsidRDefault="00581EC0" w:rsidP="00581EC0">
      <w:pPr>
        <w:jc w:val="both"/>
        <w:rPr>
          <w:sz w:val="20"/>
        </w:rPr>
      </w:pPr>
    </w:p>
    <w:p w14:paraId="0965EA3C" w14:textId="77777777" w:rsidR="00581EC0" w:rsidRPr="00F27CD3" w:rsidRDefault="00581EC0" w:rsidP="00581EC0">
      <w:pPr>
        <w:pStyle w:val="ListParagraph"/>
        <w:ind w:left="0"/>
        <w:jc w:val="both"/>
        <w:rPr>
          <w:sz w:val="20"/>
        </w:rPr>
      </w:pPr>
      <w:r>
        <w:rPr>
          <w:sz w:val="20"/>
        </w:rPr>
        <w:t>3.5 (f)</w:t>
      </w:r>
      <w:r>
        <w:rPr>
          <w:sz w:val="20"/>
        </w:rPr>
        <w:tab/>
      </w:r>
      <w:r w:rsidRPr="00F27CD3">
        <w:rPr>
          <w:sz w:val="20"/>
        </w:rPr>
        <w:t>Records of inspections and maintenance</w:t>
      </w:r>
    </w:p>
    <w:p w14:paraId="25D7B55F" w14:textId="77777777" w:rsidR="00581EC0" w:rsidRDefault="00581EC0" w:rsidP="00581EC0">
      <w:pPr>
        <w:pStyle w:val="ListParagraph"/>
        <w:ind w:left="0"/>
        <w:jc w:val="both"/>
        <w:rPr>
          <w:sz w:val="20"/>
        </w:rPr>
      </w:pPr>
    </w:p>
    <w:p w14:paraId="5F55D27B" w14:textId="77777777" w:rsidR="00581EC0" w:rsidRDefault="00581EC0" w:rsidP="00581EC0">
      <w:pPr>
        <w:pStyle w:val="ListParagraph"/>
        <w:ind w:left="0"/>
        <w:jc w:val="both"/>
        <w:rPr>
          <w:sz w:val="20"/>
        </w:rPr>
      </w:pPr>
      <w:r>
        <w:rPr>
          <w:sz w:val="20"/>
        </w:rPr>
        <w:t>The r</w:t>
      </w:r>
      <w:r w:rsidRPr="00F27CD3">
        <w:rPr>
          <w:sz w:val="20"/>
        </w:rPr>
        <w:t xml:space="preserve">ecords of inspection and maintenance should include as a minimum the date of the inspection, the name and title of the inspector, the </w:t>
      </w:r>
      <w:r w:rsidRPr="00AA7DB2">
        <w:rPr>
          <w:sz w:val="20"/>
        </w:rPr>
        <w:t xml:space="preserve">means of access inspected, verification of continued serviceable condition or details of any deterioration or substantial damage found </w:t>
      </w:r>
      <w:r>
        <w:rPr>
          <w:sz w:val="20"/>
        </w:rPr>
        <w:t>[27]</w:t>
      </w:r>
      <w:r w:rsidRPr="00AA7DB2">
        <w:rPr>
          <w:sz w:val="20"/>
        </w:rPr>
        <w:t xml:space="preserve">. This </w:t>
      </w:r>
      <w:r>
        <w:rPr>
          <w:sz w:val="20"/>
        </w:rPr>
        <w:t xml:space="preserve">is vital for both ship safety through life and approval by Class. </w:t>
      </w:r>
    </w:p>
    <w:p w14:paraId="7A7891C5" w14:textId="77777777" w:rsidR="00581EC0" w:rsidRDefault="00581EC0" w:rsidP="00581EC0">
      <w:pPr>
        <w:jc w:val="both"/>
        <w:rPr>
          <w:sz w:val="20"/>
        </w:rPr>
      </w:pPr>
    </w:p>
    <w:p w14:paraId="7E7D31A4" w14:textId="77777777" w:rsidR="00581EC0" w:rsidRDefault="00581EC0" w:rsidP="00581EC0">
      <w:pPr>
        <w:pStyle w:val="ListParagraph"/>
        <w:ind w:left="0"/>
        <w:jc w:val="both"/>
        <w:rPr>
          <w:sz w:val="20"/>
        </w:rPr>
      </w:pPr>
      <w:r>
        <w:rPr>
          <w:sz w:val="20"/>
        </w:rPr>
        <w:t>3.5 (g)</w:t>
      </w:r>
      <w:r>
        <w:rPr>
          <w:sz w:val="20"/>
        </w:rPr>
        <w:tab/>
      </w:r>
      <w:r w:rsidRPr="00C619CA">
        <w:rPr>
          <w:sz w:val="20"/>
        </w:rPr>
        <w:t>Records of change to permanent means of access</w:t>
      </w:r>
    </w:p>
    <w:p w14:paraId="23E6632E" w14:textId="77777777" w:rsidR="00581EC0" w:rsidRDefault="00581EC0" w:rsidP="00581EC0">
      <w:pPr>
        <w:pStyle w:val="ListParagraph"/>
        <w:ind w:left="0"/>
        <w:jc w:val="both"/>
        <w:rPr>
          <w:sz w:val="20"/>
        </w:rPr>
      </w:pPr>
    </w:p>
    <w:p w14:paraId="5877A643" w14:textId="77777777" w:rsidR="00581EC0" w:rsidRDefault="00581EC0" w:rsidP="00581EC0">
      <w:pPr>
        <w:pStyle w:val="ListParagraph"/>
        <w:ind w:left="0"/>
        <w:jc w:val="both"/>
        <w:rPr>
          <w:sz w:val="20"/>
        </w:rPr>
      </w:pPr>
      <w:r w:rsidRPr="008D543E">
        <w:rPr>
          <w:sz w:val="20"/>
        </w:rPr>
        <w:t xml:space="preserve">All changes to permanent means of access should be recorded. Major changes may require revision of the manual of safe access and will be subject to review and/or re-approval by Class. </w:t>
      </w:r>
    </w:p>
    <w:p w14:paraId="01324E48" w14:textId="77777777" w:rsidR="00581EC0" w:rsidRDefault="00581EC0" w:rsidP="00581EC0">
      <w:pPr>
        <w:jc w:val="both"/>
        <w:rPr>
          <w:sz w:val="20"/>
        </w:rPr>
      </w:pPr>
    </w:p>
    <w:p w14:paraId="01F1CFE4" w14:textId="77777777" w:rsidR="00581EC0" w:rsidRDefault="00581EC0" w:rsidP="00581EC0">
      <w:pPr>
        <w:jc w:val="both"/>
        <w:rPr>
          <w:b/>
          <w:strike/>
          <w:color w:val="FF0000"/>
          <w:sz w:val="20"/>
        </w:rPr>
      </w:pPr>
      <w:r w:rsidRPr="00AB0780">
        <w:rPr>
          <w:sz w:val="20"/>
        </w:rPr>
        <w:t>The provision of a manual for safe access is in line with goal</w:t>
      </w:r>
      <w:r>
        <w:rPr>
          <w:sz w:val="20"/>
        </w:rPr>
        <w:t>-</w:t>
      </w:r>
      <w:r w:rsidRPr="00AB0780">
        <w:rPr>
          <w:sz w:val="20"/>
        </w:rPr>
        <w:t xml:space="preserve">based standards which stipulate design transparency </w:t>
      </w:r>
      <w:r>
        <w:rPr>
          <w:sz w:val="20"/>
        </w:rPr>
        <w:t>[11], a</w:t>
      </w:r>
      <w:r w:rsidRPr="00AB0780">
        <w:rPr>
          <w:sz w:val="20"/>
        </w:rPr>
        <w:t xml:space="preserve"> specific </w:t>
      </w:r>
      <w:r>
        <w:rPr>
          <w:sz w:val="20"/>
        </w:rPr>
        <w:t>functional requirement (II.10)</w:t>
      </w:r>
      <w:r w:rsidRPr="003E1000">
        <w:rPr>
          <w:sz w:val="20"/>
        </w:rPr>
        <w:t xml:space="preserve"> states that ships shall be designed under a reliable, controlled and transparent process made accessible to the extent necessary to confirm the safety. The manual of safe access is a clear record of design intent and has subliminal human factors applications in providing a vital link</w:t>
      </w:r>
      <w:r w:rsidRPr="00326A3A">
        <w:rPr>
          <w:sz w:val="20"/>
        </w:rPr>
        <w:t xml:space="preserve"> between design requirements and operations.</w:t>
      </w:r>
      <w:r w:rsidRPr="003E1000">
        <w:rPr>
          <w:sz w:val="20"/>
        </w:rPr>
        <w:t xml:space="preserve"> Additionally, in aligning ergonomic design principles with naval architecture standard practice and nomenclature in this way ensures human factors guidance is easily understandable and more credible in an operational framework.</w:t>
      </w:r>
      <w:r w:rsidRPr="00F27CD3">
        <w:rPr>
          <w:color w:val="FF0000"/>
          <w:sz w:val="20"/>
        </w:rPr>
        <w:t xml:space="preserve"> </w:t>
      </w:r>
    </w:p>
    <w:p w14:paraId="34C105FE" w14:textId="77777777" w:rsidR="00581EC0" w:rsidRDefault="00581EC0" w:rsidP="00581EC0">
      <w:pPr>
        <w:jc w:val="both"/>
        <w:rPr>
          <w:sz w:val="20"/>
        </w:rPr>
      </w:pPr>
    </w:p>
    <w:p w14:paraId="6C0FAE08" w14:textId="77777777" w:rsidR="00581EC0" w:rsidRDefault="00581EC0" w:rsidP="00581EC0">
      <w:pPr>
        <w:jc w:val="both"/>
        <w:rPr>
          <w:sz w:val="20"/>
        </w:rPr>
      </w:pPr>
      <w:r>
        <w:rPr>
          <w:sz w:val="20"/>
        </w:rPr>
        <w:lastRenderedPageBreak/>
        <w:t xml:space="preserve">3.6 </w:t>
      </w:r>
      <w:r>
        <w:rPr>
          <w:sz w:val="20"/>
        </w:rPr>
        <w:tab/>
        <w:t>CRITICAL EVALUATION</w:t>
      </w:r>
    </w:p>
    <w:p w14:paraId="309468C6" w14:textId="77777777" w:rsidR="00581EC0" w:rsidRDefault="00581EC0" w:rsidP="00581EC0">
      <w:pPr>
        <w:jc w:val="both"/>
        <w:rPr>
          <w:sz w:val="20"/>
        </w:rPr>
      </w:pPr>
    </w:p>
    <w:p w14:paraId="4884398A" w14:textId="77777777" w:rsidR="00581EC0" w:rsidRDefault="00581EC0" w:rsidP="00581EC0">
      <w:pPr>
        <w:jc w:val="both"/>
        <w:rPr>
          <w:color w:val="000000"/>
        </w:rPr>
      </w:pPr>
      <w:r>
        <w:rPr>
          <w:color w:val="000000"/>
          <w:sz w:val="20"/>
          <w:szCs w:val="20"/>
        </w:rPr>
        <w:t>The Guidance Note was developed under a governance procedure that ensures the development of criteria that are ergonomically and technically sound, unambiguous, assessable and acceptable from a commercial point of view. Both the concept and the resulting work were reviewed by an independent, external body, the Lloyd’s Register Rules Human Factors Panel (RHFP).  The RHFP benefits from expert members from a wide range of marine industry stakeholders. The RHFP also designated mentors to provide advice to the project.</w:t>
      </w:r>
    </w:p>
    <w:p w14:paraId="13A03329" w14:textId="77777777" w:rsidR="00581EC0" w:rsidRDefault="00581EC0" w:rsidP="00581EC0">
      <w:pPr>
        <w:jc w:val="both"/>
        <w:rPr>
          <w:color w:val="000000"/>
        </w:rPr>
      </w:pPr>
      <w:r>
        <w:rPr>
          <w:color w:val="000000"/>
          <w:sz w:val="20"/>
          <w:szCs w:val="20"/>
        </w:rPr>
        <w:t> </w:t>
      </w:r>
    </w:p>
    <w:p w14:paraId="03D75F13" w14:textId="77777777" w:rsidR="00581EC0" w:rsidRDefault="00581EC0" w:rsidP="00581EC0">
      <w:pPr>
        <w:jc w:val="both"/>
        <w:rPr>
          <w:color w:val="000000"/>
        </w:rPr>
      </w:pPr>
      <w:r>
        <w:rPr>
          <w:color w:val="000000"/>
          <w:sz w:val="20"/>
          <w:szCs w:val="20"/>
        </w:rPr>
        <w:t>In order to identify and take account of requirements and feedback the project approach was iterative, and user centred. Rather than working from first principles the project derived technical guidance from international and industry standards. This material has already been through a rigorous review process and usually specifies the context in which the guidance is valid. In addition to the technical content, the user requirements and the document architecture were reviewed to validate value and user experience respectively. The first draft was reviewed by ergonomists and Rules experts, and following revision was submitted for formal technical review by internal and external experts in naval architecture, structural design and Class survey. This is the first formal step in the Lloyd’s Register Rules approval process.</w:t>
      </w:r>
    </w:p>
    <w:p w14:paraId="786711B3" w14:textId="77777777" w:rsidR="00581EC0" w:rsidRDefault="00581EC0" w:rsidP="00581EC0">
      <w:pPr>
        <w:jc w:val="both"/>
        <w:rPr>
          <w:sz w:val="20"/>
        </w:rPr>
      </w:pPr>
    </w:p>
    <w:p w14:paraId="251EE9E7" w14:textId="77777777" w:rsidR="00581EC0" w:rsidRDefault="00581EC0" w:rsidP="00581EC0">
      <w:pPr>
        <w:jc w:val="both"/>
        <w:rPr>
          <w:b/>
          <w:sz w:val="20"/>
        </w:rPr>
      </w:pPr>
      <w:r>
        <w:rPr>
          <w:b/>
          <w:sz w:val="20"/>
        </w:rPr>
        <w:t>4.</w:t>
      </w:r>
      <w:r>
        <w:rPr>
          <w:b/>
          <w:sz w:val="20"/>
        </w:rPr>
        <w:tab/>
        <w:t>CONCLUSIONS</w:t>
      </w:r>
    </w:p>
    <w:p w14:paraId="2E000FB9" w14:textId="77777777" w:rsidR="00581EC0" w:rsidRDefault="00581EC0" w:rsidP="00581EC0">
      <w:pPr>
        <w:jc w:val="both"/>
        <w:rPr>
          <w:b/>
          <w:sz w:val="20"/>
        </w:rPr>
      </w:pPr>
    </w:p>
    <w:p w14:paraId="5367E6A6" w14:textId="77777777" w:rsidR="00581EC0" w:rsidRPr="000E388A" w:rsidRDefault="00581EC0" w:rsidP="00581EC0">
      <w:pPr>
        <w:jc w:val="both"/>
        <w:rPr>
          <w:sz w:val="20"/>
        </w:rPr>
      </w:pPr>
      <w:r w:rsidRPr="003C2D70">
        <w:rPr>
          <w:sz w:val="20"/>
        </w:rPr>
        <w:t>This paper present</w:t>
      </w:r>
      <w:r>
        <w:rPr>
          <w:sz w:val="20"/>
        </w:rPr>
        <w:t>s</w:t>
      </w:r>
      <w:r w:rsidRPr="003C2D70">
        <w:rPr>
          <w:sz w:val="20"/>
        </w:rPr>
        <w:t xml:space="preserve"> an overview of the process of developing ergonomics guidance for safe access and egress. </w:t>
      </w:r>
      <w:r>
        <w:rPr>
          <w:sz w:val="20"/>
        </w:rPr>
        <w:t>The paper illustrates</w:t>
      </w:r>
      <w:r w:rsidRPr="00822FB3">
        <w:rPr>
          <w:sz w:val="20"/>
        </w:rPr>
        <w:t xml:space="preserve"> </w:t>
      </w:r>
      <w:r w:rsidRPr="003C2D70">
        <w:rPr>
          <w:sz w:val="20"/>
        </w:rPr>
        <w:t>many opportunities and challenges</w:t>
      </w:r>
      <w:r>
        <w:rPr>
          <w:sz w:val="20"/>
        </w:rPr>
        <w:t xml:space="preserve"> in the </w:t>
      </w:r>
      <w:r w:rsidRPr="003C2D70">
        <w:rPr>
          <w:sz w:val="20"/>
        </w:rPr>
        <w:t xml:space="preserve">application of ergonomics within Class Rules. </w:t>
      </w:r>
      <w:r>
        <w:rPr>
          <w:sz w:val="20"/>
        </w:rPr>
        <w:t xml:space="preserve">Addressing ergonomics through Class Rules has the potential to provide a wider benefit than consulting activities can provide. </w:t>
      </w:r>
      <w:r w:rsidRPr="000E388A">
        <w:rPr>
          <w:sz w:val="20"/>
        </w:rPr>
        <w:t xml:space="preserve">However, successful application of ergonomics requires working within the constraints of the </w:t>
      </w:r>
      <w:r w:rsidRPr="000129EA">
        <w:rPr>
          <w:color w:val="000000"/>
          <w:sz w:val="20"/>
        </w:rPr>
        <w:t>maritime industry in order to make a tangible impact. Ergonomics continues to face scepticism from industry stakeholders who question its cost benefit; and the design community who question its value, reliability and validity [28]. Challenges</w:t>
      </w:r>
      <w:r w:rsidRPr="000E388A">
        <w:rPr>
          <w:sz w:val="20"/>
        </w:rPr>
        <w:t xml:space="preserve"> also exist in raising human element competence for designers and surveyors [</w:t>
      </w:r>
      <w:r>
        <w:rPr>
          <w:sz w:val="20"/>
        </w:rPr>
        <w:t>2</w:t>
      </w:r>
      <w:r w:rsidRPr="000E388A">
        <w:rPr>
          <w:sz w:val="20"/>
        </w:rPr>
        <w:t xml:space="preserve">]. </w:t>
      </w:r>
    </w:p>
    <w:p w14:paraId="54086238" w14:textId="77777777" w:rsidR="00581EC0" w:rsidRDefault="00581EC0" w:rsidP="00581EC0">
      <w:pPr>
        <w:jc w:val="both"/>
        <w:rPr>
          <w:sz w:val="20"/>
        </w:rPr>
      </w:pPr>
    </w:p>
    <w:p w14:paraId="60ACD81B" w14:textId="77777777" w:rsidR="00581EC0" w:rsidRDefault="00581EC0" w:rsidP="00581EC0">
      <w:pPr>
        <w:jc w:val="both"/>
        <w:rPr>
          <w:sz w:val="20"/>
        </w:rPr>
      </w:pPr>
      <w:r w:rsidRPr="007A1F1C">
        <w:rPr>
          <w:sz w:val="20"/>
        </w:rPr>
        <w:t xml:space="preserve">It </w:t>
      </w:r>
      <w:r>
        <w:rPr>
          <w:sz w:val="20"/>
        </w:rPr>
        <w:t>should</w:t>
      </w:r>
      <w:r w:rsidRPr="007A1F1C">
        <w:rPr>
          <w:sz w:val="20"/>
        </w:rPr>
        <w:t xml:space="preserve"> </w:t>
      </w:r>
      <w:r>
        <w:rPr>
          <w:sz w:val="20"/>
        </w:rPr>
        <w:t xml:space="preserve">also </w:t>
      </w:r>
      <w:r w:rsidRPr="007A1F1C">
        <w:rPr>
          <w:sz w:val="20"/>
        </w:rPr>
        <w:t xml:space="preserve">be recognised that the development of </w:t>
      </w:r>
      <w:r>
        <w:rPr>
          <w:sz w:val="20"/>
        </w:rPr>
        <w:t>the Guidance Note</w:t>
      </w:r>
      <w:r w:rsidRPr="007A1F1C">
        <w:rPr>
          <w:sz w:val="20"/>
        </w:rPr>
        <w:t xml:space="preserve"> is just the first step in </w:t>
      </w:r>
      <w:r>
        <w:rPr>
          <w:sz w:val="20"/>
        </w:rPr>
        <w:t>operational safety</w:t>
      </w:r>
      <w:r w:rsidRPr="00AA7DB2">
        <w:rPr>
          <w:sz w:val="20"/>
        </w:rPr>
        <w:t xml:space="preserve">. In order to achieve more effective safety assurance, designers, ship owners and operators will need to look beyond recommended </w:t>
      </w:r>
      <w:r>
        <w:rPr>
          <w:sz w:val="20"/>
        </w:rPr>
        <w:t>arrangements and dimensions</w:t>
      </w:r>
      <w:r w:rsidRPr="00AA7DB2">
        <w:rPr>
          <w:sz w:val="20"/>
        </w:rPr>
        <w:t xml:space="preserve"> and adopt a goal-setting methodology to take account of hazards that are not adequately addressed through prescription </w:t>
      </w:r>
      <w:r>
        <w:rPr>
          <w:sz w:val="20"/>
        </w:rPr>
        <w:t>[12].</w:t>
      </w:r>
      <w:r w:rsidRPr="007A1F1C">
        <w:rPr>
          <w:sz w:val="20"/>
        </w:rPr>
        <w:t xml:space="preserve"> This </w:t>
      </w:r>
      <w:r w:rsidRPr="00962E6F">
        <w:rPr>
          <w:sz w:val="20"/>
        </w:rPr>
        <w:t xml:space="preserve">becomes increasingly important as new technologies emerge, and </w:t>
      </w:r>
      <w:r>
        <w:rPr>
          <w:sz w:val="20"/>
        </w:rPr>
        <w:t>designers</w:t>
      </w:r>
      <w:r w:rsidRPr="00962E6F">
        <w:rPr>
          <w:sz w:val="20"/>
        </w:rPr>
        <w:t xml:space="preserve"> need to request derogations from Class.</w:t>
      </w:r>
      <w:r>
        <w:rPr>
          <w:sz w:val="20"/>
        </w:rPr>
        <w:t xml:space="preserve"> In cases of derogation, </w:t>
      </w:r>
      <w:r w:rsidRPr="000D4668">
        <w:rPr>
          <w:sz w:val="20"/>
        </w:rPr>
        <w:t xml:space="preserve">the designer is be required to </w:t>
      </w:r>
      <w:r w:rsidRPr="000129EA">
        <w:rPr>
          <w:color w:val="000000"/>
          <w:sz w:val="20"/>
        </w:rPr>
        <w:t>present an evidence base to show that access and egress arrangements are safe. Lloyd’s Register’s development of procedural guidance on human-centred design (HCD) [17] [29] [30], is a</w:t>
      </w:r>
      <w:r w:rsidRPr="000D4668">
        <w:rPr>
          <w:sz w:val="20"/>
        </w:rPr>
        <w:t xml:space="preserve"> good example of how </w:t>
      </w:r>
      <w:r>
        <w:rPr>
          <w:sz w:val="20"/>
        </w:rPr>
        <w:t>guidance</w:t>
      </w:r>
      <w:r w:rsidRPr="000D4668">
        <w:rPr>
          <w:sz w:val="20"/>
        </w:rPr>
        <w:t xml:space="preserve"> </w:t>
      </w:r>
      <w:r>
        <w:rPr>
          <w:sz w:val="20"/>
        </w:rPr>
        <w:t>may be applied to novel designs to facilitate the</w:t>
      </w:r>
      <w:r w:rsidRPr="0016323F">
        <w:rPr>
          <w:sz w:val="20"/>
        </w:rPr>
        <w:t xml:space="preserve"> integration of human factors for improved safety</w:t>
      </w:r>
      <w:r>
        <w:rPr>
          <w:sz w:val="20"/>
        </w:rPr>
        <w:t>.</w:t>
      </w:r>
    </w:p>
    <w:p w14:paraId="61EB74E0" w14:textId="77777777" w:rsidR="00581EC0" w:rsidRDefault="00581EC0" w:rsidP="00581EC0">
      <w:pPr>
        <w:jc w:val="both"/>
        <w:rPr>
          <w:sz w:val="20"/>
        </w:rPr>
      </w:pPr>
    </w:p>
    <w:p w14:paraId="20EF92E3" w14:textId="77777777" w:rsidR="00581EC0" w:rsidRDefault="00581EC0" w:rsidP="00581EC0">
      <w:pPr>
        <w:jc w:val="both"/>
        <w:rPr>
          <w:sz w:val="20"/>
        </w:rPr>
      </w:pPr>
      <w:r>
        <w:rPr>
          <w:sz w:val="20"/>
        </w:rPr>
        <w:t>Additionally, t</w:t>
      </w:r>
      <w:r w:rsidRPr="00CD6569">
        <w:rPr>
          <w:sz w:val="20"/>
        </w:rPr>
        <w:t>he</w:t>
      </w:r>
      <w:r>
        <w:rPr>
          <w:sz w:val="20"/>
        </w:rPr>
        <w:t xml:space="preserve"> Guidance Note and associated N</w:t>
      </w:r>
      <w:r w:rsidRPr="00CD6569">
        <w:rPr>
          <w:sz w:val="20"/>
        </w:rPr>
        <w:t>otation only goes one step towards a complete consideration of enhanced ergonomic design for improved safety. There is</w:t>
      </w:r>
      <w:r>
        <w:rPr>
          <w:sz w:val="20"/>
        </w:rPr>
        <w:t xml:space="preserve"> </w:t>
      </w:r>
      <w:r w:rsidRPr="00CD6569">
        <w:rPr>
          <w:sz w:val="20"/>
        </w:rPr>
        <w:t xml:space="preserve">a case to be made for </w:t>
      </w:r>
      <w:r>
        <w:rPr>
          <w:sz w:val="20"/>
        </w:rPr>
        <w:t>a broader</w:t>
      </w:r>
      <w:r w:rsidRPr="00CD6569">
        <w:rPr>
          <w:sz w:val="20"/>
        </w:rPr>
        <w:t xml:space="preserve"> notation to cover the full range of ambient environmental considerations covered by IACS Rec</w:t>
      </w:r>
      <w:r>
        <w:rPr>
          <w:sz w:val="20"/>
        </w:rPr>
        <w:t>ommendation No</w:t>
      </w:r>
      <w:r w:rsidRPr="00CD6569">
        <w:rPr>
          <w:sz w:val="20"/>
        </w:rPr>
        <w:t>. 132 including lighting, noise, ventilation and vibration.</w:t>
      </w:r>
      <w:r>
        <w:rPr>
          <w:sz w:val="20"/>
        </w:rPr>
        <w:t xml:space="preserve"> However, the successful application of the </w:t>
      </w:r>
      <w:r w:rsidRPr="00015511">
        <w:rPr>
          <w:sz w:val="20"/>
        </w:rPr>
        <w:t>Guidance Note for Ergonomic Safe Access and Egress</w:t>
      </w:r>
      <w:r>
        <w:rPr>
          <w:sz w:val="20"/>
        </w:rPr>
        <w:t xml:space="preserve"> is a first step to secure wider industry interest. </w:t>
      </w:r>
    </w:p>
    <w:p w14:paraId="21E2DC51" w14:textId="77777777" w:rsidR="00581EC0" w:rsidRDefault="00581EC0" w:rsidP="00581EC0">
      <w:pPr>
        <w:jc w:val="both"/>
        <w:rPr>
          <w:sz w:val="20"/>
        </w:rPr>
      </w:pPr>
    </w:p>
    <w:p w14:paraId="172ADEB4" w14:textId="77777777" w:rsidR="00581EC0" w:rsidRDefault="00581EC0" w:rsidP="00581EC0">
      <w:pPr>
        <w:jc w:val="both"/>
        <w:rPr>
          <w:b/>
          <w:sz w:val="20"/>
        </w:rPr>
      </w:pPr>
      <w:r>
        <w:rPr>
          <w:b/>
          <w:sz w:val="20"/>
        </w:rPr>
        <w:t>5.</w:t>
      </w:r>
      <w:r>
        <w:rPr>
          <w:b/>
          <w:sz w:val="20"/>
        </w:rPr>
        <w:tab/>
        <w:t>ACKNOWLEDGEMENTS</w:t>
      </w:r>
    </w:p>
    <w:p w14:paraId="62AE599C" w14:textId="77777777" w:rsidR="00581EC0" w:rsidRDefault="00581EC0" w:rsidP="00581EC0">
      <w:pPr>
        <w:jc w:val="both"/>
        <w:rPr>
          <w:sz w:val="20"/>
        </w:rPr>
      </w:pPr>
    </w:p>
    <w:p w14:paraId="55B094AE" w14:textId="77777777" w:rsidR="00581EC0" w:rsidRDefault="00581EC0" w:rsidP="00581EC0">
      <w:pPr>
        <w:jc w:val="both"/>
        <w:rPr>
          <w:sz w:val="20"/>
        </w:rPr>
      </w:pPr>
      <w:r>
        <w:rPr>
          <w:sz w:val="20"/>
        </w:rPr>
        <w:t>The authors would like to thank the LR Rules Human Factors Panel for their support and feedback throughout the Rules development process. Additionally, Dhwani Oakley would like to thank LR Marine and Offshore for the opportunity to undertake this work.</w:t>
      </w:r>
    </w:p>
    <w:p w14:paraId="7244BD56" w14:textId="77777777" w:rsidR="00581EC0" w:rsidRDefault="00581EC0" w:rsidP="00581EC0">
      <w:pPr>
        <w:jc w:val="both"/>
        <w:rPr>
          <w:sz w:val="20"/>
        </w:rPr>
      </w:pPr>
    </w:p>
    <w:p w14:paraId="52207C2F" w14:textId="77777777" w:rsidR="00581EC0" w:rsidRPr="00015511" w:rsidRDefault="00581EC0" w:rsidP="00581EC0">
      <w:pPr>
        <w:jc w:val="both"/>
        <w:rPr>
          <w:sz w:val="20"/>
        </w:rPr>
      </w:pPr>
      <w:r>
        <w:rPr>
          <w:sz w:val="20"/>
        </w:rPr>
        <w:t>The views expressed are those of the authors alone and do not necessarily represent the policy of University of Southampton or Lloyd’s Register.</w:t>
      </w:r>
    </w:p>
    <w:p w14:paraId="4348FF4D" w14:textId="77777777" w:rsidR="00581EC0" w:rsidRDefault="00581EC0" w:rsidP="00581EC0">
      <w:pPr>
        <w:jc w:val="both"/>
        <w:rPr>
          <w:sz w:val="20"/>
        </w:rPr>
      </w:pPr>
    </w:p>
    <w:p w14:paraId="6276F9D9" w14:textId="77777777" w:rsidR="00581EC0" w:rsidRDefault="00581EC0" w:rsidP="00581EC0">
      <w:pPr>
        <w:jc w:val="both"/>
        <w:rPr>
          <w:b/>
          <w:sz w:val="20"/>
        </w:rPr>
      </w:pPr>
      <w:r>
        <w:rPr>
          <w:b/>
          <w:sz w:val="20"/>
        </w:rPr>
        <w:t>6.</w:t>
      </w:r>
      <w:r>
        <w:rPr>
          <w:b/>
          <w:sz w:val="20"/>
        </w:rPr>
        <w:tab/>
        <w:t>REFERENCES</w:t>
      </w:r>
    </w:p>
    <w:p w14:paraId="095BE19D" w14:textId="77777777" w:rsidR="00581EC0" w:rsidRDefault="00581EC0" w:rsidP="00581EC0">
      <w:pPr>
        <w:jc w:val="both"/>
        <w:rPr>
          <w:b/>
          <w:sz w:val="20"/>
        </w:rPr>
      </w:pPr>
    </w:p>
    <w:p w14:paraId="24EAE71B" w14:textId="77777777" w:rsidR="00581EC0" w:rsidRPr="00C60800" w:rsidRDefault="00581EC0" w:rsidP="00553DD3">
      <w:pPr>
        <w:numPr>
          <w:ilvl w:val="0"/>
          <w:numId w:val="3"/>
        </w:numPr>
        <w:ind w:left="709" w:hanging="709"/>
        <w:jc w:val="both"/>
        <w:rPr>
          <w:sz w:val="20"/>
        </w:rPr>
      </w:pPr>
      <w:r w:rsidRPr="008F7748">
        <w:rPr>
          <w:sz w:val="20"/>
        </w:rPr>
        <w:t xml:space="preserve">EUROPEAN MARITIME SAFETY AGENCY, ‘Annual Overview of Marine Casualties and Incidents 2018’, </w:t>
      </w:r>
      <w:r w:rsidRPr="00C60800">
        <w:rPr>
          <w:i/>
          <w:iCs/>
          <w:sz w:val="20"/>
        </w:rPr>
        <w:t>EMSA</w:t>
      </w:r>
      <w:r w:rsidRPr="008F7748">
        <w:rPr>
          <w:sz w:val="20"/>
        </w:rPr>
        <w:t>,</w:t>
      </w:r>
      <w:r w:rsidRPr="001F186A">
        <w:rPr>
          <w:sz w:val="20"/>
        </w:rPr>
        <w:t xml:space="preserve"> </w:t>
      </w:r>
      <w:r w:rsidRPr="008F7748">
        <w:rPr>
          <w:sz w:val="20"/>
        </w:rPr>
        <w:t>2018</w:t>
      </w:r>
      <w:r>
        <w:rPr>
          <w:sz w:val="20"/>
        </w:rPr>
        <w:t>.</w:t>
      </w:r>
    </w:p>
    <w:p w14:paraId="62B0AA95" w14:textId="77777777" w:rsidR="00581EC0" w:rsidRDefault="00581EC0" w:rsidP="00581EC0">
      <w:pPr>
        <w:ind w:left="709"/>
        <w:jc w:val="both"/>
        <w:rPr>
          <w:sz w:val="20"/>
        </w:rPr>
      </w:pPr>
    </w:p>
    <w:p w14:paraId="2E8D03AD" w14:textId="77777777" w:rsidR="00581EC0" w:rsidRDefault="00581EC0" w:rsidP="00553DD3">
      <w:pPr>
        <w:numPr>
          <w:ilvl w:val="0"/>
          <w:numId w:val="3"/>
        </w:numPr>
        <w:ind w:left="709" w:hanging="709"/>
        <w:jc w:val="both"/>
        <w:rPr>
          <w:sz w:val="20"/>
        </w:rPr>
      </w:pPr>
      <w:r w:rsidRPr="00015511">
        <w:rPr>
          <w:sz w:val="20"/>
        </w:rPr>
        <w:t xml:space="preserve">WALKER, O., ‘The Human Element Competency Required for Design Appraisal’, </w:t>
      </w:r>
      <w:r w:rsidRPr="00C60800">
        <w:rPr>
          <w:i/>
          <w:iCs/>
          <w:sz w:val="20"/>
        </w:rPr>
        <w:t>Human Factors in Ship Design and Operation, RINA</w:t>
      </w:r>
      <w:r w:rsidRPr="00015511">
        <w:rPr>
          <w:sz w:val="20"/>
        </w:rPr>
        <w:t>, 2011.</w:t>
      </w:r>
    </w:p>
    <w:p w14:paraId="72D2CCC0" w14:textId="77777777" w:rsidR="00581EC0" w:rsidRDefault="00581EC0" w:rsidP="00581EC0">
      <w:pPr>
        <w:ind w:left="709"/>
        <w:jc w:val="both"/>
        <w:rPr>
          <w:sz w:val="20"/>
        </w:rPr>
      </w:pPr>
    </w:p>
    <w:p w14:paraId="1C05D7D7" w14:textId="77777777" w:rsidR="00581EC0" w:rsidRDefault="00581EC0" w:rsidP="00553DD3">
      <w:pPr>
        <w:numPr>
          <w:ilvl w:val="0"/>
          <w:numId w:val="3"/>
        </w:numPr>
        <w:ind w:left="709" w:hanging="709"/>
        <w:jc w:val="both"/>
        <w:rPr>
          <w:sz w:val="20"/>
        </w:rPr>
      </w:pPr>
      <w:r>
        <w:rPr>
          <w:sz w:val="20"/>
        </w:rPr>
        <w:t xml:space="preserve">UK </w:t>
      </w:r>
      <w:r w:rsidRPr="00015511">
        <w:rPr>
          <w:sz w:val="20"/>
        </w:rPr>
        <w:t>P&amp;I CLU</w:t>
      </w:r>
      <w:r>
        <w:rPr>
          <w:sz w:val="20"/>
        </w:rPr>
        <w:t xml:space="preserve">B, ‘Risk Focus: Slips, Trips and Falls’, </w:t>
      </w:r>
      <w:r w:rsidRPr="00C60800">
        <w:rPr>
          <w:i/>
          <w:iCs/>
          <w:sz w:val="20"/>
        </w:rPr>
        <w:t>UK P&amp;I Club</w:t>
      </w:r>
      <w:r>
        <w:rPr>
          <w:sz w:val="20"/>
        </w:rPr>
        <w:t>, 2012.</w:t>
      </w:r>
    </w:p>
    <w:p w14:paraId="273610C6" w14:textId="77777777" w:rsidR="00581EC0" w:rsidRPr="001E0C82" w:rsidRDefault="00581EC0" w:rsidP="00581EC0">
      <w:pPr>
        <w:ind w:left="709"/>
        <w:jc w:val="both"/>
        <w:rPr>
          <w:sz w:val="20"/>
        </w:rPr>
      </w:pPr>
    </w:p>
    <w:p w14:paraId="602E4236" w14:textId="77777777" w:rsidR="00581EC0" w:rsidRPr="00015511" w:rsidRDefault="00581EC0" w:rsidP="00553DD3">
      <w:pPr>
        <w:numPr>
          <w:ilvl w:val="0"/>
          <w:numId w:val="3"/>
        </w:numPr>
        <w:ind w:left="709" w:hanging="709"/>
        <w:jc w:val="both"/>
        <w:rPr>
          <w:sz w:val="20"/>
        </w:rPr>
      </w:pPr>
      <w:r w:rsidRPr="0044665B">
        <w:rPr>
          <w:sz w:val="20"/>
        </w:rPr>
        <w:t>THE AMERICAN CLUB, AMERICAN BUREAU OF SHIPPING, and LAMAR UNIVERISTY, ‘Maritime Slip, Trips, Falls and Lifting Injuries’,</w:t>
      </w:r>
      <w:r>
        <w:rPr>
          <w:sz w:val="20"/>
        </w:rPr>
        <w:t xml:space="preserve"> </w:t>
      </w:r>
      <w:r w:rsidRPr="00C60800">
        <w:rPr>
          <w:i/>
          <w:iCs/>
          <w:sz w:val="20"/>
        </w:rPr>
        <w:t>ABS Lamar University Mariner Safety Research Initiative Safety-Related Database, The American Club</w:t>
      </w:r>
      <w:r w:rsidRPr="00C60800">
        <w:rPr>
          <w:sz w:val="20"/>
        </w:rPr>
        <w:t xml:space="preserve">, </w:t>
      </w:r>
      <w:r>
        <w:rPr>
          <w:sz w:val="20"/>
        </w:rPr>
        <w:t>2018.</w:t>
      </w:r>
    </w:p>
    <w:p w14:paraId="69AEF9FD" w14:textId="77777777" w:rsidR="00581EC0" w:rsidRPr="00015511" w:rsidRDefault="00581EC0" w:rsidP="00581EC0">
      <w:pPr>
        <w:ind w:left="709"/>
        <w:jc w:val="both"/>
        <w:rPr>
          <w:sz w:val="20"/>
        </w:rPr>
      </w:pPr>
    </w:p>
    <w:p w14:paraId="78B96015" w14:textId="77777777" w:rsidR="00581EC0" w:rsidRPr="000129EA" w:rsidRDefault="00581EC0" w:rsidP="00553DD3">
      <w:pPr>
        <w:numPr>
          <w:ilvl w:val="0"/>
          <w:numId w:val="3"/>
        </w:numPr>
        <w:ind w:left="709" w:hanging="709"/>
        <w:jc w:val="both"/>
        <w:rPr>
          <w:color w:val="000000"/>
          <w:sz w:val="20"/>
          <w:lang w:eastAsia="en-US"/>
        </w:rPr>
      </w:pPr>
      <w:r w:rsidRPr="000129EA">
        <w:rPr>
          <w:color w:val="000000"/>
          <w:sz w:val="20"/>
        </w:rPr>
        <w:t xml:space="preserve">SHERWOOD JONES, B., ‘Designing Out Slips, Trips, and Falls is Not New, Difficult or Expensive’, </w:t>
      </w:r>
      <w:r w:rsidRPr="00036A80">
        <w:rPr>
          <w:i/>
          <w:iCs/>
          <w:color w:val="000000"/>
          <w:sz w:val="20"/>
        </w:rPr>
        <w:t>Issue 17 Accidents</w:t>
      </w:r>
      <w:r>
        <w:rPr>
          <w:color w:val="000000"/>
          <w:sz w:val="20"/>
        </w:rPr>
        <w:t xml:space="preserve">, </w:t>
      </w:r>
      <w:r w:rsidRPr="000129EA">
        <w:rPr>
          <w:i/>
          <w:iCs/>
          <w:color w:val="000000"/>
          <w:sz w:val="20"/>
        </w:rPr>
        <w:t xml:space="preserve">Alert! – The International Maritime Human Element Bulletin, The Nautical Institute, </w:t>
      </w:r>
      <w:r w:rsidRPr="000129EA">
        <w:rPr>
          <w:color w:val="000000"/>
          <w:sz w:val="20"/>
        </w:rPr>
        <w:t xml:space="preserve">2008. Available at </w:t>
      </w:r>
      <w:hyperlink r:id="rId16" w:history="1">
        <w:r w:rsidRPr="000129EA">
          <w:rPr>
            <w:color w:val="4472C4"/>
            <w:sz w:val="20"/>
            <w:u w:val="single"/>
          </w:rPr>
          <w:t>https://www.he-alert.org/index.cfm/bulletin/A</w:t>
        </w:r>
        <w:r w:rsidRPr="000129EA">
          <w:rPr>
            <w:color w:val="4472C4"/>
            <w:sz w:val="20"/>
            <w:u w:val="single"/>
          </w:rPr>
          <w:t>c</w:t>
        </w:r>
        <w:r w:rsidRPr="000129EA">
          <w:rPr>
            <w:color w:val="4472C4"/>
            <w:sz w:val="20"/>
            <w:u w:val="single"/>
          </w:rPr>
          <w:t>cidents</w:t>
        </w:r>
      </w:hyperlink>
      <w:r w:rsidRPr="000129EA">
        <w:rPr>
          <w:color w:val="000000"/>
          <w:sz w:val="20"/>
        </w:rPr>
        <w:t xml:space="preserve"> [Accessed 10 January 2020].</w:t>
      </w:r>
    </w:p>
    <w:p w14:paraId="7AA80B86" w14:textId="77777777" w:rsidR="00581EC0" w:rsidRPr="00307FE0" w:rsidRDefault="00581EC0" w:rsidP="00581EC0">
      <w:pPr>
        <w:ind w:left="709"/>
        <w:jc w:val="both"/>
        <w:rPr>
          <w:color w:val="FF0000"/>
          <w:sz w:val="20"/>
        </w:rPr>
      </w:pPr>
    </w:p>
    <w:p w14:paraId="1BCF044D" w14:textId="77777777" w:rsidR="00581EC0" w:rsidRPr="000129EA" w:rsidRDefault="00581EC0" w:rsidP="00553DD3">
      <w:pPr>
        <w:numPr>
          <w:ilvl w:val="0"/>
          <w:numId w:val="3"/>
        </w:numPr>
        <w:ind w:left="709" w:hanging="709"/>
        <w:jc w:val="both"/>
        <w:rPr>
          <w:color w:val="000000"/>
          <w:sz w:val="20"/>
        </w:rPr>
      </w:pPr>
      <w:r w:rsidRPr="000129EA">
        <w:rPr>
          <w:color w:val="000000"/>
          <w:sz w:val="20"/>
        </w:rPr>
        <w:t xml:space="preserve">NAUTICAL INSTITUTE, ‘Mitigating Slip, Trip and Fall Hazards’, </w:t>
      </w:r>
      <w:r w:rsidRPr="00036A80">
        <w:rPr>
          <w:i/>
          <w:iCs/>
          <w:color w:val="000000"/>
          <w:sz w:val="20"/>
        </w:rPr>
        <w:t>Centre Spread 17</w:t>
      </w:r>
      <w:r>
        <w:rPr>
          <w:color w:val="000000"/>
          <w:sz w:val="20"/>
        </w:rPr>
        <w:t xml:space="preserve">, </w:t>
      </w:r>
      <w:r w:rsidRPr="000129EA">
        <w:rPr>
          <w:i/>
          <w:iCs/>
          <w:color w:val="000000"/>
          <w:sz w:val="20"/>
        </w:rPr>
        <w:t>Alert! – The International Maritime Human Element Bulletin, The Nautical Institute,</w:t>
      </w:r>
      <w:r w:rsidRPr="000129EA">
        <w:rPr>
          <w:color w:val="000000"/>
          <w:sz w:val="20"/>
        </w:rPr>
        <w:t xml:space="preserve"> 2008. Available at </w:t>
      </w:r>
      <w:hyperlink r:id="rId17" w:history="1">
        <w:r w:rsidRPr="000129EA">
          <w:rPr>
            <w:color w:val="4472C4"/>
            <w:sz w:val="20"/>
            <w:u w:val="single"/>
          </w:rPr>
          <w:t>htt</w:t>
        </w:r>
        <w:r w:rsidRPr="000129EA">
          <w:rPr>
            <w:color w:val="4472C4"/>
            <w:sz w:val="20"/>
            <w:u w:val="single"/>
          </w:rPr>
          <w:t>p</w:t>
        </w:r>
        <w:r w:rsidRPr="000129EA">
          <w:rPr>
            <w:color w:val="4472C4"/>
            <w:sz w:val="20"/>
            <w:u w:val="single"/>
          </w:rPr>
          <w:t>s://www.he-alert.org/en/centre-spreads.cf</w:t>
        </w:r>
        <w:r w:rsidRPr="000129EA">
          <w:rPr>
            <w:color w:val="4472C4"/>
            <w:sz w:val="20"/>
            <w:u w:val="single"/>
          </w:rPr>
          <w:t>m</w:t>
        </w:r>
      </w:hyperlink>
      <w:r w:rsidRPr="000129EA">
        <w:rPr>
          <w:color w:val="000000"/>
          <w:sz w:val="20"/>
        </w:rPr>
        <w:t xml:space="preserve"> [Accessed 10 January 2020].</w:t>
      </w:r>
    </w:p>
    <w:p w14:paraId="6FE4B1BF" w14:textId="77777777" w:rsidR="00581EC0" w:rsidRPr="00307FE0" w:rsidRDefault="00581EC0" w:rsidP="00581EC0">
      <w:pPr>
        <w:ind w:left="709"/>
        <w:jc w:val="both"/>
        <w:rPr>
          <w:color w:val="FF0000"/>
          <w:sz w:val="20"/>
        </w:rPr>
      </w:pPr>
    </w:p>
    <w:p w14:paraId="3383D9EF" w14:textId="77777777" w:rsidR="00581EC0" w:rsidRPr="000129EA" w:rsidRDefault="00581EC0" w:rsidP="00553DD3">
      <w:pPr>
        <w:numPr>
          <w:ilvl w:val="0"/>
          <w:numId w:val="3"/>
        </w:numPr>
        <w:ind w:left="709" w:hanging="709"/>
        <w:jc w:val="both"/>
        <w:rPr>
          <w:color w:val="000000"/>
          <w:sz w:val="20"/>
        </w:rPr>
      </w:pPr>
      <w:r w:rsidRPr="000129EA">
        <w:rPr>
          <w:color w:val="000000"/>
          <w:sz w:val="20"/>
        </w:rPr>
        <w:t xml:space="preserve">SQUIRE, D., ‘The Human Element in Shipping’, </w:t>
      </w:r>
      <w:r w:rsidRPr="00036A80">
        <w:rPr>
          <w:i/>
          <w:iCs/>
          <w:color w:val="000000"/>
          <w:sz w:val="20"/>
        </w:rPr>
        <w:t>HE00350</w:t>
      </w:r>
      <w:r>
        <w:rPr>
          <w:color w:val="000000"/>
          <w:sz w:val="20"/>
        </w:rPr>
        <w:t xml:space="preserve">, </w:t>
      </w:r>
      <w:r w:rsidRPr="000129EA">
        <w:rPr>
          <w:i/>
          <w:iCs/>
          <w:color w:val="000000"/>
          <w:sz w:val="20"/>
        </w:rPr>
        <w:t>Alert! – The International Maritime Human Element Bulletin, The Nautical Institute,</w:t>
      </w:r>
      <w:r w:rsidRPr="000129EA">
        <w:rPr>
          <w:color w:val="000000"/>
          <w:sz w:val="20"/>
        </w:rPr>
        <w:t xml:space="preserve"> 2013. Available at </w:t>
      </w:r>
      <w:hyperlink r:id="rId18" w:history="1">
        <w:r w:rsidRPr="000129EA">
          <w:rPr>
            <w:color w:val="4472C4"/>
            <w:sz w:val="20"/>
            <w:u w:val="single"/>
          </w:rPr>
          <w:t>https://www.he-alert.org/en/articles.cfm</w:t>
        </w:r>
      </w:hyperlink>
      <w:r w:rsidRPr="000129EA">
        <w:rPr>
          <w:color w:val="000000"/>
          <w:sz w:val="20"/>
        </w:rPr>
        <w:t xml:space="preserve"> [Accessed 10 January 2020].</w:t>
      </w:r>
    </w:p>
    <w:p w14:paraId="644C6EE1" w14:textId="77777777" w:rsidR="00581EC0" w:rsidRPr="00790F52" w:rsidRDefault="00581EC0" w:rsidP="00581EC0">
      <w:pPr>
        <w:ind w:left="709"/>
        <w:jc w:val="both"/>
        <w:rPr>
          <w:sz w:val="20"/>
        </w:rPr>
      </w:pPr>
    </w:p>
    <w:p w14:paraId="63468B66" w14:textId="77777777" w:rsidR="00581EC0" w:rsidRDefault="00581EC0" w:rsidP="00553DD3">
      <w:pPr>
        <w:numPr>
          <w:ilvl w:val="0"/>
          <w:numId w:val="3"/>
        </w:numPr>
        <w:ind w:left="709" w:hanging="709"/>
        <w:jc w:val="both"/>
        <w:rPr>
          <w:sz w:val="20"/>
        </w:rPr>
      </w:pPr>
      <w:r w:rsidRPr="00790F52">
        <w:rPr>
          <w:sz w:val="20"/>
        </w:rPr>
        <w:t>WALKER, O., EARTHY, J.</w:t>
      </w:r>
      <w:r>
        <w:rPr>
          <w:sz w:val="20"/>
        </w:rPr>
        <w:t xml:space="preserve"> V.</w:t>
      </w:r>
      <w:r w:rsidRPr="00790F52">
        <w:rPr>
          <w:sz w:val="20"/>
        </w:rPr>
        <w:t xml:space="preserve">, SHERWOOD JONES, B. and TOZER, D., ‘Safety </w:t>
      </w:r>
      <w:r>
        <w:rPr>
          <w:sz w:val="20"/>
        </w:rPr>
        <w:t>O</w:t>
      </w:r>
      <w:r w:rsidRPr="00790F52">
        <w:rPr>
          <w:sz w:val="20"/>
        </w:rPr>
        <w:t xml:space="preserve">nboard </w:t>
      </w:r>
      <w:r>
        <w:rPr>
          <w:sz w:val="20"/>
        </w:rPr>
        <w:t>S</w:t>
      </w:r>
      <w:r w:rsidRPr="00790F52">
        <w:rPr>
          <w:sz w:val="20"/>
        </w:rPr>
        <w:t xml:space="preserve">hip. A </w:t>
      </w:r>
      <w:r>
        <w:rPr>
          <w:sz w:val="20"/>
        </w:rPr>
        <w:t>C</w:t>
      </w:r>
      <w:r w:rsidRPr="00790F52">
        <w:rPr>
          <w:sz w:val="20"/>
        </w:rPr>
        <w:t xml:space="preserve">ase </w:t>
      </w:r>
      <w:r>
        <w:rPr>
          <w:sz w:val="20"/>
        </w:rPr>
        <w:t>S</w:t>
      </w:r>
      <w:r w:rsidRPr="00790F52">
        <w:rPr>
          <w:sz w:val="20"/>
        </w:rPr>
        <w:t xml:space="preserve">tudy in the </w:t>
      </w:r>
      <w:r>
        <w:rPr>
          <w:sz w:val="20"/>
        </w:rPr>
        <w:t>T</w:t>
      </w:r>
      <w:r w:rsidRPr="00790F52">
        <w:rPr>
          <w:sz w:val="20"/>
        </w:rPr>
        <w:t xml:space="preserve">ransition from </w:t>
      </w:r>
      <w:r>
        <w:rPr>
          <w:sz w:val="20"/>
        </w:rPr>
        <w:t>S</w:t>
      </w:r>
      <w:r w:rsidRPr="00790F52">
        <w:rPr>
          <w:sz w:val="20"/>
        </w:rPr>
        <w:t xml:space="preserve">cience to </w:t>
      </w:r>
      <w:r>
        <w:rPr>
          <w:sz w:val="20"/>
        </w:rPr>
        <w:t>E</w:t>
      </w:r>
      <w:r w:rsidRPr="00790F52">
        <w:rPr>
          <w:sz w:val="20"/>
        </w:rPr>
        <w:t xml:space="preserve">nforcement’, </w:t>
      </w:r>
      <w:r w:rsidRPr="002D0884">
        <w:rPr>
          <w:i/>
          <w:iCs/>
          <w:sz w:val="20"/>
        </w:rPr>
        <w:t>International Conference on Human Performance at Sea</w:t>
      </w:r>
      <w:r w:rsidRPr="00790F52">
        <w:rPr>
          <w:sz w:val="20"/>
        </w:rPr>
        <w:t>, 2010.</w:t>
      </w:r>
    </w:p>
    <w:p w14:paraId="245EA3D8" w14:textId="77777777" w:rsidR="00581EC0" w:rsidRPr="00CC6D9A" w:rsidRDefault="00581EC0" w:rsidP="00581EC0">
      <w:pPr>
        <w:ind w:left="709"/>
        <w:jc w:val="both"/>
        <w:rPr>
          <w:sz w:val="20"/>
        </w:rPr>
      </w:pPr>
    </w:p>
    <w:p w14:paraId="5DC05C80" w14:textId="77777777" w:rsidR="00581EC0" w:rsidRDefault="00581EC0" w:rsidP="00553DD3">
      <w:pPr>
        <w:numPr>
          <w:ilvl w:val="0"/>
          <w:numId w:val="3"/>
        </w:numPr>
        <w:ind w:left="709" w:hanging="709"/>
        <w:jc w:val="both"/>
        <w:rPr>
          <w:sz w:val="20"/>
        </w:rPr>
      </w:pPr>
      <w:r w:rsidRPr="00CC6D9A">
        <w:rPr>
          <w:sz w:val="20"/>
        </w:rPr>
        <w:t xml:space="preserve">INTERNATIONAL MARITIME ORGANIZATION, </w:t>
      </w:r>
      <w:r>
        <w:rPr>
          <w:sz w:val="20"/>
        </w:rPr>
        <w:t>‘</w:t>
      </w:r>
      <w:r w:rsidRPr="00CC6D9A">
        <w:rPr>
          <w:sz w:val="20"/>
        </w:rPr>
        <w:t>Resolution A.947(23)</w:t>
      </w:r>
      <w:r>
        <w:rPr>
          <w:sz w:val="20"/>
        </w:rPr>
        <w:t xml:space="preserve"> </w:t>
      </w:r>
      <w:r w:rsidRPr="00CC6D9A">
        <w:rPr>
          <w:sz w:val="20"/>
        </w:rPr>
        <w:t xml:space="preserve">Human Element Vision, Principles and Goals for the Organization’, </w:t>
      </w:r>
      <w:r w:rsidRPr="002D0884">
        <w:rPr>
          <w:i/>
          <w:iCs/>
          <w:sz w:val="20"/>
        </w:rPr>
        <w:t>IMO</w:t>
      </w:r>
      <w:r w:rsidRPr="00C60800">
        <w:rPr>
          <w:sz w:val="20"/>
        </w:rPr>
        <w:t>,</w:t>
      </w:r>
      <w:r w:rsidRPr="00CC6D9A">
        <w:rPr>
          <w:sz w:val="20"/>
        </w:rPr>
        <w:t xml:space="preserve"> 2004.</w:t>
      </w:r>
    </w:p>
    <w:p w14:paraId="37A97BD5" w14:textId="77777777" w:rsidR="00581EC0" w:rsidRPr="00CC6D9A" w:rsidRDefault="00581EC0" w:rsidP="00581EC0">
      <w:pPr>
        <w:ind w:left="709"/>
        <w:jc w:val="both"/>
        <w:rPr>
          <w:sz w:val="20"/>
        </w:rPr>
      </w:pPr>
    </w:p>
    <w:p w14:paraId="7C007257" w14:textId="77777777" w:rsidR="00581EC0" w:rsidRPr="00CC6D9A" w:rsidRDefault="00581EC0" w:rsidP="00553DD3">
      <w:pPr>
        <w:numPr>
          <w:ilvl w:val="0"/>
          <w:numId w:val="3"/>
        </w:numPr>
        <w:ind w:left="709" w:hanging="709"/>
        <w:jc w:val="both"/>
        <w:rPr>
          <w:sz w:val="20"/>
        </w:rPr>
      </w:pPr>
      <w:r w:rsidRPr="00CC6D9A">
        <w:rPr>
          <w:sz w:val="20"/>
        </w:rPr>
        <w:t>INTERNATIONAL</w:t>
      </w:r>
      <w:r>
        <w:rPr>
          <w:sz w:val="20"/>
        </w:rPr>
        <w:t xml:space="preserve"> </w:t>
      </w:r>
      <w:r w:rsidRPr="00CC6D9A">
        <w:rPr>
          <w:sz w:val="20"/>
        </w:rPr>
        <w:t>MARITIME ORGANIZATION,</w:t>
      </w:r>
      <w:r>
        <w:rPr>
          <w:sz w:val="20"/>
        </w:rPr>
        <w:t xml:space="preserve"> ‘</w:t>
      </w:r>
      <w:r w:rsidRPr="00CC6D9A">
        <w:rPr>
          <w:sz w:val="20"/>
        </w:rPr>
        <w:t>MSC-MEPC.7/Circ.3</w:t>
      </w:r>
      <w:r>
        <w:rPr>
          <w:sz w:val="20"/>
        </w:rPr>
        <w:t xml:space="preserve"> </w:t>
      </w:r>
      <w:r w:rsidRPr="00CC6D9A">
        <w:rPr>
          <w:sz w:val="20"/>
        </w:rPr>
        <w:t xml:space="preserve">Framework for Consideration of Ergonomics and Work Environment’, </w:t>
      </w:r>
      <w:r w:rsidRPr="002D0884">
        <w:rPr>
          <w:i/>
          <w:iCs/>
          <w:sz w:val="20"/>
        </w:rPr>
        <w:t>IMO</w:t>
      </w:r>
      <w:r w:rsidRPr="00CC6D9A">
        <w:rPr>
          <w:sz w:val="20"/>
        </w:rPr>
        <w:t>, 2006.</w:t>
      </w:r>
    </w:p>
    <w:p w14:paraId="382F7D40" w14:textId="77777777" w:rsidR="00581EC0" w:rsidRPr="00CC6D9A" w:rsidRDefault="00581EC0" w:rsidP="00581EC0">
      <w:pPr>
        <w:ind w:left="709"/>
        <w:jc w:val="both"/>
        <w:rPr>
          <w:sz w:val="20"/>
        </w:rPr>
      </w:pPr>
    </w:p>
    <w:p w14:paraId="10E4CDA7" w14:textId="77777777" w:rsidR="00581EC0" w:rsidRDefault="00581EC0" w:rsidP="00553DD3">
      <w:pPr>
        <w:numPr>
          <w:ilvl w:val="0"/>
          <w:numId w:val="3"/>
        </w:numPr>
        <w:ind w:left="709" w:hanging="709"/>
        <w:jc w:val="both"/>
        <w:rPr>
          <w:sz w:val="20"/>
        </w:rPr>
      </w:pPr>
      <w:r>
        <w:rPr>
          <w:sz w:val="20"/>
        </w:rPr>
        <w:t>I</w:t>
      </w:r>
      <w:r w:rsidRPr="00CC6D9A">
        <w:rPr>
          <w:sz w:val="20"/>
        </w:rPr>
        <w:t xml:space="preserve">NTERNATIONAL MARITIME ORGANIZATION, </w:t>
      </w:r>
      <w:r>
        <w:rPr>
          <w:sz w:val="20"/>
        </w:rPr>
        <w:t>‘</w:t>
      </w:r>
      <w:r w:rsidRPr="00CC6D9A">
        <w:rPr>
          <w:sz w:val="20"/>
        </w:rPr>
        <w:t>MSC.</w:t>
      </w:r>
      <w:r>
        <w:rPr>
          <w:sz w:val="20"/>
        </w:rPr>
        <w:t>287</w:t>
      </w:r>
      <w:r w:rsidRPr="00CC6D9A">
        <w:rPr>
          <w:sz w:val="20"/>
        </w:rPr>
        <w:t>(87)</w:t>
      </w:r>
      <w:r>
        <w:rPr>
          <w:sz w:val="20"/>
        </w:rPr>
        <w:t xml:space="preserve"> </w:t>
      </w:r>
      <w:r w:rsidRPr="00CC6D9A">
        <w:rPr>
          <w:sz w:val="20"/>
        </w:rPr>
        <w:t xml:space="preserve">Adoption of the </w:t>
      </w:r>
      <w:r>
        <w:rPr>
          <w:sz w:val="20"/>
        </w:rPr>
        <w:t>International</w:t>
      </w:r>
      <w:r w:rsidRPr="00CC6D9A">
        <w:rPr>
          <w:sz w:val="20"/>
        </w:rPr>
        <w:t xml:space="preserve"> Goal-Based Ship Construction Standards for Bulk Carriers and Oil Tankers’, </w:t>
      </w:r>
      <w:r w:rsidRPr="002D0884">
        <w:rPr>
          <w:i/>
          <w:iCs/>
          <w:sz w:val="20"/>
        </w:rPr>
        <w:t>IMO</w:t>
      </w:r>
      <w:r w:rsidRPr="00CC6D9A">
        <w:rPr>
          <w:sz w:val="20"/>
        </w:rPr>
        <w:t>, 2010.</w:t>
      </w:r>
    </w:p>
    <w:p w14:paraId="34B24B7F" w14:textId="77777777" w:rsidR="00581EC0" w:rsidRPr="00CC6D9A" w:rsidRDefault="00581EC0" w:rsidP="00581EC0">
      <w:pPr>
        <w:ind w:left="709"/>
        <w:jc w:val="both"/>
        <w:rPr>
          <w:sz w:val="20"/>
        </w:rPr>
      </w:pPr>
    </w:p>
    <w:p w14:paraId="37071A15" w14:textId="77777777" w:rsidR="00581EC0" w:rsidRDefault="00581EC0" w:rsidP="00553DD3">
      <w:pPr>
        <w:numPr>
          <w:ilvl w:val="0"/>
          <w:numId w:val="3"/>
        </w:numPr>
        <w:ind w:left="709" w:hanging="709"/>
        <w:jc w:val="both"/>
        <w:rPr>
          <w:sz w:val="20"/>
        </w:rPr>
      </w:pPr>
      <w:r>
        <w:rPr>
          <w:sz w:val="20"/>
        </w:rPr>
        <w:t>ROYAL INSTITUTE OF NAVAL ARCHITECTS, ‘</w:t>
      </w:r>
      <w:r w:rsidRPr="006941FF">
        <w:rPr>
          <w:sz w:val="20"/>
        </w:rPr>
        <w:t>Safety Guidance for Naval Architects</w:t>
      </w:r>
      <w:r>
        <w:rPr>
          <w:sz w:val="20"/>
        </w:rPr>
        <w:t>’</w:t>
      </w:r>
      <w:r w:rsidRPr="006941FF">
        <w:rPr>
          <w:sz w:val="20"/>
        </w:rPr>
        <w:t xml:space="preserve">, </w:t>
      </w:r>
      <w:r w:rsidRPr="002D0884">
        <w:rPr>
          <w:i/>
          <w:iCs/>
          <w:sz w:val="20"/>
        </w:rPr>
        <w:t>RINA</w:t>
      </w:r>
      <w:r>
        <w:rPr>
          <w:sz w:val="20"/>
        </w:rPr>
        <w:t>, 2010.</w:t>
      </w:r>
    </w:p>
    <w:p w14:paraId="26807464" w14:textId="77777777" w:rsidR="00581EC0" w:rsidRPr="006941FF" w:rsidRDefault="00581EC0" w:rsidP="00581EC0">
      <w:pPr>
        <w:ind w:left="709"/>
        <w:jc w:val="both"/>
        <w:rPr>
          <w:sz w:val="20"/>
        </w:rPr>
      </w:pPr>
    </w:p>
    <w:p w14:paraId="28FDF539" w14:textId="77777777" w:rsidR="00581EC0" w:rsidRPr="006941FF" w:rsidRDefault="00581EC0" w:rsidP="00553DD3">
      <w:pPr>
        <w:numPr>
          <w:ilvl w:val="0"/>
          <w:numId w:val="3"/>
        </w:numPr>
        <w:ind w:left="709" w:hanging="709"/>
        <w:jc w:val="both"/>
        <w:rPr>
          <w:sz w:val="20"/>
        </w:rPr>
      </w:pPr>
      <w:r>
        <w:rPr>
          <w:sz w:val="20"/>
        </w:rPr>
        <w:t>INTERNATIONAL ASSOCIATION OF CLASSIFICATION SOCIETIES, ‘</w:t>
      </w:r>
      <w:r w:rsidRPr="006941FF">
        <w:rPr>
          <w:sz w:val="20"/>
        </w:rPr>
        <w:t>Common Structural Rules for Bulk Carriers and Oil Tankers</w:t>
      </w:r>
      <w:r>
        <w:rPr>
          <w:sz w:val="20"/>
        </w:rPr>
        <w:t xml:space="preserve">’, </w:t>
      </w:r>
      <w:r w:rsidRPr="002D0884">
        <w:rPr>
          <w:i/>
          <w:iCs/>
          <w:sz w:val="20"/>
        </w:rPr>
        <w:t>IACS</w:t>
      </w:r>
      <w:r>
        <w:rPr>
          <w:sz w:val="20"/>
        </w:rPr>
        <w:t>, 2014.</w:t>
      </w:r>
    </w:p>
    <w:p w14:paraId="31B55DD4" w14:textId="77777777" w:rsidR="00581EC0" w:rsidRPr="00CC6D9A" w:rsidRDefault="00581EC0" w:rsidP="00581EC0">
      <w:pPr>
        <w:ind w:left="709"/>
        <w:jc w:val="both"/>
        <w:rPr>
          <w:sz w:val="20"/>
        </w:rPr>
      </w:pPr>
    </w:p>
    <w:p w14:paraId="15DD6ADB" w14:textId="77777777" w:rsidR="00581EC0" w:rsidRPr="00DF463D" w:rsidRDefault="00581EC0" w:rsidP="00553DD3">
      <w:pPr>
        <w:numPr>
          <w:ilvl w:val="0"/>
          <w:numId w:val="3"/>
        </w:numPr>
        <w:ind w:left="709" w:hanging="709"/>
        <w:jc w:val="both"/>
        <w:rPr>
          <w:sz w:val="20"/>
        </w:rPr>
      </w:pPr>
      <w:r w:rsidRPr="00DF463D">
        <w:rPr>
          <w:sz w:val="20"/>
        </w:rPr>
        <w:t xml:space="preserve">INTERNATIONAL ASSOCIATION OF CLASSIFICATION SOCIETIES, </w:t>
      </w:r>
      <w:r>
        <w:rPr>
          <w:sz w:val="20"/>
        </w:rPr>
        <w:t>‘</w:t>
      </w:r>
      <w:r w:rsidRPr="00DF463D">
        <w:rPr>
          <w:sz w:val="20"/>
        </w:rPr>
        <w:t>Recommendation No.132</w:t>
      </w:r>
      <w:r>
        <w:rPr>
          <w:sz w:val="20"/>
        </w:rPr>
        <w:t xml:space="preserve"> </w:t>
      </w:r>
      <w:r w:rsidRPr="00C53E3D">
        <w:rPr>
          <w:sz w:val="20"/>
        </w:rPr>
        <w:t xml:space="preserve">Human Element Recommendations for the Structural Design of Lighting, Ventilation, Vibration, </w:t>
      </w:r>
      <w:r w:rsidRPr="00C60800">
        <w:rPr>
          <w:sz w:val="20"/>
        </w:rPr>
        <w:t xml:space="preserve">Noise and Access and Egress </w:t>
      </w:r>
      <w:r>
        <w:rPr>
          <w:sz w:val="20"/>
        </w:rPr>
        <w:t>A</w:t>
      </w:r>
      <w:r w:rsidRPr="00C60800">
        <w:rPr>
          <w:sz w:val="20"/>
        </w:rPr>
        <w:t>rrangements’</w:t>
      </w:r>
      <w:r w:rsidRPr="00DF463D">
        <w:rPr>
          <w:sz w:val="20"/>
        </w:rPr>
        <w:t xml:space="preserve">, </w:t>
      </w:r>
      <w:r w:rsidRPr="002D0884">
        <w:rPr>
          <w:i/>
          <w:iCs/>
          <w:sz w:val="20"/>
        </w:rPr>
        <w:t>IACS</w:t>
      </w:r>
      <w:r w:rsidRPr="00DF463D">
        <w:rPr>
          <w:sz w:val="20"/>
        </w:rPr>
        <w:t>, 2013.</w:t>
      </w:r>
    </w:p>
    <w:p w14:paraId="6A59090E" w14:textId="77777777" w:rsidR="00581EC0" w:rsidRPr="008F7748" w:rsidRDefault="00581EC0" w:rsidP="00581EC0">
      <w:pPr>
        <w:ind w:left="709"/>
        <w:jc w:val="both"/>
        <w:rPr>
          <w:sz w:val="20"/>
        </w:rPr>
      </w:pPr>
    </w:p>
    <w:p w14:paraId="74BD5272" w14:textId="77777777" w:rsidR="00581EC0" w:rsidRDefault="00581EC0" w:rsidP="00553DD3">
      <w:pPr>
        <w:numPr>
          <w:ilvl w:val="0"/>
          <w:numId w:val="3"/>
        </w:numPr>
        <w:ind w:left="709" w:hanging="709"/>
        <w:jc w:val="both"/>
        <w:rPr>
          <w:sz w:val="20"/>
        </w:rPr>
      </w:pPr>
      <w:r w:rsidRPr="00CC6D9A">
        <w:rPr>
          <w:sz w:val="20"/>
        </w:rPr>
        <w:t>ANTONIO, L. and EARTHY, J.</w:t>
      </w:r>
      <w:r>
        <w:rPr>
          <w:sz w:val="20"/>
        </w:rPr>
        <w:t xml:space="preserve"> </w:t>
      </w:r>
      <w:r w:rsidRPr="00CC6D9A">
        <w:rPr>
          <w:sz w:val="20"/>
        </w:rPr>
        <w:t>V., ‘The Human Element in Class Rules’,</w:t>
      </w:r>
      <w:r>
        <w:rPr>
          <w:sz w:val="20"/>
        </w:rPr>
        <w:t xml:space="preserve"> </w:t>
      </w:r>
      <w:r w:rsidRPr="002D0884">
        <w:rPr>
          <w:i/>
          <w:iCs/>
          <w:sz w:val="20"/>
        </w:rPr>
        <w:t>Human Factors in Ship Design and Operation, RINA,</w:t>
      </w:r>
      <w:r w:rsidRPr="00CC6D9A">
        <w:rPr>
          <w:sz w:val="20"/>
        </w:rPr>
        <w:t xml:space="preserve"> 2003.</w:t>
      </w:r>
    </w:p>
    <w:p w14:paraId="1E10E2FE" w14:textId="77777777" w:rsidR="00581EC0" w:rsidRPr="000629B3" w:rsidRDefault="00581EC0" w:rsidP="00581EC0">
      <w:pPr>
        <w:ind w:left="709"/>
        <w:jc w:val="both"/>
        <w:rPr>
          <w:sz w:val="20"/>
        </w:rPr>
      </w:pPr>
    </w:p>
    <w:p w14:paraId="08E0DC41" w14:textId="77777777" w:rsidR="00581EC0" w:rsidRPr="000129EA" w:rsidRDefault="00581EC0" w:rsidP="00553DD3">
      <w:pPr>
        <w:numPr>
          <w:ilvl w:val="0"/>
          <w:numId w:val="3"/>
        </w:numPr>
        <w:ind w:left="709" w:hanging="709"/>
        <w:jc w:val="both"/>
        <w:rPr>
          <w:color w:val="000000"/>
          <w:sz w:val="20"/>
        </w:rPr>
      </w:pPr>
      <w:r w:rsidRPr="000129EA">
        <w:rPr>
          <w:color w:val="000000"/>
          <w:sz w:val="20"/>
        </w:rPr>
        <w:t xml:space="preserve">INTERNATIONAL MARITIME ORGANISATION, ‘International Code for Fire Safety Systems’, </w:t>
      </w:r>
      <w:r w:rsidRPr="000129EA">
        <w:rPr>
          <w:i/>
          <w:iCs/>
          <w:color w:val="000000"/>
          <w:sz w:val="20"/>
        </w:rPr>
        <w:t>IMO</w:t>
      </w:r>
      <w:r w:rsidRPr="000129EA">
        <w:rPr>
          <w:color w:val="000000"/>
          <w:sz w:val="20"/>
        </w:rPr>
        <w:t>, 2015.</w:t>
      </w:r>
    </w:p>
    <w:p w14:paraId="356E6302" w14:textId="77777777" w:rsidR="00581EC0" w:rsidRPr="001E0C82" w:rsidRDefault="00581EC0" w:rsidP="00581EC0">
      <w:pPr>
        <w:ind w:left="709"/>
        <w:jc w:val="both"/>
        <w:rPr>
          <w:sz w:val="20"/>
        </w:rPr>
      </w:pPr>
    </w:p>
    <w:p w14:paraId="66D922CF" w14:textId="77777777" w:rsidR="00581EC0" w:rsidRPr="001E0C82" w:rsidRDefault="00581EC0" w:rsidP="00553DD3">
      <w:pPr>
        <w:numPr>
          <w:ilvl w:val="0"/>
          <w:numId w:val="3"/>
        </w:numPr>
        <w:ind w:left="709" w:hanging="709"/>
        <w:jc w:val="both"/>
        <w:rPr>
          <w:sz w:val="20"/>
        </w:rPr>
      </w:pPr>
      <w:r w:rsidRPr="008F7748">
        <w:rPr>
          <w:sz w:val="20"/>
        </w:rPr>
        <w:t xml:space="preserve">LLOYD’S REGISTER, ‘The Human-Centred Approach - A Best Practice Guide for Ship Designers’, </w:t>
      </w:r>
      <w:r w:rsidRPr="002D0884">
        <w:rPr>
          <w:i/>
          <w:iCs/>
          <w:sz w:val="20"/>
        </w:rPr>
        <w:t>Lloyd’s Register</w:t>
      </w:r>
      <w:r w:rsidRPr="008F7748">
        <w:rPr>
          <w:sz w:val="20"/>
        </w:rPr>
        <w:t>, 2014.</w:t>
      </w:r>
    </w:p>
    <w:p w14:paraId="33194C4C" w14:textId="77777777" w:rsidR="00581EC0" w:rsidRPr="000629B3" w:rsidRDefault="00581EC0" w:rsidP="00581EC0">
      <w:pPr>
        <w:ind w:left="709"/>
        <w:jc w:val="both"/>
        <w:rPr>
          <w:sz w:val="20"/>
        </w:rPr>
      </w:pPr>
    </w:p>
    <w:p w14:paraId="6C90C511" w14:textId="77777777" w:rsidR="00581EC0" w:rsidRDefault="00581EC0" w:rsidP="00553DD3">
      <w:pPr>
        <w:numPr>
          <w:ilvl w:val="0"/>
          <w:numId w:val="3"/>
        </w:numPr>
        <w:ind w:left="709" w:hanging="709"/>
        <w:jc w:val="both"/>
        <w:rPr>
          <w:sz w:val="20"/>
        </w:rPr>
      </w:pPr>
      <w:r w:rsidRPr="00DF463D">
        <w:rPr>
          <w:sz w:val="20"/>
        </w:rPr>
        <w:t xml:space="preserve">INTERNATIONAL LABOUR ORGANIZATION, ‘Maritime Labour Convention’, </w:t>
      </w:r>
      <w:r w:rsidRPr="002D0884">
        <w:rPr>
          <w:i/>
          <w:iCs/>
          <w:sz w:val="20"/>
        </w:rPr>
        <w:t>ILO</w:t>
      </w:r>
      <w:r w:rsidRPr="00DF463D">
        <w:rPr>
          <w:sz w:val="20"/>
        </w:rPr>
        <w:t>, 2006.</w:t>
      </w:r>
    </w:p>
    <w:p w14:paraId="08E505A1" w14:textId="77777777" w:rsidR="00581EC0" w:rsidRPr="00015B41" w:rsidRDefault="00581EC0" w:rsidP="00581EC0">
      <w:pPr>
        <w:ind w:left="709"/>
        <w:jc w:val="both"/>
        <w:rPr>
          <w:sz w:val="20"/>
        </w:rPr>
      </w:pPr>
    </w:p>
    <w:p w14:paraId="5515AD0E" w14:textId="77777777" w:rsidR="00581EC0" w:rsidRDefault="00581EC0" w:rsidP="00553DD3">
      <w:pPr>
        <w:numPr>
          <w:ilvl w:val="0"/>
          <w:numId w:val="3"/>
        </w:numPr>
        <w:ind w:left="709" w:hanging="709"/>
        <w:jc w:val="both"/>
        <w:rPr>
          <w:sz w:val="20"/>
        </w:rPr>
      </w:pPr>
      <w:r>
        <w:rPr>
          <w:sz w:val="20"/>
        </w:rPr>
        <w:t xml:space="preserve">INTERNATIONAL LABOUR ORGANIZATION, ‘Accident Prevention on Board Ship and in Port’, </w:t>
      </w:r>
      <w:r w:rsidRPr="002D0884">
        <w:rPr>
          <w:i/>
          <w:iCs/>
          <w:sz w:val="20"/>
        </w:rPr>
        <w:t>ILO</w:t>
      </w:r>
      <w:r>
        <w:rPr>
          <w:sz w:val="20"/>
        </w:rPr>
        <w:t>, 1996.</w:t>
      </w:r>
    </w:p>
    <w:p w14:paraId="3B9CDB70" w14:textId="77777777" w:rsidR="00581EC0" w:rsidRPr="001E0C82" w:rsidRDefault="00581EC0" w:rsidP="00581EC0">
      <w:pPr>
        <w:ind w:left="709"/>
        <w:jc w:val="both"/>
        <w:rPr>
          <w:sz w:val="20"/>
        </w:rPr>
      </w:pPr>
    </w:p>
    <w:p w14:paraId="0B9B1A01" w14:textId="77777777" w:rsidR="00581EC0" w:rsidRPr="003E0B0C" w:rsidRDefault="00581EC0" w:rsidP="00553DD3">
      <w:pPr>
        <w:numPr>
          <w:ilvl w:val="0"/>
          <w:numId w:val="3"/>
        </w:numPr>
        <w:ind w:left="709" w:hanging="709"/>
        <w:jc w:val="both"/>
        <w:rPr>
          <w:sz w:val="20"/>
          <w:lang w:eastAsia="en-US"/>
        </w:rPr>
      </w:pPr>
      <w:r w:rsidRPr="003E0B0C">
        <w:rPr>
          <w:sz w:val="20"/>
        </w:rPr>
        <w:t xml:space="preserve">NATIONAL INSTITUTE OF OCCUPATIONAL SAFTY AND HEALTH, ‘Hierarchy of Controls’, </w:t>
      </w:r>
      <w:r w:rsidRPr="003E0B0C">
        <w:rPr>
          <w:i/>
          <w:iCs/>
          <w:sz w:val="20"/>
        </w:rPr>
        <w:t>NIOSH</w:t>
      </w:r>
      <w:r w:rsidRPr="003E0B0C">
        <w:rPr>
          <w:sz w:val="20"/>
        </w:rPr>
        <w:t xml:space="preserve">, 2015. Available at </w:t>
      </w:r>
      <w:r w:rsidRPr="000129EA">
        <w:rPr>
          <w:color w:val="4472C4"/>
          <w:sz w:val="20"/>
          <w:u w:val="single"/>
        </w:rPr>
        <w:fldChar w:fldCharType="begin"/>
      </w:r>
      <w:r w:rsidRPr="000129EA">
        <w:rPr>
          <w:color w:val="4472C4"/>
          <w:sz w:val="20"/>
          <w:u w:val="single"/>
        </w:rPr>
        <w:instrText xml:space="preserve"> HYPERLINK "https://www.cdc.gov/niosh/topics/hierarchy/default.html" </w:instrText>
      </w:r>
      <w:r w:rsidRPr="000129EA">
        <w:rPr>
          <w:color w:val="4472C4"/>
          <w:sz w:val="20"/>
          <w:u w:val="single"/>
        </w:rPr>
        <w:fldChar w:fldCharType="separate"/>
      </w:r>
      <w:r w:rsidRPr="000129EA">
        <w:rPr>
          <w:color w:val="4472C4"/>
          <w:sz w:val="20"/>
          <w:u w:val="single"/>
        </w:rPr>
        <w:t>https://www.cdc.go</w:t>
      </w:r>
      <w:r w:rsidRPr="000129EA">
        <w:rPr>
          <w:color w:val="4472C4"/>
          <w:sz w:val="20"/>
          <w:u w:val="single"/>
        </w:rPr>
        <w:t>v</w:t>
      </w:r>
      <w:r w:rsidRPr="000129EA">
        <w:rPr>
          <w:color w:val="4472C4"/>
          <w:sz w:val="20"/>
          <w:u w:val="single"/>
        </w:rPr>
        <w:t>/niosh/topics/hierarchy/default.html</w:t>
      </w:r>
      <w:r w:rsidRPr="000129EA">
        <w:rPr>
          <w:color w:val="4472C4"/>
          <w:sz w:val="20"/>
          <w:u w:val="single"/>
        </w:rPr>
        <w:fldChar w:fldCharType="end"/>
      </w:r>
      <w:r>
        <w:rPr>
          <w:sz w:val="20"/>
        </w:rPr>
        <w:t xml:space="preserve"> [Accessed 10 January 2020].</w:t>
      </w:r>
    </w:p>
    <w:p w14:paraId="58414252" w14:textId="77777777" w:rsidR="00581EC0" w:rsidRPr="001E0C82" w:rsidRDefault="00581EC0" w:rsidP="00581EC0">
      <w:pPr>
        <w:jc w:val="both"/>
        <w:rPr>
          <w:sz w:val="20"/>
        </w:rPr>
      </w:pPr>
    </w:p>
    <w:p w14:paraId="5A9A3933" w14:textId="77777777" w:rsidR="00581EC0" w:rsidRDefault="00581EC0" w:rsidP="00553DD3">
      <w:pPr>
        <w:numPr>
          <w:ilvl w:val="0"/>
          <w:numId w:val="3"/>
        </w:numPr>
        <w:ind w:left="709" w:hanging="709"/>
        <w:jc w:val="both"/>
        <w:rPr>
          <w:sz w:val="20"/>
        </w:rPr>
      </w:pPr>
      <w:r>
        <w:rPr>
          <w:sz w:val="20"/>
        </w:rPr>
        <w:t xml:space="preserve">SALTZER, J. H., and KAASHOEK M. F., ‘Principles of Computer Design – An Introduction’ </w:t>
      </w:r>
      <w:r w:rsidRPr="002D0884">
        <w:rPr>
          <w:i/>
          <w:iCs/>
          <w:sz w:val="20"/>
        </w:rPr>
        <w:t>Massachusetts Institute of Technology</w:t>
      </w:r>
      <w:r w:rsidRPr="002D0884">
        <w:rPr>
          <w:sz w:val="20"/>
        </w:rPr>
        <w:t xml:space="preserve">, </w:t>
      </w:r>
      <w:r>
        <w:rPr>
          <w:sz w:val="20"/>
        </w:rPr>
        <w:t>2009.</w:t>
      </w:r>
    </w:p>
    <w:p w14:paraId="69914B91" w14:textId="77777777" w:rsidR="00581EC0" w:rsidRPr="00C53E3D" w:rsidRDefault="00581EC0" w:rsidP="00581EC0">
      <w:pPr>
        <w:ind w:left="709"/>
        <w:jc w:val="both"/>
        <w:rPr>
          <w:sz w:val="20"/>
        </w:rPr>
      </w:pPr>
    </w:p>
    <w:p w14:paraId="060CE50D" w14:textId="77777777" w:rsidR="00581EC0" w:rsidRPr="000129EA" w:rsidRDefault="00581EC0" w:rsidP="00553DD3">
      <w:pPr>
        <w:numPr>
          <w:ilvl w:val="0"/>
          <w:numId w:val="3"/>
        </w:numPr>
        <w:ind w:left="709" w:hanging="709"/>
        <w:jc w:val="both"/>
        <w:rPr>
          <w:color w:val="000000"/>
          <w:sz w:val="20"/>
        </w:rPr>
      </w:pPr>
      <w:r w:rsidRPr="00DF463D">
        <w:rPr>
          <w:sz w:val="20"/>
        </w:rPr>
        <w:lastRenderedPageBreak/>
        <w:t xml:space="preserve">INTERNATIONAL ASSOCIATION OF </w:t>
      </w:r>
      <w:r w:rsidRPr="000129EA">
        <w:rPr>
          <w:color w:val="000000"/>
          <w:sz w:val="20"/>
        </w:rPr>
        <w:t xml:space="preserve">CLASSIFICATION SOCIETIES, ‘Recommendation No. 72 Confined Space Safe Practice’, </w:t>
      </w:r>
      <w:r w:rsidRPr="000129EA">
        <w:rPr>
          <w:i/>
          <w:iCs/>
          <w:color w:val="000000"/>
          <w:sz w:val="20"/>
        </w:rPr>
        <w:t>IACS</w:t>
      </w:r>
      <w:r w:rsidRPr="000129EA">
        <w:rPr>
          <w:color w:val="000000"/>
          <w:sz w:val="20"/>
        </w:rPr>
        <w:t>, 2013.</w:t>
      </w:r>
    </w:p>
    <w:p w14:paraId="37BBE25D" w14:textId="77777777" w:rsidR="00581EC0" w:rsidRPr="000129EA" w:rsidRDefault="00581EC0" w:rsidP="00581EC0">
      <w:pPr>
        <w:pStyle w:val="ListParagraph"/>
        <w:rPr>
          <w:color w:val="000000"/>
          <w:sz w:val="20"/>
        </w:rPr>
      </w:pPr>
    </w:p>
    <w:p w14:paraId="3DE7DDEE" w14:textId="77777777" w:rsidR="00581EC0" w:rsidRPr="000129EA" w:rsidRDefault="00581EC0" w:rsidP="00553DD3">
      <w:pPr>
        <w:numPr>
          <w:ilvl w:val="0"/>
          <w:numId w:val="3"/>
        </w:numPr>
        <w:ind w:left="709" w:hanging="709"/>
        <w:jc w:val="both"/>
        <w:rPr>
          <w:color w:val="000000"/>
          <w:sz w:val="20"/>
        </w:rPr>
      </w:pPr>
      <w:r w:rsidRPr="000129EA">
        <w:rPr>
          <w:color w:val="000000"/>
          <w:sz w:val="20"/>
        </w:rPr>
        <w:t xml:space="preserve">INTERNATIONAL MARITIME ORGANISATION, ‘The International Convention on Load Lines’, </w:t>
      </w:r>
      <w:r w:rsidRPr="000129EA">
        <w:rPr>
          <w:i/>
          <w:iCs/>
          <w:color w:val="000000"/>
          <w:sz w:val="20"/>
        </w:rPr>
        <w:t>IMO</w:t>
      </w:r>
      <w:r w:rsidRPr="000129EA">
        <w:rPr>
          <w:color w:val="000000"/>
          <w:sz w:val="20"/>
        </w:rPr>
        <w:t>, 2003</w:t>
      </w:r>
    </w:p>
    <w:p w14:paraId="0339CCA1" w14:textId="77777777" w:rsidR="00581EC0" w:rsidRPr="000129EA" w:rsidRDefault="00581EC0" w:rsidP="00581EC0">
      <w:pPr>
        <w:ind w:left="709"/>
        <w:jc w:val="both"/>
        <w:rPr>
          <w:color w:val="000000"/>
          <w:sz w:val="20"/>
        </w:rPr>
      </w:pPr>
    </w:p>
    <w:p w14:paraId="5B6BF5CF" w14:textId="77777777" w:rsidR="00581EC0" w:rsidRDefault="00581EC0" w:rsidP="00553DD3">
      <w:pPr>
        <w:numPr>
          <w:ilvl w:val="0"/>
          <w:numId w:val="3"/>
        </w:numPr>
        <w:ind w:left="709" w:hanging="709"/>
        <w:jc w:val="both"/>
        <w:rPr>
          <w:sz w:val="20"/>
        </w:rPr>
      </w:pPr>
      <w:r w:rsidRPr="000129EA">
        <w:rPr>
          <w:color w:val="000000"/>
          <w:sz w:val="20"/>
        </w:rPr>
        <w:t>INTERNATIONAL ORGANIZATION FOR STANDARDIZATION, ‘ISO 3864:2011 Graphical Symbols —</w:t>
      </w:r>
      <w:r w:rsidRPr="001E0C82">
        <w:rPr>
          <w:sz w:val="20"/>
        </w:rPr>
        <w:t xml:space="preserve"> Safety </w:t>
      </w:r>
      <w:r>
        <w:rPr>
          <w:sz w:val="20"/>
        </w:rPr>
        <w:t>C</w:t>
      </w:r>
      <w:r w:rsidRPr="001E0C82">
        <w:rPr>
          <w:sz w:val="20"/>
        </w:rPr>
        <w:t xml:space="preserve">olours and </w:t>
      </w:r>
      <w:r>
        <w:rPr>
          <w:sz w:val="20"/>
        </w:rPr>
        <w:t>S</w:t>
      </w:r>
      <w:r w:rsidRPr="001E0C82">
        <w:rPr>
          <w:sz w:val="20"/>
        </w:rPr>
        <w:t xml:space="preserve">afety </w:t>
      </w:r>
      <w:r>
        <w:rPr>
          <w:sz w:val="20"/>
        </w:rPr>
        <w:t>S</w:t>
      </w:r>
      <w:r w:rsidRPr="001E0C82">
        <w:rPr>
          <w:sz w:val="20"/>
        </w:rPr>
        <w:t>igns</w:t>
      </w:r>
      <w:r>
        <w:rPr>
          <w:sz w:val="20"/>
        </w:rPr>
        <w:t xml:space="preserve">’, </w:t>
      </w:r>
      <w:r w:rsidRPr="002D0884">
        <w:rPr>
          <w:i/>
          <w:iCs/>
          <w:sz w:val="20"/>
        </w:rPr>
        <w:t>ISO</w:t>
      </w:r>
      <w:r>
        <w:rPr>
          <w:sz w:val="20"/>
        </w:rPr>
        <w:t>, 2016.</w:t>
      </w:r>
    </w:p>
    <w:p w14:paraId="57C1DE51" w14:textId="77777777" w:rsidR="00581EC0" w:rsidRDefault="00581EC0" w:rsidP="00581EC0">
      <w:pPr>
        <w:pStyle w:val="ListParagraph"/>
        <w:rPr>
          <w:sz w:val="20"/>
        </w:rPr>
      </w:pPr>
    </w:p>
    <w:p w14:paraId="437AAB48" w14:textId="77777777" w:rsidR="00581EC0" w:rsidRDefault="00581EC0" w:rsidP="00553DD3">
      <w:pPr>
        <w:numPr>
          <w:ilvl w:val="0"/>
          <w:numId w:val="3"/>
        </w:numPr>
        <w:ind w:left="709" w:hanging="709"/>
        <w:jc w:val="both"/>
        <w:rPr>
          <w:sz w:val="20"/>
        </w:rPr>
      </w:pPr>
      <w:r>
        <w:rPr>
          <w:sz w:val="20"/>
        </w:rPr>
        <w:t>INTERNATIONAL ORGANIZATION FOR STANDARDIZATION, ‘</w:t>
      </w:r>
      <w:r w:rsidRPr="00C60800">
        <w:rPr>
          <w:sz w:val="20"/>
        </w:rPr>
        <w:t xml:space="preserve">ISO </w:t>
      </w:r>
      <w:r>
        <w:rPr>
          <w:sz w:val="20"/>
        </w:rPr>
        <w:t xml:space="preserve">24409:2014 Ships and Marine Technology – Design, Location, and Use of Shipboard Safety Signs, Safety-related Signs, Safety Notices and Safety Markings’, </w:t>
      </w:r>
      <w:r w:rsidRPr="002D0884">
        <w:rPr>
          <w:i/>
          <w:iCs/>
          <w:sz w:val="20"/>
        </w:rPr>
        <w:t>ISO</w:t>
      </w:r>
      <w:r>
        <w:rPr>
          <w:sz w:val="20"/>
        </w:rPr>
        <w:t>, 2014.</w:t>
      </w:r>
    </w:p>
    <w:p w14:paraId="5409CB89" w14:textId="77777777" w:rsidR="00581EC0" w:rsidRPr="00C60800" w:rsidRDefault="00581EC0" w:rsidP="00581EC0">
      <w:pPr>
        <w:ind w:left="709"/>
        <w:jc w:val="both"/>
        <w:rPr>
          <w:sz w:val="20"/>
        </w:rPr>
      </w:pPr>
    </w:p>
    <w:p w14:paraId="16D23391" w14:textId="77777777" w:rsidR="00581EC0" w:rsidRPr="003924AB" w:rsidRDefault="00581EC0" w:rsidP="00553DD3">
      <w:pPr>
        <w:numPr>
          <w:ilvl w:val="0"/>
          <w:numId w:val="3"/>
        </w:numPr>
        <w:ind w:left="709" w:hanging="709"/>
        <w:jc w:val="both"/>
        <w:rPr>
          <w:sz w:val="20"/>
        </w:rPr>
      </w:pPr>
      <w:r>
        <w:rPr>
          <w:sz w:val="20"/>
        </w:rPr>
        <w:t>INETRNATIONAL ORGANIZATION FOR STANDARDIZATION, INTERNATIONAL ELECTROTECHNOICAL COMMISSION and INSTITUTE OF ELECTRICAL AND ELECTRONICS ENGINEERS, ‘</w:t>
      </w:r>
      <w:r w:rsidRPr="003924AB">
        <w:rPr>
          <w:sz w:val="20"/>
        </w:rPr>
        <w:t xml:space="preserve">Systems and </w:t>
      </w:r>
      <w:r>
        <w:rPr>
          <w:sz w:val="20"/>
        </w:rPr>
        <w:t>S</w:t>
      </w:r>
      <w:r w:rsidRPr="003924AB">
        <w:rPr>
          <w:sz w:val="20"/>
        </w:rPr>
        <w:t xml:space="preserve">oftware </w:t>
      </w:r>
      <w:r>
        <w:rPr>
          <w:sz w:val="20"/>
        </w:rPr>
        <w:t>E</w:t>
      </w:r>
      <w:r w:rsidRPr="003924AB">
        <w:rPr>
          <w:sz w:val="20"/>
        </w:rPr>
        <w:t xml:space="preserve">ngineering - Requirements </w:t>
      </w:r>
      <w:r>
        <w:rPr>
          <w:sz w:val="20"/>
        </w:rPr>
        <w:t>E</w:t>
      </w:r>
      <w:r w:rsidRPr="003924AB">
        <w:rPr>
          <w:sz w:val="20"/>
        </w:rPr>
        <w:t>ngineerin</w:t>
      </w:r>
      <w:r>
        <w:rPr>
          <w:sz w:val="20"/>
        </w:rPr>
        <w:t>g’,</w:t>
      </w:r>
      <w:r w:rsidRPr="003924AB">
        <w:rPr>
          <w:sz w:val="20"/>
        </w:rPr>
        <w:t xml:space="preserve"> </w:t>
      </w:r>
      <w:r w:rsidRPr="002D0884">
        <w:rPr>
          <w:i/>
          <w:iCs/>
          <w:sz w:val="20"/>
        </w:rPr>
        <w:t>ISO, IEC, IEEE</w:t>
      </w:r>
      <w:r>
        <w:rPr>
          <w:sz w:val="20"/>
        </w:rPr>
        <w:t xml:space="preserve">, </w:t>
      </w:r>
      <w:r w:rsidRPr="003924AB">
        <w:rPr>
          <w:sz w:val="20"/>
        </w:rPr>
        <w:t>2011</w:t>
      </w:r>
      <w:r>
        <w:rPr>
          <w:sz w:val="20"/>
        </w:rPr>
        <w:t>.</w:t>
      </w:r>
    </w:p>
    <w:p w14:paraId="191111A1" w14:textId="77777777" w:rsidR="00581EC0" w:rsidRPr="00C60800" w:rsidRDefault="00581EC0" w:rsidP="00581EC0">
      <w:pPr>
        <w:ind w:left="709"/>
        <w:jc w:val="both"/>
        <w:rPr>
          <w:sz w:val="20"/>
        </w:rPr>
      </w:pPr>
    </w:p>
    <w:p w14:paraId="3EDDF9B2" w14:textId="77777777" w:rsidR="00581EC0" w:rsidRPr="00C60800" w:rsidRDefault="00581EC0" w:rsidP="00553DD3">
      <w:pPr>
        <w:numPr>
          <w:ilvl w:val="0"/>
          <w:numId w:val="3"/>
        </w:numPr>
        <w:ind w:left="709" w:hanging="709"/>
        <w:jc w:val="both"/>
        <w:rPr>
          <w:sz w:val="20"/>
        </w:rPr>
      </w:pPr>
      <w:r>
        <w:rPr>
          <w:sz w:val="20"/>
        </w:rPr>
        <w:t xml:space="preserve">INTERNATIONAL ASSOCIATION OF CLASSIFICATION SOCIETIES, Recommendation No. 90 Rev. 1, ‘Ship Structure Access Manual’, </w:t>
      </w:r>
      <w:r w:rsidRPr="002D0884">
        <w:rPr>
          <w:i/>
          <w:iCs/>
          <w:sz w:val="20"/>
        </w:rPr>
        <w:t>IACS</w:t>
      </w:r>
      <w:r>
        <w:rPr>
          <w:sz w:val="20"/>
        </w:rPr>
        <w:t>, 2019.</w:t>
      </w:r>
    </w:p>
    <w:p w14:paraId="64C101F2" w14:textId="77777777" w:rsidR="00581EC0" w:rsidRPr="00C60800" w:rsidRDefault="00581EC0" w:rsidP="00581EC0">
      <w:pPr>
        <w:ind w:left="709"/>
        <w:jc w:val="both"/>
        <w:rPr>
          <w:sz w:val="20"/>
        </w:rPr>
      </w:pPr>
    </w:p>
    <w:p w14:paraId="5B748A69" w14:textId="77777777" w:rsidR="00581EC0" w:rsidRDefault="00581EC0" w:rsidP="00553DD3">
      <w:pPr>
        <w:numPr>
          <w:ilvl w:val="0"/>
          <w:numId w:val="3"/>
        </w:numPr>
        <w:ind w:left="709" w:hanging="709"/>
        <w:jc w:val="both"/>
        <w:rPr>
          <w:sz w:val="20"/>
        </w:rPr>
      </w:pPr>
      <w:r w:rsidRPr="00015511">
        <w:rPr>
          <w:sz w:val="20"/>
        </w:rPr>
        <w:t>STANTON, N. A., and YOUNG, M. A, ‘Giving Ergonomics away? The Application of Ergonomics Methods by Novices’</w:t>
      </w:r>
      <w:r>
        <w:rPr>
          <w:sz w:val="20"/>
        </w:rPr>
        <w:t>,</w:t>
      </w:r>
      <w:r w:rsidRPr="00015511">
        <w:rPr>
          <w:sz w:val="20"/>
        </w:rPr>
        <w:t xml:space="preserve"> </w:t>
      </w:r>
      <w:r w:rsidRPr="002D0884">
        <w:rPr>
          <w:i/>
          <w:iCs/>
          <w:sz w:val="20"/>
        </w:rPr>
        <w:t>Applied Ergonomics</w:t>
      </w:r>
      <w:r w:rsidRPr="00015511">
        <w:rPr>
          <w:sz w:val="20"/>
        </w:rPr>
        <w:t xml:space="preserve">, 2003. </w:t>
      </w:r>
    </w:p>
    <w:p w14:paraId="20EED4C2" w14:textId="77777777" w:rsidR="00581EC0" w:rsidRDefault="00581EC0" w:rsidP="00581EC0">
      <w:pPr>
        <w:ind w:left="709"/>
        <w:jc w:val="both"/>
        <w:rPr>
          <w:sz w:val="20"/>
        </w:rPr>
      </w:pPr>
    </w:p>
    <w:p w14:paraId="0564DE90" w14:textId="77777777" w:rsidR="00581EC0" w:rsidRPr="008F7748" w:rsidRDefault="00581EC0" w:rsidP="00553DD3">
      <w:pPr>
        <w:numPr>
          <w:ilvl w:val="0"/>
          <w:numId w:val="3"/>
        </w:numPr>
        <w:ind w:left="709" w:hanging="709"/>
        <w:jc w:val="both"/>
        <w:rPr>
          <w:sz w:val="20"/>
        </w:rPr>
      </w:pPr>
      <w:r w:rsidRPr="008F7748">
        <w:rPr>
          <w:sz w:val="20"/>
        </w:rPr>
        <w:t>LLOYD’S REGISTER, ‘The Human</w:t>
      </w:r>
      <w:r>
        <w:rPr>
          <w:sz w:val="20"/>
        </w:rPr>
        <w:t xml:space="preserve"> Element </w:t>
      </w:r>
      <w:r w:rsidRPr="008F7748">
        <w:rPr>
          <w:sz w:val="20"/>
        </w:rPr>
        <w:t>- Best Practice</w:t>
      </w:r>
      <w:r>
        <w:rPr>
          <w:sz w:val="20"/>
        </w:rPr>
        <w:t xml:space="preserve"> </w:t>
      </w:r>
      <w:r w:rsidRPr="008F7748">
        <w:rPr>
          <w:sz w:val="20"/>
        </w:rPr>
        <w:t xml:space="preserve">for Ship Operators’, </w:t>
      </w:r>
      <w:r w:rsidRPr="00C60800">
        <w:rPr>
          <w:sz w:val="20"/>
        </w:rPr>
        <w:t>Lloyd’s Register</w:t>
      </w:r>
      <w:r w:rsidRPr="008F7748">
        <w:rPr>
          <w:sz w:val="20"/>
        </w:rPr>
        <w:t>, 2007.</w:t>
      </w:r>
    </w:p>
    <w:p w14:paraId="09BAE3C0" w14:textId="77777777" w:rsidR="00581EC0" w:rsidRPr="008F7748" w:rsidRDefault="00581EC0" w:rsidP="00581EC0">
      <w:pPr>
        <w:ind w:left="709"/>
        <w:jc w:val="both"/>
        <w:rPr>
          <w:sz w:val="20"/>
        </w:rPr>
      </w:pPr>
    </w:p>
    <w:p w14:paraId="61C00162" w14:textId="77777777" w:rsidR="00581EC0" w:rsidRPr="00C60800" w:rsidRDefault="00581EC0" w:rsidP="00553DD3">
      <w:pPr>
        <w:numPr>
          <w:ilvl w:val="0"/>
          <w:numId w:val="3"/>
        </w:numPr>
        <w:ind w:left="709" w:hanging="709"/>
        <w:jc w:val="both"/>
        <w:rPr>
          <w:sz w:val="20"/>
        </w:rPr>
      </w:pPr>
      <w:r w:rsidRPr="008F7748">
        <w:rPr>
          <w:sz w:val="20"/>
        </w:rPr>
        <w:t xml:space="preserve">LLOYD’S REGISTER, ‘The Human-Centred Approach - A Best Practice Guide for Equipment Manufacturers’, </w:t>
      </w:r>
      <w:r w:rsidRPr="00C60800">
        <w:rPr>
          <w:sz w:val="20"/>
        </w:rPr>
        <w:t>Lloyd’s Register</w:t>
      </w:r>
      <w:r w:rsidRPr="008F7748">
        <w:rPr>
          <w:sz w:val="20"/>
        </w:rPr>
        <w:t>, 2014.</w:t>
      </w:r>
    </w:p>
    <w:p w14:paraId="1E01F521" w14:textId="77777777" w:rsidR="00581EC0" w:rsidRDefault="00581EC0" w:rsidP="00581EC0">
      <w:pPr>
        <w:jc w:val="both"/>
        <w:rPr>
          <w:sz w:val="20"/>
        </w:rPr>
      </w:pPr>
    </w:p>
    <w:p w14:paraId="4C25B560" w14:textId="77777777" w:rsidR="00581EC0" w:rsidRDefault="00581EC0" w:rsidP="00581EC0">
      <w:pPr>
        <w:jc w:val="both"/>
        <w:rPr>
          <w:b/>
          <w:sz w:val="20"/>
        </w:rPr>
      </w:pPr>
      <w:r>
        <w:rPr>
          <w:b/>
          <w:sz w:val="20"/>
        </w:rPr>
        <w:t>7</w:t>
      </w:r>
      <w:r w:rsidRPr="009D20BA">
        <w:rPr>
          <w:b/>
          <w:sz w:val="20"/>
        </w:rPr>
        <w:t xml:space="preserve">. </w:t>
      </w:r>
      <w:r w:rsidRPr="009D20BA">
        <w:rPr>
          <w:b/>
          <w:sz w:val="20"/>
        </w:rPr>
        <w:tab/>
        <w:t>DISCLAIMER</w:t>
      </w:r>
    </w:p>
    <w:p w14:paraId="20781E8B" w14:textId="77777777" w:rsidR="00581EC0" w:rsidRPr="00581EC0" w:rsidRDefault="00581EC0" w:rsidP="00581EC0"/>
    <w:p w14:paraId="4856E8C1" w14:textId="77777777" w:rsidR="00581EC0" w:rsidRDefault="00581EC0" w:rsidP="00581EC0">
      <w:pPr>
        <w:rPr>
          <w:sz w:val="20"/>
          <w:szCs w:val="20"/>
          <w:lang w:eastAsia="en-US"/>
        </w:rPr>
      </w:pPr>
      <w:r w:rsidRPr="00451545">
        <w:rPr>
          <w:sz w:val="20"/>
          <w:szCs w:val="20"/>
          <w:lang w:eastAsia="en-US"/>
        </w:rPr>
        <w:t>Lloyd's Register</w:t>
      </w:r>
      <w:r>
        <w:rPr>
          <w:sz w:val="20"/>
        </w:rPr>
        <w:t xml:space="preserve"> Group Limited</w:t>
      </w:r>
      <w:r w:rsidRPr="00451545">
        <w:rPr>
          <w:sz w:val="20"/>
          <w:szCs w:val="20"/>
          <w:lang w:eastAsia="en-US"/>
        </w:rPr>
        <w:t>, its affiliates and subsidiaries and their respective officers, employees or agents are, individually and collectively, referred to in this clause as the 'Lloyd's Register '. The 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w:t>
      </w:r>
      <w:bookmarkStart w:id="3" w:name="_GoBack"/>
      <w:bookmarkEnd w:id="3"/>
      <w:r w:rsidRPr="00451545">
        <w:rPr>
          <w:sz w:val="20"/>
          <w:szCs w:val="20"/>
          <w:lang w:eastAsia="en-US"/>
        </w:rPr>
        <w:t xml:space="preserve"> liability is exclusively on the terms and conditions set out in that contract. </w:t>
      </w:r>
    </w:p>
    <w:p w14:paraId="39D55EAD" w14:textId="77777777" w:rsidR="00581EC0" w:rsidRDefault="00581EC0" w:rsidP="00581EC0">
      <w:pPr>
        <w:rPr>
          <w:sz w:val="20"/>
          <w:szCs w:val="20"/>
          <w:lang w:eastAsia="en-US"/>
        </w:rPr>
      </w:pPr>
    </w:p>
    <w:p w14:paraId="499DE44B" w14:textId="67AC88B4" w:rsidR="00581EC0" w:rsidRDefault="00581EC0" w:rsidP="00581EC0">
      <w:pPr>
        <w:rPr>
          <w:rFonts w:ascii="Calibri" w:hAnsi="Calibri"/>
          <w:color w:val="000000"/>
          <w:sz w:val="22"/>
          <w:szCs w:val="22"/>
        </w:rPr>
      </w:pPr>
      <w:r>
        <w:rPr>
          <w:sz w:val="20"/>
          <w:szCs w:val="20"/>
          <w:lang w:eastAsia="en-US"/>
        </w:rPr>
        <w:t xml:space="preserve">This paper has been </w:t>
      </w:r>
      <w:r w:rsidRPr="00581EC0">
        <w:rPr>
          <w:sz w:val="20"/>
          <w:szCs w:val="20"/>
          <w:lang w:eastAsia="en-US"/>
        </w:rPr>
        <w:t xml:space="preserve">reproduced with </w:t>
      </w:r>
      <w:r w:rsidRPr="00581EC0">
        <w:rPr>
          <w:sz w:val="20"/>
          <w:szCs w:val="20"/>
          <w:lang w:eastAsia="en-US"/>
        </w:rPr>
        <w:t xml:space="preserve">expressed </w:t>
      </w:r>
      <w:r w:rsidRPr="00581EC0">
        <w:rPr>
          <w:sz w:val="20"/>
          <w:szCs w:val="20"/>
          <w:lang w:eastAsia="en-US"/>
        </w:rPr>
        <w:t>permission of Lloyd’s Register</w:t>
      </w:r>
    </w:p>
    <w:p w14:paraId="155DCC47" w14:textId="77777777" w:rsidR="00581EC0" w:rsidRDefault="00581EC0" w:rsidP="00581EC0">
      <w:pPr>
        <w:rPr>
          <w:sz w:val="20"/>
        </w:rPr>
      </w:pPr>
    </w:p>
    <w:p w14:paraId="4A728148" w14:textId="77777777" w:rsidR="00581EC0" w:rsidRPr="00451545" w:rsidRDefault="00581EC0" w:rsidP="00581EC0">
      <w:pPr>
        <w:rPr>
          <w:sz w:val="20"/>
          <w:szCs w:val="20"/>
          <w:lang w:eastAsia="en-US"/>
        </w:rPr>
      </w:pPr>
      <w:r w:rsidRPr="00451545">
        <w:rPr>
          <w:sz w:val="20"/>
          <w:szCs w:val="20"/>
          <w:lang w:eastAsia="en-US"/>
        </w:rPr>
        <w:t>©</w:t>
      </w:r>
      <w:r>
        <w:rPr>
          <w:sz w:val="20"/>
        </w:rPr>
        <w:t xml:space="preserve"> </w:t>
      </w:r>
      <w:r w:rsidRPr="00451545">
        <w:rPr>
          <w:sz w:val="20"/>
          <w:szCs w:val="20"/>
          <w:lang w:eastAsia="en-US"/>
        </w:rPr>
        <w:t>Lloyd's Register 20</w:t>
      </w:r>
      <w:r>
        <w:rPr>
          <w:sz w:val="20"/>
        </w:rPr>
        <w:t>20</w:t>
      </w:r>
      <w:r w:rsidRPr="00451545">
        <w:rPr>
          <w:sz w:val="20"/>
          <w:szCs w:val="20"/>
          <w:lang w:eastAsia="en-US"/>
        </w:rPr>
        <w:t xml:space="preserve"> </w:t>
      </w:r>
    </w:p>
    <w:p w14:paraId="25D6778E" w14:textId="77777777" w:rsidR="00581EC0" w:rsidRDefault="00581EC0" w:rsidP="00581EC0">
      <w:pPr>
        <w:jc w:val="both"/>
        <w:rPr>
          <w:sz w:val="20"/>
        </w:rPr>
      </w:pPr>
    </w:p>
    <w:p w14:paraId="2FB5589B" w14:textId="77777777" w:rsidR="00581EC0" w:rsidRPr="00A01DE8" w:rsidRDefault="00581EC0" w:rsidP="00581EC0">
      <w:pPr>
        <w:jc w:val="both"/>
        <w:rPr>
          <w:b/>
          <w:sz w:val="20"/>
        </w:rPr>
      </w:pPr>
      <w:r>
        <w:rPr>
          <w:b/>
          <w:sz w:val="20"/>
        </w:rPr>
        <w:t>8.</w:t>
      </w:r>
      <w:r>
        <w:rPr>
          <w:b/>
          <w:sz w:val="20"/>
        </w:rPr>
        <w:tab/>
        <w:t>AUTHORS BIOGRAPHY</w:t>
      </w:r>
    </w:p>
    <w:p w14:paraId="5B14F9DD" w14:textId="77777777" w:rsidR="00581EC0" w:rsidRDefault="00581EC0" w:rsidP="00581EC0">
      <w:pPr>
        <w:jc w:val="both"/>
        <w:rPr>
          <w:sz w:val="20"/>
        </w:rPr>
      </w:pPr>
    </w:p>
    <w:p w14:paraId="4EC27F08" w14:textId="77777777" w:rsidR="00581EC0" w:rsidRPr="000129EA" w:rsidRDefault="00581EC0" w:rsidP="00581EC0">
      <w:pPr>
        <w:rPr>
          <w:color w:val="000000"/>
          <w:sz w:val="20"/>
          <w:szCs w:val="20"/>
          <w:lang w:eastAsia="en-US"/>
        </w:rPr>
      </w:pPr>
      <w:r w:rsidRPr="00C046FA">
        <w:rPr>
          <w:b/>
          <w:bCs/>
          <w:sz w:val="20"/>
        </w:rPr>
        <w:t>Dhwani Oakley</w:t>
      </w:r>
      <w:r>
        <w:rPr>
          <w:sz w:val="20"/>
        </w:rPr>
        <w:t xml:space="preserve"> </w:t>
      </w:r>
      <w:r w:rsidRPr="0002762B">
        <w:rPr>
          <w:sz w:val="20"/>
        </w:rPr>
        <w:t>is a current student of Ship Science at the University of Southampton. Her previous experience includes a background in architectural design which has given her a unique perspective on user experience within naval architectural practice. The work reported in this paper is the product of a summer placement with Lloyd's Register Marine and Offshore.</w:t>
      </w:r>
      <w:r w:rsidRPr="000129EA">
        <w:rPr>
          <w:color w:val="000000"/>
          <w:sz w:val="20"/>
          <w:szCs w:val="20"/>
          <w:lang w:eastAsia="en-US"/>
        </w:rPr>
        <w:t xml:space="preserve"> </w:t>
      </w:r>
    </w:p>
    <w:p w14:paraId="16903764" w14:textId="77777777" w:rsidR="00581EC0" w:rsidRDefault="00581EC0" w:rsidP="00581EC0">
      <w:pPr>
        <w:jc w:val="both"/>
        <w:rPr>
          <w:sz w:val="20"/>
        </w:rPr>
      </w:pPr>
      <w:r>
        <w:rPr>
          <w:sz w:val="20"/>
        </w:rPr>
        <w:t xml:space="preserve"> </w:t>
      </w:r>
    </w:p>
    <w:p w14:paraId="35A9B6DE" w14:textId="77777777" w:rsidR="00581EC0" w:rsidRDefault="00581EC0" w:rsidP="00581EC0">
      <w:pPr>
        <w:jc w:val="both"/>
        <w:rPr>
          <w:sz w:val="20"/>
        </w:rPr>
      </w:pPr>
      <w:r w:rsidRPr="00C046FA">
        <w:rPr>
          <w:b/>
          <w:bCs/>
          <w:sz w:val="20"/>
        </w:rPr>
        <w:t>Jonathan Earthy</w:t>
      </w:r>
      <w:r w:rsidRPr="00C046FA">
        <w:rPr>
          <w:sz w:val="20"/>
        </w:rPr>
        <w:t xml:space="preserve"> is</w:t>
      </w:r>
      <w:r>
        <w:rPr>
          <w:sz w:val="20"/>
        </w:rPr>
        <w:t xml:space="preserve"> the</w:t>
      </w:r>
      <w:r w:rsidRPr="00C046FA">
        <w:rPr>
          <w:sz w:val="20"/>
        </w:rPr>
        <w:t xml:space="preserve"> technical authority for HF in Lloyd's Register, including the R&amp;D programme and the introduction of Ergonomics into Class.  His technical speciality is the assurance of the quality of Human Factors Integration and HCD, with special reference to advanced ICT. He has participated in standards development since the mid-1980s and is convenor of ISO TC159/SC4/WG6 HCD for interactive systems.</w:t>
      </w:r>
    </w:p>
    <w:p w14:paraId="4AD93DB0" w14:textId="77777777" w:rsidR="00581EC0" w:rsidRDefault="00581EC0" w:rsidP="00581EC0">
      <w:pPr>
        <w:jc w:val="both"/>
        <w:rPr>
          <w:sz w:val="20"/>
        </w:rPr>
      </w:pPr>
    </w:p>
    <w:p w14:paraId="0B205704" w14:textId="77777777" w:rsidR="00581EC0" w:rsidRPr="00036A80" w:rsidRDefault="00581EC0" w:rsidP="00581EC0">
      <w:pPr>
        <w:jc w:val="both"/>
        <w:rPr>
          <w:sz w:val="20"/>
        </w:rPr>
      </w:pPr>
      <w:r w:rsidRPr="00036A80">
        <w:rPr>
          <w:b/>
          <w:bCs/>
          <w:sz w:val="20"/>
        </w:rPr>
        <w:t>Andrew Gibbins</w:t>
      </w:r>
      <w:r>
        <w:rPr>
          <w:sz w:val="20"/>
        </w:rPr>
        <w:t xml:space="preserve"> </w:t>
      </w:r>
      <w:r w:rsidRPr="00036A80">
        <w:rPr>
          <w:sz w:val="20"/>
        </w:rPr>
        <w:t>is the Emergency Response Technical Lead for the Lloyd’s Register</w:t>
      </w:r>
      <w:r>
        <w:rPr>
          <w:sz w:val="20"/>
        </w:rPr>
        <w:t>’s</w:t>
      </w:r>
      <w:r w:rsidRPr="00036A80">
        <w:rPr>
          <w:sz w:val="20"/>
        </w:rPr>
        <w:t xml:space="preserve"> Ship Emergency Response Service. In his previous role as the Lloyd’s Register Rule Architect he has planned, shaped and advised several Human Element focused products and worked to highlight the importance of the Human Element in shipping and Class Rules. He has also worked internationally to develop the IACS position to the Human Element and ensure compliance with the IMO’s Goal-based Standards.</w:t>
      </w:r>
    </w:p>
    <w:p w14:paraId="15F4A240" w14:textId="00BD07F7" w:rsidR="00EE3781" w:rsidRDefault="00EE3781" w:rsidP="00CD6569">
      <w:pPr>
        <w:jc w:val="both"/>
        <w:rPr>
          <w:sz w:val="20"/>
        </w:rPr>
      </w:pPr>
    </w:p>
    <w:sectPr w:rsidR="00EE3781">
      <w:footerReference w:type="even" r:id="rId19"/>
      <w:foot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akley d.d. (ddo1g17)" w:date="2019-12-21T22:09:00Z" w:initials="od(">
    <w:p w14:paraId="215C6889" w14:textId="21E1C8AD" w:rsidR="001E6A17" w:rsidRDefault="001E6A17">
      <w:pPr>
        <w:pStyle w:val="CommentText"/>
      </w:pPr>
      <w:r>
        <w:rPr>
          <w:rStyle w:val="CommentReference"/>
        </w:rPr>
        <w:annotationRef/>
      </w:r>
      <w:r>
        <w:t>RINA has stipulated a reduced summary of maximum 150 words.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5C68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5C6889" w16cid:durableId="21A916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A69D5" w14:textId="77777777" w:rsidR="00553DD3" w:rsidRDefault="00553DD3" w:rsidP="00CC794E">
      <w:r>
        <w:separator/>
      </w:r>
    </w:p>
  </w:endnote>
  <w:endnote w:type="continuationSeparator" w:id="0">
    <w:p w14:paraId="73549FB3" w14:textId="77777777" w:rsidR="00553DD3" w:rsidRDefault="00553DD3" w:rsidP="00CC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Frutiger LT Std 55 Roman">
    <w:altName w:val="Calibri"/>
    <w:panose1 w:val="020B0604020202020204"/>
    <w:charset w:val="00"/>
    <w:family w:val="auto"/>
    <w:pitch w:val="variable"/>
    <w:sig w:usb0="00000003" w:usb1="4000204A" w:usb2="00000000" w:usb3="00000000" w:csb0="00000001" w:csb1="00000000"/>
  </w:font>
  <w:font w:name="Tahoma">
    <w:panose1 w:val="020B0604030504040204"/>
    <w:charset w:val="00"/>
    <w:family w:val="swiss"/>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0376009"/>
      <w:docPartObj>
        <w:docPartGallery w:val="Page Numbers (Bottom of Page)"/>
        <w:docPartUnique/>
      </w:docPartObj>
    </w:sdtPr>
    <w:sdtEndPr>
      <w:rPr>
        <w:rStyle w:val="PageNumber"/>
      </w:rPr>
    </w:sdtEndPr>
    <w:sdtContent>
      <w:p w14:paraId="16527C81" w14:textId="295E46B5" w:rsidR="001E6A17" w:rsidRDefault="001E6A17" w:rsidP="007707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5F7DB" w14:textId="77777777" w:rsidR="001E6A17" w:rsidRDefault="001E6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8893738"/>
      <w:docPartObj>
        <w:docPartGallery w:val="Page Numbers (Bottom of Page)"/>
        <w:docPartUnique/>
      </w:docPartObj>
    </w:sdtPr>
    <w:sdtEndPr>
      <w:rPr>
        <w:rStyle w:val="PageNumber"/>
      </w:rPr>
    </w:sdtEndPr>
    <w:sdtContent>
      <w:p w14:paraId="245C5217" w14:textId="7A52F6DA" w:rsidR="001E6A17" w:rsidRDefault="001E6A17" w:rsidP="007707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955C6" w14:textId="77777777" w:rsidR="001E6A17" w:rsidRDefault="001E6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5C80" w14:textId="77777777" w:rsidR="00553DD3" w:rsidRDefault="00553DD3" w:rsidP="00CC794E">
      <w:r>
        <w:separator/>
      </w:r>
    </w:p>
  </w:footnote>
  <w:footnote w:type="continuationSeparator" w:id="0">
    <w:p w14:paraId="53F847C1" w14:textId="77777777" w:rsidR="00553DD3" w:rsidRDefault="00553DD3" w:rsidP="00CC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0CAA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4A89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7F4FE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0036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E62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8E4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161D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854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4CE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E240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4D3FC6"/>
    <w:multiLevelType w:val="hybridMultilevel"/>
    <w:tmpl w:val="A500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292EE8"/>
    <w:multiLevelType w:val="hybridMultilevel"/>
    <w:tmpl w:val="8930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D5E63"/>
    <w:multiLevelType w:val="hybridMultilevel"/>
    <w:tmpl w:val="8B526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E249A"/>
    <w:multiLevelType w:val="hybridMultilevel"/>
    <w:tmpl w:val="A9521AF8"/>
    <w:lvl w:ilvl="0" w:tplc="07361870">
      <w:start w:val="1"/>
      <w:numFmt w:val="lowerLetter"/>
      <w:pStyle w:val="07IRorderedlistletters"/>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akley d.d. (ddo1g17)">
    <w15:presenceInfo w15:providerId="AD" w15:userId="S::ddo1g17@soton.ac.uk::d41415a4-9c0e-4bde-a26e-28ccbfe27a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0A"/>
    <w:rsid w:val="00001459"/>
    <w:rsid w:val="000016DA"/>
    <w:rsid w:val="0000175E"/>
    <w:rsid w:val="00006BD8"/>
    <w:rsid w:val="00007B49"/>
    <w:rsid w:val="00010009"/>
    <w:rsid w:val="000106F2"/>
    <w:rsid w:val="00011550"/>
    <w:rsid w:val="00012210"/>
    <w:rsid w:val="0001294E"/>
    <w:rsid w:val="000152BF"/>
    <w:rsid w:val="00015511"/>
    <w:rsid w:val="00015B41"/>
    <w:rsid w:val="000206E0"/>
    <w:rsid w:val="00023CCF"/>
    <w:rsid w:val="0003129B"/>
    <w:rsid w:val="000337C4"/>
    <w:rsid w:val="00033927"/>
    <w:rsid w:val="00034959"/>
    <w:rsid w:val="00037CF4"/>
    <w:rsid w:val="00040AF6"/>
    <w:rsid w:val="00041D2A"/>
    <w:rsid w:val="00042E79"/>
    <w:rsid w:val="00043A66"/>
    <w:rsid w:val="00043C6E"/>
    <w:rsid w:val="00044510"/>
    <w:rsid w:val="0004699B"/>
    <w:rsid w:val="00050896"/>
    <w:rsid w:val="0005094A"/>
    <w:rsid w:val="00050BB9"/>
    <w:rsid w:val="00050F78"/>
    <w:rsid w:val="00052F3A"/>
    <w:rsid w:val="0005519B"/>
    <w:rsid w:val="00055A1D"/>
    <w:rsid w:val="00056AB3"/>
    <w:rsid w:val="00060A49"/>
    <w:rsid w:val="00061C9F"/>
    <w:rsid w:val="000629B3"/>
    <w:rsid w:val="00064C5C"/>
    <w:rsid w:val="00067C24"/>
    <w:rsid w:val="000766D5"/>
    <w:rsid w:val="00077963"/>
    <w:rsid w:val="000807B0"/>
    <w:rsid w:val="0008203C"/>
    <w:rsid w:val="00086952"/>
    <w:rsid w:val="00091910"/>
    <w:rsid w:val="0009479B"/>
    <w:rsid w:val="000972F6"/>
    <w:rsid w:val="000A0D15"/>
    <w:rsid w:val="000A21ED"/>
    <w:rsid w:val="000A33B9"/>
    <w:rsid w:val="000A569F"/>
    <w:rsid w:val="000A76B3"/>
    <w:rsid w:val="000B0794"/>
    <w:rsid w:val="000B0934"/>
    <w:rsid w:val="000B2020"/>
    <w:rsid w:val="000B3A65"/>
    <w:rsid w:val="000B548C"/>
    <w:rsid w:val="000C00A6"/>
    <w:rsid w:val="000C03DB"/>
    <w:rsid w:val="000C0490"/>
    <w:rsid w:val="000C1546"/>
    <w:rsid w:val="000C235C"/>
    <w:rsid w:val="000C3716"/>
    <w:rsid w:val="000C66A2"/>
    <w:rsid w:val="000D10F9"/>
    <w:rsid w:val="000D2339"/>
    <w:rsid w:val="000D2D7F"/>
    <w:rsid w:val="000D3136"/>
    <w:rsid w:val="000D3CBF"/>
    <w:rsid w:val="000D43F3"/>
    <w:rsid w:val="000D4668"/>
    <w:rsid w:val="000D4B72"/>
    <w:rsid w:val="000D510A"/>
    <w:rsid w:val="000D6BBE"/>
    <w:rsid w:val="000E09A3"/>
    <w:rsid w:val="000E388A"/>
    <w:rsid w:val="000E50D1"/>
    <w:rsid w:val="000E5122"/>
    <w:rsid w:val="000F1142"/>
    <w:rsid w:val="000F2F61"/>
    <w:rsid w:val="001009E9"/>
    <w:rsid w:val="001028CA"/>
    <w:rsid w:val="00102A09"/>
    <w:rsid w:val="0010558D"/>
    <w:rsid w:val="001074F5"/>
    <w:rsid w:val="00107F55"/>
    <w:rsid w:val="00113086"/>
    <w:rsid w:val="0011422B"/>
    <w:rsid w:val="0011658F"/>
    <w:rsid w:val="0012155E"/>
    <w:rsid w:val="0012231A"/>
    <w:rsid w:val="00123C9A"/>
    <w:rsid w:val="00124608"/>
    <w:rsid w:val="001247DF"/>
    <w:rsid w:val="001303D0"/>
    <w:rsid w:val="0013042C"/>
    <w:rsid w:val="001317A7"/>
    <w:rsid w:val="001356E2"/>
    <w:rsid w:val="001401F0"/>
    <w:rsid w:val="00141073"/>
    <w:rsid w:val="00142449"/>
    <w:rsid w:val="001435AE"/>
    <w:rsid w:val="00144BDB"/>
    <w:rsid w:val="00146D90"/>
    <w:rsid w:val="0015015E"/>
    <w:rsid w:val="00150DA0"/>
    <w:rsid w:val="00151CCD"/>
    <w:rsid w:val="00152F56"/>
    <w:rsid w:val="00161F93"/>
    <w:rsid w:val="001620AB"/>
    <w:rsid w:val="00162B98"/>
    <w:rsid w:val="0016323F"/>
    <w:rsid w:val="001656C0"/>
    <w:rsid w:val="00166EEE"/>
    <w:rsid w:val="00167C16"/>
    <w:rsid w:val="001700A9"/>
    <w:rsid w:val="001706F2"/>
    <w:rsid w:val="00174D5D"/>
    <w:rsid w:val="00177719"/>
    <w:rsid w:val="00180151"/>
    <w:rsid w:val="00180437"/>
    <w:rsid w:val="001851C6"/>
    <w:rsid w:val="00185EFF"/>
    <w:rsid w:val="00187559"/>
    <w:rsid w:val="001915A9"/>
    <w:rsid w:val="001923AB"/>
    <w:rsid w:val="00193978"/>
    <w:rsid w:val="00194DB8"/>
    <w:rsid w:val="001A0ADF"/>
    <w:rsid w:val="001A310A"/>
    <w:rsid w:val="001A5616"/>
    <w:rsid w:val="001B334D"/>
    <w:rsid w:val="001C1ACA"/>
    <w:rsid w:val="001D2D6E"/>
    <w:rsid w:val="001D3185"/>
    <w:rsid w:val="001D6B90"/>
    <w:rsid w:val="001D7DC9"/>
    <w:rsid w:val="001E1783"/>
    <w:rsid w:val="001E3866"/>
    <w:rsid w:val="001E3DF9"/>
    <w:rsid w:val="001E6A17"/>
    <w:rsid w:val="001F15A6"/>
    <w:rsid w:val="001F1784"/>
    <w:rsid w:val="001F2E3D"/>
    <w:rsid w:val="001F39B8"/>
    <w:rsid w:val="001F4C73"/>
    <w:rsid w:val="001F5275"/>
    <w:rsid w:val="001F5B3D"/>
    <w:rsid w:val="001F6708"/>
    <w:rsid w:val="001F716F"/>
    <w:rsid w:val="001F7B10"/>
    <w:rsid w:val="00200B5E"/>
    <w:rsid w:val="0020179A"/>
    <w:rsid w:val="00202D44"/>
    <w:rsid w:val="00203B00"/>
    <w:rsid w:val="00203DAA"/>
    <w:rsid w:val="002052F7"/>
    <w:rsid w:val="00206518"/>
    <w:rsid w:val="00207FBE"/>
    <w:rsid w:val="00210F60"/>
    <w:rsid w:val="002113AE"/>
    <w:rsid w:val="00212472"/>
    <w:rsid w:val="00212AA2"/>
    <w:rsid w:val="002142C6"/>
    <w:rsid w:val="002165F1"/>
    <w:rsid w:val="00220792"/>
    <w:rsid w:val="00224487"/>
    <w:rsid w:val="002254FC"/>
    <w:rsid w:val="0022621E"/>
    <w:rsid w:val="00227859"/>
    <w:rsid w:val="00227F0D"/>
    <w:rsid w:val="00231680"/>
    <w:rsid w:val="00231E05"/>
    <w:rsid w:val="00232990"/>
    <w:rsid w:val="00235459"/>
    <w:rsid w:val="00236639"/>
    <w:rsid w:val="00243D42"/>
    <w:rsid w:val="00243F00"/>
    <w:rsid w:val="0024440C"/>
    <w:rsid w:val="002453F3"/>
    <w:rsid w:val="002505A8"/>
    <w:rsid w:val="00250C6F"/>
    <w:rsid w:val="00252B1F"/>
    <w:rsid w:val="00253A8B"/>
    <w:rsid w:val="00253CA2"/>
    <w:rsid w:val="00253E52"/>
    <w:rsid w:val="002551C0"/>
    <w:rsid w:val="00255C78"/>
    <w:rsid w:val="00256913"/>
    <w:rsid w:val="0025721A"/>
    <w:rsid w:val="002609E0"/>
    <w:rsid w:val="00260AA5"/>
    <w:rsid w:val="00260E02"/>
    <w:rsid w:val="002610FB"/>
    <w:rsid w:val="00261AEC"/>
    <w:rsid w:val="00264871"/>
    <w:rsid w:val="00267B93"/>
    <w:rsid w:val="0027158E"/>
    <w:rsid w:val="00274DC7"/>
    <w:rsid w:val="00274F60"/>
    <w:rsid w:val="00275A71"/>
    <w:rsid w:val="00275BAD"/>
    <w:rsid w:val="00275D94"/>
    <w:rsid w:val="00276BC8"/>
    <w:rsid w:val="0027766C"/>
    <w:rsid w:val="00277CCD"/>
    <w:rsid w:val="002812AF"/>
    <w:rsid w:val="00283C05"/>
    <w:rsid w:val="00283C50"/>
    <w:rsid w:val="0028440E"/>
    <w:rsid w:val="00284C53"/>
    <w:rsid w:val="0028775B"/>
    <w:rsid w:val="00287F96"/>
    <w:rsid w:val="0029002B"/>
    <w:rsid w:val="00290FC8"/>
    <w:rsid w:val="0029162B"/>
    <w:rsid w:val="002921D4"/>
    <w:rsid w:val="00293BA7"/>
    <w:rsid w:val="00295189"/>
    <w:rsid w:val="0029608E"/>
    <w:rsid w:val="0029655F"/>
    <w:rsid w:val="002976FA"/>
    <w:rsid w:val="00297932"/>
    <w:rsid w:val="002A205F"/>
    <w:rsid w:val="002A338F"/>
    <w:rsid w:val="002A66E1"/>
    <w:rsid w:val="002B1613"/>
    <w:rsid w:val="002C1AB8"/>
    <w:rsid w:val="002C327B"/>
    <w:rsid w:val="002C3F16"/>
    <w:rsid w:val="002C3FB9"/>
    <w:rsid w:val="002C5EB8"/>
    <w:rsid w:val="002C6DA2"/>
    <w:rsid w:val="002D035C"/>
    <w:rsid w:val="002D085D"/>
    <w:rsid w:val="002D0E19"/>
    <w:rsid w:val="002D0F32"/>
    <w:rsid w:val="002D17FC"/>
    <w:rsid w:val="002D1AF2"/>
    <w:rsid w:val="002D273F"/>
    <w:rsid w:val="002D4B95"/>
    <w:rsid w:val="002D5EE8"/>
    <w:rsid w:val="002D62DD"/>
    <w:rsid w:val="002D6C5B"/>
    <w:rsid w:val="002E092A"/>
    <w:rsid w:val="002E1609"/>
    <w:rsid w:val="002E197A"/>
    <w:rsid w:val="002E5E0F"/>
    <w:rsid w:val="002E78DA"/>
    <w:rsid w:val="002F06DF"/>
    <w:rsid w:val="002F4189"/>
    <w:rsid w:val="002F51D7"/>
    <w:rsid w:val="002F69C8"/>
    <w:rsid w:val="00301213"/>
    <w:rsid w:val="00303CD4"/>
    <w:rsid w:val="00303E38"/>
    <w:rsid w:val="00310A84"/>
    <w:rsid w:val="00310E65"/>
    <w:rsid w:val="00312874"/>
    <w:rsid w:val="0031416C"/>
    <w:rsid w:val="00314418"/>
    <w:rsid w:val="00315244"/>
    <w:rsid w:val="003205D0"/>
    <w:rsid w:val="0032245A"/>
    <w:rsid w:val="00322B94"/>
    <w:rsid w:val="00324957"/>
    <w:rsid w:val="00325FBA"/>
    <w:rsid w:val="00326A3A"/>
    <w:rsid w:val="0032777A"/>
    <w:rsid w:val="003331DA"/>
    <w:rsid w:val="00334A02"/>
    <w:rsid w:val="0033544D"/>
    <w:rsid w:val="0033603C"/>
    <w:rsid w:val="003432EB"/>
    <w:rsid w:val="00343CF8"/>
    <w:rsid w:val="00344661"/>
    <w:rsid w:val="003450CC"/>
    <w:rsid w:val="00346D5D"/>
    <w:rsid w:val="00351B3C"/>
    <w:rsid w:val="003529A9"/>
    <w:rsid w:val="003533E5"/>
    <w:rsid w:val="00356B98"/>
    <w:rsid w:val="00357035"/>
    <w:rsid w:val="00364B46"/>
    <w:rsid w:val="00364E2D"/>
    <w:rsid w:val="00365906"/>
    <w:rsid w:val="003668EB"/>
    <w:rsid w:val="00367187"/>
    <w:rsid w:val="00367F5C"/>
    <w:rsid w:val="003706FF"/>
    <w:rsid w:val="00370C17"/>
    <w:rsid w:val="00372142"/>
    <w:rsid w:val="0037229D"/>
    <w:rsid w:val="00372C97"/>
    <w:rsid w:val="003734CE"/>
    <w:rsid w:val="00374C83"/>
    <w:rsid w:val="0037533A"/>
    <w:rsid w:val="003769A2"/>
    <w:rsid w:val="003803F0"/>
    <w:rsid w:val="00381651"/>
    <w:rsid w:val="003817B5"/>
    <w:rsid w:val="003819EF"/>
    <w:rsid w:val="00382113"/>
    <w:rsid w:val="003827A2"/>
    <w:rsid w:val="003861F0"/>
    <w:rsid w:val="00391D1F"/>
    <w:rsid w:val="003924AB"/>
    <w:rsid w:val="00392B64"/>
    <w:rsid w:val="003935CF"/>
    <w:rsid w:val="0039379F"/>
    <w:rsid w:val="00394F89"/>
    <w:rsid w:val="00394FD2"/>
    <w:rsid w:val="003A07A7"/>
    <w:rsid w:val="003A6D79"/>
    <w:rsid w:val="003A71EB"/>
    <w:rsid w:val="003A7796"/>
    <w:rsid w:val="003B4229"/>
    <w:rsid w:val="003B4AB5"/>
    <w:rsid w:val="003B5BAD"/>
    <w:rsid w:val="003B5EA0"/>
    <w:rsid w:val="003B6B15"/>
    <w:rsid w:val="003C03FB"/>
    <w:rsid w:val="003C2D70"/>
    <w:rsid w:val="003C79B6"/>
    <w:rsid w:val="003C7FA0"/>
    <w:rsid w:val="003D30FF"/>
    <w:rsid w:val="003D50BA"/>
    <w:rsid w:val="003D544D"/>
    <w:rsid w:val="003E024F"/>
    <w:rsid w:val="003E07C7"/>
    <w:rsid w:val="003E1000"/>
    <w:rsid w:val="003E6B2D"/>
    <w:rsid w:val="003F08CF"/>
    <w:rsid w:val="003F2E84"/>
    <w:rsid w:val="003F30B7"/>
    <w:rsid w:val="003F4406"/>
    <w:rsid w:val="003F45EB"/>
    <w:rsid w:val="003F488B"/>
    <w:rsid w:val="003F5127"/>
    <w:rsid w:val="00400379"/>
    <w:rsid w:val="00401F75"/>
    <w:rsid w:val="00402085"/>
    <w:rsid w:val="00402882"/>
    <w:rsid w:val="0040340E"/>
    <w:rsid w:val="00403B48"/>
    <w:rsid w:val="00406F0D"/>
    <w:rsid w:val="00413DA4"/>
    <w:rsid w:val="004249E9"/>
    <w:rsid w:val="00424F26"/>
    <w:rsid w:val="004254E9"/>
    <w:rsid w:val="00425D65"/>
    <w:rsid w:val="00427192"/>
    <w:rsid w:val="00427E4D"/>
    <w:rsid w:val="00432563"/>
    <w:rsid w:val="00432F08"/>
    <w:rsid w:val="004331F6"/>
    <w:rsid w:val="004337D9"/>
    <w:rsid w:val="00433D9E"/>
    <w:rsid w:val="004340D5"/>
    <w:rsid w:val="00434699"/>
    <w:rsid w:val="00435B81"/>
    <w:rsid w:val="00436AE1"/>
    <w:rsid w:val="00436C40"/>
    <w:rsid w:val="0043730F"/>
    <w:rsid w:val="00437385"/>
    <w:rsid w:val="00437EE4"/>
    <w:rsid w:val="004411CA"/>
    <w:rsid w:val="00445877"/>
    <w:rsid w:val="00446DBA"/>
    <w:rsid w:val="00451954"/>
    <w:rsid w:val="004520C7"/>
    <w:rsid w:val="00452C90"/>
    <w:rsid w:val="00452FDC"/>
    <w:rsid w:val="00454ED8"/>
    <w:rsid w:val="00457A13"/>
    <w:rsid w:val="0046007A"/>
    <w:rsid w:val="00460D8F"/>
    <w:rsid w:val="00461B32"/>
    <w:rsid w:val="0046393B"/>
    <w:rsid w:val="00463A20"/>
    <w:rsid w:val="00463A93"/>
    <w:rsid w:val="0046407F"/>
    <w:rsid w:val="00464881"/>
    <w:rsid w:val="004655E2"/>
    <w:rsid w:val="00467D76"/>
    <w:rsid w:val="004708DA"/>
    <w:rsid w:val="0047148F"/>
    <w:rsid w:val="00471C25"/>
    <w:rsid w:val="00473A75"/>
    <w:rsid w:val="00481B67"/>
    <w:rsid w:val="00482B7C"/>
    <w:rsid w:val="0048394C"/>
    <w:rsid w:val="00487574"/>
    <w:rsid w:val="0049375F"/>
    <w:rsid w:val="004939C1"/>
    <w:rsid w:val="00494EE0"/>
    <w:rsid w:val="00496FC5"/>
    <w:rsid w:val="004A0CBA"/>
    <w:rsid w:val="004A37A2"/>
    <w:rsid w:val="004A4C51"/>
    <w:rsid w:val="004A55A8"/>
    <w:rsid w:val="004A5677"/>
    <w:rsid w:val="004A67E0"/>
    <w:rsid w:val="004A6A7C"/>
    <w:rsid w:val="004B07BD"/>
    <w:rsid w:val="004B1444"/>
    <w:rsid w:val="004B16D5"/>
    <w:rsid w:val="004B3F8C"/>
    <w:rsid w:val="004B40F6"/>
    <w:rsid w:val="004B4B41"/>
    <w:rsid w:val="004B4FCF"/>
    <w:rsid w:val="004B5775"/>
    <w:rsid w:val="004B6A55"/>
    <w:rsid w:val="004C04FE"/>
    <w:rsid w:val="004C3A2B"/>
    <w:rsid w:val="004C4057"/>
    <w:rsid w:val="004C5D26"/>
    <w:rsid w:val="004D2A54"/>
    <w:rsid w:val="004D5003"/>
    <w:rsid w:val="004D53D5"/>
    <w:rsid w:val="004D6C0E"/>
    <w:rsid w:val="004E1C91"/>
    <w:rsid w:val="004E3A73"/>
    <w:rsid w:val="004F000C"/>
    <w:rsid w:val="004F05A9"/>
    <w:rsid w:val="004F3F43"/>
    <w:rsid w:val="004F4983"/>
    <w:rsid w:val="004F53A3"/>
    <w:rsid w:val="004F6CC8"/>
    <w:rsid w:val="00502AD0"/>
    <w:rsid w:val="005034D3"/>
    <w:rsid w:val="0050374C"/>
    <w:rsid w:val="0050775A"/>
    <w:rsid w:val="005103F1"/>
    <w:rsid w:val="0051233E"/>
    <w:rsid w:val="005132E1"/>
    <w:rsid w:val="00513E29"/>
    <w:rsid w:val="00516217"/>
    <w:rsid w:val="0051773F"/>
    <w:rsid w:val="00520CA5"/>
    <w:rsid w:val="00521FFD"/>
    <w:rsid w:val="00523123"/>
    <w:rsid w:val="00523837"/>
    <w:rsid w:val="00530818"/>
    <w:rsid w:val="00530D0E"/>
    <w:rsid w:val="00531D89"/>
    <w:rsid w:val="00533E82"/>
    <w:rsid w:val="005341FC"/>
    <w:rsid w:val="00534C57"/>
    <w:rsid w:val="00534E98"/>
    <w:rsid w:val="00536297"/>
    <w:rsid w:val="00536F29"/>
    <w:rsid w:val="00546B6D"/>
    <w:rsid w:val="00551B70"/>
    <w:rsid w:val="005521A6"/>
    <w:rsid w:val="00552A2A"/>
    <w:rsid w:val="00553DD3"/>
    <w:rsid w:val="00554587"/>
    <w:rsid w:val="00554D39"/>
    <w:rsid w:val="00554FFA"/>
    <w:rsid w:val="005566A3"/>
    <w:rsid w:val="00560D0F"/>
    <w:rsid w:val="005610B2"/>
    <w:rsid w:val="005633C9"/>
    <w:rsid w:val="005643D0"/>
    <w:rsid w:val="00567802"/>
    <w:rsid w:val="00572947"/>
    <w:rsid w:val="00573540"/>
    <w:rsid w:val="0057478B"/>
    <w:rsid w:val="005811B8"/>
    <w:rsid w:val="00581A1D"/>
    <w:rsid w:val="00581EC0"/>
    <w:rsid w:val="00582525"/>
    <w:rsid w:val="0058289B"/>
    <w:rsid w:val="00582E1A"/>
    <w:rsid w:val="005835A3"/>
    <w:rsid w:val="00584DED"/>
    <w:rsid w:val="00585491"/>
    <w:rsid w:val="005857BA"/>
    <w:rsid w:val="00585D2C"/>
    <w:rsid w:val="005865E4"/>
    <w:rsid w:val="005879D5"/>
    <w:rsid w:val="00587BE7"/>
    <w:rsid w:val="00590D8D"/>
    <w:rsid w:val="005915F7"/>
    <w:rsid w:val="00591C0B"/>
    <w:rsid w:val="005938E0"/>
    <w:rsid w:val="00594311"/>
    <w:rsid w:val="00594ECF"/>
    <w:rsid w:val="00594F15"/>
    <w:rsid w:val="00595CD9"/>
    <w:rsid w:val="00595EEC"/>
    <w:rsid w:val="005972B5"/>
    <w:rsid w:val="00597AFA"/>
    <w:rsid w:val="005A01C3"/>
    <w:rsid w:val="005A12A6"/>
    <w:rsid w:val="005A2416"/>
    <w:rsid w:val="005A3778"/>
    <w:rsid w:val="005A40FF"/>
    <w:rsid w:val="005A75AD"/>
    <w:rsid w:val="005B07E1"/>
    <w:rsid w:val="005B0D31"/>
    <w:rsid w:val="005B34A8"/>
    <w:rsid w:val="005B4E92"/>
    <w:rsid w:val="005B5990"/>
    <w:rsid w:val="005B5E60"/>
    <w:rsid w:val="005B6B63"/>
    <w:rsid w:val="005C0F6B"/>
    <w:rsid w:val="005C3BDB"/>
    <w:rsid w:val="005D117D"/>
    <w:rsid w:val="005D11A6"/>
    <w:rsid w:val="005D3F1D"/>
    <w:rsid w:val="005D455A"/>
    <w:rsid w:val="005D4D8A"/>
    <w:rsid w:val="005D534F"/>
    <w:rsid w:val="005D68E3"/>
    <w:rsid w:val="005D6B3F"/>
    <w:rsid w:val="005D7383"/>
    <w:rsid w:val="005E0EC6"/>
    <w:rsid w:val="005E15BC"/>
    <w:rsid w:val="005E2507"/>
    <w:rsid w:val="005E3186"/>
    <w:rsid w:val="005E472B"/>
    <w:rsid w:val="005E584B"/>
    <w:rsid w:val="005E7C59"/>
    <w:rsid w:val="005F37C7"/>
    <w:rsid w:val="005F37E7"/>
    <w:rsid w:val="005F532E"/>
    <w:rsid w:val="005F6F94"/>
    <w:rsid w:val="00602C6D"/>
    <w:rsid w:val="00603FD0"/>
    <w:rsid w:val="006056A6"/>
    <w:rsid w:val="00605ED5"/>
    <w:rsid w:val="00607C70"/>
    <w:rsid w:val="00610662"/>
    <w:rsid w:val="00613987"/>
    <w:rsid w:val="0061646E"/>
    <w:rsid w:val="0062108B"/>
    <w:rsid w:val="006231AA"/>
    <w:rsid w:val="00623A78"/>
    <w:rsid w:val="00623EAA"/>
    <w:rsid w:val="006258CE"/>
    <w:rsid w:val="00625AC7"/>
    <w:rsid w:val="00627621"/>
    <w:rsid w:val="00627EBD"/>
    <w:rsid w:val="00630722"/>
    <w:rsid w:val="0063087B"/>
    <w:rsid w:val="006312EA"/>
    <w:rsid w:val="00632780"/>
    <w:rsid w:val="00635D1E"/>
    <w:rsid w:val="006401D7"/>
    <w:rsid w:val="0064051A"/>
    <w:rsid w:val="006409FB"/>
    <w:rsid w:val="00641B38"/>
    <w:rsid w:val="00641EFC"/>
    <w:rsid w:val="00642973"/>
    <w:rsid w:val="00643D4F"/>
    <w:rsid w:val="0065192B"/>
    <w:rsid w:val="00653DB3"/>
    <w:rsid w:val="00654113"/>
    <w:rsid w:val="00655375"/>
    <w:rsid w:val="00657C5A"/>
    <w:rsid w:val="006609DD"/>
    <w:rsid w:val="00662025"/>
    <w:rsid w:val="0066266A"/>
    <w:rsid w:val="00664618"/>
    <w:rsid w:val="00665896"/>
    <w:rsid w:val="00667E8D"/>
    <w:rsid w:val="00667F55"/>
    <w:rsid w:val="00670EF4"/>
    <w:rsid w:val="00671079"/>
    <w:rsid w:val="00674832"/>
    <w:rsid w:val="00674D93"/>
    <w:rsid w:val="0067525A"/>
    <w:rsid w:val="006771D9"/>
    <w:rsid w:val="006776F3"/>
    <w:rsid w:val="0068096C"/>
    <w:rsid w:val="00680B05"/>
    <w:rsid w:val="00684F95"/>
    <w:rsid w:val="00685DAB"/>
    <w:rsid w:val="006877CF"/>
    <w:rsid w:val="0069043B"/>
    <w:rsid w:val="006906F8"/>
    <w:rsid w:val="00691DEC"/>
    <w:rsid w:val="006921DB"/>
    <w:rsid w:val="00693E33"/>
    <w:rsid w:val="006941FF"/>
    <w:rsid w:val="006973B4"/>
    <w:rsid w:val="006978DA"/>
    <w:rsid w:val="006A024E"/>
    <w:rsid w:val="006A123F"/>
    <w:rsid w:val="006A6498"/>
    <w:rsid w:val="006B097B"/>
    <w:rsid w:val="006B15B3"/>
    <w:rsid w:val="006B5432"/>
    <w:rsid w:val="006B5A46"/>
    <w:rsid w:val="006B60E5"/>
    <w:rsid w:val="006B6CA1"/>
    <w:rsid w:val="006B7386"/>
    <w:rsid w:val="006C0492"/>
    <w:rsid w:val="006C1AC4"/>
    <w:rsid w:val="006C21A0"/>
    <w:rsid w:val="006C2386"/>
    <w:rsid w:val="006C39C7"/>
    <w:rsid w:val="006C3B76"/>
    <w:rsid w:val="006C5D4F"/>
    <w:rsid w:val="006C6AA1"/>
    <w:rsid w:val="006C6FC9"/>
    <w:rsid w:val="006C70A6"/>
    <w:rsid w:val="006C7189"/>
    <w:rsid w:val="006C79A7"/>
    <w:rsid w:val="006D056B"/>
    <w:rsid w:val="006D15F0"/>
    <w:rsid w:val="006D526E"/>
    <w:rsid w:val="006D6AD5"/>
    <w:rsid w:val="006D7B10"/>
    <w:rsid w:val="006E6590"/>
    <w:rsid w:val="006F1953"/>
    <w:rsid w:val="006F2170"/>
    <w:rsid w:val="006F3A8C"/>
    <w:rsid w:val="006F4476"/>
    <w:rsid w:val="006F6C10"/>
    <w:rsid w:val="00701010"/>
    <w:rsid w:val="00701497"/>
    <w:rsid w:val="007016B9"/>
    <w:rsid w:val="00705054"/>
    <w:rsid w:val="00705E7F"/>
    <w:rsid w:val="00705ECA"/>
    <w:rsid w:val="00706C9B"/>
    <w:rsid w:val="0071016A"/>
    <w:rsid w:val="007107C2"/>
    <w:rsid w:val="00711006"/>
    <w:rsid w:val="007115CF"/>
    <w:rsid w:val="0071164B"/>
    <w:rsid w:val="007121E2"/>
    <w:rsid w:val="00713881"/>
    <w:rsid w:val="007148D8"/>
    <w:rsid w:val="007170F5"/>
    <w:rsid w:val="007170FC"/>
    <w:rsid w:val="00720D16"/>
    <w:rsid w:val="00721B5D"/>
    <w:rsid w:val="00721DF8"/>
    <w:rsid w:val="0072497F"/>
    <w:rsid w:val="00725FD7"/>
    <w:rsid w:val="007261B0"/>
    <w:rsid w:val="007261DE"/>
    <w:rsid w:val="007315BD"/>
    <w:rsid w:val="00734B20"/>
    <w:rsid w:val="00736201"/>
    <w:rsid w:val="007363F9"/>
    <w:rsid w:val="007457B5"/>
    <w:rsid w:val="00745A76"/>
    <w:rsid w:val="00746B8D"/>
    <w:rsid w:val="007472F3"/>
    <w:rsid w:val="007478D6"/>
    <w:rsid w:val="0075016F"/>
    <w:rsid w:val="00751859"/>
    <w:rsid w:val="007522CB"/>
    <w:rsid w:val="007531A3"/>
    <w:rsid w:val="007531C0"/>
    <w:rsid w:val="007561D5"/>
    <w:rsid w:val="00760EFA"/>
    <w:rsid w:val="00761613"/>
    <w:rsid w:val="007617C7"/>
    <w:rsid w:val="00762CE9"/>
    <w:rsid w:val="00762FB3"/>
    <w:rsid w:val="00763F1C"/>
    <w:rsid w:val="00765D5E"/>
    <w:rsid w:val="00766F05"/>
    <w:rsid w:val="0077070C"/>
    <w:rsid w:val="00775455"/>
    <w:rsid w:val="00776239"/>
    <w:rsid w:val="00777E07"/>
    <w:rsid w:val="00781835"/>
    <w:rsid w:val="00782A89"/>
    <w:rsid w:val="007832BC"/>
    <w:rsid w:val="00783636"/>
    <w:rsid w:val="00783A63"/>
    <w:rsid w:val="00785A9C"/>
    <w:rsid w:val="0078654C"/>
    <w:rsid w:val="007865C3"/>
    <w:rsid w:val="00787226"/>
    <w:rsid w:val="00790F52"/>
    <w:rsid w:val="007916B2"/>
    <w:rsid w:val="00793C07"/>
    <w:rsid w:val="00794180"/>
    <w:rsid w:val="007A1926"/>
    <w:rsid w:val="007A1F1C"/>
    <w:rsid w:val="007A297C"/>
    <w:rsid w:val="007A41F4"/>
    <w:rsid w:val="007A68B8"/>
    <w:rsid w:val="007A7907"/>
    <w:rsid w:val="007B06B9"/>
    <w:rsid w:val="007B172B"/>
    <w:rsid w:val="007B1B68"/>
    <w:rsid w:val="007B2A3C"/>
    <w:rsid w:val="007B2C2F"/>
    <w:rsid w:val="007B478B"/>
    <w:rsid w:val="007B5A03"/>
    <w:rsid w:val="007B6170"/>
    <w:rsid w:val="007B6C08"/>
    <w:rsid w:val="007B789D"/>
    <w:rsid w:val="007C021C"/>
    <w:rsid w:val="007C0814"/>
    <w:rsid w:val="007C15ED"/>
    <w:rsid w:val="007C2D56"/>
    <w:rsid w:val="007C5DF2"/>
    <w:rsid w:val="007C5F9A"/>
    <w:rsid w:val="007C70F5"/>
    <w:rsid w:val="007C735D"/>
    <w:rsid w:val="007D16D1"/>
    <w:rsid w:val="007D5AB3"/>
    <w:rsid w:val="007D5ED9"/>
    <w:rsid w:val="007D6819"/>
    <w:rsid w:val="007D6B27"/>
    <w:rsid w:val="007E0284"/>
    <w:rsid w:val="007E17F4"/>
    <w:rsid w:val="007E44C3"/>
    <w:rsid w:val="007F0A03"/>
    <w:rsid w:val="007F15E9"/>
    <w:rsid w:val="007F3AE8"/>
    <w:rsid w:val="007F3B63"/>
    <w:rsid w:val="007F4809"/>
    <w:rsid w:val="007F6987"/>
    <w:rsid w:val="007F6FD4"/>
    <w:rsid w:val="007F75D2"/>
    <w:rsid w:val="008022BE"/>
    <w:rsid w:val="008024E7"/>
    <w:rsid w:val="00803692"/>
    <w:rsid w:val="008048DB"/>
    <w:rsid w:val="00805063"/>
    <w:rsid w:val="00806CF3"/>
    <w:rsid w:val="00811E96"/>
    <w:rsid w:val="008121FA"/>
    <w:rsid w:val="0081269C"/>
    <w:rsid w:val="00813588"/>
    <w:rsid w:val="008153DF"/>
    <w:rsid w:val="0081781C"/>
    <w:rsid w:val="00817BF4"/>
    <w:rsid w:val="00817DB1"/>
    <w:rsid w:val="00822330"/>
    <w:rsid w:val="00822FB3"/>
    <w:rsid w:val="00826B19"/>
    <w:rsid w:val="00830386"/>
    <w:rsid w:val="00830855"/>
    <w:rsid w:val="00831244"/>
    <w:rsid w:val="00831720"/>
    <w:rsid w:val="00832A37"/>
    <w:rsid w:val="00834F47"/>
    <w:rsid w:val="00835006"/>
    <w:rsid w:val="00835917"/>
    <w:rsid w:val="0084017D"/>
    <w:rsid w:val="008417B8"/>
    <w:rsid w:val="00843B93"/>
    <w:rsid w:val="00844558"/>
    <w:rsid w:val="00844D6F"/>
    <w:rsid w:val="0084527F"/>
    <w:rsid w:val="008453C8"/>
    <w:rsid w:val="008454E1"/>
    <w:rsid w:val="008469B2"/>
    <w:rsid w:val="008510FC"/>
    <w:rsid w:val="00855D1C"/>
    <w:rsid w:val="0085605B"/>
    <w:rsid w:val="008579C8"/>
    <w:rsid w:val="0086048A"/>
    <w:rsid w:val="00861EA2"/>
    <w:rsid w:val="00863BDC"/>
    <w:rsid w:val="00864D42"/>
    <w:rsid w:val="00867780"/>
    <w:rsid w:val="00871E5C"/>
    <w:rsid w:val="00872E36"/>
    <w:rsid w:val="00873219"/>
    <w:rsid w:val="00873A2B"/>
    <w:rsid w:val="008768FC"/>
    <w:rsid w:val="00876D68"/>
    <w:rsid w:val="00876FA7"/>
    <w:rsid w:val="008775C5"/>
    <w:rsid w:val="00877CC0"/>
    <w:rsid w:val="008801FB"/>
    <w:rsid w:val="00881FD4"/>
    <w:rsid w:val="008821A2"/>
    <w:rsid w:val="00882218"/>
    <w:rsid w:val="00884072"/>
    <w:rsid w:val="0088709B"/>
    <w:rsid w:val="0088774A"/>
    <w:rsid w:val="008904B8"/>
    <w:rsid w:val="00890A8C"/>
    <w:rsid w:val="00894BE9"/>
    <w:rsid w:val="00894E1F"/>
    <w:rsid w:val="008A0CB2"/>
    <w:rsid w:val="008A1681"/>
    <w:rsid w:val="008A2153"/>
    <w:rsid w:val="008A21AA"/>
    <w:rsid w:val="008A25F9"/>
    <w:rsid w:val="008A2B28"/>
    <w:rsid w:val="008A2FB0"/>
    <w:rsid w:val="008A59A7"/>
    <w:rsid w:val="008A6163"/>
    <w:rsid w:val="008A70B5"/>
    <w:rsid w:val="008A71ED"/>
    <w:rsid w:val="008A79F9"/>
    <w:rsid w:val="008B462C"/>
    <w:rsid w:val="008B5AC3"/>
    <w:rsid w:val="008C12C1"/>
    <w:rsid w:val="008C1DC1"/>
    <w:rsid w:val="008C50F0"/>
    <w:rsid w:val="008C5DDB"/>
    <w:rsid w:val="008C6B4C"/>
    <w:rsid w:val="008D015B"/>
    <w:rsid w:val="008D0448"/>
    <w:rsid w:val="008D2845"/>
    <w:rsid w:val="008D3066"/>
    <w:rsid w:val="008D429B"/>
    <w:rsid w:val="008D543E"/>
    <w:rsid w:val="008D5492"/>
    <w:rsid w:val="008F23FE"/>
    <w:rsid w:val="008F3A05"/>
    <w:rsid w:val="008F3E63"/>
    <w:rsid w:val="008F40D2"/>
    <w:rsid w:val="008F6AAD"/>
    <w:rsid w:val="008F7345"/>
    <w:rsid w:val="008F7748"/>
    <w:rsid w:val="008F7776"/>
    <w:rsid w:val="008F7D26"/>
    <w:rsid w:val="008F7EC1"/>
    <w:rsid w:val="0090391F"/>
    <w:rsid w:val="00904925"/>
    <w:rsid w:val="00905CF8"/>
    <w:rsid w:val="009107DA"/>
    <w:rsid w:val="00911D28"/>
    <w:rsid w:val="009123BC"/>
    <w:rsid w:val="00912AB9"/>
    <w:rsid w:val="00913919"/>
    <w:rsid w:val="0091493C"/>
    <w:rsid w:val="00914DDD"/>
    <w:rsid w:val="009152CE"/>
    <w:rsid w:val="0091744E"/>
    <w:rsid w:val="00917526"/>
    <w:rsid w:val="009202F6"/>
    <w:rsid w:val="00925710"/>
    <w:rsid w:val="00931119"/>
    <w:rsid w:val="0093411C"/>
    <w:rsid w:val="00934AA7"/>
    <w:rsid w:val="00937E91"/>
    <w:rsid w:val="00940097"/>
    <w:rsid w:val="00944AA8"/>
    <w:rsid w:val="0094606B"/>
    <w:rsid w:val="00946779"/>
    <w:rsid w:val="00951546"/>
    <w:rsid w:val="00954087"/>
    <w:rsid w:val="00955DBF"/>
    <w:rsid w:val="0096201F"/>
    <w:rsid w:val="00962E6F"/>
    <w:rsid w:val="00963412"/>
    <w:rsid w:val="00965CC4"/>
    <w:rsid w:val="00966A80"/>
    <w:rsid w:val="009676D7"/>
    <w:rsid w:val="0096777A"/>
    <w:rsid w:val="00970576"/>
    <w:rsid w:val="00971FBB"/>
    <w:rsid w:val="00974C12"/>
    <w:rsid w:val="00976367"/>
    <w:rsid w:val="00976813"/>
    <w:rsid w:val="009777D9"/>
    <w:rsid w:val="009830F8"/>
    <w:rsid w:val="00983C11"/>
    <w:rsid w:val="00985763"/>
    <w:rsid w:val="00985C0E"/>
    <w:rsid w:val="00985C60"/>
    <w:rsid w:val="00993DD5"/>
    <w:rsid w:val="00995248"/>
    <w:rsid w:val="009967B6"/>
    <w:rsid w:val="009A0AF3"/>
    <w:rsid w:val="009A1694"/>
    <w:rsid w:val="009A2244"/>
    <w:rsid w:val="009A4B2F"/>
    <w:rsid w:val="009A5DF1"/>
    <w:rsid w:val="009A7DB3"/>
    <w:rsid w:val="009B187B"/>
    <w:rsid w:val="009B4DA1"/>
    <w:rsid w:val="009B4DF4"/>
    <w:rsid w:val="009B7DA9"/>
    <w:rsid w:val="009C0E1E"/>
    <w:rsid w:val="009C15A6"/>
    <w:rsid w:val="009C25C5"/>
    <w:rsid w:val="009C2ABC"/>
    <w:rsid w:val="009C4623"/>
    <w:rsid w:val="009C4F94"/>
    <w:rsid w:val="009C7529"/>
    <w:rsid w:val="009C754B"/>
    <w:rsid w:val="009D0AD5"/>
    <w:rsid w:val="009D1421"/>
    <w:rsid w:val="009D1597"/>
    <w:rsid w:val="009D192C"/>
    <w:rsid w:val="009D3964"/>
    <w:rsid w:val="009D404F"/>
    <w:rsid w:val="009D5318"/>
    <w:rsid w:val="009D5532"/>
    <w:rsid w:val="009D59B4"/>
    <w:rsid w:val="009D646D"/>
    <w:rsid w:val="009D6AF2"/>
    <w:rsid w:val="009D7842"/>
    <w:rsid w:val="009D7907"/>
    <w:rsid w:val="009D7A2D"/>
    <w:rsid w:val="009E318B"/>
    <w:rsid w:val="009E3ABF"/>
    <w:rsid w:val="009E4B80"/>
    <w:rsid w:val="009E6C03"/>
    <w:rsid w:val="009E7366"/>
    <w:rsid w:val="009E757C"/>
    <w:rsid w:val="009F001F"/>
    <w:rsid w:val="009F034C"/>
    <w:rsid w:val="009F0A19"/>
    <w:rsid w:val="009F1CB6"/>
    <w:rsid w:val="009F1F65"/>
    <w:rsid w:val="009F475A"/>
    <w:rsid w:val="009F6048"/>
    <w:rsid w:val="009F6636"/>
    <w:rsid w:val="009F676A"/>
    <w:rsid w:val="009F70DB"/>
    <w:rsid w:val="00A009CB"/>
    <w:rsid w:val="00A01B05"/>
    <w:rsid w:val="00A02B9B"/>
    <w:rsid w:val="00A02DAE"/>
    <w:rsid w:val="00A04C6D"/>
    <w:rsid w:val="00A04E8B"/>
    <w:rsid w:val="00A05FA8"/>
    <w:rsid w:val="00A06B58"/>
    <w:rsid w:val="00A06D85"/>
    <w:rsid w:val="00A07A39"/>
    <w:rsid w:val="00A07BDA"/>
    <w:rsid w:val="00A123F6"/>
    <w:rsid w:val="00A125B3"/>
    <w:rsid w:val="00A14BF0"/>
    <w:rsid w:val="00A163C3"/>
    <w:rsid w:val="00A235DE"/>
    <w:rsid w:val="00A236B3"/>
    <w:rsid w:val="00A2390D"/>
    <w:rsid w:val="00A24F74"/>
    <w:rsid w:val="00A26002"/>
    <w:rsid w:val="00A27FCA"/>
    <w:rsid w:val="00A30ABD"/>
    <w:rsid w:val="00A315B9"/>
    <w:rsid w:val="00A3178A"/>
    <w:rsid w:val="00A357C8"/>
    <w:rsid w:val="00A36424"/>
    <w:rsid w:val="00A36E3B"/>
    <w:rsid w:val="00A37D58"/>
    <w:rsid w:val="00A406B8"/>
    <w:rsid w:val="00A40D34"/>
    <w:rsid w:val="00A41E20"/>
    <w:rsid w:val="00A436C9"/>
    <w:rsid w:val="00A46F82"/>
    <w:rsid w:val="00A47B5E"/>
    <w:rsid w:val="00A52648"/>
    <w:rsid w:val="00A5421B"/>
    <w:rsid w:val="00A54E16"/>
    <w:rsid w:val="00A5548B"/>
    <w:rsid w:val="00A558FF"/>
    <w:rsid w:val="00A56665"/>
    <w:rsid w:val="00A56EC8"/>
    <w:rsid w:val="00A57CD6"/>
    <w:rsid w:val="00A60A76"/>
    <w:rsid w:val="00A6115D"/>
    <w:rsid w:val="00A61381"/>
    <w:rsid w:val="00A636AD"/>
    <w:rsid w:val="00A646F4"/>
    <w:rsid w:val="00A648FA"/>
    <w:rsid w:val="00A64BF8"/>
    <w:rsid w:val="00A651DA"/>
    <w:rsid w:val="00A6535C"/>
    <w:rsid w:val="00A66252"/>
    <w:rsid w:val="00A67DB5"/>
    <w:rsid w:val="00A70879"/>
    <w:rsid w:val="00A728D0"/>
    <w:rsid w:val="00A73951"/>
    <w:rsid w:val="00A73DFA"/>
    <w:rsid w:val="00A742F9"/>
    <w:rsid w:val="00A74D6B"/>
    <w:rsid w:val="00A751C7"/>
    <w:rsid w:val="00A77117"/>
    <w:rsid w:val="00A77835"/>
    <w:rsid w:val="00A81E5F"/>
    <w:rsid w:val="00A8269A"/>
    <w:rsid w:val="00A83C46"/>
    <w:rsid w:val="00A84A4B"/>
    <w:rsid w:val="00A87A1E"/>
    <w:rsid w:val="00A9467F"/>
    <w:rsid w:val="00A95C2E"/>
    <w:rsid w:val="00A95E8B"/>
    <w:rsid w:val="00A97C79"/>
    <w:rsid w:val="00A97D38"/>
    <w:rsid w:val="00AA181D"/>
    <w:rsid w:val="00AA2425"/>
    <w:rsid w:val="00AA391B"/>
    <w:rsid w:val="00AA3BE8"/>
    <w:rsid w:val="00AA3E10"/>
    <w:rsid w:val="00AA5B40"/>
    <w:rsid w:val="00AA6726"/>
    <w:rsid w:val="00AA7144"/>
    <w:rsid w:val="00AA7DB2"/>
    <w:rsid w:val="00AB0780"/>
    <w:rsid w:val="00AB1100"/>
    <w:rsid w:val="00AB1B0C"/>
    <w:rsid w:val="00AB1F47"/>
    <w:rsid w:val="00AB313B"/>
    <w:rsid w:val="00AB7A4B"/>
    <w:rsid w:val="00AC3823"/>
    <w:rsid w:val="00AC4316"/>
    <w:rsid w:val="00AC497E"/>
    <w:rsid w:val="00AC4D5A"/>
    <w:rsid w:val="00AC5992"/>
    <w:rsid w:val="00AC5BFD"/>
    <w:rsid w:val="00AC5DB2"/>
    <w:rsid w:val="00AC616F"/>
    <w:rsid w:val="00AC6894"/>
    <w:rsid w:val="00AC7B8B"/>
    <w:rsid w:val="00AD1CDC"/>
    <w:rsid w:val="00AD68AC"/>
    <w:rsid w:val="00AD793B"/>
    <w:rsid w:val="00AE0BD9"/>
    <w:rsid w:val="00AE1ADB"/>
    <w:rsid w:val="00AE1F8A"/>
    <w:rsid w:val="00AE47FA"/>
    <w:rsid w:val="00AE57DC"/>
    <w:rsid w:val="00AE7C46"/>
    <w:rsid w:val="00AF0239"/>
    <w:rsid w:val="00AF091D"/>
    <w:rsid w:val="00AF160A"/>
    <w:rsid w:val="00AF20F1"/>
    <w:rsid w:val="00AF30DD"/>
    <w:rsid w:val="00AF65BF"/>
    <w:rsid w:val="00AF7800"/>
    <w:rsid w:val="00AF7D00"/>
    <w:rsid w:val="00B0107F"/>
    <w:rsid w:val="00B01907"/>
    <w:rsid w:val="00B0235C"/>
    <w:rsid w:val="00B0276B"/>
    <w:rsid w:val="00B035E0"/>
    <w:rsid w:val="00B03756"/>
    <w:rsid w:val="00B03812"/>
    <w:rsid w:val="00B04826"/>
    <w:rsid w:val="00B05F42"/>
    <w:rsid w:val="00B063BB"/>
    <w:rsid w:val="00B07D46"/>
    <w:rsid w:val="00B12233"/>
    <w:rsid w:val="00B13203"/>
    <w:rsid w:val="00B1775E"/>
    <w:rsid w:val="00B211CF"/>
    <w:rsid w:val="00B304DA"/>
    <w:rsid w:val="00B31610"/>
    <w:rsid w:val="00B31922"/>
    <w:rsid w:val="00B31BAE"/>
    <w:rsid w:val="00B31D90"/>
    <w:rsid w:val="00B326BE"/>
    <w:rsid w:val="00B3389B"/>
    <w:rsid w:val="00B413BC"/>
    <w:rsid w:val="00B4501B"/>
    <w:rsid w:val="00B53579"/>
    <w:rsid w:val="00B54DF8"/>
    <w:rsid w:val="00B56AB1"/>
    <w:rsid w:val="00B578BF"/>
    <w:rsid w:val="00B5797E"/>
    <w:rsid w:val="00B61886"/>
    <w:rsid w:val="00B61979"/>
    <w:rsid w:val="00B62CD6"/>
    <w:rsid w:val="00B62D2E"/>
    <w:rsid w:val="00B63BB7"/>
    <w:rsid w:val="00B65472"/>
    <w:rsid w:val="00B701C7"/>
    <w:rsid w:val="00B75804"/>
    <w:rsid w:val="00B760E7"/>
    <w:rsid w:val="00B769C9"/>
    <w:rsid w:val="00B82CE3"/>
    <w:rsid w:val="00B8372B"/>
    <w:rsid w:val="00B85B60"/>
    <w:rsid w:val="00B904E7"/>
    <w:rsid w:val="00B9318F"/>
    <w:rsid w:val="00B932EA"/>
    <w:rsid w:val="00B94775"/>
    <w:rsid w:val="00B954F9"/>
    <w:rsid w:val="00B95BF8"/>
    <w:rsid w:val="00B95C6B"/>
    <w:rsid w:val="00B96269"/>
    <w:rsid w:val="00B970D8"/>
    <w:rsid w:val="00BA13C0"/>
    <w:rsid w:val="00BA2CEC"/>
    <w:rsid w:val="00BA3DAB"/>
    <w:rsid w:val="00BA7981"/>
    <w:rsid w:val="00BB1887"/>
    <w:rsid w:val="00BB1BBD"/>
    <w:rsid w:val="00BB23E3"/>
    <w:rsid w:val="00BB28A9"/>
    <w:rsid w:val="00BB76F5"/>
    <w:rsid w:val="00BC0EFA"/>
    <w:rsid w:val="00BC1758"/>
    <w:rsid w:val="00BC18AE"/>
    <w:rsid w:val="00BC472B"/>
    <w:rsid w:val="00BC56E8"/>
    <w:rsid w:val="00BD2932"/>
    <w:rsid w:val="00BD2FE5"/>
    <w:rsid w:val="00BD3111"/>
    <w:rsid w:val="00BD4DDB"/>
    <w:rsid w:val="00BD6B70"/>
    <w:rsid w:val="00BD7E97"/>
    <w:rsid w:val="00BE2E3B"/>
    <w:rsid w:val="00BE39AD"/>
    <w:rsid w:val="00BE5462"/>
    <w:rsid w:val="00BE6522"/>
    <w:rsid w:val="00BF0C8D"/>
    <w:rsid w:val="00BF1CA5"/>
    <w:rsid w:val="00BF3BE6"/>
    <w:rsid w:val="00BF482D"/>
    <w:rsid w:val="00BF4B08"/>
    <w:rsid w:val="00BF7695"/>
    <w:rsid w:val="00C01AE9"/>
    <w:rsid w:val="00C03541"/>
    <w:rsid w:val="00C058CC"/>
    <w:rsid w:val="00C06570"/>
    <w:rsid w:val="00C134BC"/>
    <w:rsid w:val="00C141F0"/>
    <w:rsid w:val="00C14D18"/>
    <w:rsid w:val="00C1656A"/>
    <w:rsid w:val="00C166C4"/>
    <w:rsid w:val="00C207F0"/>
    <w:rsid w:val="00C20E41"/>
    <w:rsid w:val="00C2328C"/>
    <w:rsid w:val="00C26B73"/>
    <w:rsid w:val="00C33069"/>
    <w:rsid w:val="00C35726"/>
    <w:rsid w:val="00C40287"/>
    <w:rsid w:val="00C429B3"/>
    <w:rsid w:val="00C438DA"/>
    <w:rsid w:val="00C449C3"/>
    <w:rsid w:val="00C45794"/>
    <w:rsid w:val="00C4721E"/>
    <w:rsid w:val="00C47720"/>
    <w:rsid w:val="00C47E1F"/>
    <w:rsid w:val="00C5074D"/>
    <w:rsid w:val="00C5208D"/>
    <w:rsid w:val="00C524EE"/>
    <w:rsid w:val="00C530A5"/>
    <w:rsid w:val="00C53E3D"/>
    <w:rsid w:val="00C5645E"/>
    <w:rsid w:val="00C57FA7"/>
    <w:rsid w:val="00C619CA"/>
    <w:rsid w:val="00C61C15"/>
    <w:rsid w:val="00C6509F"/>
    <w:rsid w:val="00C65125"/>
    <w:rsid w:val="00C703F7"/>
    <w:rsid w:val="00C7051E"/>
    <w:rsid w:val="00C80841"/>
    <w:rsid w:val="00C83648"/>
    <w:rsid w:val="00C8676E"/>
    <w:rsid w:val="00C8722E"/>
    <w:rsid w:val="00C87A13"/>
    <w:rsid w:val="00C87FF8"/>
    <w:rsid w:val="00C92E79"/>
    <w:rsid w:val="00CA2DA0"/>
    <w:rsid w:val="00CA3FF2"/>
    <w:rsid w:val="00CA5B4B"/>
    <w:rsid w:val="00CA730F"/>
    <w:rsid w:val="00CB1A6D"/>
    <w:rsid w:val="00CB2064"/>
    <w:rsid w:val="00CB2C3E"/>
    <w:rsid w:val="00CB46EE"/>
    <w:rsid w:val="00CB6A20"/>
    <w:rsid w:val="00CC1416"/>
    <w:rsid w:val="00CC39D6"/>
    <w:rsid w:val="00CC4005"/>
    <w:rsid w:val="00CC57F3"/>
    <w:rsid w:val="00CC6D9A"/>
    <w:rsid w:val="00CC73F5"/>
    <w:rsid w:val="00CC794E"/>
    <w:rsid w:val="00CD12A9"/>
    <w:rsid w:val="00CD1C85"/>
    <w:rsid w:val="00CD2CD8"/>
    <w:rsid w:val="00CD41DA"/>
    <w:rsid w:val="00CD6569"/>
    <w:rsid w:val="00CD76BD"/>
    <w:rsid w:val="00CE074D"/>
    <w:rsid w:val="00CE1564"/>
    <w:rsid w:val="00CE5B4F"/>
    <w:rsid w:val="00CE6CBB"/>
    <w:rsid w:val="00CE77AC"/>
    <w:rsid w:val="00CF06B4"/>
    <w:rsid w:val="00CF155F"/>
    <w:rsid w:val="00CF2CC2"/>
    <w:rsid w:val="00CF3656"/>
    <w:rsid w:val="00CF39FF"/>
    <w:rsid w:val="00CF744F"/>
    <w:rsid w:val="00D039AF"/>
    <w:rsid w:val="00D03C9A"/>
    <w:rsid w:val="00D1027A"/>
    <w:rsid w:val="00D11262"/>
    <w:rsid w:val="00D12C46"/>
    <w:rsid w:val="00D14B0F"/>
    <w:rsid w:val="00D16975"/>
    <w:rsid w:val="00D241FC"/>
    <w:rsid w:val="00D26CA7"/>
    <w:rsid w:val="00D26F87"/>
    <w:rsid w:val="00D27E6C"/>
    <w:rsid w:val="00D3136D"/>
    <w:rsid w:val="00D34001"/>
    <w:rsid w:val="00D34CBE"/>
    <w:rsid w:val="00D37047"/>
    <w:rsid w:val="00D376D9"/>
    <w:rsid w:val="00D42338"/>
    <w:rsid w:val="00D43364"/>
    <w:rsid w:val="00D45ED6"/>
    <w:rsid w:val="00D46EE2"/>
    <w:rsid w:val="00D51048"/>
    <w:rsid w:val="00D523AE"/>
    <w:rsid w:val="00D5331E"/>
    <w:rsid w:val="00D55FBB"/>
    <w:rsid w:val="00D567AB"/>
    <w:rsid w:val="00D56B75"/>
    <w:rsid w:val="00D607D8"/>
    <w:rsid w:val="00D610B9"/>
    <w:rsid w:val="00D63A8A"/>
    <w:rsid w:val="00D652A7"/>
    <w:rsid w:val="00D6576E"/>
    <w:rsid w:val="00D66560"/>
    <w:rsid w:val="00D712EA"/>
    <w:rsid w:val="00D77703"/>
    <w:rsid w:val="00D77794"/>
    <w:rsid w:val="00D809A6"/>
    <w:rsid w:val="00D82EF6"/>
    <w:rsid w:val="00D844E7"/>
    <w:rsid w:val="00D854FD"/>
    <w:rsid w:val="00D908E3"/>
    <w:rsid w:val="00D937B6"/>
    <w:rsid w:val="00D94DBE"/>
    <w:rsid w:val="00D9777C"/>
    <w:rsid w:val="00D97F5C"/>
    <w:rsid w:val="00DA20CB"/>
    <w:rsid w:val="00DA32F8"/>
    <w:rsid w:val="00DA4F3C"/>
    <w:rsid w:val="00DA7ABD"/>
    <w:rsid w:val="00DB026A"/>
    <w:rsid w:val="00DB1E96"/>
    <w:rsid w:val="00DB2230"/>
    <w:rsid w:val="00DB2F60"/>
    <w:rsid w:val="00DB4AF1"/>
    <w:rsid w:val="00DB6C0C"/>
    <w:rsid w:val="00DB6E3A"/>
    <w:rsid w:val="00DC32D6"/>
    <w:rsid w:val="00DD0EB5"/>
    <w:rsid w:val="00DD40CE"/>
    <w:rsid w:val="00DD53AD"/>
    <w:rsid w:val="00DD53E8"/>
    <w:rsid w:val="00DE11B0"/>
    <w:rsid w:val="00DE4DF9"/>
    <w:rsid w:val="00DE53FF"/>
    <w:rsid w:val="00DE6071"/>
    <w:rsid w:val="00DF0B20"/>
    <w:rsid w:val="00DF160B"/>
    <w:rsid w:val="00DF3025"/>
    <w:rsid w:val="00DF37CD"/>
    <w:rsid w:val="00DF463D"/>
    <w:rsid w:val="00DF46EF"/>
    <w:rsid w:val="00DF6AFD"/>
    <w:rsid w:val="00DF73EA"/>
    <w:rsid w:val="00E0067F"/>
    <w:rsid w:val="00E01C03"/>
    <w:rsid w:val="00E01D36"/>
    <w:rsid w:val="00E0779E"/>
    <w:rsid w:val="00E079EE"/>
    <w:rsid w:val="00E07B9C"/>
    <w:rsid w:val="00E11A25"/>
    <w:rsid w:val="00E11C65"/>
    <w:rsid w:val="00E12060"/>
    <w:rsid w:val="00E13245"/>
    <w:rsid w:val="00E25FB2"/>
    <w:rsid w:val="00E263E8"/>
    <w:rsid w:val="00E26844"/>
    <w:rsid w:val="00E26E40"/>
    <w:rsid w:val="00E30359"/>
    <w:rsid w:val="00E30CC2"/>
    <w:rsid w:val="00E3240B"/>
    <w:rsid w:val="00E3386F"/>
    <w:rsid w:val="00E42C89"/>
    <w:rsid w:val="00E44909"/>
    <w:rsid w:val="00E461E5"/>
    <w:rsid w:val="00E4652F"/>
    <w:rsid w:val="00E50386"/>
    <w:rsid w:val="00E55309"/>
    <w:rsid w:val="00E55A65"/>
    <w:rsid w:val="00E56C92"/>
    <w:rsid w:val="00E57310"/>
    <w:rsid w:val="00E5743C"/>
    <w:rsid w:val="00E62485"/>
    <w:rsid w:val="00E62D09"/>
    <w:rsid w:val="00E63D2E"/>
    <w:rsid w:val="00E64A9F"/>
    <w:rsid w:val="00E66754"/>
    <w:rsid w:val="00E671DD"/>
    <w:rsid w:val="00E67A92"/>
    <w:rsid w:val="00E67D28"/>
    <w:rsid w:val="00E702E6"/>
    <w:rsid w:val="00E70B48"/>
    <w:rsid w:val="00E751CB"/>
    <w:rsid w:val="00E7540E"/>
    <w:rsid w:val="00E76128"/>
    <w:rsid w:val="00E76355"/>
    <w:rsid w:val="00E8214B"/>
    <w:rsid w:val="00E82299"/>
    <w:rsid w:val="00E82A76"/>
    <w:rsid w:val="00E84C85"/>
    <w:rsid w:val="00E87E74"/>
    <w:rsid w:val="00E87FEB"/>
    <w:rsid w:val="00E90372"/>
    <w:rsid w:val="00E905C6"/>
    <w:rsid w:val="00E907E9"/>
    <w:rsid w:val="00E908F3"/>
    <w:rsid w:val="00E914A1"/>
    <w:rsid w:val="00E92693"/>
    <w:rsid w:val="00E93AE8"/>
    <w:rsid w:val="00E96E67"/>
    <w:rsid w:val="00E9752E"/>
    <w:rsid w:val="00EA0C48"/>
    <w:rsid w:val="00EA1174"/>
    <w:rsid w:val="00EA38A1"/>
    <w:rsid w:val="00EA5D21"/>
    <w:rsid w:val="00EA6529"/>
    <w:rsid w:val="00EB0F9A"/>
    <w:rsid w:val="00EB1DFA"/>
    <w:rsid w:val="00EB277D"/>
    <w:rsid w:val="00EB37F3"/>
    <w:rsid w:val="00EB4075"/>
    <w:rsid w:val="00EB5200"/>
    <w:rsid w:val="00EC0A46"/>
    <w:rsid w:val="00EC10F0"/>
    <w:rsid w:val="00EC3763"/>
    <w:rsid w:val="00EC4C59"/>
    <w:rsid w:val="00EC4FC1"/>
    <w:rsid w:val="00EC5FED"/>
    <w:rsid w:val="00ED03E4"/>
    <w:rsid w:val="00ED0E48"/>
    <w:rsid w:val="00ED6F10"/>
    <w:rsid w:val="00EE1985"/>
    <w:rsid w:val="00EE34FD"/>
    <w:rsid w:val="00EE3781"/>
    <w:rsid w:val="00EE4258"/>
    <w:rsid w:val="00EE4469"/>
    <w:rsid w:val="00EE593B"/>
    <w:rsid w:val="00EE5A5F"/>
    <w:rsid w:val="00EE73AE"/>
    <w:rsid w:val="00EE7890"/>
    <w:rsid w:val="00EF4A5B"/>
    <w:rsid w:val="00EF5344"/>
    <w:rsid w:val="00EF71A8"/>
    <w:rsid w:val="00EF77F3"/>
    <w:rsid w:val="00EF78E2"/>
    <w:rsid w:val="00EF7C2D"/>
    <w:rsid w:val="00F00724"/>
    <w:rsid w:val="00F055EF"/>
    <w:rsid w:val="00F06A71"/>
    <w:rsid w:val="00F07A85"/>
    <w:rsid w:val="00F11128"/>
    <w:rsid w:val="00F111F0"/>
    <w:rsid w:val="00F13C69"/>
    <w:rsid w:val="00F14C11"/>
    <w:rsid w:val="00F14D5E"/>
    <w:rsid w:val="00F205FF"/>
    <w:rsid w:val="00F211C5"/>
    <w:rsid w:val="00F21AA0"/>
    <w:rsid w:val="00F220DF"/>
    <w:rsid w:val="00F26873"/>
    <w:rsid w:val="00F27CD3"/>
    <w:rsid w:val="00F330C5"/>
    <w:rsid w:val="00F340D0"/>
    <w:rsid w:val="00F370FD"/>
    <w:rsid w:val="00F37C39"/>
    <w:rsid w:val="00F40D27"/>
    <w:rsid w:val="00F423D1"/>
    <w:rsid w:val="00F42418"/>
    <w:rsid w:val="00F43DE1"/>
    <w:rsid w:val="00F443C1"/>
    <w:rsid w:val="00F45EA8"/>
    <w:rsid w:val="00F47B28"/>
    <w:rsid w:val="00F501B4"/>
    <w:rsid w:val="00F50249"/>
    <w:rsid w:val="00F512F7"/>
    <w:rsid w:val="00F51B4B"/>
    <w:rsid w:val="00F522F7"/>
    <w:rsid w:val="00F5330B"/>
    <w:rsid w:val="00F5452B"/>
    <w:rsid w:val="00F62662"/>
    <w:rsid w:val="00F62755"/>
    <w:rsid w:val="00F644BA"/>
    <w:rsid w:val="00F664E2"/>
    <w:rsid w:val="00F66E42"/>
    <w:rsid w:val="00F66E92"/>
    <w:rsid w:val="00F674CB"/>
    <w:rsid w:val="00F67CC9"/>
    <w:rsid w:val="00F73726"/>
    <w:rsid w:val="00F753B8"/>
    <w:rsid w:val="00F762DC"/>
    <w:rsid w:val="00F8278D"/>
    <w:rsid w:val="00F83938"/>
    <w:rsid w:val="00F8405E"/>
    <w:rsid w:val="00F85376"/>
    <w:rsid w:val="00F8790B"/>
    <w:rsid w:val="00F90BD0"/>
    <w:rsid w:val="00F923EB"/>
    <w:rsid w:val="00F92A4B"/>
    <w:rsid w:val="00F94BEA"/>
    <w:rsid w:val="00F94E51"/>
    <w:rsid w:val="00F963E9"/>
    <w:rsid w:val="00FA33DC"/>
    <w:rsid w:val="00FA3409"/>
    <w:rsid w:val="00FA4355"/>
    <w:rsid w:val="00FB0713"/>
    <w:rsid w:val="00FB2CA6"/>
    <w:rsid w:val="00FB3673"/>
    <w:rsid w:val="00FB56CB"/>
    <w:rsid w:val="00FB66AA"/>
    <w:rsid w:val="00FC3830"/>
    <w:rsid w:val="00FC4B82"/>
    <w:rsid w:val="00FC4E0C"/>
    <w:rsid w:val="00FC564A"/>
    <w:rsid w:val="00FC6583"/>
    <w:rsid w:val="00FC72EE"/>
    <w:rsid w:val="00FC75D6"/>
    <w:rsid w:val="00FD3C11"/>
    <w:rsid w:val="00FD4253"/>
    <w:rsid w:val="00FD4996"/>
    <w:rsid w:val="00FD6F98"/>
    <w:rsid w:val="00FD73BC"/>
    <w:rsid w:val="00FD75DB"/>
    <w:rsid w:val="00FE100D"/>
    <w:rsid w:val="00FE249C"/>
    <w:rsid w:val="00FE37FA"/>
    <w:rsid w:val="00FE4015"/>
    <w:rsid w:val="00FE566F"/>
    <w:rsid w:val="00FE7299"/>
    <w:rsid w:val="00FF0676"/>
    <w:rsid w:val="00FF0AA6"/>
    <w:rsid w:val="00FF1164"/>
    <w:rsid w:val="00FF1EC1"/>
    <w:rsid w:val="00FF2A54"/>
    <w:rsid w:val="00FF462C"/>
    <w:rsid w:val="00FF5286"/>
    <w:rsid w:val="00FF6F49"/>
    <w:rsid w:val="00FF71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BA257"/>
  <w15:chartTrackingRefBased/>
  <w15:docId w15:val="{BB12425B-2ED0-49EC-9C26-80596CC2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17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81EC0"/>
    <w:pPr>
      <w:keepNext/>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FB56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36E3B"/>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qFormat/>
    <w:rsid w:val="00581EC0"/>
    <w:pPr>
      <w:keepNext/>
      <w:spacing w:before="240" w:after="60"/>
      <w:outlineLvl w:val="3"/>
    </w:pPr>
    <w:rPr>
      <w:rFonts w:ascii="Arial" w:hAnsi="Arial"/>
      <w:b/>
    </w:rPr>
  </w:style>
  <w:style w:type="paragraph" w:styleId="Heading5">
    <w:name w:val="heading 5"/>
    <w:basedOn w:val="Normal"/>
    <w:next w:val="Normal"/>
    <w:link w:val="Heading5Char"/>
    <w:qFormat/>
    <w:rsid w:val="00581EC0"/>
    <w:pPr>
      <w:spacing w:before="240" w:after="60"/>
      <w:outlineLvl w:val="4"/>
    </w:pPr>
    <w:rPr>
      <w:sz w:val="22"/>
    </w:rPr>
  </w:style>
  <w:style w:type="paragraph" w:styleId="Heading6">
    <w:name w:val="heading 6"/>
    <w:basedOn w:val="Normal"/>
    <w:next w:val="Normal"/>
    <w:link w:val="Heading6Char"/>
    <w:qFormat/>
    <w:rsid w:val="00581EC0"/>
    <w:pPr>
      <w:spacing w:before="240" w:after="60"/>
      <w:outlineLvl w:val="5"/>
    </w:pPr>
    <w:rPr>
      <w:i/>
      <w:sz w:val="22"/>
    </w:rPr>
  </w:style>
  <w:style w:type="paragraph" w:styleId="Heading7">
    <w:name w:val="heading 7"/>
    <w:basedOn w:val="Normal"/>
    <w:next w:val="Normal"/>
    <w:link w:val="Heading7Char"/>
    <w:qFormat/>
    <w:rsid w:val="00581EC0"/>
    <w:pPr>
      <w:spacing w:before="240" w:after="60"/>
      <w:outlineLvl w:val="6"/>
    </w:pPr>
    <w:rPr>
      <w:rFonts w:ascii="Arial" w:hAnsi="Arial"/>
      <w:sz w:val="20"/>
    </w:rPr>
  </w:style>
  <w:style w:type="paragraph" w:styleId="Heading8">
    <w:name w:val="heading 8"/>
    <w:basedOn w:val="Normal"/>
    <w:next w:val="Normal"/>
    <w:link w:val="Heading8Char"/>
    <w:qFormat/>
    <w:rsid w:val="00581EC0"/>
    <w:pPr>
      <w:spacing w:before="240" w:after="60"/>
      <w:outlineLvl w:val="7"/>
    </w:pPr>
    <w:rPr>
      <w:rFonts w:ascii="Arial" w:hAnsi="Arial"/>
      <w:i/>
      <w:sz w:val="20"/>
    </w:rPr>
  </w:style>
  <w:style w:type="paragraph" w:styleId="Heading9">
    <w:name w:val="heading 9"/>
    <w:basedOn w:val="Normal"/>
    <w:next w:val="Normal"/>
    <w:link w:val="Heading9Char"/>
    <w:qFormat/>
    <w:rsid w:val="00581EC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02A09"/>
    <w:pPr>
      <w:ind w:left="720"/>
      <w:contextualSpacing/>
    </w:pPr>
  </w:style>
  <w:style w:type="character" w:styleId="CommentReference">
    <w:name w:val="annotation reference"/>
    <w:uiPriority w:val="99"/>
    <w:semiHidden/>
    <w:rsid w:val="00B769C9"/>
    <w:rPr>
      <w:sz w:val="16"/>
      <w:szCs w:val="16"/>
    </w:rPr>
  </w:style>
  <w:style w:type="paragraph" w:styleId="CommentText">
    <w:name w:val="annotation text"/>
    <w:basedOn w:val="Normal"/>
    <w:link w:val="CommentTextChar"/>
    <w:uiPriority w:val="99"/>
    <w:rsid w:val="00B769C9"/>
    <w:rPr>
      <w:sz w:val="20"/>
      <w:szCs w:val="20"/>
      <w:lang w:eastAsia="en-US"/>
    </w:rPr>
  </w:style>
  <w:style w:type="character" w:customStyle="1" w:styleId="CommentTextChar">
    <w:name w:val="Comment Text Char"/>
    <w:basedOn w:val="DefaultParagraphFont"/>
    <w:link w:val="CommentText"/>
    <w:uiPriority w:val="99"/>
    <w:rsid w:val="00B769C9"/>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B76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9C9"/>
    <w:rPr>
      <w:rFonts w:ascii="Segoe UI" w:hAnsi="Segoe UI" w:cs="Segoe UI"/>
      <w:sz w:val="18"/>
      <w:szCs w:val="18"/>
    </w:rPr>
  </w:style>
  <w:style w:type="paragraph" w:customStyle="1" w:styleId="07IRorderedlistletters">
    <w:name w:val="07 IR ordered list (letters)"/>
    <w:basedOn w:val="Normal"/>
    <w:link w:val="07IRorderedlistlettersChar"/>
    <w:qFormat/>
    <w:rsid w:val="00DE4DF9"/>
    <w:pPr>
      <w:numPr>
        <w:numId w:val="1"/>
      </w:numPr>
      <w:shd w:val="clear" w:color="auto" w:fill="FFFFFF"/>
      <w:spacing w:before="40"/>
      <w:contextualSpacing/>
      <w:outlineLvl w:val="0"/>
    </w:pPr>
    <w:rPr>
      <w:rFonts w:ascii="Frutiger LT Std 55 Roman" w:hAnsi="Frutiger LT Std 55 Roman"/>
      <w:color w:val="000000"/>
      <w:sz w:val="18"/>
      <w:szCs w:val="18"/>
      <w:lang w:eastAsia="en-US"/>
    </w:rPr>
  </w:style>
  <w:style w:type="character" w:customStyle="1" w:styleId="07IRorderedlistlettersChar">
    <w:name w:val="07 IR ordered list (letters) Char"/>
    <w:link w:val="07IRorderedlistletters"/>
    <w:rsid w:val="00DE4DF9"/>
    <w:rPr>
      <w:rFonts w:ascii="Frutiger LT Std 55 Roman" w:eastAsia="Times New Roman" w:hAnsi="Frutiger LT Std 55 Roman" w:cs="Times New Roman"/>
      <w:color w:val="000000"/>
      <w:sz w:val="18"/>
      <w:szCs w:val="18"/>
      <w:shd w:val="clear" w:color="auto" w:fill="FFFFFF"/>
      <w:lang w:eastAsia="en-US"/>
    </w:rPr>
  </w:style>
  <w:style w:type="paragraph" w:styleId="Caption">
    <w:name w:val="caption"/>
    <w:basedOn w:val="Normal"/>
    <w:next w:val="Normal"/>
    <w:unhideWhenUsed/>
    <w:qFormat/>
    <w:rsid w:val="001923AB"/>
    <w:pPr>
      <w:spacing w:after="200"/>
    </w:pPr>
    <w:rPr>
      <w:i/>
      <w:iCs/>
      <w:color w:val="44546A" w:themeColor="text2"/>
      <w:sz w:val="18"/>
      <w:szCs w:val="18"/>
    </w:rPr>
  </w:style>
  <w:style w:type="paragraph" w:styleId="Header">
    <w:name w:val="header"/>
    <w:basedOn w:val="Normal"/>
    <w:link w:val="HeaderChar"/>
    <w:unhideWhenUsed/>
    <w:rsid w:val="00CC794E"/>
    <w:pPr>
      <w:tabs>
        <w:tab w:val="center" w:pos="4513"/>
        <w:tab w:val="right" w:pos="9026"/>
      </w:tabs>
    </w:pPr>
  </w:style>
  <w:style w:type="character" w:customStyle="1" w:styleId="HeaderChar">
    <w:name w:val="Header Char"/>
    <w:basedOn w:val="DefaultParagraphFont"/>
    <w:link w:val="Header"/>
    <w:rsid w:val="00CC794E"/>
  </w:style>
  <w:style w:type="paragraph" w:styleId="Footer">
    <w:name w:val="footer"/>
    <w:basedOn w:val="Normal"/>
    <w:link w:val="FooterChar"/>
    <w:unhideWhenUsed/>
    <w:rsid w:val="00CC794E"/>
    <w:pPr>
      <w:tabs>
        <w:tab w:val="center" w:pos="4513"/>
        <w:tab w:val="right" w:pos="9026"/>
      </w:tabs>
    </w:pPr>
  </w:style>
  <w:style w:type="character" w:customStyle="1" w:styleId="FooterChar">
    <w:name w:val="Footer Char"/>
    <w:basedOn w:val="DefaultParagraphFont"/>
    <w:link w:val="Footer"/>
    <w:uiPriority w:val="99"/>
    <w:rsid w:val="00CC794E"/>
  </w:style>
  <w:style w:type="character" w:customStyle="1" w:styleId="Heading3Char">
    <w:name w:val="Heading 3 Char"/>
    <w:basedOn w:val="DefaultParagraphFont"/>
    <w:link w:val="Heading3"/>
    <w:uiPriority w:val="9"/>
    <w:semiHidden/>
    <w:rsid w:val="00A36E3B"/>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unhideWhenUsed/>
    <w:rsid w:val="00A36E3B"/>
    <w:pPr>
      <w:spacing w:before="100" w:beforeAutospacing="1" w:after="100" w:afterAutospacing="1"/>
    </w:pPr>
  </w:style>
  <w:style w:type="character" w:customStyle="1" w:styleId="mw-headline">
    <w:name w:val="mw-headline"/>
    <w:basedOn w:val="DefaultParagraphFont"/>
    <w:rsid w:val="00A36E3B"/>
  </w:style>
  <w:style w:type="paragraph" w:styleId="CommentSubject">
    <w:name w:val="annotation subject"/>
    <w:basedOn w:val="CommentText"/>
    <w:next w:val="CommentText"/>
    <w:link w:val="CommentSubjectChar"/>
    <w:uiPriority w:val="99"/>
    <w:semiHidden/>
    <w:unhideWhenUsed/>
    <w:rsid w:val="00A36E3B"/>
    <w:pPr>
      <w:spacing w:after="16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A36E3B"/>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2113AE"/>
    <w:rPr>
      <w:color w:val="0563C1" w:themeColor="hyperlink"/>
      <w:u w:val="single"/>
    </w:rPr>
  </w:style>
  <w:style w:type="character" w:styleId="UnresolvedMention">
    <w:name w:val="Unresolved Mention"/>
    <w:basedOn w:val="DefaultParagraphFont"/>
    <w:uiPriority w:val="99"/>
    <w:semiHidden/>
    <w:unhideWhenUsed/>
    <w:rsid w:val="002113AE"/>
    <w:rPr>
      <w:color w:val="605E5C"/>
      <w:shd w:val="clear" w:color="auto" w:fill="E1DFDD"/>
    </w:rPr>
  </w:style>
  <w:style w:type="character" w:styleId="FollowedHyperlink">
    <w:name w:val="FollowedHyperlink"/>
    <w:basedOn w:val="DefaultParagraphFont"/>
    <w:uiPriority w:val="99"/>
    <w:semiHidden/>
    <w:unhideWhenUsed/>
    <w:rsid w:val="00432F08"/>
    <w:rPr>
      <w:color w:val="954F72" w:themeColor="followedHyperlink"/>
      <w:u w:val="single"/>
    </w:rPr>
  </w:style>
  <w:style w:type="paragraph" w:customStyle="1" w:styleId="Default">
    <w:name w:val="Default"/>
    <w:rsid w:val="007D6819"/>
    <w:pPr>
      <w:autoSpaceDE w:val="0"/>
      <w:autoSpaceDN w:val="0"/>
      <w:adjustRightInd w:val="0"/>
      <w:spacing w:after="0" w:line="240" w:lineRule="auto"/>
    </w:pPr>
    <w:rPr>
      <w:rFonts w:ascii="Symbol" w:hAnsi="Symbol" w:cs="Symbol"/>
      <w:color w:val="000000"/>
      <w:sz w:val="24"/>
      <w:szCs w:val="24"/>
    </w:rPr>
  </w:style>
  <w:style w:type="character" w:styleId="Emphasis">
    <w:name w:val="Emphasis"/>
    <w:basedOn w:val="DefaultParagraphFont"/>
    <w:uiPriority w:val="20"/>
    <w:qFormat/>
    <w:rsid w:val="00023CCF"/>
    <w:rPr>
      <w:i/>
      <w:iCs/>
    </w:rPr>
  </w:style>
  <w:style w:type="character" w:styleId="PageNumber">
    <w:name w:val="page number"/>
    <w:basedOn w:val="DefaultParagraphFont"/>
    <w:uiPriority w:val="99"/>
    <w:semiHidden/>
    <w:unhideWhenUsed/>
    <w:rsid w:val="00D55FBB"/>
  </w:style>
  <w:style w:type="character" w:customStyle="1" w:styleId="Heading2Char">
    <w:name w:val="Heading 2 Char"/>
    <w:basedOn w:val="DefaultParagraphFont"/>
    <w:link w:val="Heading2"/>
    <w:uiPriority w:val="9"/>
    <w:semiHidden/>
    <w:rsid w:val="00FB56CB"/>
    <w:rPr>
      <w:rFonts w:asciiTheme="majorHAnsi" w:eastAsiaTheme="majorEastAsia" w:hAnsiTheme="majorHAnsi" w:cstheme="majorBidi"/>
      <w:color w:val="2F5496" w:themeColor="accent1" w:themeShade="BF"/>
      <w:sz w:val="26"/>
      <w:szCs w:val="26"/>
      <w:lang w:eastAsia="en-GB"/>
    </w:rPr>
  </w:style>
  <w:style w:type="character" w:styleId="HTMLAcronym">
    <w:name w:val="HTML Acronym"/>
    <w:basedOn w:val="DefaultParagraphFont"/>
    <w:uiPriority w:val="99"/>
    <w:semiHidden/>
    <w:unhideWhenUsed/>
    <w:rsid w:val="001E6A17"/>
  </w:style>
  <w:style w:type="character" w:customStyle="1" w:styleId="Heading1Char">
    <w:name w:val="Heading 1 Char"/>
    <w:basedOn w:val="DefaultParagraphFont"/>
    <w:link w:val="Heading1"/>
    <w:rsid w:val="00581EC0"/>
    <w:rPr>
      <w:rFonts w:ascii="Arial" w:eastAsia="Times New Roman" w:hAnsi="Arial" w:cs="Times New Roman"/>
      <w:b/>
      <w:kern w:val="28"/>
      <w:sz w:val="28"/>
      <w:szCs w:val="24"/>
      <w:lang w:eastAsia="en-GB"/>
    </w:rPr>
  </w:style>
  <w:style w:type="character" w:customStyle="1" w:styleId="Heading4Char">
    <w:name w:val="Heading 4 Char"/>
    <w:basedOn w:val="DefaultParagraphFont"/>
    <w:link w:val="Heading4"/>
    <w:rsid w:val="00581EC0"/>
    <w:rPr>
      <w:rFonts w:ascii="Arial" w:eastAsia="Times New Roman" w:hAnsi="Arial" w:cs="Times New Roman"/>
      <w:b/>
      <w:sz w:val="24"/>
      <w:szCs w:val="24"/>
      <w:lang w:eastAsia="en-GB"/>
    </w:rPr>
  </w:style>
  <w:style w:type="character" w:customStyle="1" w:styleId="Heading5Char">
    <w:name w:val="Heading 5 Char"/>
    <w:basedOn w:val="DefaultParagraphFont"/>
    <w:link w:val="Heading5"/>
    <w:rsid w:val="00581EC0"/>
    <w:rPr>
      <w:rFonts w:ascii="Times New Roman" w:eastAsia="Times New Roman" w:hAnsi="Times New Roman" w:cs="Times New Roman"/>
      <w:szCs w:val="24"/>
      <w:lang w:eastAsia="en-GB"/>
    </w:rPr>
  </w:style>
  <w:style w:type="character" w:customStyle="1" w:styleId="Heading6Char">
    <w:name w:val="Heading 6 Char"/>
    <w:basedOn w:val="DefaultParagraphFont"/>
    <w:link w:val="Heading6"/>
    <w:rsid w:val="00581EC0"/>
    <w:rPr>
      <w:rFonts w:ascii="Times New Roman" w:eastAsia="Times New Roman" w:hAnsi="Times New Roman" w:cs="Times New Roman"/>
      <w:i/>
      <w:szCs w:val="24"/>
      <w:lang w:eastAsia="en-GB"/>
    </w:rPr>
  </w:style>
  <w:style w:type="character" w:customStyle="1" w:styleId="Heading7Char">
    <w:name w:val="Heading 7 Char"/>
    <w:basedOn w:val="DefaultParagraphFont"/>
    <w:link w:val="Heading7"/>
    <w:rsid w:val="00581EC0"/>
    <w:rPr>
      <w:rFonts w:ascii="Arial" w:eastAsia="Times New Roman" w:hAnsi="Arial" w:cs="Times New Roman"/>
      <w:sz w:val="20"/>
      <w:szCs w:val="24"/>
      <w:lang w:eastAsia="en-GB"/>
    </w:rPr>
  </w:style>
  <w:style w:type="character" w:customStyle="1" w:styleId="Heading8Char">
    <w:name w:val="Heading 8 Char"/>
    <w:basedOn w:val="DefaultParagraphFont"/>
    <w:link w:val="Heading8"/>
    <w:rsid w:val="00581EC0"/>
    <w:rPr>
      <w:rFonts w:ascii="Arial" w:eastAsia="Times New Roman" w:hAnsi="Arial" w:cs="Times New Roman"/>
      <w:i/>
      <w:sz w:val="20"/>
      <w:szCs w:val="24"/>
      <w:lang w:eastAsia="en-GB"/>
    </w:rPr>
  </w:style>
  <w:style w:type="character" w:customStyle="1" w:styleId="Heading9Char">
    <w:name w:val="Heading 9 Char"/>
    <w:basedOn w:val="DefaultParagraphFont"/>
    <w:link w:val="Heading9"/>
    <w:rsid w:val="00581EC0"/>
    <w:rPr>
      <w:rFonts w:ascii="Arial" w:eastAsia="Times New Roman" w:hAnsi="Arial" w:cs="Times New Roman"/>
      <w:b/>
      <w:i/>
      <w:sz w:val="18"/>
      <w:szCs w:val="24"/>
      <w:lang w:eastAsia="en-GB"/>
    </w:rPr>
  </w:style>
  <w:style w:type="paragraph" w:styleId="BlockText">
    <w:name w:val="Block Text"/>
    <w:basedOn w:val="Normal"/>
    <w:rsid w:val="00581EC0"/>
    <w:pPr>
      <w:spacing w:after="120"/>
      <w:ind w:left="1440" w:right="1440"/>
    </w:pPr>
  </w:style>
  <w:style w:type="paragraph" w:styleId="BodyText">
    <w:name w:val="Body Text"/>
    <w:basedOn w:val="Normal"/>
    <w:link w:val="BodyTextChar"/>
    <w:rsid w:val="00581EC0"/>
    <w:pPr>
      <w:spacing w:after="120"/>
    </w:pPr>
  </w:style>
  <w:style w:type="character" w:customStyle="1" w:styleId="BodyTextChar">
    <w:name w:val="Body Text Char"/>
    <w:basedOn w:val="DefaultParagraphFont"/>
    <w:link w:val="BodyText"/>
    <w:rsid w:val="00581EC0"/>
    <w:rPr>
      <w:rFonts w:ascii="Times New Roman" w:eastAsia="Times New Roman" w:hAnsi="Times New Roman" w:cs="Times New Roman"/>
      <w:sz w:val="24"/>
      <w:szCs w:val="24"/>
      <w:lang w:eastAsia="en-GB"/>
    </w:rPr>
  </w:style>
  <w:style w:type="paragraph" w:styleId="BodyText2">
    <w:name w:val="Body Text 2"/>
    <w:basedOn w:val="Normal"/>
    <w:link w:val="BodyText2Char"/>
    <w:rsid w:val="00581EC0"/>
    <w:pPr>
      <w:spacing w:after="120" w:line="480" w:lineRule="auto"/>
    </w:pPr>
  </w:style>
  <w:style w:type="character" w:customStyle="1" w:styleId="BodyText2Char">
    <w:name w:val="Body Text 2 Char"/>
    <w:basedOn w:val="DefaultParagraphFont"/>
    <w:link w:val="BodyText2"/>
    <w:rsid w:val="00581EC0"/>
    <w:rPr>
      <w:rFonts w:ascii="Times New Roman" w:eastAsia="Times New Roman" w:hAnsi="Times New Roman" w:cs="Times New Roman"/>
      <w:sz w:val="24"/>
      <w:szCs w:val="24"/>
      <w:lang w:eastAsia="en-GB"/>
    </w:rPr>
  </w:style>
  <w:style w:type="paragraph" w:styleId="BodyText3">
    <w:name w:val="Body Text 3"/>
    <w:basedOn w:val="Normal"/>
    <w:link w:val="BodyText3Char"/>
    <w:rsid w:val="00581EC0"/>
    <w:pPr>
      <w:spacing w:after="120"/>
    </w:pPr>
    <w:rPr>
      <w:sz w:val="16"/>
    </w:rPr>
  </w:style>
  <w:style w:type="character" w:customStyle="1" w:styleId="BodyText3Char">
    <w:name w:val="Body Text 3 Char"/>
    <w:basedOn w:val="DefaultParagraphFont"/>
    <w:link w:val="BodyText3"/>
    <w:rsid w:val="00581EC0"/>
    <w:rPr>
      <w:rFonts w:ascii="Times New Roman" w:eastAsia="Times New Roman" w:hAnsi="Times New Roman" w:cs="Times New Roman"/>
      <w:sz w:val="16"/>
      <w:szCs w:val="24"/>
      <w:lang w:eastAsia="en-GB"/>
    </w:rPr>
  </w:style>
  <w:style w:type="paragraph" w:styleId="BodyTextFirstIndent">
    <w:name w:val="Body Text First Indent"/>
    <w:basedOn w:val="BodyText"/>
    <w:link w:val="BodyTextFirstIndentChar"/>
    <w:rsid w:val="00581EC0"/>
    <w:pPr>
      <w:ind w:firstLine="210"/>
    </w:pPr>
  </w:style>
  <w:style w:type="character" w:customStyle="1" w:styleId="BodyTextFirstIndentChar">
    <w:name w:val="Body Text First Indent Char"/>
    <w:basedOn w:val="BodyTextChar"/>
    <w:link w:val="BodyTextFirstIndent"/>
    <w:rsid w:val="00581EC0"/>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81EC0"/>
    <w:pPr>
      <w:spacing w:after="120"/>
      <w:ind w:left="283"/>
    </w:pPr>
  </w:style>
  <w:style w:type="character" w:customStyle="1" w:styleId="BodyTextIndentChar">
    <w:name w:val="Body Text Indent Char"/>
    <w:basedOn w:val="DefaultParagraphFont"/>
    <w:link w:val="BodyTextIndent"/>
    <w:rsid w:val="00581EC0"/>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rsid w:val="00581EC0"/>
    <w:pPr>
      <w:ind w:firstLine="210"/>
    </w:pPr>
  </w:style>
  <w:style w:type="character" w:customStyle="1" w:styleId="BodyTextFirstIndent2Char">
    <w:name w:val="Body Text First Indent 2 Char"/>
    <w:basedOn w:val="BodyTextIndentChar"/>
    <w:link w:val="BodyTextFirstIndent2"/>
    <w:rsid w:val="00581EC0"/>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581EC0"/>
    <w:pPr>
      <w:spacing w:after="120" w:line="480" w:lineRule="auto"/>
      <w:ind w:left="283"/>
    </w:pPr>
  </w:style>
  <w:style w:type="character" w:customStyle="1" w:styleId="BodyTextIndent2Char">
    <w:name w:val="Body Text Indent 2 Char"/>
    <w:basedOn w:val="DefaultParagraphFont"/>
    <w:link w:val="BodyTextIndent2"/>
    <w:rsid w:val="00581EC0"/>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581EC0"/>
    <w:pPr>
      <w:spacing w:after="120"/>
      <w:ind w:left="283"/>
    </w:pPr>
    <w:rPr>
      <w:sz w:val="16"/>
    </w:rPr>
  </w:style>
  <w:style w:type="character" w:customStyle="1" w:styleId="BodyTextIndent3Char">
    <w:name w:val="Body Text Indent 3 Char"/>
    <w:basedOn w:val="DefaultParagraphFont"/>
    <w:link w:val="BodyTextIndent3"/>
    <w:rsid w:val="00581EC0"/>
    <w:rPr>
      <w:rFonts w:ascii="Times New Roman" w:eastAsia="Times New Roman" w:hAnsi="Times New Roman" w:cs="Times New Roman"/>
      <w:sz w:val="16"/>
      <w:szCs w:val="24"/>
      <w:lang w:eastAsia="en-GB"/>
    </w:rPr>
  </w:style>
  <w:style w:type="paragraph" w:styleId="Closing">
    <w:name w:val="Closing"/>
    <w:basedOn w:val="Normal"/>
    <w:link w:val="ClosingChar"/>
    <w:rsid w:val="00581EC0"/>
    <w:pPr>
      <w:ind w:left="4252"/>
    </w:pPr>
  </w:style>
  <w:style w:type="character" w:customStyle="1" w:styleId="ClosingChar">
    <w:name w:val="Closing Char"/>
    <w:basedOn w:val="DefaultParagraphFont"/>
    <w:link w:val="Closing"/>
    <w:rsid w:val="00581EC0"/>
    <w:rPr>
      <w:rFonts w:ascii="Times New Roman" w:eastAsia="Times New Roman" w:hAnsi="Times New Roman" w:cs="Times New Roman"/>
      <w:sz w:val="24"/>
      <w:szCs w:val="24"/>
      <w:lang w:eastAsia="en-GB"/>
    </w:rPr>
  </w:style>
  <w:style w:type="paragraph" w:styleId="Date">
    <w:name w:val="Date"/>
    <w:basedOn w:val="Normal"/>
    <w:next w:val="Normal"/>
    <w:link w:val="DateChar"/>
    <w:rsid w:val="00581EC0"/>
  </w:style>
  <w:style w:type="character" w:customStyle="1" w:styleId="DateChar">
    <w:name w:val="Date Char"/>
    <w:basedOn w:val="DefaultParagraphFont"/>
    <w:link w:val="Date"/>
    <w:rsid w:val="00581EC0"/>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rsid w:val="00581EC0"/>
    <w:pPr>
      <w:shd w:val="clear" w:color="auto" w:fill="000080"/>
    </w:pPr>
    <w:rPr>
      <w:rFonts w:ascii="Tahoma" w:hAnsi="Tahoma"/>
    </w:rPr>
  </w:style>
  <w:style w:type="character" w:customStyle="1" w:styleId="DocumentMapChar">
    <w:name w:val="Document Map Char"/>
    <w:basedOn w:val="DefaultParagraphFont"/>
    <w:link w:val="DocumentMap"/>
    <w:semiHidden/>
    <w:rsid w:val="00581EC0"/>
    <w:rPr>
      <w:rFonts w:ascii="Tahoma" w:eastAsia="Times New Roman" w:hAnsi="Tahoma" w:cs="Times New Roman"/>
      <w:sz w:val="24"/>
      <w:szCs w:val="24"/>
      <w:shd w:val="clear" w:color="auto" w:fill="000080"/>
      <w:lang w:eastAsia="en-GB"/>
    </w:rPr>
  </w:style>
  <w:style w:type="paragraph" w:styleId="EndnoteText">
    <w:name w:val="endnote text"/>
    <w:basedOn w:val="Normal"/>
    <w:link w:val="EndnoteTextChar"/>
    <w:semiHidden/>
    <w:rsid w:val="00581EC0"/>
    <w:rPr>
      <w:sz w:val="20"/>
    </w:rPr>
  </w:style>
  <w:style w:type="character" w:customStyle="1" w:styleId="EndnoteTextChar">
    <w:name w:val="Endnote Text Char"/>
    <w:basedOn w:val="DefaultParagraphFont"/>
    <w:link w:val="EndnoteText"/>
    <w:semiHidden/>
    <w:rsid w:val="00581EC0"/>
    <w:rPr>
      <w:rFonts w:ascii="Times New Roman" w:eastAsia="Times New Roman" w:hAnsi="Times New Roman" w:cs="Times New Roman"/>
      <w:sz w:val="20"/>
      <w:szCs w:val="24"/>
      <w:lang w:eastAsia="en-GB"/>
    </w:rPr>
  </w:style>
  <w:style w:type="paragraph" w:styleId="EnvelopeAddress">
    <w:name w:val="envelope address"/>
    <w:basedOn w:val="Normal"/>
    <w:rsid w:val="00581EC0"/>
    <w:pPr>
      <w:framePr w:w="7920" w:h="1980" w:hRule="exact" w:hSpace="180" w:wrap="auto" w:hAnchor="page" w:xAlign="center" w:yAlign="bottom"/>
      <w:ind w:left="2880"/>
    </w:pPr>
    <w:rPr>
      <w:rFonts w:ascii="Arial" w:hAnsi="Arial"/>
    </w:rPr>
  </w:style>
  <w:style w:type="paragraph" w:styleId="EnvelopeReturn">
    <w:name w:val="envelope return"/>
    <w:basedOn w:val="Normal"/>
    <w:rsid w:val="00581EC0"/>
    <w:rPr>
      <w:rFonts w:ascii="Arial" w:hAnsi="Arial"/>
      <w:sz w:val="20"/>
    </w:rPr>
  </w:style>
  <w:style w:type="paragraph" w:styleId="FootnoteText">
    <w:name w:val="footnote text"/>
    <w:basedOn w:val="Normal"/>
    <w:link w:val="FootnoteTextChar"/>
    <w:semiHidden/>
    <w:rsid w:val="00581EC0"/>
    <w:rPr>
      <w:sz w:val="20"/>
    </w:rPr>
  </w:style>
  <w:style w:type="character" w:customStyle="1" w:styleId="FootnoteTextChar">
    <w:name w:val="Footnote Text Char"/>
    <w:basedOn w:val="DefaultParagraphFont"/>
    <w:link w:val="FootnoteText"/>
    <w:semiHidden/>
    <w:rsid w:val="00581EC0"/>
    <w:rPr>
      <w:rFonts w:ascii="Times New Roman" w:eastAsia="Times New Roman" w:hAnsi="Times New Roman" w:cs="Times New Roman"/>
      <w:sz w:val="20"/>
      <w:szCs w:val="24"/>
      <w:lang w:eastAsia="en-GB"/>
    </w:rPr>
  </w:style>
  <w:style w:type="paragraph" w:styleId="Index1">
    <w:name w:val="index 1"/>
    <w:basedOn w:val="Normal"/>
    <w:next w:val="Normal"/>
    <w:autoRedefine/>
    <w:semiHidden/>
    <w:rsid w:val="00581EC0"/>
    <w:pPr>
      <w:ind w:left="240" w:hanging="240"/>
    </w:pPr>
  </w:style>
  <w:style w:type="paragraph" w:styleId="Index2">
    <w:name w:val="index 2"/>
    <w:basedOn w:val="Normal"/>
    <w:next w:val="Normal"/>
    <w:autoRedefine/>
    <w:semiHidden/>
    <w:rsid w:val="00581EC0"/>
    <w:pPr>
      <w:ind w:left="480" w:hanging="240"/>
    </w:pPr>
  </w:style>
  <w:style w:type="paragraph" w:styleId="Index3">
    <w:name w:val="index 3"/>
    <w:basedOn w:val="Normal"/>
    <w:next w:val="Normal"/>
    <w:autoRedefine/>
    <w:semiHidden/>
    <w:rsid w:val="00581EC0"/>
    <w:pPr>
      <w:ind w:left="720" w:hanging="240"/>
    </w:pPr>
  </w:style>
  <w:style w:type="paragraph" w:styleId="Index4">
    <w:name w:val="index 4"/>
    <w:basedOn w:val="Normal"/>
    <w:next w:val="Normal"/>
    <w:autoRedefine/>
    <w:semiHidden/>
    <w:rsid w:val="00581EC0"/>
    <w:pPr>
      <w:ind w:left="960" w:hanging="240"/>
    </w:pPr>
  </w:style>
  <w:style w:type="paragraph" w:styleId="Index5">
    <w:name w:val="index 5"/>
    <w:basedOn w:val="Normal"/>
    <w:next w:val="Normal"/>
    <w:autoRedefine/>
    <w:semiHidden/>
    <w:rsid w:val="00581EC0"/>
    <w:pPr>
      <w:ind w:left="1200" w:hanging="240"/>
    </w:pPr>
  </w:style>
  <w:style w:type="paragraph" w:styleId="Index6">
    <w:name w:val="index 6"/>
    <w:basedOn w:val="Normal"/>
    <w:next w:val="Normal"/>
    <w:autoRedefine/>
    <w:semiHidden/>
    <w:rsid w:val="00581EC0"/>
    <w:pPr>
      <w:ind w:left="1440" w:hanging="240"/>
    </w:pPr>
  </w:style>
  <w:style w:type="paragraph" w:styleId="Index7">
    <w:name w:val="index 7"/>
    <w:basedOn w:val="Normal"/>
    <w:next w:val="Normal"/>
    <w:autoRedefine/>
    <w:semiHidden/>
    <w:rsid w:val="00581EC0"/>
    <w:pPr>
      <w:ind w:left="1680" w:hanging="240"/>
    </w:pPr>
  </w:style>
  <w:style w:type="paragraph" w:styleId="Index8">
    <w:name w:val="index 8"/>
    <w:basedOn w:val="Normal"/>
    <w:next w:val="Normal"/>
    <w:autoRedefine/>
    <w:semiHidden/>
    <w:rsid w:val="00581EC0"/>
    <w:pPr>
      <w:ind w:left="1920" w:hanging="240"/>
    </w:pPr>
  </w:style>
  <w:style w:type="paragraph" w:styleId="Index9">
    <w:name w:val="index 9"/>
    <w:basedOn w:val="Normal"/>
    <w:next w:val="Normal"/>
    <w:autoRedefine/>
    <w:semiHidden/>
    <w:rsid w:val="00581EC0"/>
    <w:pPr>
      <w:ind w:left="2160" w:hanging="240"/>
    </w:pPr>
  </w:style>
  <w:style w:type="paragraph" w:styleId="IndexHeading">
    <w:name w:val="index heading"/>
    <w:basedOn w:val="Normal"/>
    <w:next w:val="Index1"/>
    <w:semiHidden/>
    <w:rsid w:val="00581EC0"/>
    <w:rPr>
      <w:rFonts w:ascii="Arial" w:hAnsi="Arial"/>
      <w:b/>
    </w:rPr>
  </w:style>
  <w:style w:type="paragraph" w:styleId="List">
    <w:name w:val="List"/>
    <w:basedOn w:val="Normal"/>
    <w:rsid w:val="00581EC0"/>
    <w:pPr>
      <w:ind w:left="283" w:hanging="283"/>
    </w:pPr>
  </w:style>
  <w:style w:type="paragraph" w:styleId="List2">
    <w:name w:val="List 2"/>
    <w:basedOn w:val="Normal"/>
    <w:rsid w:val="00581EC0"/>
    <w:pPr>
      <w:ind w:left="566" w:hanging="283"/>
    </w:pPr>
  </w:style>
  <w:style w:type="paragraph" w:styleId="List3">
    <w:name w:val="List 3"/>
    <w:basedOn w:val="Normal"/>
    <w:rsid w:val="00581EC0"/>
    <w:pPr>
      <w:ind w:left="849" w:hanging="283"/>
    </w:pPr>
  </w:style>
  <w:style w:type="paragraph" w:styleId="List4">
    <w:name w:val="List 4"/>
    <w:basedOn w:val="Normal"/>
    <w:rsid w:val="00581EC0"/>
    <w:pPr>
      <w:ind w:left="1132" w:hanging="283"/>
    </w:pPr>
  </w:style>
  <w:style w:type="paragraph" w:styleId="List5">
    <w:name w:val="List 5"/>
    <w:basedOn w:val="Normal"/>
    <w:rsid w:val="00581EC0"/>
    <w:pPr>
      <w:ind w:left="1415" w:hanging="283"/>
    </w:pPr>
  </w:style>
  <w:style w:type="paragraph" w:styleId="ListBullet">
    <w:name w:val="List Bullet"/>
    <w:basedOn w:val="Normal"/>
    <w:autoRedefine/>
    <w:rsid w:val="00581EC0"/>
    <w:pPr>
      <w:numPr>
        <w:numId w:val="5"/>
      </w:numPr>
    </w:pPr>
  </w:style>
  <w:style w:type="paragraph" w:styleId="ListBullet2">
    <w:name w:val="List Bullet 2"/>
    <w:basedOn w:val="Normal"/>
    <w:autoRedefine/>
    <w:rsid w:val="00581EC0"/>
    <w:pPr>
      <w:numPr>
        <w:numId w:val="6"/>
      </w:numPr>
    </w:pPr>
  </w:style>
  <w:style w:type="paragraph" w:styleId="ListBullet3">
    <w:name w:val="List Bullet 3"/>
    <w:basedOn w:val="Normal"/>
    <w:autoRedefine/>
    <w:rsid w:val="00581EC0"/>
    <w:pPr>
      <w:numPr>
        <w:numId w:val="7"/>
      </w:numPr>
    </w:pPr>
  </w:style>
  <w:style w:type="paragraph" w:styleId="ListBullet4">
    <w:name w:val="List Bullet 4"/>
    <w:basedOn w:val="Normal"/>
    <w:autoRedefine/>
    <w:rsid w:val="00581EC0"/>
    <w:pPr>
      <w:numPr>
        <w:numId w:val="8"/>
      </w:numPr>
    </w:pPr>
  </w:style>
  <w:style w:type="paragraph" w:styleId="ListBullet5">
    <w:name w:val="List Bullet 5"/>
    <w:basedOn w:val="Normal"/>
    <w:autoRedefine/>
    <w:rsid w:val="00581EC0"/>
    <w:pPr>
      <w:numPr>
        <w:numId w:val="9"/>
      </w:numPr>
    </w:pPr>
  </w:style>
  <w:style w:type="paragraph" w:styleId="ListContinue">
    <w:name w:val="List Continue"/>
    <w:basedOn w:val="Normal"/>
    <w:rsid w:val="00581EC0"/>
    <w:pPr>
      <w:spacing w:after="120"/>
      <w:ind w:left="283"/>
    </w:pPr>
  </w:style>
  <w:style w:type="paragraph" w:styleId="ListContinue2">
    <w:name w:val="List Continue 2"/>
    <w:basedOn w:val="Normal"/>
    <w:rsid w:val="00581EC0"/>
    <w:pPr>
      <w:spacing w:after="120"/>
      <w:ind w:left="566"/>
    </w:pPr>
  </w:style>
  <w:style w:type="paragraph" w:styleId="ListContinue3">
    <w:name w:val="List Continue 3"/>
    <w:basedOn w:val="Normal"/>
    <w:rsid w:val="00581EC0"/>
    <w:pPr>
      <w:spacing w:after="120"/>
      <w:ind w:left="849"/>
    </w:pPr>
  </w:style>
  <w:style w:type="paragraph" w:styleId="ListContinue4">
    <w:name w:val="List Continue 4"/>
    <w:basedOn w:val="Normal"/>
    <w:rsid w:val="00581EC0"/>
    <w:pPr>
      <w:spacing w:after="120"/>
      <w:ind w:left="1132"/>
    </w:pPr>
  </w:style>
  <w:style w:type="paragraph" w:styleId="ListContinue5">
    <w:name w:val="List Continue 5"/>
    <w:basedOn w:val="Normal"/>
    <w:rsid w:val="00581EC0"/>
    <w:pPr>
      <w:spacing w:after="120"/>
      <w:ind w:left="1415"/>
    </w:pPr>
  </w:style>
  <w:style w:type="paragraph" w:styleId="ListNumber">
    <w:name w:val="List Number"/>
    <w:basedOn w:val="Normal"/>
    <w:rsid w:val="00581EC0"/>
    <w:pPr>
      <w:numPr>
        <w:numId w:val="10"/>
      </w:numPr>
    </w:pPr>
  </w:style>
  <w:style w:type="paragraph" w:styleId="ListNumber2">
    <w:name w:val="List Number 2"/>
    <w:basedOn w:val="Normal"/>
    <w:rsid w:val="00581EC0"/>
    <w:pPr>
      <w:numPr>
        <w:numId w:val="11"/>
      </w:numPr>
    </w:pPr>
  </w:style>
  <w:style w:type="paragraph" w:styleId="ListNumber3">
    <w:name w:val="List Number 3"/>
    <w:basedOn w:val="Normal"/>
    <w:rsid w:val="00581EC0"/>
    <w:pPr>
      <w:numPr>
        <w:numId w:val="12"/>
      </w:numPr>
    </w:pPr>
  </w:style>
  <w:style w:type="paragraph" w:styleId="ListNumber4">
    <w:name w:val="List Number 4"/>
    <w:basedOn w:val="Normal"/>
    <w:rsid w:val="00581EC0"/>
    <w:pPr>
      <w:numPr>
        <w:numId w:val="13"/>
      </w:numPr>
    </w:pPr>
  </w:style>
  <w:style w:type="paragraph" w:styleId="ListNumber5">
    <w:name w:val="List Number 5"/>
    <w:basedOn w:val="Normal"/>
    <w:rsid w:val="00581EC0"/>
    <w:pPr>
      <w:numPr>
        <w:numId w:val="14"/>
      </w:numPr>
    </w:pPr>
  </w:style>
  <w:style w:type="paragraph" w:styleId="MacroText">
    <w:name w:val="macro"/>
    <w:link w:val="MacroTextChar"/>
    <w:semiHidden/>
    <w:rsid w:val="00581EC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US"/>
    </w:rPr>
  </w:style>
  <w:style w:type="character" w:customStyle="1" w:styleId="MacroTextChar">
    <w:name w:val="Macro Text Char"/>
    <w:basedOn w:val="DefaultParagraphFont"/>
    <w:link w:val="MacroText"/>
    <w:semiHidden/>
    <w:rsid w:val="00581EC0"/>
    <w:rPr>
      <w:rFonts w:ascii="Courier New" w:eastAsia="Times New Roman" w:hAnsi="Courier New" w:cs="Times New Roman"/>
      <w:sz w:val="20"/>
      <w:szCs w:val="20"/>
      <w:lang w:eastAsia="en-US"/>
    </w:rPr>
  </w:style>
  <w:style w:type="paragraph" w:styleId="MessageHeader">
    <w:name w:val="Message Header"/>
    <w:basedOn w:val="Normal"/>
    <w:link w:val="MessageHeaderChar"/>
    <w:rsid w:val="00581E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581EC0"/>
    <w:rPr>
      <w:rFonts w:ascii="Arial" w:eastAsia="Times New Roman" w:hAnsi="Arial" w:cs="Times New Roman"/>
      <w:sz w:val="24"/>
      <w:szCs w:val="24"/>
      <w:shd w:val="pct20" w:color="auto" w:fill="auto"/>
      <w:lang w:eastAsia="en-GB"/>
    </w:rPr>
  </w:style>
  <w:style w:type="paragraph" w:styleId="NormalIndent">
    <w:name w:val="Normal Indent"/>
    <w:basedOn w:val="Normal"/>
    <w:rsid w:val="00581EC0"/>
    <w:pPr>
      <w:ind w:left="720"/>
    </w:pPr>
  </w:style>
  <w:style w:type="paragraph" w:styleId="NoteHeading">
    <w:name w:val="Note Heading"/>
    <w:basedOn w:val="Normal"/>
    <w:next w:val="Normal"/>
    <w:link w:val="NoteHeadingChar"/>
    <w:rsid w:val="00581EC0"/>
  </w:style>
  <w:style w:type="character" w:customStyle="1" w:styleId="NoteHeadingChar">
    <w:name w:val="Note Heading Char"/>
    <w:basedOn w:val="DefaultParagraphFont"/>
    <w:link w:val="NoteHeading"/>
    <w:rsid w:val="00581EC0"/>
    <w:rPr>
      <w:rFonts w:ascii="Times New Roman" w:eastAsia="Times New Roman" w:hAnsi="Times New Roman" w:cs="Times New Roman"/>
      <w:sz w:val="24"/>
      <w:szCs w:val="24"/>
      <w:lang w:eastAsia="en-GB"/>
    </w:rPr>
  </w:style>
  <w:style w:type="paragraph" w:styleId="PlainText">
    <w:name w:val="Plain Text"/>
    <w:basedOn w:val="Normal"/>
    <w:link w:val="PlainTextChar"/>
    <w:rsid w:val="00581EC0"/>
    <w:rPr>
      <w:rFonts w:ascii="Courier New" w:hAnsi="Courier New"/>
      <w:sz w:val="20"/>
    </w:rPr>
  </w:style>
  <w:style w:type="character" w:customStyle="1" w:styleId="PlainTextChar">
    <w:name w:val="Plain Text Char"/>
    <w:basedOn w:val="DefaultParagraphFont"/>
    <w:link w:val="PlainText"/>
    <w:rsid w:val="00581EC0"/>
    <w:rPr>
      <w:rFonts w:ascii="Courier New" w:eastAsia="Times New Roman" w:hAnsi="Courier New" w:cs="Times New Roman"/>
      <w:sz w:val="20"/>
      <w:szCs w:val="24"/>
      <w:lang w:eastAsia="en-GB"/>
    </w:rPr>
  </w:style>
  <w:style w:type="paragraph" w:styleId="Salutation">
    <w:name w:val="Salutation"/>
    <w:basedOn w:val="Normal"/>
    <w:next w:val="Normal"/>
    <w:link w:val="SalutationChar"/>
    <w:rsid w:val="00581EC0"/>
  </w:style>
  <w:style w:type="character" w:customStyle="1" w:styleId="SalutationChar">
    <w:name w:val="Salutation Char"/>
    <w:basedOn w:val="DefaultParagraphFont"/>
    <w:link w:val="Salutation"/>
    <w:rsid w:val="00581EC0"/>
    <w:rPr>
      <w:rFonts w:ascii="Times New Roman" w:eastAsia="Times New Roman" w:hAnsi="Times New Roman" w:cs="Times New Roman"/>
      <w:sz w:val="24"/>
      <w:szCs w:val="24"/>
      <w:lang w:eastAsia="en-GB"/>
    </w:rPr>
  </w:style>
  <w:style w:type="paragraph" w:styleId="Signature">
    <w:name w:val="Signature"/>
    <w:basedOn w:val="Normal"/>
    <w:link w:val="SignatureChar"/>
    <w:rsid w:val="00581EC0"/>
    <w:pPr>
      <w:ind w:left="4252"/>
    </w:pPr>
  </w:style>
  <w:style w:type="character" w:customStyle="1" w:styleId="SignatureChar">
    <w:name w:val="Signature Char"/>
    <w:basedOn w:val="DefaultParagraphFont"/>
    <w:link w:val="Signature"/>
    <w:rsid w:val="00581EC0"/>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581EC0"/>
    <w:pPr>
      <w:spacing w:after="60"/>
      <w:jc w:val="center"/>
      <w:outlineLvl w:val="1"/>
    </w:pPr>
    <w:rPr>
      <w:rFonts w:ascii="Arial" w:hAnsi="Arial"/>
    </w:rPr>
  </w:style>
  <w:style w:type="character" w:customStyle="1" w:styleId="SubtitleChar">
    <w:name w:val="Subtitle Char"/>
    <w:basedOn w:val="DefaultParagraphFont"/>
    <w:link w:val="Subtitle"/>
    <w:rsid w:val="00581EC0"/>
    <w:rPr>
      <w:rFonts w:ascii="Arial" w:eastAsia="Times New Roman" w:hAnsi="Arial" w:cs="Times New Roman"/>
      <w:sz w:val="24"/>
      <w:szCs w:val="24"/>
      <w:lang w:eastAsia="en-GB"/>
    </w:rPr>
  </w:style>
  <w:style w:type="paragraph" w:styleId="TableofAuthorities">
    <w:name w:val="table of authorities"/>
    <w:basedOn w:val="Normal"/>
    <w:next w:val="Normal"/>
    <w:semiHidden/>
    <w:rsid w:val="00581EC0"/>
    <w:pPr>
      <w:ind w:left="240" w:hanging="240"/>
    </w:pPr>
  </w:style>
  <w:style w:type="paragraph" w:styleId="TableofFigures">
    <w:name w:val="table of figures"/>
    <w:basedOn w:val="Normal"/>
    <w:next w:val="Normal"/>
    <w:semiHidden/>
    <w:rsid w:val="00581EC0"/>
    <w:pPr>
      <w:ind w:left="480" w:hanging="480"/>
    </w:pPr>
  </w:style>
  <w:style w:type="paragraph" w:styleId="Title">
    <w:name w:val="Title"/>
    <w:basedOn w:val="Normal"/>
    <w:link w:val="TitleChar"/>
    <w:qFormat/>
    <w:rsid w:val="00581EC0"/>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81EC0"/>
    <w:rPr>
      <w:rFonts w:ascii="Arial" w:eastAsia="Times New Roman" w:hAnsi="Arial" w:cs="Times New Roman"/>
      <w:b/>
      <w:kern w:val="28"/>
      <w:sz w:val="32"/>
      <w:szCs w:val="24"/>
      <w:lang w:eastAsia="en-GB"/>
    </w:rPr>
  </w:style>
  <w:style w:type="paragraph" w:styleId="TOAHeading">
    <w:name w:val="toa heading"/>
    <w:basedOn w:val="Normal"/>
    <w:next w:val="Normal"/>
    <w:semiHidden/>
    <w:rsid w:val="00581EC0"/>
    <w:pPr>
      <w:spacing w:before="120"/>
    </w:pPr>
    <w:rPr>
      <w:rFonts w:ascii="Arial" w:hAnsi="Arial"/>
      <w:b/>
    </w:rPr>
  </w:style>
  <w:style w:type="paragraph" w:styleId="TOC1">
    <w:name w:val="toc 1"/>
    <w:basedOn w:val="Normal"/>
    <w:next w:val="Normal"/>
    <w:autoRedefine/>
    <w:semiHidden/>
    <w:rsid w:val="00581EC0"/>
  </w:style>
  <w:style w:type="paragraph" w:styleId="TOC2">
    <w:name w:val="toc 2"/>
    <w:basedOn w:val="Normal"/>
    <w:next w:val="Normal"/>
    <w:autoRedefine/>
    <w:semiHidden/>
    <w:rsid w:val="00581EC0"/>
    <w:pPr>
      <w:ind w:left="240"/>
    </w:pPr>
  </w:style>
  <w:style w:type="paragraph" w:styleId="TOC3">
    <w:name w:val="toc 3"/>
    <w:basedOn w:val="Normal"/>
    <w:next w:val="Normal"/>
    <w:autoRedefine/>
    <w:semiHidden/>
    <w:rsid w:val="00581EC0"/>
    <w:pPr>
      <w:ind w:left="480"/>
    </w:pPr>
  </w:style>
  <w:style w:type="paragraph" w:styleId="TOC4">
    <w:name w:val="toc 4"/>
    <w:basedOn w:val="Normal"/>
    <w:next w:val="Normal"/>
    <w:autoRedefine/>
    <w:semiHidden/>
    <w:rsid w:val="00581EC0"/>
    <w:pPr>
      <w:ind w:left="720"/>
    </w:pPr>
  </w:style>
  <w:style w:type="paragraph" w:styleId="TOC5">
    <w:name w:val="toc 5"/>
    <w:basedOn w:val="Normal"/>
    <w:next w:val="Normal"/>
    <w:autoRedefine/>
    <w:semiHidden/>
    <w:rsid w:val="00581EC0"/>
    <w:pPr>
      <w:ind w:left="960"/>
    </w:pPr>
  </w:style>
  <w:style w:type="paragraph" w:styleId="TOC6">
    <w:name w:val="toc 6"/>
    <w:basedOn w:val="Normal"/>
    <w:next w:val="Normal"/>
    <w:autoRedefine/>
    <w:semiHidden/>
    <w:rsid w:val="00581EC0"/>
    <w:pPr>
      <w:ind w:left="1200"/>
    </w:pPr>
  </w:style>
  <w:style w:type="paragraph" w:styleId="TOC7">
    <w:name w:val="toc 7"/>
    <w:basedOn w:val="Normal"/>
    <w:next w:val="Normal"/>
    <w:autoRedefine/>
    <w:semiHidden/>
    <w:rsid w:val="00581EC0"/>
    <w:pPr>
      <w:ind w:left="1440"/>
    </w:pPr>
  </w:style>
  <w:style w:type="paragraph" w:styleId="TOC8">
    <w:name w:val="toc 8"/>
    <w:basedOn w:val="Normal"/>
    <w:next w:val="Normal"/>
    <w:autoRedefine/>
    <w:semiHidden/>
    <w:rsid w:val="00581EC0"/>
    <w:pPr>
      <w:ind w:left="1680"/>
    </w:pPr>
  </w:style>
  <w:style w:type="paragraph" w:styleId="TOC9">
    <w:name w:val="toc 9"/>
    <w:basedOn w:val="Normal"/>
    <w:next w:val="Normal"/>
    <w:autoRedefine/>
    <w:semiHidden/>
    <w:rsid w:val="00581EC0"/>
    <w:pPr>
      <w:ind w:left="1920"/>
    </w:pPr>
  </w:style>
  <w:style w:type="table" w:styleId="TableGrid">
    <w:name w:val="Table Grid"/>
    <w:basedOn w:val="TableNormal"/>
    <w:uiPriority w:val="59"/>
    <w:rsid w:val="00581E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595">
      <w:bodyDiv w:val="1"/>
      <w:marLeft w:val="0"/>
      <w:marRight w:val="0"/>
      <w:marTop w:val="0"/>
      <w:marBottom w:val="0"/>
      <w:divBdr>
        <w:top w:val="none" w:sz="0" w:space="0" w:color="auto"/>
        <w:left w:val="none" w:sz="0" w:space="0" w:color="auto"/>
        <w:bottom w:val="none" w:sz="0" w:space="0" w:color="auto"/>
        <w:right w:val="none" w:sz="0" w:space="0" w:color="auto"/>
      </w:divBdr>
    </w:div>
    <w:div w:id="30038276">
      <w:bodyDiv w:val="1"/>
      <w:marLeft w:val="0"/>
      <w:marRight w:val="0"/>
      <w:marTop w:val="0"/>
      <w:marBottom w:val="0"/>
      <w:divBdr>
        <w:top w:val="none" w:sz="0" w:space="0" w:color="auto"/>
        <w:left w:val="none" w:sz="0" w:space="0" w:color="auto"/>
        <w:bottom w:val="none" w:sz="0" w:space="0" w:color="auto"/>
        <w:right w:val="none" w:sz="0" w:space="0" w:color="auto"/>
      </w:divBdr>
    </w:div>
    <w:div w:id="45758994">
      <w:bodyDiv w:val="1"/>
      <w:marLeft w:val="0"/>
      <w:marRight w:val="0"/>
      <w:marTop w:val="0"/>
      <w:marBottom w:val="0"/>
      <w:divBdr>
        <w:top w:val="none" w:sz="0" w:space="0" w:color="auto"/>
        <w:left w:val="none" w:sz="0" w:space="0" w:color="auto"/>
        <w:bottom w:val="none" w:sz="0" w:space="0" w:color="auto"/>
        <w:right w:val="none" w:sz="0" w:space="0" w:color="auto"/>
      </w:divBdr>
    </w:div>
    <w:div w:id="169832296">
      <w:bodyDiv w:val="1"/>
      <w:marLeft w:val="0"/>
      <w:marRight w:val="0"/>
      <w:marTop w:val="0"/>
      <w:marBottom w:val="0"/>
      <w:divBdr>
        <w:top w:val="none" w:sz="0" w:space="0" w:color="auto"/>
        <w:left w:val="none" w:sz="0" w:space="0" w:color="auto"/>
        <w:bottom w:val="none" w:sz="0" w:space="0" w:color="auto"/>
        <w:right w:val="none" w:sz="0" w:space="0" w:color="auto"/>
      </w:divBdr>
    </w:div>
    <w:div w:id="184296947">
      <w:bodyDiv w:val="1"/>
      <w:marLeft w:val="0"/>
      <w:marRight w:val="0"/>
      <w:marTop w:val="0"/>
      <w:marBottom w:val="0"/>
      <w:divBdr>
        <w:top w:val="none" w:sz="0" w:space="0" w:color="auto"/>
        <w:left w:val="none" w:sz="0" w:space="0" w:color="auto"/>
        <w:bottom w:val="none" w:sz="0" w:space="0" w:color="auto"/>
        <w:right w:val="none" w:sz="0" w:space="0" w:color="auto"/>
      </w:divBdr>
    </w:div>
    <w:div w:id="186605010">
      <w:bodyDiv w:val="1"/>
      <w:marLeft w:val="0"/>
      <w:marRight w:val="0"/>
      <w:marTop w:val="0"/>
      <w:marBottom w:val="0"/>
      <w:divBdr>
        <w:top w:val="none" w:sz="0" w:space="0" w:color="auto"/>
        <w:left w:val="none" w:sz="0" w:space="0" w:color="auto"/>
        <w:bottom w:val="none" w:sz="0" w:space="0" w:color="auto"/>
        <w:right w:val="none" w:sz="0" w:space="0" w:color="auto"/>
      </w:divBdr>
    </w:div>
    <w:div w:id="303900560">
      <w:bodyDiv w:val="1"/>
      <w:marLeft w:val="0"/>
      <w:marRight w:val="0"/>
      <w:marTop w:val="0"/>
      <w:marBottom w:val="0"/>
      <w:divBdr>
        <w:top w:val="none" w:sz="0" w:space="0" w:color="auto"/>
        <w:left w:val="none" w:sz="0" w:space="0" w:color="auto"/>
        <w:bottom w:val="none" w:sz="0" w:space="0" w:color="auto"/>
        <w:right w:val="none" w:sz="0" w:space="0" w:color="auto"/>
      </w:divBdr>
    </w:div>
    <w:div w:id="310915315">
      <w:bodyDiv w:val="1"/>
      <w:marLeft w:val="0"/>
      <w:marRight w:val="0"/>
      <w:marTop w:val="0"/>
      <w:marBottom w:val="0"/>
      <w:divBdr>
        <w:top w:val="none" w:sz="0" w:space="0" w:color="auto"/>
        <w:left w:val="none" w:sz="0" w:space="0" w:color="auto"/>
        <w:bottom w:val="none" w:sz="0" w:space="0" w:color="auto"/>
        <w:right w:val="none" w:sz="0" w:space="0" w:color="auto"/>
      </w:divBdr>
    </w:div>
    <w:div w:id="351490069">
      <w:bodyDiv w:val="1"/>
      <w:marLeft w:val="0"/>
      <w:marRight w:val="0"/>
      <w:marTop w:val="0"/>
      <w:marBottom w:val="0"/>
      <w:divBdr>
        <w:top w:val="none" w:sz="0" w:space="0" w:color="auto"/>
        <w:left w:val="none" w:sz="0" w:space="0" w:color="auto"/>
        <w:bottom w:val="none" w:sz="0" w:space="0" w:color="auto"/>
        <w:right w:val="none" w:sz="0" w:space="0" w:color="auto"/>
      </w:divBdr>
    </w:div>
    <w:div w:id="355154030">
      <w:bodyDiv w:val="1"/>
      <w:marLeft w:val="0"/>
      <w:marRight w:val="0"/>
      <w:marTop w:val="0"/>
      <w:marBottom w:val="0"/>
      <w:divBdr>
        <w:top w:val="none" w:sz="0" w:space="0" w:color="auto"/>
        <w:left w:val="none" w:sz="0" w:space="0" w:color="auto"/>
        <w:bottom w:val="none" w:sz="0" w:space="0" w:color="auto"/>
        <w:right w:val="none" w:sz="0" w:space="0" w:color="auto"/>
      </w:divBdr>
    </w:div>
    <w:div w:id="440342438">
      <w:bodyDiv w:val="1"/>
      <w:marLeft w:val="0"/>
      <w:marRight w:val="0"/>
      <w:marTop w:val="0"/>
      <w:marBottom w:val="0"/>
      <w:divBdr>
        <w:top w:val="none" w:sz="0" w:space="0" w:color="auto"/>
        <w:left w:val="none" w:sz="0" w:space="0" w:color="auto"/>
        <w:bottom w:val="none" w:sz="0" w:space="0" w:color="auto"/>
        <w:right w:val="none" w:sz="0" w:space="0" w:color="auto"/>
      </w:divBdr>
    </w:div>
    <w:div w:id="529758685">
      <w:bodyDiv w:val="1"/>
      <w:marLeft w:val="0"/>
      <w:marRight w:val="0"/>
      <w:marTop w:val="0"/>
      <w:marBottom w:val="0"/>
      <w:divBdr>
        <w:top w:val="none" w:sz="0" w:space="0" w:color="auto"/>
        <w:left w:val="none" w:sz="0" w:space="0" w:color="auto"/>
        <w:bottom w:val="none" w:sz="0" w:space="0" w:color="auto"/>
        <w:right w:val="none" w:sz="0" w:space="0" w:color="auto"/>
      </w:divBdr>
    </w:div>
    <w:div w:id="553657191">
      <w:bodyDiv w:val="1"/>
      <w:marLeft w:val="0"/>
      <w:marRight w:val="0"/>
      <w:marTop w:val="0"/>
      <w:marBottom w:val="0"/>
      <w:divBdr>
        <w:top w:val="none" w:sz="0" w:space="0" w:color="auto"/>
        <w:left w:val="none" w:sz="0" w:space="0" w:color="auto"/>
        <w:bottom w:val="none" w:sz="0" w:space="0" w:color="auto"/>
        <w:right w:val="none" w:sz="0" w:space="0" w:color="auto"/>
      </w:divBdr>
    </w:div>
    <w:div w:id="593323725">
      <w:bodyDiv w:val="1"/>
      <w:marLeft w:val="0"/>
      <w:marRight w:val="0"/>
      <w:marTop w:val="0"/>
      <w:marBottom w:val="0"/>
      <w:divBdr>
        <w:top w:val="none" w:sz="0" w:space="0" w:color="auto"/>
        <w:left w:val="none" w:sz="0" w:space="0" w:color="auto"/>
        <w:bottom w:val="none" w:sz="0" w:space="0" w:color="auto"/>
        <w:right w:val="none" w:sz="0" w:space="0" w:color="auto"/>
      </w:divBdr>
    </w:div>
    <w:div w:id="652568230">
      <w:bodyDiv w:val="1"/>
      <w:marLeft w:val="0"/>
      <w:marRight w:val="0"/>
      <w:marTop w:val="0"/>
      <w:marBottom w:val="0"/>
      <w:divBdr>
        <w:top w:val="none" w:sz="0" w:space="0" w:color="auto"/>
        <w:left w:val="none" w:sz="0" w:space="0" w:color="auto"/>
        <w:bottom w:val="none" w:sz="0" w:space="0" w:color="auto"/>
        <w:right w:val="none" w:sz="0" w:space="0" w:color="auto"/>
      </w:divBdr>
    </w:div>
    <w:div w:id="661782731">
      <w:bodyDiv w:val="1"/>
      <w:marLeft w:val="0"/>
      <w:marRight w:val="0"/>
      <w:marTop w:val="0"/>
      <w:marBottom w:val="0"/>
      <w:divBdr>
        <w:top w:val="none" w:sz="0" w:space="0" w:color="auto"/>
        <w:left w:val="none" w:sz="0" w:space="0" w:color="auto"/>
        <w:bottom w:val="none" w:sz="0" w:space="0" w:color="auto"/>
        <w:right w:val="none" w:sz="0" w:space="0" w:color="auto"/>
      </w:divBdr>
    </w:div>
    <w:div w:id="717895360">
      <w:bodyDiv w:val="1"/>
      <w:marLeft w:val="0"/>
      <w:marRight w:val="0"/>
      <w:marTop w:val="0"/>
      <w:marBottom w:val="0"/>
      <w:divBdr>
        <w:top w:val="none" w:sz="0" w:space="0" w:color="auto"/>
        <w:left w:val="none" w:sz="0" w:space="0" w:color="auto"/>
        <w:bottom w:val="none" w:sz="0" w:space="0" w:color="auto"/>
        <w:right w:val="none" w:sz="0" w:space="0" w:color="auto"/>
      </w:divBdr>
    </w:div>
    <w:div w:id="760301056">
      <w:bodyDiv w:val="1"/>
      <w:marLeft w:val="0"/>
      <w:marRight w:val="0"/>
      <w:marTop w:val="0"/>
      <w:marBottom w:val="0"/>
      <w:divBdr>
        <w:top w:val="none" w:sz="0" w:space="0" w:color="auto"/>
        <w:left w:val="none" w:sz="0" w:space="0" w:color="auto"/>
        <w:bottom w:val="none" w:sz="0" w:space="0" w:color="auto"/>
        <w:right w:val="none" w:sz="0" w:space="0" w:color="auto"/>
      </w:divBdr>
    </w:div>
    <w:div w:id="768619120">
      <w:bodyDiv w:val="1"/>
      <w:marLeft w:val="0"/>
      <w:marRight w:val="0"/>
      <w:marTop w:val="0"/>
      <w:marBottom w:val="0"/>
      <w:divBdr>
        <w:top w:val="none" w:sz="0" w:space="0" w:color="auto"/>
        <w:left w:val="none" w:sz="0" w:space="0" w:color="auto"/>
        <w:bottom w:val="none" w:sz="0" w:space="0" w:color="auto"/>
        <w:right w:val="none" w:sz="0" w:space="0" w:color="auto"/>
      </w:divBdr>
    </w:div>
    <w:div w:id="775294338">
      <w:bodyDiv w:val="1"/>
      <w:marLeft w:val="0"/>
      <w:marRight w:val="0"/>
      <w:marTop w:val="0"/>
      <w:marBottom w:val="0"/>
      <w:divBdr>
        <w:top w:val="none" w:sz="0" w:space="0" w:color="auto"/>
        <w:left w:val="none" w:sz="0" w:space="0" w:color="auto"/>
        <w:bottom w:val="none" w:sz="0" w:space="0" w:color="auto"/>
        <w:right w:val="none" w:sz="0" w:space="0" w:color="auto"/>
      </w:divBdr>
    </w:div>
    <w:div w:id="809978321">
      <w:bodyDiv w:val="1"/>
      <w:marLeft w:val="0"/>
      <w:marRight w:val="0"/>
      <w:marTop w:val="0"/>
      <w:marBottom w:val="0"/>
      <w:divBdr>
        <w:top w:val="none" w:sz="0" w:space="0" w:color="auto"/>
        <w:left w:val="none" w:sz="0" w:space="0" w:color="auto"/>
        <w:bottom w:val="none" w:sz="0" w:space="0" w:color="auto"/>
        <w:right w:val="none" w:sz="0" w:space="0" w:color="auto"/>
      </w:divBdr>
    </w:div>
    <w:div w:id="852650884">
      <w:bodyDiv w:val="1"/>
      <w:marLeft w:val="0"/>
      <w:marRight w:val="0"/>
      <w:marTop w:val="0"/>
      <w:marBottom w:val="0"/>
      <w:divBdr>
        <w:top w:val="none" w:sz="0" w:space="0" w:color="auto"/>
        <w:left w:val="none" w:sz="0" w:space="0" w:color="auto"/>
        <w:bottom w:val="none" w:sz="0" w:space="0" w:color="auto"/>
        <w:right w:val="none" w:sz="0" w:space="0" w:color="auto"/>
      </w:divBdr>
    </w:div>
    <w:div w:id="869417550">
      <w:bodyDiv w:val="1"/>
      <w:marLeft w:val="0"/>
      <w:marRight w:val="0"/>
      <w:marTop w:val="0"/>
      <w:marBottom w:val="0"/>
      <w:divBdr>
        <w:top w:val="none" w:sz="0" w:space="0" w:color="auto"/>
        <w:left w:val="none" w:sz="0" w:space="0" w:color="auto"/>
        <w:bottom w:val="none" w:sz="0" w:space="0" w:color="auto"/>
        <w:right w:val="none" w:sz="0" w:space="0" w:color="auto"/>
      </w:divBdr>
    </w:div>
    <w:div w:id="904217068">
      <w:bodyDiv w:val="1"/>
      <w:marLeft w:val="0"/>
      <w:marRight w:val="0"/>
      <w:marTop w:val="0"/>
      <w:marBottom w:val="0"/>
      <w:divBdr>
        <w:top w:val="none" w:sz="0" w:space="0" w:color="auto"/>
        <w:left w:val="none" w:sz="0" w:space="0" w:color="auto"/>
        <w:bottom w:val="none" w:sz="0" w:space="0" w:color="auto"/>
        <w:right w:val="none" w:sz="0" w:space="0" w:color="auto"/>
      </w:divBdr>
    </w:div>
    <w:div w:id="936136038">
      <w:bodyDiv w:val="1"/>
      <w:marLeft w:val="0"/>
      <w:marRight w:val="0"/>
      <w:marTop w:val="0"/>
      <w:marBottom w:val="0"/>
      <w:divBdr>
        <w:top w:val="none" w:sz="0" w:space="0" w:color="auto"/>
        <w:left w:val="none" w:sz="0" w:space="0" w:color="auto"/>
        <w:bottom w:val="none" w:sz="0" w:space="0" w:color="auto"/>
        <w:right w:val="none" w:sz="0" w:space="0" w:color="auto"/>
      </w:divBdr>
    </w:div>
    <w:div w:id="1003821793">
      <w:bodyDiv w:val="1"/>
      <w:marLeft w:val="0"/>
      <w:marRight w:val="0"/>
      <w:marTop w:val="0"/>
      <w:marBottom w:val="0"/>
      <w:divBdr>
        <w:top w:val="none" w:sz="0" w:space="0" w:color="auto"/>
        <w:left w:val="none" w:sz="0" w:space="0" w:color="auto"/>
        <w:bottom w:val="none" w:sz="0" w:space="0" w:color="auto"/>
        <w:right w:val="none" w:sz="0" w:space="0" w:color="auto"/>
      </w:divBdr>
    </w:div>
    <w:div w:id="1050770068">
      <w:bodyDiv w:val="1"/>
      <w:marLeft w:val="0"/>
      <w:marRight w:val="0"/>
      <w:marTop w:val="0"/>
      <w:marBottom w:val="0"/>
      <w:divBdr>
        <w:top w:val="none" w:sz="0" w:space="0" w:color="auto"/>
        <w:left w:val="none" w:sz="0" w:space="0" w:color="auto"/>
        <w:bottom w:val="none" w:sz="0" w:space="0" w:color="auto"/>
        <w:right w:val="none" w:sz="0" w:space="0" w:color="auto"/>
      </w:divBdr>
      <w:divsChild>
        <w:div w:id="1046376430">
          <w:marLeft w:val="374"/>
          <w:marRight w:val="0"/>
          <w:marTop w:val="222"/>
          <w:marBottom w:val="0"/>
          <w:divBdr>
            <w:top w:val="none" w:sz="0" w:space="0" w:color="auto"/>
            <w:left w:val="none" w:sz="0" w:space="0" w:color="auto"/>
            <w:bottom w:val="none" w:sz="0" w:space="0" w:color="auto"/>
            <w:right w:val="none" w:sz="0" w:space="0" w:color="auto"/>
          </w:divBdr>
        </w:div>
        <w:div w:id="703168127">
          <w:marLeft w:val="749"/>
          <w:marRight w:val="0"/>
          <w:marTop w:val="111"/>
          <w:marBottom w:val="0"/>
          <w:divBdr>
            <w:top w:val="none" w:sz="0" w:space="0" w:color="auto"/>
            <w:left w:val="none" w:sz="0" w:space="0" w:color="auto"/>
            <w:bottom w:val="none" w:sz="0" w:space="0" w:color="auto"/>
            <w:right w:val="none" w:sz="0" w:space="0" w:color="auto"/>
          </w:divBdr>
        </w:div>
        <w:div w:id="1433283235">
          <w:marLeft w:val="749"/>
          <w:marRight w:val="0"/>
          <w:marTop w:val="111"/>
          <w:marBottom w:val="0"/>
          <w:divBdr>
            <w:top w:val="none" w:sz="0" w:space="0" w:color="auto"/>
            <w:left w:val="none" w:sz="0" w:space="0" w:color="auto"/>
            <w:bottom w:val="none" w:sz="0" w:space="0" w:color="auto"/>
            <w:right w:val="none" w:sz="0" w:space="0" w:color="auto"/>
          </w:divBdr>
        </w:div>
      </w:divsChild>
    </w:div>
    <w:div w:id="1114667468">
      <w:bodyDiv w:val="1"/>
      <w:marLeft w:val="0"/>
      <w:marRight w:val="0"/>
      <w:marTop w:val="0"/>
      <w:marBottom w:val="0"/>
      <w:divBdr>
        <w:top w:val="none" w:sz="0" w:space="0" w:color="auto"/>
        <w:left w:val="none" w:sz="0" w:space="0" w:color="auto"/>
        <w:bottom w:val="none" w:sz="0" w:space="0" w:color="auto"/>
        <w:right w:val="none" w:sz="0" w:space="0" w:color="auto"/>
      </w:divBdr>
    </w:div>
    <w:div w:id="1188569229">
      <w:bodyDiv w:val="1"/>
      <w:marLeft w:val="0"/>
      <w:marRight w:val="0"/>
      <w:marTop w:val="0"/>
      <w:marBottom w:val="0"/>
      <w:divBdr>
        <w:top w:val="none" w:sz="0" w:space="0" w:color="auto"/>
        <w:left w:val="none" w:sz="0" w:space="0" w:color="auto"/>
        <w:bottom w:val="none" w:sz="0" w:space="0" w:color="auto"/>
        <w:right w:val="none" w:sz="0" w:space="0" w:color="auto"/>
      </w:divBdr>
    </w:div>
    <w:div w:id="1250121267">
      <w:bodyDiv w:val="1"/>
      <w:marLeft w:val="0"/>
      <w:marRight w:val="0"/>
      <w:marTop w:val="0"/>
      <w:marBottom w:val="0"/>
      <w:divBdr>
        <w:top w:val="none" w:sz="0" w:space="0" w:color="auto"/>
        <w:left w:val="none" w:sz="0" w:space="0" w:color="auto"/>
        <w:bottom w:val="none" w:sz="0" w:space="0" w:color="auto"/>
        <w:right w:val="none" w:sz="0" w:space="0" w:color="auto"/>
      </w:divBdr>
    </w:div>
    <w:div w:id="1251819572">
      <w:bodyDiv w:val="1"/>
      <w:marLeft w:val="0"/>
      <w:marRight w:val="0"/>
      <w:marTop w:val="0"/>
      <w:marBottom w:val="0"/>
      <w:divBdr>
        <w:top w:val="none" w:sz="0" w:space="0" w:color="auto"/>
        <w:left w:val="none" w:sz="0" w:space="0" w:color="auto"/>
        <w:bottom w:val="none" w:sz="0" w:space="0" w:color="auto"/>
        <w:right w:val="none" w:sz="0" w:space="0" w:color="auto"/>
      </w:divBdr>
      <w:divsChild>
        <w:div w:id="1006447237">
          <w:marLeft w:val="374"/>
          <w:marRight w:val="0"/>
          <w:marTop w:val="222"/>
          <w:marBottom w:val="0"/>
          <w:divBdr>
            <w:top w:val="none" w:sz="0" w:space="0" w:color="auto"/>
            <w:left w:val="none" w:sz="0" w:space="0" w:color="auto"/>
            <w:bottom w:val="none" w:sz="0" w:space="0" w:color="auto"/>
            <w:right w:val="none" w:sz="0" w:space="0" w:color="auto"/>
          </w:divBdr>
        </w:div>
        <w:div w:id="7340391">
          <w:marLeft w:val="374"/>
          <w:marRight w:val="0"/>
          <w:marTop w:val="222"/>
          <w:marBottom w:val="0"/>
          <w:divBdr>
            <w:top w:val="none" w:sz="0" w:space="0" w:color="auto"/>
            <w:left w:val="none" w:sz="0" w:space="0" w:color="auto"/>
            <w:bottom w:val="none" w:sz="0" w:space="0" w:color="auto"/>
            <w:right w:val="none" w:sz="0" w:space="0" w:color="auto"/>
          </w:divBdr>
        </w:div>
        <w:div w:id="793333672">
          <w:marLeft w:val="374"/>
          <w:marRight w:val="0"/>
          <w:marTop w:val="222"/>
          <w:marBottom w:val="0"/>
          <w:divBdr>
            <w:top w:val="none" w:sz="0" w:space="0" w:color="auto"/>
            <w:left w:val="none" w:sz="0" w:space="0" w:color="auto"/>
            <w:bottom w:val="none" w:sz="0" w:space="0" w:color="auto"/>
            <w:right w:val="none" w:sz="0" w:space="0" w:color="auto"/>
          </w:divBdr>
        </w:div>
        <w:div w:id="1199471159">
          <w:marLeft w:val="374"/>
          <w:marRight w:val="0"/>
          <w:marTop w:val="222"/>
          <w:marBottom w:val="0"/>
          <w:divBdr>
            <w:top w:val="none" w:sz="0" w:space="0" w:color="auto"/>
            <w:left w:val="none" w:sz="0" w:space="0" w:color="auto"/>
            <w:bottom w:val="none" w:sz="0" w:space="0" w:color="auto"/>
            <w:right w:val="none" w:sz="0" w:space="0" w:color="auto"/>
          </w:divBdr>
        </w:div>
      </w:divsChild>
    </w:div>
    <w:div w:id="1313831134">
      <w:bodyDiv w:val="1"/>
      <w:marLeft w:val="0"/>
      <w:marRight w:val="0"/>
      <w:marTop w:val="0"/>
      <w:marBottom w:val="0"/>
      <w:divBdr>
        <w:top w:val="none" w:sz="0" w:space="0" w:color="auto"/>
        <w:left w:val="none" w:sz="0" w:space="0" w:color="auto"/>
        <w:bottom w:val="none" w:sz="0" w:space="0" w:color="auto"/>
        <w:right w:val="none" w:sz="0" w:space="0" w:color="auto"/>
      </w:divBdr>
      <w:divsChild>
        <w:div w:id="1588342811">
          <w:marLeft w:val="374"/>
          <w:marRight w:val="0"/>
          <w:marTop w:val="222"/>
          <w:marBottom w:val="0"/>
          <w:divBdr>
            <w:top w:val="none" w:sz="0" w:space="0" w:color="auto"/>
            <w:left w:val="none" w:sz="0" w:space="0" w:color="auto"/>
            <w:bottom w:val="none" w:sz="0" w:space="0" w:color="auto"/>
            <w:right w:val="none" w:sz="0" w:space="0" w:color="auto"/>
          </w:divBdr>
        </w:div>
        <w:div w:id="454909948">
          <w:marLeft w:val="749"/>
          <w:marRight w:val="0"/>
          <w:marTop w:val="111"/>
          <w:marBottom w:val="0"/>
          <w:divBdr>
            <w:top w:val="none" w:sz="0" w:space="0" w:color="auto"/>
            <w:left w:val="none" w:sz="0" w:space="0" w:color="auto"/>
            <w:bottom w:val="none" w:sz="0" w:space="0" w:color="auto"/>
            <w:right w:val="none" w:sz="0" w:space="0" w:color="auto"/>
          </w:divBdr>
        </w:div>
        <w:div w:id="1630209911">
          <w:marLeft w:val="749"/>
          <w:marRight w:val="0"/>
          <w:marTop w:val="111"/>
          <w:marBottom w:val="0"/>
          <w:divBdr>
            <w:top w:val="none" w:sz="0" w:space="0" w:color="auto"/>
            <w:left w:val="none" w:sz="0" w:space="0" w:color="auto"/>
            <w:bottom w:val="none" w:sz="0" w:space="0" w:color="auto"/>
            <w:right w:val="none" w:sz="0" w:space="0" w:color="auto"/>
          </w:divBdr>
        </w:div>
        <w:div w:id="183642139">
          <w:marLeft w:val="749"/>
          <w:marRight w:val="0"/>
          <w:marTop w:val="111"/>
          <w:marBottom w:val="0"/>
          <w:divBdr>
            <w:top w:val="none" w:sz="0" w:space="0" w:color="auto"/>
            <w:left w:val="none" w:sz="0" w:space="0" w:color="auto"/>
            <w:bottom w:val="none" w:sz="0" w:space="0" w:color="auto"/>
            <w:right w:val="none" w:sz="0" w:space="0" w:color="auto"/>
          </w:divBdr>
        </w:div>
        <w:div w:id="1231890622">
          <w:marLeft w:val="749"/>
          <w:marRight w:val="0"/>
          <w:marTop w:val="111"/>
          <w:marBottom w:val="0"/>
          <w:divBdr>
            <w:top w:val="none" w:sz="0" w:space="0" w:color="auto"/>
            <w:left w:val="none" w:sz="0" w:space="0" w:color="auto"/>
            <w:bottom w:val="none" w:sz="0" w:space="0" w:color="auto"/>
            <w:right w:val="none" w:sz="0" w:space="0" w:color="auto"/>
          </w:divBdr>
        </w:div>
        <w:div w:id="1148787269">
          <w:marLeft w:val="749"/>
          <w:marRight w:val="0"/>
          <w:marTop w:val="111"/>
          <w:marBottom w:val="0"/>
          <w:divBdr>
            <w:top w:val="none" w:sz="0" w:space="0" w:color="auto"/>
            <w:left w:val="none" w:sz="0" w:space="0" w:color="auto"/>
            <w:bottom w:val="none" w:sz="0" w:space="0" w:color="auto"/>
            <w:right w:val="none" w:sz="0" w:space="0" w:color="auto"/>
          </w:divBdr>
        </w:div>
      </w:divsChild>
    </w:div>
    <w:div w:id="1334646699">
      <w:bodyDiv w:val="1"/>
      <w:marLeft w:val="0"/>
      <w:marRight w:val="0"/>
      <w:marTop w:val="0"/>
      <w:marBottom w:val="0"/>
      <w:divBdr>
        <w:top w:val="none" w:sz="0" w:space="0" w:color="auto"/>
        <w:left w:val="none" w:sz="0" w:space="0" w:color="auto"/>
        <w:bottom w:val="none" w:sz="0" w:space="0" w:color="auto"/>
        <w:right w:val="none" w:sz="0" w:space="0" w:color="auto"/>
      </w:divBdr>
    </w:div>
    <w:div w:id="1347706733">
      <w:bodyDiv w:val="1"/>
      <w:marLeft w:val="0"/>
      <w:marRight w:val="0"/>
      <w:marTop w:val="0"/>
      <w:marBottom w:val="0"/>
      <w:divBdr>
        <w:top w:val="none" w:sz="0" w:space="0" w:color="auto"/>
        <w:left w:val="none" w:sz="0" w:space="0" w:color="auto"/>
        <w:bottom w:val="none" w:sz="0" w:space="0" w:color="auto"/>
        <w:right w:val="none" w:sz="0" w:space="0" w:color="auto"/>
      </w:divBdr>
    </w:div>
    <w:div w:id="1363895941">
      <w:bodyDiv w:val="1"/>
      <w:marLeft w:val="0"/>
      <w:marRight w:val="0"/>
      <w:marTop w:val="0"/>
      <w:marBottom w:val="0"/>
      <w:divBdr>
        <w:top w:val="none" w:sz="0" w:space="0" w:color="auto"/>
        <w:left w:val="none" w:sz="0" w:space="0" w:color="auto"/>
        <w:bottom w:val="none" w:sz="0" w:space="0" w:color="auto"/>
        <w:right w:val="none" w:sz="0" w:space="0" w:color="auto"/>
      </w:divBdr>
    </w:div>
    <w:div w:id="1395085506">
      <w:bodyDiv w:val="1"/>
      <w:marLeft w:val="0"/>
      <w:marRight w:val="0"/>
      <w:marTop w:val="0"/>
      <w:marBottom w:val="0"/>
      <w:divBdr>
        <w:top w:val="none" w:sz="0" w:space="0" w:color="auto"/>
        <w:left w:val="none" w:sz="0" w:space="0" w:color="auto"/>
        <w:bottom w:val="none" w:sz="0" w:space="0" w:color="auto"/>
        <w:right w:val="none" w:sz="0" w:space="0" w:color="auto"/>
      </w:divBdr>
    </w:div>
    <w:div w:id="1438602305">
      <w:bodyDiv w:val="1"/>
      <w:marLeft w:val="0"/>
      <w:marRight w:val="0"/>
      <w:marTop w:val="0"/>
      <w:marBottom w:val="0"/>
      <w:divBdr>
        <w:top w:val="none" w:sz="0" w:space="0" w:color="auto"/>
        <w:left w:val="none" w:sz="0" w:space="0" w:color="auto"/>
        <w:bottom w:val="none" w:sz="0" w:space="0" w:color="auto"/>
        <w:right w:val="none" w:sz="0" w:space="0" w:color="auto"/>
      </w:divBdr>
    </w:div>
    <w:div w:id="1468937763">
      <w:bodyDiv w:val="1"/>
      <w:marLeft w:val="0"/>
      <w:marRight w:val="0"/>
      <w:marTop w:val="0"/>
      <w:marBottom w:val="0"/>
      <w:divBdr>
        <w:top w:val="none" w:sz="0" w:space="0" w:color="auto"/>
        <w:left w:val="none" w:sz="0" w:space="0" w:color="auto"/>
        <w:bottom w:val="none" w:sz="0" w:space="0" w:color="auto"/>
        <w:right w:val="none" w:sz="0" w:space="0" w:color="auto"/>
      </w:divBdr>
    </w:div>
    <w:div w:id="1490945926">
      <w:bodyDiv w:val="1"/>
      <w:marLeft w:val="0"/>
      <w:marRight w:val="0"/>
      <w:marTop w:val="0"/>
      <w:marBottom w:val="0"/>
      <w:divBdr>
        <w:top w:val="none" w:sz="0" w:space="0" w:color="auto"/>
        <w:left w:val="none" w:sz="0" w:space="0" w:color="auto"/>
        <w:bottom w:val="none" w:sz="0" w:space="0" w:color="auto"/>
        <w:right w:val="none" w:sz="0" w:space="0" w:color="auto"/>
      </w:divBdr>
    </w:div>
    <w:div w:id="1503423584">
      <w:bodyDiv w:val="1"/>
      <w:marLeft w:val="0"/>
      <w:marRight w:val="0"/>
      <w:marTop w:val="0"/>
      <w:marBottom w:val="0"/>
      <w:divBdr>
        <w:top w:val="none" w:sz="0" w:space="0" w:color="auto"/>
        <w:left w:val="none" w:sz="0" w:space="0" w:color="auto"/>
        <w:bottom w:val="none" w:sz="0" w:space="0" w:color="auto"/>
        <w:right w:val="none" w:sz="0" w:space="0" w:color="auto"/>
      </w:divBdr>
    </w:div>
    <w:div w:id="1515530413">
      <w:bodyDiv w:val="1"/>
      <w:marLeft w:val="0"/>
      <w:marRight w:val="0"/>
      <w:marTop w:val="0"/>
      <w:marBottom w:val="0"/>
      <w:divBdr>
        <w:top w:val="none" w:sz="0" w:space="0" w:color="auto"/>
        <w:left w:val="none" w:sz="0" w:space="0" w:color="auto"/>
        <w:bottom w:val="none" w:sz="0" w:space="0" w:color="auto"/>
        <w:right w:val="none" w:sz="0" w:space="0" w:color="auto"/>
      </w:divBdr>
    </w:div>
    <w:div w:id="1616405923">
      <w:bodyDiv w:val="1"/>
      <w:marLeft w:val="0"/>
      <w:marRight w:val="0"/>
      <w:marTop w:val="0"/>
      <w:marBottom w:val="0"/>
      <w:divBdr>
        <w:top w:val="none" w:sz="0" w:space="0" w:color="auto"/>
        <w:left w:val="none" w:sz="0" w:space="0" w:color="auto"/>
        <w:bottom w:val="none" w:sz="0" w:space="0" w:color="auto"/>
        <w:right w:val="none" w:sz="0" w:space="0" w:color="auto"/>
      </w:divBdr>
    </w:div>
    <w:div w:id="1682703211">
      <w:bodyDiv w:val="1"/>
      <w:marLeft w:val="0"/>
      <w:marRight w:val="0"/>
      <w:marTop w:val="0"/>
      <w:marBottom w:val="0"/>
      <w:divBdr>
        <w:top w:val="none" w:sz="0" w:space="0" w:color="auto"/>
        <w:left w:val="none" w:sz="0" w:space="0" w:color="auto"/>
        <w:bottom w:val="none" w:sz="0" w:space="0" w:color="auto"/>
        <w:right w:val="none" w:sz="0" w:space="0" w:color="auto"/>
      </w:divBdr>
    </w:div>
    <w:div w:id="1701936602">
      <w:bodyDiv w:val="1"/>
      <w:marLeft w:val="0"/>
      <w:marRight w:val="0"/>
      <w:marTop w:val="0"/>
      <w:marBottom w:val="0"/>
      <w:divBdr>
        <w:top w:val="none" w:sz="0" w:space="0" w:color="auto"/>
        <w:left w:val="none" w:sz="0" w:space="0" w:color="auto"/>
        <w:bottom w:val="none" w:sz="0" w:space="0" w:color="auto"/>
        <w:right w:val="none" w:sz="0" w:space="0" w:color="auto"/>
      </w:divBdr>
    </w:div>
    <w:div w:id="1748308360">
      <w:bodyDiv w:val="1"/>
      <w:marLeft w:val="0"/>
      <w:marRight w:val="0"/>
      <w:marTop w:val="0"/>
      <w:marBottom w:val="0"/>
      <w:divBdr>
        <w:top w:val="none" w:sz="0" w:space="0" w:color="auto"/>
        <w:left w:val="none" w:sz="0" w:space="0" w:color="auto"/>
        <w:bottom w:val="none" w:sz="0" w:space="0" w:color="auto"/>
        <w:right w:val="none" w:sz="0" w:space="0" w:color="auto"/>
      </w:divBdr>
    </w:div>
    <w:div w:id="1822696214">
      <w:bodyDiv w:val="1"/>
      <w:marLeft w:val="0"/>
      <w:marRight w:val="0"/>
      <w:marTop w:val="0"/>
      <w:marBottom w:val="0"/>
      <w:divBdr>
        <w:top w:val="none" w:sz="0" w:space="0" w:color="auto"/>
        <w:left w:val="none" w:sz="0" w:space="0" w:color="auto"/>
        <w:bottom w:val="none" w:sz="0" w:space="0" w:color="auto"/>
        <w:right w:val="none" w:sz="0" w:space="0" w:color="auto"/>
      </w:divBdr>
    </w:div>
    <w:div w:id="1869830902">
      <w:bodyDiv w:val="1"/>
      <w:marLeft w:val="0"/>
      <w:marRight w:val="0"/>
      <w:marTop w:val="0"/>
      <w:marBottom w:val="0"/>
      <w:divBdr>
        <w:top w:val="none" w:sz="0" w:space="0" w:color="auto"/>
        <w:left w:val="none" w:sz="0" w:space="0" w:color="auto"/>
        <w:bottom w:val="none" w:sz="0" w:space="0" w:color="auto"/>
        <w:right w:val="none" w:sz="0" w:space="0" w:color="auto"/>
      </w:divBdr>
    </w:div>
    <w:div w:id="1871917605">
      <w:bodyDiv w:val="1"/>
      <w:marLeft w:val="0"/>
      <w:marRight w:val="0"/>
      <w:marTop w:val="0"/>
      <w:marBottom w:val="0"/>
      <w:divBdr>
        <w:top w:val="none" w:sz="0" w:space="0" w:color="auto"/>
        <w:left w:val="none" w:sz="0" w:space="0" w:color="auto"/>
        <w:bottom w:val="none" w:sz="0" w:space="0" w:color="auto"/>
        <w:right w:val="none" w:sz="0" w:space="0" w:color="auto"/>
      </w:divBdr>
    </w:div>
    <w:div w:id="1881357083">
      <w:bodyDiv w:val="1"/>
      <w:marLeft w:val="0"/>
      <w:marRight w:val="0"/>
      <w:marTop w:val="0"/>
      <w:marBottom w:val="0"/>
      <w:divBdr>
        <w:top w:val="none" w:sz="0" w:space="0" w:color="auto"/>
        <w:left w:val="none" w:sz="0" w:space="0" w:color="auto"/>
        <w:bottom w:val="none" w:sz="0" w:space="0" w:color="auto"/>
        <w:right w:val="none" w:sz="0" w:space="0" w:color="auto"/>
      </w:divBdr>
    </w:div>
    <w:div w:id="1957321756">
      <w:bodyDiv w:val="1"/>
      <w:marLeft w:val="0"/>
      <w:marRight w:val="0"/>
      <w:marTop w:val="0"/>
      <w:marBottom w:val="0"/>
      <w:divBdr>
        <w:top w:val="none" w:sz="0" w:space="0" w:color="auto"/>
        <w:left w:val="none" w:sz="0" w:space="0" w:color="auto"/>
        <w:bottom w:val="none" w:sz="0" w:space="0" w:color="auto"/>
        <w:right w:val="none" w:sz="0" w:space="0" w:color="auto"/>
      </w:divBdr>
    </w:div>
    <w:div w:id="2085638111">
      <w:bodyDiv w:val="1"/>
      <w:marLeft w:val="0"/>
      <w:marRight w:val="0"/>
      <w:marTop w:val="0"/>
      <w:marBottom w:val="0"/>
      <w:divBdr>
        <w:top w:val="none" w:sz="0" w:space="0" w:color="auto"/>
        <w:left w:val="none" w:sz="0" w:space="0" w:color="auto"/>
        <w:bottom w:val="none" w:sz="0" w:space="0" w:color="auto"/>
        <w:right w:val="none" w:sz="0" w:space="0" w:color="auto"/>
      </w:divBdr>
    </w:div>
    <w:div w:id="2101024158">
      <w:bodyDiv w:val="1"/>
      <w:marLeft w:val="0"/>
      <w:marRight w:val="0"/>
      <w:marTop w:val="0"/>
      <w:marBottom w:val="0"/>
      <w:divBdr>
        <w:top w:val="none" w:sz="0" w:space="0" w:color="auto"/>
        <w:left w:val="none" w:sz="0" w:space="0" w:color="auto"/>
        <w:bottom w:val="none" w:sz="0" w:space="0" w:color="auto"/>
        <w:right w:val="none" w:sz="0" w:space="0" w:color="auto"/>
      </w:divBdr>
    </w:div>
    <w:div w:id="212299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he-alert.org/en/article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he-alert.org/en/centre-spreads.cfm" TargetMode="External"/><Relationship Id="rId2" Type="http://schemas.openxmlformats.org/officeDocument/2006/relationships/customXml" Target="../customXml/item2.xml"/><Relationship Id="rId16" Type="http://schemas.openxmlformats.org/officeDocument/2006/relationships/hyperlink" Target="https://www.he-alert.org/index.cfm/bulletin/Accid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E836840572E49A4443A0CA5BCB81E" ma:contentTypeVersion="6" ma:contentTypeDescription="Create a new document." ma:contentTypeScope="" ma:versionID="6759abdb7e932020387cbb3da99b8b35">
  <xsd:schema xmlns:xsd="http://www.w3.org/2001/XMLSchema" xmlns:xs="http://www.w3.org/2001/XMLSchema" xmlns:p="http://schemas.microsoft.com/office/2006/metadata/properties" xmlns:ns3="1dd03814-5f0f-4958-9895-59a1816b5e9d" targetNamespace="http://schemas.microsoft.com/office/2006/metadata/properties" ma:root="true" ma:fieldsID="1a224f2bdbf0a2c19653234611e43d08" ns3:_="">
    <xsd:import namespace="1dd03814-5f0f-4958-9895-59a1816b5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03814-5f0f-4958-9895-59a1816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E7E5-C288-4F2A-B3A9-C19851718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03814-5f0f-4958-9895-59a1816b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CDBED-0B63-47C2-AF73-ADD9DF453487}">
  <ds:schemaRefs>
    <ds:schemaRef ds:uri="http://schemas.microsoft.com/sharepoint/v3/contenttype/forms"/>
  </ds:schemaRefs>
</ds:datastoreItem>
</file>

<file path=customXml/itemProps3.xml><?xml version="1.0" encoding="utf-8"?>
<ds:datastoreItem xmlns:ds="http://schemas.openxmlformats.org/officeDocument/2006/customXml" ds:itemID="{9862C299-738F-4953-BC8F-3E47EFC26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561F19-362D-734A-A2D4-47AB9CF5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6381</Words>
  <Characters>36376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Dhwani</dc:creator>
  <cp:keywords/>
  <dc:description/>
  <cp:lastModifiedBy>oakley d.d. (ddo1g17)</cp:lastModifiedBy>
  <cp:revision>2</cp:revision>
  <cp:lastPrinted>2019-11-20T19:43:00Z</cp:lastPrinted>
  <dcterms:created xsi:type="dcterms:W3CDTF">2020-03-05T09:57:00Z</dcterms:created>
  <dcterms:modified xsi:type="dcterms:W3CDTF">2020-03-05T09:57:00Z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0x0101002D5E836840572E49A4443A0CA5BCB81E</vt:lpwstr>
  </property>
</Properties>
</file>