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4D4AE" w14:textId="0C108BD1" w:rsidR="00214280" w:rsidRPr="00044E3C" w:rsidRDefault="00893673" w:rsidP="005C2DF4">
      <w:pPr>
        <w:spacing w:line="480" w:lineRule="auto"/>
        <w:jc w:val="both"/>
        <w:rPr>
          <w:rFonts w:ascii="Arial" w:hAnsi="Arial" w:cs="Arial"/>
          <w:b/>
          <w:bCs/>
          <w:sz w:val="28"/>
          <w:szCs w:val="28"/>
        </w:rPr>
      </w:pPr>
      <w:bookmarkStart w:id="0" w:name="_GoBack"/>
      <w:r>
        <w:rPr>
          <w:rFonts w:ascii="Arial" w:hAnsi="Arial" w:cs="Arial"/>
          <w:b/>
          <w:bCs/>
          <w:sz w:val="28"/>
          <w:szCs w:val="28"/>
        </w:rPr>
        <w:t>Tracking</w:t>
      </w:r>
      <w:r w:rsidR="00502B4D">
        <w:rPr>
          <w:rFonts w:ascii="Arial" w:hAnsi="Arial" w:cs="Arial"/>
          <w:b/>
          <w:bCs/>
          <w:sz w:val="28"/>
          <w:szCs w:val="28"/>
        </w:rPr>
        <w:t xml:space="preserve"> </w:t>
      </w:r>
      <w:r w:rsidR="00214280">
        <w:rPr>
          <w:rFonts w:ascii="Arial" w:hAnsi="Arial" w:cs="Arial"/>
          <w:b/>
          <w:bCs/>
          <w:sz w:val="28"/>
          <w:szCs w:val="28"/>
        </w:rPr>
        <w:t xml:space="preserve">forest biophysical properties </w:t>
      </w:r>
      <w:bookmarkEnd w:id="0"/>
      <w:r w:rsidR="00214280">
        <w:rPr>
          <w:rFonts w:ascii="Arial" w:hAnsi="Arial" w:cs="Arial"/>
          <w:b/>
          <w:bCs/>
          <w:sz w:val="28"/>
          <w:szCs w:val="28"/>
        </w:rPr>
        <w:t xml:space="preserve">with </w:t>
      </w:r>
      <w:r w:rsidR="00667309">
        <w:rPr>
          <w:rFonts w:ascii="Arial" w:hAnsi="Arial" w:cs="Arial"/>
          <w:b/>
          <w:bCs/>
          <w:sz w:val="28"/>
          <w:szCs w:val="28"/>
        </w:rPr>
        <w:t>automated</w:t>
      </w:r>
      <w:r>
        <w:rPr>
          <w:rFonts w:ascii="Arial" w:hAnsi="Arial" w:cs="Arial"/>
          <w:b/>
          <w:bCs/>
          <w:sz w:val="28"/>
          <w:szCs w:val="28"/>
        </w:rPr>
        <w:t xml:space="preserve"> </w:t>
      </w:r>
      <w:r w:rsidR="00214280">
        <w:rPr>
          <w:rFonts w:ascii="Arial" w:hAnsi="Arial" w:cs="Arial"/>
          <w:b/>
          <w:bCs/>
          <w:sz w:val="28"/>
          <w:szCs w:val="28"/>
        </w:rPr>
        <w:t>digital repeat photography: a fisheye perspective</w:t>
      </w:r>
      <w:r w:rsidR="00DC20A7">
        <w:rPr>
          <w:rFonts w:ascii="Arial" w:hAnsi="Arial" w:cs="Arial"/>
          <w:b/>
          <w:bCs/>
          <w:sz w:val="28"/>
          <w:szCs w:val="28"/>
        </w:rPr>
        <w:t xml:space="preserve"> </w:t>
      </w:r>
      <w:r w:rsidR="009062BC">
        <w:rPr>
          <w:rFonts w:ascii="Arial" w:hAnsi="Arial" w:cs="Arial"/>
          <w:b/>
          <w:bCs/>
          <w:sz w:val="28"/>
          <w:szCs w:val="28"/>
        </w:rPr>
        <w:t xml:space="preserve">using digital hemispherical photography </w:t>
      </w:r>
      <w:r w:rsidR="00DC20A7">
        <w:rPr>
          <w:rFonts w:ascii="Arial" w:hAnsi="Arial" w:cs="Arial"/>
          <w:b/>
          <w:bCs/>
          <w:sz w:val="28"/>
          <w:szCs w:val="28"/>
        </w:rPr>
        <w:t>from below the canopy</w:t>
      </w:r>
    </w:p>
    <w:p w14:paraId="6AEBFFC1" w14:textId="7B78815E" w:rsidR="005C2DF4" w:rsidRPr="00044E3C" w:rsidRDefault="005C2DF4" w:rsidP="005C2DF4">
      <w:pPr>
        <w:spacing w:line="480" w:lineRule="auto"/>
        <w:jc w:val="both"/>
        <w:rPr>
          <w:rFonts w:ascii="Arial" w:hAnsi="Arial" w:cs="Arial"/>
          <w:sz w:val="20"/>
          <w:szCs w:val="20"/>
        </w:rPr>
      </w:pPr>
      <w:r w:rsidRPr="00044E3C">
        <w:rPr>
          <w:rFonts w:ascii="Arial" w:hAnsi="Arial" w:cs="Arial"/>
          <w:sz w:val="20"/>
          <w:szCs w:val="20"/>
        </w:rPr>
        <w:t>Luke A. Brown</w:t>
      </w:r>
      <w:r w:rsidRPr="00044E3C">
        <w:rPr>
          <w:rFonts w:ascii="Arial" w:hAnsi="Arial" w:cs="Arial"/>
          <w:sz w:val="20"/>
          <w:szCs w:val="20"/>
          <w:vertAlign w:val="superscript"/>
        </w:rPr>
        <w:t>1</w:t>
      </w:r>
      <w:r w:rsidRPr="00044E3C">
        <w:rPr>
          <w:rFonts w:ascii="Arial" w:hAnsi="Arial" w:cs="Arial"/>
          <w:sz w:val="20"/>
          <w:szCs w:val="20"/>
        </w:rPr>
        <w:t>*, Booker O. Ogutu</w:t>
      </w:r>
      <w:r w:rsidRPr="00044E3C">
        <w:rPr>
          <w:rFonts w:ascii="Arial" w:hAnsi="Arial" w:cs="Arial"/>
          <w:sz w:val="20"/>
          <w:szCs w:val="20"/>
          <w:vertAlign w:val="superscript"/>
        </w:rPr>
        <w:t>1</w:t>
      </w:r>
      <w:r w:rsidR="00FE5582">
        <w:rPr>
          <w:rFonts w:ascii="Arial" w:hAnsi="Arial" w:cs="Arial"/>
          <w:sz w:val="20"/>
          <w:szCs w:val="20"/>
        </w:rPr>
        <w:t xml:space="preserve"> </w:t>
      </w:r>
      <w:r w:rsidR="00253FB7">
        <w:rPr>
          <w:rFonts w:ascii="Arial" w:hAnsi="Arial" w:cs="Arial"/>
          <w:sz w:val="20"/>
          <w:szCs w:val="20"/>
        </w:rPr>
        <w:t xml:space="preserve">and </w:t>
      </w:r>
      <w:proofErr w:type="spellStart"/>
      <w:r w:rsidR="00253FB7" w:rsidRPr="00044E3C">
        <w:rPr>
          <w:rFonts w:ascii="Arial" w:hAnsi="Arial" w:cs="Arial"/>
          <w:sz w:val="20"/>
          <w:szCs w:val="20"/>
        </w:rPr>
        <w:t>Jadunandan</w:t>
      </w:r>
      <w:proofErr w:type="spellEnd"/>
      <w:r w:rsidR="00253FB7" w:rsidRPr="00044E3C">
        <w:rPr>
          <w:rFonts w:ascii="Arial" w:hAnsi="Arial" w:cs="Arial"/>
          <w:sz w:val="20"/>
          <w:szCs w:val="20"/>
        </w:rPr>
        <w:t xml:space="preserve"> Dash</w:t>
      </w:r>
      <w:r w:rsidR="00253FB7" w:rsidRPr="00044E3C">
        <w:rPr>
          <w:rFonts w:ascii="Arial" w:hAnsi="Arial" w:cs="Arial"/>
          <w:sz w:val="20"/>
          <w:szCs w:val="20"/>
          <w:vertAlign w:val="superscript"/>
        </w:rPr>
        <w:t>1</w:t>
      </w:r>
      <w:r w:rsidRPr="00044E3C">
        <w:rPr>
          <w:rFonts w:ascii="Arial" w:hAnsi="Arial" w:cs="Arial"/>
          <w:sz w:val="20"/>
          <w:szCs w:val="20"/>
          <w:vertAlign w:val="superscript"/>
        </w:rPr>
        <w:tab/>
      </w:r>
      <w:r w:rsidRPr="00044E3C">
        <w:rPr>
          <w:rFonts w:ascii="Arial" w:hAnsi="Arial" w:cs="Arial"/>
          <w:sz w:val="20"/>
          <w:szCs w:val="20"/>
        </w:rPr>
        <w:br/>
      </w:r>
    </w:p>
    <w:p w14:paraId="7ABF8A24" w14:textId="1A9EC765" w:rsidR="005C2DF4" w:rsidRDefault="005C2DF4" w:rsidP="005C2DF4">
      <w:pPr>
        <w:spacing w:line="480" w:lineRule="auto"/>
        <w:jc w:val="both"/>
        <w:rPr>
          <w:rFonts w:ascii="Arial" w:hAnsi="Arial" w:cs="Arial"/>
          <w:sz w:val="20"/>
          <w:szCs w:val="20"/>
        </w:rPr>
      </w:pPr>
      <w:r w:rsidRPr="00044E3C">
        <w:rPr>
          <w:rFonts w:ascii="Arial" w:hAnsi="Arial" w:cs="Arial"/>
          <w:sz w:val="20"/>
          <w:szCs w:val="20"/>
          <w:vertAlign w:val="superscript"/>
        </w:rPr>
        <w:t>1</w:t>
      </w:r>
      <w:r w:rsidR="00B623AB">
        <w:rPr>
          <w:rFonts w:ascii="Arial" w:hAnsi="Arial" w:cs="Arial"/>
          <w:sz w:val="20"/>
          <w:szCs w:val="20"/>
        </w:rPr>
        <w:t>School of G</w:t>
      </w:r>
      <w:r w:rsidRPr="00044E3C">
        <w:rPr>
          <w:rFonts w:ascii="Arial" w:hAnsi="Arial" w:cs="Arial"/>
          <w:sz w:val="20"/>
          <w:szCs w:val="20"/>
        </w:rPr>
        <w:t>eography and Environment</w:t>
      </w:r>
      <w:r w:rsidR="00B623AB">
        <w:rPr>
          <w:rFonts w:ascii="Arial" w:hAnsi="Arial" w:cs="Arial"/>
          <w:sz w:val="20"/>
          <w:szCs w:val="20"/>
        </w:rPr>
        <w:t>al Science</w:t>
      </w:r>
      <w:r w:rsidRPr="00044E3C">
        <w:rPr>
          <w:rFonts w:ascii="Arial" w:hAnsi="Arial" w:cs="Arial"/>
          <w:sz w:val="20"/>
          <w:szCs w:val="20"/>
        </w:rPr>
        <w:t>, University of Southampton, Highfield, Southampton, SO17 1BJ, United Kingdom</w:t>
      </w:r>
    </w:p>
    <w:p w14:paraId="2123912C" w14:textId="77777777" w:rsidR="005C2DF4" w:rsidRPr="00044E3C" w:rsidRDefault="005C2DF4" w:rsidP="005C2DF4">
      <w:pPr>
        <w:spacing w:line="480" w:lineRule="auto"/>
        <w:jc w:val="both"/>
        <w:rPr>
          <w:rFonts w:ascii="Arial" w:hAnsi="Arial" w:cs="Arial"/>
          <w:sz w:val="20"/>
          <w:szCs w:val="20"/>
        </w:rPr>
      </w:pPr>
    </w:p>
    <w:p w14:paraId="6C8515D4" w14:textId="77777777" w:rsidR="005C2DF4" w:rsidRPr="00D11B93" w:rsidRDefault="00D11B93" w:rsidP="005C2DF4">
      <w:pPr>
        <w:spacing w:line="480" w:lineRule="auto"/>
        <w:jc w:val="both"/>
        <w:rPr>
          <w:rFonts w:ascii="Arial" w:hAnsi="Arial" w:cs="Arial"/>
          <w:sz w:val="20"/>
          <w:szCs w:val="20"/>
        </w:rPr>
      </w:pPr>
      <w:r>
        <w:rPr>
          <w:rFonts w:ascii="Arial" w:hAnsi="Arial" w:cs="Arial"/>
          <w:b/>
          <w:sz w:val="20"/>
          <w:szCs w:val="20"/>
        </w:rPr>
        <w:t>Abstract</w:t>
      </w:r>
    </w:p>
    <w:p w14:paraId="0540B49F" w14:textId="3F6F77D7" w:rsidR="008F59D8" w:rsidRDefault="00DA7E9F" w:rsidP="005C2DF4">
      <w:pPr>
        <w:spacing w:line="480" w:lineRule="auto"/>
        <w:jc w:val="both"/>
        <w:rPr>
          <w:rFonts w:ascii="Arial" w:hAnsi="Arial" w:cs="Arial"/>
          <w:sz w:val="20"/>
          <w:szCs w:val="20"/>
        </w:rPr>
      </w:pPr>
      <w:r>
        <w:rPr>
          <w:rFonts w:ascii="Arial" w:hAnsi="Arial" w:cs="Arial"/>
          <w:sz w:val="20"/>
          <w:szCs w:val="20"/>
        </w:rPr>
        <w:t>In recent years, d</w:t>
      </w:r>
      <w:r w:rsidR="00C467A9">
        <w:rPr>
          <w:rFonts w:ascii="Arial" w:hAnsi="Arial" w:cs="Arial"/>
          <w:sz w:val="20"/>
          <w:szCs w:val="20"/>
        </w:rPr>
        <w:t xml:space="preserve">igital repeat photography has received increasing attention as an inexpensive </w:t>
      </w:r>
      <w:r>
        <w:rPr>
          <w:rFonts w:ascii="Arial" w:hAnsi="Arial" w:cs="Arial"/>
          <w:sz w:val="20"/>
          <w:szCs w:val="20"/>
        </w:rPr>
        <w:t xml:space="preserve">means by which </w:t>
      </w:r>
      <w:r w:rsidR="00C467A9">
        <w:rPr>
          <w:rFonts w:ascii="Arial" w:hAnsi="Arial" w:cs="Arial"/>
          <w:sz w:val="20"/>
          <w:szCs w:val="20"/>
        </w:rPr>
        <w:t xml:space="preserve">seasonal changes in </w:t>
      </w:r>
      <w:r w:rsidR="00DA03A7">
        <w:rPr>
          <w:rFonts w:ascii="Arial" w:hAnsi="Arial" w:cs="Arial"/>
          <w:sz w:val="20"/>
          <w:szCs w:val="20"/>
        </w:rPr>
        <w:t xml:space="preserve">vegetation </w:t>
      </w:r>
      <w:r w:rsidR="00C467A9">
        <w:rPr>
          <w:rFonts w:ascii="Arial" w:hAnsi="Arial" w:cs="Arial"/>
          <w:sz w:val="20"/>
          <w:szCs w:val="20"/>
        </w:rPr>
        <w:t>canopies</w:t>
      </w:r>
      <w:r>
        <w:rPr>
          <w:rFonts w:ascii="Arial" w:hAnsi="Arial" w:cs="Arial"/>
          <w:sz w:val="20"/>
          <w:szCs w:val="20"/>
        </w:rPr>
        <w:t xml:space="preserve"> can be monitored</w:t>
      </w:r>
      <w:r w:rsidR="00C467A9">
        <w:rPr>
          <w:rFonts w:ascii="Arial" w:hAnsi="Arial" w:cs="Arial"/>
          <w:sz w:val="20"/>
          <w:szCs w:val="20"/>
        </w:rPr>
        <w:t xml:space="preserve">.  </w:t>
      </w:r>
      <w:r>
        <w:rPr>
          <w:rFonts w:ascii="Arial" w:hAnsi="Arial" w:cs="Arial"/>
          <w:sz w:val="20"/>
          <w:szCs w:val="20"/>
        </w:rPr>
        <w:t>Offering automation and</w:t>
      </w:r>
      <w:r w:rsidR="007C7726">
        <w:rPr>
          <w:rFonts w:ascii="Arial" w:hAnsi="Arial" w:cs="Arial"/>
          <w:sz w:val="20"/>
          <w:szCs w:val="20"/>
        </w:rPr>
        <w:t xml:space="preserve"> an</w:t>
      </w:r>
      <w:r>
        <w:rPr>
          <w:rFonts w:ascii="Arial" w:hAnsi="Arial" w:cs="Arial"/>
          <w:sz w:val="20"/>
          <w:szCs w:val="20"/>
        </w:rPr>
        <w:t xml:space="preserve"> increased measurement f</w:t>
      </w:r>
      <w:r w:rsidR="00DA03A7">
        <w:rPr>
          <w:rFonts w:ascii="Arial" w:hAnsi="Arial" w:cs="Arial"/>
          <w:sz w:val="20"/>
          <w:szCs w:val="20"/>
        </w:rPr>
        <w:t>requency</w:t>
      </w:r>
      <w:r>
        <w:rPr>
          <w:rFonts w:ascii="Arial" w:hAnsi="Arial" w:cs="Arial"/>
          <w:sz w:val="20"/>
          <w:szCs w:val="20"/>
        </w:rPr>
        <w:t>, c</w:t>
      </w:r>
      <w:r w:rsidR="006F225B">
        <w:rPr>
          <w:rFonts w:ascii="Arial" w:hAnsi="Arial" w:cs="Arial"/>
          <w:sz w:val="20"/>
          <w:szCs w:val="20"/>
        </w:rPr>
        <w:t xml:space="preserve">olour indices derived from </w:t>
      </w:r>
      <w:r w:rsidR="00DC2C4A">
        <w:rPr>
          <w:rFonts w:ascii="Arial" w:hAnsi="Arial" w:cs="Arial"/>
          <w:sz w:val="20"/>
          <w:szCs w:val="20"/>
        </w:rPr>
        <w:t xml:space="preserve">above-canopy </w:t>
      </w:r>
      <w:r w:rsidR="006F225B">
        <w:rPr>
          <w:rFonts w:ascii="Arial" w:hAnsi="Arial" w:cs="Arial"/>
          <w:sz w:val="20"/>
          <w:szCs w:val="20"/>
        </w:rPr>
        <w:t>digital repeat photography have proven a popular alternative to traditional observations of forest phenology</w:t>
      </w:r>
      <w:r>
        <w:rPr>
          <w:rFonts w:ascii="Arial" w:hAnsi="Arial" w:cs="Arial"/>
          <w:sz w:val="20"/>
          <w:szCs w:val="20"/>
        </w:rPr>
        <w:t>.  Nevertheless</w:t>
      </w:r>
      <w:r w:rsidR="006F225B">
        <w:rPr>
          <w:rFonts w:ascii="Arial" w:hAnsi="Arial" w:cs="Arial"/>
          <w:sz w:val="20"/>
          <w:szCs w:val="20"/>
        </w:rPr>
        <w:t>,</w:t>
      </w:r>
      <w:r w:rsidR="00F02174" w:rsidDel="00F02174">
        <w:rPr>
          <w:rFonts w:ascii="Arial" w:hAnsi="Arial" w:cs="Arial"/>
          <w:sz w:val="20"/>
          <w:szCs w:val="20"/>
        </w:rPr>
        <w:t xml:space="preserve"> </w:t>
      </w:r>
      <w:r w:rsidR="006F225B">
        <w:rPr>
          <w:rFonts w:ascii="Arial" w:hAnsi="Arial" w:cs="Arial"/>
          <w:sz w:val="20"/>
          <w:szCs w:val="20"/>
        </w:rPr>
        <w:t xml:space="preserve">previous work </w:t>
      </w:r>
      <w:r w:rsidR="007C7726">
        <w:rPr>
          <w:rFonts w:ascii="Arial" w:hAnsi="Arial" w:cs="Arial"/>
          <w:sz w:val="20"/>
          <w:szCs w:val="20"/>
        </w:rPr>
        <w:t xml:space="preserve">has </w:t>
      </w:r>
      <w:r w:rsidR="006F225B">
        <w:rPr>
          <w:rFonts w:ascii="Arial" w:hAnsi="Arial" w:cs="Arial"/>
          <w:sz w:val="20"/>
          <w:szCs w:val="20"/>
        </w:rPr>
        <w:t>demonstrated several features in time-series of colour indices</w:t>
      </w:r>
      <w:r w:rsidR="00942C40">
        <w:rPr>
          <w:rFonts w:ascii="Arial" w:hAnsi="Arial" w:cs="Arial"/>
          <w:sz w:val="20"/>
          <w:szCs w:val="20"/>
        </w:rPr>
        <w:t xml:space="preserve"> that are</w:t>
      </w:r>
      <w:r w:rsidR="006F225B">
        <w:rPr>
          <w:rFonts w:ascii="Arial" w:hAnsi="Arial" w:cs="Arial"/>
          <w:sz w:val="20"/>
          <w:szCs w:val="20"/>
        </w:rPr>
        <w:t xml:space="preserve"> unrelated to canopy structure</w:t>
      </w:r>
      <w:r w:rsidR="00F02174">
        <w:rPr>
          <w:rFonts w:ascii="Arial" w:hAnsi="Arial" w:cs="Arial"/>
          <w:sz w:val="20"/>
          <w:szCs w:val="20"/>
        </w:rPr>
        <w:t>, limiting their utility to track specific biophysical properties such as leaf area index (LAI)</w:t>
      </w:r>
      <w:r w:rsidR="006F225B">
        <w:rPr>
          <w:rFonts w:ascii="Arial" w:hAnsi="Arial" w:cs="Arial"/>
          <w:sz w:val="20"/>
          <w:szCs w:val="20"/>
        </w:rPr>
        <w:t>.</w:t>
      </w:r>
      <w:r w:rsidR="00F02174">
        <w:rPr>
          <w:rFonts w:ascii="Arial" w:hAnsi="Arial" w:cs="Arial"/>
          <w:sz w:val="20"/>
          <w:szCs w:val="20"/>
        </w:rPr>
        <w:t xml:space="preserve">  </w:t>
      </w:r>
      <w:r w:rsidR="00B00B99">
        <w:rPr>
          <w:rFonts w:ascii="Arial" w:hAnsi="Arial" w:cs="Arial"/>
          <w:sz w:val="20"/>
          <w:szCs w:val="20"/>
        </w:rPr>
        <w:t>Whilst t</w:t>
      </w:r>
      <w:r w:rsidR="00F02174">
        <w:rPr>
          <w:rFonts w:ascii="Arial" w:hAnsi="Arial" w:cs="Arial"/>
          <w:sz w:val="20"/>
          <w:szCs w:val="20"/>
        </w:rPr>
        <w:t xml:space="preserve">echniques such as digital cover photography and the use of radiometric sensors </w:t>
      </w:r>
      <w:r w:rsidR="00B00B99">
        <w:rPr>
          <w:rFonts w:ascii="Arial" w:hAnsi="Arial" w:cs="Arial"/>
          <w:sz w:val="20"/>
          <w:szCs w:val="20"/>
        </w:rPr>
        <w:t>are</w:t>
      </w:r>
      <w:r w:rsidR="00F02174">
        <w:rPr>
          <w:rFonts w:ascii="Arial" w:hAnsi="Arial" w:cs="Arial"/>
          <w:sz w:val="20"/>
          <w:szCs w:val="20"/>
        </w:rPr>
        <w:t xml:space="preserve"> better suited to this task</w:t>
      </w:r>
      <w:r w:rsidR="00B00B99">
        <w:rPr>
          <w:rFonts w:ascii="Arial" w:hAnsi="Arial" w:cs="Arial"/>
          <w:sz w:val="20"/>
          <w:szCs w:val="20"/>
        </w:rPr>
        <w:t>, they are</w:t>
      </w:r>
      <w:r w:rsidR="006F3451">
        <w:rPr>
          <w:rFonts w:ascii="Arial" w:hAnsi="Arial" w:cs="Arial"/>
          <w:sz w:val="20"/>
          <w:szCs w:val="20"/>
        </w:rPr>
        <w:t xml:space="preserve"> restricted</w:t>
      </w:r>
      <w:r w:rsidR="00F02174">
        <w:rPr>
          <w:rFonts w:ascii="Arial" w:hAnsi="Arial" w:cs="Arial"/>
          <w:sz w:val="20"/>
          <w:szCs w:val="20"/>
        </w:rPr>
        <w:t xml:space="preserve"> by the need for </w:t>
      </w:r>
      <w:r w:rsidR="00DC2C4A">
        <w:rPr>
          <w:rFonts w:ascii="Arial" w:hAnsi="Arial" w:cs="Arial"/>
          <w:sz w:val="20"/>
          <w:szCs w:val="20"/>
        </w:rPr>
        <w:t>careful calibration of above- and below</w:t>
      </w:r>
      <w:r w:rsidR="00F02174">
        <w:rPr>
          <w:rFonts w:ascii="Arial" w:hAnsi="Arial" w:cs="Arial"/>
          <w:sz w:val="20"/>
          <w:szCs w:val="20"/>
        </w:rPr>
        <w:t>-canopy reference sensors</w:t>
      </w:r>
      <w:r w:rsidR="00DA7439">
        <w:rPr>
          <w:rFonts w:ascii="Arial" w:hAnsi="Arial" w:cs="Arial"/>
          <w:sz w:val="20"/>
          <w:szCs w:val="20"/>
        </w:rPr>
        <w:t xml:space="preserve">, </w:t>
      </w:r>
      <w:r w:rsidR="000F793F">
        <w:rPr>
          <w:rFonts w:ascii="Arial" w:hAnsi="Arial" w:cs="Arial"/>
          <w:sz w:val="20"/>
          <w:szCs w:val="20"/>
        </w:rPr>
        <w:t>ancillary information</w:t>
      </w:r>
      <w:r w:rsidR="00B00B99">
        <w:rPr>
          <w:rFonts w:ascii="Arial" w:hAnsi="Arial" w:cs="Arial"/>
          <w:sz w:val="20"/>
          <w:szCs w:val="20"/>
        </w:rPr>
        <w:t xml:space="preserve"> on canopy leaf angle distribution</w:t>
      </w:r>
      <w:r w:rsidR="00F02174">
        <w:rPr>
          <w:rFonts w:ascii="Arial" w:hAnsi="Arial" w:cs="Arial"/>
          <w:sz w:val="20"/>
          <w:szCs w:val="20"/>
        </w:rPr>
        <w:t>,</w:t>
      </w:r>
      <w:r w:rsidR="00B00B99">
        <w:rPr>
          <w:rFonts w:ascii="Arial" w:hAnsi="Arial" w:cs="Arial"/>
          <w:sz w:val="20"/>
          <w:szCs w:val="20"/>
        </w:rPr>
        <w:t xml:space="preserve"> </w:t>
      </w:r>
      <w:r w:rsidR="00DA7439">
        <w:rPr>
          <w:rFonts w:ascii="Arial" w:hAnsi="Arial" w:cs="Arial"/>
          <w:sz w:val="20"/>
          <w:szCs w:val="20"/>
        </w:rPr>
        <w:t>and</w:t>
      </w:r>
      <w:r w:rsidR="00E30F7F">
        <w:rPr>
          <w:rFonts w:ascii="Arial" w:hAnsi="Arial" w:cs="Arial"/>
          <w:sz w:val="20"/>
          <w:szCs w:val="20"/>
        </w:rPr>
        <w:t xml:space="preserve"> smaller</w:t>
      </w:r>
      <w:r w:rsidR="00F02174">
        <w:rPr>
          <w:rFonts w:ascii="Arial" w:hAnsi="Arial" w:cs="Arial"/>
          <w:sz w:val="20"/>
          <w:szCs w:val="20"/>
        </w:rPr>
        <w:t xml:space="preserve"> measurement footprints.</w:t>
      </w:r>
      <w:r>
        <w:rPr>
          <w:rFonts w:ascii="Arial" w:hAnsi="Arial" w:cs="Arial"/>
          <w:sz w:val="20"/>
          <w:szCs w:val="20"/>
        </w:rPr>
        <w:t xml:space="preserve">  Using data collected at a deciduous broadleaf forest site in South</w:t>
      </w:r>
      <w:r w:rsidR="00DA03A7">
        <w:rPr>
          <w:rFonts w:ascii="Arial" w:hAnsi="Arial" w:cs="Arial"/>
          <w:sz w:val="20"/>
          <w:szCs w:val="20"/>
        </w:rPr>
        <w:t xml:space="preserve">ern England, we investigated a new </w:t>
      </w:r>
      <w:r>
        <w:rPr>
          <w:rFonts w:ascii="Arial" w:hAnsi="Arial" w:cs="Arial"/>
          <w:sz w:val="20"/>
          <w:szCs w:val="20"/>
        </w:rPr>
        <w:t>method to derive continuous measurements of LAI, making us</w:t>
      </w:r>
      <w:r w:rsidR="00E30F7F">
        <w:rPr>
          <w:rFonts w:ascii="Arial" w:hAnsi="Arial" w:cs="Arial"/>
          <w:sz w:val="20"/>
          <w:szCs w:val="20"/>
        </w:rPr>
        <w:t xml:space="preserve">e </w:t>
      </w:r>
      <w:r>
        <w:rPr>
          <w:rFonts w:ascii="Arial" w:hAnsi="Arial" w:cs="Arial"/>
          <w:sz w:val="20"/>
          <w:szCs w:val="20"/>
        </w:rPr>
        <w:t>of automated digital hemispherical photography (DHP) from below the canopy.</w:t>
      </w:r>
      <w:r w:rsidR="007C7726">
        <w:rPr>
          <w:rFonts w:ascii="Arial" w:hAnsi="Arial" w:cs="Arial"/>
          <w:sz w:val="20"/>
          <w:szCs w:val="20"/>
        </w:rPr>
        <w:t xml:space="preserve">  </w:t>
      </w:r>
      <w:r w:rsidR="008F59D8">
        <w:rPr>
          <w:rFonts w:ascii="Arial" w:hAnsi="Arial" w:cs="Arial"/>
          <w:sz w:val="20"/>
          <w:szCs w:val="20"/>
        </w:rPr>
        <w:t>After applying simple data screening procedures,</w:t>
      </w:r>
      <w:r w:rsidR="007C7726">
        <w:rPr>
          <w:rFonts w:ascii="Arial" w:hAnsi="Arial" w:cs="Arial"/>
          <w:sz w:val="20"/>
          <w:szCs w:val="20"/>
        </w:rPr>
        <w:t xml:space="preserve"> the</w:t>
      </w:r>
      <w:r w:rsidR="008F59D8">
        <w:rPr>
          <w:rFonts w:ascii="Arial" w:hAnsi="Arial" w:cs="Arial"/>
          <w:sz w:val="20"/>
          <w:szCs w:val="20"/>
        </w:rPr>
        <w:t xml:space="preserve"> LAI observations derived from our automated DHP system demonstrated very close agreement with those </w:t>
      </w:r>
      <w:r w:rsidR="007C7726">
        <w:rPr>
          <w:rFonts w:ascii="Arial" w:hAnsi="Arial" w:cs="Arial"/>
          <w:sz w:val="20"/>
          <w:szCs w:val="20"/>
        </w:rPr>
        <w:t>obtained</w:t>
      </w:r>
      <w:r w:rsidR="008F59D8">
        <w:rPr>
          <w:rFonts w:ascii="Arial" w:hAnsi="Arial" w:cs="Arial"/>
          <w:sz w:val="20"/>
          <w:szCs w:val="20"/>
        </w:rPr>
        <w:t xml:space="preserve"> from </w:t>
      </w:r>
      <w:r w:rsidR="007C7726">
        <w:rPr>
          <w:rFonts w:ascii="Arial" w:hAnsi="Arial" w:cs="Arial"/>
          <w:sz w:val="20"/>
          <w:szCs w:val="20"/>
        </w:rPr>
        <w:t xml:space="preserve">manually acquired </w:t>
      </w:r>
      <w:r w:rsidR="008F59D8">
        <w:rPr>
          <w:rFonts w:ascii="Arial" w:hAnsi="Arial" w:cs="Arial"/>
          <w:sz w:val="20"/>
          <w:szCs w:val="20"/>
        </w:rPr>
        <w:t>DHP images</w:t>
      </w:r>
      <w:r w:rsidR="007C7726">
        <w:rPr>
          <w:rFonts w:ascii="Arial" w:hAnsi="Arial" w:cs="Arial"/>
          <w:sz w:val="20"/>
          <w:szCs w:val="20"/>
        </w:rPr>
        <w:t>, which were</w:t>
      </w:r>
      <w:r w:rsidR="008F59D8">
        <w:rPr>
          <w:rFonts w:ascii="Arial" w:hAnsi="Arial" w:cs="Arial"/>
          <w:sz w:val="20"/>
          <w:szCs w:val="20"/>
        </w:rPr>
        <w:t xml:space="preserve"> collected under optimal illumination conditions over</w:t>
      </w:r>
      <w:r w:rsidR="007C7726">
        <w:rPr>
          <w:rFonts w:ascii="Arial" w:hAnsi="Arial" w:cs="Arial"/>
          <w:sz w:val="20"/>
          <w:szCs w:val="20"/>
        </w:rPr>
        <w:t xml:space="preserve"> the surrounding </w:t>
      </w:r>
      <w:r w:rsidR="00942C40">
        <w:rPr>
          <w:rFonts w:ascii="Arial" w:hAnsi="Arial" w:cs="Arial"/>
          <w:sz w:val="20"/>
          <w:szCs w:val="20"/>
        </w:rPr>
        <w:t xml:space="preserve">forest </w:t>
      </w:r>
      <w:r w:rsidR="007C7726">
        <w:rPr>
          <w:rFonts w:ascii="Arial" w:hAnsi="Arial" w:cs="Arial"/>
          <w:sz w:val="20"/>
          <w:szCs w:val="20"/>
        </w:rPr>
        <w:t>plot</w:t>
      </w:r>
      <w:r w:rsidR="008F59D8">
        <w:rPr>
          <w:rFonts w:ascii="Arial" w:hAnsi="Arial" w:cs="Arial"/>
          <w:sz w:val="20"/>
          <w:szCs w:val="20"/>
        </w:rPr>
        <w:t xml:space="preserve"> (</w:t>
      </w:r>
      <w:r w:rsidR="008F59D8">
        <w:rPr>
          <w:rFonts w:ascii="Arial" w:hAnsi="Arial" w:cs="Arial"/>
          <w:i/>
          <w:sz w:val="20"/>
          <w:szCs w:val="20"/>
        </w:rPr>
        <w:t>r</w:t>
      </w:r>
      <w:r w:rsidR="008F59D8">
        <w:rPr>
          <w:rFonts w:ascii="Arial" w:hAnsi="Arial" w:cs="Arial"/>
          <w:sz w:val="20"/>
          <w:szCs w:val="20"/>
          <w:vertAlign w:val="superscript"/>
        </w:rPr>
        <w:t>2</w:t>
      </w:r>
      <w:r w:rsidR="008F59D8">
        <w:rPr>
          <w:rFonts w:ascii="Arial" w:hAnsi="Arial" w:cs="Arial"/>
          <w:sz w:val="20"/>
          <w:szCs w:val="20"/>
        </w:rPr>
        <w:t xml:space="preserve"> = 0.99, RMSE = 0.20, NRMSE = 13%).</w:t>
      </w:r>
      <w:r w:rsidR="007C7726">
        <w:rPr>
          <w:rFonts w:ascii="Arial" w:hAnsi="Arial" w:cs="Arial"/>
          <w:sz w:val="20"/>
          <w:szCs w:val="20"/>
        </w:rPr>
        <w:t xml:space="preserve">  </w:t>
      </w:r>
      <w:r w:rsidR="007C7726" w:rsidRPr="007C7726">
        <w:rPr>
          <w:rFonts w:ascii="Arial" w:hAnsi="Arial" w:cs="Arial"/>
          <w:sz w:val="20"/>
          <w:szCs w:val="20"/>
        </w:rPr>
        <w:t xml:space="preserve">By combining our automated DHP system with an above-canopy time-lapse digital camera, we </w:t>
      </w:r>
      <w:r w:rsidR="007C7726">
        <w:rPr>
          <w:rFonts w:ascii="Arial" w:hAnsi="Arial" w:cs="Arial"/>
          <w:sz w:val="20"/>
          <w:szCs w:val="20"/>
        </w:rPr>
        <w:t>then</w:t>
      </w:r>
      <w:r w:rsidR="007C7726" w:rsidRPr="007C7726">
        <w:rPr>
          <w:rFonts w:ascii="Arial" w:hAnsi="Arial" w:cs="Arial"/>
          <w:sz w:val="20"/>
          <w:szCs w:val="20"/>
        </w:rPr>
        <w:t xml:space="preserve"> investigate</w:t>
      </w:r>
      <w:r w:rsidR="007C7726">
        <w:rPr>
          <w:rFonts w:ascii="Arial" w:hAnsi="Arial" w:cs="Arial"/>
          <w:sz w:val="20"/>
          <w:szCs w:val="20"/>
        </w:rPr>
        <w:t>d</w:t>
      </w:r>
      <w:r w:rsidR="007C7726" w:rsidRPr="007C7726">
        <w:rPr>
          <w:rFonts w:ascii="Arial" w:hAnsi="Arial" w:cs="Arial"/>
          <w:sz w:val="20"/>
          <w:szCs w:val="20"/>
        </w:rPr>
        <w:t xml:space="preserve"> th</w:t>
      </w:r>
      <w:r w:rsidR="007C7726">
        <w:rPr>
          <w:rFonts w:ascii="Arial" w:hAnsi="Arial" w:cs="Arial"/>
          <w:sz w:val="20"/>
          <w:szCs w:val="20"/>
        </w:rPr>
        <w:t>e</w:t>
      </w:r>
      <w:r w:rsidR="007C7726" w:rsidRPr="007C7726">
        <w:rPr>
          <w:rFonts w:ascii="Arial" w:hAnsi="Arial" w:cs="Arial"/>
          <w:sz w:val="20"/>
          <w:szCs w:val="20"/>
        </w:rPr>
        <w:t xml:space="preserve"> relationship </w:t>
      </w:r>
      <w:r w:rsidR="007C7726">
        <w:rPr>
          <w:rFonts w:ascii="Arial" w:hAnsi="Arial" w:cs="Arial"/>
          <w:sz w:val="20"/>
          <w:szCs w:val="20"/>
        </w:rPr>
        <w:t xml:space="preserve">between </w:t>
      </w:r>
      <w:r w:rsidR="00942C40">
        <w:rPr>
          <w:rFonts w:ascii="Arial" w:hAnsi="Arial" w:cs="Arial"/>
          <w:sz w:val="20"/>
          <w:szCs w:val="20"/>
        </w:rPr>
        <w:t xml:space="preserve">the green chromatic coordinate (GCC) </w:t>
      </w:r>
      <w:r w:rsidR="007C7726">
        <w:rPr>
          <w:rFonts w:ascii="Arial" w:hAnsi="Arial" w:cs="Arial"/>
          <w:sz w:val="20"/>
          <w:szCs w:val="20"/>
        </w:rPr>
        <w:t>and LAI</w:t>
      </w:r>
      <w:r w:rsidR="005E24AE">
        <w:rPr>
          <w:rFonts w:ascii="Arial" w:hAnsi="Arial" w:cs="Arial"/>
          <w:sz w:val="20"/>
          <w:szCs w:val="20"/>
        </w:rPr>
        <w:t>.</w:t>
      </w:r>
      <w:r w:rsidR="007C7726" w:rsidRPr="007C7726">
        <w:rPr>
          <w:rFonts w:ascii="Arial" w:hAnsi="Arial" w:cs="Arial"/>
          <w:sz w:val="20"/>
          <w:szCs w:val="20"/>
        </w:rPr>
        <w:t xml:space="preserve"> </w:t>
      </w:r>
      <w:r w:rsidR="005E24AE">
        <w:rPr>
          <w:rFonts w:ascii="Arial" w:hAnsi="Arial" w:cs="Arial"/>
          <w:sz w:val="20"/>
          <w:szCs w:val="20"/>
        </w:rPr>
        <w:t xml:space="preserve"> D</w:t>
      </w:r>
      <w:r w:rsidR="007C7726" w:rsidRPr="007C7726">
        <w:rPr>
          <w:rFonts w:ascii="Arial" w:hAnsi="Arial" w:cs="Arial"/>
          <w:sz w:val="20"/>
          <w:szCs w:val="20"/>
        </w:rPr>
        <w:t>istinct hysteresis effects</w:t>
      </w:r>
      <w:r w:rsidR="005E24AE">
        <w:rPr>
          <w:rFonts w:ascii="Arial" w:hAnsi="Arial" w:cs="Arial"/>
          <w:sz w:val="20"/>
          <w:szCs w:val="20"/>
        </w:rPr>
        <w:t xml:space="preserve"> were observed, as were</w:t>
      </w:r>
      <w:r w:rsidR="00942C40">
        <w:rPr>
          <w:rFonts w:ascii="Arial" w:hAnsi="Arial" w:cs="Arial"/>
          <w:sz w:val="20"/>
          <w:szCs w:val="20"/>
        </w:rPr>
        <w:t xml:space="preserve"> </w:t>
      </w:r>
      <w:r w:rsidR="00ED2189" w:rsidRPr="00ED2189">
        <w:rPr>
          <w:rFonts w:ascii="Arial" w:hAnsi="Arial" w:cs="Arial"/>
          <w:sz w:val="20"/>
          <w:szCs w:val="20"/>
        </w:rPr>
        <w:t xml:space="preserve">substantial differences between phenological transition dates </w:t>
      </w:r>
      <w:r w:rsidR="00ED2189" w:rsidRPr="00ED2189">
        <w:rPr>
          <w:rFonts w:ascii="Arial" w:hAnsi="Arial" w:cs="Arial"/>
          <w:sz w:val="20"/>
          <w:szCs w:val="20"/>
        </w:rPr>
        <w:lastRenderedPageBreak/>
        <w:t xml:space="preserve">derived from the </w:t>
      </w:r>
      <w:r w:rsidR="00942C40">
        <w:rPr>
          <w:rFonts w:ascii="Arial" w:hAnsi="Arial" w:cs="Arial"/>
          <w:sz w:val="20"/>
          <w:szCs w:val="20"/>
        </w:rPr>
        <w:t>GCC</w:t>
      </w:r>
      <w:r w:rsidR="00ED2189">
        <w:rPr>
          <w:rFonts w:ascii="Arial" w:hAnsi="Arial" w:cs="Arial"/>
          <w:sz w:val="20"/>
          <w:szCs w:val="20"/>
        </w:rPr>
        <w:t xml:space="preserve"> and LAI</w:t>
      </w:r>
      <w:r w:rsidR="00ED2189" w:rsidRPr="00ED2189">
        <w:rPr>
          <w:rFonts w:ascii="Arial" w:hAnsi="Arial" w:cs="Arial"/>
          <w:sz w:val="20"/>
          <w:szCs w:val="20"/>
        </w:rPr>
        <w:t>, particularly in the case of the onset of senescence</w:t>
      </w:r>
      <w:r w:rsidR="00ED2189">
        <w:rPr>
          <w:rFonts w:ascii="Arial" w:hAnsi="Arial" w:cs="Arial"/>
          <w:sz w:val="20"/>
          <w:szCs w:val="20"/>
        </w:rPr>
        <w:t xml:space="preserve">.  </w:t>
      </w:r>
      <w:r w:rsidR="00942C40">
        <w:rPr>
          <w:rFonts w:ascii="Arial" w:hAnsi="Arial" w:cs="Arial"/>
          <w:sz w:val="20"/>
          <w:szCs w:val="20"/>
        </w:rPr>
        <w:t>Our</w:t>
      </w:r>
      <w:r w:rsidR="00ED2189">
        <w:rPr>
          <w:rFonts w:ascii="Arial" w:hAnsi="Arial" w:cs="Arial"/>
          <w:sz w:val="20"/>
          <w:szCs w:val="20"/>
        </w:rPr>
        <w:t xml:space="preserve"> results </w:t>
      </w:r>
      <w:r w:rsidR="00942C40">
        <w:rPr>
          <w:rFonts w:ascii="Arial" w:hAnsi="Arial" w:cs="Arial"/>
          <w:sz w:val="20"/>
          <w:szCs w:val="20"/>
        </w:rPr>
        <w:t>indicate that</w:t>
      </w:r>
      <w:r w:rsidR="00ED2189">
        <w:rPr>
          <w:rFonts w:ascii="Arial" w:hAnsi="Arial" w:cs="Arial"/>
          <w:sz w:val="20"/>
          <w:szCs w:val="20"/>
        </w:rPr>
        <w:t xml:space="preserve"> </w:t>
      </w:r>
      <w:r w:rsidR="00942C40">
        <w:rPr>
          <w:rFonts w:ascii="Arial" w:hAnsi="Arial" w:cs="Arial"/>
          <w:sz w:val="20"/>
          <w:szCs w:val="20"/>
        </w:rPr>
        <w:t xml:space="preserve">phenological </w:t>
      </w:r>
      <w:r w:rsidR="00ED2189">
        <w:rPr>
          <w:rFonts w:ascii="Arial" w:hAnsi="Arial" w:cs="Arial"/>
          <w:sz w:val="20"/>
          <w:szCs w:val="20"/>
        </w:rPr>
        <w:t xml:space="preserve">transition dates derived from colour indices cannot easily be linked to any </w:t>
      </w:r>
      <w:r w:rsidR="00011276">
        <w:rPr>
          <w:rFonts w:ascii="Arial" w:hAnsi="Arial" w:cs="Arial"/>
          <w:sz w:val="20"/>
          <w:szCs w:val="20"/>
        </w:rPr>
        <w:t>one biophysical property</w:t>
      </w:r>
      <w:r w:rsidR="00ED2189">
        <w:rPr>
          <w:rFonts w:ascii="Arial" w:hAnsi="Arial" w:cs="Arial"/>
          <w:sz w:val="20"/>
          <w:szCs w:val="20"/>
        </w:rPr>
        <w:t xml:space="preserve">.  </w:t>
      </w:r>
      <w:r w:rsidR="00011276">
        <w:rPr>
          <w:rFonts w:ascii="Arial" w:hAnsi="Arial" w:cs="Arial"/>
          <w:sz w:val="20"/>
          <w:szCs w:val="20"/>
        </w:rPr>
        <w:t>We</w:t>
      </w:r>
      <w:r w:rsidR="00942C40" w:rsidRPr="00942C40">
        <w:rPr>
          <w:rFonts w:ascii="Arial" w:hAnsi="Arial" w:cs="Arial"/>
          <w:sz w:val="20"/>
          <w:szCs w:val="20"/>
        </w:rPr>
        <w:t xml:space="preserve"> recommend </w:t>
      </w:r>
      <w:r w:rsidR="00CF3773">
        <w:rPr>
          <w:rFonts w:ascii="Arial" w:hAnsi="Arial" w:cs="Arial"/>
          <w:sz w:val="20"/>
          <w:szCs w:val="20"/>
        </w:rPr>
        <w:t xml:space="preserve">further investigation of </w:t>
      </w:r>
      <w:r w:rsidR="00942C40" w:rsidRPr="00942C40">
        <w:rPr>
          <w:rFonts w:ascii="Arial" w:hAnsi="Arial" w:cs="Arial"/>
          <w:sz w:val="20"/>
          <w:szCs w:val="20"/>
        </w:rPr>
        <w:t>the automated DHP approach</w:t>
      </w:r>
      <w:r w:rsidR="00D51762">
        <w:rPr>
          <w:rFonts w:ascii="Arial" w:hAnsi="Arial" w:cs="Arial"/>
          <w:sz w:val="20"/>
          <w:szCs w:val="20"/>
        </w:rPr>
        <w:t xml:space="preserve">, </w:t>
      </w:r>
      <w:r w:rsidR="00942C40" w:rsidRPr="00942C40">
        <w:rPr>
          <w:rFonts w:ascii="Arial" w:hAnsi="Arial" w:cs="Arial"/>
          <w:sz w:val="20"/>
          <w:szCs w:val="20"/>
        </w:rPr>
        <w:t>which provides time-series of LAI whose physical interpretation is straightforward</w:t>
      </w:r>
      <w:r w:rsidR="00D51762">
        <w:rPr>
          <w:rFonts w:ascii="Arial" w:hAnsi="Arial" w:cs="Arial"/>
          <w:sz w:val="20"/>
          <w:szCs w:val="20"/>
        </w:rPr>
        <w:t>,</w:t>
      </w:r>
      <w:r w:rsidR="00942C40" w:rsidRPr="00942C40">
        <w:rPr>
          <w:rFonts w:ascii="Arial" w:hAnsi="Arial" w:cs="Arial"/>
          <w:sz w:val="20"/>
          <w:szCs w:val="20"/>
        </w:rPr>
        <w:t xml:space="preserve"> as an alternative to </w:t>
      </w:r>
      <w:r w:rsidR="00011276">
        <w:rPr>
          <w:rFonts w:ascii="Arial" w:hAnsi="Arial" w:cs="Arial"/>
          <w:sz w:val="20"/>
          <w:szCs w:val="20"/>
        </w:rPr>
        <w:t>above-canopy</w:t>
      </w:r>
      <w:r w:rsidR="00942C40" w:rsidRPr="00942C40">
        <w:rPr>
          <w:rFonts w:ascii="Arial" w:hAnsi="Arial" w:cs="Arial"/>
          <w:sz w:val="20"/>
          <w:szCs w:val="20"/>
        </w:rPr>
        <w:t xml:space="preserve"> digital repeat photography</w:t>
      </w:r>
      <w:r w:rsidR="00570253">
        <w:rPr>
          <w:rFonts w:ascii="Arial" w:hAnsi="Arial" w:cs="Arial"/>
          <w:sz w:val="20"/>
          <w:szCs w:val="20"/>
        </w:rPr>
        <w:t>.</w:t>
      </w:r>
    </w:p>
    <w:p w14:paraId="02478E2A" w14:textId="77777777" w:rsidR="00E51A79" w:rsidRPr="00570253" w:rsidRDefault="00E51A79" w:rsidP="005C2DF4">
      <w:pPr>
        <w:spacing w:line="480" w:lineRule="auto"/>
        <w:jc w:val="both"/>
        <w:rPr>
          <w:rFonts w:ascii="Arial" w:hAnsi="Arial" w:cs="Arial"/>
          <w:sz w:val="20"/>
          <w:szCs w:val="20"/>
        </w:rPr>
      </w:pPr>
    </w:p>
    <w:p w14:paraId="3F86E4D0" w14:textId="2065DE23" w:rsidR="00DB0E0C" w:rsidRDefault="00DB0E0C" w:rsidP="005C2DF4">
      <w:pPr>
        <w:spacing w:line="480" w:lineRule="auto"/>
        <w:jc w:val="both"/>
        <w:rPr>
          <w:rFonts w:ascii="Arial" w:hAnsi="Arial" w:cs="Arial"/>
          <w:b/>
          <w:sz w:val="20"/>
          <w:szCs w:val="20"/>
        </w:rPr>
      </w:pPr>
      <w:r>
        <w:rPr>
          <w:rFonts w:ascii="Arial" w:hAnsi="Arial" w:cs="Arial"/>
          <w:b/>
          <w:sz w:val="20"/>
          <w:szCs w:val="20"/>
        </w:rPr>
        <w:t>Keywords</w:t>
      </w:r>
    </w:p>
    <w:p w14:paraId="4D626723" w14:textId="2A24C85A" w:rsidR="00191A59" w:rsidRPr="00E35E78" w:rsidRDefault="00E35E78" w:rsidP="005C2DF4">
      <w:pPr>
        <w:spacing w:line="480" w:lineRule="auto"/>
        <w:jc w:val="both"/>
        <w:rPr>
          <w:rFonts w:ascii="Arial" w:hAnsi="Arial" w:cs="Arial"/>
          <w:sz w:val="20"/>
          <w:szCs w:val="20"/>
        </w:rPr>
      </w:pPr>
      <w:r w:rsidRPr="00E35E78">
        <w:rPr>
          <w:rFonts w:ascii="Arial" w:hAnsi="Arial" w:cs="Arial"/>
          <w:sz w:val="20"/>
          <w:szCs w:val="20"/>
        </w:rPr>
        <w:t>Digital hemispherical photography</w:t>
      </w:r>
      <w:r>
        <w:rPr>
          <w:rFonts w:ascii="Arial" w:hAnsi="Arial" w:cs="Arial"/>
          <w:sz w:val="20"/>
          <w:szCs w:val="20"/>
        </w:rPr>
        <w:t>;</w:t>
      </w:r>
      <w:r w:rsidRPr="00E35E78">
        <w:rPr>
          <w:rFonts w:ascii="Arial" w:hAnsi="Arial" w:cs="Arial"/>
          <w:sz w:val="20"/>
          <w:szCs w:val="20"/>
        </w:rPr>
        <w:t xml:space="preserve"> digital repeat photography</w:t>
      </w:r>
      <w:r>
        <w:rPr>
          <w:rFonts w:ascii="Arial" w:hAnsi="Arial" w:cs="Arial"/>
          <w:sz w:val="20"/>
          <w:szCs w:val="20"/>
        </w:rPr>
        <w:t>;</w:t>
      </w:r>
      <w:r w:rsidRPr="00E35E78">
        <w:rPr>
          <w:rFonts w:ascii="Arial" w:hAnsi="Arial" w:cs="Arial"/>
          <w:sz w:val="20"/>
          <w:szCs w:val="20"/>
        </w:rPr>
        <w:t xml:space="preserve"> green chromatic coordinate</w:t>
      </w:r>
      <w:r>
        <w:rPr>
          <w:rFonts w:ascii="Arial" w:hAnsi="Arial" w:cs="Arial"/>
          <w:sz w:val="20"/>
          <w:szCs w:val="20"/>
        </w:rPr>
        <w:t>;</w:t>
      </w:r>
      <w:r w:rsidRPr="00E35E78">
        <w:rPr>
          <w:rFonts w:ascii="Arial" w:hAnsi="Arial" w:cs="Arial"/>
          <w:sz w:val="20"/>
          <w:szCs w:val="20"/>
        </w:rPr>
        <w:t xml:space="preserve"> leaf area index</w:t>
      </w:r>
      <w:r>
        <w:rPr>
          <w:rFonts w:ascii="Arial" w:hAnsi="Arial" w:cs="Arial"/>
          <w:sz w:val="20"/>
          <w:szCs w:val="20"/>
        </w:rPr>
        <w:t>;</w:t>
      </w:r>
      <w:r w:rsidRPr="00E35E78">
        <w:rPr>
          <w:rFonts w:ascii="Arial" w:hAnsi="Arial" w:cs="Arial"/>
          <w:sz w:val="20"/>
          <w:szCs w:val="20"/>
        </w:rPr>
        <w:t xml:space="preserve"> </w:t>
      </w:r>
      <w:proofErr w:type="spellStart"/>
      <w:r w:rsidRPr="00E35E78">
        <w:rPr>
          <w:rFonts w:ascii="Arial" w:hAnsi="Arial" w:cs="Arial"/>
          <w:sz w:val="20"/>
          <w:szCs w:val="20"/>
        </w:rPr>
        <w:t>PhenoCam</w:t>
      </w:r>
      <w:proofErr w:type="spellEnd"/>
    </w:p>
    <w:p w14:paraId="726E4BCD" w14:textId="77777777" w:rsidR="00E35E78" w:rsidRDefault="00E35E78" w:rsidP="005C2DF4">
      <w:pPr>
        <w:spacing w:line="480" w:lineRule="auto"/>
        <w:jc w:val="both"/>
        <w:rPr>
          <w:rFonts w:ascii="Arial" w:hAnsi="Arial" w:cs="Arial"/>
          <w:color w:val="FF0000"/>
          <w:sz w:val="20"/>
          <w:szCs w:val="20"/>
        </w:rPr>
      </w:pPr>
    </w:p>
    <w:p w14:paraId="7105170D" w14:textId="3CE1F2FA" w:rsidR="00D11B93" w:rsidRDefault="005C2DF4" w:rsidP="00410445">
      <w:pPr>
        <w:spacing w:line="480" w:lineRule="auto"/>
        <w:jc w:val="both"/>
        <w:rPr>
          <w:rFonts w:ascii="Arial" w:hAnsi="Arial" w:cs="Arial"/>
          <w:sz w:val="20"/>
          <w:szCs w:val="20"/>
        </w:rPr>
      </w:pPr>
      <w:r w:rsidRPr="00044E3C">
        <w:rPr>
          <w:rFonts w:ascii="Arial" w:hAnsi="Arial" w:cs="Arial"/>
          <w:sz w:val="20"/>
          <w:szCs w:val="20"/>
        </w:rPr>
        <w:t xml:space="preserve">*Corresponding author: </w:t>
      </w:r>
      <w:r w:rsidR="00D11B93" w:rsidRPr="00D11B93">
        <w:rPr>
          <w:rFonts w:ascii="Arial" w:hAnsi="Arial" w:cs="Arial"/>
          <w:sz w:val="20"/>
          <w:szCs w:val="20"/>
        </w:rPr>
        <w:t>l.a.brown@soton.ac.uk</w:t>
      </w:r>
      <w:r w:rsidR="00D11B93">
        <w:rPr>
          <w:rFonts w:ascii="Arial" w:hAnsi="Arial" w:cs="Arial"/>
          <w:sz w:val="20"/>
          <w:szCs w:val="20"/>
        </w:rPr>
        <w:br w:type="page"/>
      </w:r>
    </w:p>
    <w:p w14:paraId="6B5248C1" w14:textId="6E9E6006" w:rsidR="00D21859" w:rsidRDefault="00D44493" w:rsidP="00742C27">
      <w:pPr>
        <w:spacing w:line="480" w:lineRule="auto"/>
        <w:jc w:val="both"/>
        <w:rPr>
          <w:rFonts w:ascii="Arial" w:hAnsi="Arial" w:cs="Arial"/>
          <w:b/>
          <w:sz w:val="20"/>
          <w:szCs w:val="20"/>
        </w:rPr>
      </w:pPr>
      <w:r>
        <w:rPr>
          <w:rFonts w:ascii="Arial" w:hAnsi="Arial" w:cs="Arial"/>
          <w:b/>
          <w:sz w:val="20"/>
          <w:szCs w:val="20"/>
        </w:rPr>
        <w:lastRenderedPageBreak/>
        <w:t>1. Introduction</w:t>
      </w:r>
    </w:p>
    <w:p w14:paraId="4670337C" w14:textId="12C402A2" w:rsidR="00E93B16" w:rsidRDefault="005E41E8" w:rsidP="00BE1870">
      <w:pPr>
        <w:spacing w:line="480" w:lineRule="auto"/>
        <w:jc w:val="both"/>
        <w:rPr>
          <w:rFonts w:ascii="Arial" w:hAnsi="Arial" w:cs="Arial"/>
          <w:bCs/>
          <w:sz w:val="20"/>
          <w:szCs w:val="20"/>
        </w:rPr>
      </w:pPr>
      <w:r>
        <w:rPr>
          <w:rFonts w:ascii="Arial" w:hAnsi="Arial" w:cs="Arial"/>
          <w:bCs/>
          <w:sz w:val="20"/>
          <w:szCs w:val="20"/>
        </w:rPr>
        <w:t>Forest</w:t>
      </w:r>
      <w:r w:rsidR="00DA03A7">
        <w:rPr>
          <w:rFonts w:ascii="Arial" w:hAnsi="Arial" w:cs="Arial"/>
          <w:bCs/>
          <w:sz w:val="20"/>
          <w:szCs w:val="20"/>
        </w:rPr>
        <w:t>s</w:t>
      </w:r>
      <w:r>
        <w:rPr>
          <w:rFonts w:ascii="Arial" w:hAnsi="Arial" w:cs="Arial"/>
          <w:bCs/>
          <w:sz w:val="20"/>
          <w:szCs w:val="20"/>
        </w:rPr>
        <w:t xml:space="preserve"> cover approximately 30% of the Earth’s </w:t>
      </w:r>
      <w:r w:rsidR="00E27B12">
        <w:rPr>
          <w:rFonts w:ascii="Arial" w:hAnsi="Arial" w:cs="Arial"/>
          <w:bCs/>
          <w:sz w:val="20"/>
          <w:szCs w:val="20"/>
        </w:rPr>
        <w:t>land surface</w:t>
      </w:r>
      <w:r w:rsidR="00577295">
        <w:rPr>
          <w:rFonts w:ascii="Arial" w:hAnsi="Arial" w:cs="Arial"/>
          <w:bCs/>
          <w:sz w:val="20"/>
          <w:szCs w:val="20"/>
        </w:rPr>
        <w:t xml:space="preserve"> </w:t>
      </w:r>
      <w:r w:rsidR="00577295">
        <w:rPr>
          <w:rFonts w:ascii="Arial" w:hAnsi="Arial" w:cs="Arial"/>
          <w:bCs/>
          <w:sz w:val="20"/>
          <w:szCs w:val="20"/>
        </w:rPr>
        <w:fldChar w:fldCharType="begin" w:fldLock="1"/>
      </w:r>
      <w:r w:rsidR="00577295">
        <w:rPr>
          <w:rFonts w:ascii="Arial" w:hAnsi="Arial" w:cs="Arial"/>
          <w:bCs/>
          <w:sz w:val="20"/>
          <w:szCs w:val="20"/>
        </w:rPr>
        <w:instrText>ADDIN CSL_CITATION {"citationItems":[{"id":"ITEM-1","itemData":{"ISBN":"978-92-5-108826-5","abstract":"sustainably managed forests provide essential goods and services and thus play a vital part in sustainable development. reliable and up-to-date information on the state of forest resources is crucial to support decision-making for investment and policymaking in forestry and sustainable development. Fao, at the request of its member countries, regularly monitors the world´s forests and their management and uses through the Global Forest resources assessment (Fra). more information on the Fra 2015 process, other publications and online database is available on the Fra web site (www.fao.org/forestry/fra ). the Fra process is coordinated by the Forestry Department at Fao headquarters in rome in coordination with partners in the collaborative Forest resources Questionnaire (cFrQ). these six partners are: the central african Forest commission (comIFac/ oFac), Fao, Forest euroPe, the International tropical timber organization (Itto), the montréal Process, and the united nations economic commission for europe (unece).","author":[{"dropping-particle":"","family":"FAO","given":"","non-dropping-particle":"","parse-names":false,"suffix":""}],"id":"ITEM-1","issued":{"date-parts":[["2015"]]},"publisher":"Food and Agriculture Organizaion of the United Nations","publisher-place":"Rome, Italy","title":"Global Forest Resources Assessment 2015","type":"book"},"uris":["http://www.mendeley.com/documents/?uuid=ac079176-5d41-4b81-83e7-8e76d68581a3"]}],"mendeley":{"formattedCitation":"(FAO, 2015)","plainTextFormattedCitation":"(FAO, 2015)","previouslyFormattedCitation":"(FAO, 2015)"},"properties":{"noteIndex":0},"schema":"https://github.com/citation-style-language/schema/raw/master/csl-citation.json"}</w:instrText>
      </w:r>
      <w:r w:rsidR="00577295">
        <w:rPr>
          <w:rFonts w:ascii="Arial" w:hAnsi="Arial" w:cs="Arial"/>
          <w:bCs/>
          <w:sz w:val="20"/>
          <w:szCs w:val="20"/>
        </w:rPr>
        <w:fldChar w:fldCharType="separate"/>
      </w:r>
      <w:r w:rsidR="00577295" w:rsidRPr="00577295">
        <w:rPr>
          <w:rFonts w:ascii="Arial" w:hAnsi="Arial" w:cs="Arial"/>
          <w:bCs/>
          <w:noProof/>
          <w:sz w:val="20"/>
          <w:szCs w:val="20"/>
        </w:rPr>
        <w:t>(FAO, 2015)</w:t>
      </w:r>
      <w:r w:rsidR="00577295">
        <w:rPr>
          <w:rFonts w:ascii="Arial" w:hAnsi="Arial" w:cs="Arial"/>
          <w:bCs/>
          <w:sz w:val="20"/>
          <w:szCs w:val="20"/>
        </w:rPr>
        <w:fldChar w:fldCharType="end"/>
      </w:r>
      <w:r w:rsidR="00E27B12">
        <w:rPr>
          <w:rFonts w:ascii="Arial" w:hAnsi="Arial" w:cs="Arial"/>
          <w:bCs/>
          <w:sz w:val="20"/>
          <w:szCs w:val="20"/>
        </w:rPr>
        <w:t xml:space="preserve">.  They are a major carbon sink, and account for approximately 50% of </w:t>
      </w:r>
      <w:r w:rsidR="0068018E">
        <w:rPr>
          <w:rFonts w:ascii="Arial" w:hAnsi="Arial" w:cs="Arial"/>
          <w:bCs/>
          <w:sz w:val="20"/>
          <w:szCs w:val="20"/>
        </w:rPr>
        <w:t xml:space="preserve">terrestrial </w:t>
      </w:r>
      <w:r w:rsidR="00E27B12">
        <w:rPr>
          <w:rFonts w:ascii="Arial" w:hAnsi="Arial" w:cs="Arial"/>
          <w:bCs/>
          <w:sz w:val="20"/>
          <w:szCs w:val="20"/>
        </w:rPr>
        <w:t xml:space="preserve">gross primary productivity </w:t>
      </w:r>
      <w:r w:rsidR="00577295">
        <w:rPr>
          <w:rFonts w:ascii="Arial" w:hAnsi="Arial" w:cs="Arial"/>
          <w:bCs/>
          <w:sz w:val="20"/>
          <w:szCs w:val="20"/>
        </w:rPr>
        <w:fldChar w:fldCharType="begin" w:fldLock="1"/>
      </w:r>
      <w:r w:rsidR="00577295">
        <w:rPr>
          <w:rFonts w:ascii="Arial" w:hAnsi="Arial" w:cs="Arial"/>
          <w:bCs/>
          <w:sz w:val="20"/>
          <w:szCs w:val="20"/>
        </w:rPr>
        <w:instrText>ADDIN CSL_CITATION {"citationItems":[{"id":"ITEM-1","itemData":{"DOI":"10.1126/science.1184984","ISBN":"1095-9203 (Electronic)\\r0036-8075 (Linking)","ISSN":"0036-8075","PMID":"20603496","abstract":"Terrestrial gross primary production (GPP) is the largest global CO(2) flux driving several ecosystem functions. We provide an observation-based estimate of this flux at 123 +/- 8 petagrams of carbon per year (Pg C year(-1)) using eddy covariance flux data and various diagnostic models. Tropical forests and savannahs account for 60%. GPP over 40% of the vegetated land is associated with precipitation. State-of-the-art process-oriented biosphere models used for climate predictions exhibit a large between-model variation of GPP's latitudinal patterns and show higher spatial correlations between GPP and precipitation, suggesting the existence of missing processes or feedback mechanisms which attenuate the vegetation response to climate. Our estimates of spatially distributed GPP and its covariation with climate can help improve coupled climate-carbon cycle process models.","author":[{"dropping-particle":"","family":"Beer","given":"C.","non-dropping-particle":"","parse-names":false,"suffix":""},{"dropping-particle":"","family":"Reichstein","given":"M.","non-dropping-particle":"","parse-names":false,"suffix":""},{"dropping-particle":"","family":"Tomelleri","given":"E.","non-dropping-particle":"","parse-names":false,"suffix":""},{"dropping-particle":"","family":"Ciais","given":"P.","non-dropping-particle":"","parse-names":false,"suffix":""},{"dropping-particle":"","family":"Jung","given":"M.","non-dropping-particle":"","parse-names":false,"suffix":""},{"dropping-particle":"","family":"Carvalhais","given":"N.","non-dropping-particle":"","parse-names":false,"suffix":""},{"dropping-particle":"","family":"Rodenbeck","given":"C.","non-dropping-particle":"","parse-names":false,"suffix":""},{"dropping-particle":"","family":"Arain","given":"M. A.","non-dropping-particle":"","parse-names":false,"suffix":""},{"dropping-particle":"","family":"Baldocchi","given":"D.","non-dropping-particle":"","parse-names":false,"suffix":""},{"dropping-particle":"","family":"Bonan","given":"G. B.","non-dropping-particle":"","parse-names":false,"suffix":""},{"dropping-particle":"","family":"Bondeau","given":"A.","non-dropping-particle":"","parse-names":false,"suffix":""},{"dropping-particle":"","family":"Cescatti","given":"A.","non-dropping-particle":"","parse-names":false,"suffix":""},{"dropping-particle":"","family":"Lasslop","given":"G.","non-dropping-particle":"","parse-names":false,"suffix":""},{"dropping-particle":"","family":"Lindroth","given":"A.","non-dropping-particle":"","parse-names":false,"suffix":""},{"dropping-particle":"","family":"Lomas","given":"M.","non-dropping-particle":"","parse-names":false,"suffix":""},{"dropping-particle":"","family":"Luyssaert","given":"S.","non-dropping-particle":"","parse-names":false,"suffix":""},{"dropping-particle":"","family":"Margolis","given":"H.","non-dropping-particle":"","parse-names":false,"suffix":""},{"dropping-particle":"","family":"Oleson","given":"K. W.","non-dropping-particle":"","parse-names":false,"suffix":""},{"dropping-particle":"","family":"Roupsard","given":"O.","non-dropping-particle":"","parse-names":false,"suffix":""},{"dropping-particle":"","family":"Veenendaal","given":"E.","non-dropping-particle":"","parse-names":false,"suffix":""},{"dropping-particle":"","family":"Viovy","given":"N.","non-dropping-particle":"","parse-names":false,"suffix":""},{"dropping-particle":"","family":"Williams","given":"C.","non-dropping-particle":"","parse-names":false,"suffix":""},{"dropping-particle":"","family":"Woodward","given":"F. I.","non-dropping-particle":"","parse-names":false,"suffix":""},{"dropping-particle":"","family":"Papale","given":"D.","non-dropping-particle":"","parse-names":false,"suffix":""}],"container-title":"Science","id":"ITEM-1","issue":"5993","issued":{"date-parts":[["2010","8","13"]]},"page":"834-838","title":"Terrestrial Gross Carbon Dioxide Uptake: Global Distribution and Covariation with Climate","type":"article-journal","volume":"329"},"uris":["http://www.mendeley.com/documents/?uuid=1466659d-1254-46f2-8055-573e3f74697f"]}],"mendeley":{"formattedCitation":"(Beer et al., 2010)","plainTextFormattedCitation":"(Beer et al., 2010)","previouslyFormattedCitation":"(Beer et al., 2010)"},"properties":{"noteIndex":0},"schema":"https://github.com/citation-style-language/schema/raw/master/csl-citation.json"}</w:instrText>
      </w:r>
      <w:r w:rsidR="00577295">
        <w:rPr>
          <w:rFonts w:ascii="Arial" w:hAnsi="Arial" w:cs="Arial"/>
          <w:bCs/>
          <w:sz w:val="20"/>
          <w:szCs w:val="20"/>
        </w:rPr>
        <w:fldChar w:fldCharType="separate"/>
      </w:r>
      <w:r w:rsidR="00577295" w:rsidRPr="00577295">
        <w:rPr>
          <w:rFonts w:ascii="Arial" w:hAnsi="Arial" w:cs="Arial"/>
          <w:bCs/>
          <w:noProof/>
          <w:sz w:val="20"/>
          <w:szCs w:val="20"/>
        </w:rPr>
        <w:t>(Beer et al., 2010)</w:t>
      </w:r>
      <w:r w:rsidR="00577295">
        <w:rPr>
          <w:rFonts w:ascii="Arial" w:hAnsi="Arial" w:cs="Arial"/>
          <w:bCs/>
          <w:sz w:val="20"/>
          <w:szCs w:val="20"/>
        </w:rPr>
        <w:fldChar w:fldCharType="end"/>
      </w:r>
      <w:r w:rsidR="00E27B12">
        <w:rPr>
          <w:rFonts w:ascii="Arial" w:hAnsi="Arial" w:cs="Arial"/>
          <w:bCs/>
          <w:sz w:val="20"/>
          <w:szCs w:val="20"/>
        </w:rPr>
        <w:t>.</w:t>
      </w:r>
      <w:r w:rsidR="00577295">
        <w:rPr>
          <w:rFonts w:ascii="Arial" w:hAnsi="Arial" w:cs="Arial"/>
          <w:bCs/>
          <w:sz w:val="20"/>
          <w:szCs w:val="20"/>
        </w:rPr>
        <w:t xml:space="preserve">  Monitoring forest biophysical properties such as leaf area index (LAI), which determines light interception and the size of the interface between the biosphere and atmosphere, is crucial in understanding drivers of carbon fixation</w:t>
      </w:r>
      <w:r w:rsidR="00523248">
        <w:rPr>
          <w:rFonts w:ascii="Arial" w:hAnsi="Arial" w:cs="Arial"/>
          <w:bCs/>
          <w:sz w:val="20"/>
          <w:szCs w:val="20"/>
        </w:rPr>
        <w:t xml:space="preserve">, </w:t>
      </w:r>
      <w:r w:rsidR="00577295">
        <w:rPr>
          <w:rFonts w:ascii="Arial" w:hAnsi="Arial" w:cs="Arial"/>
          <w:bCs/>
          <w:sz w:val="20"/>
          <w:szCs w:val="20"/>
        </w:rPr>
        <w:t xml:space="preserve">responses to </w:t>
      </w:r>
      <w:r w:rsidR="00AB1726">
        <w:rPr>
          <w:rFonts w:ascii="Arial" w:hAnsi="Arial" w:cs="Arial"/>
          <w:bCs/>
          <w:sz w:val="20"/>
          <w:szCs w:val="20"/>
        </w:rPr>
        <w:t>climate change,</w:t>
      </w:r>
      <w:r w:rsidR="00523248">
        <w:rPr>
          <w:rFonts w:ascii="Arial" w:hAnsi="Arial" w:cs="Arial"/>
          <w:bCs/>
          <w:sz w:val="20"/>
          <w:szCs w:val="20"/>
        </w:rPr>
        <w:t xml:space="preserve"> and feedbacks to the climate system </w:t>
      </w:r>
      <w:r w:rsidR="00523248">
        <w:rPr>
          <w:rFonts w:ascii="Arial" w:hAnsi="Arial" w:cs="Arial"/>
          <w:bCs/>
          <w:sz w:val="20"/>
          <w:szCs w:val="20"/>
        </w:rPr>
        <w:fldChar w:fldCharType="begin" w:fldLock="1"/>
      </w:r>
      <w:r w:rsidR="00523248">
        <w:rPr>
          <w:rFonts w:ascii="Arial" w:hAnsi="Arial" w:cs="Arial"/>
          <w:bCs/>
          <w:sz w:val="20"/>
          <w:szCs w:val="20"/>
        </w:rPr>
        <w:instrText>ADDIN CSL_CITATION {"citationItems":[{"id":"ITEM-1","itemData":{"DOI":"10.1126/science.275.5299.502","ISBN":"0036-8075","ISSN":"1095-9203","PMID":"8999789","abstract":"Atmospheric general circulation models used for climate simulation and weather forecasting require the fluxes of radiation, heat, water vapor, and momentum across the land-atmosphere interface to be specified. These fluxes are calculated by submodels called land surface parameterizations. Over the last 20 years, these parameterizations have evolved from simple, unrealistic schemes into credible representations of the global soil-vegetation-atmosphere transfer system as advances in plant physiological and hydrological research, advances in satellite data interpretation, and the results of large-scale field experiments have been exploited. Some modern schemes incorporate biogeochemical and ecological knowledge and, when coupled with advanced climate and ocean models, will be capable of modeling the biological and physical responses of the Earth system to global change, for example, increasing atmospheric carbon dioxide.","author":[{"dropping-particle":"","family":"Sellers","given":"P. J.","non-dropping-particle":"","parse-names":false,"suffix":""},{"dropping-particle":"","family":"Dickinson","given":"R. E.","non-dropping-particle":"","parse-names":false,"suffix":""},{"dropping-particle":"","family":"Randall","given":"D. A.","non-dropping-particle":"","parse-names":false,"suffix":""},{"dropping-particle":"","family":"Betts","given":"A. K.","non-dropping-particle":"","parse-names":false,"suffix":""},{"dropping-particle":"","family":"Hall","given":"F. G.","non-dropping-particle":"","parse-names":false,"suffix":""},{"dropping-particle":"","family":"Berry","given":"J. A.","non-dropping-particle":"","parse-names":false,"suffix":""},{"dropping-particle":"","family":"Collatz","given":"G. J.","non-dropping-particle":"","parse-names":false,"suffix":""},{"dropping-particle":"","family":"Denning","given":"A. S.","non-dropping-particle":"","parse-names":false,"suffix":""},{"dropping-particle":"","family":"Mooney","given":"H. A.","non-dropping-particle":"","parse-names":false,"suffix":""},{"dropping-particle":"","family":"Nobre","given":"C. A.","non-dropping-particle":"","parse-names":false,"suffix":""},{"dropping-particle":"","family":"Sato","given":"N.","non-dropping-particle":"","parse-names":false,"suffix":""},{"dropping-particle":"","family":"Field","given":"C. B.","non-dropping-particle":"","parse-names":false,"suffix":""},{"dropping-particle":"","family":"Henderson-Sellers","given":"A.","non-dropping-particle":"","parse-names":false,"suffix":""}],"container-title":"Science","id":"ITEM-1","issue":"5299","issued":{"date-parts":[["1997","1","24"]]},"page":"502-9","title":"Modeling the Exchanges of Energy, Water, and Carbon Between Continents and the Atmosphere","type":"article-journal","volume":"275"},"uris":["http://www.mendeley.com/documents/?uuid=84e7a6c4-a27b-3e2d-ac3b-a115076a9a78"]},{"id":"ITEM-2","itemData":{"DOI":"10.1016/j.agrformet.2012.09.012","ISBN":"0168-1923","ISSN":"01681923","abstract":"Vegetation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B.V.","author":[{"dropping-particle":"","family":"Richardson","given":"Andrew D.","non-dropping-particle":"","parse-names":false,"suffix":""},{"dropping-particle":"","family":"Keenan","given":"Trevor F.","non-dropping-particle":"","parse-names":false,"suffix":""},{"dropping-particle":"","family":"Migliavacca","given":"Mirco","non-dropping-particle":"","parse-names":false,"suffix":""},{"dropping-particle":"","family":"Ryu","given":"Youngryel","non-dropping-particle":"","parse-names":false,"suffix":""},{"dropping-particle":"","family":"Sonnentag","given":"Oliver","non-dropping-particle":"","parse-names":false,"suffix":""},{"dropping-particle":"","family":"Toomey","given":"Michael","non-dropping-particle":"","parse-names":false,"suffix":""}],"container-title":"Agricultural and Forest Meteorology","id":"ITEM-2","issued":{"date-parts":[["2013","2"]]},"page":"156-173","title":"Climate change, phenology, and phenological control of vegetation feedbacks to the climate system","type":"article-journal","volume":"169"},"uris":["http://www.mendeley.com/documents/?uuid=b1424af7-6c20-483c-9147-632609ad2dc6"]}],"mendeley":{"formattedCitation":"(Richardson et al., 2013; Sellers et al., 1997)","plainTextFormattedCitation":"(Richardson et al., 2013; Sellers et al., 1997)","previouslyFormattedCitation":"(Richardson et al., 2013; Sellers et al., 1997)"},"properties":{"noteIndex":0},"schema":"https://github.com/citation-style-language/schema/raw/master/csl-citation.json"}</w:instrText>
      </w:r>
      <w:r w:rsidR="00523248">
        <w:rPr>
          <w:rFonts w:ascii="Arial" w:hAnsi="Arial" w:cs="Arial"/>
          <w:bCs/>
          <w:sz w:val="20"/>
          <w:szCs w:val="20"/>
        </w:rPr>
        <w:fldChar w:fldCharType="separate"/>
      </w:r>
      <w:r w:rsidR="00523248" w:rsidRPr="00523248">
        <w:rPr>
          <w:rFonts w:ascii="Arial" w:hAnsi="Arial" w:cs="Arial"/>
          <w:bCs/>
          <w:noProof/>
          <w:sz w:val="20"/>
          <w:szCs w:val="20"/>
        </w:rPr>
        <w:t>(Richardson et al., 2013; Sellers et al., 1997)</w:t>
      </w:r>
      <w:r w:rsidR="00523248">
        <w:rPr>
          <w:rFonts w:ascii="Arial" w:hAnsi="Arial" w:cs="Arial"/>
          <w:bCs/>
          <w:sz w:val="20"/>
          <w:szCs w:val="20"/>
        </w:rPr>
        <w:fldChar w:fldCharType="end"/>
      </w:r>
      <w:r w:rsidR="00577295">
        <w:rPr>
          <w:rFonts w:ascii="Arial" w:hAnsi="Arial" w:cs="Arial"/>
          <w:bCs/>
          <w:sz w:val="20"/>
          <w:szCs w:val="20"/>
        </w:rPr>
        <w:t xml:space="preserve">.  </w:t>
      </w:r>
      <w:r w:rsidR="00D67510">
        <w:rPr>
          <w:rFonts w:ascii="Arial" w:hAnsi="Arial" w:cs="Arial"/>
          <w:bCs/>
          <w:sz w:val="20"/>
          <w:szCs w:val="20"/>
        </w:rPr>
        <w:t>Unfortunately, t</w:t>
      </w:r>
      <w:r w:rsidR="00577295">
        <w:rPr>
          <w:rFonts w:ascii="Arial" w:hAnsi="Arial" w:cs="Arial"/>
          <w:bCs/>
          <w:sz w:val="20"/>
          <w:szCs w:val="20"/>
        </w:rPr>
        <w:t>he</w:t>
      </w:r>
      <w:r w:rsidR="00DA03A7">
        <w:rPr>
          <w:rFonts w:ascii="Arial" w:hAnsi="Arial" w:cs="Arial"/>
          <w:bCs/>
          <w:sz w:val="20"/>
          <w:szCs w:val="20"/>
        </w:rPr>
        <w:t xml:space="preserve"> in</w:t>
      </w:r>
      <w:r w:rsidR="00CF3773">
        <w:rPr>
          <w:rFonts w:ascii="Arial" w:hAnsi="Arial" w:cs="Arial"/>
          <w:bCs/>
          <w:sz w:val="20"/>
          <w:szCs w:val="20"/>
        </w:rPr>
        <w:t xml:space="preserve"> </w:t>
      </w:r>
      <w:r w:rsidR="00DA03A7">
        <w:rPr>
          <w:rFonts w:ascii="Arial" w:hAnsi="Arial" w:cs="Arial"/>
          <w:bCs/>
          <w:sz w:val="20"/>
          <w:szCs w:val="20"/>
        </w:rPr>
        <w:t>situ</w:t>
      </w:r>
      <w:r w:rsidR="00577295">
        <w:rPr>
          <w:rFonts w:ascii="Arial" w:hAnsi="Arial" w:cs="Arial"/>
          <w:bCs/>
          <w:sz w:val="20"/>
          <w:szCs w:val="20"/>
        </w:rPr>
        <w:t xml:space="preserve"> measurement of biophysical variables such as LAI is a time-consuming and laborious process, and whilst advances in non-destructive, indirect techniques have been made </w:t>
      </w:r>
      <w:r w:rsidR="00577295">
        <w:rPr>
          <w:rFonts w:ascii="Arial" w:hAnsi="Arial" w:cs="Arial"/>
          <w:bCs/>
          <w:sz w:val="20"/>
          <w:szCs w:val="20"/>
        </w:rPr>
        <w:fldChar w:fldCharType="begin" w:fldLock="1"/>
      </w:r>
      <w:r w:rsidR="009534EA">
        <w:rPr>
          <w:rFonts w:ascii="Arial" w:hAnsi="Arial" w:cs="Arial"/>
          <w:bCs/>
          <w:sz w:val="20"/>
          <w:szCs w:val="20"/>
        </w:rPr>
        <w:instrText>ADDIN CSL_CITATION {"citationItems":[{"id":"ITEM-1","itemData":{"DOI":"10.1093/jxb/erg263","ISSN":"1460-2431","abstract":"Leaf area index (LAI) is the total one-sided area of leaf tissue per unit ground surface area. It is a key parameter in ecophysiology, especially for scaling up the gas exchange from leaf to canopy level. It charac-terizes the canopy±atmosphere interface, where most of the energy ¯uxes exchange. It is also one of the most dif®cult to quantify properly, owing to large spatial and temporal variability. Many methods have been developed to quantify LAI from the ground and some of them are also suitable for describing other structural parameters of the canopy. This paper reviews the direct and indirect methods, the required instruments, their advantages, disadvantages and accuracy of the results. Analysis of the literature shows that most cross-validations between direct and indirect methods have pointed to a signi®cant underestimation of LAI with the latter techniques, especially in forest stands. The two main causes for the discrepancy, clumping and contribution of stem and branches, are discussed and some recent theor-etical or technical solutions are presented as poten-tial improvements to reduce bias or discrepancies. The accuracy, sampling strategy and spatial validity of the LAI measurements have to be assessed for quality assurance of both the measurement and the modelling purposes of all the LAI-dependent eco-physiological and biophysical processes of canopies.","author":[{"dropping-particle":"","family":"Bréda","given":"N. J. J.","non-dropping-particle":"","parse-names":false,"suffix":""}],"container-title":"Journal of Experimental Botany","id":"ITEM-1","issue":"392","issued":{"date-parts":[["2003","9","25"]]},"page":"2403-2417","title":"Ground-based measurements of leaf area index: a review of methods, instruments and current controversies","type":"article-journal","volume":"54"},"uris":["http://www.mendeley.com/documents/?uuid=74c456fc-5aaa-3d4b-b8c1-561d212dcfda"]},{"id":"ITEM-2","itemData":{"DOI":"10.1016/j.agrformet.2003.08.001","ISBN":"0168-1923","ISSN":"01681923","PMID":"15","abstract":"The theoretical background of modeling the gap fraction and the leaf inclination distribution is presented and the different techniques used to derive leaf area index (LAI) and leaf inclination angle from gap fraction measurements are reviewed. Their associated assumptions and limitations are discussed, i.e., the clumping effect and the distinction between green and non-green elements within the canopy. Based on LAI measurements in various canopies (various crops and forests), sampling strategy is also discussed. ?? 2003 Elsevier B.V. All rights reserved.","author":[{"dropping-particle":"","family":"Weiss","given":"M","non-dropping-particle":"","parse-names":false,"suffix":""},{"dropping-particle":"","family":"Baret","given":"F","non-dropping-particle":"","parse-names":false,"suffix":""},{"dropping-particle":"","family":"Smith","given":"G.J.","non-dropping-particle":"","parse-names":false,"suffix":""},{"dropping-particle":"","family":"Jonckheere","given":"I","non-dropping-particle":"","parse-names":false,"suffix":""},{"dropping-particle":"","family":"Coppin","given":"P","non-dropping-particle":"","parse-names":false,"suffix":""}],"container-title":"Agricultural and Forest Meteorology","id":"ITEM-2","issue":"1-2","issued":{"date-parts":[["2004","1"]]},"page":"37-53","title":"Review of methods for in situ leaf area index (LAI) determination Part II: Estimation of LAI, errors and sampling","type":"article-journal","volume":"121"},"uris":["http://www.mendeley.com/documents/?uuid=9cd2c067-d1fa-3a33-91b0-ad2b8e00c404"]},{"id":"ITEM-3","itemData":{"DOI":"10.1016/j.agrformet.2003.08.027","ISBN":"0168-1923","ISSN":"01681923","PMID":"54","abstract":"Rapid, reliable and objective estimations of leaf area index (LAI) are essential for numerous studies of atmosphere-vegetation interaction, as LAI is very often a critical parameter in process-based models of vegetation canopy response to global environmental change. This paper reviews current knowledge concerning the use of direct and indirect methods for LAI determination. The value of optical LAI measurements by means of hemispherical photography has already been demonstrated in previous studies. As clumping seems to be the main factor causing errors in indirect LAI estimation, we suggest that the use of a digital camera with high dynamic range has the potential to overcome a number of described technical problems related to indirect LAI estimation. Further testing and defining of a standardised field protocol for digital hemispherical photography is however needed to improve this technique to achieve the standards of an ideal device. © 2003 Elsevier B.V. All rights reserved.","author":[{"dropping-particle":"","family":"Jonckheere","given":"Inge","non-dropping-particle":"","parse-names":false,"suffix":""},{"dropping-particle":"","family":"Fleck","given":"Stefan","non-dropping-particle":"","parse-names":false,"suffix":""},{"dropping-particle":"","family":"Nackaerts","given":"Kris","non-dropping-particle":"","parse-names":false,"suffix":""},{"dropping-particle":"","family":"Muys","given":"Bart","non-dropping-particle":"","parse-names":false,"suffix":""},{"dropping-particle":"","family":"Coppin","given":"Pol","non-dropping-particle":"","parse-names":false,"suffix":""},{"dropping-particle":"","family":"Weiss","given":"Marie","non-dropping-particle":"","parse-names":false,"suffix":""},{"dropping-particle":"","family":"Baret","given":"Frédéric","non-dropping-particle":"","parse-names":false,"suffix":""}],"container-title":"Agricultural and Forest Meteorology","id":"ITEM-3","issue":"1-2","issued":{"date-parts":[["2004","1"]]},"page":"19-35","title":"Review of methods for in situ leaf area index determination","type":"article-journal","volume":"121"},"uris":["http://www.mendeley.com/documents/?uuid=6442ba11-356e-31a6-aa90-199154d69b6f"]}],"mendeley":{"formattedCitation":"(Bréda, 2003; Jonckheere et al., 2004; Weiss et al., 2004)","plainTextFormattedCitation":"(Bréda, 2003; Jonckheere et al., 2004; Weiss et al., 2004)","previouslyFormattedCitation":"(Bréda, 2003; Jonckheere et al., 2004; Weiss et al., 2004)"},"properties":{"noteIndex":0},"schema":"https://github.com/citation-style-language/schema/raw/master/csl-citation.json"}</w:instrText>
      </w:r>
      <w:r w:rsidR="00577295">
        <w:rPr>
          <w:rFonts w:ascii="Arial" w:hAnsi="Arial" w:cs="Arial"/>
          <w:bCs/>
          <w:sz w:val="20"/>
          <w:szCs w:val="20"/>
        </w:rPr>
        <w:fldChar w:fldCharType="separate"/>
      </w:r>
      <w:r w:rsidR="00577295" w:rsidRPr="00577295">
        <w:rPr>
          <w:rFonts w:ascii="Arial" w:hAnsi="Arial" w:cs="Arial"/>
          <w:bCs/>
          <w:noProof/>
          <w:sz w:val="20"/>
          <w:szCs w:val="20"/>
        </w:rPr>
        <w:t>(Bréda, 2003; Jonckheere et al., 2004; Weiss et al., 2004)</w:t>
      </w:r>
      <w:r w:rsidR="00577295">
        <w:rPr>
          <w:rFonts w:ascii="Arial" w:hAnsi="Arial" w:cs="Arial"/>
          <w:bCs/>
          <w:sz w:val="20"/>
          <w:szCs w:val="20"/>
        </w:rPr>
        <w:fldChar w:fldCharType="end"/>
      </w:r>
      <w:r w:rsidR="00577295">
        <w:rPr>
          <w:rFonts w:ascii="Arial" w:hAnsi="Arial" w:cs="Arial"/>
          <w:bCs/>
          <w:sz w:val="20"/>
          <w:szCs w:val="20"/>
        </w:rPr>
        <w:t>, in</w:t>
      </w:r>
      <w:r w:rsidR="00CF3773">
        <w:rPr>
          <w:rFonts w:ascii="Arial" w:hAnsi="Arial" w:cs="Arial"/>
          <w:bCs/>
          <w:sz w:val="20"/>
          <w:szCs w:val="20"/>
        </w:rPr>
        <w:t xml:space="preserve"> </w:t>
      </w:r>
      <w:r w:rsidR="00577295">
        <w:rPr>
          <w:rFonts w:ascii="Arial" w:hAnsi="Arial" w:cs="Arial"/>
          <w:bCs/>
          <w:sz w:val="20"/>
          <w:szCs w:val="20"/>
        </w:rPr>
        <w:t>situ measurements are still restricted by resource constraints</w:t>
      </w:r>
      <w:r w:rsidR="00B9762E">
        <w:rPr>
          <w:rFonts w:ascii="Arial" w:hAnsi="Arial" w:cs="Arial"/>
          <w:bCs/>
          <w:sz w:val="20"/>
          <w:szCs w:val="20"/>
        </w:rPr>
        <w:t xml:space="preserve">.  </w:t>
      </w:r>
      <w:r w:rsidR="00CF2507">
        <w:rPr>
          <w:rFonts w:ascii="Arial" w:hAnsi="Arial" w:cs="Arial"/>
          <w:bCs/>
          <w:sz w:val="20"/>
          <w:szCs w:val="20"/>
        </w:rPr>
        <w:t>Because in</w:t>
      </w:r>
      <w:r w:rsidR="00CF3773">
        <w:rPr>
          <w:rFonts w:ascii="Arial" w:hAnsi="Arial" w:cs="Arial"/>
          <w:bCs/>
          <w:sz w:val="20"/>
          <w:szCs w:val="20"/>
        </w:rPr>
        <w:t xml:space="preserve"> </w:t>
      </w:r>
      <w:r w:rsidR="00CF2507">
        <w:rPr>
          <w:rFonts w:ascii="Arial" w:hAnsi="Arial" w:cs="Arial"/>
          <w:bCs/>
          <w:sz w:val="20"/>
          <w:szCs w:val="20"/>
        </w:rPr>
        <w:t xml:space="preserve">situ measurements typically involve spatial replicate sampling, they </w:t>
      </w:r>
      <w:proofErr w:type="gramStart"/>
      <w:r w:rsidR="00CF2507">
        <w:rPr>
          <w:rFonts w:ascii="Arial" w:hAnsi="Arial" w:cs="Arial"/>
          <w:bCs/>
          <w:sz w:val="20"/>
          <w:szCs w:val="20"/>
        </w:rPr>
        <w:t xml:space="preserve">are </w:t>
      </w:r>
      <w:r w:rsidR="00E30F7F">
        <w:rPr>
          <w:rFonts w:ascii="Arial" w:hAnsi="Arial" w:cs="Arial"/>
          <w:bCs/>
          <w:sz w:val="20"/>
          <w:szCs w:val="20"/>
        </w:rPr>
        <w:t>able to</w:t>
      </w:r>
      <w:proofErr w:type="gramEnd"/>
      <w:r w:rsidR="00E30F7F">
        <w:rPr>
          <w:rFonts w:ascii="Arial" w:hAnsi="Arial" w:cs="Arial"/>
          <w:bCs/>
          <w:sz w:val="20"/>
          <w:szCs w:val="20"/>
        </w:rPr>
        <w:t xml:space="preserve"> capture</w:t>
      </w:r>
      <w:r w:rsidR="00CF2507">
        <w:rPr>
          <w:rFonts w:ascii="Arial" w:hAnsi="Arial" w:cs="Arial"/>
          <w:bCs/>
          <w:sz w:val="20"/>
          <w:szCs w:val="20"/>
        </w:rPr>
        <w:t xml:space="preserve"> variability at the plot </w:t>
      </w:r>
      <w:r w:rsidR="00950B8D">
        <w:rPr>
          <w:rFonts w:ascii="Arial" w:hAnsi="Arial" w:cs="Arial"/>
          <w:bCs/>
          <w:sz w:val="20"/>
          <w:szCs w:val="20"/>
        </w:rPr>
        <w:t>(</w:t>
      </w:r>
      <w:r w:rsidR="00CF2507">
        <w:rPr>
          <w:rFonts w:ascii="Arial" w:hAnsi="Arial" w:cs="Arial"/>
          <w:bCs/>
          <w:sz w:val="20"/>
          <w:szCs w:val="20"/>
        </w:rPr>
        <w:t>and site</w:t>
      </w:r>
      <w:r w:rsidR="00950B8D">
        <w:rPr>
          <w:rFonts w:ascii="Arial" w:hAnsi="Arial" w:cs="Arial"/>
          <w:bCs/>
          <w:sz w:val="20"/>
          <w:szCs w:val="20"/>
        </w:rPr>
        <w:t>)</w:t>
      </w:r>
      <w:r w:rsidR="00CF2507">
        <w:rPr>
          <w:rFonts w:ascii="Arial" w:hAnsi="Arial" w:cs="Arial"/>
          <w:bCs/>
          <w:sz w:val="20"/>
          <w:szCs w:val="20"/>
        </w:rPr>
        <w:t xml:space="preserve"> scale</w:t>
      </w:r>
      <w:r w:rsidR="00122BFB">
        <w:rPr>
          <w:rFonts w:ascii="Arial" w:hAnsi="Arial" w:cs="Arial"/>
          <w:bCs/>
          <w:sz w:val="20"/>
          <w:szCs w:val="20"/>
        </w:rPr>
        <w:t xml:space="preserve"> </w:t>
      </w:r>
      <w:r w:rsidR="00122BFB">
        <w:rPr>
          <w:rFonts w:ascii="Arial" w:eastAsia="Times New Roman" w:hAnsi="Arial" w:cs="Arial"/>
          <w:sz w:val="20"/>
          <w:szCs w:val="20"/>
        </w:rPr>
        <w:t>useful to forest managers and ecologists</w:t>
      </w:r>
      <w:r w:rsidR="00CF2507">
        <w:rPr>
          <w:rFonts w:ascii="Arial" w:hAnsi="Arial" w:cs="Arial"/>
          <w:bCs/>
          <w:sz w:val="20"/>
          <w:szCs w:val="20"/>
        </w:rPr>
        <w:t xml:space="preserve">, </w:t>
      </w:r>
      <w:r w:rsidR="00B9762E">
        <w:rPr>
          <w:rFonts w:ascii="Arial" w:hAnsi="Arial" w:cs="Arial"/>
          <w:bCs/>
          <w:sz w:val="20"/>
          <w:szCs w:val="20"/>
        </w:rPr>
        <w:t>but th</w:t>
      </w:r>
      <w:r w:rsidR="00CF2507">
        <w:rPr>
          <w:rFonts w:ascii="Arial" w:hAnsi="Arial" w:cs="Arial"/>
          <w:bCs/>
          <w:sz w:val="20"/>
          <w:szCs w:val="20"/>
        </w:rPr>
        <w:t xml:space="preserve">eir periodic nature means they </w:t>
      </w:r>
      <w:r w:rsidR="00B9762E">
        <w:rPr>
          <w:rFonts w:ascii="Arial" w:hAnsi="Arial" w:cs="Arial"/>
          <w:bCs/>
          <w:sz w:val="20"/>
          <w:szCs w:val="20"/>
        </w:rPr>
        <w:t xml:space="preserve">cannot adequately characterise </w:t>
      </w:r>
      <w:r w:rsidR="00BA7CBD">
        <w:rPr>
          <w:rFonts w:ascii="Arial" w:hAnsi="Arial" w:cs="Arial"/>
          <w:bCs/>
          <w:sz w:val="20"/>
          <w:szCs w:val="20"/>
        </w:rPr>
        <w:t>temporal d</w:t>
      </w:r>
      <w:r w:rsidR="00B9762E">
        <w:rPr>
          <w:rFonts w:ascii="Arial" w:hAnsi="Arial" w:cs="Arial"/>
          <w:bCs/>
          <w:sz w:val="20"/>
          <w:szCs w:val="20"/>
        </w:rPr>
        <w:t>ynamics</w:t>
      </w:r>
      <w:r w:rsidR="00CF2507">
        <w:rPr>
          <w:rFonts w:ascii="Arial" w:hAnsi="Arial" w:cs="Arial"/>
          <w:bCs/>
          <w:sz w:val="20"/>
          <w:szCs w:val="20"/>
        </w:rPr>
        <w:t xml:space="preserve">.  </w:t>
      </w:r>
      <w:r w:rsidR="00BE1870">
        <w:rPr>
          <w:rFonts w:ascii="Arial" w:hAnsi="Arial" w:cs="Arial"/>
          <w:bCs/>
          <w:sz w:val="20"/>
          <w:szCs w:val="20"/>
        </w:rPr>
        <w:t>Improved information</w:t>
      </w:r>
      <w:r w:rsidR="00E30F7F">
        <w:rPr>
          <w:rFonts w:ascii="Arial" w:hAnsi="Arial" w:cs="Arial"/>
          <w:bCs/>
          <w:sz w:val="20"/>
          <w:szCs w:val="20"/>
        </w:rPr>
        <w:t xml:space="preserve"> o</w:t>
      </w:r>
      <w:r w:rsidR="00BE1870">
        <w:rPr>
          <w:rFonts w:ascii="Arial" w:hAnsi="Arial" w:cs="Arial"/>
          <w:bCs/>
          <w:sz w:val="20"/>
          <w:szCs w:val="20"/>
        </w:rPr>
        <w:t>n</w:t>
      </w:r>
      <w:r w:rsidR="00E30F7F">
        <w:rPr>
          <w:rFonts w:ascii="Arial" w:hAnsi="Arial" w:cs="Arial"/>
          <w:bCs/>
          <w:sz w:val="20"/>
          <w:szCs w:val="20"/>
        </w:rPr>
        <w:t xml:space="preserve"> these dynamics is required </w:t>
      </w:r>
      <w:r w:rsidR="00BE1870">
        <w:rPr>
          <w:rFonts w:ascii="Arial" w:hAnsi="Arial" w:cs="Arial"/>
          <w:bCs/>
          <w:sz w:val="20"/>
          <w:szCs w:val="20"/>
        </w:rPr>
        <w:t xml:space="preserve">by models of vegetation productivity, biosphere-atmosphere interactions, and the surface energy balance.  Therefore, there </w:t>
      </w:r>
      <w:r w:rsidR="00693105">
        <w:rPr>
          <w:rFonts w:ascii="Arial" w:hAnsi="Arial" w:cs="Arial"/>
          <w:bCs/>
          <w:sz w:val="20"/>
          <w:szCs w:val="20"/>
        </w:rPr>
        <w:t xml:space="preserve">is a </w:t>
      </w:r>
      <w:r w:rsidR="00BA7CBD">
        <w:rPr>
          <w:rFonts w:ascii="Arial" w:hAnsi="Arial" w:cs="Arial"/>
          <w:bCs/>
          <w:sz w:val="20"/>
          <w:szCs w:val="20"/>
        </w:rPr>
        <w:t xml:space="preserve">clear </w:t>
      </w:r>
      <w:r w:rsidR="00693105">
        <w:rPr>
          <w:rFonts w:ascii="Arial" w:hAnsi="Arial" w:cs="Arial"/>
          <w:bCs/>
          <w:sz w:val="20"/>
          <w:szCs w:val="20"/>
        </w:rPr>
        <w:t>need to develop</w:t>
      </w:r>
      <w:r w:rsidR="002A525F">
        <w:rPr>
          <w:rFonts w:ascii="Arial" w:hAnsi="Arial" w:cs="Arial"/>
          <w:bCs/>
          <w:sz w:val="20"/>
          <w:szCs w:val="20"/>
        </w:rPr>
        <w:t xml:space="preserve"> </w:t>
      </w:r>
      <w:bookmarkStart w:id="1" w:name="_Hlk20219882"/>
      <w:r w:rsidR="002A525F">
        <w:rPr>
          <w:rFonts w:ascii="Arial" w:hAnsi="Arial" w:cs="Arial"/>
          <w:bCs/>
          <w:sz w:val="20"/>
          <w:szCs w:val="20"/>
        </w:rPr>
        <w:t>cost-effective techniques</w:t>
      </w:r>
      <w:r w:rsidR="00F825FC">
        <w:rPr>
          <w:rFonts w:ascii="Arial" w:hAnsi="Arial" w:cs="Arial"/>
          <w:bCs/>
          <w:sz w:val="20"/>
          <w:szCs w:val="20"/>
        </w:rPr>
        <w:t xml:space="preserve"> </w:t>
      </w:r>
      <w:r w:rsidR="0034782B">
        <w:rPr>
          <w:rFonts w:ascii="Arial" w:hAnsi="Arial" w:cs="Arial"/>
          <w:bCs/>
          <w:sz w:val="20"/>
          <w:szCs w:val="20"/>
        </w:rPr>
        <w:t xml:space="preserve">for </w:t>
      </w:r>
      <w:r w:rsidR="001D312A">
        <w:rPr>
          <w:rFonts w:ascii="Arial" w:hAnsi="Arial" w:cs="Arial"/>
          <w:bCs/>
          <w:sz w:val="20"/>
          <w:szCs w:val="20"/>
        </w:rPr>
        <w:t xml:space="preserve">the </w:t>
      </w:r>
      <w:r w:rsidR="006C1BB2">
        <w:rPr>
          <w:rFonts w:ascii="Arial" w:hAnsi="Arial" w:cs="Arial"/>
          <w:bCs/>
          <w:sz w:val="20"/>
          <w:szCs w:val="20"/>
        </w:rPr>
        <w:t xml:space="preserve">continuous </w:t>
      </w:r>
      <w:r w:rsidR="00F825FC">
        <w:rPr>
          <w:rFonts w:ascii="Arial" w:hAnsi="Arial" w:cs="Arial"/>
          <w:bCs/>
          <w:sz w:val="20"/>
          <w:szCs w:val="20"/>
        </w:rPr>
        <w:t>monitor</w:t>
      </w:r>
      <w:r w:rsidR="00523248">
        <w:rPr>
          <w:rFonts w:ascii="Arial" w:hAnsi="Arial" w:cs="Arial"/>
          <w:bCs/>
          <w:sz w:val="20"/>
          <w:szCs w:val="20"/>
        </w:rPr>
        <w:t>ing</w:t>
      </w:r>
      <w:r w:rsidR="004A6C4B">
        <w:rPr>
          <w:rFonts w:ascii="Arial" w:hAnsi="Arial" w:cs="Arial"/>
          <w:bCs/>
          <w:sz w:val="20"/>
          <w:szCs w:val="20"/>
        </w:rPr>
        <w:t xml:space="preserve"> of</w:t>
      </w:r>
      <w:r w:rsidR="00F825FC">
        <w:rPr>
          <w:rFonts w:ascii="Arial" w:hAnsi="Arial" w:cs="Arial"/>
          <w:bCs/>
          <w:sz w:val="20"/>
          <w:szCs w:val="20"/>
        </w:rPr>
        <w:t xml:space="preserve"> forest biophysical properties</w:t>
      </w:r>
      <w:r w:rsidR="00577295">
        <w:rPr>
          <w:rFonts w:ascii="Arial" w:hAnsi="Arial" w:cs="Arial"/>
          <w:bCs/>
          <w:sz w:val="20"/>
          <w:szCs w:val="20"/>
        </w:rPr>
        <w:t xml:space="preserve"> over time</w:t>
      </w:r>
      <w:bookmarkEnd w:id="1"/>
      <w:r w:rsidR="002A525F">
        <w:rPr>
          <w:rFonts w:ascii="Arial" w:hAnsi="Arial" w:cs="Arial"/>
          <w:bCs/>
          <w:sz w:val="20"/>
          <w:szCs w:val="20"/>
        </w:rPr>
        <w:t>.</w:t>
      </w:r>
    </w:p>
    <w:p w14:paraId="717B7CE0" w14:textId="238B5227" w:rsidR="00553A6E" w:rsidRDefault="00F825FC" w:rsidP="00742C27">
      <w:pPr>
        <w:spacing w:line="480" w:lineRule="auto"/>
        <w:jc w:val="both"/>
        <w:rPr>
          <w:rFonts w:ascii="Arial" w:hAnsi="Arial" w:cs="Arial"/>
          <w:bCs/>
          <w:sz w:val="20"/>
          <w:szCs w:val="20"/>
        </w:rPr>
      </w:pPr>
      <w:r>
        <w:rPr>
          <w:rFonts w:ascii="Arial" w:hAnsi="Arial" w:cs="Arial"/>
          <w:bCs/>
          <w:sz w:val="20"/>
          <w:szCs w:val="20"/>
        </w:rPr>
        <w:t xml:space="preserve">In recent years, digital repeat photography has received increasing attention as an inexpensive form of near-surface remote sensing by which seasonal changes in </w:t>
      </w:r>
      <w:r w:rsidR="0072726C">
        <w:rPr>
          <w:rFonts w:ascii="Arial" w:hAnsi="Arial" w:cs="Arial"/>
          <w:bCs/>
          <w:sz w:val="20"/>
          <w:szCs w:val="20"/>
        </w:rPr>
        <w:t>vegetation</w:t>
      </w:r>
      <w:r>
        <w:rPr>
          <w:rFonts w:ascii="Arial" w:hAnsi="Arial" w:cs="Arial"/>
          <w:bCs/>
          <w:sz w:val="20"/>
          <w:szCs w:val="20"/>
        </w:rPr>
        <w:t xml:space="preserve"> canopies can be monitored.  </w:t>
      </w:r>
      <w:r w:rsidR="000D190A" w:rsidRPr="000D190A">
        <w:t xml:space="preserve"> </w:t>
      </w:r>
      <w:r w:rsidR="0069091C">
        <w:rPr>
          <w:rFonts w:ascii="Arial" w:hAnsi="Arial" w:cs="Arial"/>
          <w:bCs/>
          <w:sz w:val="20"/>
          <w:szCs w:val="20"/>
        </w:rPr>
        <w:t>The term digital repeat photography</w:t>
      </w:r>
      <w:r w:rsidR="000D190A" w:rsidRPr="000D190A">
        <w:rPr>
          <w:rFonts w:ascii="Arial" w:hAnsi="Arial" w:cs="Arial"/>
          <w:bCs/>
          <w:sz w:val="20"/>
          <w:szCs w:val="20"/>
        </w:rPr>
        <w:t xml:space="preserve"> refers </w:t>
      </w:r>
      <w:r w:rsidR="0069091C">
        <w:rPr>
          <w:rFonts w:ascii="Arial" w:hAnsi="Arial" w:cs="Arial"/>
          <w:bCs/>
          <w:sz w:val="20"/>
          <w:szCs w:val="20"/>
        </w:rPr>
        <w:t xml:space="preserve">to </w:t>
      </w:r>
      <w:r w:rsidR="000D190A">
        <w:rPr>
          <w:rFonts w:ascii="Arial" w:hAnsi="Arial" w:cs="Arial"/>
          <w:bCs/>
          <w:sz w:val="20"/>
          <w:szCs w:val="20"/>
        </w:rPr>
        <w:t>several techniques,</w:t>
      </w:r>
      <w:r w:rsidR="000D190A" w:rsidRPr="000D190A">
        <w:rPr>
          <w:rFonts w:ascii="Arial" w:hAnsi="Arial" w:cs="Arial"/>
          <w:bCs/>
          <w:sz w:val="20"/>
          <w:szCs w:val="20"/>
        </w:rPr>
        <w:t xml:space="preserve"> including the use of above-canopy digital cameras with an oblique field-of-view (FOV) to characterise canopy colour (hereafter referred to as above-canopy digital</w:t>
      </w:r>
      <w:r w:rsidR="00BE0D7D">
        <w:rPr>
          <w:rFonts w:ascii="Arial" w:hAnsi="Arial" w:cs="Arial"/>
          <w:bCs/>
          <w:sz w:val="20"/>
          <w:szCs w:val="20"/>
        </w:rPr>
        <w:t xml:space="preserve"> repeat</w:t>
      </w:r>
      <w:r w:rsidR="000D190A" w:rsidRPr="000D190A">
        <w:rPr>
          <w:rFonts w:ascii="Arial" w:hAnsi="Arial" w:cs="Arial"/>
          <w:bCs/>
          <w:sz w:val="20"/>
          <w:szCs w:val="20"/>
        </w:rPr>
        <w:t xml:space="preserve"> photography), and more recently, the use of below-canopy digital cameras</w:t>
      </w:r>
      <w:r w:rsidR="000D190A">
        <w:rPr>
          <w:rFonts w:ascii="Arial" w:hAnsi="Arial" w:cs="Arial"/>
          <w:bCs/>
          <w:sz w:val="20"/>
          <w:szCs w:val="20"/>
        </w:rPr>
        <w:t xml:space="preserve"> facing upwards</w:t>
      </w:r>
      <w:r w:rsidR="000D190A" w:rsidRPr="000D190A">
        <w:rPr>
          <w:rFonts w:ascii="Arial" w:hAnsi="Arial" w:cs="Arial"/>
          <w:bCs/>
          <w:sz w:val="20"/>
          <w:szCs w:val="20"/>
        </w:rPr>
        <w:t xml:space="preserve"> to estimate canopy cover (hereafter referred to as digital cover photography).</w:t>
      </w:r>
      <w:r w:rsidR="000D190A">
        <w:rPr>
          <w:rFonts w:ascii="Arial" w:hAnsi="Arial" w:cs="Arial"/>
          <w:bCs/>
          <w:sz w:val="20"/>
          <w:szCs w:val="20"/>
        </w:rPr>
        <w:t xml:space="preserve">  These techniques make use of standard </w:t>
      </w:r>
      <w:r w:rsidR="00E24465">
        <w:rPr>
          <w:rFonts w:ascii="Arial" w:hAnsi="Arial" w:cs="Arial"/>
          <w:bCs/>
          <w:sz w:val="20"/>
          <w:szCs w:val="20"/>
        </w:rPr>
        <w:t xml:space="preserve">or wide-angle </w:t>
      </w:r>
      <w:r w:rsidR="000D190A">
        <w:rPr>
          <w:rFonts w:ascii="Arial" w:hAnsi="Arial" w:cs="Arial"/>
          <w:bCs/>
          <w:sz w:val="20"/>
          <w:szCs w:val="20"/>
        </w:rPr>
        <w:t>lenses</w:t>
      </w:r>
      <w:r w:rsidR="0069091C">
        <w:rPr>
          <w:rFonts w:ascii="Arial" w:hAnsi="Arial" w:cs="Arial"/>
          <w:bCs/>
          <w:sz w:val="20"/>
          <w:szCs w:val="20"/>
        </w:rPr>
        <w:t>, providing</w:t>
      </w:r>
      <w:r w:rsidR="000D190A">
        <w:rPr>
          <w:rFonts w:ascii="Arial" w:hAnsi="Arial" w:cs="Arial"/>
          <w:bCs/>
          <w:sz w:val="20"/>
          <w:szCs w:val="20"/>
        </w:rPr>
        <w:t xml:space="preserve"> a FOV of approximately 30°</w:t>
      </w:r>
      <w:r w:rsidR="00E24465">
        <w:rPr>
          <w:rFonts w:ascii="Arial" w:hAnsi="Arial" w:cs="Arial"/>
          <w:bCs/>
          <w:sz w:val="20"/>
          <w:szCs w:val="20"/>
        </w:rPr>
        <w:t xml:space="preserve"> to 60° </w:t>
      </w:r>
      <w:r w:rsidR="00E24465">
        <w:rPr>
          <w:rFonts w:ascii="Arial" w:hAnsi="Arial" w:cs="Arial"/>
          <w:bCs/>
          <w:sz w:val="20"/>
          <w:szCs w:val="20"/>
        </w:rPr>
        <w:fldChar w:fldCharType="begin" w:fldLock="1"/>
      </w:r>
      <w:r w:rsidR="00496528">
        <w:rPr>
          <w:rFonts w:ascii="Arial" w:hAnsi="Arial" w:cs="Arial"/>
          <w:bCs/>
          <w:sz w:val="20"/>
          <w:szCs w:val="20"/>
        </w:rPr>
        <w:instrText>ADDIN CSL_CITATION {"citationItems":[{"id":"ITEM-1","itemData":{"DOI":"10.1016/j.agrformet.2012.09.002","ISBN":"0168-1923","ISSN":"01681923","abstract":"Rapid, reliable and meaningful estimates of forest canopy are essential to the characterization of forest ecosystems. In this paper the accuracy of digital hemispherical (DHP) and cover (DCP) photography for the estimation of canopy properties in deciduous forests was evaluated. Leaf area index (LAI) estimated from both these photographic methods and from light transmittance data derived from DHP were compared with direct measurements obtained by litter traps (LAILT) and an AccuPAR ceptometer. Also, comparison with different gap fraction methods used to calculate LAI in DHP and LAI-2000 PCA were performed.We applied these methods in four forest stands of Quercus cerris, two stands of Castanea sativa and four stands of Fagus sylvatica, the most common deciduous species in Italy, where LAILT ranged from 3.9 to 7.3. Both photographic methods provided good indirect estimates of LAILT. The DCP method provided estimates of crown porosity, crown cover, foliage cover and the clumping index at the zenith, but required assumptions about the light extinction coefficient at the zenith (k), to accurately estimate LAI. Cover photography provided good indirect estimates of LAI assuming a spherical leaf angle distribution, even though k appeared to decrease as LAI increased, thus affecting the accuracy of LAI estimates in DCP. In contrast, the accuracy of LAI estimates in DHP appeared insensitive to LAILT values, but the method was sensitive to photographic exposure and more time-consuming than DCP.The studied stands were characterized by higher within-crown clumping than between-crowns clumping; only the segmented analysis of gap fraction for each ring of the fisheye images was found to provide reliable and useful clumping index in DHP. The 1-azimuth segment method employed in PCA poorly detected clumping in dense canopies.The correlation between transmittance estimates by DHP with values measured at noon with the AccuPAR ceptometer was linear and significant, although the variability observed in reference measures suggested that results obtained with the ceptometer should be treated with caution.We conclude both photographic methods are suitable for dense deciduous forests. Cover photography holds great promise as a means to quickly obtain inexpensive estimates of LAI over large areas. However, in situations where no direct reference measurements of . k are available, we recommend using both DHP and DCP, in order to cross-calibrate the two methods; DCP could then be …","author":[{"dropping-particle":"","family":"Chianucci","given":"Francesco","non-dropping-particle":"","parse-names":false,"suffix":""},{"dropping-particle":"","family":"Cutini","given":"Andrea","non-dropping-particle":"","parse-names":false,"suffix":""}],"container-title":"Agricultural and Forest Meteorology","id":"ITEM-1","issued":{"date-parts":[["2013"]]},"page":"130-139","title":"Estimation of canopy properties in deciduous forests with digital hemispherical and cover photography","type":"article-journal","volume":"168"},"uris":["http://www.mendeley.com/documents/?uuid=a3e96063-c545-4711-905e-13a79e7a5919"]},{"id":"ITEM-2","itemData":{"DOI":"10.3390/rs1041298","ISBN":"2072-4292","ISSN":"2072-4292","abstract":"Digital cover photography (DCP) is a high resolution, vertical field-of-view method for ground-based estimation of forest metrics, and has advantages over fisheye sensors owing to its ease of application and high accuracy. We conducted the first thorough technical appraisal of DCP using both single-lens-reflex (DSLR) and point-and-shoot cameras and concluded that differences result primarily from the better quality optics available for the DSLR camera. File compression, image size and ISO equivalence had little or no effect on estimates of forest metrics. We discuss the application of DCP for ground truthing of remotely sensed canopy metrics, and highlight its strengths over fisheye photography for testing and calibration of vertical field-of-view remote sensing.","author":[{"dropping-particle":"","family":"Pekin","given":"Burak","non-dropping-particle":"","parse-names":false,"suffix":""},{"dropping-particle":"","family":"Macfarlane","given":"Craig","non-dropping-particle":"","parse-names":false,"suffix":""}],"container-title":"Remote Sensing","id":"ITEM-2","issue":"4","issued":{"date-parts":[["2009","12","15"]]},"page":"1298-1320","title":"Measurement of Crown Cover and Leaf Area Index Using Digital Cover Photography and Its Application to Remote Sensing","type":"article-journal","volume":"1"},"uris":["http://www.mendeley.com/documents/?uuid=173177ea-7318-30de-8d8b-14fba637f12c"]},{"id":"ITEM-3","itemData":{"DOI":"10.1007/s00442-006-0657-z","ISBN":"0029-8549","ISSN":"0029-8549","PMID":"17342508","abstract":"Understanding relationships between canopy structure and the seasonal dynamics of photosynthetic uptake of CO(2) by forest canopies requires improved knowledge of canopy phenology at eddy covariance flux tower sites. We investigated whether digital webcam images could be used to monitor the trajectory of spring green-up in a deciduous northern hardwood forest. A standard, commercially available webcam was mounted at the top of the eddy covariance tower at the Bartlett AmeriFlux site. Images were collected each day around midday. Red, green, and blue color channel brightness data for a 640 x 100-pixel region-of-interest were extracted from each image. We evaluated the green-up signal extracted from webcam images against changes in the fraction of incident photosynthetically active radiation that is absorbed by the canopy (f (APAR)), a broadband normalized difference vegetation index (NDVI), and the light-saturated rate of canopy photosynthesis (A(max)), inferred from eddy flux measurements. The relative brightness of the green channel (green %) was relatively stable through the winter months. A steady rising trend in green % began around day 120 and continued through day 160, at which point a stable plateau was reached. The relative brightness of the blue channel (blue %) also responded to spring green-up, although there was more day-to-day variation in the signal because blue % was more sensitive to changes in the quality (spectral distribution) of incident radiation. Seasonal changes in blue % were most similar to those in f (APAR) and broadband NDVI, whereas changes in green % proceeded more slowly, and were drawn out over a longer period of time. Changes in A(max) lagged green-up by at least a week. We conclude that webcams offer an inexpensive means by which phenological changes in the canopy state can be quantified. A network of cameras could offer a novel opportunity to implement a regional or national phenology monitoring program.","author":[{"dropping-particle":"","family":"Richardson","given":"Andrew D","non-dropping-particle":"","parse-names":false,"suffix":""},{"dropping-particle":"","family":"Jenkins","given":"Julian P","non-dropping-particle":"","parse-names":false,"suffix":""},{"dropping-particle":"","family":"Braswell","given":"Bobby H","non-dropping-particle":"","parse-names":false,"suffix":""},{"dropping-particle":"","family":"Hollinger","given":"David Y","non-dropping-particle":"","parse-names":false,"suffix":""},{"dropping-particle":"V","family":"Ollinger","given":"Scott","non-dropping-particle":"","parse-names":false,"suffix":""},{"dropping-particle":"","family":"Smith","given":"Marie-Louise","non-dropping-particle":"","parse-names":false,"suffix":""}],"container-title":"Oecologia","id":"ITEM-3","issue":"2","issued":{"date-parts":[["2007","5","3"]]},"page":"323-334","title":"Use of digital webcam images to track spring green-up in a deciduous broadleaf forest","type":"article-journal","volume":"152"},"uris":["http://www.mendeley.com/documents/?uuid=e9be935b-6af1-3aff-ba6e-12cb1c828092"]}],"mendeley":{"formattedCitation":"(Chianucci and Cutini, 2013; Pekin and Macfarlane, 2009; Richardson et al., 2007)","plainTextFormattedCitation":"(Chianucci and Cutini, 2013; Pekin and Macfarlane, 2009; Richardson et al., 2007)","previouslyFormattedCitation":"(Chianucci and Cutini, 2013; Pekin and Macfarlane, 2009; Richardson et al., 2007)"},"properties":{"noteIndex":0},"schema":"https://github.com/citation-style-language/schema/raw/master/csl-citation.json"}</w:instrText>
      </w:r>
      <w:r w:rsidR="00E24465">
        <w:rPr>
          <w:rFonts w:ascii="Arial" w:hAnsi="Arial" w:cs="Arial"/>
          <w:bCs/>
          <w:sz w:val="20"/>
          <w:szCs w:val="20"/>
        </w:rPr>
        <w:fldChar w:fldCharType="separate"/>
      </w:r>
      <w:r w:rsidR="00E24465" w:rsidRPr="00E24465">
        <w:rPr>
          <w:rFonts w:ascii="Arial" w:hAnsi="Arial" w:cs="Arial"/>
          <w:bCs/>
          <w:noProof/>
          <w:sz w:val="20"/>
          <w:szCs w:val="20"/>
        </w:rPr>
        <w:t>(Chianucci and Cutini, 2013; Pekin and Macfarlane, 2009; Richardson et al., 2007)</w:t>
      </w:r>
      <w:r w:rsidR="00E24465">
        <w:rPr>
          <w:rFonts w:ascii="Arial" w:hAnsi="Arial" w:cs="Arial"/>
          <w:bCs/>
          <w:sz w:val="20"/>
          <w:szCs w:val="20"/>
        </w:rPr>
        <w:fldChar w:fldCharType="end"/>
      </w:r>
      <w:r w:rsidR="000D190A">
        <w:rPr>
          <w:rFonts w:ascii="Arial" w:hAnsi="Arial" w:cs="Arial"/>
          <w:bCs/>
          <w:sz w:val="20"/>
          <w:szCs w:val="20"/>
        </w:rPr>
        <w:t>.</w:t>
      </w:r>
    </w:p>
    <w:p w14:paraId="57A74019" w14:textId="3423FFFF" w:rsidR="00553A6E" w:rsidRDefault="00F825FC" w:rsidP="00742C27">
      <w:pPr>
        <w:spacing w:line="480" w:lineRule="auto"/>
        <w:jc w:val="both"/>
        <w:rPr>
          <w:rFonts w:ascii="Arial" w:hAnsi="Arial" w:cs="Arial"/>
          <w:bCs/>
          <w:sz w:val="20"/>
          <w:szCs w:val="20"/>
        </w:rPr>
      </w:pPr>
      <w:r>
        <w:rPr>
          <w:rFonts w:ascii="Arial" w:hAnsi="Arial" w:cs="Arial"/>
          <w:bCs/>
          <w:sz w:val="20"/>
          <w:szCs w:val="20"/>
        </w:rPr>
        <w:t>From time</w:t>
      </w:r>
      <w:r w:rsidR="00F71355">
        <w:rPr>
          <w:rFonts w:ascii="Arial" w:hAnsi="Arial" w:cs="Arial"/>
          <w:bCs/>
          <w:sz w:val="20"/>
          <w:szCs w:val="20"/>
        </w:rPr>
        <w:t>-</w:t>
      </w:r>
      <w:r>
        <w:rPr>
          <w:rFonts w:ascii="Arial" w:hAnsi="Arial" w:cs="Arial"/>
          <w:bCs/>
          <w:sz w:val="20"/>
          <w:szCs w:val="20"/>
        </w:rPr>
        <w:t>series of</w:t>
      </w:r>
      <w:r w:rsidR="009534EA">
        <w:rPr>
          <w:rFonts w:ascii="Arial" w:hAnsi="Arial" w:cs="Arial"/>
          <w:bCs/>
          <w:sz w:val="20"/>
          <w:szCs w:val="20"/>
        </w:rPr>
        <w:t xml:space="preserve"> </w:t>
      </w:r>
      <w:r>
        <w:rPr>
          <w:rFonts w:ascii="Arial" w:hAnsi="Arial" w:cs="Arial"/>
          <w:bCs/>
          <w:sz w:val="20"/>
          <w:szCs w:val="20"/>
        </w:rPr>
        <w:t>images</w:t>
      </w:r>
      <w:r w:rsidR="009534EA">
        <w:rPr>
          <w:rFonts w:ascii="Arial" w:hAnsi="Arial" w:cs="Arial"/>
          <w:bCs/>
          <w:sz w:val="20"/>
          <w:szCs w:val="20"/>
        </w:rPr>
        <w:t xml:space="preserve"> acquired using </w:t>
      </w:r>
      <w:r w:rsidR="000D190A">
        <w:rPr>
          <w:rFonts w:ascii="Arial" w:hAnsi="Arial" w:cs="Arial"/>
          <w:bCs/>
          <w:sz w:val="20"/>
          <w:szCs w:val="20"/>
        </w:rPr>
        <w:t>above-canopy digital repeat photography</w:t>
      </w:r>
      <w:r>
        <w:rPr>
          <w:rFonts w:ascii="Arial" w:hAnsi="Arial" w:cs="Arial"/>
          <w:bCs/>
          <w:sz w:val="20"/>
          <w:szCs w:val="20"/>
        </w:rPr>
        <w:t>, colour indices can be extracted, enabling seasonal changes in greenness to be captured</w:t>
      </w:r>
      <w:r w:rsidR="003A6685">
        <w:rPr>
          <w:rFonts w:ascii="Arial" w:hAnsi="Arial" w:cs="Arial"/>
          <w:bCs/>
          <w:sz w:val="20"/>
          <w:szCs w:val="20"/>
        </w:rPr>
        <w:t xml:space="preserve"> </w:t>
      </w:r>
      <w:r w:rsidR="003A6685">
        <w:rPr>
          <w:rFonts w:ascii="Arial" w:hAnsi="Arial" w:cs="Arial"/>
          <w:bCs/>
          <w:sz w:val="20"/>
          <w:szCs w:val="20"/>
        </w:rPr>
        <w:fldChar w:fldCharType="begin" w:fldLock="1"/>
      </w:r>
      <w:r w:rsidR="004A0308">
        <w:rPr>
          <w:rFonts w:ascii="Arial" w:hAnsi="Arial" w:cs="Arial"/>
          <w:bCs/>
          <w:sz w:val="20"/>
          <w:szCs w:val="20"/>
        </w:rPr>
        <w:instrText>ADDIN CSL_CITATION {"citationItems":[{"id":"ITEM-1","itemData":{"DOI":"10.1007/s00442-006-0657-z","ISBN":"0029-8549","ISSN":"0029-8549","PMID":"17342508","abstract":"Understanding relationships between canopy structure and the seasonal dynamics of photosynthetic uptake of CO(2) by forest canopies requires improved knowledge of canopy phenology at eddy covariance flux tower sites. We investigated whether digital webcam images could be used to monitor the trajectory of spring green-up in a deciduous northern hardwood forest. A standard, commercially available webcam was mounted at the top of the eddy covariance tower at the Bartlett AmeriFlux site. Images were collected each day around midday. Red, green, and blue color channel brightness data for a 640 x 100-pixel region-of-interest were extracted from each image. We evaluated the green-up signal extracted from webcam images against changes in the fraction of incident photosynthetically active radiation that is absorbed by the canopy (f (APAR)), a broadband normalized difference vegetation index (NDVI), and the light-saturated rate of canopy photosynthesis (A(max)), inferred from eddy flux measurements. The relative brightness of the green channel (green %) was relatively stable through the winter months. A steady rising trend in green % began around day 120 and continued through day 160, at which point a stable plateau was reached. The relative brightness of the blue channel (blue %) also responded to spring green-up, although there was more day-to-day variation in the signal because blue % was more sensitive to changes in the quality (spectral distribution) of incident radiation. Seasonal changes in blue % were most similar to those in f (APAR) and broadband NDVI, whereas changes in green % proceeded more slowly, and were drawn out over a longer period of time. Changes in A(max) lagged green-up by at least a week. We conclude that webcams offer an inexpensive means by which phenological changes in the canopy state can be quantified. A network of cameras could offer a novel opportunity to implement a regional or national phenology monitoring program.","author":[{"dropping-particle":"","family":"Richardson","given":"Andrew D","non-dropping-particle":"","parse-names":false,"suffix":""},{"dropping-particle":"","family":"Jenkins","given":"Julian P","non-dropping-particle":"","parse-names":false,"suffix":""},{"dropping-particle":"","family":"Braswell","given":"Bobby H","non-dropping-particle":"","parse-names":false,"suffix":""},{"dropping-particle":"","family":"Hollinger","given":"David Y","non-dropping-particle":"","parse-names":false,"suffix":""},{"dropping-particle":"V","family":"Ollinger","given":"Scott","non-dropping-particle":"","parse-names":false,"suffix":""},{"dropping-particle":"","family":"Smith","given":"Marie-Louise","non-dropping-particle":"","parse-names":false,"suffix":""}],"container-title":"Oecologia","id":"ITEM-1","issue":"2","issued":{"date-parts":[["2007","5","3"]]},"page":"323-334","title":"Use of digital webcam images to track spring green-up in a deciduous broadleaf forest","type":"article-journal","volume":"152"},"uris":["http://www.mendeley.com/documents/?uuid=e9be935b-6af1-3aff-ba6e-12cb1c828092"]},{"id":"ITEM-2","itemData":{"DOI":"10.1016/j.agrformet.2011.09.009","ISBN":"0168-1923","ISSN":"01681923","abstract":"Digital repeat photography has the potential to become an important long-term data source for phenological research given its advantages in terms of logistics, continuity, consistency and objectivity over traditional assessments of vegetation status by human observers. Red-green-blue (RGB) color channel information from digital images can be separately extracted as digital numbers, and subsequently summarized through color indices such as excess green (ExG=2G-[R+B]) or through nonlinear transforms to chromatic coordinates or other color spaces. Previous studies have demonstrated the use of ExG and the green chromatic coordinate (gcc=G/[R+G+B]) from digital landscape image archives for tracking canopy development but several methodological questions remained unanswered. These include the effects of diurnal, seasonal and weather-related changes in scene illumination on ExG and gcc, and digital camera and image file format choice. We show that gcc is generally more effective than ExG in suppressing the effects of changes in scene illumination. To further reduce these effects we propose a moving window approach that assigns the 90th percentile of all daytime values within a three-day window to the center day (per90), resulting in three-day ExG and gcc. Using image archives from eleven forest sites in North America, we demonstrate that per90 is able to further reduce unwanted variability in ExG and gcc due to changes in scene illumination compared to previously used mean mid-day values of ExG and gcc.Comparison of eleven different digital cameras at Harvard Forest (autumn 2010) indicates that camera and image file format choice might be of secondary importance for phenological research: with the exception of inexpensive indoor webcams, autumn patterns of changes in gcc and ExG from images in common JPEG image file format were in good agreement, especially toward the end of senescence. Due to its greater effectiveness in suppressing changes in scene illumination, especially in combination with per90, we advocate the use of gcc for phenological research. Our results indicate that gcc from different digital cameras can be used for comparing the timing of key phenological events (e.g., complete leaf coloring) across sites. However, differences in how specific cameras \"see\" the forest canopy may obscure subtle phenological changes that could be detectable if a common protocol was implemented across sites. © 2011 Elsevier B.V.","author":[{"dropping-particle":"","family":"Sonnentag","given":"Oliver","non-dropping-particle":"","parse-names":false,"suffix":""},{"dropping-particle":"","family":"Hufkens","given":"Koen","non-dropping-particle":"","parse-names":false,"suffix":""},{"dropping-particle":"","family":"Teshera-Sterne","given":"Cory","non-dropping-particle":"","parse-names":false,"suffix":""},{"dropping-particle":"","family":"Young","given":"Adam M","non-dropping-particle":"","parse-names":false,"suffix":""},{"dropping-particle":"","family":"Friedl","given":"Mark","non-dropping-particle":"","parse-names":false,"suffix":""},{"dropping-particle":"","family":"Braswell","given":"Bobby H","non-dropping-particle":"","parse-names":false,"suffix":""},{"dropping-particle":"","family":"Milliman","given":"Thomas","non-dropping-particle":"","parse-names":false,"suffix":""},{"dropping-particle":"","family":"O’Keefe","given":"John","non-dropping-particle":"","parse-names":false,"suffix":""},{"dropping-particle":"","family":"Richardson","given":"Andrew D","non-dropping-particle":"","parse-names":false,"suffix":""}],"container-title":"Agricultural and Forest Meteorology","id":"ITEM-2","issue":"1","issued":{"date-parts":[["2012","1"]]},"page":"159-177","title":"Digital repeat photography for phenological research in forest ecosystems","type":"article-journal","volume":"152"},"uris":["http://www.mendeley.com/documents/?uuid=06f703aa-c580-305c-bd1e-d7d557fa7cab"]},{"id":"ITEM-3","itemData":{"DOI":"10.1890/08-2022.1","ISBN":"1051-0761","ISSN":"1051-0761","PMID":"19769091","abstract":"There is a need to document how plant phenology is responding to global change factors, particularly warming trends. \"Near-surface\" remote sensing, using radiometric instruments or imaging sensors, has great potential to improve phenological monitoring because automated observations can be made at high temporal frequency. Here we build on previous work and show how inexpensive, networked digital cameras (\"webcams\") can be used to document spatial and temporal variation in the spring and autumn phenology of forest canopies. We use two years of imagery from a deciduous, northern hardwood site, and one year of imagery from a coniferous, boreal transition site. A quantitative signal is obtained by splitting images into separate red, green, and blue color channels and calculating the relative brightness of each channel for \"regions of interest\" within each image. We put the observed phenological signal in context by relating it to seasonal patterns of gross primary productivity, inferred from eddy covariance measurements of surface-atmosphere CO2 exchange. We show that spring increases, and autumn decreases, in canopy greenness can be detected in both deciduous and coniferous stands. In deciduous stands, an autumn red peak is also observed. The timing and rate of spring development and autumn senescence varies across the canopy, with greater variability in autumn than spring. Interannual variation in phenology can be detected both visually and quantitatively; delayed spring onset in 2007 compared to 2006 is related to a prolonged cold spell from day 85 to day 110. This work lays the foundation for regional-to continental-scale camera-based monitoring of phenology at network observatory sites, e. g., National Ecological Observatory Network (NEON) or AmeriFlux.","author":[{"dropping-particle":"","family":"Richardson","given":"Andrew D.","non-dropping-particle":"","parse-names":false,"suffix":""},{"dropping-particle":"","family":"Braswell","given":"Bobby H.","non-dropping-particle":"","parse-names":false,"suffix":""},{"dropping-particle":"","family":"Hollinger","given":"David Y.","non-dropping-particle":"","parse-names":false,"suffix":""},{"dropping-particle":"","family":"Jenkins","given":"Julian P.","non-dropping-particle":"","parse-names":false,"suffix":""},{"dropping-particle":"V.","family":"Ollinger","given":"Scott","non-dropping-particle":"","parse-names":false,"suffix":""}],"container-title":"Ecological Applications","id":"ITEM-3","issue":"6","issued":{"date-parts":[["2009","9"]]},"page":"1417-1428","title":"Near-surface remote sensing of spatial and temporal variation in canopy phenology","type":"article-journal","volume":"19"},"uris":["http://www.mendeley.com/documents/?uuid=67966d5f-a13e-359f-9124-560a40f628b3"]}],"mendeley":{"formattedCitation":"(Richardson et al., 2009, 2007; Sonnentag et al., 2012)","plainTextFormattedCitation":"(Richardson et al., 2009, 2007; Sonnentag et al., 2012)","previouslyFormattedCitation":"(Richardson et al., 2009, 2007; Sonnentag et al., 2012)"},"properties":{"noteIndex":0},"schema":"https://github.com/citation-style-language/schema/raw/master/csl-citation.json"}</w:instrText>
      </w:r>
      <w:r w:rsidR="003A6685">
        <w:rPr>
          <w:rFonts w:ascii="Arial" w:hAnsi="Arial" w:cs="Arial"/>
          <w:bCs/>
          <w:sz w:val="20"/>
          <w:szCs w:val="20"/>
        </w:rPr>
        <w:fldChar w:fldCharType="separate"/>
      </w:r>
      <w:r w:rsidR="003A6685" w:rsidRPr="003A6685">
        <w:rPr>
          <w:rFonts w:ascii="Arial" w:hAnsi="Arial" w:cs="Arial"/>
          <w:bCs/>
          <w:noProof/>
          <w:sz w:val="20"/>
          <w:szCs w:val="20"/>
        </w:rPr>
        <w:t>(Richardson et al., 2009, 2007; Sonnentag et al., 2012)</w:t>
      </w:r>
      <w:r w:rsidR="003A6685">
        <w:rPr>
          <w:rFonts w:ascii="Arial" w:hAnsi="Arial" w:cs="Arial"/>
          <w:bCs/>
          <w:sz w:val="20"/>
          <w:szCs w:val="20"/>
        </w:rPr>
        <w:fldChar w:fldCharType="end"/>
      </w:r>
      <w:r>
        <w:rPr>
          <w:rFonts w:ascii="Arial" w:hAnsi="Arial" w:cs="Arial"/>
          <w:bCs/>
          <w:sz w:val="20"/>
          <w:szCs w:val="20"/>
        </w:rPr>
        <w:t>.  The technique has proven a popular alternative to traditional observations of forest phenology, enabling phenological transition dates to be determined from the time</w:t>
      </w:r>
      <w:r w:rsidR="00CF3773">
        <w:rPr>
          <w:rFonts w:ascii="Arial" w:hAnsi="Arial" w:cs="Arial"/>
          <w:bCs/>
          <w:sz w:val="20"/>
          <w:szCs w:val="20"/>
        </w:rPr>
        <w:t>-</w:t>
      </w:r>
      <w:r>
        <w:rPr>
          <w:rFonts w:ascii="Arial" w:hAnsi="Arial" w:cs="Arial"/>
          <w:bCs/>
          <w:sz w:val="20"/>
          <w:szCs w:val="20"/>
        </w:rPr>
        <w:t>series as opposed to manual observations of events such as bud-burst and leaf opening.</w:t>
      </w:r>
      <w:r w:rsidR="009534EA">
        <w:rPr>
          <w:rFonts w:ascii="Arial" w:hAnsi="Arial" w:cs="Arial"/>
          <w:bCs/>
          <w:sz w:val="20"/>
          <w:szCs w:val="20"/>
        </w:rPr>
        <w:t xml:space="preserve">  </w:t>
      </w:r>
      <w:r>
        <w:rPr>
          <w:rFonts w:ascii="Arial" w:hAnsi="Arial" w:cs="Arial"/>
          <w:bCs/>
          <w:sz w:val="20"/>
          <w:szCs w:val="20"/>
        </w:rPr>
        <w:t xml:space="preserve">The largest </w:t>
      </w:r>
      <w:r>
        <w:rPr>
          <w:rFonts w:ascii="Arial" w:hAnsi="Arial" w:cs="Arial"/>
          <w:bCs/>
          <w:sz w:val="20"/>
          <w:szCs w:val="20"/>
        </w:rPr>
        <w:lastRenderedPageBreak/>
        <w:t xml:space="preserve">initiative, the </w:t>
      </w:r>
      <w:proofErr w:type="spellStart"/>
      <w:r>
        <w:rPr>
          <w:rFonts w:ascii="Arial" w:hAnsi="Arial" w:cs="Arial"/>
          <w:bCs/>
          <w:sz w:val="20"/>
          <w:szCs w:val="20"/>
        </w:rPr>
        <w:t>PhenoCam</w:t>
      </w:r>
      <w:proofErr w:type="spellEnd"/>
      <w:r>
        <w:rPr>
          <w:rFonts w:ascii="Arial" w:hAnsi="Arial" w:cs="Arial"/>
          <w:bCs/>
          <w:sz w:val="20"/>
          <w:szCs w:val="20"/>
        </w:rPr>
        <w:t xml:space="preserve"> network</w:t>
      </w:r>
      <w:r w:rsidR="009534EA">
        <w:rPr>
          <w:rFonts w:ascii="Arial" w:hAnsi="Arial" w:cs="Arial"/>
          <w:bCs/>
          <w:sz w:val="20"/>
          <w:szCs w:val="20"/>
        </w:rPr>
        <w:t>, currently</w:t>
      </w:r>
      <w:r>
        <w:rPr>
          <w:rFonts w:ascii="Arial" w:hAnsi="Arial" w:cs="Arial"/>
          <w:bCs/>
          <w:sz w:val="20"/>
          <w:szCs w:val="20"/>
        </w:rPr>
        <w:t xml:space="preserve"> incorporates 616 sites</w:t>
      </w:r>
      <w:r w:rsidR="009534EA">
        <w:rPr>
          <w:rFonts w:ascii="Arial" w:hAnsi="Arial" w:cs="Arial"/>
          <w:bCs/>
          <w:sz w:val="20"/>
          <w:szCs w:val="20"/>
        </w:rPr>
        <w:t xml:space="preserve"> (mostly based in North America) equipped with digital time</w:t>
      </w:r>
      <w:r w:rsidR="00CF3773">
        <w:rPr>
          <w:rFonts w:ascii="Arial" w:hAnsi="Arial" w:cs="Arial"/>
          <w:bCs/>
          <w:sz w:val="20"/>
          <w:szCs w:val="20"/>
        </w:rPr>
        <w:t>-</w:t>
      </w:r>
      <w:r w:rsidR="009534EA">
        <w:rPr>
          <w:rFonts w:ascii="Arial" w:hAnsi="Arial" w:cs="Arial"/>
          <w:bCs/>
          <w:sz w:val="20"/>
          <w:szCs w:val="20"/>
        </w:rPr>
        <w:t>lapse camera</w:t>
      </w:r>
      <w:r w:rsidR="00DC2C4A">
        <w:rPr>
          <w:rFonts w:ascii="Arial" w:hAnsi="Arial" w:cs="Arial"/>
          <w:bCs/>
          <w:sz w:val="20"/>
          <w:szCs w:val="20"/>
        </w:rPr>
        <w:t>s</w:t>
      </w:r>
      <w:r w:rsidR="009534EA">
        <w:rPr>
          <w:rFonts w:ascii="Arial" w:hAnsi="Arial" w:cs="Arial"/>
          <w:bCs/>
          <w:sz w:val="20"/>
          <w:szCs w:val="20"/>
        </w:rPr>
        <w:t xml:space="preserve"> </w:t>
      </w:r>
      <w:r w:rsidR="009534EA">
        <w:rPr>
          <w:rFonts w:ascii="Arial" w:hAnsi="Arial" w:cs="Arial"/>
          <w:bCs/>
          <w:sz w:val="20"/>
          <w:szCs w:val="20"/>
        </w:rPr>
        <w:fldChar w:fldCharType="begin" w:fldLock="1"/>
      </w:r>
      <w:r w:rsidR="00BD2EA1">
        <w:rPr>
          <w:rFonts w:ascii="Arial" w:hAnsi="Arial" w:cs="Arial"/>
          <w:bCs/>
          <w:sz w:val="20"/>
          <w:szCs w:val="20"/>
        </w:rPr>
        <w:instrText>ADDIN CSL_CITATION {"citationItems":[{"id":"ITEM-1","itemData":{"DOI":"10.1038/sdata.2018.28","ISSN":"2052-4463","abstract":"Tracking vegetation phenology across diverse North American biomes using PhenoCam imagery","author":[{"dropping-particle":"","family":"Richardson","given":"Andrew D.","non-dropping-particle":"","parse-names":false,"suffix":""},{"dropping-particle":"","family":"Hufkens","given":"Koen","non-dropping-particle":"","parse-names":false,"suffix":""},{"dropping-particle":"","family":"Milliman","given":"Tom","non-dropping-particle":"","parse-names":false,"suffix":""},{"dropping-particle":"","family":"Aubrecht","given":"Donald M.","non-dropping-particle":"","parse-names":false,"suffix":""},{"dropping-particle":"","family":"Chen","given":"Min","non-dropping-particle":"","parse-names":false,"suffix":""},{"dropping-particle":"","family":"Gray","given":"Josh M.","non-dropping-particle":"","parse-names":false,"suffix":""},{"dropping-particle":"","family":"Johnston","given":"Miriam R.","non-dropping-particle":"","parse-names":false,"suffix":""},{"dropping-particle":"","family":"Keenan","given":"Trevor F.","non-dropping-particle":"","parse-names":false,"suffix":""},{"dropping-particle":"","family":"Klosterman","given":"Stephen T.","non-dropping-particle":"","parse-names":false,"suffix":""},{"dropping-particle":"","family":"Kosmala","given":"Margaret","non-dropping-particle":"","parse-names":false,"suffix":""},{"dropping-particle":"","family":"Melaas","given":"Eli K.","non-dropping-particle":"","parse-names":false,"suffix":""},{"dropping-particle":"","family":"Friedl","given":"Mark A.","non-dropping-particle":"","parse-names":false,"suffix":""},{"dropping-particle":"","family":"Frolking","given":"Steve","non-dropping-particle":"","parse-names":false,"suffix":""}],"container-title":"Scientific Data","id":"ITEM-1","issued":{"date-parts":[["2018","3","13"]]},"page":"180028","title":"Tracking vegetation phenology across diverse North American biomes using PhenoCam imagery","type":"article-journal","volume":"5"},"uris":["http://www.mendeley.com/documents/?uuid=92ccfe5b-baee-4526-8028-7ffcd8a5a4cb"]}],"mendeley":{"formattedCitation":"(Richardson et al., 2018a)","plainTextFormattedCitation":"(Richardson et al., 2018a)","previouslyFormattedCitation":"(Richardson et al., 2018a)"},"properties":{"noteIndex":0},"schema":"https://github.com/citation-style-language/schema/raw/master/csl-citation.json"}</w:instrText>
      </w:r>
      <w:r w:rsidR="009534EA">
        <w:rPr>
          <w:rFonts w:ascii="Arial" w:hAnsi="Arial" w:cs="Arial"/>
          <w:bCs/>
          <w:sz w:val="20"/>
          <w:szCs w:val="20"/>
        </w:rPr>
        <w:fldChar w:fldCharType="separate"/>
      </w:r>
      <w:r w:rsidR="00BD2EA1" w:rsidRPr="00BD2EA1">
        <w:rPr>
          <w:rFonts w:ascii="Arial" w:hAnsi="Arial" w:cs="Arial"/>
          <w:bCs/>
          <w:noProof/>
          <w:sz w:val="20"/>
          <w:szCs w:val="20"/>
        </w:rPr>
        <w:t>(Richardson et al., 2018a)</w:t>
      </w:r>
      <w:r w:rsidR="009534EA">
        <w:rPr>
          <w:rFonts w:ascii="Arial" w:hAnsi="Arial" w:cs="Arial"/>
          <w:bCs/>
          <w:sz w:val="20"/>
          <w:szCs w:val="20"/>
        </w:rPr>
        <w:fldChar w:fldCharType="end"/>
      </w:r>
      <w:r w:rsidR="009534EA">
        <w:rPr>
          <w:rFonts w:ascii="Arial" w:hAnsi="Arial" w:cs="Arial"/>
          <w:bCs/>
          <w:sz w:val="20"/>
          <w:szCs w:val="20"/>
        </w:rPr>
        <w:t xml:space="preserve">.  Other notable networks include the European Phenology Network </w:t>
      </w:r>
      <w:r w:rsidR="009534EA">
        <w:rPr>
          <w:rFonts w:ascii="Arial" w:hAnsi="Arial" w:cs="Arial"/>
          <w:bCs/>
          <w:sz w:val="20"/>
          <w:szCs w:val="20"/>
        </w:rPr>
        <w:fldChar w:fldCharType="begin" w:fldLock="1"/>
      </w:r>
      <w:r w:rsidR="009534EA">
        <w:rPr>
          <w:rFonts w:ascii="Arial" w:hAnsi="Arial" w:cs="Arial"/>
          <w:bCs/>
          <w:sz w:val="20"/>
          <w:szCs w:val="20"/>
        </w:rPr>
        <w:instrText>ADDIN CSL_CITATION {"citationItems":[{"id":"ITEM-1","itemData":{"DOI":"10.5194/bg-12-5995-2015","ISBN":"1726-4170","ISSN":"1726-4189","abstract":"Plant phenological development is orchestrated through subtle changes in photoperiod, temperature, soil moisture and nutrient availability. Presently, the exact timing of plant development stages and their response to climate and management practices are crudely represented in land surface models. As visual observations of phenology are laborious, there is a need to supplement long-term observations with automated techniques such as those provided by digital repeat photography at high temporal and spatial resolution. We present the first synthesis from a growing observational network of digital cameras installed on towers across Europe above deciduous and evergreen forests, grasslands and croplands, where vegetation and atmosphere CO2 fluxes are measured continuously. Using colour indices from digital images and using piecewise regression analysis of time series, we explored whether key changes in canopy phenology could be detected automatically across different land use types in the network. The piecewise regression approach could capture the start and end of the growing season, in addition to identifying striking changes in colour signals caused by flowering and management practices such as mowing. Exploring the dates of green-up and senescence of deciduous forests extracted by the piecewise regression approach against dates estimated from visual observations, we found that these phenological events could be detected adequately (RMSE 2 flux measurements will improve our understanding of how changes in growing season length are likely to shape the capacity of European ecosystems to sequester CO2 in the future.","author":[{"dropping-particle":"","family":"Wingate","given":"L","non-dropping-particle":"","parse-names":false,"suffix":""},{"dropping-particle":"","family":"Ogée","given":"J.","non-dropping-particle":"","parse-names":false,"suffix":""},{"dropping-particle":"","family":"Cremonese","given":"E","non-dropping-particle":"","parse-names":false,"suffix":""},{"dropping-particle":"","family":"Filippa","given":"G","non-dropping-particle":"","parse-names":false,"suffix":""},{"dropping-particle":"","family":"Mizunuma","given":"T","non-dropping-particle":"","parse-names":false,"suffix":""},{"dropping-particle":"","family":"Migliavacca","given":"M","non-dropping-particle":"","parse-names":false,"suffix":""},{"dropping-particle":"","family":"Moisy","given":"C","non-dropping-particle":"","parse-names":false,"suffix":""},{"dropping-particle":"","family":"Wilkinson","given":"M","non-dropping-particle":"","parse-names":false,"suffix":""},{"dropping-particle":"","family":"Moureaux","given":"C.","non-dropping-particle":"","parse-names":false,"suffix":""},{"dropping-particle":"","family":"Wohlfahrt","given":"G.","non-dropping-particle":"","parse-names":false,"suffix":""},{"dropping-particle":"","family":"Hammerle","given":"A.","non-dropping-particle":"","parse-names":false,"suffix":""},{"dropping-particle":"","family":"Hörtnagl","given":"L.","non-dropping-particle":"","parse-names":false,"suffix":""},{"dropping-particle":"","family":"Gimeno","given":"C.","non-dropping-particle":"","parse-names":false,"suffix":""},{"dropping-particle":"","family":"Porcar-Castell","given":"A.","non-dropping-particle":"","parse-names":false,"suffix":""},{"dropping-particle":"","family":"Galvagno","given":"M.","non-dropping-particle":"","parse-names":false,"suffix":""},{"dropping-particle":"","family":"Nakaji","given":"T.","non-dropping-particle":"","parse-names":false,"suffix":""},{"dropping-particle":"","family":"Morison","given":"J.","non-dropping-particle":"","parse-names":false,"suffix":""},{"dropping-particle":"","family":"Kolle","given":"O.","non-dropping-particle":"","parse-names":false,"suffix":""},{"dropping-particle":"","family":"Knohl","given":"A.","non-dropping-particle":"","parse-names":false,"suffix":""},{"dropping-particle":"","family":"Kutsch","given":"W.","non-dropping-particle":"","parse-names":false,"suffix":""},{"dropping-particle":"","family":"Kolari","given":"P.","non-dropping-particle":"","parse-names":false,"suffix":""},{"dropping-particle":"","family":"Nikinmaa","given":"E.","non-dropping-particle":"","parse-names":false,"suffix":""},{"dropping-particle":"","family":"Ibrom","given":"A.","non-dropping-particle":"","parse-names":false,"suffix":""},{"dropping-particle":"","family":"Gielen","given":"B.","non-dropping-particle":"","parse-names":false,"suffix":""},{"dropping-particle":"","family":"Eugster","given":"W.","non-dropping-particle":"","parse-names":false,"suffix":""},{"dropping-particle":"","family":"Balzarolo","given":"M.","non-dropping-particle":"","parse-names":false,"suffix":""},{"dropping-particle":"","family":"Papale","given":"D.","non-dropping-particle":"","parse-names":false,"suffix":""},{"dropping-particle":"","family":"Klumpp","given":"K.","non-dropping-particle":"","parse-names":false,"suffix":""},{"dropping-particle":"","family":"Köstner","given":"B.","non-dropping-particle":"","parse-names":false,"suffix":""},{"dropping-particle":"","family":"Grünwald","given":"T.","non-dropping-particle":"","parse-names":false,"suffix":""},{"dropping-particle":"","family":"Joffre","given":"R.","non-dropping-particle":"","parse-names":false,"suffix":""},{"dropping-particle":"","family":"Ourcival","given":"J.-M.","non-dropping-particle":"","parse-names":false,"suffix":""},{"dropping-particle":"","family":"Hellstrom","given":"M.","non-dropping-particle":"","parse-names":false,"suffix":""},{"dropping-particle":"","family":"Lindroth","given":"A.","non-dropping-particle":"","parse-names":false,"suffix":""},{"dropping-particle":"","family":"George","given":"C.","non-dropping-particle":"","parse-names":false,"suffix":""},{"dropping-particle":"","family":"Longdoz","given":"B.","non-dropping-particle":"","parse-names":false,"suffix":""},{"dropping-particle":"","family":"Genty","given":"B.","non-dropping-particle":"","parse-names":false,"suffix":""},{"dropping-particle":"","family":"Levula","given":"J.","non-dropping-particle":"","parse-names":false,"suffix":""},{"dropping-particle":"","family":"Heinesch","given":"B.","non-dropping-particle":"","parse-names":false,"suffix":""},{"dropping-particle":"","family":"Sprintsin","given":"M.","non-dropping-particle":"","parse-names":false,"suffix":""},{"dropping-particle":"","family":"Yakir","given":"D.","non-dropping-particle":"","parse-names":false,"suffix":""},{"dropping-particle":"","family":"Manise","given":"T.","non-dropping-particle":"","parse-names":false,"suffix":""},{"dropping-particle":"","family":"Guyon","given":"D.","non-dropping-particle":"","parse-names":false,"suffix":""},{"dropping-particle":"","family":"Ahrends","given":"H.","non-dropping-particle":"","parse-names":false,"suffix":""},{"dropping-particle":"","family":"Plaza-Aguilar","given":"A.","non-dropping-particle":"","parse-names":false,"suffix":""},{"dropping-particle":"","family":"Guan","given":"J. H.","non-dropping-particle":"","parse-names":false,"suffix":""},{"dropping-particle":"","family":"Grace","given":"J","non-dropping-particle":"","parse-names":false,"suffix":""}],"container-title":"Biogeosciences","id":"ITEM-1","issue":"20","issued":{"date-parts":[["2015","10","21"]]},"page":"5995-6015","title":"Interpreting canopy development and physiology using a European phenology camera network at flux sites","type":"article-journal","volume":"12"},"uris":["http://www.mendeley.com/documents/?uuid=75d0adb8-ce89-35be-bcd0-fd8d59e72e67"]}],"mendeley":{"formattedCitation":"(Wingate et al., 2015)","plainTextFormattedCitation":"(Wingate et al., 2015)","previouslyFormattedCitation":"(Wingate et al., 2015)"},"properties":{"noteIndex":0},"schema":"https://github.com/citation-style-language/schema/raw/master/csl-citation.json"}</w:instrText>
      </w:r>
      <w:r w:rsidR="009534EA">
        <w:rPr>
          <w:rFonts w:ascii="Arial" w:hAnsi="Arial" w:cs="Arial"/>
          <w:bCs/>
          <w:sz w:val="20"/>
          <w:szCs w:val="20"/>
        </w:rPr>
        <w:fldChar w:fldCharType="separate"/>
      </w:r>
      <w:r w:rsidR="009534EA" w:rsidRPr="009534EA">
        <w:rPr>
          <w:rFonts w:ascii="Arial" w:hAnsi="Arial" w:cs="Arial"/>
          <w:bCs/>
          <w:noProof/>
          <w:sz w:val="20"/>
          <w:szCs w:val="20"/>
        </w:rPr>
        <w:t>(Wingate et al., 2015)</w:t>
      </w:r>
      <w:r w:rsidR="009534EA">
        <w:rPr>
          <w:rFonts w:ascii="Arial" w:hAnsi="Arial" w:cs="Arial"/>
          <w:bCs/>
          <w:sz w:val="20"/>
          <w:szCs w:val="20"/>
        </w:rPr>
        <w:fldChar w:fldCharType="end"/>
      </w:r>
      <w:r w:rsidR="00987AD1">
        <w:rPr>
          <w:rFonts w:ascii="Arial" w:hAnsi="Arial" w:cs="Arial"/>
          <w:bCs/>
          <w:sz w:val="20"/>
          <w:szCs w:val="20"/>
        </w:rPr>
        <w:t xml:space="preserve">, </w:t>
      </w:r>
      <w:r w:rsidR="009534EA">
        <w:rPr>
          <w:rFonts w:ascii="Arial" w:hAnsi="Arial" w:cs="Arial"/>
          <w:bCs/>
          <w:sz w:val="20"/>
          <w:szCs w:val="20"/>
        </w:rPr>
        <w:t xml:space="preserve">and </w:t>
      </w:r>
      <w:r w:rsidR="003E693B">
        <w:rPr>
          <w:rFonts w:ascii="Arial" w:hAnsi="Arial" w:cs="Arial"/>
          <w:bCs/>
          <w:sz w:val="20"/>
          <w:szCs w:val="20"/>
        </w:rPr>
        <w:t xml:space="preserve">the </w:t>
      </w:r>
      <w:r w:rsidR="009534EA">
        <w:rPr>
          <w:rFonts w:ascii="Arial" w:hAnsi="Arial" w:cs="Arial"/>
          <w:bCs/>
          <w:sz w:val="20"/>
          <w:szCs w:val="20"/>
        </w:rPr>
        <w:t xml:space="preserve">Phenological Eyes Network </w:t>
      </w:r>
      <w:r w:rsidR="009534EA">
        <w:rPr>
          <w:rFonts w:ascii="Arial" w:hAnsi="Arial" w:cs="Arial"/>
          <w:bCs/>
          <w:sz w:val="20"/>
          <w:szCs w:val="20"/>
        </w:rPr>
        <w:fldChar w:fldCharType="begin" w:fldLock="1"/>
      </w:r>
      <w:r w:rsidR="009534EA">
        <w:rPr>
          <w:rFonts w:ascii="Arial" w:hAnsi="Arial" w:cs="Arial"/>
          <w:bCs/>
          <w:sz w:val="20"/>
          <w:szCs w:val="20"/>
        </w:rPr>
        <w:instrText>ADDIN CSL_CITATION {"citationItems":[{"id":"ITEM-1","itemData":{"DOI":"10.1007/s11284-018-1633-x","ISSN":"0912-3814","abstract":"© 2018 The Ecological Society of Japan We report long-term continuous phenological and sky images taken by time-lapse cameras through the Phenological Eyes Network (http://www.pheno-eye.org. Accessed 29 May 2018) in various ecosystems from the Arctic to the tropics. Phenological images are useful in recording the year-to-year variability in the timing of flowering, leaf-flush, leaf-coloring, and leaf-fall and detecting the characteristics of phenological patterns and timing sensitivity among species and ecosystems. They can also help interpret variations in carbon, water, and heat cycling in terrestrial ecosystems, and be used to obtain ground-truth data for the validation of satellite-observed products. Sky images are useful in continuously recording atmospheric conditions and obtaining ground-truth data for the validation of cloud contamination and atmospheric noise present in satellite remote-sensing data. We have taken sky, forest canopy, forest floor, and shoot images of a range of tree species and landscapes, using time-lapse cameras installed on forest floors, towers, and rooftops. In total, 84 time-lapse cameras at 29 sites have taken 8 million images since 1999. Our images provide (1) long-term, continuous detailed records of plant phenology that are more quantitative than in situ visual phenological observations of index trees; (2) basic information to explain the responsiveness, vulnerability, and resilience of ecosystem canopies and their functions and services to changes in climate; and (3) ground-truthing for the validation of satellite remote-sensing observations.","author":[{"dropping-particle":"","family":"Nagai","given":"Shin","non-dropping-particle":"","parse-names":false,"suffix":""},{"dropping-particle":"","family":"Akitsu","given":"Tomoko","non-dropping-particle":"","parse-names":false,"suffix":""},{"dropping-particle":"","family":"Saitoh","given":"Taku M.","non-dropping-particle":"","parse-names":false,"suffix":""},{"dropping-particle":"","family":"Busey","given":"Robert C.","non-dropping-particle":"","parse-names":false,"suffix":""},{"dropping-particle":"","family":"Fukuzawa","given":"Karibu","non-dropping-particle":"","parse-names":false,"suffix":""},{"dropping-particle":"","family":"Honda","given":"Yoshiaki","non-dropping-particle":"","parse-names":false,"suffix":""},{"dropping-particle":"","family":"Ichie","given":"Tomoaki","non-dropping-particle":"","parse-names":false,"suffix":""},{"dropping-particle":"","family":"Ide","given":"Reiko","non-dropping-particle":"","parse-names":false,"suffix":""},{"dropping-particle":"","family":"Ikawa","given":"Hiroki","non-dropping-particle":"","parse-names":false,"suffix":""},{"dropping-particle":"","family":"Iwasaki","given":"Akira","non-dropping-particle":"","parse-names":false,"suffix":""},{"dropping-particle":"","family":"Iwao","given":"Koki","non-dropping-particle":"","parse-names":false,"suffix":""},{"dropping-particle":"","family":"Kajiwara","given":"Koji","non-dropping-particle":"","parse-names":false,"suffix":""},{"dropping-particle":"","family":"Kang","given":"Sinkyu","non-dropping-particle":"","parse-names":false,"suffix":""},{"dropping-particle":"","family":"Kim","given":"Yongwon","non-dropping-particle":"","parse-names":false,"suffix":""},{"dropping-particle":"","family":"Khoon","given":"Kho Lip","non-dropping-particle":"","parse-names":false,"suffix":""},{"dropping-particle":"V.","family":"Kononov","given":"Alexander","non-dropping-particle":"","parse-names":false,"suffix":""},{"dropping-particle":"","family":"Kosugi","given":"Yoshiko","non-dropping-particle":"","parse-names":false,"suffix":""},{"dropping-particle":"","family":"Maeda","given":"Takahisa","non-dropping-particle":"","parse-names":false,"suffix":""},{"dropping-particle":"","family":"Mamiya","given":"Wataru","non-dropping-particle":"","parse-names":false,"suffix":""},{"dropping-particle":"","family":"Matsuoka","given":"Masayuki","non-dropping-particle":"","parse-names":false,"suffix":""},{"dropping-particle":"","family":"Maximov","given":"Trofim C.","non-dropping-particle":"","parse-names":false,"suffix":""},{"dropping-particle":"","family":"Menzel","given":"Annette","non-dropping-particle":"","parse-names":false,"suffix":""},{"dropping-particle":"","family":"Miura","given":"Tomoaki","non-dropping-particle":"","parse-names":false,"suffix":""},{"dropping-particle":"","family":"Mizunuma","given":"Toshie","non-dropping-particle":"","parse-names":false,"suffix":""},{"dropping-particle":"","family":"Morozumi","given":"Tomoki","non-dropping-particle":"","parse-names":false,"suffix":""},{"dropping-particle":"","family":"Motohka","given":"Takeshi","non-dropping-particle":"","parse-names":false,"suffix":""},{"dropping-particle":"","family":"Muraoka","given":"Hiroyuki","non-dropping-particle":"","parse-names":false,"suffix":""},{"dropping-particle":"","family":"Nagano","given":"Hirohiko","non-dropping-particle":"","parse-names":false,"suffix":""},{"dropping-particle":"","family":"Nakai","given":"Taro","non-dropping-particle":"","parse-names":false,"suffix":""},{"dropping-particle":"","family":"Nakaji","given":"Tatsuro","non-dropping-particle":"","parse-names":false,"suffix":""},{"dropping-particle":"","family":"Oguma","given":"Hiroyuki","non-dropping-particle":"","parse-names":false,"suffix":""},{"dropping-particle":"","family":"Ohta","given":"Takeshi","non-dropping-particle":"","parse-names":false,"suffix":""},{"dropping-particle":"","family":"Ono","given":"Keisuke","non-dropping-particle":"","parse-names":false,"suffix":""},{"dropping-particle":"","family":"Pungga","given":"Runi Anak Sylvester","non-dropping-particle":"","parse-names":false,"suffix":""},{"dropping-particle":"","family":"Petrov","given":"Roman E.","non-dropping-particle":"","parse-names":false,"suffix":""},{"dropping-particle":"","family":"Sakai","given":"Rei","non-dropping-particle":"","parse-names":false,"suffix":""},{"dropping-particle":"","family":"Schunk","given":"Christian","non-dropping-particle":"","parse-names":false,"suffix":""},{"dropping-particle":"","family":"Sekikawa","given":"Seikoh","non-dropping-particle":"","parse-names":false,"suffix":""},{"dropping-particle":"","family":"Shakhmatov","given":"Ruslan","non-dropping-particle":"","parse-names":false,"suffix":""},{"dropping-particle":"","family":"Son","given":"Yowhan","non-dropping-particle":"","parse-names":false,"suffix":""},{"dropping-particle":"","family":"Sugimoto","given":"Atsuko","non-dropping-particle":"","parse-names":false,"suffix":""},{"dropping-particle":"","family":"Suzuki","given":"Rikie","non-dropping-particle":"","parse-names":false,"suffix":""},{"dropping-particle":"","family":"Takagi","given":"Kentaro","non-dropping-particle":"","parse-names":false,"suffix":""},{"dropping-particle":"","family":"Takanashi","given":"Satoru","non-dropping-particle":"","parse-names":false,"suffix":""},{"dropping-particle":"","family":"Tei","given":"Shunsuke","non-dropping-particle":"","parse-names":false,"suffix":""},{"dropping-particle":"","family":"Tsuchida","given":"Satoshi","non-dropping-particle":"","parse-names":false,"suffix":""},{"dropping-particle":"","family":"Yamamoto","given":"Hirokazu","non-dropping-particle":"","parse-names":false,"suffix":""},{"dropping-particle":"","family":"Yamasaki","given":"Eri","non-dropping-particle":"","parse-names":false,"suffix":""},{"dropping-particle":"","family":"Yamashita","given":"Megumi","non-dropping-particle":"","parse-names":false,"suffix":""},{"dropping-particle":"","family":"Yoon","given":"Tae Kyung","non-dropping-particle":"","parse-names":false,"suffix":""},{"dropping-particle":"","family":"Yoshida","given":"Toshiya","non-dropping-particle":"","parse-names":false,"suffix":""},{"dropping-particle":"","family":"Yoshimura","given":"Mitsunori","non-dropping-particle":"","parse-names":false,"suffix":""},{"dropping-particle":"","family":"Yoshitake","given":"Shinpei","non-dropping-particle":"","parse-names":false,"suffix":""},{"dropping-particle":"","family":"Wilkinson","given":"Matthew","non-dropping-particle":"","parse-names":false,"suffix":""},{"dropping-particle":"","family":"Wingate","given":"Lisa","non-dropping-particle":"","parse-names":false,"suffix":""},{"dropping-particle":"","family":"Nasahara","given":"Kenlo Nishida","non-dropping-particle":"","parse-names":false,"suffix":""}],"container-title":"Ecological Research","id":"ITEM-1","issue":"6","issued":{"date-parts":[["2018","11","26"]]},"page":"1091-1092","publisher":"Springer Japan","title":"8 million phenological and sky images from 29 ecosystems from the Arctic to the tropics: the Phenological Eyes Network","type":"article-journal","volume":"33"},"uris":["http://www.mendeley.com/documents/?uuid=d72ef663-0eb6-4473-b1bc-153f0936c405"]}],"mendeley":{"formattedCitation":"(Nagai et al., 2018)","plainTextFormattedCitation":"(Nagai et al., 2018)","previouslyFormattedCitation":"(Nagai et al., 2018)"},"properties":{"noteIndex":0},"schema":"https://github.com/citation-style-language/schema/raw/master/csl-citation.json"}</w:instrText>
      </w:r>
      <w:r w:rsidR="009534EA">
        <w:rPr>
          <w:rFonts w:ascii="Arial" w:hAnsi="Arial" w:cs="Arial"/>
          <w:bCs/>
          <w:sz w:val="20"/>
          <w:szCs w:val="20"/>
        </w:rPr>
        <w:fldChar w:fldCharType="separate"/>
      </w:r>
      <w:r w:rsidR="009534EA" w:rsidRPr="009534EA">
        <w:rPr>
          <w:rFonts w:ascii="Arial" w:hAnsi="Arial" w:cs="Arial"/>
          <w:bCs/>
          <w:noProof/>
          <w:sz w:val="20"/>
          <w:szCs w:val="20"/>
        </w:rPr>
        <w:t>(Nagai et al., 2018)</w:t>
      </w:r>
      <w:r w:rsidR="009534EA">
        <w:rPr>
          <w:rFonts w:ascii="Arial" w:hAnsi="Arial" w:cs="Arial"/>
          <w:bCs/>
          <w:sz w:val="20"/>
          <w:szCs w:val="20"/>
        </w:rPr>
        <w:fldChar w:fldCharType="end"/>
      </w:r>
      <w:r w:rsidR="00F5587F">
        <w:rPr>
          <w:rFonts w:ascii="Arial" w:hAnsi="Arial" w:cs="Arial"/>
          <w:bCs/>
          <w:sz w:val="20"/>
          <w:szCs w:val="20"/>
        </w:rPr>
        <w:t>.</w:t>
      </w:r>
      <w:r w:rsidR="00BD2EA1">
        <w:rPr>
          <w:rFonts w:ascii="Arial" w:hAnsi="Arial" w:cs="Arial"/>
          <w:bCs/>
          <w:sz w:val="20"/>
          <w:szCs w:val="20"/>
        </w:rPr>
        <w:t xml:space="preserve">  </w:t>
      </w:r>
      <w:r w:rsidR="00DC2C4A">
        <w:rPr>
          <w:rFonts w:ascii="Arial" w:hAnsi="Arial" w:cs="Arial"/>
          <w:bCs/>
          <w:sz w:val="20"/>
          <w:szCs w:val="20"/>
        </w:rPr>
        <w:t>Above-canopy d</w:t>
      </w:r>
      <w:r w:rsidR="00597240">
        <w:rPr>
          <w:rFonts w:ascii="Arial" w:hAnsi="Arial" w:cs="Arial"/>
          <w:bCs/>
          <w:sz w:val="20"/>
          <w:szCs w:val="20"/>
        </w:rPr>
        <w:t xml:space="preserve">igital repeat photography is particularly promising in the context of validating satellite-derived </w:t>
      </w:r>
      <w:r w:rsidR="006F0942">
        <w:rPr>
          <w:rFonts w:ascii="Arial" w:hAnsi="Arial" w:cs="Arial"/>
          <w:bCs/>
          <w:sz w:val="20"/>
          <w:szCs w:val="20"/>
        </w:rPr>
        <w:t>land surface phenology</w:t>
      </w:r>
      <w:r w:rsidR="0041363A">
        <w:rPr>
          <w:rFonts w:ascii="Arial" w:hAnsi="Arial" w:cs="Arial"/>
          <w:bCs/>
          <w:sz w:val="20"/>
          <w:szCs w:val="20"/>
        </w:rPr>
        <w:t xml:space="preserve"> </w:t>
      </w:r>
      <w:r w:rsidR="00597240">
        <w:rPr>
          <w:rFonts w:ascii="Arial" w:hAnsi="Arial" w:cs="Arial"/>
          <w:bCs/>
          <w:sz w:val="20"/>
          <w:szCs w:val="20"/>
        </w:rPr>
        <w:t xml:space="preserve">products, as </w:t>
      </w:r>
      <w:r w:rsidR="009472E1">
        <w:rPr>
          <w:rFonts w:ascii="Arial" w:hAnsi="Arial" w:cs="Arial"/>
          <w:bCs/>
          <w:sz w:val="20"/>
          <w:szCs w:val="20"/>
        </w:rPr>
        <w:t>its</w:t>
      </w:r>
      <w:r w:rsidR="00597240">
        <w:rPr>
          <w:rFonts w:ascii="Arial" w:hAnsi="Arial" w:cs="Arial"/>
          <w:bCs/>
          <w:sz w:val="20"/>
          <w:szCs w:val="20"/>
        </w:rPr>
        <w:t xml:space="preserve"> wide</w:t>
      </w:r>
      <w:r w:rsidR="00E24465">
        <w:rPr>
          <w:rFonts w:ascii="Arial" w:hAnsi="Arial" w:cs="Arial"/>
          <w:bCs/>
          <w:sz w:val="20"/>
          <w:szCs w:val="20"/>
        </w:rPr>
        <w:t xml:space="preserve"> FOV (i.e. 60°)</w:t>
      </w:r>
      <w:r w:rsidR="00597240">
        <w:rPr>
          <w:rFonts w:ascii="Arial" w:hAnsi="Arial" w:cs="Arial"/>
          <w:bCs/>
          <w:sz w:val="20"/>
          <w:szCs w:val="20"/>
        </w:rPr>
        <w:t xml:space="preserve"> provides </w:t>
      </w:r>
      <w:r w:rsidR="00C23315">
        <w:rPr>
          <w:rFonts w:ascii="Arial" w:hAnsi="Arial" w:cs="Arial"/>
          <w:bCs/>
          <w:sz w:val="20"/>
          <w:szCs w:val="20"/>
        </w:rPr>
        <w:t>an increased</w:t>
      </w:r>
      <w:r w:rsidR="00597240">
        <w:rPr>
          <w:rFonts w:ascii="Arial" w:hAnsi="Arial" w:cs="Arial"/>
          <w:bCs/>
          <w:sz w:val="20"/>
          <w:szCs w:val="20"/>
        </w:rPr>
        <w:t xml:space="preserve"> </w:t>
      </w:r>
      <w:r w:rsidR="00C23315">
        <w:rPr>
          <w:rFonts w:ascii="Arial" w:hAnsi="Arial" w:cs="Arial"/>
          <w:bCs/>
          <w:sz w:val="20"/>
          <w:szCs w:val="20"/>
        </w:rPr>
        <w:t>measurement footprint</w:t>
      </w:r>
      <w:r w:rsidR="00597240">
        <w:rPr>
          <w:rFonts w:ascii="Arial" w:hAnsi="Arial" w:cs="Arial"/>
          <w:bCs/>
          <w:sz w:val="20"/>
          <w:szCs w:val="20"/>
        </w:rPr>
        <w:t xml:space="preserve"> </w:t>
      </w:r>
      <w:r w:rsidR="00DA03A7">
        <w:rPr>
          <w:rFonts w:ascii="Arial" w:hAnsi="Arial" w:cs="Arial"/>
          <w:bCs/>
          <w:sz w:val="20"/>
          <w:szCs w:val="20"/>
        </w:rPr>
        <w:t>when compared to</w:t>
      </w:r>
      <w:r w:rsidR="00597240">
        <w:rPr>
          <w:rFonts w:ascii="Arial" w:hAnsi="Arial" w:cs="Arial"/>
          <w:bCs/>
          <w:sz w:val="20"/>
          <w:szCs w:val="20"/>
        </w:rPr>
        <w:t xml:space="preserve"> </w:t>
      </w:r>
      <w:r w:rsidR="00DA03A7">
        <w:rPr>
          <w:rFonts w:ascii="Arial" w:hAnsi="Arial" w:cs="Arial"/>
          <w:bCs/>
          <w:sz w:val="20"/>
          <w:szCs w:val="20"/>
        </w:rPr>
        <w:t xml:space="preserve">traditional observations </w:t>
      </w:r>
      <w:r w:rsidR="00B748EA">
        <w:rPr>
          <w:rFonts w:ascii="Arial" w:hAnsi="Arial" w:cs="Arial"/>
          <w:bCs/>
          <w:sz w:val="20"/>
          <w:szCs w:val="20"/>
        </w:rPr>
        <w:t>of</w:t>
      </w:r>
      <w:r w:rsidR="00DA03A7">
        <w:rPr>
          <w:rFonts w:ascii="Arial" w:hAnsi="Arial" w:cs="Arial"/>
          <w:bCs/>
          <w:sz w:val="20"/>
          <w:szCs w:val="20"/>
        </w:rPr>
        <w:t xml:space="preserve"> individual trees</w:t>
      </w:r>
      <w:r w:rsidR="0041363A">
        <w:rPr>
          <w:rFonts w:ascii="Arial" w:hAnsi="Arial" w:cs="Arial"/>
          <w:bCs/>
          <w:sz w:val="20"/>
          <w:szCs w:val="20"/>
        </w:rPr>
        <w:t>, helping to overcome spatial scaling issues</w:t>
      </w:r>
      <w:r w:rsidR="00AD393D">
        <w:rPr>
          <w:rFonts w:ascii="Arial" w:hAnsi="Arial" w:cs="Arial"/>
          <w:bCs/>
          <w:sz w:val="20"/>
          <w:szCs w:val="20"/>
        </w:rPr>
        <w:t xml:space="preserve"> </w:t>
      </w:r>
      <w:r w:rsidR="00AD393D">
        <w:rPr>
          <w:rFonts w:ascii="Arial" w:eastAsia="Times New Roman" w:hAnsi="Arial" w:cs="Arial"/>
          <w:sz w:val="20"/>
          <w:szCs w:val="20"/>
        </w:rPr>
        <w:fldChar w:fldCharType="begin" w:fldLock="1"/>
      </w:r>
      <w:r w:rsidR="00AD393D">
        <w:rPr>
          <w:rFonts w:ascii="Arial" w:eastAsia="Times New Roman" w:hAnsi="Arial" w:cs="Arial"/>
          <w:sz w:val="20"/>
          <w:szCs w:val="20"/>
        </w:rPr>
        <w:instrText>ADDIN CSL_CITATION {"citationItems":[{"id":"ITEM-1","itemData":{"DOI":"10.1007/s00442-006-0657-z","ISBN":"0029-8549","ISSN":"0029-8549","PMID":"17342508","abstract":"Understanding relationships between canopy structure and the seasonal dynamics of photosynthetic uptake of CO(2) by forest canopies requires improved knowledge of canopy phenology at eddy covariance flux tower sites. We investigated whether digital webcam images could be used to monitor the trajectory of spring green-up in a deciduous northern hardwood forest. A standard, commercially available webcam was mounted at the top of the eddy covariance tower at the Bartlett AmeriFlux site. Images were collected each day around midday. Red, green, and blue color channel brightness data for a 640 x 100-pixel region-of-interest were extracted from each image. We evaluated the green-up signal extracted from webcam images against changes in the fraction of incident photosynthetically active radiation that is absorbed by the canopy (f (APAR)), a broadband normalized difference vegetation index (NDVI), and the light-saturated rate of canopy photosynthesis (A(max)), inferred from eddy flux measurements. The relative brightness of the green channel (green %) was relatively stable through the winter months. A steady rising trend in green % began around day 120 and continued through day 160, at which point a stable plateau was reached. The relative brightness of the blue channel (blue %) also responded to spring green-up, although there was more day-to-day variation in the signal because blue % was more sensitive to changes in the quality (spectral distribution) of incident radiation. Seasonal changes in blue % were most similar to those in f (APAR) and broadband NDVI, whereas changes in green % proceeded more slowly, and were drawn out over a longer period of time. Changes in A(max) lagged green-up by at least a week. We conclude that webcams offer an inexpensive means by which phenological changes in the canopy state can be quantified. A network of cameras could offer a novel opportunity to implement a regional or national phenology monitoring program.","author":[{"dropping-particle":"","family":"Richardson","given":"Andrew D","non-dropping-particle":"","parse-names":false,"suffix":""},{"dropping-particle":"","family":"Jenkins","given":"Julian P","non-dropping-particle":"","parse-names":false,"suffix":""},{"dropping-particle":"","family":"Braswell","given":"Bobby H","non-dropping-particle":"","parse-names":false,"suffix":""},{"dropping-particle":"","family":"Hollinger","given":"David Y","non-dropping-particle":"","parse-names":false,"suffix":""},{"dropping-particle":"V","family":"Ollinger","given":"Scott","non-dropping-particle":"","parse-names":false,"suffix":""},{"dropping-particle":"","family":"Smith","given":"Marie-Louise","non-dropping-particle":"","parse-names":false,"suffix":""}],"container-title":"Oecologia","id":"ITEM-1","issue":"2","issued":{"date-parts":[["2007","5","3"]]},"page":"323-334","title":"Use of digital webcam images to track spring green-up in a deciduous broadleaf forest","type":"article-journal","volume":"152"},"uris":["http://www.mendeley.com/documents/?uuid=e9be935b-6af1-3aff-ba6e-12cb1c828092"]},{"id":"ITEM-2","itemData":{"DOI":"10.1890/08-2022.1","ISBN":"1051-0761","ISSN":"1051-0761","PMID":"19769091","abstract":"There is a need to document how plant phenology is responding to global change factors, particularly warming trends. \"Near-surface\" remote sensing, using radiometric instruments or imaging sensors, has great potential to improve phenological monitoring because automated observations can be made at high temporal frequency. Here we build on previous work and show how inexpensive, networked digital cameras (\"webcams\") can be used to document spatial and temporal variation in the spring and autumn phenology of forest canopies. We use two years of imagery from a deciduous, northern hardwood site, and one year of imagery from a coniferous, boreal transition site. A quantitative signal is obtained by splitting images into separate red, green, and blue color channels and calculating the relative brightness of each channel for \"regions of interest\" within each image. We put the observed phenological signal in context by relating it to seasonal patterns of gross primary productivity, inferred from eddy covariance measurements of surface-atmosphere CO2 exchange. We show that spring increases, and autumn decreases, in canopy greenness can be detected in both deciduous and coniferous stands. In deciduous stands, an autumn red peak is also observed. The timing and rate of spring development and autumn senescence varies across the canopy, with greater variability in autumn than spring. Interannual variation in phenology can be detected both visually and quantitatively; delayed spring onset in 2007 compared to 2006 is related to a prolonged cold spell from day 85 to day 110. This work lays the foundation for regional-to continental-scale camera-based monitoring of phenology at network observatory sites, e. g., National Ecological Observatory Network (NEON) or AmeriFlux.","author":[{"dropping-particle":"","family":"Richardson","given":"Andrew D.","non-dropping-particle":"","parse-names":false,"suffix":""},{"dropping-particle":"","family":"Braswell","given":"Bobby H.","non-dropping-particle":"","parse-names":false,"suffix":""},{"dropping-particle":"","family":"Hollinger","given":"David Y.","non-dropping-particle":"","parse-names":false,"suffix":""},{"dropping-particle":"","family":"Jenkins","given":"Julian P.","non-dropping-particle":"","parse-names":false,"suffix":""},{"dropping-particle":"V.","family":"Ollinger","given":"Scott","non-dropping-particle":"","parse-names":false,"suffix":""}],"container-title":"Ecological Applications","id":"ITEM-2","issue":"6","issued":{"date-parts":[["2009","9"]]},"page":"1417-1428","title":"Near-surface remote sensing of spatial and temporal variation in canopy phenology","type":"article-journal","volume":"19"},"uris":["http://www.mendeley.com/documents/?uuid=67966d5f-a13e-359f-9124-560a40f628b3"]},{"id":"ITEM-3","itemData":{"DOI":"10.1016/j.rse.2011.10.006","ISBN":"0034-4257","ISSN":"00344257","abstract":"Green leaf phenology is known to be sensitive to climate variation. Phenology is also important because it exerts significant control on terrestrial carbon cycling and sequestration. High-quality measurements of green leaf phenology are therefore increasingly important for understanding the effects of climate change on ecosystem function and biosphere-atmosphere interactions. In this paper, we compare \"near-surface\" and satellite remote sensing-based observations of vegetation phenology at four deciduous forest sites. Specifically, we addressed three questions related to how observations of plant phenology measured by red-green-blue (RGB) cameras mounted on towers above forest canopies are related to measurements of phenology acquired by moderate resolution sensors on satellites. First, how are estimated phenophase transition dates - or the observable stages in the life cycle of plants - influenced by the choice of vegetation index (VI) measured by remote sensing? Second, are VIs and phenological metrics derived from near-surface and satellite remote sensing comparable, and what is the nature and magnitude of covariation between near-surface and satellite-remote sensing-based estimates of phenology at seasonal and interannual time scales? Third, does near-surface remote sensing data provide a basis for validating satellite-derived land surface phenology products and what are the requirements for achieving this goal? Our study provides substantial support for future efforts linking satellite and near-surface remote sensing. We show significant agreement between phenological time series and metrics derived from these two data sources. However, issues of scale and representation strongly influence the relationship between near surface and satellite remote sensing measures of phenology. In particular, intra- and interannual correlation between time series from each source are dependent on how representative the camera FOV is of the regional landscape. Further, our results show that the specific VI used to monitor phenology exerts substantial influence on satellite VI derived phenological metrics, and by extension, how they compare to VI time series and metrics obtained from near-surface remote sensing. These results improve understanding of how near-surface and satellite remote sensing complement each other. However, more work is required to develop formal protocols for evaluating, calibrating and validating satellite remote sensing phenology products using…","author":[{"dropping-particle":"","family":"Hufkens","given":"Koen","non-dropping-particle":"","parse-names":false,"suffix":""},{"dropping-particle":"","family":"Friedl","given":"Mark","non-dropping-particle":"","parse-names":false,"suffix":""},{"dropping-particle":"","family":"Sonnentag","given":"Oliver","non-dropping-particle":"","parse-names":false,"suffix":""},{"dropping-particle":"","family":"Braswell","given":"Bobby H","non-dropping-particle":"","parse-names":false,"suffix":""},{"dropping-particle":"","family":"Milliman","given":"Thomas","non-dropping-particle":"","parse-names":false,"suffix":""},{"dropping-particle":"","family":"Richardson","given":"Andrew D","non-dropping-particle":"","parse-names":false,"suffix":""}],"container-title":"Remote Sensing of Environment","id":"ITEM-3","issued":{"date-parts":[["2012","2"]]},"page":"307-321","title":"Linking near-surface and satellite remote sensing measurements of deciduous broadleaf forest phenology","type":"article-journal","volume":"117"},"uris":["http://www.mendeley.com/documents/?uuid=777e765d-190f-342f-b9e0-c236c24ce2f4"]}],"mendeley":{"formattedCitation":"(Hufkens et al., 2012; Richardson et al., 2009, 2007)","plainTextFormattedCitation":"(Hufkens et al., 2012; Richardson et al., 2009, 2007)","previouslyFormattedCitation":"(Hufkens et al., 2012; Richardson et al., 2009, 2007)"},"properties":{"noteIndex":0},"schema":"https://github.com/citation-style-language/schema/raw/master/csl-citation.json"}</w:instrText>
      </w:r>
      <w:r w:rsidR="00AD393D">
        <w:rPr>
          <w:rFonts w:ascii="Arial" w:eastAsia="Times New Roman" w:hAnsi="Arial" w:cs="Arial"/>
          <w:sz w:val="20"/>
          <w:szCs w:val="20"/>
        </w:rPr>
        <w:fldChar w:fldCharType="separate"/>
      </w:r>
      <w:r w:rsidR="00AD393D" w:rsidRPr="00AD393D">
        <w:rPr>
          <w:rFonts w:ascii="Arial" w:eastAsia="Times New Roman" w:hAnsi="Arial" w:cs="Arial"/>
          <w:noProof/>
          <w:sz w:val="20"/>
          <w:szCs w:val="20"/>
        </w:rPr>
        <w:t>(Hufkens et al., 2012; Richardson et al., 2009, 2007)</w:t>
      </w:r>
      <w:r w:rsidR="00AD393D">
        <w:rPr>
          <w:rFonts w:ascii="Arial" w:eastAsia="Times New Roman" w:hAnsi="Arial" w:cs="Arial"/>
          <w:sz w:val="20"/>
          <w:szCs w:val="20"/>
        </w:rPr>
        <w:fldChar w:fldCharType="end"/>
      </w:r>
      <w:r w:rsidR="0041363A">
        <w:rPr>
          <w:rFonts w:ascii="Arial" w:hAnsi="Arial" w:cs="Arial"/>
          <w:bCs/>
          <w:sz w:val="20"/>
          <w:szCs w:val="20"/>
        </w:rPr>
        <w:t>.</w:t>
      </w:r>
      <w:r w:rsidR="00597240">
        <w:rPr>
          <w:rFonts w:ascii="Arial" w:hAnsi="Arial" w:cs="Arial"/>
          <w:bCs/>
          <w:sz w:val="20"/>
          <w:szCs w:val="20"/>
        </w:rPr>
        <w:t xml:space="preserve">  Using </w:t>
      </w:r>
      <w:r w:rsidR="00DC2C4A">
        <w:rPr>
          <w:rFonts w:ascii="Arial" w:hAnsi="Arial" w:cs="Arial"/>
          <w:bCs/>
          <w:sz w:val="20"/>
          <w:szCs w:val="20"/>
        </w:rPr>
        <w:t xml:space="preserve">above-canopy </w:t>
      </w:r>
      <w:r w:rsidR="00597240">
        <w:rPr>
          <w:rFonts w:ascii="Arial" w:hAnsi="Arial" w:cs="Arial"/>
          <w:bCs/>
          <w:sz w:val="20"/>
          <w:szCs w:val="20"/>
        </w:rPr>
        <w:t xml:space="preserve">digital repeat photography, several studies have evaluated the quality of satellite-derived phenological </w:t>
      </w:r>
      <w:r w:rsidR="00AC4BD0">
        <w:rPr>
          <w:rFonts w:ascii="Arial" w:hAnsi="Arial" w:cs="Arial"/>
          <w:bCs/>
          <w:sz w:val="20"/>
          <w:szCs w:val="20"/>
        </w:rPr>
        <w:t>transition dates</w:t>
      </w:r>
      <w:r w:rsidR="00597240">
        <w:rPr>
          <w:rFonts w:ascii="Arial" w:hAnsi="Arial" w:cs="Arial"/>
          <w:bCs/>
          <w:sz w:val="20"/>
          <w:szCs w:val="20"/>
        </w:rPr>
        <w:t xml:space="preserve">, including those from </w:t>
      </w:r>
      <w:r w:rsidR="00BD2EA1">
        <w:rPr>
          <w:rFonts w:ascii="Arial" w:hAnsi="Arial" w:cs="Arial"/>
          <w:bCs/>
          <w:sz w:val="20"/>
          <w:szCs w:val="20"/>
        </w:rPr>
        <w:t xml:space="preserve">the Advanced Very High Resolution Radiometer (AVHRR), Moderate Resolution Imaging Spectroradiometer (MODIS), Operational Land Imager (OLI) and Visible and Infrared Radiometer Suite (VIIRS) </w:t>
      </w:r>
      <w:r w:rsidR="00BD2EA1">
        <w:rPr>
          <w:rFonts w:ascii="Arial" w:hAnsi="Arial" w:cs="Arial"/>
          <w:bCs/>
          <w:sz w:val="20"/>
          <w:szCs w:val="20"/>
        </w:rPr>
        <w:fldChar w:fldCharType="begin" w:fldLock="1"/>
      </w:r>
      <w:r w:rsidR="008D644F">
        <w:rPr>
          <w:rFonts w:ascii="Arial" w:hAnsi="Arial" w:cs="Arial"/>
          <w:bCs/>
          <w:sz w:val="20"/>
          <w:szCs w:val="20"/>
        </w:rPr>
        <w:instrText>ADDIN CSL_CITATION {"citationItems":[{"id":"ITEM-1","itemData":{"DOI":"10.1038/s41598-018-23804-6","ISSN":"2045-2322","abstract":"© 2018 The Author(s). Phenology is a valuable diagnostic of ecosystem health, and has applications to environmental monitoring and management. Here, we conduct an intercomparison analysis using phenological transition dates derived from near-surface PhenoCam imagery and MODIS satellite remote sensing. We used approximately 600 site-years of data, from 128 camera sites covering a wide range of vegetation types and climate zones. During both \"greenness rising\" and \"greenness falling\" transition phases, we found generally good agreement between PhenoCam and MODIS transition dates for agricultural, deciduous forest, and grassland sites, provided that the vegetation in the camera field of view was representative of the broader landscape. The correlation between PhenoCam and MODIS transition dates was poor for evergreen forest sites. We discuss potential reasons (including sub-pixel spatial heterogeneity, flexibility of the transition date extraction method, vegetation index sensitivity in evergreen systems, and PhenoCam geolocation uncertainty) for varying agreement between time series of vegetation indices derived from PhenoCam and MODIS imagery. This analysis increases our confidence in the ability of satellite remote sensing to accurately characterize seasonal dynamics in a range of ecosystems, and provides a basis for interpreting those dynamics in the context of tangible phenological changes occurring on the ground.","author":[{"dropping-particle":"","family":"Richardson","given":"Andrew D.","non-dropping-particle":"","parse-names":false,"suffix":""},{"dropping-particle":"","family":"Hufkens","given":"Koen","non-dropping-particle":"","parse-names":false,"suffix":""},{"dropping-particle":"","family":"Milliman","given":"Tom","non-dropping-particle":"","parse-names":false,"suffix":""},{"dropping-particle":"","family":"Frolking","given":"Steve","non-dropping-particle":"","parse-names":false,"suffix":""}],"container-title":"Scientific Reports","id":"ITEM-1","issue":"1","issued":{"date-parts":[["2018","12","9"]]},"page":"5679","title":"Intercomparison of phenological transition dates derived from the PhenoCam Dataset V1.0 and MODIS satellite remote sensing","type":"article-journal","volume":"8"},"uris":["http://www.mendeley.com/documents/?uuid=a0800be1-6d12-4523-8373-1572a5b5b8cf"]},{"id":"ITEM-2","itemData":{"DOI":"10.5194/bg-11-4305-2014","ISBN":"1726-4170","ISSN":"1726-4189","abstract":"Plant phenology regulates ecosystem services at local and global scales and is a sensitive indicator of global change. Estimates of phenophase transition dates, such as the start of spring or end of fall, can be derived from sensor-based time series, but must be interpreted in terms of biologically relevant events. We use the PhenoCam archive of digital repeat photography to implement a consistent protocol for visual assessment of canopy phenology at 13 temperate deciduous forest sites throughout eastern North America, and to perform digital image analysis for time-series-based estimation of phenophase transition dates. We then compare these results to remote sensing metrics of phenophase transition dates derived from the Moderate Resolution Imaging Spectroradiometer (MODIS) and Advanced Very High Resolution Radiometer (AVHRR) sensors. We present a new type of curve fit that uses a generalized sigmoid function to estimate phenology dates, and we quantify the statistical uncertainty of phenophase transition dates estimated using this method. Results show that the generalized sigmoid provides estimates of dates with less statistical uncertainty than other curve-fitting methods. Additionally, we find that dates derived from analysis of high-frequency PhenoCam imagery have smaller uncertainties than satellite remote sensing metrics of phenology, and that dates derived from the remotely sensed enhanced vegetation index (EVI) have smaller uncertainty than those derived from the normalized difference vegetation index (NDVI). Near-surface time-series estimates for the start of spring are found to closely match estimates derived from visual assessment of leaf-out, as well as satellite remote-sensing-derived estimates of the start of spring. However late spring and fall phenology metrics exhibit larger differences between near-surface and remote scales. Differences in late spring phenology between near-surface and remote scales are found to correlate with a landscape metric of deciduous forest cover. These results quantify the effect of landscape heterogeneity when aggregating to the coarser spatial scales of remote sensing, and demonstrate the importance of accurate curve fitting and vegetation index selection when analyzing and interpreting phenology time series.","author":[{"dropping-particle":"","family":"Klosterman","given":"S T","non-dropping-particle":"","parse-names":false,"suffix":""},{"dropping-particle":"","family":"Hufkens","given":"K","non-dropping-particle":"","parse-names":false,"suffix":""},{"dropping-particle":"","family":"Gray","given":"J M","non-dropping-particle":"","parse-names":false,"suffix":""},{"dropping-particle":"","family":"Melaas","given":"E","non-dropping-particle":"","parse-names":false,"suffix":""},{"dropping-particle":"","family":"Sonnentag","given":"O","non-dropping-particle":"","parse-names":false,"suffix":""},{"dropping-particle":"","family":"Lavine","given":"I","non-dropping-particle":"","parse-names":false,"suffix":""},{"dropping-particle":"","family":"Mitchell","given":"L","non-dropping-particle":"","parse-names":false,"suffix":""},{"dropping-particle":"","family":"Norman","given":"R","non-dropping-particle":"","parse-names":false,"suffix":""},{"dropping-particle":"","family":"Friedl","given":"M A","non-dropping-particle":"","parse-names":false,"suffix":""},{"dropping-particle":"","family":"Richardson","given":"A D","non-dropping-particle":"","parse-names":false,"suffix":""}],"container-title":"Biogeosciences","id":"ITEM-2","issue":"16","issued":{"date-parts":[["2014","8","19"]]},"page":"4305-4320","title":"Evaluating remote sensing of deciduous forest phenology at multiple spatial scales using PhenoCam imagery","type":"article-journal","volume":"11"},"uris":["http://www.mendeley.com/documents/?uuid=728055a7-6021-3b4d-835d-cfe7ccb7df4d"]},{"id":"ITEM-3","itemData":{"DOI":"10.1016/j.rse.2011.10.006","ISBN":"0034-4257","ISSN":"00344257","abstract":"Green leaf phenology is known to be sensitive to climate variation. Phenology is also important because it exerts significant control on terrestrial carbon cycling and sequestration. High-quality measurements of green leaf phenology are therefore increasingly important for understanding the effects of climate change on ecosystem function and biosphere-atmosphere interactions. In this paper, we compare \"near-surface\" and satellite remote sensing-based observations of vegetation phenology at four deciduous forest sites. Specifically, we addressed three questions related to how observations of plant phenology measured by red-green-blue (RGB) cameras mounted on towers above forest canopies are related to measurements of phenology acquired by moderate resolution sensors on satellites. First, how are estimated phenophase transition dates - or the observable stages in the life cycle of plants - influenced by the choice of vegetation index (VI) measured by remote sensing? Second, are VIs and phenological metrics derived from near-surface and satellite remote sensing comparable, and what is the nature and magnitude of covariation between near-surface and satellite-remote sensing-based estimates of phenology at seasonal and interannual time scales? Third, does near-surface remote sensing data provide a basis for validating satellite-derived land surface phenology products and what are the requirements for achieving this goal? Our study provides substantial support for future efforts linking satellite and near-surface remote sensing. We show significant agreement between phenological time series and metrics derived from these two data sources. However, issues of scale and representation strongly influence the relationship between near surface and satellite remote sensing measures of phenology. In particular, intra- and interannual correlation between time series from each source are dependent on how representative the camera FOV is of the regional landscape. Further, our results show that the specific VI used to monitor phenology exerts substantial influence on satellite VI derived phenological metrics, and by extension, how they compare to VI time series and metrics obtained from near-surface remote sensing. These results improve understanding of how near-surface and satellite remote sensing complement each other. However, more work is required to develop formal protocols for evaluating, calibrating and validating satellite remote sensing phenology products using…","author":[{"dropping-particle":"","family":"Hufkens","given":"Koen","non-dropping-particle":"","parse-names":false,"suffix":""},{"dropping-particle":"","family":"Friedl","given":"Mark","non-dropping-particle":"","parse-names":false,"suffix":""},{"dropping-particle":"","family":"Sonnentag","given":"Oliver","non-dropping-particle":"","parse-names":false,"suffix":""},{"dropping-particle":"","family":"Braswell","given":"Bobby H","non-dropping-particle":"","parse-names":false,"suffix":""},{"dropping-particle":"","family":"Milliman","given":"Thomas","non-dropping-particle":"","parse-names":false,"suffix":""},{"dropping-particle":"","family":"Richardson","given":"Andrew D","non-dropping-particle":"","parse-names":false,"suffix":""}],"container-title":"Remote Sensing of Environment","id":"ITEM-3","issued":{"date-parts":[["2012","2"]]},"page":"307-321","title":"Linking near-surface and satellite remote sensing measurements of deciduous broadleaf forest phenology","type":"article-journal","volume":"117"},"uris":["http://www.mendeley.com/documents/?uuid=777e765d-190f-342f-b9e0-c236c24ce2f4"]},{"id":"ITEM-4","itemData":{"DOI":"10.1016/j.jag.2016.09.005","ISSN":"03032434","abstract":"Green-leaf phenology describes the development of vegetation throughout a growing season and greatly affects the interaction between climate and the biosphere. Remote sensing is a valuable tool to characterize phenology over large areas but doing at fine- to medium resolution (e.g., with Landsat data) is difficult because of low numbers of cloud-free images in a single year. One way to overcome data availability limitations is to merge multi-year imagery into one time series, but this requires accounting for phenological differences among years. Here we present a new approach that employed a time series of a MODIS vegetation index data to quantify interannual differences in phenology, and Dynamic Time Warping (DTW) to re-align multi-year Landsat images to a common phenology that eliminates year-to-year phenological differences. This allowed us to estimate annual phenology curves from Landsat between 2002 and 2012 from which we extracted key phenological dates in a Monte-Carlo simulation design, including green-up (GU), start-of-season (SoS), maturity (Mat), senescence (Sen), end-of-season (EoS) and dormancy (Dorm). We tested our approach in eight locations across the United States that represented forests of different types and without signs of recent forest disturbance. We compared Landsat-based phenological transition dates to those derived from MODIS and ground-based camera data from the PhenoCam-network. The Landsat and MODIS comparison showed strong agreement. Dates of green-up, start-of-season and maturity were highly correlated (r 0.86-0.95), as were senescence and end-of-season dates (r&gt;0.85) and dormancy (r&gt;0.75). Agreement between the Landsat and PhenoCam was generally lower, but correlation coefficients still exceeded 0.8 for all dates. In addition, because of the high data density in the new Landsat time series, the confidence intervals of the estimated keydates were substantially lower than in case of MODIS and PhenoCam. Our study thus suggests that by exploiting multi-year Landsat imagery and calibrating it with MODIS data it is possible to describe green-leaf phenology at much finer spatial resolution than previously possible, highlighting the potential for fine scale phenology maps using the rich Landsat data archive over large areas.","author":[{"dropping-particle":"","family":"Baumann","given":"Matthias","non-dropping-particle":"","parse-names":false,"suffix":""},{"dropping-particle":"","family":"Ozdogan","given":"Mutlu","non-dropping-particle":"","parse-names":false,"suffix":""},{"dropping-particle":"","family":"Richardson","given":"Andrew D.","non-dropping-particle":"","parse-names":false,"suffix":""},{"dropping-particle":"","family":"Radeloff","given":"Volker C.","non-dropping-particle":"","parse-names":false,"suffix":""}],"container-title":"International Journal of Applied Earth Observation and Geoinformation","id":"ITEM-4","issued":{"date-parts":[["2017","2"]]},"page":"72-83","title":"Phenology from Landsat when data is scarce: Using MODIS and Dynamic Time-Warping to combine multi-year Landsat imagery to derive annual phenology curves","type":"article-journal","volume":"54"},"uris":["http://www.mendeley.com/documents/?uuid=e7a467e2-d826-4bc5-8fdb-c2975bceb990"]},{"id":"ITEM-5","itemData":{"DOI":"10.1016/j.agrformet.2018.03.003","ISSN":"01681923","abstract":"Land surface phenology (LSP) has been widely retrieved from time series of various satellite instruments in order to monitor climate change and ecosystem dynamics. However, any evaluation of the quality of LSP data sets is quite challenging because the in situ observations on a limited number of individual trees, shrubs, or other plants are rarely representative of the landscape sampled in a single satellite pixel. Moreover, vegetation indices detecting biophysical features of vegetation seasonality are different from (but related to) the specific plant life history stages observed by humans at ground level. This study is the first comprehensive evaluation of the LSP product derived from Visible Infrared Imaging Radiometer Suite (VIIRS) data using both MODIS LSP products and observations from the PhenoCam network across the Contiguous United States during 2013 and 2014. PhenoCam observes vegetation canopy over a landscape at very high frequency, providing nearly continuous canopy status and enabling the estimate of discrete phenophase using vegetation indices that are conceptually similar to satellite data. Six phenological dates (greenup onset, mid-greenup phase, maturity onset, senescence onset, mid-senescence phase, and dormancy onset) were retrieved separately from daily VIIRS NDVI (normalized difference vegetative index) and EVI2 (two-band enhanced vegetation index) time series. Similarly, the six phenological dates were also extracted from the 30-min time series of PhenoCam data using GCC (green chromatic coordinate) and VCI (vegetation contrast index) separately. Phenological dates derived from VIIRS NDVI and EVI2 and PhenoCam GCC and VCI were generally comparable for the vegetation greenup phase, but differed considerably for the senescence phase. Although all indices captured green leaf development effectively, performance discrepancies arose due to their ability to track the mixture of senescing leaf colors. PhenoCam GCC and VCI phenological observations were in better agreement with the phenological dates from VIIRS EVI2 than from VIIRS NDVI. Further, the VIIRS EVI2 phenological metrics were more similar to those from PhenoCam VCI than from PhenoCam GCC time series. Overall, the average absolute difference between the VIIRS EVI2 and PhenoCam VCI phenological dates was 7–11 days in the greenup phase and 10–13 days in the senescence phase. The difference was smaller in forests, followed by grasslands and croplands, and then savannas. Finally, t…","author":[{"dropping-particle":"","family":"Zhang","given":"Xiaoyang","non-dropping-particle":"","parse-names":false,"suffix":""},{"dropping-particle":"","family":"Jayavelu","given":"Senthilnath","non-dropping-particle":"","parse-names":false,"suffix":""},{"dropping-particle":"","family":"Liu","given":"Lingling","non-dropping-particle":"","parse-names":false,"suffix":""},{"dropping-particle":"","family":"Friedl","given":"Mark A.","non-dropping-particle":"","parse-names":false,"suffix":""},{"dropping-particle":"","family":"Henebry","given":"Geoffrey M.","non-dropping-particle":"","parse-names":false,"suffix":""},{"dropping-particle":"","family":"Liu","given":"Yan","non-dropping-particle":"","parse-names":false,"suffix":""},{"dropping-particle":"","family":"Schaaf","given":"Crystal B.","non-dropping-particle":"","parse-names":false,"suffix":""},{"dropping-particle":"","family":"Richardson","given":"Andrew D.","non-dropping-particle":"","parse-names":false,"suffix":""},{"dropping-particle":"","family":"Gray","given":"Joshua","non-dropping-particle":"","parse-names":false,"suffix":""}],"container-title":"Agricultural and Forest Meteorology","id":"ITEM-5","issue":"February","issued":{"date-parts":[["2018","6"]]},"page":"137-149","title":"Evaluation of land surface phenology from VIIRS data using time series of PhenoCam imagery","type":"article-journal","volume":"256-257"},"uris":["http://www.mendeley.com/documents/?uuid=47a5b884-a985-4d43-80db-bcdf023d8756"]},{"id":"ITEM-6","itemData":{"DOI":"10.1016/j.rse.2016.09.014","ISSN":"00344257","abstract":"Forests play important roles in the Earth's climate system and global carbon cycle. Therefore, a critical need exists to improve our understanding of how the growing seasons of forests are changing, and by extension, how the composition and function of forests will respond to future climate change. Coarse spatial resolution satellite remote sensing has been widely used to monitor and map the phenology of terrestrial ecosystems at regional to global scales, and despite widespread agreement that the growing season of Northern Hemisphere forests is changing, the spatial resolution of these data sources imposes significant limitations on the character and quality of inferences that can be drawn from them. In particular, the spatial resolution afforded by instruments such as MODIS does not resolve ecologically important landscape-scale patterns in phenology. With this issue in mind, here we evaluate the ability of a newly developed Landsat phenology algorithm (LPA) to reconstruct a 32-year time series for the start and end of the growing season in North American temperate and boreal forests. We focus on 13 “sidelap” regions located between overlapping Landsat scenes that span a large geographic range of temperate and boreal forests, and evaluate the quality and character of LPA-derived start and end of growing season (SOS and EOS) dates using several independent data sources. On average, SOS and EOS dates were detected for about two-thirds of the 32 years included in our analysis, with the remaining one-third missing due to cloud cover. Moreover, there was generally better agreement between ground observations and LPA-derived estimates of SOS dates than for EOS across the 13 sites included in our study. Our results demonstrate that, despite the presence of time series gaps, LPA provides a robust basis for retrospective analysis of long-term changes in spring and autumn deciduous forest phenology over the last three decades. Finally, our results support the potential for monitoring land surface phenology at 30 m spatial resolution in near real-time by combining time series from multiple sensors such as the Landsat Operational Land Imager and the Sentinel 2 MultiSpectral Instrument.","author":[{"dropping-particle":"","family":"Melaas","given":"Eli K.","non-dropping-particle":"","parse-names":false,"suffix":""},{"dropping-particle":"","family":"Sulla-Menashe","given":"Damien","non-dropping-particle":"","parse-names":false,"suffix":""},{"dropping-particle":"","family":"Gray","given":"Josh M.","non-dropping-particle":"","parse-names":false,"suffix":""},{"dropping-particle":"","family":"Black","given":"T. Andrew","non-dropping-particle":"","parse-names":false,"suffix":""},{"dropping-particle":"","family":"Morin","given":"Timothy H.","non-dropping-particle":"","parse-names":false,"suffix":""},{"dropping-particle":"","family":"Richardson","given":"Andrew D.","non-dropping-particle":"","parse-names":false,"suffix":""},{"dropping-particle":"","family":"Friedl","given":"Mark A.","non-dropping-particle":"","parse-names":false,"suffix":""}],"container-title":"Remote Sensing of Environment","id":"ITEM-6","issued":{"date-parts":[["2016","12"]]},"page":"452-464","title":"Multisite analysis of land surface phenology in North American temperate and boreal deciduous forests from Landsat","type":"article-journal","volume":"186"},"uris":["http://www.mendeley.com/documents/?uuid=1d697753-3454-4931-a40a-a05e58b7f758"]},{"id":"ITEM-7","itemData":{"DOI":"10.1016/j.agrformet.2017.02.026","ISSN":"01681923","abstract":"The Mediterranean-type oak/grass savanna of California is composed of widely spaced oak trees with understory grasses. These savanna regions are interspersed with large areas of more open grasslands. The ability of remotely sensed data (with various spatial resolutions) to monitor the phenology in these water-limited oak/grass savannas and open grasslands is explored over the 2012–2015 timeframe using data from Landsat (30 m), the MODerate resolution Imaging Spectroradiometer (MODIS – gridded 500 m), and the Visible Infrared Imaging Radiometer Suite (VIIRS – gridded 500 m) data. Vegetation phenology detected from near-ground level, webcam based PhenoCam imagery from two sites in the Ameriflux Network (long-term flux measurement network of the Americas) (Tonzi Ranch and Vaira Ranch) is upscaled, using a National Agriculture Imagery Program (NAIP) aerial image (1 m), to evaluate the detection of vegetation phenology of these savannas and grasslands with the satellite data. Results show that the Normalized Difference Vegetation Index (NDVI) time series observed from the satellite sensors are all strongly correlated with the PhenoCam NDVI values from Tonzi Ranch (R 2 &gt; 0.67) and Vaira Ranch (R 2 &gt; 0.81). However, the different viewing geometries and spatial coverage of the PhenoCams and the various satellite sensors may cause differences in the absolute phenological transition dates. Analysis of frequency histograms of phenological dates illustrate that the phenological dates in the relatively homogeneous open grasslands are consistent across the different spatial resolutions, in contrast, the relatively heterogeneous oak/grass savannas display has somewhat later greenup, maturity, and dormancy dates at 30 m resolution than at 500 m scale due to the different phenological cycles exhibited by the overstory trees and the understory grasses. In addition, phenologies derived from the MODIS view angle corrected reflectance (Nadir BRDF-Adjusted Reflectance – NBAR) and the newly developed VIIRS NBAR are shown to provide comparable phenological dates (majority absolute bias ≤2 days) in this area.","author":[{"dropping-particle":"","family":"Liu","given":"Yan","non-dropping-particle":"","parse-names":false,"suffix":""},{"dropping-particle":"","family":"Hill","given":"Michael J.","non-dropping-particle":"","parse-names":false,"suffix":""},{"dropping-particle":"","family":"Zhang","given":"Xiaoyang","non-dropping-particle":"","parse-names":false,"suffix":""},{"dropping-particle":"","family":"Wang","given":"Zhuosen","non-dropping-particle":"","parse-names":false,"suffix":""},{"dropping-particle":"","family":"Richardson","given":"Andrew D.","non-dropping-particle":"","parse-names":false,"suffix":""},{"dropping-particle":"","family":"Hufkens","given":"Koen","non-dropping-particle":"","parse-names":false,"suffix":""},{"dropping-particle":"","family":"Filippa","given":"Gianluca","non-dropping-particle":"","parse-names":false,"suffix":""},{"dropping-particle":"","family":"Baldocchi","given":"Dennis D.","non-dropping-particle":"","parse-names":false,"suffix":""},{"dropping-particle":"","family":"Ma","given":"Siyan","non-dropping-particle":"","parse-names":false,"suffix":""},{"dropping-particle":"","family":"Verfaillie","given":"Joseph","non-dropping-particle":"","parse-names":false,"suffix":""},{"dropping-particle":"","family":"Schaaf","given":"Crystal B.","non-dropping-particle":"","parse-names":false,"suffix":""}],"container-title":"Agricultural and Forest Meteorology","id":"ITEM-7","issued":{"date-parts":[["2017","5"]]},"page":"311-325","title":"Using data from Landsat, MODIS, VIIRS and PhenoCams to monitor the phenology of California oak/grass savanna and open grassland across spatial scales","type":"article-journal","volume":"237-238"},"uris":["http://www.mendeley.com/documents/?uuid=54f4ee90-8bc0-460b-b528-f3eef67b4ca2"]}],"mendeley":{"formattedCitation":"(Baumann et al., 2017; Hufkens et al., 2012; Klosterman et al., 2014; Liu et al., 2017; Melaas et al., 2016; Richardson et al., 2018b; Zhang et al., 2018)","plainTextFormattedCitation":"(Baumann et al., 2017; Hufkens et al., 2012; Klosterman et al., 2014; Liu et al., 2017; Melaas et al., 2016; Richardson et al., 2018b; Zhang et al., 2018)","previouslyFormattedCitation":"(Baumann et al., 2017; Hufkens et al., 2012; Klosterman et al., 2014; Liu et al., 2017; Melaas et al., 2016; Richardson et al., 2018b; Zhang et al., 2018)"},"properties":{"noteIndex":0},"schema":"https://github.com/citation-style-language/schema/raw/master/csl-citation.json"}</w:instrText>
      </w:r>
      <w:r w:rsidR="00BD2EA1">
        <w:rPr>
          <w:rFonts w:ascii="Arial" w:hAnsi="Arial" w:cs="Arial"/>
          <w:bCs/>
          <w:sz w:val="20"/>
          <w:szCs w:val="20"/>
        </w:rPr>
        <w:fldChar w:fldCharType="separate"/>
      </w:r>
      <w:r w:rsidR="00FE48DA" w:rsidRPr="00FE48DA">
        <w:rPr>
          <w:rFonts w:ascii="Arial" w:hAnsi="Arial" w:cs="Arial"/>
          <w:bCs/>
          <w:noProof/>
          <w:sz w:val="20"/>
          <w:szCs w:val="20"/>
        </w:rPr>
        <w:t>(Baumann et al., 2017; Hufkens et al., 2012; Klosterman et al., 2014; Liu et al., 2017; Melaas et al., 2016; Richardson et al., 2018b; Zhang et al., 2018)</w:t>
      </w:r>
      <w:r w:rsidR="00BD2EA1">
        <w:rPr>
          <w:rFonts w:ascii="Arial" w:hAnsi="Arial" w:cs="Arial"/>
          <w:bCs/>
          <w:sz w:val="20"/>
          <w:szCs w:val="20"/>
        </w:rPr>
        <w:fldChar w:fldCharType="end"/>
      </w:r>
      <w:r w:rsidR="00BD2EA1">
        <w:rPr>
          <w:rFonts w:ascii="Arial" w:hAnsi="Arial" w:cs="Arial"/>
          <w:bCs/>
          <w:sz w:val="20"/>
          <w:szCs w:val="20"/>
        </w:rPr>
        <w:t>.</w:t>
      </w:r>
      <w:r w:rsidR="00CE7104">
        <w:rPr>
          <w:rFonts w:ascii="Arial" w:hAnsi="Arial" w:cs="Arial"/>
          <w:bCs/>
          <w:sz w:val="20"/>
          <w:szCs w:val="20"/>
        </w:rPr>
        <w:t xml:space="preserve">  </w:t>
      </w:r>
    </w:p>
    <w:p w14:paraId="7C0F05EC" w14:textId="1000D338" w:rsidR="00CE7104" w:rsidRDefault="00E117BB" w:rsidP="00742C27">
      <w:pPr>
        <w:spacing w:line="480" w:lineRule="auto"/>
        <w:jc w:val="both"/>
        <w:rPr>
          <w:rFonts w:ascii="Arial" w:hAnsi="Arial" w:cs="Arial"/>
          <w:bCs/>
          <w:sz w:val="20"/>
          <w:szCs w:val="20"/>
        </w:rPr>
      </w:pPr>
      <w:r>
        <w:rPr>
          <w:rFonts w:ascii="Arial" w:hAnsi="Arial" w:cs="Arial"/>
          <w:bCs/>
          <w:sz w:val="20"/>
          <w:szCs w:val="20"/>
        </w:rPr>
        <w:t>Nevertheless</w:t>
      </w:r>
      <w:r w:rsidR="003A6685">
        <w:rPr>
          <w:rFonts w:ascii="Arial" w:hAnsi="Arial" w:cs="Arial"/>
          <w:bCs/>
          <w:sz w:val="20"/>
          <w:szCs w:val="20"/>
        </w:rPr>
        <w:t>,</w:t>
      </w:r>
      <w:r w:rsidR="00DA03A7">
        <w:rPr>
          <w:rFonts w:ascii="Arial" w:hAnsi="Arial" w:cs="Arial"/>
          <w:bCs/>
          <w:sz w:val="20"/>
          <w:szCs w:val="20"/>
        </w:rPr>
        <w:t xml:space="preserve"> in additio</w:t>
      </w:r>
      <w:r w:rsidR="006F0942">
        <w:rPr>
          <w:rFonts w:ascii="Arial" w:hAnsi="Arial" w:cs="Arial"/>
          <w:bCs/>
          <w:sz w:val="20"/>
          <w:szCs w:val="20"/>
        </w:rPr>
        <w:t>n</w:t>
      </w:r>
      <w:r w:rsidR="00DA03A7">
        <w:rPr>
          <w:rFonts w:ascii="Arial" w:hAnsi="Arial" w:cs="Arial"/>
          <w:bCs/>
          <w:sz w:val="20"/>
          <w:szCs w:val="20"/>
        </w:rPr>
        <w:t xml:space="preserve"> to phenological transition dates, there is</w:t>
      </w:r>
      <w:r w:rsidR="00B748EA">
        <w:rPr>
          <w:rFonts w:ascii="Arial" w:hAnsi="Arial" w:cs="Arial"/>
          <w:bCs/>
          <w:sz w:val="20"/>
          <w:szCs w:val="20"/>
        </w:rPr>
        <w:t xml:space="preserve"> a</w:t>
      </w:r>
      <w:r w:rsidR="00DA03A7">
        <w:rPr>
          <w:rFonts w:ascii="Arial" w:hAnsi="Arial" w:cs="Arial"/>
          <w:bCs/>
          <w:sz w:val="20"/>
          <w:szCs w:val="20"/>
        </w:rPr>
        <w:t xml:space="preserve"> need to </w:t>
      </w:r>
      <w:r w:rsidR="006F0942">
        <w:rPr>
          <w:rFonts w:ascii="Arial" w:hAnsi="Arial" w:cs="Arial"/>
          <w:bCs/>
          <w:sz w:val="20"/>
          <w:szCs w:val="20"/>
        </w:rPr>
        <w:t>monitor</w:t>
      </w:r>
      <w:r w:rsidR="00CD0982">
        <w:rPr>
          <w:rFonts w:ascii="Arial" w:hAnsi="Arial" w:cs="Arial"/>
          <w:bCs/>
          <w:sz w:val="20"/>
          <w:szCs w:val="20"/>
        </w:rPr>
        <w:t xml:space="preserve"> specific biophysical variables such as LAI</w:t>
      </w:r>
      <w:r w:rsidR="00BE1870">
        <w:rPr>
          <w:rFonts w:ascii="Arial" w:hAnsi="Arial" w:cs="Arial"/>
          <w:bCs/>
          <w:sz w:val="20"/>
          <w:szCs w:val="20"/>
        </w:rPr>
        <w:t xml:space="preserve"> and provide improved information on their temporal dynamics.  </w:t>
      </w:r>
      <w:r w:rsidR="00DC2C4A">
        <w:rPr>
          <w:rFonts w:ascii="Arial" w:hAnsi="Arial" w:cs="Arial"/>
          <w:bCs/>
          <w:sz w:val="20"/>
          <w:szCs w:val="20"/>
        </w:rPr>
        <w:t>Above-canopy</w:t>
      </w:r>
      <w:r w:rsidR="00DA03A7">
        <w:rPr>
          <w:rFonts w:ascii="Arial" w:hAnsi="Arial" w:cs="Arial"/>
          <w:bCs/>
          <w:sz w:val="20"/>
          <w:szCs w:val="20"/>
        </w:rPr>
        <w:t xml:space="preserve"> digital repeat photography is not optimised for this task</w:t>
      </w:r>
      <w:r w:rsidR="00AC4BD0">
        <w:rPr>
          <w:rFonts w:ascii="Arial" w:hAnsi="Arial" w:cs="Arial"/>
          <w:bCs/>
          <w:sz w:val="20"/>
          <w:szCs w:val="20"/>
        </w:rPr>
        <w:t>.</w:t>
      </w:r>
      <w:r w:rsidR="00C80813">
        <w:rPr>
          <w:rFonts w:ascii="Arial" w:hAnsi="Arial" w:cs="Arial"/>
          <w:bCs/>
          <w:sz w:val="20"/>
          <w:szCs w:val="20"/>
        </w:rPr>
        <w:t xml:space="preserve"> </w:t>
      </w:r>
      <w:r w:rsidR="00CD0982">
        <w:rPr>
          <w:rFonts w:ascii="Arial" w:hAnsi="Arial" w:cs="Arial"/>
          <w:bCs/>
          <w:sz w:val="20"/>
          <w:szCs w:val="20"/>
        </w:rPr>
        <w:t xml:space="preserve"> </w:t>
      </w:r>
      <w:r w:rsidR="00C80813">
        <w:rPr>
          <w:rFonts w:ascii="Arial" w:hAnsi="Arial" w:cs="Arial"/>
          <w:bCs/>
          <w:sz w:val="20"/>
          <w:szCs w:val="20"/>
        </w:rPr>
        <w:t>Previous analysis has indicated that over deciduous broadleaf forest,</w:t>
      </w:r>
      <w:r w:rsidR="00CD0982">
        <w:rPr>
          <w:rFonts w:ascii="Arial" w:hAnsi="Arial" w:cs="Arial"/>
          <w:bCs/>
          <w:sz w:val="20"/>
          <w:szCs w:val="20"/>
        </w:rPr>
        <w:t xml:space="preserve"> time</w:t>
      </w:r>
      <w:r w:rsidR="00CF3773">
        <w:rPr>
          <w:rFonts w:ascii="Arial" w:hAnsi="Arial" w:cs="Arial"/>
          <w:bCs/>
          <w:sz w:val="20"/>
          <w:szCs w:val="20"/>
        </w:rPr>
        <w:t>-</w:t>
      </w:r>
      <w:r w:rsidR="00CD0982">
        <w:rPr>
          <w:rFonts w:ascii="Arial" w:hAnsi="Arial" w:cs="Arial"/>
          <w:bCs/>
          <w:sz w:val="20"/>
          <w:szCs w:val="20"/>
        </w:rPr>
        <w:t>series of colour indices</w:t>
      </w:r>
      <w:r w:rsidR="00DA03A7">
        <w:rPr>
          <w:rFonts w:ascii="Arial" w:hAnsi="Arial" w:cs="Arial"/>
          <w:bCs/>
          <w:sz w:val="20"/>
          <w:szCs w:val="20"/>
        </w:rPr>
        <w:t xml:space="preserve"> derived from </w:t>
      </w:r>
      <w:r w:rsidR="00DC2C4A">
        <w:rPr>
          <w:rFonts w:ascii="Arial" w:hAnsi="Arial" w:cs="Arial"/>
          <w:bCs/>
          <w:sz w:val="20"/>
          <w:szCs w:val="20"/>
        </w:rPr>
        <w:t xml:space="preserve">above-canopy </w:t>
      </w:r>
      <w:r w:rsidR="00DA03A7">
        <w:rPr>
          <w:rFonts w:ascii="Arial" w:hAnsi="Arial" w:cs="Arial"/>
          <w:bCs/>
          <w:sz w:val="20"/>
          <w:szCs w:val="20"/>
        </w:rPr>
        <w:t>digital repeat photography</w:t>
      </w:r>
      <w:r w:rsidR="00CD0982">
        <w:rPr>
          <w:rFonts w:ascii="Arial" w:hAnsi="Arial" w:cs="Arial"/>
          <w:bCs/>
          <w:sz w:val="20"/>
          <w:szCs w:val="20"/>
        </w:rPr>
        <w:t xml:space="preserve"> incorporate several features unrelated to canopy structure.  These include a spring peak, which is caused by the non-linear relationship between greenness and leaf chlorophyll concentration </w:t>
      </w:r>
      <w:r w:rsidR="00CD0982">
        <w:rPr>
          <w:rFonts w:ascii="Arial" w:hAnsi="Arial" w:cs="Arial"/>
          <w:bCs/>
          <w:sz w:val="20"/>
          <w:szCs w:val="20"/>
        </w:rPr>
        <w:fldChar w:fldCharType="begin" w:fldLock="1"/>
      </w:r>
      <w:r w:rsidR="00CD0982" w:rsidRPr="002901BF">
        <w:rPr>
          <w:rFonts w:ascii="Arial" w:hAnsi="Arial" w:cs="Arial"/>
          <w:bCs/>
          <w:sz w:val="20"/>
          <w:szCs w:val="20"/>
        </w:rPr>
        <w:instrText>ADDIN CSL_CITATION {"citationItems":[{"id":"ITEM-1","itemData":{"DOI":"10.5194/bg-12-5995-2015","ISBN":"1726-4170","ISSN":"1726-4189","abstract":"Plant phenological development is orchestrated through subtle changes in photoperiod, temperature, soil moisture and nutrient availability. Presently, the exact timing of plant development stages and their response to climate and management practices are crudely represented in land surface models. As visual observations of phenology are laborious, there is a need to supplement long-term observations with automated techniques such as those provided by digital repeat photography at high temporal and spatial resolution. We present the first synthesis from a growing observational network of digital cameras installed on towers across Europe above deciduous and evergreen forests, grasslands and croplands, where vegetation and atmosphere CO2 fluxes are measured continuously. Using colour indices from digital images and using piecewise regression analysis of time series, we explored whether key changes in canopy phenology could be detected automatically across different land use types in the network. The piecewise regression approach could capture the start and end of the growing season, in addition to identifying striking changes in colour signals caused by flowering and management practices such as mowing. Exploring the dates of green-up and senescence of deciduous forests extracted by the piecewise regression approach against dates estimated from visual observations, we found that these phenological events could be detected adequately (RMSE 2 flux measurements will improve our understanding of how changes in growing season length are likely to shape the capacity of European ecosystems to sequester CO2 in the future.","author":[{"dropping-particle":"","family":"Wingate","given":"L","non-dropping-particle":"","parse-names":false,"suffix":""},{"dropping-particle":"","family":"Ogée","given":"J.","non-dropping-particle":"","parse-names":false,"suffix":""},{"dropping-particle":"","family":"Cremonese","given":"E","non-dropping-particle":"","parse-names":false,"suffix":""},{"dropping-particle":"","family":"Filippa","given":"G","non-dropping-particle":"","parse-names":false,"suffix":""},{"dropping-particle":"","family":"Mizunuma","given":"T","non-dropping-particle":"","parse-names":false,"suffix":""},{"dropping-particle":"","family":"Migliavacca","given":"M","non-dropping-particle":"","parse-names":false,"suffix":""},{"dropping-particle":"","family":"Moisy","given":"C","non-dropping-particle":"","parse-names":false,"suffix":""},{"dropping-particle":"","family":"Wilkinson","given":"M","non-dropping-particle":"","parse-names":false,"suffix":""},{"dropping-particle":"","family":"Moureaux","given":"C.","non-dropping-particle":"","parse-names":false,"suffix":""},{"dropping-particle":"","family":"Wohlfahrt","given":"G.","non-dropping-particle":"","parse-names":false,"suffix":""},{"dropping-particle":"","family":"Hammerle","given":"A.","non-dropping-particle":"","parse-names":false,"suffix":""},{"dropping-particle":"","family":"Hörtnagl","given":"L.","non-dropping-particle":"","parse-names":false,"suffix":""},{"dropping-particle":"","family":"Gimeno","given":"C.","non-dropping-particle":"","parse-names":false,"suffix":""},{"dropping-particle":"","family":"Porcar-Castell","given":"A.","non-dropping-particle":"","parse-names":false,"suffix":""},{"dropping-particle":"","family":"Galvagno","given":"M.","non-dropping-particle":"","parse-names":false,"suffix":""},{"dropping-particle":"","family":"Nakaji","given":"T.","non-dropping-particle":"","parse-names":false,"suffix":""},{"dropping-particle":"","family":"Morison","given":"J.","non-dropping-particle":"","parse-names":false,"suffix":""},{"dropping-particle":"","family":"Kolle","given":"O.","non-dropping-particle":"","parse-names":false,"suffix":""},{"dropping-particle":"","family":"Knohl","given":"A.","non-dropping-particle":"","parse-names":false,"suffix":""},{"dropping-particle":"","family":"Kutsch","given":"W.","non-dropping-particle":"","parse-names":false,"suffix":""},{"dropping-particle":"","family":"Kolari","given":"P.","non-dropping-particle":"","parse-names":false,"suffix":""},{"dropping-particle":"","family":"Nikinmaa","given":"E.","non-dropping-particle":"","parse-names":false,"suffix":""},{"dropping-particle":"","family":"Ibrom","given":"A.","non-dropping-particle":"","parse-names":false,"suffix":""},{"dropping-particle":"","family":"Gielen","given":"B.","non-dropping-particle":"","parse-names":false,"suffix":""},{"dropping-particle":"","family":"Eugster","given":"W.","non-dropping-particle":"","parse-names":false,"suffix":""},{"dropping-particle":"","family":"Balzarolo","given":"M.","non-dropping-particle":"","parse-names":false,"suffix":""},{"dropping-particle":"","family":"Papale","given":"D.","non-dropping-particle":"","parse-names":false,"suffix":""},{"dropping-particle":"","family":"Klumpp","given":"K.","non-dropping-particle":"","parse-names":false,"suffix":""},{"dropping-particle":"","family":"Köstner","given":"B.","non-dropping-particle":"","parse-names":false,"suffix":""},{"dropping-particle":"","family":"Grünwald","given":"T.","non-dropping-particle":"","parse-names":false,"suffix":""},{"dropping-particle":"","family":"Joffre","given":"R.","non-dropping-particle":"","parse-names":false,"suffix":""},{"dropping-particle":"","family":"Ourcival","given":"J.-M.","non-dropping-particle":"","parse-names":false,"suffix":""},{"dropping-particle":"","family":"Hellstrom","given":"M.","non-dropping-particle":"","parse-names":false,"suffix":""},{"dropping-particle":"","family":"Lindroth","given":"A.","non-dropping-particle":"","parse-names":false,"suffix":""},{"dropping-particle":"","family":"George","given":"C.","non-dropping-particle":"","parse-names":false,"suffix":""},{"dropping-particle":"","family":"Longdoz","given":"B.","non-dropping-particle":"","parse-names":false,"suffix":""},{"dropping-particle":"","family":"Genty","given":"B.","non-dropping-particle":"","parse-names":false,"suffix":""},{"dropping-particle":"","family":"Levula","given":"J.","non-dropping-particle":"","parse-names":false,"suffix":""},{"dropping-particle":"","family":"Heinesch","given":"B.","non-dropping-particle":"","parse-names":false,"suffix":""},{"dropping-particle":"","family":"Sprintsin","given":"M.","non-dropping-particle":"","parse-names":false,"suffix":""},{"dropping-particle":"","family":"Yakir","given":"D.","non-dropping-particle":"","parse-names":false,"suffix":""},{"dropping-particle":"","family":"Manise","given":"T.","non-dropping-particle":"","parse-names":false,"suffix":""},{"dropping-particle":"","family":"Guyon","given":"D.","non-dropping-particle":"","parse-names":false,"suffix":""},{"dropping-particle":"","family":"Ahrends","given":"H.","non-dropping-particle":"","parse-names":false,"suffix":""},{"dropping-particle":"","family":"Plaza-Aguilar","given":"A.","non-dropping-particle":"","parse-names":false,"suffix":""},{"dropping-particle":"","family":"Guan","given":"J. H.","non-dropping-particle":"","parse-names":false,"suffix":""},{"dropping-particle":"","family":"Grace","given":"J","non-dropping-particle":"","parse-names":false,"suffix":""}],"container-title":"Biogeosciences","id":"ITEM-1","issue":"20","issued":{"date-parts":[["2015","10","21"]]},"page":"5995-6015","title":"Interpreting canopy development and physiology using a European phenology camera network at flux sites","type":"article-journal","volume":"12"},"uris":["http://www.mendeley.com/documents/?uuid=75d0adb8-ce89-35be-bcd0-fd8d59e72e67"]}],"mendeley":{"formattedCitation":"(Wingate et al., 2015)","plainTextFormattedCitation":"(Wingate et al., 2015)","previouslyFormattedCitation":"(Wingate et al., 2015)"},"properties":{"noteIndex":0},"schema":"https://github.com/citation-style-language/schema/raw/master/csl-citation.json"}</w:instrText>
      </w:r>
      <w:r w:rsidR="00CD0982">
        <w:rPr>
          <w:rFonts w:ascii="Arial" w:hAnsi="Arial" w:cs="Arial"/>
          <w:bCs/>
          <w:sz w:val="20"/>
          <w:szCs w:val="20"/>
        </w:rPr>
        <w:fldChar w:fldCharType="separate"/>
      </w:r>
      <w:r w:rsidR="00CD0982" w:rsidRPr="008718CC">
        <w:rPr>
          <w:rFonts w:ascii="Arial" w:hAnsi="Arial" w:cs="Arial"/>
          <w:bCs/>
          <w:noProof/>
          <w:sz w:val="20"/>
          <w:szCs w:val="20"/>
        </w:rPr>
        <w:t>(Wingate et al., 2015)</w:t>
      </w:r>
      <w:r w:rsidR="00CD0982">
        <w:rPr>
          <w:rFonts w:ascii="Arial" w:hAnsi="Arial" w:cs="Arial"/>
          <w:bCs/>
          <w:sz w:val="20"/>
          <w:szCs w:val="20"/>
        </w:rPr>
        <w:fldChar w:fldCharType="end"/>
      </w:r>
      <w:r w:rsidR="00CD0982">
        <w:rPr>
          <w:rFonts w:ascii="Arial" w:hAnsi="Arial" w:cs="Arial"/>
          <w:bCs/>
          <w:sz w:val="20"/>
          <w:szCs w:val="20"/>
        </w:rPr>
        <w:t>, a summer decline, which appears to be related to increases in brown pigments and seasonal changes</w:t>
      </w:r>
      <w:r w:rsidR="00143B95">
        <w:rPr>
          <w:rFonts w:ascii="Arial" w:hAnsi="Arial" w:cs="Arial"/>
          <w:bCs/>
          <w:sz w:val="20"/>
          <w:szCs w:val="20"/>
        </w:rPr>
        <w:t xml:space="preserve"> in</w:t>
      </w:r>
      <w:r w:rsidR="00CD0982">
        <w:rPr>
          <w:rFonts w:ascii="Arial" w:hAnsi="Arial" w:cs="Arial"/>
          <w:bCs/>
          <w:sz w:val="20"/>
          <w:szCs w:val="20"/>
        </w:rPr>
        <w:t xml:space="preserve"> solar illumination geometry </w:t>
      </w:r>
      <w:r w:rsidR="00CD0982">
        <w:rPr>
          <w:rFonts w:ascii="Arial" w:hAnsi="Arial" w:cs="Arial"/>
          <w:bCs/>
          <w:sz w:val="20"/>
          <w:szCs w:val="20"/>
        </w:rPr>
        <w:fldChar w:fldCharType="begin" w:fldLock="1"/>
      </w:r>
      <w:r w:rsidR="008747E1">
        <w:rPr>
          <w:rFonts w:ascii="Arial" w:hAnsi="Arial" w:cs="Arial"/>
          <w:bCs/>
          <w:sz w:val="20"/>
          <w:szCs w:val="20"/>
        </w:rPr>
        <w:instrText>ADDIN CSL_CITATION {"citationItems":[{"id":"ITEM-1","itemData":{"DOI":"10.1016/j.agrformet.2017.08.012","ISSN":"01681923","abstract":"© 2017 Elsevier B.V. Over the last two decades, satellite-derived estimates of biophysical variables have been increasingly used in operational services, requiring quantification of their accuracy and uncertainty. Evaluating satellite-derived vegetation products is challenging due to their moderate spatial resolution, the heterogeneity of the terrestrial landscape, and difficulties in adequately characterising spatial and temporal vegetation dynamics. In recent years, near-surface remote sensing has emerged as a potential source of data against which satellite-derived vegetation products can be evaluated. Several studies have focussed on the evaluation of satellite-derived phenological transition dates, however in most cases the shape and magnitude of the underlying time-series are neglected. In this paper, we investigated the relationship between the green chromatic coo rdinate (GCC) derived using near-surface remote sensing and a range of vegetation products derived from the Medium Resolution Imaging Spectrometer (MERIS) throughout the growing season. Moderate to strong relationships between the GCC and vegetation products derived from MERIS were observed at deciduous forest sites. Weak relationships were observed over evergreen forest sites as a result of their subtle seasonality, which is likely masked by atmospheric, bidirectional reflectance distribution function (BRDF), and shadowing effects. Temporal inconsistencies were attributed to the oblique viewing geometry of the digital cameras and differences in the incorporated spectral bands. In addition, the commonly observed summer decline in GCC values was found to be primarily associated with seasonal variations in brown pigment concentration, and to a lesser extent illumination geometry. At deciduous sites, increased sensitivity to initial increases in canopy greenness was demonstrated by the GCC, making it particularly well-suited to identifying the start of season when compared to satellite-derived vegetation products. Nevertheless, in some cases, the relationship between the GCC and vegetation products derived from MERIS was found to saturate asymptotically. This limits the potential of the approach for evaluation of the vegetation products that underlie satellite-derived phenological transition dates, and for the continuous monitoring of vegetation during the growing season, particularly at medium to high biomass study sites.","author":[{"dropping-particle":"","family":"Brown","given":"Luke A.","non-dropping-particle":"","parse-names":false,"suffix":""},{"dropping-particle":"","family":"Dash","given":"Jadunandan","non-dropping-particle":"","parse-names":false,"suffix":""},{"dropping-particle":"","family":"Ogutu","given":"Booker O.","non-dropping-particle":"","parse-names":false,"suffix":""},{"dropping-particle":"","family":"Richardson","given":"Andrew D.","non-dropping-particle":"","parse-names":false,"suffix":""}],"container-title":"Agricultural and Forest Meteorology","id":"ITEM-1","issued":{"date-parts":[["2017","12"]]},"page":"280-292","title":"On the relationship between continuous measures of canopy greenness derived using near-surface remote sensing and satellite-derived vegetation products","type":"article-journal","volume":"247"},"uris":["http://www.mendeley.com/documents/?uuid=6b59aa24-f65c-3723-b2c4-f56825faef3e"]}],"mendeley":{"formattedCitation":"(Brown et al., 2017)","plainTextFormattedCitation":"(Brown et al., 2017)","previouslyFormattedCitation":"(Brown et al., 2017)"},"properties":{"noteIndex":0},"schema":"https://github.com/citation-style-language/schema/raw/master/csl-citation.json"}</w:instrText>
      </w:r>
      <w:r w:rsidR="00CD0982">
        <w:rPr>
          <w:rFonts w:ascii="Arial" w:hAnsi="Arial" w:cs="Arial"/>
          <w:bCs/>
          <w:sz w:val="20"/>
          <w:szCs w:val="20"/>
        </w:rPr>
        <w:fldChar w:fldCharType="separate"/>
      </w:r>
      <w:r w:rsidR="00CD0982" w:rsidRPr="00CD0982">
        <w:rPr>
          <w:rFonts w:ascii="Arial" w:hAnsi="Arial" w:cs="Arial"/>
          <w:bCs/>
          <w:noProof/>
          <w:sz w:val="20"/>
          <w:szCs w:val="20"/>
        </w:rPr>
        <w:t>(Brown et al., 2017)</w:t>
      </w:r>
      <w:r w:rsidR="00CD0982">
        <w:rPr>
          <w:rFonts w:ascii="Arial" w:hAnsi="Arial" w:cs="Arial"/>
          <w:bCs/>
          <w:sz w:val="20"/>
          <w:szCs w:val="20"/>
        </w:rPr>
        <w:fldChar w:fldCharType="end"/>
      </w:r>
      <w:r w:rsidR="0041363A">
        <w:rPr>
          <w:rFonts w:ascii="Arial" w:hAnsi="Arial" w:cs="Arial"/>
          <w:bCs/>
          <w:sz w:val="20"/>
          <w:szCs w:val="20"/>
        </w:rPr>
        <w:t>, and saturation of the greenness signal at an LAI of approximately</w:t>
      </w:r>
      <w:r w:rsidR="002901BF">
        <w:rPr>
          <w:rFonts w:ascii="Arial" w:hAnsi="Arial" w:cs="Arial"/>
          <w:bCs/>
          <w:sz w:val="20"/>
          <w:szCs w:val="20"/>
        </w:rPr>
        <w:t xml:space="preserve"> 2 to </w:t>
      </w:r>
      <w:r w:rsidR="0041363A">
        <w:rPr>
          <w:rFonts w:ascii="Arial" w:hAnsi="Arial" w:cs="Arial"/>
          <w:bCs/>
          <w:sz w:val="20"/>
          <w:szCs w:val="20"/>
        </w:rPr>
        <w:t>2.5</w:t>
      </w:r>
      <w:r w:rsidR="002901BF">
        <w:rPr>
          <w:rFonts w:ascii="Arial" w:hAnsi="Arial" w:cs="Arial"/>
          <w:bCs/>
          <w:sz w:val="20"/>
          <w:szCs w:val="20"/>
        </w:rPr>
        <w:t xml:space="preserve"> </w:t>
      </w:r>
      <w:r w:rsidR="002901BF">
        <w:rPr>
          <w:rFonts w:ascii="Arial" w:hAnsi="Arial" w:cs="Arial"/>
          <w:bCs/>
          <w:sz w:val="20"/>
          <w:szCs w:val="20"/>
        </w:rPr>
        <w:fldChar w:fldCharType="begin" w:fldLock="1"/>
      </w:r>
      <w:r w:rsidR="00B674A0">
        <w:rPr>
          <w:rFonts w:ascii="Arial" w:hAnsi="Arial" w:cs="Arial"/>
          <w:bCs/>
          <w:sz w:val="20"/>
          <w:szCs w:val="20"/>
        </w:rPr>
        <w:instrText>ADDIN CSL_CITATION {"citationItems":[{"id":"ITEM-1","itemData":{"DOI":"10.1890/13-0652.1","ISBN":"10510761","ISSN":"1051-0761","PMID":"17793577","abstract":"Digital repeat photography is becoming widely used for near-surface remote sensing of vegetation. Canopy greenness, which has been used extensively for phenological applications, can be readily quantified from camera images. Important questions remain, however, as to whether the observed changes in canopy greenness are directly related to changes in leaf-level traits, changes in canopy structure, or some combination thereof. We investigated relationships between canopy greenness and various metrics of canopy structure and function, using five years (2008-2012) of automated digital imagery, ground observations of phenological transitions, leaf area index (LAI) measurements, and eddy covariance estimates of gross ecosystem photosynthesis from the Harvard Forest, a temperate deciduous forest in the northeastern United States. Additionally, we sampled canopy sunlit leaves on a weekly basis throughout the growing season of 2011. We measured physiological and morphological traits including leaf size, mass (wet/dry), nitrogen content, chlorophyll fluorescence, and spectral reflectance and characterized individual leaf color with flatbed scanner imagery. Our results show that observed spring and autumn phenological transition dates are well captured by information extracted from digital repeat photography. However, spring development of both LAI and the measured physiological and morphological traits are shown to lag behind spring increases in canopy greenness, which rises very quickly to its maximum value before leaves are even half their final size. Based on the hypothesis that changes in canopy greenness represent the aggregate effect of changes in both leaf-level properties (specifically, leaf color) and changes in canopy structure (specifically, LAI), we developed a two end-member mixing model. With just a single free parameter, the model was able to reproduce the observed seasonal trajectory of canopy greenness. This analysis shows that canopy greenness is relatively insensitive to changes in LAI at high LAI levels, which we further demonstrate by assessing the impact of an ice storm on both LAI and canopy greenness. Our study provides new insights into the mechanisms driving seasonal changes in canopy greenness retrieved from digital camera imagery. The nonlinear relationship between canopy greenness and canopy LAI has important implications both for phenological research applications and for assessing responses of vegetation to disturbances. [ABSTRACT F…","author":[{"dropping-particle":"","family":"Keenan","given":"T F","non-dropping-particle":"","parse-names":false,"suffix":""},{"dropping-particle":"","family":"Darby","given":"B","non-dropping-particle":"","parse-names":false,"suffix":""},{"dropping-particle":"","family":"Felts","given":"E","non-dropping-particle":"","parse-names":false,"suffix":""},{"dropping-particle":"","family":"Sonnentag","given":"O","non-dropping-particle":"","parse-names":false,"suffix":""},{"dropping-particle":"","family":"Friedl","given":"M A","non-dropping-particle":"","parse-names":false,"suffix":""},{"dropping-particle":"","family":"Hufkens","given":"K","non-dropping-particle":"","parse-names":false,"suffix":""},{"dropping-particle":"","family":"O'Keefe","given":"J.","non-dropping-particle":"","parse-names":false,"suffix":""},{"dropping-particle":"","family":"Klosterman","given":"S","non-dropping-particle":"","parse-names":false,"suffix":""},{"dropping-particle":"","family":"Munger","given":"J W","non-dropping-particle":"","parse-names":false,"suffix":""},{"dropping-particle":"","family":"Toomey","given":"M","non-dropping-particle":"","parse-names":false,"suffix":""},{"dropping-particle":"","family":"Richardson","given":"A. D.","non-dropping-particle":"","parse-names":false,"suffix":""}],"container-title":"Ecological Applications","id":"ITEM-1","issue":"6","issued":{"date-parts":[["2014","9"]]},"page":"1478-1489","title":"Tracking forest phenology and seasonal physiology using digital repeat photography: a critical assessment","type":"article-journal","volume":"24"},"uris":["http://www.mendeley.com/documents/?uuid=e7e6bf14-b3ee-3fd8-8564-45fc8970be39"]},{"id":"ITEM-2","itemData":{"DOI":"10.5194/bg-12-5995-2015","ISBN":"1726-4170","ISSN":"1726-4189","abstract":"Plant phenological development is orchestrated through subtle changes in photoperiod, temperature, soil moisture and nutrient availability. Presently, the exact timing of plant development stages and their response to climate and management practices are crudely represented in land surface models. As visual observations of phenology are laborious, there is a need to supplement long-term observations with automated techniques such as those provided by digital repeat photography at high temporal and spatial resolution. We present the first synthesis from a growing observational network of digital cameras installed on towers across Europe above deciduous and evergreen forests, grasslands and croplands, where vegetation and atmosphere CO2 fluxes are measured continuously. Using colour indices from digital images and using piecewise regression analysis of time series, we explored whether key changes in canopy phenology could be detected automatically across different land use types in the network. The piecewise regression approach could capture the start and end of the growing season, in addition to identifying striking changes in colour signals caused by flowering and management practices such as mowing. Exploring the dates of green-up and senescence of deciduous forests extracted by the piecewise regression approach against dates estimated from visual observations, we found that these phenological events could be detected adequately (RMSE 2 flux measurements will improve our understanding of how changes in growing season length are likely to shape the capacity of European ecosystems to sequester CO2 in the future.","author":[{"dropping-particle":"","family":"Wingate","given":"L","non-dropping-particle":"","parse-names":false,"suffix":""},{"dropping-particle":"","family":"Ogée","given":"J.","non-dropping-particle":"","parse-names":false,"suffix":""},{"dropping-particle":"","family":"Cremonese","given":"E","non-dropping-particle":"","parse-names":false,"suffix":""},{"dropping-particle":"","family":"Filippa","given":"G","non-dropping-particle":"","parse-names":false,"suffix":""},{"dropping-particle":"","family":"Mizunuma","given":"T","non-dropping-particle":"","parse-names":false,"suffix":""},{"dropping-particle":"","family":"Migliavacca","given":"M","non-dropping-particle":"","parse-names":false,"suffix":""},{"dropping-particle":"","family":"Moisy","given":"C","non-dropping-particle":"","parse-names":false,"suffix":""},{"dropping-particle":"","family":"Wilkinson","given":"M","non-dropping-particle":"","parse-names":false,"suffix":""},{"dropping-particle":"","family":"Moureaux","given":"C.","non-dropping-particle":"","parse-names":false,"suffix":""},{"dropping-particle":"","family":"Wohlfahrt","given":"G.","non-dropping-particle":"","parse-names":false,"suffix":""},{"dropping-particle":"","family":"Hammerle","given":"A.","non-dropping-particle":"","parse-names":false,"suffix":""},{"dropping-particle":"","family":"Hörtnagl","given":"L.","non-dropping-particle":"","parse-names":false,"suffix":""},{"dropping-particle":"","family":"Gimeno","given":"C.","non-dropping-particle":"","parse-names":false,"suffix":""},{"dropping-particle":"","family":"Porcar-Castell","given":"A.","non-dropping-particle":"","parse-names":false,"suffix":""},{"dropping-particle":"","family":"Galvagno","given":"M.","non-dropping-particle":"","parse-names":false,"suffix":""},{"dropping-particle":"","family":"Nakaji","given":"T.","non-dropping-particle":"","parse-names":false,"suffix":""},{"dropping-particle":"","family":"Morison","given":"J.","non-dropping-particle":"","parse-names":false,"suffix":""},{"dropping-particle":"","family":"Kolle","given":"O.","non-dropping-particle":"","parse-names":false,"suffix":""},{"dropping-particle":"","family":"Knohl","given":"A.","non-dropping-particle":"","parse-names":false,"suffix":""},{"dropping-particle":"","family":"Kutsch","given":"W.","non-dropping-particle":"","parse-names":false,"suffix":""},{"dropping-particle":"","family":"Kolari","given":"P.","non-dropping-particle":"","parse-names":false,"suffix":""},{"dropping-particle":"","family":"Nikinmaa","given":"E.","non-dropping-particle":"","parse-names":false,"suffix":""},{"dropping-particle":"","family":"Ibrom","given":"A.","non-dropping-particle":"","parse-names":false,"suffix":""},{"dropping-particle":"","family":"Gielen","given":"B.","non-dropping-particle":"","parse-names":false,"suffix":""},{"dropping-particle":"","family":"Eugster","given":"W.","non-dropping-particle":"","parse-names":false,"suffix":""},{"dropping-particle":"","family":"Balzarolo","given":"M.","non-dropping-particle":"","parse-names":false,"suffix":""},{"dropping-particle":"","family":"Papale","given":"D.","non-dropping-particle":"","parse-names":false,"suffix":""},{"dropping-particle":"","family":"Klumpp","given":"K.","non-dropping-particle":"","parse-names":false,"suffix":""},{"dropping-particle":"","family":"Köstner","given":"B.","non-dropping-particle":"","parse-names":false,"suffix":""},{"dropping-particle":"","family":"Grünwald","given":"T.","non-dropping-particle":"","parse-names":false,"suffix":""},{"dropping-particle":"","family":"Joffre","given":"R.","non-dropping-particle":"","parse-names":false,"suffix":""},{"dropping-particle":"","family":"Ourcival","given":"J.-M.","non-dropping-particle":"","parse-names":false,"suffix":""},{"dropping-particle":"","family":"Hellstrom","given":"M.","non-dropping-particle":"","parse-names":false,"suffix":""},{"dropping-particle":"","family":"Lindroth","given":"A.","non-dropping-particle":"","parse-names":false,"suffix":""},{"dropping-particle":"","family":"George","given":"C.","non-dropping-particle":"","parse-names":false,"suffix":""},{"dropping-particle":"","family":"Longdoz","given":"B.","non-dropping-particle":"","parse-names":false,"suffix":""},{"dropping-particle":"","family":"Genty","given":"B.","non-dropping-particle":"","parse-names":false,"suffix":""},{"dropping-particle":"","family":"Levula","given":"J.","non-dropping-particle":"","parse-names":false,"suffix":""},{"dropping-particle":"","family":"Heinesch","given":"B.","non-dropping-particle":"","parse-names":false,"suffix":""},{"dropping-particle":"","family":"Sprintsin","given":"M.","non-dropping-particle":"","parse-names":false,"suffix":""},{"dropping-particle":"","family":"Yakir","given":"D.","non-dropping-particle":"","parse-names":false,"suffix":""},{"dropping-particle":"","family":"Manise","given":"T.","non-dropping-particle":"","parse-names":false,"suffix":""},{"dropping-particle":"","family":"Guyon","given":"D.","non-dropping-particle":"","parse-names":false,"suffix":""},{"dropping-particle":"","family":"Ahrends","given":"H.","non-dropping-particle":"","parse-names":false,"suffix":""},{"dropping-particle":"","family":"Plaza-Aguilar","given":"A.","non-dropping-particle":"","parse-names":false,"suffix":""},{"dropping-particle":"","family":"Guan","given":"J. H.","non-dropping-particle":"","parse-names":false,"suffix":""},{"dropping-particle":"","family":"Grace","given":"J","non-dropping-particle":"","parse-names":false,"suffix":""}],"container-title":"Biogeosciences","id":"ITEM-2","issue":"20","issued":{"date-parts":[["2015","10","21"]]},"page":"5995-6015","title":"Interpreting canopy development and physiology using a European phenology camera network at flux sites","type":"article-journal","volume":"12"},"uris":["http://www.mendeley.com/documents/?uuid=75d0adb8-ce89-35be-bcd0-fd8d59e72e67"]}],"mendeley":{"formattedCitation":"(Keenan et al., 2014; Wingate et al., 2015)","plainTextFormattedCitation":"(Keenan et al., 2014; Wingate et al., 2015)","previouslyFormattedCitation":"(Keenan et al., 2014; Wingate et al., 2015)"},"properties":{"noteIndex":0},"schema":"https://github.com/citation-style-language/schema/raw/master/csl-citation.json"}</w:instrText>
      </w:r>
      <w:r w:rsidR="002901BF">
        <w:rPr>
          <w:rFonts w:ascii="Arial" w:hAnsi="Arial" w:cs="Arial"/>
          <w:bCs/>
          <w:sz w:val="20"/>
          <w:szCs w:val="20"/>
        </w:rPr>
        <w:fldChar w:fldCharType="separate"/>
      </w:r>
      <w:r w:rsidR="002901BF" w:rsidRPr="002901BF">
        <w:rPr>
          <w:rFonts w:ascii="Arial" w:hAnsi="Arial" w:cs="Arial"/>
          <w:bCs/>
          <w:noProof/>
          <w:sz w:val="20"/>
          <w:szCs w:val="20"/>
        </w:rPr>
        <w:t>(Keenan et al., 2014; Wingate et al., 2015)</w:t>
      </w:r>
      <w:r w:rsidR="002901BF">
        <w:rPr>
          <w:rFonts w:ascii="Arial" w:hAnsi="Arial" w:cs="Arial"/>
          <w:bCs/>
          <w:sz w:val="20"/>
          <w:szCs w:val="20"/>
        </w:rPr>
        <w:fldChar w:fldCharType="end"/>
      </w:r>
      <w:r w:rsidR="0041363A">
        <w:rPr>
          <w:rFonts w:ascii="Arial" w:hAnsi="Arial" w:cs="Arial"/>
          <w:bCs/>
          <w:sz w:val="20"/>
          <w:szCs w:val="20"/>
        </w:rPr>
        <w:t>.</w:t>
      </w:r>
      <w:r w:rsidR="00B730A6">
        <w:rPr>
          <w:rFonts w:ascii="Arial" w:hAnsi="Arial" w:cs="Arial"/>
          <w:bCs/>
          <w:sz w:val="20"/>
          <w:szCs w:val="20"/>
        </w:rPr>
        <w:t xml:space="preserve">  </w:t>
      </w:r>
      <w:r w:rsidR="00E5054C">
        <w:rPr>
          <w:rFonts w:ascii="Arial" w:hAnsi="Arial" w:cs="Arial"/>
          <w:bCs/>
          <w:sz w:val="20"/>
          <w:szCs w:val="20"/>
        </w:rPr>
        <w:t>In addition</w:t>
      </w:r>
      <w:r w:rsidR="00B730A6">
        <w:rPr>
          <w:rFonts w:ascii="Arial" w:hAnsi="Arial" w:cs="Arial"/>
          <w:bCs/>
          <w:sz w:val="20"/>
          <w:szCs w:val="20"/>
        </w:rPr>
        <w:t>, colour indices</w:t>
      </w:r>
      <w:r w:rsidR="003F7D05">
        <w:rPr>
          <w:rFonts w:ascii="Arial" w:hAnsi="Arial" w:cs="Arial"/>
          <w:bCs/>
          <w:sz w:val="20"/>
          <w:szCs w:val="20"/>
        </w:rPr>
        <w:t xml:space="preserve"> derived </w:t>
      </w:r>
      <w:r w:rsidR="00137B91">
        <w:rPr>
          <w:rFonts w:ascii="Arial" w:hAnsi="Arial" w:cs="Arial"/>
          <w:bCs/>
          <w:sz w:val="20"/>
          <w:szCs w:val="20"/>
        </w:rPr>
        <w:t>from</w:t>
      </w:r>
      <w:r w:rsidR="00DC2C4A">
        <w:rPr>
          <w:rFonts w:ascii="Arial" w:hAnsi="Arial" w:cs="Arial"/>
          <w:bCs/>
          <w:sz w:val="20"/>
          <w:szCs w:val="20"/>
        </w:rPr>
        <w:t xml:space="preserve"> above-canopy</w:t>
      </w:r>
      <w:r w:rsidR="003F7D05">
        <w:rPr>
          <w:rFonts w:ascii="Arial" w:hAnsi="Arial" w:cs="Arial"/>
          <w:bCs/>
          <w:sz w:val="20"/>
          <w:szCs w:val="20"/>
        </w:rPr>
        <w:t xml:space="preserve"> digital repeat photography</w:t>
      </w:r>
      <w:r w:rsidR="00EB7728">
        <w:rPr>
          <w:rFonts w:ascii="Arial" w:hAnsi="Arial" w:cs="Arial"/>
          <w:bCs/>
          <w:sz w:val="20"/>
          <w:szCs w:val="20"/>
        </w:rPr>
        <w:t xml:space="preserve"> </w:t>
      </w:r>
      <w:r w:rsidR="00B730A6">
        <w:rPr>
          <w:rFonts w:ascii="Arial" w:hAnsi="Arial" w:cs="Arial"/>
          <w:bCs/>
          <w:sz w:val="20"/>
          <w:szCs w:val="20"/>
        </w:rPr>
        <w:t>represent a relative radiometric quantity</w:t>
      </w:r>
      <w:r w:rsidR="009D7DCD">
        <w:rPr>
          <w:rFonts w:ascii="Arial" w:hAnsi="Arial" w:cs="Arial"/>
          <w:bCs/>
          <w:sz w:val="20"/>
          <w:szCs w:val="20"/>
        </w:rPr>
        <w:t>, confounding</w:t>
      </w:r>
      <w:r w:rsidR="00B730A6">
        <w:rPr>
          <w:rFonts w:ascii="Arial" w:hAnsi="Arial" w:cs="Arial"/>
          <w:bCs/>
          <w:sz w:val="20"/>
          <w:szCs w:val="20"/>
        </w:rPr>
        <w:t xml:space="preserve"> physical interpretation </w:t>
      </w:r>
      <w:r w:rsidR="001C073A" w:rsidRPr="00E30F7F">
        <w:rPr>
          <w:rFonts w:ascii="Arial" w:hAnsi="Arial" w:cs="Arial"/>
          <w:bCs/>
          <w:sz w:val="20"/>
          <w:szCs w:val="20"/>
        </w:rPr>
        <w:t xml:space="preserve">were they to be used to derive biophysical </w:t>
      </w:r>
      <w:r w:rsidR="001C073A">
        <w:rPr>
          <w:rFonts w:ascii="Arial" w:hAnsi="Arial" w:cs="Arial"/>
          <w:bCs/>
          <w:sz w:val="20"/>
          <w:szCs w:val="20"/>
        </w:rPr>
        <w:t>properties, a</w:t>
      </w:r>
      <w:r w:rsidR="00B730A6">
        <w:rPr>
          <w:rFonts w:ascii="Arial" w:hAnsi="Arial" w:cs="Arial"/>
          <w:bCs/>
          <w:sz w:val="20"/>
          <w:szCs w:val="20"/>
        </w:rPr>
        <w:t>nd prevent</w:t>
      </w:r>
      <w:r w:rsidR="009D7DCD">
        <w:rPr>
          <w:rFonts w:ascii="Arial" w:hAnsi="Arial" w:cs="Arial"/>
          <w:bCs/>
          <w:sz w:val="20"/>
          <w:szCs w:val="20"/>
        </w:rPr>
        <w:t>ing</w:t>
      </w:r>
      <w:r w:rsidR="00B730A6">
        <w:rPr>
          <w:rFonts w:ascii="Arial" w:hAnsi="Arial" w:cs="Arial"/>
          <w:bCs/>
          <w:sz w:val="20"/>
          <w:szCs w:val="20"/>
        </w:rPr>
        <w:t xml:space="preserve"> direct comparison between sites</w:t>
      </w:r>
      <w:r w:rsidR="00E30F7F">
        <w:rPr>
          <w:rFonts w:ascii="Arial" w:hAnsi="Arial" w:cs="Arial"/>
          <w:bCs/>
          <w:sz w:val="20"/>
          <w:szCs w:val="20"/>
        </w:rPr>
        <w:t xml:space="preserve"> </w:t>
      </w:r>
      <w:r w:rsidR="00B730A6">
        <w:rPr>
          <w:rFonts w:ascii="Arial" w:hAnsi="Arial" w:cs="Arial"/>
          <w:bCs/>
          <w:sz w:val="20"/>
          <w:szCs w:val="20"/>
        </w:rPr>
        <w:fldChar w:fldCharType="begin" w:fldLock="1"/>
      </w:r>
      <w:r w:rsidR="004D01B1">
        <w:rPr>
          <w:rFonts w:ascii="Arial" w:hAnsi="Arial" w:cs="Arial"/>
          <w:bCs/>
          <w:sz w:val="20"/>
          <w:szCs w:val="20"/>
        </w:rPr>
        <w:instrText>ADDIN CSL_CITATION {"citationItems":[{"id":"ITEM-1","itemData":{"DOI":"10.1016/j.agrformet.2011.09.009","ISBN":"0168-1923","ISSN":"01681923","abstract":"Digital repeat photography has the potential to become an important long-term data source for phenological research given its advantages in terms of logistics, continuity, consistency and objectivity over traditional assessments of vegetation status by human observers. Red-green-blue (RGB) color channel information from digital images can be separately extracted as digital numbers, and subsequently summarized through color indices such as excess green (ExG=2G-[R+B]) or through nonlinear transforms to chromatic coordinates or other color spaces. Previous studies have demonstrated the use of ExG and the green chromatic coordinate (gcc=G/[R+G+B]) from digital landscape image archives for tracking canopy development but several methodological questions remained unanswered. These include the effects of diurnal, seasonal and weather-related changes in scene illumination on ExG and gcc, and digital camera and image file format choice. We show that gcc is generally more effective than ExG in suppressing the effects of changes in scene illumination. To further reduce these effects we propose a moving window approach that assigns the 90th percentile of all daytime values within a three-day window to the center day (per90), resulting in three-day ExG and gcc. Using image archives from eleven forest sites in North America, we demonstrate that per90 is able to further reduce unwanted variability in ExG and gcc due to changes in scene illumination compared to previously used mean mid-day values of ExG and gcc.Comparison of eleven different digital cameras at Harvard Forest (autumn 2010) indicates that camera and image file format choice might be of secondary importance for phenological research: with the exception of inexpensive indoor webcams, autumn patterns of changes in gcc and ExG from images in common JPEG image file format were in good agreement, especially toward the end of senescence. Due to its greater effectiveness in suppressing changes in scene illumination, especially in combination with per90, we advocate the use of gcc for phenological research. Our results indicate that gcc from different digital cameras can be used for comparing the timing of key phenological events (e.g., complete leaf coloring) across sites. However, differences in how specific cameras \"see\" the forest canopy may obscure subtle phenological changes that could be detectable if a common protocol was implemented across sites. © 2011 Elsevier B.V.","author":[{"dropping-particle":"","family":"Sonnentag","given":"Oliver","non-dropping-particle":"","parse-names":false,"suffix":""},{"dropping-particle":"","family":"Hufkens","given":"Koen","non-dropping-particle":"","parse-names":false,"suffix":""},{"dropping-particle":"","family":"Teshera-Sterne","given":"Cory","non-dropping-particle":"","parse-names":false,"suffix":""},{"dropping-particle":"","family":"Young","given":"Adam M","non-dropping-particle":"","parse-names":false,"suffix":""},{"dropping-particle":"","family":"Friedl","given":"Mark","non-dropping-particle":"","parse-names":false,"suffix":""},{"dropping-particle":"","family":"Braswell","given":"Bobby H","non-dropping-particle":"","parse-names":false,"suffix":""},{"dropping-particle":"","family":"Milliman","given":"Thomas","non-dropping-particle":"","parse-names":false,"suffix":""},{"dropping-particle":"","family":"O’Keefe","given":"John","non-dropping-particle":"","parse-names":false,"suffix":""},{"dropping-particle":"","family":"Richardson","given":"Andrew D","non-dropping-particle":"","parse-names":false,"suffix":""}],"container-title":"Agricultural and Forest Meteorology","id":"ITEM-1","issue":"1","issued":{"date-parts":[["2012","1"]]},"page":"159-177","title":"Digital repeat photography for phenological research in forest ecosystems","type":"article-journal","volume":"152"},"uris":["http://www.mendeley.com/documents/?uuid=06f703aa-c580-305c-bd1e-d7d557fa7cab"]}],"mendeley":{"formattedCitation":"(Sonnentag et al., 2012)","plainTextFormattedCitation":"(Sonnentag et al., 2012)","previouslyFormattedCitation":"(Sonnentag et al., 2012)"},"properties":{"noteIndex":0},"schema":"https://github.com/citation-style-language/schema/raw/master/csl-citation.json"}</w:instrText>
      </w:r>
      <w:r w:rsidR="00B730A6">
        <w:rPr>
          <w:rFonts w:ascii="Arial" w:hAnsi="Arial" w:cs="Arial"/>
          <w:bCs/>
          <w:sz w:val="20"/>
          <w:szCs w:val="20"/>
        </w:rPr>
        <w:fldChar w:fldCharType="separate"/>
      </w:r>
      <w:r w:rsidR="00B730A6" w:rsidRPr="00B730A6">
        <w:rPr>
          <w:rFonts w:ascii="Arial" w:hAnsi="Arial" w:cs="Arial"/>
          <w:bCs/>
          <w:noProof/>
          <w:sz w:val="20"/>
          <w:szCs w:val="20"/>
        </w:rPr>
        <w:t>(Sonnentag et al., 2012)</w:t>
      </w:r>
      <w:r w:rsidR="00B730A6">
        <w:rPr>
          <w:rFonts w:ascii="Arial" w:hAnsi="Arial" w:cs="Arial"/>
          <w:bCs/>
          <w:sz w:val="20"/>
          <w:szCs w:val="20"/>
        </w:rPr>
        <w:fldChar w:fldCharType="end"/>
      </w:r>
      <w:r w:rsidR="00B730A6">
        <w:rPr>
          <w:rFonts w:ascii="Arial" w:hAnsi="Arial" w:cs="Arial"/>
          <w:bCs/>
          <w:sz w:val="20"/>
          <w:szCs w:val="20"/>
        </w:rPr>
        <w:t>.</w:t>
      </w:r>
    </w:p>
    <w:p w14:paraId="3B190579" w14:textId="3C966CE4" w:rsidR="00F5587F" w:rsidRDefault="00CE7104" w:rsidP="00C422C4">
      <w:pPr>
        <w:spacing w:line="480" w:lineRule="auto"/>
        <w:jc w:val="both"/>
        <w:rPr>
          <w:rFonts w:ascii="Arial" w:hAnsi="Arial" w:cs="Arial"/>
          <w:bCs/>
          <w:sz w:val="20"/>
          <w:szCs w:val="20"/>
        </w:rPr>
      </w:pPr>
      <w:proofErr w:type="gramStart"/>
      <w:r>
        <w:rPr>
          <w:rFonts w:ascii="Arial" w:hAnsi="Arial" w:cs="Arial"/>
          <w:bCs/>
          <w:sz w:val="20"/>
          <w:szCs w:val="20"/>
        </w:rPr>
        <w:t xml:space="preserve">In </w:t>
      </w:r>
      <w:r w:rsidR="005D6EE9">
        <w:rPr>
          <w:rFonts w:ascii="Arial" w:hAnsi="Arial" w:cs="Arial"/>
          <w:bCs/>
          <w:sz w:val="20"/>
          <w:szCs w:val="20"/>
        </w:rPr>
        <w:t>light of</w:t>
      </w:r>
      <w:proofErr w:type="gramEnd"/>
      <w:r w:rsidR="005D6EE9">
        <w:rPr>
          <w:rFonts w:ascii="Arial" w:hAnsi="Arial" w:cs="Arial"/>
          <w:bCs/>
          <w:sz w:val="20"/>
          <w:szCs w:val="20"/>
        </w:rPr>
        <w:t xml:space="preserve"> the limitations of</w:t>
      </w:r>
      <w:r w:rsidR="00137B91">
        <w:rPr>
          <w:rFonts w:ascii="Arial" w:hAnsi="Arial" w:cs="Arial"/>
          <w:bCs/>
          <w:sz w:val="20"/>
          <w:szCs w:val="20"/>
        </w:rPr>
        <w:t xml:space="preserve"> </w:t>
      </w:r>
      <w:r w:rsidR="00DC2C4A">
        <w:rPr>
          <w:rFonts w:ascii="Arial" w:hAnsi="Arial" w:cs="Arial"/>
          <w:bCs/>
          <w:sz w:val="20"/>
          <w:szCs w:val="20"/>
        </w:rPr>
        <w:t>above-canopy</w:t>
      </w:r>
      <w:r>
        <w:rPr>
          <w:rFonts w:ascii="Arial" w:hAnsi="Arial" w:cs="Arial"/>
          <w:bCs/>
          <w:sz w:val="20"/>
          <w:szCs w:val="20"/>
        </w:rPr>
        <w:t xml:space="preserve"> digital repeat photography,</w:t>
      </w:r>
      <w:r w:rsidR="00C2261D">
        <w:rPr>
          <w:rFonts w:ascii="Arial" w:hAnsi="Arial" w:cs="Arial"/>
          <w:bCs/>
          <w:sz w:val="20"/>
          <w:szCs w:val="20"/>
        </w:rPr>
        <w:t xml:space="preserve"> it is worth noting that </w:t>
      </w:r>
      <w:r>
        <w:rPr>
          <w:rFonts w:ascii="Arial" w:hAnsi="Arial" w:cs="Arial"/>
          <w:bCs/>
          <w:sz w:val="20"/>
          <w:szCs w:val="20"/>
        </w:rPr>
        <w:t xml:space="preserve">several alternative approaches to the continuous monitoring of forest biophysical properties have been investigated.  </w:t>
      </w:r>
      <w:r w:rsidR="00E5054C">
        <w:rPr>
          <w:rFonts w:ascii="Arial" w:hAnsi="Arial" w:cs="Arial"/>
          <w:bCs/>
          <w:sz w:val="20"/>
          <w:szCs w:val="20"/>
        </w:rPr>
        <w:t>For</w:t>
      </w:r>
      <w:r w:rsidR="00BE223A">
        <w:rPr>
          <w:rFonts w:ascii="Arial" w:hAnsi="Arial" w:cs="Arial"/>
          <w:bCs/>
          <w:sz w:val="20"/>
          <w:szCs w:val="20"/>
        </w:rPr>
        <w:t xml:space="preserve"> monitoring</w:t>
      </w:r>
      <w:r>
        <w:rPr>
          <w:rFonts w:ascii="Arial" w:hAnsi="Arial" w:cs="Arial"/>
          <w:bCs/>
          <w:sz w:val="20"/>
          <w:szCs w:val="20"/>
        </w:rPr>
        <w:t xml:space="preserve"> LAI, these have included</w:t>
      </w:r>
      <w:r w:rsidR="005F4A9A">
        <w:rPr>
          <w:rFonts w:ascii="Arial" w:hAnsi="Arial" w:cs="Arial"/>
          <w:bCs/>
          <w:sz w:val="20"/>
          <w:szCs w:val="20"/>
        </w:rPr>
        <w:t xml:space="preserve"> automated</w:t>
      </w:r>
      <w:r w:rsidR="003A6685">
        <w:rPr>
          <w:rFonts w:ascii="Arial" w:hAnsi="Arial" w:cs="Arial"/>
          <w:bCs/>
          <w:sz w:val="20"/>
          <w:szCs w:val="20"/>
        </w:rPr>
        <w:t xml:space="preserve"> digital </w:t>
      </w:r>
      <w:r w:rsidR="00CD0982">
        <w:rPr>
          <w:rFonts w:ascii="Arial" w:hAnsi="Arial" w:cs="Arial"/>
          <w:bCs/>
          <w:sz w:val="20"/>
          <w:szCs w:val="20"/>
        </w:rPr>
        <w:t>cover photography</w:t>
      </w:r>
      <w:r w:rsidR="007F215C">
        <w:rPr>
          <w:rFonts w:ascii="Arial" w:hAnsi="Arial" w:cs="Arial"/>
          <w:bCs/>
          <w:sz w:val="20"/>
          <w:szCs w:val="20"/>
        </w:rPr>
        <w:t xml:space="preserve"> </w:t>
      </w:r>
      <w:r w:rsidR="007F215C">
        <w:rPr>
          <w:rFonts w:ascii="Arial" w:hAnsi="Arial" w:cs="Arial"/>
          <w:bCs/>
          <w:sz w:val="20"/>
          <w:szCs w:val="20"/>
        </w:rPr>
        <w:fldChar w:fldCharType="begin" w:fldLock="1"/>
      </w:r>
      <w:r w:rsidR="007F215C">
        <w:rPr>
          <w:rFonts w:ascii="Arial" w:hAnsi="Arial" w:cs="Arial"/>
          <w:bCs/>
          <w:sz w:val="20"/>
          <w:szCs w:val="20"/>
        </w:rPr>
        <w:instrText>ADDIN CSL_CITATION {"citationItems":[{"id":"ITEM-1","itemData":{"DOI":"10.1016/j.rse.2012.08.027","ISBN":"0034-4257","ISSN":"00344257","abstract":"Understanding the dynamics of leaf area index (LAI) at ecosystem scale is critical for evaluating and modeling the response of vegetation to environmental variability and change. We present an approach for quantifying daily ecosystem LAI that integrates automatic acquisition of a small number of reference photos, viewed towards the zenith, and a larger number of photos covering a spatially extensive area that were manually acquired during periodic field trips. We present an image archive spanning three years for an oak-savanna ecosystem in California to identify the timing of phenological and disturbance events, and to quantify the seasonal to interannual variability of tree LAI at ecosystem scale. The digital camera-derived LAI, corrected for clumping effects, agreed well (r 2=0.94, root mean square error=0.05) with independent estimates of LAI from litterfall traps and the LAI-2000 Plant Canopy Analyzer. Using the Moderate Resolution Imaging Spectroradiometer (MODIS) LAI product, which combined grass and tree LAI, we obtained realistic seasonal patterns of ecosystem LAI that corresponded with tree LAI from the digital cameras for the period when grass was dead. The digital camera method is an easy and inexpensive way to monitor LAI at ecosystem scale. This method can be used for testing and improving phenology models, evaluating remote-sensing-derived LAI products, and quantifying forest structures in rapidly changing environments. ?? 2012 Elsevier Inc.","author":[{"dropping-particle":"","family":"Ryu","given":"Youngryel","non-dropping-particle":"","parse-names":false,"suffix":""},{"dropping-particle":"","family":"Verfaillie","given":"Joseph","non-dropping-particle":"","parse-names":false,"suffix":""},{"dropping-particle":"","family":"Macfarlane","given":"Craig","non-dropping-particle":"","parse-names":false,"suffix":""},{"dropping-particle":"","family":"Kobayashi","given":"Hideki","non-dropping-particle":"","parse-names":false,"suffix":""},{"dropping-particle":"","family":"Sonnentag","given":"Oliver","non-dropping-particle":"","parse-names":false,"suffix":""},{"dropping-particle":"","family":"Vargas","given":"Rodrigo","non-dropping-particle":"","parse-names":false,"suffix":""},{"dropping-particle":"","family":"Ma","given":"Siyan","non-dropping-particle":"","parse-names":false,"suffix":""},{"dropping-particle":"","family":"Baldocchi","given":"Dennis D","non-dropping-particle":"","parse-names":false,"suffix":""}],"container-title":"Remote Sensing of Environment","id":"ITEM-1","issued":{"date-parts":[["2012","11"]]},"page":"116-125","title":"Continuous observation of tree leaf area index at ecosystem scale using upward-pointing digital cameras","type":"article-journal","volume":"126"},"uris":["http://www.mendeley.com/documents/?uuid=7b906222-0c3e-38c1-b5b5-dfe624b8c760"]},{"id":"ITEM-2","itemData":{"DOI":"10.1016/j.rse.2014.04.015","ISSN":"00344257","abstract":"Emerging near-surface remote sensing techniques have advanced our ability to monitor forest canopy phenology. Thus far, however, little effort has been made to monitor the phenologies of the various canopies of multi-layer forests separately, despite their importance in regulating forest biogeochemical cycles. Here we report phenological changes in multi-layer canopies of deciduous broadleaf and evergreen needleleaf forests in the Republic of Korea during the spring of 2013. We installed light-emitting diode (LED) sensors at four different canopy heights at two sites to measure the normalized difference vegetation index (NDVI) using red and near-infrared (NIR) spectral reflectance and to estimate leaf area index (LAI) using the blue band gap fraction. LED-sensors identified leaf-out dates of over- and understory canopies at both sites; leaves unfolded 8-11days earlier in the understory canopy than the overstory canopy. At the deciduous forest site, LED-NDVI failed to capture the leaf-out date in the overstory canopy, because all four LED-sensors started to see green-up from the understory canopy while the overstory canopy was leafless. LED-LAI identified different leaf-out dates for the over- and understory canopy, because the gap fraction was measured explicitly for each canopy layer. In the evergreen forest site, LED-NDVI signals between the top of the tower and beneath the overstory canopy were decoupled because of the dense evergreen overstory canopy. Both LED-NDVI and LED-LAI identified new needle expansion in the overstory canopy and understory canopy development. MODIS NDVI agreed well with LED-NDVI data (R2=0.96, RMSE=0.04) at the deciduous forest site, and we discovered that understory canopy development determined the onset of greenness based on MODIS NDVI data. LED-LAI data agreed well with independent estimates from the other instruments, indicating that LED-sensors could be used to monitor multi-layer canopy LAI. Continuous, in-situ observation of multi-layer canopy phenology will aid in the interpretation of satellite remote sensing phenology products and improve land surface models that adopt a multi-layer canopy model. © 2014 Elsevier Inc.","author":[{"dropping-particle":"","family":"Ryu","given":"Youngryel","non-dropping-particle":"","parse-names":false,"suffix":""},{"dropping-particle":"","family":"Lee","given":"Galam","non-dropping-particle":"","parse-names":false,"suffix":""},{"dropping-particle":"","family":"Jeon","given":"Soohyun","non-dropping-particle":"","parse-names":false,"suffix":""},{"dropping-particle":"","family":"Song","given":"Youngkeun","non-dropping-particle":"","parse-names":false,"suffix":""},{"dropping-particle":"","family":"Kimm","given":"Hyungsuk","non-dropping-particle":"","parse-names":false,"suffix":""}],"container-title":"Remote Sensing of Environment","id":"ITEM-2","issued":{"date-parts":[["2014","6"]]},"page":"227-238","title":"Monitoring multi-layer canopy spring phenology of temperate deciduous and evergreen forests using low-cost spectral sensors","type":"article-journal","volume":"149"},"uris":["http://www.mendeley.com/documents/?uuid=f517425a-12c7-4eca-adcb-b4376ccddfee"]},{"id":"ITEM-3","itemData":{"DOI":"10.1016/j.agrformet.2017.09.004","ISSN":"01681923","abstract":"Long-term, continuous digital camera imagery and tower-based radiometric monitoring were conducted at a representative hardwood forest site in the Northeastern United States, part of the AmeriFlux network. In this study, the phenological metrics of the leaf area index (LAI), plant area index (PAI) and associated transition dates (e.g., timing of the onset of leaf expansion and the cessation of leaf fall) were compared using 4-year of data from Bartlett Experimental Forest. We used digital repeat photography (DRP) imagery collected using two different methods (\"canopy cover\" and \"phenocam\" approaches), together with above- and below-canopy measurements of photosynthetically active radiation (PAR). The growth-period LAI estimated from canopy cover images (LAICANOPY) and the above and below canopy PAR measurements (LAIfPARt) were within approximately the same range, in term of magnitude, as previous results for multiple comparative methods, although growing-season LAICANOPY was slightly lower (3.11m2 m-2 to 3.35m2 m-2) than LAIfPARt (3.19m2 m-2 to 3.67m2 m-2). In addition, we derived phenological transition dates from PAICANOPY, PAIfPARt, and color-based metrics calculated from the phenocam imagery (green (GCC) and red (RCC) chromatic coordinates). The transition dates in both spring and autumn differed somewhat according to method, presumably due to the vegetation status detection abilities of each vegetation metric. We found that LAI estimation from canopy cover images may be influenced by automatic exposure settings, which limits the ability to detect subtle changes in phenology during the transition phases in both spring and autumn. Particularly in autumn, the color-based metrics calculated from the phenocam imagery are decoupled from leaf area dynamics and thus PAI. While above and below canopy PAR measurements could yield the better indicators for estimating LAI, its seasonal dynamics, and associated phenological transition dates in long-term monitoring, we argue that there are obvious benefits to the multi-sensor approach used here.","author":[{"dropping-particle":"","family":"Toda","given":"Motomu","non-dropping-particle":"","parse-names":false,"suffix":""},{"dropping-particle":"","family":"Richardson","given":"Andrew D.","non-dropping-particle":"","parse-names":false,"suffix":""}],"container-title":"Agricultural and Forest Meteorology","id":"ITEM-3","issue":"September","issued":{"date-parts":[["2017","9"]]},"page":"1-10","title":"Estimation of plant area index and phenological transition dates from digital repeat photography and radiometric approaches in a hardwood forest in the Northeastern United States","type":"article-journal"},"uris":["http://www.mendeley.com/documents/?uuid=60af9818-db88-4e35-82a0-1f08dc215e98"]}],"mendeley":{"formattedCitation":"(Ryu et al., 2014, 2012; Toda and Richardson, 2017)","plainTextFormattedCitation":"(Ryu et al., 2014, 2012; Toda and Richardson, 2017)","previouslyFormattedCitation":"(Ryu et al., 2014, 2012; Toda and Richardson, 2017)"},"properties":{"noteIndex":0},"schema":"https://github.com/citation-style-language/schema/raw/master/csl-citation.json"}</w:instrText>
      </w:r>
      <w:r w:rsidR="007F215C">
        <w:rPr>
          <w:rFonts w:ascii="Arial" w:hAnsi="Arial" w:cs="Arial"/>
          <w:bCs/>
          <w:sz w:val="20"/>
          <w:szCs w:val="20"/>
        </w:rPr>
        <w:fldChar w:fldCharType="separate"/>
      </w:r>
      <w:r w:rsidR="007F215C" w:rsidRPr="007F215C">
        <w:rPr>
          <w:rFonts w:ascii="Arial" w:hAnsi="Arial" w:cs="Arial"/>
          <w:bCs/>
          <w:noProof/>
          <w:sz w:val="20"/>
          <w:szCs w:val="20"/>
        </w:rPr>
        <w:t>(Ryu et al., 2014, 2012; Toda and Richardson, 2017)</w:t>
      </w:r>
      <w:r w:rsidR="007F215C">
        <w:rPr>
          <w:rFonts w:ascii="Arial" w:hAnsi="Arial" w:cs="Arial"/>
          <w:bCs/>
          <w:sz w:val="20"/>
          <w:szCs w:val="20"/>
        </w:rPr>
        <w:fldChar w:fldCharType="end"/>
      </w:r>
      <w:r w:rsidR="007F215C">
        <w:rPr>
          <w:rFonts w:ascii="Arial" w:hAnsi="Arial" w:cs="Arial"/>
          <w:bCs/>
          <w:sz w:val="20"/>
          <w:szCs w:val="20"/>
        </w:rPr>
        <w:t xml:space="preserve"> </w:t>
      </w:r>
      <w:r w:rsidR="003A6685">
        <w:rPr>
          <w:rFonts w:ascii="Arial" w:hAnsi="Arial" w:cs="Arial"/>
          <w:bCs/>
          <w:sz w:val="20"/>
          <w:szCs w:val="20"/>
        </w:rPr>
        <w:t xml:space="preserve">and </w:t>
      </w:r>
      <w:r>
        <w:rPr>
          <w:rFonts w:ascii="Arial" w:hAnsi="Arial" w:cs="Arial"/>
          <w:bCs/>
          <w:sz w:val="20"/>
          <w:szCs w:val="20"/>
        </w:rPr>
        <w:t xml:space="preserve">the use of </w:t>
      </w:r>
      <w:r w:rsidR="003A6685">
        <w:rPr>
          <w:rFonts w:ascii="Arial" w:hAnsi="Arial" w:cs="Arial"/>
          <w:bCs/>
          <w:sz w:val="20"/>
          <w:szCs w:val="20"/>
        </w:rPr>
        <w:t>radiometric sensors</w:t>
      </w:r>
      <w:r w:rsidR="0014378B">
        <w:rPr>
          <w:rFonts w:ascii="Arial" w:hAnsi="Arial" w:cs="Arial"/>
          <w:bCs/>
          <w:sz w:val="20"/>
          <w:szCs w:val="20"/>
        </w:rPr>
        <w:t xml:space="preserve"> to estimate transmittance</w:t>
      </w:r>
      <w:r w:rsidR="00AB64F4">
        <w:rPr>
          <w:rFonts w:ascii="Arial" w:hAnsi="Arial" w:cs="Arial"/>
          <w:bCs/>
          <w:sz w:val="20"/>
          <w:szCs w:val="20"/>
        </w:rPr>
        <w:t xml:space="preserve"> </w:t>
      </w:r>
      <w:r w:rsidR="00166814">
        <w:rPr>
          <w:rFonts w:ascii="Arial" w:hAnsi="Arial" w:cs="Arial"/>
          <w:bCs/>
          <w:sz w:val="20"/>
          <w:szCs w:val="20"/>
        </w:rPr>
        <w:fldChar w:fldCharType="begin" w:fldLock="1"/>
      </w:r>
      <w:r w:rsidR="00166814">
        <w:rPr>
          <w:rFonts w:ascii="Arial" w:hAnsi="Arial" w:cs="Arial"/>
          <w:bCs/>
          <w:sz w:val="20"/>
          <w:szCs w:val="20"/>
        </w:rPr>
        <w:instrText>ADDIN CSL_CITATION {"citationItems":[{"id":"ITEM-1","itemData":{"DOI":"10.3390/rs10071032","ISSN":"2072-4292","abstract":"Land Surface Phenology (LSP) and Leaf Area Index (LAI) are important variables that describe the photosynthetically active phase and capacity of vegetation. Both are derived on the global scale from optical satellite sensors and require robust validation based on in situ sensors at high temporal resolution. This study assesses the PAI Autonomous System from Transmittance Sensors at 57&amp;deg; (PASTiS-57) instrument as a low-cost transmittance sensor for simultaneous monitoring of LSP and LAI in forest ecosystems. In a field experiment, spring leaf flush and autumn senescence in a Dutch beech forest were observed with PASTiS-57 and illumination independent, multi-temporal Terrestrial Laser Scanning (TLS) measurements in five plots. Both time series agreed to less than a day in Start Of Season (SOS) and End Of Season (EOS). LAI magnitude was strongly correlated with a Pearson correlation coefficient of 0.98. PASTiS-57 summer and winter LAI were on average 0.41 m2m&amp;minus;2 and 1.43 m2m&amp;minus;2 lower than TLS. This can be explained by previously reported overestimation of TLS. Additionally, PASTiS-57 was implemented in the Discrete Anisotropic Radiative Transfer (DART) Radiative Transfer Model (RTM) model for sensitivity analysis. This confirmed the robustness of the retrieval with respect to non-structural canopy properties and illumination conditions. Generally, PASTiS-57 fulfilled the CEOS LPV requirement of 20% accuracy in LAI for a wide range of biochemical and illumination conditions for turbid medium canopies. However, canopy non-randomness in discrete tree models led to strong biases. Overall, PASTiS-57 demonstrated the potential of autonomous devices for monitoring of phenology and LAI at daily temporal resolution as required for validation of satellite products that can be derived from ESA Copernicus&amp;rsquo; optical missions, Sentinel-2 and -3.","author":[{"dropping-particle":"","family":"Brede","given":"Benjamin","non-dropping-particle":"","parse-names":false,"suffix":""},{"dropping-particle":"","family":"Gastellu-Etchegorry","given":"Jean-Philippe","non-dropping-particle":"","parse-names":false,"suffix":""},{"dropping-particle":"","family":"Lauret","given":"Nicolas","non-dropping-particle":"","parse-names":false,"suffix":""},{"dropping-particle":"","family":"Baret","given":"Frederic","non-dropping-particle":"","parse-names":false,"suffix":""},{"dropping-particle":"","family":"Clevers","given":"Jan","non-dropping-particle":"","parse-names":false,"suffix":""},{"dropping-particle":"","family":"Verbesselt","given":"Jan","non-dropping-particle":"","parse-names":false,"suffix":""},{"dropping-particle":"","family":"Herold","given":"Martin","non-dropping-particle":"","parse-names":false,"suffix":""}],"container-title":"Remote Sensing","id":"ITEM-1","issue":"7","issued":{"date-parts":[["2018","6","30"]]},"page":"1032","title":"Monitoring Forest Phenology and Leaf Area Index with the Autonomous, Low-Cost Transmittance Sensor PASTiS-57","type":"article-journal","volume":"10"},"uris":["http://www.mendeley.com/documents/?uuid=1cf2101d-b176-44a6-a324-ac55abe12345"]},{"id":"ITEM-2","itemData":{"DOI":"10.1016/j.compag.2014.08.003","ISBN":"0168-1699","ISSN":"01681699","abstract":"Plant leaf area index (LAI) is an important structural parameter for describing the ability of the canopy to intercept solar radiation, and it plays an important role in the estimation of forest biomass. To overcome the difficulties of current ground measurement instruments in automatically collecting plant LAI, we have designed a continuous LAI measurement system: LAINet. The main part of LAINet includes the distributed Below Node (BN), which is deployed below the canopy and receives transmitted solar radiation, the Above Node (AN), which is used to receive downward radiation above the canopy, and the Central Node (CN), which is used as a data reception and control node. Communication among the nodes is implemented through the Zigbee protocol, while data exchange between the CN and the remote data center server is completed through the General Packet Radio Service (GPRS) network. The design of the LAINet framework and the algorithm for estimating the LAI from a multi-point directional transmittance is presented in this paper. The sensors of LAINet are calibrated on two clear days, and the performance of the proposed system is compared in time series field experiments. Comparison of the nodes' sensor results indicates that under the condition of the same solar radiation, the response between the different sensors is of high consistence, and each node has a stable calibration coefficient across different dates. In the field coniferous forest experiment, upon comparing with TRAC (Tracing Radiance and Architecture of Canopies) instruments and the results obtained using different data processing algorithms, it is found that the LAINet system can produce the best results with a minimum root mean square error (RMSE=0.34) and a higher determination coefficient (R2=0.81). We adopt a multi-day window for aggregating the daily observed LAI to remove the noise that occurs from daily weather variation, and it indicates that the aggregated time series LAI can capture the process of the coniferous needles' growth and defoliation properly. Thus, it is confirmed that LAINet can be used as a feasible method to conduct automatic ground observations, especially in the scenario where continuous observation is required. ?? 2014 Elsevier B.V.","author":[{"dropping-particle":"","family":"Qu","given":"Yonghua","non-dropping-particle":"","parse-names":false,"suffix":""},{"dropping-particle":"","family":"Han","given":"Wenchao","non-dropping-particle":"","parse-names":false,"suffix":""},{"dropping-particle":"","family":"Fu","given":"Lizhe","non-dropping-particle":"","parse-names":false,"suffix":""},{"dropping-particle":"","family":"Li","given":"Congrong","non-dropping-particle":"","parse-names":false,"suffix":""},{"dropping-particle":"","family":"Song","given":"Jinling","non-dropping-particle":"","parse-names":false,"suffix":""},{"dropping-particle":"","family":"Zhou","given":"Hongmin","non-dropping-particle":"","parse-names":false,"suffix":""},{"dropping-particle":"","family":"Bo","given":"Yanchen","non-dropping-particle":"","parse-names":false,"suffix":""},{"dropping-particle":"","family":"Wang","given":"Jindi","non-dropping-particle":"","parse-names":false,"suffix":""}],"container-title":"Computers and Electronics in Agriculture","id":"ITEM-2","issued":{"date-parts":[["2014","10"]]},"page":"200-208","title":"LAINet – A wireless sensor network for coniferous forest leaf area index measurement: Design, algorithm and validation","type":"article-journal","volume":"108"},"uris":["http://www.mendeley.com/documents/?uuid=8a8423d5-3bd6-3a9e-8a01-050809732362"]},{"id":"ITEM-3","itemData":{"DOI":"10.1016/j.rse.2014.04.015","ISSN":"00344257","abstract":"Emerging near-surface remote sensing techniques have advanced our ability to monitor forest canopy phenology. Thus far, however, little effort has been made to monitor the phenologies of the various canopies of multi-layer forests separately, despite their importance in regulating forest biogeochemical cycles. Here we report phenological changes in multi-layer canopies of deciduous broadleaf and evergreen needleleaf forests in the Republic of Korea during the spring of 2013. We installed light-emitting diode (LED) sensors at four different canopy heights at two sites to measure the normalized difference vegetation index (NDVI) using red and near-infrared (NIR) spectral reflectance and to estimate leaf area index (LAI) using the blue band gap fraction. LED-sensors identified leaf-out dates of over- and understory canopies at both sites; leaves unfolded 8-11days earlier in the understory canopy than the overstory canopy. At the deciduous forest site, LED-NDVI failed to capture the leaf-out date in the overstory canopy, because all four LED-sensors started to see green-up from the understory canopy while the overstory canopy was leafless. LED-LAI identified different leaf-out dates for the over- and understory canopy, because the gap fraction was measured explicitly for each canopy layer. In the evergreen forest site, LED-NDVI signals between the top of the tower and beneath the overstory canopy were decoupled because of the dense evergreen overstory canopy. Both LED-NDVI and LED-LAI identified new needle expansion in the overstory canopy and understory canopy development. MODIS NDVI agreed well with LED-NDVI data (R2=0.96, RMSE=0.04) at the deciduous forest site, and we discovered that understory canopy development determined the onset of greenness based on MODIS NDVI data. LED-LAI data agreed well with independent estimates from the other instruments, indicating that LED-sensors could be used to monitor multi-layer canopy LAI. Continuous, in-situ observation of multi-layer canopy phenology will aid in the interpretation of satellite remote sensing phenology products and improve land surface models that adopt a multi-layer canopy model. © 2014 Elsevier Inc.","author":[{"dropping-particle":"","family":"Ryu","given":"Youngryel","non-dropping-particle":"","parse-names":false,"suffix":""},{"dropping-particle":"","family":"Lee","given":"Galam","non-dropping-particle":"","parse-names":false,"suffix":""},{"dropping-particle":"","family":"Jeon","given":"Soohyun","non-dropping-particle":"","parse-names":false,"suffix":""},{"dropping-particle":"","family":"Song","given":"Youngkeun","non-dropping-particle":"","parse-names":false,"suffix":""},{"dropping-particle":"","family":"Kimm","given":"Hyungsuk","non-dropping-particle":"","parse-names":false,"suffix":""}],"container-title":"Remote Sensing of Environment","id":"ITEM-3","issued":{"date-parts":[["2014","6"]]},"page":"227-238","title":"Monitoring multi-layer canopy spring phenology of temperate deciduous and evergreen forests using low-cost spectral sensors","type":"article-journal","volume":"149"},"uris":["http://www.mendeley.com/documents/?uuid=f517425a-12c7-4eca-adcb-b4376ccddfee"]},{"id":"ITEM-4","itemData":{"DOI":"10.1016/j.agrformet.2017.09.004","ISSN":"01681923","abstract":"Long-term, continuous digital camera imagery and tower-based radiometric monitoring were conducted at a representative hardwood forest site in the Northeastern United States, part of the AmeriFlux network. In this study, the phenological metrics of the leaf area index (LAI), plant area index (PAI) and associated transition dates (e.g., timing of the onset of leaf expansion and the cessation of leaf fall) were compared using 4-year of data from Bartlett Experimental Forest. We used digital repeat photography (DRP) imagery collected using two different methods (\"canopy cover\" and \"phenocam\" approaches), together with above- and below-canopy measurements of photosynthetically active radiation (PAR). The growth-period LAI estimated from canopy cover images (LAICANOPY) and the above and below canopy PAR measurements (LAIfPARt) were within approximately the same range, in term of magnitude, as previous results for multiple comparative methods, although growing-season LAICANOPY was slightly lower (3.11m2 m-2 to 3.35m2 m-2) than LAIfPARt (3.19m2 m-2 to 3.67m2 m-2). In addition, we derived phenological transition dates from PAICANOPY, PAIfPARt, and color-based metrics calculated from the phenocam imagery (green (GCC) and red (RCC) chromatic coordinates). The transition dates in both spring and autumn differed somewhat according to method, presumably due to the vegetation status detection abilities of each vegetation metric. We found that LAI estimation from canopy cover images may be influenced by automatic exposure settings, which limits the ability to detect subtle changes in phenology during the transition phases in both spring and autumn. Particularly in autumn, the color-based metrics calculated from the phenocam imagery are decoupled from leaf area dynamics and thus PAI. While above and below canopy PAR measurements could yield the better indicators for estimating LAI, its seasonal dynamics, and associated phenological transition dates in long-term monitoring, we argue that there are obvious benefits to the multi-sensor approach used here.","author":[{"dropping-particle":"","family":"Toda","given":"Motomu","non-dropping-particle":"","parse-names":false,"suffix":""},{"dropping-particle":"","family":"Richardson","given":"Andrew D.","non-dropping-particle":"","parse-names":false,"suffix":""}],"container-title":"Agricultural and Forest Meteorology","id":"ITEM-4","issue":"September","issued":{"date-parts":[["2017","9"]]},"page":"1-10","title":"Estimation of plant area index and phenological transition dates from digital repeat photography and radiometric approaches in a hardwood forest in the Northeastern United States","type":"article-journal"},"uris":["http://www.mendeley.com/documents/?uuid=60af9818-db88-4e35-82a0-1f08dc215e98"]}],"mendeley":{"formattedCitation":"(Brede et al., 2018; Qu et al., 2014; Ryu et al., 2014; Toda and Richardson, 2017)","plainTextFormattedCitation":"(Brede et al., 2018; Qu et al., 2014; Ryu et al., 2014; Toda and Richardson, 2017)","previouslyFormattedCitation":"(Brede et al., 2018; Qu et al., 2014; Ryu et al., 2014; Toda and Richardson, 2017)"},"properties":{"noteIndex":0},"schema":"https://github.com/citation-style-language/schema/raw/master/csl-citation.json"}</w:instrText>
      </w:r>
      <w:r w:rsidR="00166814">
        <w:rPr>
          <w:rFonts w:ascii="Arial" w:hAnsi="Arial" w:cs="Arial"/>
          <w:bCs/>
          <w:sz w:val="20"/>
          <w:szCs w:val="20"/>
        </w:rPr>
        <w:fldChar w:fldCharType="separate"/>
      </w:r>
      <w:r w:rsidR="00166814" w:rsidRPr="00166814">
        <w:rPr>
          <w:rFonts w:ascii="Arial" w:hAnsi="Arial" w:cs="Arial"/>
          <w:bCs/>
          <w:noProof/>
          <w:sz w:val="20"/>
          <w:szCs w:val="20"/>
        </w:rPr>
        <w:t>(Brede et al., 2018; Qu et al., 2014; Ryu et al., 2014; Toda and Richardson, 2017)</w:t>
      </w:r>
      <w:r w:rsidR="00166814">
        <w:rPr>
          <w:rFonts w:ascii="Arial" w:hAnsi="Arial" w:cs="Arial"/>
          <w:bCs/>
          <w:sz w:val="20"/>
          <w:szCs w:val="20"/>
        </w:rPr>
        <w:fldChar w:fldCharType="end"/>
      </w:r>
      <w:r w:rsidR="003A6685">
        <w:rPr>
          <w:rFonts w:ascii="Arial" w:hAnsi="Arial" w:cs="Arial"/>
          <w:bCs/>
          <w:sz w:val="20"/>
          <w:szCs w:val="20"/>
        </w:rPr>
        <w:t xml:space="preserve">.  </w:t>
      </w:r>
      <w:r w:rsidR="009D5887">
        <w:rPr>
          <w:rFonts w:ascii="Arial" w:hAnsi="Arial" w:cs="Arial"/>
          <w:bCs/>
          <w:sz w:val="20"/>
          <w:szCs w:val="20"/>
        </w:rPr>
        <w:t xml:space="preserve">Despite their </w:t>
      </w:r>
      <w:r w:rsidR="009D5887">
        <w:rPr>
          <w:rFonts w:ascii="Arial" w:hAnsi="Arial" w:cs="Arial"/>
          <w:bCs/>
          <w:sz w:val="20"/>
          <w:szCs w:val="20"/>
        </w:rPr>
        <w:lastRenderedPageBreak/>
        <w:t>potential</w:t>
      </w:r>
      <w:r w:rsidR="00940853">
        <w:rPr>
          <w:rFonts w:ascii="Arial" w:hAnsi="Arial" w:cs="Arial"/>
          <w:bCs/>
          <w:sz w:val="20"/>
          <w:szCs w:val="20"/>
        </w:rPr>
        <w:t xml:space="preserve">, </w:t>
      </w:r>
      <w:r w:rsidR="007E10B7">
        <w:rPr>
          <w:rFonts w:ascii="Arial" w:hAnsi="Arial" w:cs="Arial"/>
          <w:bCs/>
          <w:sz w:val="20"/>
          <w:szCs w:val="20"/>
        </w:rPr>
        <w:t>several</w:t>
      </w:r>
      <w:r w:rsidR="00940853">
        <w:rPr>
          <w:rFonts w:ascii="Arial" w:hAnsi="Arial" w:cs="Arial"/>
          <w:bCs/>
          <w:sz w:val="20"/>
          <w:szCs w:val="20"/>
        </w:rPr>
        <w:t xml:space="preserve"> challenges </w:t>
      </w:r>
      <w:r w:rsidR="002131D2">
        <w:rPr>
          <w:rFonts w:ascii="Arial" w:hAnsi="Arial" w:cs="Arial"/>
          <w:bCs/>
          <w:sz w:val="20"/>
          <w:szCs w:val="20"/>
        </w:rPr>
        <w:t>are</w:t>
      </w:r>
      <w:r w:rsidR="00940853">
        <w:rPr>
          <w:rFonts w:ascii="Arial" w:hAnsi="Arial" w:cs="Arial"/>
          <w:bCs/>
          <w:sz w:val="20"/>
          <w:szCs w:val="20"/>
        </w:rPr>
        <w:t xml:space="preserve"> yet to be resolved</w:t>
      </w:r>
      <w:r w:rsidR="0034782B">
        <w:rPr>
          <w:rFonts w:ascii="Arial" w:hAnsi="Arial" w:cs="Arial"/>
          <w:bCs/>
          <w:sz w:val="20"/>
          <w:szCs w:val="20"/>
        </w:rPr>
        <w:t>.</w:t>
      </w:r>
      <w:r w:rsidR="00F5587F">
        <w:rPr>
          <w:rFonts w:ascii="Arial" w:hAnsi="Arial" w:cs="Arial"/>
          <w:bCs/>
          <w:sz w:val="20"/>
          <w:szCs w:val="20"/>
        </w:rPr>
        <w:t xml:space="preserve"> </w:t>
      </w:r>
      <w:r w:rsidR="0034782B">
        <w:rPr>
          <w:rFonts w:ascii="Arial" w:hAnsi="Arial" w:cs="Arial"/>
          <w:bCs/>
          <w:sz w:val="20"/>
          <w:szCs w:val="20"/>
        </w:rPr>
        <w:t xml:space="preserve"> </w:t>
      </w:r>
      <w:r w:rsidR="00E97B1F">
        <w:rPr>
          <w:rFonts w:ascii="Arial" w:hAnsi="Arial" w:cs="Arial"/>
          <w:bCs/>
          <w:sz w:val="20"/>
          <w:szCs w:val="20"/>
        </w:rPr>
        <w:t>I</w:t>
      </w:r>
      <w:r w:rsidR="00F5587F">
        <w:rPr>
          <w:rFonts w:ascii="Arial" w:hAnsi="Arial" w:cs="Arial"/>
          <w:bCs/>
          <w:sz w:val="20"/>
          <w:szCs w:val="20"/>
        </w:rPr>
        <w:t xml:space="preserve">n </w:t>
      </w:r>
      <w:r w:rsidR="00523248">
        <w:rPr>
          <w:rFonts w:ascii="Arial" w:hAnsi="Arial" w:cs="Arial"/>
          <w:bCs/>
          <w:sz w:val="20"/>
          <w:szCs w:val="20"/>
        </w:rPr>
        <w:t xml:space="preserve">the case of the radiometric methods, careful calibration is required to ensure that pairs of </w:t>
      </w:r>
      <w:r w:rsidR="00C1674E">
        <w:rPr>
          <w:rFonts w:ascii="Arial" w:hAnsi="Arial" w:cs="Arial"/>
          <w:bCs/>
          <w:sz w:val="20"/>
          <w:szCs w:val="20"/>
        </w:rPr>
        <w:t>above</w:t>
      </w:r>
      <w:r w:rsidR="000142E9">
        <w:rPr>
          <w:rFonts w:ascii="Arial" w:hAnsi="Arial" w:cs="Arial"/>
          <w:bCs/>
          <w:sz w:val="20"/>
          <w:szCs w:val="20"/>
        </w:rPr>
        <w:t>-</w:t>
      </w:r>
      <w:r w:rsidR="00C1674E">
        <w:rPr>
          <w:rFonts w:ascii="Arial" w:hAnsi="Arial" w:cs="Arial"/>
          <w:bCs/>
          <w:sz w:val="20"/>
          <w:szCs w:val="20"/>
        </w:rPr>
        <w:t xml:space="preserve"> and below</w:t>
      </w:r>
      <w:r w:rsidR="000142E9">
        <w:rPr>
          <w:rFonts w:ascii="Arial" w:hAnsi="Arial" w:cs="Arial"/>
          <w:bCs/>
          <w:sz w:val="20"/>
          <w:szCs w:val="20"/>
        </w:rPr>
        <w:t>-</w:t>
      </w:r>
      <w:r w:rsidR="00C1674E">
        <w:rPr>
          <w:rFonts w:ascii="Arial" w:hAnsi="Arial" w:cs="Arial"/>
          <w:bCs/>
          <w:sz w:val="20"/>
          <w:szCs w:val="20"/>
        </w:rPr>
        <w:t xml:space="preserve">canopy </w:t>
      </w:r>
      <w:r w:rsidR="00523248">
        <w:rPr>
          <w:rFonts w:ascii="Arial" w:hAnsi="Arial" w:cs="Arial"/>
          <w:bCs/>
          <w:sz w:val="20"/>
          <w:szCs w:val="20"/>
        </w:rPr>
        <w:t xml:space="preserve">sensors can be used to derive </w:t>
      </w:r>
      <w:r w:rsidR="00E4352C">
        <w:rPr>
          <w:rFonts w:ascii="Arial" w:hAnsi="Arial" w:cs="Arial"/>
          <w:bCs/>
          <w:sz w:val="20"/>
          <w:szCs w:val="20"/>
        </w:rPr>
        <w:t>accurate measurements of transmittance</w:t>
      </w:r>
      <w:r w:rsidR="00DF4CED">
        <w:rPr>
          <w:rFonts w:ascii="Arial" w:hAnsi="Arial" w:cs="Arial"/>
          <w:bCs/>
          <w:sz w:val="20"/>
          <w:szCs w:val="20"/>
        </w:rPr>
        <w:t xml:space="preserve">, whilst </w:t>
      </w:r>
      <w:r w:rsidR="00AC6783">
        <w:rPr>
          <w:rFonts w:ascii="Arial" w:hAnsi="Arial" w:cs="Arial"/>
          <w:bCs/>
          <w:sz w:val="20"/>
          <w:szCs w:val="20"/>
        </w:rPr>
        <w:t>variable and/or</w:t>
      </w:r>
      <w:r w:rsidR="003D0B61">
        <w:rPr>
          <w:rFonts w:ascii="Arial" w:hAnsi="Arial" w:cs="Arial"/>
          <w:bCs/>
          <w:sz w:val="20"/>
          <w:szCs w:val="20"/>
        </w:rPr>
        <w:t xml:space="preserve"> direct illumination</w:t>
      </w:r>
      <w:r w:rsidR="00DF4CED">
        <w:rPr>
          <w:rFonts w:ascii="Arial" w:hAnsi="Arial" w:cs="Arial"/>
          <w:bCs/>
          <w:sz w:val="20"/>
          <w:szCs w:val="20"/>
        </w:rPr>
        <w:t xml:space="preserve"> can </w:t>
      </w:r>
      <w:r w:rsidR="00C80F00">
        <w:rPr>
          <w:rFonts w:ascii="Arial" w:hAnsi="Arial" w:cs="Arial"/>
          <w:bCs/>
          <w:sz w:val="20"/>
          <w:szCs w:val="20"/>
        </w:rPr>
        <w:t>lead to</w:t>
      </w:r>
      <w:r w:rsidR="00DF4CED">
        <w:rPr>
          <w:rFonts w:ascii="Arial" w:hAnsi="Arial" w:cs="Arial"/>
          <w:bCs/>
          <w:sz w:val="20"/>
          <w:szCs w:val="20"/>
        </w:rPr>
        <w:t xml:space="preserve"> </w:t>
      </w:r>
      <w:r w:rsidR="00C80F00">
        <w:rPr>
          <w:rFonts w:ascii="Arial" w:hAnsi="Arial" w:cs="Arial"/>
          <w:bCs/>
          <w:sz w:val="20"/>
          <w:szCs w:val="20"/>
        </w:rPr>
        <w:t>substantial artefacts</w:t>
      </w:r>
      <w:r w:rsidR="00992AA7">
        <w:rPr>
          <w:rFonts w:ascii="Arial" w:hAnsi="Arial" w:cs="Arial"/>
          <w:bCs/>
          <w:sz w:val="20"/>
          <w:szCs w:val="20"/>
        </w:rPr>
        <w:t xml:space="preserve"> </w:t>
      </w:r>
      <w:r w:rsidR="00992AA7">
        <w:rPr>
          <w:rFonts w:ascii="Arial" w:hAnsi="Arial" w:cs="Arial"/>
          <w:bCs/>
          <w:sz w:val="20"/>
          <w:szCs w:val="20"/>
        </w:rPr>
        <w:fldChar w:fldCharType="begin" w:fldLock="1"/>
      </w:r>
      <w:r w:rsidR="00BD2EA1">
        <w:rPr>
          <w:rFonts w:ascii="Arial" w:hAnsi="Arial" w:cs="Arial"/>
          <w:bCs/>
          <w:sz w:val="20"/>
          <w:szCs w:val="20"/>
        </w:rPr>
        <w:instrText>ADDIN CSL_CITATION {"citationItems":[{"id":"ITEM-1","itemData":{"DOI":"10.1016/j.agrformet.2018.02.003","ISSN":"01681923","abstract":"Automatic leaf area index (LAI) measurements are important for obtaining sufficient amounts of field data over an extended period of time. A seasonal field campaign was carried out to obtain continuous LAI measurements over maize, soybean, and sorghum fields in northeast China in 2016. Field LAI measurements were acquired with the automatic PASTIS-57 (PAI Autonomous System from Transmittance Instantaneous Sensed from 57°) instrument and two smartphone applications, PocketLAI and LAISmart. These measurements were compared with data obtained using the LAI-2200 Plant Canopy Analyzer, digital hemispherical photography (DHP), and destructive sampling measurements. The effective plant area index (PAIeff) estimates from LAI-2200 and DHP are consistent over the season, with the overall relative errors (RE) of less than 5%. The PASTIS-57 data exhibit a small underestimation of the LAI-2200 and DHP values (RE &lt; 20%). The relative errors for the LAISmart data are between −20% and −30%. PocketLAI significantly underestimates the LAI-2200 values (RE &gt; 40%) and saturates at around PAIeff= 3.5. The canopy clumping index (CI) exhibits an S-shaped seasonal variation that decreases with the increase of PAIeffduring the vegetative growth stage but increases after this stage. PASTIS-57 shows great potential for obtaining continuous LAI measurements in agricultural crop fields, but the smartphone applications should be further examined before they can be used for research purposes. The data collected in this study are valuable for the validation of remote sensing products.","author":[{"dropping-particle":"","family":"Fang","given":"Hongliang","non-dropping-particle":"","parse-names":false,"suffix":""},{"dropping-particle":"","family":"Ye","given":"Yongchang","non-dropping-particle":"","parse-names":false,"suffix":""},{"dropping-particle":"","family":"Liu","given":"Weiwei","non-dropping-particle":"","parse-names":false,"suffix":""},{"dropping-particle":"","family":"Wei","given":"Shanshan","non-dropping-particle":"","parse-names":false,"suffix":""},{"dropping-particle":"","family":"Ma","given":"Li","non-dropping-particle":"","parse-names":false,"suffix":""}],"container-title":"Agricultural and Forest Meteorology","id":"ITEM-1","issue":"February","issued":{"date-parts":[["2018","5"]]},"page":"48-61","title":"Continuous estimation of canopy leaf area index (LAI) and clumping index over broadleaf crop fields: An investigation of the PASTIS-57 instrument and smartphone applications","type":"article-journal","volume":"253-254"},"uris":["http://www.mendeley.com/documents/?uuid=5058f23c-6061-414e-ad34-8be7e60721af"]},{"id":"ITEM-2","itemData":{"DOI":"10.1016/j.compag.2014.08.003","ISBN":"0168-1699","ISSN":"01681699","abstract":"Plant leaf area index (LAI) is an important structural parameter for describing the ability of the canopy to intercept solar radiation, and it plays an important role in the estimation of forest biomass. To overcome the difficulties of current ground measurement instruments in automatically collecting plant LAI, we have designed a continuous LAI measurement system: LAINet. The main part of LAINet includes the distributed Below Node (BN), which is deployed below the canopy and receives transmitted solar radiation, the Above Node (AN), which is used to receive downward radiation above the canopy, and the Central Node (CN), which is used as a data reception and control node. Communication among the nodes is implemented through the Zigbee protocol, while data exchange between the CN and the remote data center server is completed through the General Packet Radio Service (GPRS) network. The design of the LAINet framework and the algorithm for estimating the LAI from a multi-point directional transmittance is presented in this paper. The sensors of LAINet are calibrated on two clear days, and the performance of the proposed system is compared in time series field experiments. Comparison of the nodes' sensor results indicates that under the condition of the same solar radiation, the response between the different sensors is of high consistence, and each node has a stable calibration coefficient across different dates. In the field coniferous forest experiment, upon comparing with TRAC (Tracing Radiance and Architecture of Canopies) instruments and the results obtained using different data processing algorithms, it is found that the LAINet system can produce the best results with a minimum root mean square error (RMSE=0.34) and a higher determination coefficient (R2=0.81). We adopt a multi-day window for aggregating the daily observed LAI to remove the noise that occurs from daily weather variation, and it indicates that the aggregated time series LAI can capture the process of the coniferous needles' growth and defoliation properly. Thus, it is confirmed that LAINet can be used as a feasible method to conduct automatic ground observations, especially in the scenario where continuous observation is required. ?? 2014 Elsevier B.V.","author":[{"dropping-particle":"","family":"Qu","given":"Yonghua","non-dropping-particle":"","parse-names":false,"suffix":""},{"dropping-particle":"","family":"Han","given":"Wenchao","non-dropping-particle":"","parse-names":false,"suffix":""},{"dropping-particle":"","family":"Fu","given":"Lizhe","non-dropping-particle":"","parse-names":false,"suffix":""},{"dropping-particle":"","family":"Li","given":"Congrong","non-dropping-particle":"","parse-names":false,"suffix":""},{"dropping-particle":"","family":"Song","given":"Jinling","non-dropping-particle":"","parse-names":false,"suffix":""},{"dropping-particle":"","family":"Zhou","given":"Hongmin","non-dropping-particle":"","parse-names":false,"suffix":""},{"dropping-particle":"","family":"Bo","given":"Yanchen","non-dropping-particle":"","parse-names":false,"suffix":""},{"dropping-particle":"","family":"Wang","given":"Jindi","non-dropping-particle":"","parse-names":false,"suffix":""}],"container-title":"Computers and Electronics in Agriculture","id":"ITEM-2","issued":{"date-parts":[["2014","10"]]},"page":"200-208","title":"LAINet – A wireless sensor network for coniferous forest leaf area index measurement: Design, algorithm and validation","type":"article-journal","volume":"108"},"uris":["http://www.mendeley.com/documents/?uuid=8a8423d5-3bd6-3a9e-8a01-050809732362"]}],"mendeley":{"formattedCitation":"(Fang et al., 2018; Qu et al., 2014)","plainTextFormattedCitation":"(Fang et al., 2018; Qu et al., 2014)","previouslyFormattedCitation":"(Fang et al., 2018; Qu et al., 2014)"},"properties":{"noteIndex":0},"schema":"https://github.com/citation-style-language/schema/raw/master/csl-citation.json"}</w:instrText>
      </w:r>
      <w:r w:rsidR="00992AA7">
        <w:rPr>
          <w:rFonts w:ascii="Arial" w:hAnsi="Arial" w:cs="Arial"/>
          <w:bCs/>
          <w:sz w:val="20"/>
          <w:szCs w:val="20"/>
        </w:rPr>
        <w:fldChar w:fldCharType="separate"/>
      </w:r>
      <w:r w:rsidR="00992AA7" w:rsidRPr="00992AA7">
        <w:rPr>
          <w:rFonts w:ascii="Arial" w:hAnsi="Arial" w:cs="Arial"/>
          <w:bCs/>
          <w:noProof/>
          <w:sz w:val="20"/>
          <w:szCs w:val="20"/>
        </w:rPr>
        <w:t>(Fang et al., 2018; Qu et al., 2014)</w:t>
      </w:r>
      <w:r w:rsidR="00992AA7">
        <w:rPr>
          <w:rFonts w:ascii="Arial" w:hAnsi="Arial" w:cs="Arial"/>
          <w:bCs/>
          <w:sz w:val="20"/>
          <w:szCs w:val="20"/>
        </w:rPr>
        <w:fldChar w:fldCharType="end"/>
      </w:r>
      <w:r w:rsidR="00E4352C">
        <w:rPr>
          <w:rFonts w:ascii="Arial" w:hAnsi="Arial" w:cs="Arial"/>
          <w:bCs/>
          <w:sz w:val="20"/>
          <w:szCs w:val="20"/>
        </w:rPr>
        <w:t>.  In the case of</w:t>
      </w:r>
      <w:r w:rsidR="00FC6BB2">
        <w:rPr>
          <w:rFonts w:ascii="Arial" w:hAnsi="Arial" w:cs="Arial"/>
          <w:bCs/>
          <w:sz w:val="20"/>
          <w:szCs w:val="20"/>
        </w:rPr>
        <w:t xml:space="preserve"> </w:t>
      </w:r>
      <w:r w:rsidR="00A9606E">
        <w:rPr>
          <w:rFonts w:ascii="Arial" w:hAnsi="Arial" w:cs="Arial"/>
          <w:bCs/>
          <w:sz w:val="20"/>
          <w:szCs w:val="20"/>
        </w:rPr>
        <w:t>digital cover photography</w:t>
      </w:r>
      <w:r w:rsidR="007F215C">
        <w:rPr>
          <w:rFonts w:ascii="Arial" w:hAnsi="Arial" w:cs="Arial"/>
          <w:bCs/>
          <w:sz w:val="20"/>
          <w:szCs w:val="20"/>
        </w:rPr>
        <w:t xml:space="preserve"> </w:t>
      </w:r>
      <w:r w:rsidR="00143F20">
        <w:rPr>
          <w:rFonts w:ascii="Arial" w:hAnsi="Arial" w:cs="Arial"/>
          <w:bCs/>
          <w:sz w:val="20"/>
          <w:szCs w:val="20"/>
        </w:rPr>
        <w:t>(</w:t>
      </w:r>
      <w:r w:rsidR="007F215C">
        <w:rPr>
          <w:rFonts w:ascii="Arial" w:hAnsi="Arial" w:cs="Arial"/>
          <w:bCs/>
          <w:sz w:val="20"/>
          <w:szCs w:val="20"/>
        </w:rPr>
        <w:t>and several of the radiometric approaches</w:t>
      </w:r>
      <w:r w:rsidR="00143F20">
        <w:rPr>
          <w:rFonts w:ascii="Arial" w:hAnsi="Arial" w:cs="Arial"/>
          <w:bCs/>
          <w:sz w:val="20"/>
          <w:szCs w:val="20"/>
        </w:rPr>
        <w:t>)</w:t>
      </w:r>
      <w:r w:rsidR="00E4352C">
        <w:rPr>
          <w:rFonts w:ascii="Arial" w:hAnsi="Arial" w:cs="Arial"/>
          <w:bCs/>
          <w:sz w:val="20"/>
          <w:szCs w:val="20"/>
        </w:rPr>
        <w:t xml:space="preserve">, there is a need to </w:t>
      </w:r>
      <w:r w:rsidR="007D4451">
        <w:rPr>
          <w:rFonts w:ascii="Arial" w:hAnsi="Arial" w:cs="Arial"/>
          <w:bCs/>
          <w:sz w:val="20"/>
          <w:szCs w:val="20"/>
        </w:rPr>
        <w:t>specify the</w:t>
      </w:r>
      <w:r w:rsidR="004A0308">
        <w:rPr>
          <w:rFonts w:ascii="Arial" w:hAnsi="Arial" w:cs="Arial"/>
          <w:bCs/>
          <w:sz w:val="20"/>
          <w:szCs w:val="20"/>
        </w:rPr>
        <w:t xml:space="preserve"> </w:t>
      </w:r>
      <w:r w:rsidR="00E4352C">
        <w:rPr>
          <w:rFonts w:ascii="Arial" w:hAnsi="Arial" w:cs="Arial"/>
          <w:bCs/>
          <w:sz w:val="20"/>
          <w:szCs w:val="20"/>
        </w:rPr>
        <w:t xml:space="preserve">canopy </w:t>
      </w:r>
      <w:r w:rsidR="004A0308">
        <w:rPr>
          <w:rFonts w:ascii="Arial" w:hAnsi="Arial" w:cs="Arial"/>
          <w:bCs/>
          <w:sz w:val="20"/>
          <w:szCs w:val="20"/>
        </w:rPr>
        <w:t>leaf angle distribution</w:t>
      </w:r>
      <w:r w:rsidR="00523248">
        <w:rPr>
          <w:rFonts w:ascii="Arial" w:hAnsi="Arial" w:cs="Arial"/>
          <w:bCs/>
          <w:sz w:val="20"/>
          <w:szCs w:val="20"/>
        </w:rPr>
        <w:t>,</w:t>
      </w:r>
      <w:r w:rsidR="004A0308">
        <w:rPr>
          <w:rFonts w:ascii="Arial" w:hAnsi="Arial" w:cs="Arial"/>
          <w:bCs/>
          <w:sz w:val="20"/>
          <w:szCs w:val="20"/>
        </w:rPr>
        <w:t xml:space="preserve"> </w:t>
      </w:r>
      <w:r w:rsidR="007D4451">
        <w:rPr>
          <w:rFonts w:ascii="Arial" w:hAnsi="Arial" w:cs="Arial"/>
          <w:bCs/>
          <w:sz w:val="20"/>
          <w:szCs w:val="20"/>
        </w:rPr>
        <w:t>which is challenging to</w:t>
      </w:r>
      <w:r w:rsidR="009D5887">
        <w:rPr>
          <w:rFonts w:ascii="Arial" w:hAnsi="Arial" w:cs="Arial"/>
          <w:bCs/>
          <w:sz w:val="20"/>
          <w:szCs w:val="20"/>
        </w:rPr>
        <w:t xml:space="preserve"> </w:t>
      </w:r>
      <w:r w:rsidR="0043522A">
        <w:rPr>
          <w:rFonts w:ascii="Arial" w:hAnsi="Arial" w:cs="Arial"/>
          <w:bCs/>
          <w:sz w:val="20"/>
          <w:szCs w:val="20"/>
        </w:rPr>
        <w:t>determine</w:t>
      </w:r>
      <w:r w:rsidR="007D4451">
        <w:rPr>
          <w:rFonts w:ascii="Arial" w:hAnsi="Arial" w:cs="Arial"/>
          <w:bCs/>
          <w:sz w:val="20"/>
          <w:szCs w:val="20"/>
        </w:rPr>
        <w:t xml:space="preserve"> directly due to limited angular sampling.</w:t>
      </w:r>
      <w:r w:rsidR="00A76D4E">
        <w:rPr>
          <w:rFonts w:ascii="Arial" w:hAnsi="Arial" w:cs="Arial"/>
          <w:bCs/>
          <w:sz w:val="20"/>
          <w:szCs w:val="20"/>
        </w:rPr>
        <w:t xml:space="preserve">  </w:t>
      </w:r>
      <w:r w:rsidR="007E10B7">
        <w:rPr>
          <w:rFonts w:ascii="Arial" w:hAnsi="Arial" w:cs="Arial"/>
          <w:bCs/>
          <w:sz w:val="20"/>
          <w:szCs w:val="20"/>
        </w:rPr>
        <w:t>For this reason</w:t>
      </w:r>
      <w:r w:rsidR="005F4A9A">
        <w:rPr>
          <w:rFonts w:ascii="Arial" w:hAnsi="Arial" w:cs="Arial"/>
          <w:bCs/>
          <w:sz w:val="20"/>
          <w:szCs w:val="20"/>
        </w:rPr>
        <w:t>, a</w:t>
      </w:r>
      <w:r w:rsidR="00CF4E9C">
        <w:rPr>
          <w:rFonts w:ascii="Arial" w:hAnsi="Arial" w:cs="Arial"/>
          <w:bCs/>
          <w:sz w:val="20"/>
          <w:szCs w:val="20"/>
        </w:rPr>
        <w:t xml:space="preserve"> spherical leaf angle distribution</w:t>
      </w:r>
      <w:r w:rsidR="005F4A9A">
        <w:rPr>
          <w:rFonts w:ascii="Arial" w:hAnsi="Arial" w:cs="Arial"/>
          <w:bCs/>
          <w:sz w:val="20"/>
          <w:szCs w:val="20"/>
        </w:rPr>
        <w:t xml:space="preserve"> is </w:t>
      </w:r>
      <w:r w:rsidR="007E10B7">
        <w:rPr>
          <w:rFonts w:ascii="Arial" w:hAnsi="Arial" w:cs="Arial"/>
          <w:bCs/>
          <w:sz w:val="20"/>
          <w:szCs w:val="20"/>
        </w:rPr>
        <w:t xml:space="preserve">typically </w:t>
      </w:r>
      <w:r w:rsidR="005F4A9A">
        <w:rPr>
          <w:rFonts w:ascii="Arial" w:hAnsi="Arial" w:cs="Arial"/>
          <w:bCs/>
          <w:sz w:val="20"/>
          <w:szCs w:val="20"/>
        </w:rPr>
        <w:t>assumed</w:t>
      </w:r>
      <w:r w:rsidR="00166814">
        <w:rPr>
          <w:rFonts w:ascii="Arial" w:hAnsi="Arial" w:cs="Arial"/>
          <w:bCs/>
          <w:sz w:val="20"/>
          <w:szCs w:val="20"/>
        </w:rPr>
        <w:t xml:space="preserve"> </w:t>
      </w:r>
      <w:r w:rsidR="00166814">
        <w:rPr>
          <w:rFonts w:ascii="Arial" w:hAnsi="Arial" w:cs="Arial"/>
          <w:bCs/>
          <w:sz w:val="20"/>
          <w:szCs w:val="20"/>
        </w:rPr>
        <w:fldChar w:fldCharType="begin" w:fldLock="1"/>
      </w:r>
      <w:r w:rsidR="00166814">
        <w:rPr>
          <w:rFonts w:ascii="Arial" w:hAnsi="Arial" w:cs="Arial"/>
          <w:bCs/>
          <w:sz w:val="20"/>
          <w:szCs w:val="20"/>
        </w:rPr>
        <w:instrText>ADDIN CSL_CITATION {"citationItems":[{"id":"ITEM-1","itemData":{"DOI":"10.1016/j.agrformet.2017.09.004","ISSN":"01681923","abstract":"Long-term, continuous digital camera imagery and tower-based radiometric monitoring were conducted at a representative hardwood forest site in the Northeastern United States, part of the AmeriFlux network. In this study, the phenological metrics of the leaf area index (LAI), plant area index (PAI) and associated transition dates (e.g., timing of the onset of leaf expansion and the cessation of leaf fall) were compared using 4-year of data from Bartlett Experimental Forest. We used digital repeat photography (DRP) imagery collected using two different methods (\"canopy cover\" and \"phenocam\" approaches), together with above- and below-canopy measurements of photosynthetically active radiation (PAR). The growth-period LAI estimated from canopy cover images (LAICANOPY) and the above and below canopy PAR measurements (LAIfPARt) were within approximately the same range, in term of magnitude, as previous results for multiple comparative methods, although growing-season LAICANOPY was slightly lower (3.11m2 m-2 to 3.35m2 m-2) than LAIfPARt (3.19m2 m-2 to 3.67m2 m-2). In addition, we derived phenological transition dates from PAICANOPY, PAIfPARt, and color-based metrics calculated from the phenocam imagery (green (GCC) and red (RCC) chromatic coordinates). The transition dates in both spring and autumn differed somewhat according to method, presumably due to the vegetation status detection abilities of each vegetation metric. We found that LAI estimation from canopy cover images may be influenced by automatic exposure settings, which limits the ability to detect subtle changes in phenology during the transition phases in both spring and autumn. Particularly in autumn, the color-based metrics calculated from the phenocam imagery are decoupled from leaf area dynamics and thus PAI. While above and below canopy PAR measurements could yield the better indicators for estimating LAI, its seasonal dynamics, and associated phenological transition dates in long-term monitoring, we argue that there are obvious benefits to the multi-sensor approach used here.","author":[{"dropping-particle":"","family":"Toda","given":"Motomu","non-dropping-particle":"","parse-names":false,"suffix":""},{"dropping-particle":"","family":"Richardson","given":"Andrew D.","non-dropping-particle":"","parse-names":false,"suffix":""}],"container-title":"Agricultural and Forest Meteorology","id":"ITEM-1","issue":"September","issued":{"date-parts":[["2017","9"]]},"page":"1-10","title":"Estimation of plant area index and phenological transition dates from digital repeat photography and radiometric approaches in a hardwood forest in the Northeastern United States","type":"article-journal"},"uris":["http://www.mendeley.com/documents/?uuid=60af9818-db88-4e35-82a0-1f08dc215e98"]},{"id":"ITEM-2","itemData":{"DOI":"10.1016/j.agrformet.2012.09.002","ISBN":"0168-1923","ISSN":"01681923","abstract":"Rapid, reliable and meaningful estimates of forest canopy are essential to the characterization of forest ecosystems. In this paper the accuracy of digital hemispherical (DHP) and cover (DCP) photography for the estimation of canopy properties in deciduous forests was evaluated. Leaf area index (LAI) estimated from both these photographic methods and from light transmittance data derived from DHP were compared with direct measurements obtained by litter traps (LAILT) and an AccuPAR ceptometer. Also, comparison with different gap fraction methods used to calculate LAI in DHP and LAI-2000 PCA were performed.We applied these methods in four forest stands of Quercus cerris, two stands of Castanea sativa and four stands of Fagus sylvatica, the most common deciduous species in Italy, where LAILT ranged from 3.9 to 7.3. Both photographic methods provided good indirect estimates of LAILT. The DCP method provided estimates of crown porosity, crown cover, foliage cover and the clumping index at the zenith, but required assumptions about the light extinction coefficient at the zenith (k), to accurately estimate LAI. Cover photography provided good indirect estimates of LAI assuming a spherical leaf angle distribution, even though k appeared to decrease as LAI increased, thus affecting the accuracy of LAI estimates in DCP. In contrast, the accuracy of LAI estimates in DHP appeared insensitive to LAILT values, but the method was sensitive to photographic exposure and more time-consuming than DCP.The studied stands were characterized by higher within-crown clumping than between-crowns clumping; only the segmented analysis of gap fraction for each ring of the fisheye images was found to provide reliable and useful clumping index in DHP. The 1-azimuth segment method employed in PCA poorly detected clumping in dense canopies.The correlation between transmittance estimates by DHP with values measured at noon with the AccuPAR ceptometer was linear and significant, although the variability observed in reference measures suggested that results obtained with the ceptometer should be treated with caution.We conclude both photographic methods are suitable for dense deciduous forests. Cover photography holds great promise as a means to quickly obtain inexpensive estimates of LAI over large areas. However, in situations where no direct reference measurements of . k are available, we recommend using both DHP and DCP, in order to cross-calibrate the two methods; DCP could then be …","author":[{"dropping-particle":"","family":"Chianucci","given":"Francesco","non-dropping-particle":"","parse-names":false,"suffix":""},{"dropping-particle":"","family":"Cutini","given":"Andrea","non-dropping-particle":"","parse-names":false,"suffix":""}],"container-title":"Agricultural and Forest Meteorology","id":"ITEM-2","issued":{"date-parts":[["2013"]]},"page":"130-139","title":"Estimation of canopy properties in deciduous forests with digital hemispherical and cover photography","type":"article-journal","volume":"168"},"uris":["http://www.mendeley.com/documents/?uuid=a3e96063-c545-4711-905e-13a79e7a5919"]},{"id":"ITEM-3","itemData":{"DOI":"10.1016/j.agrformet.2006.10.013","ISBN":"01681923","ISSN":"01681923","abstract":"We tested whether leaf area index (L) in eucalypt vegetation could be accurately estimated from gap fraction measurements made using both fisheye and non-fisheye digital photography. We compared methods that measure the gap fraction at a single zenith angle (0?? or 57??), with fisheye photography that measures the gap fraction at multiple zenith angles. We applied these methods in an unthinned stand of the broadleaf tree species Eucalyptus marginata that had an initial L of 3. We removed one-third of the trees and reapplied the methods, and then removed another one-third of the trees and applied the methods a third time. L from the photographic methods was compared to L obtained from destructive sampling and allometry. We found that L was accurately estimated from non-fisheye images taken at the zenith, providing that the total gap fraction was divided into large, between-crown gaps and smaller, within-crown gaps, prior to using the Beer-Lambert law to estimate L. This rapid and simple method corrected for foliage clumping and provided estimates of crown porosity, crown cover, foliage cover and the foliage clumping index at the zenith, but required an assumption about the light extinction coefficient at the zenith. Fisheye photography also provided good estimates of L but only if the images were corrected for the gamma function of the digital camera, and the combined Chen-Cihlar and Lang-Xiang method of correcting for foliage clumping was used. The clumping index derived from fisheye images was insensitive to thinning but the calculated foliage projection coefficient was. Methods of obtaining and analysing gap fraction and gap size distributions from fisheye photography need further improvement to separate the effects of foliage clumping and leaf angle distribution. ?? 2006 Elsevier B.V. All rights reserved.","author":[{"dropping-particle":"","family":"Macfarlane","given":"Craig","non-dropping-particle":"","parse-names":false,"suffix":""},{"dropping-particle":"","family":"Hoffman","given":"Megan","non-dropping-particle":"","parse-names":false,"suffix":""},{"dropping-particle":"","family":"Eamus","given":"Derek","non-dropping-particle":"","parse-names":false,"suffix":""},{"dropping-particle":"","family":"Kerp","given":"Naomi","non-dropping-particle":"","parse-names":false,"suffix":""},{"dropping-particle":"","family":"Higginson","given":"Simon","non-dropping-particle":"","parse-names":false,"suffix":""},{"dropping-particle":"","family":"McMurtrie","given":"Ross","non-dropping-particle":"","parse-names":false,"suffix":""},{"dropping-particle":"","family":"Adams","given":"Mark","non-dropping-particle":"","parse-names":false,"suffix":""}],"container-title":"Agricultural and Forest Meteorology","id":"ITEM-3","issue":"3-4","issued":{"date-parts":[["2007","4"]]},"page":"176-188","title":"Estimation of leaf area index in eucalypt forest using digital photography","type":"article-journal","volume":"143"},"uris":["http://www.mendeley.com/documents/?uuid=6fa4f1c3-7807-3d55-96ae-d2f54baa84b2"]},{"id":"ITEM-4","itemData":{"DOI":"10.1016/j.agrformet.2007.05.001","ISBN":"0168-1923","ISSN":"01681923","abstract":"This study compares circular fisheye photography and destructive leaf area index (L) estimation with two alternative indirect methods for estimating L in broad-leaved forest: fullframe fisheye photography and cover photography. Fullframe fisheye photography differs from circular fisheye photography in that the images have a reduced field of view; the zenithal range of 0??-90?? extends to the corners of the rectangular image, roughly doubling image resolution compared to circular fisheye images. Cover images are obtained by pointing a 70 mm equivalent focal length lens (in 35 mm format) straight upwards. Cover and L were measured in twelve stands of a 17 years old Eucalyptus marginata forest that had been planted at four initial densities: 625, 1250, 2500 and 10,000 trees per hectare. L, from destructive sampling, averaged between 2 and 2.4 for stands planted at between 1250 and 10,000 trees ha-1 but was only 1.3 for the stands planted at 625 trees ha-1. Cover photography provided good indirect estimates of L assuming a spherical leaf distribution, except in the stands with 10,000 trees ha-1. These trees appeared to have a more horizontal leaf angle based on the calculated zenithal extinction coefficient for those stands (???0.7). Rapid and automated analysis of cover images using WinSCANOPY 2006 yielded similar results to manual image analysis using Adobe Photoshop. Estimates of L from fullframe fisheye photography were better correlated with L from destructive sampling than L estimated from circular fisheye photography, but neither performed as well as cover photography. Photographic methods that use a single threshold to separate sky and foliage appear less sensitive to the camera's gamma function than methods that use a two-value threshold. Higher resolution (&gt;8 megapixel) cameras and better lenses, may further improve L estimation using fullframe fisheye photography. We recommend that cover photography be used for routine L estimation in broadleaf forest until it is demonstrated that fisheye methods can provide similar accuracy. ?? 2007 Elsevier B.V. All rights reserved.","author":[{"dropping-particle":"","family":"Macfarlane","given":"Craig","non-dropping-particle":"","parse-names":false,"suffix":""},{"dropping-particle":"","family":"Grigg","given":"Andrew","non-dropping-particle":"","parse-names":false,"suffix":""},{"dropping-particle":"","family":"Evangelista","given":"Crystelle","non-dropping-particle":"","parse-names":false,"suffix":""}],"container-title":"Agricultural and Forest Meteorology","id":"ITEM-4","issue":"1-2","issued":{"date-parts":[["2007","9"]]},"page":"1-12","title":"Estimating forest leaf area using cover and fullframe fisheye photography: Thinking inside the circle","type":"article-journal","volume":"146"},"uris":["http://www.mendeley.com/documents/?uuid=d88592e0-335b-41a7-b671-fd9e796b5ce3"]}],"mendeley":{"formattedCitation":"(Chianucci and Cutini, 2013; Macfarlane et al., 2007b, 2007a; Toda and Richardson, 2017)","plainTextFormattedCitation":"(Chianucci and Cutini, 2013; Macfarlane et al., 2007b, 2007a; Toda and Richardson, 2017)","previouslyFormattedCitation":"(Chianucci and Cutini, 2013; Macfarlane et al., 2007b, 2007a; Toda and Richardson, 2017)"},"properties":{"noteIndex":0},"schema":"https://github.com/citation-style-language/schema/raw/master/csl-citation.json"}</w:instrText>
      </w:r>
      <w:r w:rsidR="00166814">
        <w:rPr>
          <w:rFonts w:ascii="Arial" w:hAnsi="Arial" w:cs="Arial"/>
          <w:bCs/>
          <w:sz w:val="20"/>
          <w:szCs w:val="20"/>
        </w:rPr>
        <w:fldChar w:fldCharType="separate"/>
      </w:r>
      <w:r w:rsidR="00166814" w:rsidRPr="00166814">
        <w:rPr>
          <w:rFonts w:ascii="Arial" w:hAnsi="Arial" w:cs="Arial"/>
          <w:bCs/>
          <w:noProof/>
          <w:sz w:val="20"/>
          <w:szCs w:val="20"/>
        </w:rPr>
        <w:t>(Chianucci and Cutini, 2013; Macfarlane et al., 2007b, 2007a; Toda and Richardson, 2017)</w:t>
      </w:r>
      <w:r w:rsidR="00166814">
        <w:rPr>
          <w:rFonts w:ascii="Arial" w:hAnsi="Arial" w:cs="Arial"/>
          <w:bCs/>
          <w:sz w:val="20"/>
          <w:szCs w:val="20"/>
        </w:rPr>
        <w:fldChar w:fldCharType="end"/>
      </w:r>
      <w:r w:rsidR="00166814">
        <w:rPr>
          <w:rFonts w:ascii="Arial" w:hAnsi="Arial" w:cs="Arial"/>
          <w:bCs/>
          <w:sz w:val="20"/>
          <w:szCs w:val="20"/>
        </w:rPr>
        <w:t xml:space="preserve">.  </w:t>
      </w:r>
      <w:r w:rsidR="009D5887">
        <w:rPr>
          <w:rFonts w:ascii="Arial" w:hAnsi="Arial" w:cs="Arial"/>
          <w:bCs/>
          <w:sz w:val="20"/>
          <w:szCs w:val="20"/>
        </w:rPr>
        <w:t xml:space="preserve">Nevertheless, </w:t>
      </w:r>
      <w:r w:rsidR="00431D07">
        <w:rPr>
          <w:rFonts w:ascii="Arial" w:hAnsi="Arial" w:cs="Arial"/>
          <w:bCs/>
          <w:sz w:val="20"/>
          <w:szCs w:val="20"/>
        </w:rPr>
        <w:fldChar w:fldCharType="begin" w:fldLock="1"/>
      </w:r>
      <w:r w:rsidR="00431D07">
        <w:rPr>
          <w:rFonts w:ascii="Arial" w:hAnsi="Arial" w:cs="Arial"/>
          <w:bCs/>
          <w:sz w:val="20"/>
          <w:szCs w:val="20"/>
        </w:rPr>
        <w:instrText>ADDIN CSL_CITATION {"citationItems":[{"id":"ITEM-1","itemData":{"DOI":"10.1016/j.agrformet.2012.10.011","ISSN":"01681923","abstract":"Angular distribution of leaves is an important parameter determining the transmission and reflection of radiation by vegetation canopies. When inverting canopy transmittance measurements for estimating the leaf area index or canopy clumping, incorrect assumptions on leaf angles may lead to considerable errors. To address this issue, we measured an extensive data set of leaf angle distributions for 58 deciduous broadleaf tree species commonly found in temperate and boreal ecoclimatic regions. Additionally, a small subset of species was sampled several times during the growing season. We found that reliable estimates of leaf angle distributions at the level of a whole tree can be obtained by measuring the leaf inclination angles of 75 leaves distributed across the vertical tree profile using a simple technique based on digital photography. According to our measurements, the common assumption of a spherical leaf angle distribution often used when no measurement data is available is not a valid assumption for most of the studied tree species. Our multitemporal measurements indicated no seasonality of leaf inclination angles of the selected tree species, except directly after budburst. Finally, using a gap fraction model, we illustrate the influence of different leaf angle distributions on the clumping factor and leaf area index. We advocate the use of species-specific leaf angle distributions from actual leaf inclination measurements. However, a planophile or a plagiophile leaf angle distribution appears to be a more appropriate assumption than a spherical one for modeling radiation transmission through temperate and boreal broadleaf stands when no leaf inclination angle measurements are available. © 2012 Elsevier B.V.","author":[{"dropping-particle":"","family":"Pisek","given":"Jan","non-dropping-particle":"","parse-names":false,"suffix":""},{"dropping-particle":"","family":"Sonnentag","given":"Oliver","non-dropping-particle":"","parse-names":false,"suffix":""},{"dropping-particle":"","family":"Richardson","given":"Andrew D.","non-dropping-particle":"","parse-names":false,"suffix":""},{"dropping-particle":"","family":"Mõttus","given":"Matti","non-dropping-particle":"","parse-names":false,"suffix":""}],"container-title":"Agricultural and Forest Meteorology","id":"ITEM-1","issued":{"date-parts":[["2013","2"]]},"page":"186-194","title":"Is the spherical leaf inclination angle distribution a valid assumption for temperate and boreal broadleaf tree species?","type":"article-journal","volume":"169"},"uris":["http://www.mendeley.com/documents/?uuid=753a54ec-1073-47ec-8370-0f1eb5145bc4"]}],"mendeley":{"formattedCitation":"(Pisek et al., 2013)","manualFormatting":"Pisek et al. (2013)","plainTextFormattedCitation":"(Pisek et al., 2013)","previouslyFormattedCitation":"(Pisek et al., 2013)"},"properties":{"noteIndex":0},"schema":"https://github.com/citation-style-language/schema/raw/master/csl-citation.json"}</w:instrText>
      </w:r>
      <w:r w:rsidR="00431D07">
        <w:rPr>
          <w:rFonts w:ascii="Arial" w:hAnsi="Arial" w:cs="Arial"/>
          <w:bCs/>
          <w:sz w:val="20"/>
          <w:szCs w:val="20"/>
        </w:rPr>
        <w:fldChar w:fldCharType="separate"/>
      </w:r>
      <w:r w:rsidR="00431D07" w:rsidRPr="007E10B7">
        <w:rPr>
          <w:rFonts w:ascii="Arial" w:hAnsi="Arial" w:cs="Arial"/>
          <w:bCs/>
          <w:noProof/>
          <w:sz w:val="20"/>
          <w:szCs w:val="20"/>
        </w:rPr>
        <w:t xml:space="preserve">Pisek et al. </w:t>
      </w:r>
      <w:r w:rsidR="00431D07">
        <w:rPr>
          <w:rFonts w:ascii="Arial" w:hAnsi="Arial" w:cs="Arial"/>
          <w:bCs/>
          <w:noProof/>
          <w:sz w:val="20"/>
          <w:szCs w:val="20"/>
        </w:rPr>
        <w:t>(</w:t>
      </w:r>
      <w:r w:rsidR="00431D07" w:rsidRPr="007E10B7">
        <w:rPr>
          <w:rFonts w:ascii="Arial" w:hAnsi="Arial" w:cs="Arial"/>
          <w:bCs/>
          <w:noProof/>
          <w:sz w:val="20"/>
          <w:szCs w:val="20"/>
        </w:rPr>
        <w:t>2013)</w:t>
      </w:r>
      <w:r w:rsidR="00431D07">
        <w:rPr>
          <w:rFonts w:ascii="Arial" w:hAnsi="Arial" w:cs="Arial"/>
          <w:bCs/>
          <w:sz w:val="20"/>
          <w:szCs w:val="20"/>
        </w:rPr>
        <w:fldChar w:fldCharType="end"/>
      </w:r>
      <w:r w:rsidR="00431D07">
        <w:rPr>
          <w:rFonts w:ascii="Arial" w:hAnsi="Arial" w:cs="Arial"/>
          <w:bCs/>
          <w:sz w:val="20"/>
          <w:szCs w:val="20"/>
        </w:rPr>
        <w:t xml:space="preserve"> </w:t>
      </w:r>
      <w:r w:rsidR="005F4A9A">
        <w:rPr>
          <w:rFonts w:ascii="Arial" w:hAnsi="Arial" w:cs="Arial"/>
          <w:bCs/>
          <w:sz w:val="20"/>
          <w:szCs w:val="20"/>
        </w:rPr>
        <w:t xml:space="preserve">found this assumption </w:t>
      </w:r>
      <w:r w:rsidR="007E10B7">
        <w:rPr>
          <w:rFonts w:ascii="Arial" w:hAnsi="Arial" w:cs="Arial"/>
          <w:bCs/>
          <w:sz w:val="20"/>
          <w:szCs w:val="20"/>
        </w:rPr>
        <w:t>to be</w:t>
      </w:r>
      <w:r w:rsidR="005F4A9A">
        <w:rPr>
          <w:rFonts w:ascii="Arial" w:hAnsi="Arial" w:cs="Arial"/>
          <w:bCs/>
          <w:sz w:val="20"/>
          <w:szCs w:val="20"/>
        </w:rPr>
        <w:t xml:space="preserve"> </w:t>
      </w:r>
      <w:r w:rsidR="0062625A">
        <w:rPr>
          <w:rFonts w:ascii="Arial" w:hAnsi="Arial" w:cs="Arial"/>
          <w:bCs/>
          <w:sz w:val="20"/>
          <w:szCs w:val="20"/>
        </w:rPr>
        <w:t>valid for only five out of fifty-eight investigated</w:t>
      </w:r>
      <w:r w:rsidR="007E10B7">
        <w:rPr>
          <w:rFonts w:ascii="Arial" w:hAnsi="Arial" w:cs="Arial"/>
          <w:bCs/>
          <w:sz w:val="20"/>
          <w:szCs w:val="20"/>
        </w:rPr>
        <w:t xml:space="preserve"> broadleaf species</w:t>
      </w:r>
      <w:r w:rsidR="0043522A">
        <w:rPr>
          <w:rFonts w:ascii="Arial" w:hAnsi="Arial" w:cs="Arial"/>
          <w:bCs/>
          <w:sz w:val="20"/>
          <w:szCs w:val="20"/>
        </w:rPr>
        <w:t>, and so</w:t>
      </w:r>
      <w:r w:rsidR="005F4A9A">
        <w:rPr>
          <w:rFonts w:ascii="Arial" w:hAnsi="Arial" w:cs="Arial"/>
          <w:bCs/>
          <w:sz w:val="20"/>
          <w:szCs w:val="20"/>
        </w:rPr>
        <w:t xml:space="preserve"> if robust estimates of LAI are to be obtained using digital cover photography, ancillary data on the leaf angle distribution of the canopy</w:t>
      </w:r>
      <w:r w:rsidR="0043522A">
        <w:rPr>
          <w:rFonts w:ascii="Arial" w:hAnsi="Arial" w:cs="Arial"/>
          <w:bCs/>
          <w:sz w:val="20"/>
          <w:szCs w:val="20"/>
        </w:rPr>
        <w:t xml:space="preserve"> in question</w:t>
      </w:r>
      <w:r w:rsidR="005F4A9A">
        <w:rPr>
          <w:rFonts w:ascii="Arial" w:hAnsi="Arial" w:cs="Arial"/>
          <w:bCs/>
          <w:sz w:val="20"/>
          <w:szCs w:val="20"/>
        </w:rPr>
        <w:t xml:space="preserve"> are </w:t>
      </w:r>
      <w:r w:rsidR="007E10B7">
        <w:rPr>
          <w:rFonts w:ascii="Arial" w:hAnsi="Arial" w:cs="Arial"/>
          <w:bCs/>
          <w:sz w:val="20"/>
          <w:szCs w:val="20"/>
        </w:rPr>
        <w:t>required</w:t>
      </w:r>
      <w:r w:rsidR="009407ED">
        <w:rPr>
          <w:rFonts w:ascii="Arial" w:hAnsi="Arial" w:cs="Arial"/>
          <w:bCs/>
          <w:sz w:val="20"/>
          <w:szCs w:val="20"/>
        </w:rPr>
        <w:t xml:space="preserve"> </w:t>
      </w:r>
      <w:r w:rsidR="009407ED">
        <w:rPr>
          <w:rFonts w:ascii="Arial" w:hAnsi="Arial" w:cs="Arial"/>
          <w:bCs/>
          <w:sz w:val="20"/>
          <w:szCs w:val="20"/>
        </w:rPr>
        <w:fldChar w:fldCharType="begin" w:fldLock="1"/>
      </w:r>
      <w:r w:rsidR="00755D1E">
        <w:rPr>
          <w:rFonts w:ascii="Arial" w:hAnsi="Arial" w:cs="Arial"/>
          <w:bCs/>
          <w:sz w:val="20"/>
          <w:szCs w:val="20"/>
        </w:rPr>
        <w:instrText>ADDIN CSL_CITATION {"citationItems":[{"id":"ITEM-1","itemData":{"DOI":"10.1016/j.agrformet.2009.08.007","ISBN":"0168-1923","ISSN":"01681923","abstract":"Savannas are spatially heterogeneous, open ecosystems, thus efforts to quantify canopy structure with methods developed for homogeneous, closed canopies are prone to failure. We examine the applicability of two direct (litterfall, allometry) and five indirect (LAI-2000, TRAC, digital hemispheric photography, digital cover photography, traversing radiometer system) methods to determine leaf area index across a 9 ha domain in an oak-savanna ecosystem in California, USA. Interpretation of the leaf area index measurements is supported by two gap-fraction models. We recommend that leaf inclination angle distribution should be characterized first. For this purpose, we propose a simple, reliable and reproducible method using a digital camera. We show that the combination of digital cover photography and LAI-2000 could provide spatially representative leaf area index, gap fraction and element clumping index. Based on these two indirect methods, we quantify spatially representative element clumping index and leaf area index at ecosystem scale as 0.49 ?? 0.10 (mean ?? 95% confidence interval) and 0.77 ?? 0.27, respectively. In contrast to previous studies in northern ecosystems, measurement and modeling results suggest that element clumping index decreases with view zenith angle, most likely due to apparent changes of tree distribution pattern with the view zenith angle. Our results highlight the importance of ecosystem-scale clumping effects for the adequate quantification of tree leaf area index in savannas. Finally, we suggest a protocol to quantify leaf area index and its associated canopy structure variables in open canopy ecosystems. ?? 2009 Elsevier B.V. All rights reserved.","author":[{"dropping-particle":"","family":"Ryu","given":"Youngryel","non-dropping-particle":"","parse-names":false,"suffix":""},{"dropping-particle":"","family":"Sonnentag","given":"Oliver","non-dropping-particle":"","parse-names":false,"suffix":""},{"dropping-particle":"","family":"Nilson","given":"Tiit","non-dropping-particle":"","parse-names":false,"suffix":""},{"dropping-particle":"","family":"Vargas","given":"Rodrigo","non-dropping-particle":"","parse-names":false,"suffix":""},{"dropping-particle":"","family":"Kobayashi","given":"Hideki","non-dropping-particle":"","parse-names":false,"suffix":""},{"dropping-particle":"","family":"Wenk","given":"Rebecca","non-dropping-particle":"","parse-names":false,"suffix":""},{"dropping-particle":"","family":"Baldocchi","given":"Dennis D","non-dropping-particle":"","parse-names":false,"suffix":""}],"container-title":"Agricultural and Forest Meteorology","id":"ITEM-1","issue":"1","issued":{"date-parts":[["2010","1"]]},"page":"63-76","title":"How to quantify tree leaf area index in an open savanna ecosystem: A multi-instrument and multi-model approach","type":"article-journal","volume":"150"},"uris":["http://www.mendeley.com/documents/?uuid=24003a55-ccdb-3f1a-b0d3-e19fc3bb50ae"]},{"id":"ITEM-2","itemData":{"DOI":"10.1016/j.rse.2012.08.027","ISBN":"0034-4257","ISSN":"00344257","abstract":"Understanding the dynamics of leaf area index (LAI) at ecosystem scale is critical for evaluating and modeling the response of vegetation to environmental variability and change. We present an approach for quantifying daily ecosystem LAI that integrates automatic acquisition of a small number of reference photos, viewed towards the zenith, and a larger number of photos covering a spatially extensive area that were manually acquired during periodic field trips. We present an image archive spanning three years for an oak-savanna ecosystem in California to identify the timing of phenological and disturbance events, and to quantify the seasonal to interannual variability of tree LAI at ecosystem scale. The digital camera-derived LAI, corrected for clumping effects, agreed well (r 2=0.94, root mean square error=0.05) with independent estimates of LAI from litterfall traps and the LAI-2000 Plant Canopy Analyzer. Using the Moderate Resolution Imaging Spectroradiometer (MODIS) LAI product, which combined grass and tree LAI, we obtained realistic seasonal patterns of ecosystem LAI that corresponded with tree LAI from the digital cameras for the period when grass was dead. The digital camera method is an easy and inexpensive way to monitor LAI at ecosystem scale. This method can be used for testing and improving phenology models, evaluating remote-sensing-derived LAI products, and quantifying forest structures in rapidly changing environments. ?? 2012 Elsevier Inc.","author":[{"dropping-particle":"","family":"Ryu","given":"Youngryel","non-dropping-particle":"","parse-names":false,"suffix":""},{"dropping-particle":"","family":"Verfaillie","given":"Joseph","non-dropping-particle":"","parse-names":false,"suffix":""},{"dropping-particle":"","family":"Macfarlane","given":"Craig","non-dropping-particle":"","parse-names":false,"suffix":""},{"dropping-particle":"","family":"Kobayashi","given":"Hideki","non-dropping-particle":"","parse-names":false,"suffix":""},{"dropping-particle":"","family":"Sonnentag","given":"Oliver","non-dropping-particle":"","parse-names":false,"suffix":""},{"dropping-particle":"","family":"Vargas","given":"Rodrigo","non-dropping-particle":"","parse-names":false,"suffix":""},{"dropping-particle":"","family":"Ma","given":"Siyan","non-dropping-particle":"","parse-names":false,"suffix":""},{"dropping-particle":"","family":"Baldocchi","given":"Dennis D","non-dropping-particle":"","parse-names":false,"suffix":""}],"container-title":"Remote Sensing of Environment","id":"ITEM-2","issued":{"date-parts":[["2012","11"]]},"page":"116-125","title":"Continuous observation of tree leaf area index at ecosystem scale using upward-pointing digital cameras","type":"article-journal","volume":"126"},"uris":["http://www.mendeley.com/documents/?uuid=7b906222-0c3e-38c1-b5b5-dfe624b8c760"]},{"id":"ITEM-3","itemData":{"DOI":"10.1016/j.rse.2014.04.015","ISSN":"00344257","abstract":"Emerging near-surface remote sensing techniques have advanced our ability to monitor forest canopy phenology. Thus far, however, little effort has been made to monitor the phenologies of the various canopies of multi-layer forests separately, despite their importance in regulating forest biogeochemical cycles. Here we report phenological changes in multi-layer canopies of deciduous broadleaf and evergreen needleleaf forests in the Republic of Korea during the spring of 2013. We installed light-emitting diode (LED) sensors at four different canopy heights at two sites to measure the normalized difference vegetation index (NDVI) using red and near-infrared (NIR) spectral reflectance and to estimate leaf area index (LAI) using the blue band gap fraction. LED-sensors identified leaf-out dates of over- and understory canopies at both sites; leaves unfolded 8-11days earlier in the understory canopy than the overstory canopy. At the deciduous forest site, LED-NDVI failed to capture the leaf-out date in the overstory canopy, because all four LED-sensors started to see green-up from the understory canopy while the overstory canopy was leafless. LED-LAI identified different leaf-out dates for the over- and understory canopy, because the gap fraction was measured explicitly for each canopy layer. In the evergreen forest site, LED-NDVI signals between the top of the tower and beneath the overstory canopy were decoupled because of the dense evergreen overstory canopy. Both LED-NDVI and LED-LAI identified new needle expansion in the overstory canopy and understory canopy development. MODIS NDVI agreed well with LED-NDVI data (R2=0.96, RMSE=0.04) at the deciduous forest site, and we discovered that understory canopy development determined the onset of greenness based on MODIS NDVI data. LED-LAI data agreed well with independent estimates from the other instruments, indicating that LED-sensors could be used to monitor multi-layer canopy LAI. Continuous, in-situ observation of multi-layer canopy phenology will aid in the interpretation of satellite remote sensing phenology products and improve land surface models that adopt a multi-layer canopy model. © 2014 Elsevier Inc.","author":[{"dropping-particle":"","family":"Ryu","given":"Youngryel","non-dropping-particle":"","parse-names":false,"suffix":""},{"dropping-particle":"","family":"Lee","given":"Galam","non-dropping-particle":"","parse-names":false,"suffix":""},{"dropping-particle":"","family":"Jeon","given":"Soohyun","non-dropping-particle":"","parse-names":false,"suffix":""},{"dropping-particle":"","family":"Song","given":"Youngkeun","non-dropping-particle":"","parse-names":false,"suffix":""},{"dropping-particle":"","family":"Kimm","given":"Hyungsuk","non-dropping-particle":"","parse-names":false,"suffix":""}],"container-title":"Remote Sensing of Environment","id":"ITEM-3","issued":{"date-parts":[["2014","6"]]},"page":"227-238","title":"Monitoring multi-layer canopy spring phenology of temperate deciduous and evergreen forests using low-cost spectral sensors","type":"article-journal","volume":"149"},"uris":["http://www.mendeley.com/documents/?uuid=f517425a-12c7-4eca-adcb-b4376ccddfee"]}],"mendeley":{"formattedCitation":"(Ryu et al., 2014, 2012, 2010b)","plainTextFormattedCitation":"(Ryu et al., 2014, 2012, 2010b)","previouslyFormattedCitation":"(Ryu et al., 2014, 2012, 2010b)"},"properties":{"noteIndex":0},"schema":"https://github.com/citation-style-language/schema/raw/master/csl-citation.json"}</w:instrText>
      </w:r>
      <w:r w:rsidR="009407ED">
        <w:rPr>
          <w:rFonts w:ascii="Arial" w:hAnsi="Arial" w:cs="Arial"/>
          <w:bCs/>
          <w:sz w:val="20"/>
          <w:szCs w:val="20"/>
        </w:rPr>
        <w:fldChar w:fldCharType="separate"/>
      </w:r>
      <w:r w:rsidR="009407ED" w:rsidRPr="009407ED">
        <w:rPr>
          <w:rFonts w:ascii="Arial" w:hAnsi="Arial" w:cs="Arial"/>
          <w:bCs/>
          <w:noProof/>
          <w:sz w:val="20"/>
          <w:szCs w:val="20"/>
        </w:rPr>
        <w:t>(Ryu et al., 2014, 2012, 2010b)</w:t>
      </w:r>
      <w:r w:rsidR="009407ED">
        <w:rPr>
          <w:rFonts w:ascii="Arial" w:hAnsi="Arial" w:cs="Arial"/>
          <w:bCs/>
          <w:sz w:val="20"/>
          <w:szCs w:val="20"/>
        </w:rPr>
        <w:fldChar w:fldCharType="end"/>
      </w:r>
      <w:r w:rsidR="0043522A">
        <w:rPr>
          <w:rFonts w:ascii="Arial" w:hAnsi="Arial" w:cs="Arial"/>
          <w:bCs/>
          <w:sz w:val="20"/>
          <w:szCs w:val="20"/>
        </w:rPr>
        <w:t xml:space="preserve">.  </w:t>
      </w:r>
      <w:r w:rsidR="007C33D9">
        <w:rPr>
          <w:rFonts w:ascii="Arial" w:hAnsi="Arial" w:cs="Arial"/>
          <w:bCs/>
          <w:sz w:val="20"/>
          <w:szCs w:val="20"/>
        </w:rPr>
        <w:t>Finally</w:t>
      </w:r>
      <w:r w:rsidR="005F4A9A">
        <w:rPr>
          <w:rFonts w:ascii="Arial" w:hAnsi="Arial" w:cs="Arial"/>
          <w:bCs/>
          <w:sz w:val="20"/>
          <w:szCs w:val="20"/>
        </w:rPr>
        <w:t xml:space="preserve">, </w:t>
      </w:r>
      <w:r w:rsidR="00F346BC">
        <w:rPr>
          <w:rFonts w:ascii="Arial" w:hAnsi="Arial" w:cs="Arial"/>
          <w:bCs/>
          <w:sz w:val="20"/>
          <w:szCs w:val="20"/>
        </w:rPr>
        <w:t>issues related to</w:t>
      </w:r>
      <w:r w:rsidR="005F4A9A">
        <w:rPr>
          <w:rFonts w:ascii="Arial" w:hAnsi="Arial" w:cs="Arial"/>
          <w:bCs/>
          <w:sz w:val="20"/>
          <w:szCs w:val="20"/>
        </w:rPr>
        <w:t xml:space="preserve"> the</w:t>
      </w:r>
      <w:r w:rsidR="00F346BC">
        <w:rPr>
          <w:rFonts w:ascii="Arial" w:hAnsi="Arial" w:cs="Arial"/>
          <w:bCs/>
          <w:sz w:val="20"/>
          <w:szCs w:val="20"/>
        </w:rPr>
        <w:t xml:space="preserve"> spatial representativeness</w:t>
      </w:r>
      <w:r w:rsidR="005F4A9A">
        <w:rPr>
          <w:rFonts w:ascii="Arial" w:hAnsi="Arial" w:cs="Arial"/>
          <w:bCs/>
          <w:sz w:val="20"/>
          <w:szCs w:val="20"/>
        </w:rPr>
        <w:t xml:space="preserve"> of LAI estimates derived using digital cover photography</w:t>
      </w:r>
      <w:r w:rsidR="00E4352C">
        <w:rPr>
          <w:rFonts w:ascii="Arial" w:hAnsi="Arial" w:cs="Arial"/>
          <w:bCs/>
          <w:sz w:val="20"/>
          <w:szCs w:val="20"/>
        </w:rPr>
        <w:t xml:space="preserve"> </w:t>
      </w:r>
      <w:r w:rsidR="00F346BC">
        <w:rPr>
          <w:rFonts w:ascii="Arial" w:hAnsi="Arial" w:cs="Arial"/>
          <w:bCs/>
          <w:sz w:val="20"/>
          <w:szCs w:val="20"/>
        </w:rPr>
        <w:t>result from its</w:t>
      </w:r>
      <w:r w:rsidR="00C14200">
        <w:rPr>
          <w:rFonts w:ascii="Arial" w:hAnsi="Arial" w:cs="Arial"/>
          <w:bCs/>
          <w:sz w:val="20"/>
          <w:szCs w:val="20"/>
        </w:rPr>
        <w:t xml:space="preserve"> narrow </w:t>
      </w:r>
      <w:r w:rsidR="00BE48C8">
        <w:rPr>
          <w:rFonts w:ascii="Arial" w:hAnsi="Arial" w:cs="Arial"/>
          <w:bCs/>
          <w:sz w:val="20"/>
          <w:szCs w:val="20"/>
        </w:rPr>
        <w:t>FOV</w:t>
      </w:r>
      <w:r w:rsidR="00431D07">
        <w:rPr>
          <w:rFonts w:ascii="Arial" w:hAnsi="Arial" w:cs="Arial"/>
          <w:bCs/>
          <w:sz w:val="20"/>
          <w:szCs w:val="20"/>
        </w:rPr>
        <w:t xml:space="preserve"> </w:t>
      </w:r>
      <w:r w:rsidR="00AB64F4">
        <w:rPr>
          <w:rFonts w:ascii="Arial" w:hAnsi="Arial" w:cs="Arial"/>
          <w:bCs/>
          <w:sz w:val="20"/>
          <w:szCs w:val="20"/>
        </w:rPr>
        <w:fldChar w:fldCharType="begin" w:fldLock="1"/>
      </w:r>
      <w:r w:rsidR="00AB64F4">
        <w:rPr>
          <w:rFonts w:ascii="Arial" w:hAnsi="Arial" w:cs="Arial"/>
          <w:bCs/>
          <w:sz w:val="20"/>
          <w:szCs w:val="20"/>
        </w:rPr>
        <w:instrText>ADDIN CSL_CITATION {"citationItems":[{"id":"ITEM-1","itemData":{"DOI":"10.1016/j.rse.2012.08.027","ISBN":"0034-4257","ISSN":"00344257","abstract":"Understanding the dynamics of leaf area index (LAI) at ecosystem scale is critical for evaluating and modeling the response of vegetation to environmental variability and change. We present an approach for quantifying daily ecosystem LAI that integrates automatic acquisition of a small number of reference photos, viewed towards the zenith, and a larger number of photos covering a spatially extensive area that were manually acquired during periodic field trips. We present an image archive spanning three years for an oak-savanna ecosystem in California to identify the timing of phenological and disturbance events, and to quantify the seasonal to interannual variability of tree LAI at ecosystem scale. The digital camera-derived LAI, corrected for clumping effects, agreed well (r 2=0.94, root mean square error=0.05) with independent estimates of LAI from litterfall traps and the LAI-2000 Plant Canopy Analyzer. Using the Moderate Resolution Imaging Spectroradiometer (MODIS) LAI product, which combined grass and tree LAI, we obtained realistic seasonal patterns of ecosystem LAI that corresponded with tree LAI from the digital cameras for the period when grass was dead. The digital camera method is an easy and inexpensive way to monitor LAI at ecosystem scale. This method can be used for testing and improving phenology models, evaluating remote-sensing-derived LAI products, and quantifying forest structures in rapidly changing environments. ?? 2012 Elsevier Inc.","author":[{"dropping-particle":"","family":"Ryu","given":"Youngryel","non-dropping-particle":"","parse-names":false,"suffix":""},{"dropping-particle":"","family":"Verfaillie","given":"Joseph","non-dropping-particle":"","parse-names":false,"suffix":""},{"dropping-particle":"","family":"Macfarlane","given":"Craig","non-dropping-particle":"","parse-names":false,"suffix":""},{"dropping-particle":"","family":"Kobayashi","given":"Hideki","non-dropping-particle":"","parse-names":false,"suffix":""},{"dropping-particle":"","family":"Sonnentag","given":"Oliver","non-dropping-particle":"","parse-names":false,"suffix":""},{"dropping-particle":"","family":"Vargas","given":"Rodrigo","non-dropping-particle":"","parse-names":false,"suffix":""},{"dropping-particle":"","family":"Ma","given":"Siyan","non-dropping-particle":"","parse-names":false,"suffix":""},{"dropping-particle":"","family":"Baldocchi","given":"Dennis D","non-dropping-particle":"","parse-names":false,"suffix":""}],"container-title":"Remote Sensing of Environment","id":"ITEM-1","issued":{"date-parts":[["2012","11"]]},"page":"116-125","title":"Continuous observation of tree leaf area index at ecosystem scale using upward-pointing digital cameras","type":"article-journal","volume":"126"},"uris":["http://www.mendeley.com/documents/?uuid=7b906222-0c3e-38c1-b5b5-dfe624b8c760"]},{"id":"ITEM-2","itemData":{"DOI":"10.1016/j.agrformet.2017.09.004","ISSN":"01681923","abstract":"Long-term, continuous digital camera imagery and tower-based radiometric monitoring were conducted at a representative hardwood forest site in the Northeastern United States, part of the AmeriFlux network. In this study, the phenological metrics of the leaf area index (LAI), plant area index (PAI) and associated transition dates (e.g., timing of the onset of leaf expansion and the cessation of leaf fall) were compared using 4-year of data from Bartlett Experimental Forest. We used digital repeat photography (DRP) imagery collected using two different methods (\"canopy cover\" and \"phenocam\" approaches), together with above- and below-canopy measurements of photosynthetically active radiation (PAR). The growth-period LAI estimated from canopy cover images (LAICANOPY) and the above and below canopy PAR measurements (LAIfPARt) were within approximately the same range, in term of magnitude, as previous results for multiple comparative methods, although growing-season LAICANOPY was slightly lower (3.11m2 m-2 to 3.35m2 m-2) than LAIfPARt (3.19m2 m-2 to 3.67m2 m-2). In addition, we derived phenological transition dates from PAICANOPY, PAIfPARt, and color-based metrics calculated from the phenocam imagery (green (GCC) and red (RCC) chromatic coordinates). The transition dates in both spring and autumn differed somewhat according to method, presumably due to the vegetation status detection abilities of each vegetation metric. We found that LAI estimation from canopy cover images may be influenced by automatic exposure settings, which limits the ability to detect subtle changes in phenology during the transition phases in both spring and autumn. Particularly in autumn, the color-based metrics calculated from the phenocam imagery are decoupled from leaf area dynamics and thus PAI. While above and below canopy PAR measurements could yield the better indicators for estimating LAI, its seasonal dynamics, and associated phenological transition dates in long-term monitoring, we argue that there are obvious benefits to the multi-sensor approach used here.","author":[{"dropping-particle":"","family":"Toda","given":"Motomu","non-dropping-particle":"","parse-names":false,"suffix":""},{"dropping-particle":"","family":"Richardson","given":"Andrew D.","non-dropping-particle":"","parse-names":false,"suffix":""}],"container-title":"Agricultural and Forest Meteorology","id":"ITEM-2","issue":"September","issued":{"date-parts":[["2017","9"]]},"page":"1-10","title":"Estimation of plant area index and phenological transition dates from digital repeat photography and radiometric approaches in a hardwood forest in the Northeastern United States","type":"article-journal"},"uris":["http://www.mendeley.com/documents/?uuid=60af9818-db88-4e35-82a0-1f08dc215e98"]},{"id":"ITEM-3","itemData":{"DOI":"10.1016/j.agrformet.2009.08.007","ISBN":"0168-1923","ISSN":"01681923","abstract":"Savannas are spatially heterogeneous, open ecosystems, thus efforts to quantify canopy structure with methods developed for homogeneous, closed canopies are prone to failure. We examine the applicability of two direct (litterfall, allometry) and five indirect (LAI-2000, TRAC, digital hemispheric photography, digital cover photography, traversing radiometer system) methods to determine leaf area index across a 9 ha domain in an oak-savanna ecosystem in California, USA. Interpretation of the leaf area index measurements is supported by two gap-fraction models. We recommend that leaf inclination angle distribution should be characterized first. For this purpose, we propose a simple, reliable and reproducible method using a digital camera. We show that the combination of digital cover photography and LAI-2000 could provide spatially representative leaf area index, gap fraction and element clumping index. Based on these two indirect methods, we quantify spatially representative element clumping index and leaf area index at ecosystem scale as 0.49 ?? 0.10 (mean ?? 95% confidence interval) and 0.77 ?? 0.27, respectively. In contrast to previous studies in northern ecosystems, measurement and modeling results suggest that element clumping index decreases with view zenith angle, most likely due to apparent changes of tree distribution pattern with the view zenith angle. Our results highlight the importance of ecosystem-scale clumping effects for the adequate quantification of tree leaf area index in savannas. Finally, we suggest a protocol to quantify leaf area index and its associated canopy structure variables in open canopy ecosystems. ?? 2009 Elsevier B.V. All rights reserved.","author":[{"dropping-particle":"","family":"Ryu","given":"Youngryel","non-dropping-particle":"","parse-names":false,"suffix":""},{"dropping-particle":"","family":"Sonnentag","given":"Oliver","non-dropping-particle":"","parse-names":false,"suffix":""},{"dropping-particle":"","family":"Nilson","given":"Tiit","non-dropping-particle":"","parse-names":false,"suffix":""},{"dropping-particle":"","family":"Vargas","given":"Rodrigo","non-dropping-particle":"","parse-names":false,"suffix":""},{"dropping-particle":"","family":"Kobayashi","given":"Hideki","non-dropping-particle":"","parse-names":false,"suffix":""},{"dropping-particle":"","family":"Wenk","given":"Rebecca","non-dropping-particle":"","parse-names":false,"suffix":""},{"dropping-particle":"","family":"Baldocchi","given":"Dennis D","non-dropping-particle":"","parse-names":false,"suffix":""}],"container-title":"Agricultural and Forest Meteorology","id":"ITEM-3","issue":"1","issued":{"date-parts":[["2010","1"]]},"page":"63-76","title":"How to quantify tree leaf area index in an open savanna ecosystem: A multi-instrument and multi-model approach","type":"article-journal","volume":"150"},"uris":["http://www.mendeley.com/documents/?uuid=24003a55-ccdb-3f1a-b0d3-e19fc3bb50ae"]}],"mendeley":{"formattedCitation":"(Ryu et al., 2012, 2010b; Toda and Richardson, 2017)","plainTextFormattedCitation":"(Ryu et al., 2012, 2010b; Toda and Richardson, 2017)","previouslyFormattedCitation":"(Ryu et al., 2012, 2010b; Toda and Richardson, 2017)"},"properties":{"noteIndex":0},"schema":"https://github.com/citation-style-language/schema/raw/master/csl-citation.json"}</w:instrText>
      </w:r>
      <w:r w:rsidR="00AB64F4">
        <w:rPr>
          <w:rFonts w:ascii="Arial" w:hAnsi="Arial" w:cs="Arial"/>
          <w:bCs/>
          <w:sz w:val="20"/>
          <w:szCs w:val="20"/>
        </w:rPr>
        <w:fldChar w:fldCharType="separate"/>
      </w:r>
      <w:r w:rsidR="00AB64F4" w:rsidRPr="00AB64F4">
        <w:rPr>
          <w:rFonts w:ascii="Arial" w:hAnsi="Arial" w:cs="Arial"/>
          <w:bCs/>
          <w:noProof/>
          <w:sz w:val="20"/>
          <w:szCs w:val="20"/>
        </w:rPr>
        <w:t>(Ryu et al., 2012, 2010b; Toda and Richardson, 2017)</w:t>
      </w:r>
      <w:r w:rsidR="00AB64F4">
        <w:rPr>
          <w:rFonts w:ascii="Arial" w:hAnsi="Arial" w:cs="Arial"/>
          <w:bCs/>
          <w:sz w:val="20"/>
          <w:szCs w:val="20"/>
        </w:rPr>
        <w:fldChar w:fldCharType="end"/>
      </w:r>
      <w:r w:rsidR="00F5587F">
        <w:rPr>
          <w:rFonts w:ascii="Arial" w:hAnsi="Arial" w:cs="Arial"/>
          <w:bCs/>
          <w:sz w:val="20"/>
          <w:szCs w:val="20"/>
        </w:rPr>
        <w:t>.</w:t>
      </w:r>
    </w:p>
    <w:p w14:paraId="28682C6D" w14:textId="216E0AEA" w:rsidR="00D3180E" w:rsidRPr="00D3180E" w:rsidRDefault="0034782B" w:rsidP="00D3180E">
      <w:pPr>
        <w:spacing w:line="480" w:lineRule="auto"/>
        <w:jc w:val="both"/>
        <w:rPr>
          <w:rFonts w:ascii="Arial" w:hAnsi="Arial" w:cs="Arial"/>
          <w:bCs/>
          <w:sz w:val="20"/>
          <w:szCs w:val="20"/>
        </w:rPr>
      </w:pPr>
      <w:r>
        <w:rPr>
          <w:rFonts w:ascii="Arial" w:hAnsi="Arial" w:cs="Arial"/>
          <w:bCs/>
          <w:sz w:val="20"/>
          <w:szCs w:val="20"/>
        </w:rPr>
        <w:t>In this stud</w:t>
      </w:r>
      <w:r w:rsidR="00412555">
        <w:rPr>
          <w:rFonts w:ascii="Arial" w:hAnsi="Arial" w:cs="Arial"/>
          <w:bCs/>
          <w:sz w:val="20"/>
          <w:szCs w:val="20"/>
        </w:rPr>
        <w:t xml:space="preserve">y, we investigate a new </w:t>
      </w:r>
      <w:r>
        <w:rPr>
          <w:rFonts w:ascii="Arial" w:hAnsi="Arial" w:cs="Arial"/>
          <w:bCs/>
          <w:sz w:val="20"/>
          <w:szCs w:val="20"/>
        </w:rPr>
        <w:t>method</w:t>
      </w:r>
      <w:r w:rsidR="00C1674E">
        <w:rPr>
          <w:rFonts w:ascii="Arial" w:hAnsi="Arial" w:cs="Arial"/>
          <w:bCs/>
          <w:sz w:val="20"/>
          <w:szCs w:val="20"/>
        </w:rPr>
        <w:t xml:space="preserve"> to derive continuous measurements of LAI</w:t>
      </w:r>
      <w:r>
        <w:rPr>
          <w:rFonts w:ascii="Arial" w:hAnsi="Arial" w:cs="Arial"/>
          <w:bCs/>
          <w:sz w:val="20"/>
          <w:szCs w:val="20"/>
        </w:rPr>
        <w:t xml:space="preserve">, </w:t>
      </w:r>
      <w:r w:rsidR="009B1343">
        <w:rPr>
          <w:rFonts w:ascii="Arial" w:hAnsi="Arial" w:cs="Arial"/>
          <w:bCs/>
          <w:sz w:val="20"/>
          <w:szCs w:val="20"/>
        </w:rPr>
        <w:t xml:space="preserve">making use of </w:t>
      </w:r>
      <w:r>
        <w:rPr>
          <w:rFonts w:ascii="Arial" w:hAnsi="Arial" w:cs="Arial"/>
          <w:bCs/>
          <w:sz w:val="20"/>
          <w:szCs w:val="20"/>
        </w:rPr>
        <w:t>automated digital hemispherical photography (DHP)</w:t>
      </w:r>
      <w:r w:rsidR="000142E9">
        <w:rPr>
          <w:rFonts w:ascii="Arial" w:hAnsi="Arial" w:cs="Arial"/>
          <w:bCs/>
          <w:sz w:val="20"/>
          <w:szCs w:val="20"/>
        </w:rPr>
        <w:t xml:space="preserve"> from below the canopy</w:t>
      </w:r>
      <w:r w:rsidR="008747E1">
        <w:rPr>
          <w:rFonts w:ascii="Arial" w:hAnsi="Arial" w:cs="Arial"/>
          <w:bCs/>
          <w:sz w:val="20"/>
          <w:szCs w:val="20"/>
        </w:rPr>
        <w:t xml:space="preserve">. </w:t>
      </w:r>
      <w:r w:rsidR="003562FC">
        <w:rPr>
          <w:rFonts w:ascii="Arial" w:hAnsi="Arial" w:cs="Arial"/>
          <w:bCs/>
          <w:sz w:val="20"/>
          <w:szCs w:val="20"/>
        </w:rPr>
        <w:t xml:space="preserve"> </w:t>
      </w:r>
      <w:r w:rsidR="008747E1">
        <w:rPr>
          <w:rFonts w:ascii="Arial" w:hAnsi="Arial" w:cs="Arial"/>
          <w:bCs/>
          <w:sz w:val="20"/>
          <w:szCs w:val="20"/>
        </w:rPr>
        <w:t xml:space="preserve">Unlike </w:t>
      </w:r>
      <w:r w:rsidR="009D5887">
        <w:rPr>
          <w:rFonts w:ascii="Arial" w:hAnsi="Arial" w:cs="Arial"/>
          <w:bCs/>
          <w:sz w:val="20"/>
          <w:szCs w:val="20"/>
        </w:rPr>
        <w:t xml:space="preserve">the previously described </w:t>
      </w:r>
      <w:r w:rsidR="00E97B1F">
        <w:rPr>
          <w:rFonts w:ascii="Arial" w:hAnsi="Arial" w:cs="Arial"/>
          <w:bCs/>
          <w:sz w:val="20"/>
          <w:szCs w:val="20"/>
        </w:rPr>
        <w:t>methods</w:t>
      </w:r>
      <w:r w:rsidR="008747E1">
        <w:rPr>
          <w:rFonts w:ascii="Arial" w:hAnsi="Arial" w:cs="Arial"/>
          <w:bCs/>
          <w:sz w:val="20"/>
          <w:szCs w:val="20"/>
        </w:rPr>
        <w:t xml:space="preserve">, DHP </w:t>
      </w:r>
      <w:r w:rsidR="003562FC">
        <w:rPr>
          <w:rFonts w:ascii="Arial" w:hAnsi="Arial" w:cs="Arial"/>
          <w:bCs/>
          <w:sz w:val="20"/>
          <w:szCs w:val="20"/>
        </w:rPr>
        <w:t xml:space="preserve">relies on the use of a fisheye lens to provide increased angular </w:t>
      </w:r>
      <w:proofErr w:type="gramStart"/>
      <w:r w:rsidR="003562FC">
        <w:rPr>
          <w:rFonts w:ascii="Arial" w:hAnsi="Arial" w:cs="Arial"/>
          <w:bCs/>
          <w:sz w:val="20"/>
          <w:szCs w:val="20"/>
        </w:rPr>
        <w:t>sampling, and</w:t>
      </w:r>
      <w:proofErr w:type="gramEnd"/>
      <w:r w:rsidR="003562FC">
        <w:rPr>
          <w:rFonts w:ascii="Arial" w:hAnsi="Arial" w:cs="Arial"/>
          <w:bCs/>
          <w:sz w:val="20"/>
          <w:szCs w:val="20"/>
        </w:rPr>
        <w:t xml:space="preserve"> </w:t>
      </w:r>
      <w:r w:rsidR="009D5887">
        <w:rPr>
          <w:rFonts w:ascii="Arial" w:hAnsi="Arial" w:cs="Arial"/>
          <w:bCs/>
          <w:sz w:val="20"/>
          <w:szCs w:val="20"/>
        </w:rPr>
        <w:t>can be used to estimate</w:t>
      </w:r>
      <w:r w:rsidR="008747E1">
        <w:rPr>
          <w:rFonts w:ascii="Arial" w:hAnsi="Arial" w:cs="Arial"/>
          <w:bCs/>
          <w:sz w:val="20"/>
          <w:szCs w:val="20"/>
        </w:rPr>
        <w:t xml:space="preserve"> canopy leaf angle distribution</w:t>
      </w:r>
      <w:r w:rsidR="007D4451">
        <w:rPr>
          <w:rFonts w:ascii="Arial" w:hAnsi="Arial" w:cs="Arial"/>
          <w:bCs/>
          <w:sz w:val="20"/>
          <w:szCs w:val="20"/>
        </w:rPr>
        <w:t xml:space="preserve">, </w:t>
      </w:r>
      <w:r w:rsidR="009D5887">
        <w:rPr>
          <w:rFonts w:ascii="Arial" w:hAnsi="Arial" w:cs="Arial"/>
          <w:bCs/>
          <w:sz w:val="20"/>
          <w:szCs w:val="20"/>
        </w:rPr>
        <w:t>removing</w:t>
      </w:r>
      <w:r w:rsidR="007D4451">
        <w:rPr>
          <w:rFonts w:ascii="Arial" w:hAnsi="Arial" w:cs="Arial"/>
          <w:bCs/>
          <w:sz w:val="20"/>
          <w:szCs w:val="20"/>
        </w:rPr>
        <w:t xml:space="preserve"> </w:t>
      </w:r>
      <w:r w:rsidR="009D5887">
        <w:rPr>
          <w:rFonts w:ascii="Arial" w:hAnsi="Arial" w:cs="Arial"/>
          <w:bCs/>
          <w:sz w:val="20"/>
          <w:szCs w:val="20"/>
        </w:rPr>
        <w:t>the</w:t>
      </w:r>
      <w:r w:rsidR="007D4451">
        <w:rPr>
          <w:rFonts w:ascii="Arial" w:hAnsi="Arial" w:cs="Arial"/>
          <w:bCs/>
          <w:sz w:val="20"/>
          <w:szCs w:val="20"/>
        </w:rPr>
        <w:t xml:space="preserve"> requirement </w:t>
      </w:r>
      <w:r w:rsidR="009D5887">
        <w:rPr>
          <w:rFonts w:ascii="Arial" w:hAnsi="Arial" w:cs="Arial"/>
          <w:bCs/>
          <w:sz w:val="20"/>
          <w:szCs w:val="20"/>
        </w:rPr>
        <w:t xml:space="preserve">for </w:t>
      </w:r>
      <w:r w:rsidR="00BA1F0F">
        <w:rPr>
          <w:rFonts w:ascii="Arial" w:hAnsi="Arial" w:cs="Arial"/>
          <w:bCs/>
          <w:sz w:val="20"/>
          <w:szCs w:val="20"/>
        </w:rPr>
        <w:t xml:space="preserve">ancillary </w:t>
      </w:r>
      <w:r w:rsidR="0069091C">
        <w:rPr>
          <w:rFonts w:ascii="Arial" w:hAnsi="Arial" w:cs="Arial"/>
          <w:bCs/>
          <w:sz w:val="20"/>
          <w:szCs w:val="20"/>
        </w:rPr>
        <w:t>information</w:t>
      </w:r>
      <w:r w:rsidR="009D5887">
        <w:rPr>
          <w:rFonts w:ascii="Arial" w:hAnsi="Arial" w:cs="Arial"/>
          <w:bCs/>
          <w:sz w:val="20"/>
          <w:szCs w:val="20"/>
        </w:rPr>
        <w:t>.</w:t>
      </w:r>
      <w:r w:rsidR="00C14200">
        <w:rPr>
          <w:rFonts w:ascii="Arial" w:hAnsi="Arial" w:cs="Arial"/>
          <w:bCs/>
          <w:sz w:val="20"/>
          <w:szCs w:val="20"/>
        </w:rPr>
        <w:t xml:space="preserve">  It also</w:t>
      </w:r>
      <w:r w:rsidR="00C1674E">
        <w:rPr>
          <w:rFonts w:ascii="Arial" w:hAnsi="Arial" w:cs="Arial"/>
          <w:bCs/>
          <w:sz w:val="20"/>
          <w:szCs w:val="20"/>
        </w:rPr>
        <w:t xml:space="preserve"> avoi</w:t>
      </w:r>
      <w:r w:rsidR="00C14200">
        <w:rPr>
          <w:rFonts w:ascii="Arial" w:hAnsi="Arial" w:cs="Arial"/>
          <w:bCs/>
          <w:sz w:val="20"/>
          <w:szCs w:val="20"/>
        </w:rPr>
        <w:t>ds</w:t>
      </w:r>
      <w:r w:rsidR="00C1674E">
        <w:rPr>
          <w:rFonts w:ascii="Arial" w:hAnsi="Arial" w:cs="Arial"/>
          <w:bCs/>
          <w:sz w:val="20"/>
          <w:szCs w:val="20"/>
        </w:rPr>
        <w:t xml:space="preserve"> the need for </w:t>
      </w:r>
      <w:r w:rsidR="008747E1">
        <w:rPr>
          <w:rFonts w:ascii="Arial" w:hAnsi="Arial" w:cs="Arial"/>
          <w:bCs/>
          <w:sz w:val="20"/>
          <w:szCs w:val="20"/>
        </w:rPr>
        <w:t>above</w:t>
      </w:r>
      <w:r w:rsidR="006E02D2">
        <w:rPr>
          <w:rFonts w:ascii="Arial" w:hAnsi="Arial" w:cs="Arial"/>
          <w:bCs/>
          <w:sz w:val="20"/>
          <w:szCs w:val="20"/>
        </w:rPr>
        <w:t>-</w:t>
      </w:r>
      <w:r w:rsidR="008747E1">
        <w:rPr>
          <w:rFonts w:ascii="Arial" w:hAnsi="Arial" w:cs="Arial"/>
          <w:bCs/>
          <w:sz w:val="20"/>
          <w:szCs w:val="20"/>
        </w:rPr>
        <w:t>canopy sensors</w:t>
      </w:r>
      <w:r w:rsidR="00C14200">
        <w:rPr>
          <w:rFonts w:ascii="Arial" w:hAnsi="Arial" w:cs="Arial"/>
          <w:bCs/>
          <w:sz w:val="20"/>
          <w:szCs w:val="20"/>
        </w:rPr>
        <w:t xml:space="preserve">, whilst its wide </w:t>
      </w:r>
      <w:r w:rsidR="0041530B">
        <w:rPr>
          <w:rFonts w:ascii="Arial" w:hAnsi="Arial" w:cs="Arial"/>
          <w:bCs/>
          <w:sz w:val="20"/>
          <w:szCs w:val="20"/>
        </w:rPr>
        <w:t>FOV</w:t>
      </w:r>
      <w:r w:rsidR="0069091C">
        <w:rPr>
          <w:rFonts w:ascii="Arial" w:hAnsi="Arial" w:cs="Arial"/>
          <w:bCs/>
          <w:sz w:val="20"/>
          <w:szCs w:val="20"/>
        </w:rPr>
        <w:t xml:space="preserve"> (up to 180°)</w:t>
      </w:r>
      <w:r w:rsidR="002621B0">
        <w:rPr>
          <w:rFonts w:ascii="Arial" w:hAnsi="Arial" w:cs="Arial"/>
          <w:bCs/>
          <w:sz w:val="20"/>
          <w:szCs w:val="20"/>
        </w:rPr>
        <w:t xml:space="preserve"> provides </w:t>
      </w:r>
      <w:r w:rsidR="00255799">
        <w:rPr>
          <w:rFonts w:ascii="Arial" w:hAnsi="Arial" w:cs="Arial"/>
          <w:bCs/>
          <w:sz w:val="20"/>
          <w:szCs w:val="20"/>
        </w:rPr>
        <w:t xml:space="preserve">a substantial </w:t>
      </w:r>
      <w:r w:rsidR="00C23315">
        <w:rPr>
          <w:rFonts w:ascii="Arial" w:hAnsi="Arial" w:cs="Arial"/>
          <w:bCs/>
          <w:sz w:val="20"/>
          <w:szCs w:val="20"/>
        </w:rPr>
        <w:t>measurement footprint</w:t>
      </w:r>
      <w:r w:rsidR="00C1674E">
        <w:rPr>
          <w:rFonts w:ascii="Arial" w:hAnsi="Arial" w:cs="Arial"/>
          <w:bCs/>
          <w:sz w:val="20"/>
          <w:szCs w:val="20"/>
        </w:rPr>
        <w:t>.  When compared to</w:t>
      </w:r>
      <w:r w:rsidR="008078DC">
        <w:rPr>
          <w:rFonts w:ascii="Arial" w:hAnsi="Arial" w:cs="Arial"/>
          <w:bCs/>
          <w:sz w:val="20"/>
          <w:szCs w:val="20"/>
        </w:rPr>
        <w:t xml:space="preserve"> other</w:t>
      </w:r>
      <w:r w:rsidR="00C1674E">
        <w:rPr>
          <w:rFonts w:ascii="Arial" w:hAnsi="Arial" w:cs="Arial"/>
          <w:bCs/>
          <w:sz w:val="20"/>
          <w:szCs w:val="20"/>
        </w:rPr>
        <w:t xml:space="preserve"> techniques such as </w:t>
      </w:r>
      <w:proofErr w:type="spellStart"/>
      <w:r w:rsidR="00C1674E">
        <w:rPr>
          <w:rFonts w:ascii="Arial" w:hAnsi="Arial" w:cs="Arial"/>
          <w:bCs/>
          <w:sz w:val="20"/>
          <w:szCs w:val="20"/>
        </w:rPr>
        <w:t>ceptometry</w:t>
      </w:r>
      <w:proofErr w:type="spellEnd"/>
      <w:r w:rsidR="00C1674E">
        <w:rPr>
          <w:rFonts w:ascii="Arial" w:hAnsi="Arial" w:cs="Arial"/>
          <w:bCs/>
          <w:sz w:val="20"/>
          <w:szCs w:val="20"/>
        </w:rPr>
        <w:t xml:space="preserve"> and the LI-COR LAI-2000 instrument, </w:t>
      </w:r>
      <w:r w:rsidR="00C1674E">
        <w:rPr>
          <w:rFonts w:ascii="Arial" w:hAnsi="Arial" w:cs="Arial"/>
          <w:bCs/>
          <w:sz w:val="20"/>
          <w:szCs w:val="20"/>
        </w:rPr>
        <w:fldChar w:fldCharType="begin" w:fldLock="1"/>
      </w:r>
      <w:r w:rsidR="00C1674E">
        <w:rPr>
          <w:rFonts w:ascii="Arial" w:hAnsi="Arial" w:cs="Arial"/>
          <w:bCs/>
          <w:sz w:val="20"/>
          <w:szCs w:val="20"/>
        </w:rPr>
        <w:instrText>ADDIN CSL_CITATION {"citationItems":[{"id":"ITEM-1","itemData":{"DOI":"10.1016/j.agrformet.2008.02.014","ISBN":"0168-1923","ISSN":"01681923","PMID":"7","abstract":"Validation of Leaf Area Index (LAI) derived from moderate resolution remote sensing observations generally involves optical technique to measure ground LAI. As the current validation datasets are derived using multiple optical retrieval techniques, assessment of the consistency between these techniques is required. In this study the effective Plant Area Index (PAIeff) retrievals by three major optical instruments, LAI-2000, AccuPAR, and Digital Hemispherical Photographs (DHPs), were analyzed over 10 crops (soybean, corn, alfalfa, sorghum, peanut and pasture) at Manfredi site in Cordoba province, Argentina. The focus of research was on quantifying PAIeff sensitivity to the type of instrument, retrieval parameters and gap fraction inversion methods as well as environmental conditions (canopy heterogeneity, senescent vegetation, illumination conditions). Results indicate that sensitivity of DHP method to illumination conditions is low (14% compared to 28% and 86% for LAI-2000 and AccuPAR, respectively). The intercomparison of PAIeff retrievals indicates large discrepancies between optical techniques for short canopy over which downward-pointing DHP technique performs better than LAI-2000 and AccuPAR. Better agreement was found for tall canopy without senescent vegetation and low spatial heterogeneity. Overall, discrepancies in PAIeff between instruments are mainly explained by differences in spatial sampling of transmittance between instruments (over short and heterogeneous canopies) caused by variations in instrument footprint, azimuthal range, and zenith angle spatial resolution (coarser for LAI-2000 than DHP). Our results indicate that DHP is the most robust technique in terms of low sensitivity to illumination conditions, accurate spatial sampling of transmittance, ability to capture gap fraction over short canopy using downward-looking photographs, independence from canopy optical ancillary information, and potential to derive clumping index. It can thus be applied to a large range of canopy structures, and environmental conditions as required by validation protocols. ?? 2008 Elsevier B.V. All rights reserved.","author":[{"dropping-particle":"","family":"Garrigues","given":"S.","non-dropping-particle":"","parse-names":false,"suffix":""},{"dropping-particle":"","family":"Shabanov","given":"N.V.","non-dropping-particle":"","parse-names":false,"suffix":""},{"dropping-particle":"","family":"Swanson","given":"K.","non-dropping-particle":"","parse-names":false,"suffix":""},{"dropping-particle":"","family":"Morisette","given":"J.T.","non-dropping-particle":"","parse-names":false,"suffix":""},{"dropping-particle":"","family":"Baret","given":"F.","non-dropping-particle":"","parse-names":false,"suffix":""},{"dropping-particle":"","family":"Myneni","given":"R.B.","non-dropping-particle":"","parse-names":false,"suffix":""}],"container-title":"Agricultural and Forest Meteorology","id":"ITEM-1","issue":"8-9","issued":{"date-parts":[["2008","7"]]},"page":"1193-1209","title":"Intercomparison and sensitivity analysis of Leaf Area Index retrievals from LAI-2000, AccuPAR, and digital hemispherical photography over croplands","type":"article-journal","volume":"148"},"uris":["http://www.mendeley.com/documents/?uuid=da7102e9-63be-4798-af5c-e9e5a7def8e2"]}],"mendeley":{"formattedCitation":"(Garrigues et al., 2008)","manualFormatting":"Garrigues et al. (2008)","plainTextFormattedCitation":"(Garrigues et al., 2008)","previouslyFormattedCitation":"(Garrigues et al., 2008)"},"properties":{"noteIndex":0},"schema":"https://github.com/citation-style-language/schema/raw/master/csl-citation.json"}</w:instrText>
      </w:r>
      <w:r w:rsidR="00C1674E">
        <w:rPr>
          <w:rFonts w:ascii="Arial" w:hAnsi="Arial" w:cs="Arial"/>
          <w:bCs/>
          <w:sz w:val="20"/>
          <w:szCs w:val="20"/>
        </w:rPr>
        <w:fldChar w:fldCharType="separate"/>
      </w:r>
      <w:r w:rsidR="00C1674E" w:rsidRPr="00C1674E">
        <w:rPr>
          <w:rFonts w:ascii="Arial" w:hAnsi="Arial" w:cs="Arial"/>
          <w:bCs/>
          <w:noProof/>
          <w:sz w:val="20"/>
          <w:szCs w:val="20"/>
        </w:rPr>
        <w:t xml:space="preserve">Garrigues et al. </w:t>
      </w:r>
      <w:r w:rsidR="00C1674E">
        <w:rPr>
          <w:rFonts w:ascii="Arial" w:hAnsi="Arial" w:cs="Arial"/>
          <w:bCs/>
          <w:noProof/>
          <w:sz w:val="20"/>
          <w:szCs w:val="20"/>
        </w:rPr>
        <w:t>(</w:t>
      </w:r>
      <w:r w:rsidR="00C1674E" w:rsidRPr="00C1674E">
        <w:rPr>
          <w:rFonts w:ascii="Arial" w:hAnsi="Arial" w:cs="Arial"/>
          <w:bCs/>
          <w:noProof/>
          <w:sz w:val="20"/>
          <w:szCs w:val="20"/>
        </w:rPr>
        <w:t>2008)</w:t>
      </w:r>
      <w:r w:rsidR="00C1674E">
        <w:rPr>
          <w:rFonts w:ascii="Arial" w:hAnsi="Arial" w:cs="Arial"/>
          <w:bCs/>
          <w:sz w:val="20"/>
          <w:szCs w:val="20"/>
        </w:rPr>
        <w:fldChar w:fldCharType="end"/>
      </w:r>
      <w:r w:rsidR="00C1674E">
        <w:rPr>
          <w:rFonts w:ascii="Arial" w:hAnsi="Arial" w:cs="Arial"/>
          <w:bCs/>
          <w:sz w:val="20"/>
          <w:szCs w:val="20"/>
        </w:rPr>
        <w:t xml:space="preserve"> </w:t>
      </w:r>
      <w:r w:rsidR="00C14200">
        <w:rPr>
          <w:rFonts w:ascii="Arial" w:hAnsi="Arial" w:cs="Arial"/>
          <w:bCs/>
          <w:sz w:val="20"/>
          <w:szCs w:val="20"/>
        </w:rPr>
        <w:t>suggested</w:t>
      </w:r>
      <w:r w:rsidR="00C1674E">
        <w:rPr>
          <w:rFonts w:ascii="Arial" w:hAnsi="Arial" w:cs="Arial"/>
          <w:bCs/>
          <w:sz w:val="20"/>
          <w:szCs w:val="20"/>
        </w:rPr>
        <w:t xml:space="preserve"> DHP was the most robust and</w:t>
      </w:r>
      <w:r w:rsidR="00F7155C">
        <w:rPr>
          <w:rFonts w:ascii="Arial" w:hAnsi="Arial" w:cs="Arial"/>
          <w:bCs/>
          <w:sz w:val="20"/>
          <w:szCs w:val="20"/>
        </w:rPr>
        <w:t xml:space="preserve"> </w:t>
      </w:r>
      <w:r w:rsidR="00C1674E">
        <w:rPr>
          <w:rFonts w:ascii="Arial" w:hAnsi="Arial" w:cs="Arial"/>
          <w:bCs/>
          <w:sz w:val="20"/>
          <w:szCs w:val="20"/>
        </w:rPr>
        <w:t xml:space="preserve">least sensitive to illumination conditions.  </w:t>
      </w:r>
      <w:r w:rsidR="00181ABD">
        <w:rPr>
          <w:rFonts w:ascii="Arial" w:hAnsi="Arial" w:cs="Arial"/>
          <w:sz w:val="20"/>
          <w:szCs w:val="20"/>
        </w:rPr>
        <w:t xml:space="preserve">Importantly, advances in </w:t>
      </w:r>
      <w:r w:rsidR="00C1674E">
        <w:rPr>
          <w:rFonts w:ascii="Arial" w:hAnsi="Arial" w:cs="Arial"/>
          <w:sz w:val="20"/>
          <w:szCs w:val="20"/>
        </w:rPr>
        <w:t>processing</w:t>
      </w:r>
      <w:r w:rsidR="00181ABD">
        <w:rPr>
          <w:rFonts w:ascii="Arial" w:hAnsi="Arial" w:cs="Arial"/>
          <w:sz w:val="20"/>
          <w:szCs w:val="20"/>
        </w:rPr>
        <w:t xml:space="preserve"> DHP images with minimal user involvement</w:t>
      </w:r>
      <w:r w:rsidR="00C1674E">
        <w:rPr>
          <w:rFonts w:ascii="Arial" w:hAnsi="Arial" w:cs="Arial"/>
          <w:sz w:val="20"/>
          <w:szCs w:val="20"/>
        </w:rPr>
        <w:t xml:space="preserve"> have been made</w:t>
      </w:r>
      <w:r w:rsidR="00181ABD">
        <w:rPr>
          <w:rFonts w:ascii="Arial" w:hAnsi="Arial" w:cs="Arial"/>
          <w:sz w:val="20"/>
          <w:szCs w:val="20"/>
        </w:rPr>
        <w:t xml:space="preserve"> in recent years</w:t>
      </w:r>
      <w:r w:rsidR="00C1674E">
        <w:rPr>
          <w:rFonts w:ascii="Arial" w:hAnsi="Arial" w:cs="Arial"/>
          <w:sz w:val="20"/>
          <w:szCs w:val="20"/>
        </w:rPr>
        <w:t xml:space="preserve"> </w:t>
      </w:r>
      <w:r w:rsidR="00C1674E">
        <w:rPr>
          <w:rFonts w:ascii="Arial" w:hAnsi="Arial" w:cs="Arial"/>
          <w:sz w:val="20"/>
          <w:szCs w:val="20"/>
        </w:rPr>
        <w:fldChar w:fldCharType="begin" w:fldLock="1"/>
      </w:r>
      <w:r w:rsidR="00DA7DEA">
        <w:rPr>
          <w:rFonts w:ascii="Arial" w:hAnsi="Arial" w:cs="Arial"/>
          <w:sz w:val="20"/>
          <w:szCs w:val="20"/>
        </w:rPr>
        <w:instrText>ADDIN CSL_CITATION {"citationItems":[{"id":"ITEM-1","itemData":{"DOI":"10.1016/j.agrformet.2014.05.014","ISBN":"0168-1923","ISSN":"01681923","abstract":"Estimates of the canopy gap fraction, on which calculations of leaf area index (LAI) are based, are sensitive to photographic exposure in upward-facing images. In this article we describe a simple, automated method of image acquisition and processing that eliminates both subjectivity and the need for the operator to consider photographic exposure in the field. A key strength of our methodology was the use of a test apparatus (perforated aluminum screen) with a precisely known gap fraction; this allowed us to separate the confounding effects of gap size and gap fraction on the optimal photographic exposure for a canopy. We took photographs of the test apparatus at different photographic exposures; we varied the gap fraction by covering a proportion of the holes in the screen, and also varied gap size by varying the distance of the camera from the screen. We acquired both raw images and JPEG images. We found that the optimal exposure of JPEG images varied with both gap size and gap fraction, not just gap fraction as previously assumed. Underexposing by one stop yielded raw data that were never clipped resulting in data loss, but that used most of the 14-bit range of the raw file. We also found that it was easily possible to standardize photographic exposure during image processing by acquiring raw images in the field; thus eliminating the variation in estimated gap fraction and LAI associated with exposure variations. This result was replicated in both fisheye images and cover images that we acquired in real canopies. We recommend the following protocol for acquiring canopy images in future studies:. 1.Shoot raw using one stop of underexposure.2.Convert propriety-format raw files to DNG format using the free software Adobe DNG Converter.3.Contrast stretch the blue channel of the image and save as JPG for further analysis. The authors can supply MATLAB script to perform this step. ?? 2014.","author":[{"dropping-particle":"","family":"Macfarlane","given":"Craig","non-dropping-particle":"","parse-names":false,"suffix":""},{"dropping-particle":"","family":"Ryu","given":"Youngryel","non-dropping-particle":"","parse-names":false,"suffix":""},{"dropping-particle":"","family":"Ogden","given":"Gary N.","non-dropping-particle":"","parse-names":false,"suffix":""},{"dropping-particle":"","family":"Sonnentag","given":"Oliver","non-dropping-particle":"","parse-names":false,"suffix":""}],"container-title":"Agricultural and Forest Meteorology","id":"ITEM-1","issued":{"date-parts":[["2014","10"]]},"page":"244-253","title":"Digital canopy photography: Exposed and in the raw","type":"article-journal","volume":"197"},"uris":["http://www.mendeley.com/documents/?uuid=7d597242-3188-4d3c-b46a-23edda97b902"]},{"id":"ITEM-2","itemData":{"DOI":"10.1016/j.agrformet.2012.02.007","ISBN":"0168-1923","ISSN":"01681923","abstract":"Digital hemispherical photography (DHP) has become a widely used tool for the estimation of forest structural attributes, such as gap fraction, Leaf Area Index (LAI), effective Plant Area Index (PAI e), and clumping. This development was boosted not only by a rapid technical advance in the field of digital photography but also by the inherent advantages of DHP for in situ measurements of forest structural attributes. However the major drawback of using DHP for the estimation of forest structural attributes is the lack of standardization which impedes a consistent compatibility with other indirect methods. This lack of standardization is mainly due to uncertainties introduced at the stage of image acquisition and processing. Of these, the determination of optimum exposure and thresholding in the image processing chain are two major influences. In this work influences on the estimation of forest structural attributes, namely the radiometric image resolution, the file format and the image band selection, were studied, in particular with regard to the inter-dependence with exposure and the threshold algorithm applied. For this purpose four different automatic threshold algorithms (Ridler, Otsu, Minimum, Isodata) were tested. Results show that the file format and the image band selection influence the estimation of gap fraction, PAI e and clumping indices. The magnitude of this effect however varies with the threshold algorithm applied, i.e. with a strong effect for the Minimum and Isodata algorithms and little effect for the Ridler and Otsu algorithms. The radiometric image resolution was found to cause only a marginal effect. Based on a comparison with LAI-2000 measurements it could also be demonstrated that the file format and the image band selection affect the determination of the optimum exposure. To resolve these issues an efficient approach to standardizing the processing of hemispherical images is proposed. This approach constitutes the stacking of five differently exposed hemispherical images and passing them to an automated clustering algorithm (Isodata) with the subsequent generation of gap fraction images. The resulting PAI e estimation performs better than or comparably to the estimation based on optimally exposed single images. In addition to being robust and objective, our approach provides consistent compatibility with the LAI-2000. © 2012 Elsevier B.V.","author":[{"dropping-particle":"","family":"Pueschel","given":"Pyare","non-dropping-particle":"","parse-names":false,"suffix":""},{"dropping-particle":"","family":"Buddenbaum","given":"Henning","non-dropping-particle":"","parse-names":false,"suffix":""},{"dropping-particle":"","family":"Hill","given":"Joachim","non-dropping-particle":"","parse-names":false,"suffix":""}],"container-title":"Agricultural and Forest Meteorology","id":"ITEM-2","issued":{"date-parts":[["2012","7"]]},"page":"1-13","title":"An efficient approach to standardizing the processing of hemispherical images for the estimation of forest structural attributes","type":"article-journal","volume":"160"},"uris":["http://www.mendeley.com/documents/?uuid=eab6de28-0f46-49a8-9171-5d63b53e6283"]},{"id":"ITEM-3","itemData":{"DOI":"10.1016/j.agrformet.2005.06.003","ISBN":"0168-1923","ISSN":"01681923","abstract":"Thresholding is a central part of the analysis of hemispherical images in terms of gap fraction and leaf area index (LAI), and the selection of optimal thresholds has remained a challenge over decades. The need for an objective, automatic, operator-independent thresholding method has long been of interest to scientists using hemispherical photography. This manuscript deals with the comparison of a wide variety of different well-known automatic thresholding techniques against the subjective manual method, using high-dynamic range digital hemispherical photographs. The performance of the different thresholding methods was evaluated based on: (1) visual inspection by means of a multi-criteria decision system and (2) quantitative analysis of the methods' sensitivity to an overall performance criterium. The automatic Ridler clustering method proved to be the most robust thresholding method for various canopy structure conditions. This automatic method might be the best solution for a fast, reliable and objective use of hemispherical photographs for gap fraction and LAI estimation in forest stands, given that the threshold setting is no longer manually performed. The fine-tuning potential of local thresholding methods to better address particular photographic limitations (e.g. over-exposure in a certain image region) is also presented. ?? 2005 Elsevier B.V. All rights reserved.","author":[{"dropping-particle":"","family":"Jonckheere","given":"Inge","non-dropping-particle":"","parse-names":false,"suffix":""},{"dropping-particle":"","family":"Nackaerts","given":"Kris","non-dropping-particle":"","parse-names":false,"suffix":""},{"dropping-particle":"","family":"Muys","given":"Bart","non-dropping-particle":"","parse-names":false,"suffix":""},{"dropping-particle":"","family":"Coppin","given":"Pol","non-dropping-particle":"","parse-names":false,"suffix":""}],"container-title":"Agricultural and Forest Meteorology","id":"ITEM-3","issue":"1-2","issued":{"date-parts":[["2005","9"]]},"page":"96-114","title":"Assessment of automatic gap fraction estimation of forests from digital hemispherical photography","type":"article-journal","volume":"132"},"uris":["http://www.mendeley.com/documents/?uuid=6a484b2f-33b5-3335-a3cc-6b791d4ac59a"]}],"mendeley":{"formattedCitation":"(Jonckheere et al., 2005; Macfarlane et al., 2014; Pueschel et al., 2012)","plainTextFormattedCitation":"(Jonckheere et al., 2005; Macfarlane et al., 2014; Pueschel et al., 2012)","previouslyFormattedCitation":"(Jonckheere et al., 2005; Macfarlane et al., 2014; Pueschel et al., 2012)"},"properties":{"noteIndex":0},"schema":"https://github.com/citation-style-language/schema/raw/master/csl-citation.json"}</w:instrText>
      </w:r>
      <w:r w:rsidR="00C1674E">
        <w:rPr>
          <w:rFonts w:ascii="Arial" w:hAnsi="Arial" w:cs="Arial"/>
          <w:sz w:val="20"/>
          <w:szCs w:val="20"/>
        </w:rPr>
        <w:fldChar w:fldCharType="separate"/>
      </w:r>
      <w:r w:rsidR="00DD55C9" w:rsidRPr="00DD55C9">
        <w:rPr>
          <w:rFonts w:ascii="Arial" w:hAnsi="Arial" w:cs="Arial"/>
          <w:noProof/>
          <w:sz w:val="20"/>
          <w:szCs w:val="20"/>
        </w:rPr>
        <w:t>(Jonckheere et al., 2005; Macfarlane et al., 2014; Pueschel et al., 2012)</w:t>
      </w:r>
      <w:r w:rsidR="00C1674E">
        <w:rPr>
          <w:rFonts w:ascii="Arial" w:hAnsi="Arial" w:cs="Arial"/>
          <w:sz w:val="20"/>
          <w:szCs w:val="20"/>
        </w:rPr>
        <w:fldChar w:fldCharType="end"/>
      </w:r>
      <w:r w:rsidR="00C14200">
        <w:rPr>
          <w:rFonts w:ascii="Arial" w:hAnsi="Arial" w:cs="Arial"/>
          <w:sz w:val="20"/>
          <w:szCs w:val="20"/>
        </w:rPr>
        <w:t>.  Using</w:t>
      </w:r>
      <w:r w:rsidR="004A1054">
        <w:rPr>
          <w:rFonts w:ascii="Arial" w:hAnsi="Arial" w:cs="Arial"/>
          <w:sz w:val="20"/>
          <w:szCs w:val="20"/>
        </w:rPr>
        <w:t xml:space="preserve"> </w:t>
      </w:r>
      <w:r w:rsidR="00B33196">
        <w:rPr>
          <w:rFonts w:ascii="Arial" w:hAnsi="Arial" w:cs="Arial"/>
          <w:sz w:val="20"/>
          <w:szCs w:val="20"/>
        </w:rPr>
        <w:t>thir</w:t>
      </w:r>
      <w:r w:rsidR="004A1054">
        <w:rPr>
          <w:rFonts w:ascii="Arial" w:hAnsi="Arial" w:cs="Arial"/>
          <w:sz w:val="20"/>
          <w:szCs w:val="20"/>
        </w:rPr>
        <w:t>teen months of</w:t>
      </w:r>
      <w:r w:rsidR="00C14200">
        <w:rPr>
          <w:rFonts w:ascii="Arial" w:hAnsi="Arial" w:cs="Arial"/>
          <w:sz w:val="20"/>
          <w:szCs w:val="20"/>
        </w:rPr>
        <w:t xml:space="preserve"> data collected at </w:t>
      </w:r>
      <w:proofErr w:type="spellStart"/>
      <w:r w:rsidR="00903EF2">
        <w:rPr>
          <w:rFonts w:ascii="Arial" w:hAnsi="Arial" w:cs="Arial"/>
          <w:sz w:val="20"/>
          <w:szCs w:val="20"/>
        </w:rPr>
        <w:t>Wytham</w:t>
      </w:r>
      <w:proofErr w:type="spellEnd"/>
      <w:r w:rsidR="00903EF2">
        <w:rPr>
          <w:rFonts w:ascii="Arial" w:hAnsi="Arial" w:cs="Arial"/>
          <w:sz w:val="20"/>
          <w:szCs w:val="20"/>
        </w:rPr>
        <w:t xml:space="preserve"> Woods, </w:t>
      </w:r>
      <w:r w:rsidR="00C14200">
        <w:rPr>
          <w:rFonts w:ascii="Arial" w:hAnsi="Arial" w:cs="Arial"/>
          <w:sz w:val="20"/>
          <w:szCs w:val="20"/>
        </w:rPr>
        <w:t xml:space="preserve">a deciduous broadleaf forest </w:t>
      </w:r>
      <w:r w:rsidR="00DE3BC6">
        <w:rPr>
          <w:rFonts w:ascii="Arial" w:hAnsi="Arial" w:cs="Arial"/>
          <w:sz w:val="20"/>
          <w:szCs w:val="20"/>
        </w:rPr>
        <w:t xml:space="preserve">site </w:t>
      </w:r>
      <w:r w:rsidR="00C14200">
        <w:rPr>
          <w:rFonts w:ascii="Arial" w:hAnsi="Arial" w:cs="Arial"/>
          <w:sz w:val="20"/>
          <w:szCs w:val="20"/>
        </w:rPr>
        <w:t xml:space="preserve">in Southern England, we </w:t>
      </w:r>
      <w:r w:rsidR="00D26692">
        <w:rPr>
          <w:rFonts w:ascii="Arial" w:hAnsi="Arial" w:cs="Arial"/>
          <w:sz w:val="20"/>
          <w:szCs w:val="20"/>
        </w:rPr>
        <w:t>assess</w:t>
      </w:r>
      <w:r w:rsidR="00C14200">
        <w:rPr>
          <w:rFonts w:ascii="Arial" w:hAnsi="Arial" w:cs="Arial"/>
          <w:sz w:val="20"/>
          <w:szCs w:val="20"/>
        </w:rPr>
        <w:t xml:space="preserve"> the ability of automated DHP </w:t>
      </w:r>
      <w:r w:rsidR="004A1054">
        <w:rPr>
          <w:rFonts w:ascii="Arial" w:hAnsi="Arial" w:cs="Arial"/>
          <w:sz w:val="20"/>
          <w:szCs w:val="20"/>
        </w:rPr>
        <w:t xml:space="preserve">acquisition and data processing methods </w:t>
      </w:r>
      <w:r w:rsidR="00C14200">
        <w:rPr>
          <w:rFonts w:ascii="Arial" w:hAnsi="Arial" w:cs="Arial"/>
          <w:sz w:val="20"/>
          <w:szCs w:val="20"/>
        </w:rPr>
        <w:t xml:space="preserve">to track forest </w:t>
      </w:r>
      <w:r w:rsidR="004A1054">
        <w:rPr>
          <w:rFonts w:ascii="Arial" w:hAnsi="Arial" w:cs="Arial"/>
          <w:sz w:val="20"/>
          <w:szCs w:val="20"/>
        </w:rPr>
        <w:t xml:space="preserve">LAI.  We then </w:t>
      </w:r>
      <w:r w:rsidR="00CB7934">
        <w:rPr>
          <w:rFonts w:ascii="Arial" w:hAnsi="Arial" w:cs="Arial"/>
          <w:sz w:val="20"/>
          <w:szCs w:val="20"/>
        </w:rPr>
        <w:t xml:space="preserve">compare </w:t>
      </w:r>
      <w:r w:rsidR="00F80644">
        <w:rPr>
          <w:rFonts w:ascii="Arial" w:hAnsi="Arial" w:cs="Arial"/>
          <w:sz w:val="20"/>
          <w:szCs w:val="20"/>
        </w:rPr>
        <w:t xml:space="preserve">the technique with </w:t>
      </w:r>
      <w:r w:rsidR="00011276">
        <w:rPr>
          <w:rFonts w:ascii="Arial" w:hAnsi="Arial" w:cs="Arial"/>
          <w:sz w:val="20"/>
          <w:szCs w:val="20"/>
        </w:rPr>
        <w:t xml:space="preserve">above-canopy </w:t>
      </w:r>
      <w:r w:rsidR="00F80644">
        <w:rPr>
          <w:rFonts w:ascii="Arial" w:hAnsi="Arial" w:cs="Arial"/>
          <w:sz w:val="20"/>
          <w:szCs w:val="20"/>
        </w:rPr>
        <w:t>digital repeat photography</w:t>
      </w:r>
      <w:r w:rsidR="0079236B">
        <w:rPr>
          <w:rFonts w:ascii="Arial" w:hAnsi="Arial" w:cs="Arial"/>
          <w:sz w:val="20"/>
          <w:szCs w:val="20"/>
        </w:rPr>
        <w:t xml:space="preserve"> using colour indices</w:t>
      </w:r>
      <w:r w:rsidR="00CB7934">
        <w:rPr>
          <w:rFonts w:ascii="Arial" w:hAnsi="Arial" w:cs="Arial"/>
          <w:sz w:val="20"/>
          <w:szCs w:val="20"/>
        </w:rPr>
        <w:t>.</w:t>
      </w:r>
      <w:r w:rsidR="00D3180E">
        <w:rPr>
          <w:rFonts w:ascii="Arial" w:hAnsi="Arial" w:cs="Arial"/>
          <w:bCs/>
          <w:sz w:val="20"/>
          <w:szCs w:val="20"/>
        </w:rPr>
        <w:t xml:space="preserve">  </w:t>
      </w:r>
      <w:r w:rsidR="0035059E">
        <w:rPr>
          <w:rFonts w:ascii="Arial" w:hAnsi="Arial" w:cs="Arial"/>
          <w:bCs/>
          <w:sz w:val="20"/>
          <w:szCs w:val="20"/>
        </w:rPr>
        <w:t>In doing so, w</w:t>
      </w:r>
      <w:r w:rsidR="001A61C4">
        <w:rPr>
          <w:rFonts w:ascii="Arial" w:hAnsi="Arial" w:cs="Arial"/>
          <w:bCs/>
          <w:sz w:val="20"/>
          <w:szCs w:val="20"/>
        </w:rPr>
        <w:t>e attempt</w:t>
      </w:r>
      <w:r w:rsidR="0035059E">
        <w:rPr>
          <w:rFonts w:ascii="Arial" w:hAnsi="Arial" w:cs="Arial"/>
          <w:bCs/>
          <w:sz w:val="20"/>
          <w:szCs w:val="20"/>
        </w:rPr>
        <w:t xml:space="preserve"> to answer the following questions:</w:t>
      </w:r>
    </w:p>
    <w:p w14:paraId="6892ECE2" w14:textId="26DF62E0" w:rsidR="00666AAE" w:rsidRDefault="00666AAE" w:rsidP="00EB49B7">
      <w:pPr>
        <w:pStyle w:val="ListParagraph"/>
        <w:numPr>
          <w:ilvl w:val="0"/>
          <w:numId w:val="12"/>
        </w:numPr>
        <w:spacing w:line="480" w:lineRule="auto"/>
        <w:jc w:val="both"/>
        <w:rPr>
          <w:rFonts w:ascii="Arial" w:hAnsi="Arial" w:cs="Arial"/>
          <w:bCs/>
          <w:sz w:val="20"/>
          <w:szCs w:val="20"/>
        </w:rPr>
      </w:pPr>
      <w:r>
        <w:rPr>
          <w:rFonts w:ascii="Arial" w:hAnsi="Arial" w:cs="Arial"/>
          <w:bCs/>
          <w:sz w:val="20"/>
          <w:szCs w:val="20"/>
        </w:rPr>
        <w:t>Can robust estimates of LAI be derived from continuous time-series of automated DHP images?</w:t>
      </w:r>
    </w:p>
    <w:p w14:paraId="6D49C27B" w14:textId="45BF0B63" w:rsidR="00926C25" w:rsidRDefault="00196F10" w:rsidP="00EB49B7">
      <w:pPr>
        <w:pStyle w:val="ListParagraph"/>
        <w:numPr>
          <w:ilvl w:val="0"/>
          <w:numId w:val="12"/>
        </w:numPr>
        <w:spacing w:line="480" w:lineRule="auto"/>
        <w:jc w:val="both"/>
        <w:rPr>
          <w:rFonts w:ascii="Arial" w:hAnsi="Arial" w:cs="Arial"/>
          <w:bCs/>
          <w:sz w:val="20"/>
          <w:szCs w:val="20"/>
        </w:rPr>
      </w:pPr>
      <w:r>
        <w:rPr>
          <w:rFonts w:ascii="Arial" w:hAnsi="Arial" w:cs="Arial"/>
          <w:bCs/>
          <w:sz w:val="20"/>
          <w:szCs w:val="20"/>
        </w:rPr>
        <w:t>How are</w:t>
      </w:r>
      <w:r w:rsidR="00926C25">
        <w:rPr>
          <w:rFonts w:ascii="Arial" w:hAnsi="Arial" w:cs="Arial"/>
          <w:bCs/>
          <w:sz w:val="20"/>
          <w:szCs w:val="20"/>
        </w:rPr>
        <w:t xml:space="preserve"> colour indices derived using </w:t>
      </w:r>
      <w:r w:rsidR="007D4451">
        <w:rPr>
          <w:rFonts w:ascii="Arial" w:hAnsi="Arial" w:cs="Arial"/>
          <w:bCs/>
          <w:sz w:val="20"/>
          <w:szCs w:val="20"/>
        </w:rPr>
        <w:t xml:space="preserve">above-canopy </w:t>
      </w:r>
      <w:r w:rsidR="00926C25">
        <w:rPr>
          <w:rFonts w:ascii="Arial" w:hAnsi="Arial" w:cs="Arial"/>
          <w:bCs/>
          <w:sz w:val="20"/>
          <w:szCs w:val="20"/>
        </w:rPr>
        <w:t>digital repeat photography</w:t>
      </w:r>
      <w:r>
        <w:rPr>
          <w:rFonts w:ascii="Arial" w:hAnsi="Arial" w:cs="Arial"/>
          <w:bCs/>
          <w:sz w:val="20"/>
          <w:szCs w:val="20"/>
        </w:rPr>
        <w:t xml:space="preserve"> related to LAI</w:t>
      </w:r>
      <w:r w:rsidR="00D3180E">
        <w:rPr>
          <w:rFonts w:ascii="Arial" w:hAnsi="Arial" w:cs="Arial"/>
          <w:bCs/>
          <w:sz w:val="20"/>
          <w:szCs w:val="20"/>
        </w:rPr>
        <w:t>?</w:t>
      </w:r>
    </w:p>
    <w:p w14:paraId="4B11F363" w14:textId="31F5BD73" w:rsidR="00EB49B7" w:rsidRDefault="0035059E" w:rsidP="00EB49B7">
      <w:pPr>
        <w:pStyle w:val="ListParagraph"/>
        <w:numPr>
          <w:ilvl w:val="0"/>
          <w:numId w:val="12"/>
        </w:numPr>
        <w:spacing w:line="480" w:lineRule="auto"/>
        <w:jc w:val="both"/>
        <w:rPr>
          <w:rFonts w:ascii="Arial" w:hAnsi="Arial" w:cs="Arial"/>
          <w:bCs/>
          <w:sz w:val="20"/>
          <w:szCs w:val="20"/>
        </w:rPr>
      </w:pPr>
      <w:r>
        <w:rPr>
          <w:rFonts w:ascii="Arial" w:hAnsi="Arial" w:cs="Arial"/>
          <w:bCs/>
          <w:sz w:val="20"/>
          <w:szCs w:val="20"/>
        </w:rPr>
        <w:t>Are</w:t>
      </w:r>
      <w:r w:rsidR="00926C25">
        <w:rPr>
          <w:rFonts w:ascii="Arial" w:hAnsi="Arial" w:cs="Arial"/>
          <w:bCs/>
          <w:sz w:val="20"/>
          <w:szCs w:val="20"/>
        </w:rPr>
        <w:t xml:space="preserve"> </w:t>
      </w:r>
      <w:r>
        <w:rPr>
          <w:rFonts w:ascii="Arial" w:hAnsi="Arial" w:cs="Arial"/>
          <w:bCs/>
          <w:sz w:val="20"/>
          <w:szCs w:val="20"/>
        </w:rPr>
        <w:t xml:space="preserve">there </w:t>
      </w:r>
      <w:r w:rsidR="003F5B19">
        <w:rPr>
          <w:rFonts w:ascii="Arial" w:hAnsi="Arial" w:cs="Arial"/>
          <w:bCs/>
          <w:sz w:val="20"/>
          <w:szCs w:val="20"/>
        </w:rPr>
        <w:t xml:space="preserve">substantial </w:t>
      </w:r>
      <w:r w:rsidR="00926C25">
        <w:rPr>
          <w:rFonts w:ascii="Arial" w:hAnsi="Arial" w:cs="Arial"/>
          <w:bCs/>
          <w:sz w:val="20"/>
          <w:szCs w:val="20"/>
        </w:rPr>
        <w:t xml:space="preserve">differences between phenological </w:t>
      </w:r>
      <w:r w:rsidR="00AC4BD0">
        <w:rPr>
          <w:rFonts w:ascii="Arial" w:hAnsi="Arial" w:cs="Arial"/>
          <w:bCs/>
          <w:sz w:val="20"/>
          <w:szCs w:val="20"/>
        </w:rPr>
        <w:t xml:space="preserve">transition dates </w:t>
      </w:r>
      <w:r w:rsidR="00926C25">
        <w:rPr>
          <w:rFonts w:ascii="Arial" w:hAnsi="Arial" w:cs="Arial"/>
          <w:bCs/>
          <w:sz w:val="20"/>
          <w:szCs w:val="20"/>
        </w:rPr>
        <w:t xml:space="preserve">derived from time-series of </w:t>
      </w:r>
      <w:r w:rsidR="00D3180E">
        <w:rPr>
          <w:rFonts w:ascii="Arial" w:hAnsi="Arial" w:cs="Arial"/>
          <w:bCs/>
          <w:sz w:val="20"/>
          <w:szCs w:val="20"/>
        </w:rPr>
        <w:t xml:space="preserve">LAI and </w:t>
      </w:r>
      <w:r w:rsidR="00926C25">
        <w:rPr>
          <w:rFonts w:ascii="Arial" w:hAnsi="Arial" w:cs="Arial"/>
          <w:bCs/>
          <w:sz w:val="20"/>
          <w:szCs w:val="20"/>
        </w:rPr>
        <w:t>colour indices</w:t>
      </w:r>
      <w:r>
        <w:rPr>
          <w:rFonts w:ascii="Arial" w:hAnsi="Arial" w:cs="Arial"/>
          <w:bCs/>
          <w:sz w:val="20"/>
          <w:szCs w:val="20"/>
        </w:rPr>
        <w:t>?</w:t>
      </w:r>
    </w:p>
    <w:p w14:paraId="3B71B613" w14:textId="77777777" w:rsidR="00203D4E" w:rsidRDefault="00203D4E" w:rsidP="00EB49B7">
      <w:pPr>
        <w:pStyle w:val="ListParagraph"/>
        <w:numPr>
          <w:ilvl w:val="0"/>
          <w:numId w:val="12"/>
        </w:numPr>
        <w:spacing w:line="480" w:lineRule="auto"/>
        <w:jc w:val="both"/>
        <w:rPr>
          <w:rFonts w:ascii="Arial" w:hAnsi="Arial" w:cs="Arial"/>
          <w:bCs/>
          <w:sz w:val="20"/>
          <w:szCs w:val="20"/>
        </w:rPr>
        <w:sectPr w:rsidR="00203D4E" w:rsidSect="00C660FC">
          <w:footerReference w:type="default" r:id="rId8"/>
          <w:pgSz w:w="11907" w:h="16839" w:code="9"/>
          <w:pgMar w:top="1440" w:right="1440" w:bottom="1440" w:left="1440" w:header="708" w:footer="708" w:gutter="0"/>
          <w:lnNumType w:countBy="1" w:restart="continuous"/>
          <w:cols w:space="708"/>
          <w:docGrid w:linePitch="360"/>
        </w:sectPr>
      </w:pPr>
    </w:p>
    <w:p w14:paraId="4B4BE262" w14:textId="32C47619" w:rsidR="00D97A10" w:rsidRPr="00F71355" w:rsidRDefault="005C2DF4" w:rsidP="00D97A10">
      <w:pPr>
        <w:spacing w:line="480" w:lineRule="auto"/>
        <w:jc w:val="both"/>
        <w:rPr>
          <w:rFonts w:ascii="Arial" w:hAnsi="Arial" w:cs="Arial"/>
          <w:b/>
          <w:sz w:val="20"/>
          <w:szCs w:val="20"/>
        </w:rPr>
      </w:pPr>
      <w:r w:rsidRPr="00044E3C">
        <w:rPr>
          <w:rFonts w:ascii="Arial" w:hAnsi="Arial" w:cs="Arial"/>
          <w:b/>
          <w:sz w:val="20"/>
          <w:szCs w:val="20"/>
        </w:rPr>
        <w:lastRenderedPageBreak/>
        <w:t xml:space="preserve">2. </w:t>
      </w:r>
      <w:r w:rsidR="00086ABA">
        <w:rPr>
          <w:rFonts w:ascii="Arial" w:hAnsi="Arial" w:cs="Arial"/>
          <w:b/>
          <w:sz w:val="20"/>
          <w:szCs w:val="20"/>
        </w:rPr>
        <w:t>Materials and methods</w:t>
      </w:r>
    </w:p>
    <w:p w14:paraId="7030DEC8" w14:textId="77777777" w:rsidR="00F71355" w:rsidRDefault="00F71355" w:rsidP="00D97A10">
      <w:pPr>
        <w:spacing w:line="480" w:lineRule="auto"/>
        <w:jc w:val="both"/>
        <w:rPr>
          <w:rFonts w:ascii="Arial" w:eastAsia="Times New Roman" w:hAnsi="Arial" w:cs="Arial"/>
          <w:sz w:val="20"/>
          <w:szCs w:val="20"/>
        </w:rPr>
      </w:pPr>
      <w:r>
        <w:rPr>
          <w:rFonts w:ascii="Arial" w:eastAsia="Times New Roman" w:hAnsi="Arial" w:cs="Arial"/>
          <w:i/>
          <w:iCs/>
          <w:sz w:val="20"/>
          <w:szCs w:val="20"/>
        </w:rPr>
        <w:t>2.1. Study site</w:t>
      </w:r>
    </w:p>
    <w:p w14:paraId="46C9BE02" w14:textId="56A2173F" w:rsidR="002E4F13" w:rsidRDefault="005E2869" w:rsidP="00D97A10">
      <w:pPr>
        <w:spacing w:line="480" w:lineRule="auto"/>
        <w:jc w:val="both"/>
        <w:rPr>
          <w:rFonts w:ascii="Arial" w:eastAsia="Times New Roman" w:hAnsi="Arial" w:cs="Arial"/>
          <w:sz w:val="20"/>
          <w:szCs w:val="20"/>
        </w:rPr>
      </w:pPr>
      <w:bookmarkStart w:id="2" w:name="_Hlk27315379"/>
      <w:r>
        <w:rPr>
          <w:rFonts w:ascii="Arial" w:eastAsia="Times New Roman" w:hAnsi="Arial" w:cs="Arial"/>
          <w:sz w:val="20"/>
          <w:szCs w:val="20"/>
        </w:rPr>
        <w:t>The study took place</w:t>
      </w:r>
      <w:r w:rsidR="002E4F13">
        <w:rPr>
          <w:rFonts w:ascii="Arial" w:eastAsia="Times New Roman" w:hAnsi="Arial" w:cs="Arial"/>
          <w:sz w:val="20"/>
          <w:szCs w:val="20"/>
        </w:rPr>
        <w:t xml:space="preserve"> at </w:t>
      </w:r>
      <w:proofErr w:type="spellStart"/>
      <w:r w:rsidR="002E4F13">
        <w:rPr>
          <w:rFonts w:ascii="Arial" w:eastAsia="Times New Roman" w:hAnsi="Arial" w:cs="Arial"/>
          <w:sz w:val="20"/>
          <w:szCs w:val="20"/>
        </w:rPr>
        <w:t>Wytham</w:t>
      </w:r>
      <w:proofErr w:type="spellEnd"/>
      <w:r w:rsidR="002E4F13">
        <w:rPr>
          <w:rFonts w:ascii="Arial" w:eastAsia="Times New Roman" w:hAnsi="Arial" w:cs="Arial"/>
          <w:sz w:val="20"/>
          <w:szCs w:val="20"/>
        </w:rPr>
        <w:t xml:space="preserve"> Woods (</w:t>
      </w:r>
      <w:r w:rsidR="0082179D">
        <w:rPr>
          <w:rFonts w:ascii="Arial" w:eastAsia="Times New Roman" w:hAnsi="Arial" w:cs="Arial"/>
          <w:sz w:val="20"/>
          <w:szCs w:val="20"/>
        </w:rPr>
        <w:t>51.7734</w:t>
      </w:r>
      <w:r w:rsidR="0082179D">
        <w:rPr>
          <w:rFonts w:ascii="Arial" w:hAnsi="Arial" w:cs="Arial"/>
          <w:sz w:val="20"/>
          <w:szCs w:val="20"/>
        </w:rPr>
        <w:t>°</w:t>
      </w:r>
      <w:r w:rsidR="0082179D">
        <w:rPr>
          <w:rFonts w:ascii="Arial" w:eastAsia="Times New Roman" w:hAnsi="Arial" w:cs="Arial"/>
          <w:sz w:val="20"/>
          <w:szCs w:val="20"/>
        </w:rPr>
        <w:t xml:space="preserve"> N, 1.3384</w:t>
      </w:r>
      <w:r w:rsidR="0082179D">
        <w:rPr>
          <w:rFonts w:ascii="Arial" w:hAnsi="Arial" w:cs="Arial"/>
          <w:sz w:val="20"/>
          <w:szCs w:val="20"/>
        </w:rPr>
        <w:t>°</w:t>
      </w:r>
      <w:r w:rsidR="0082179D">
        <w:rPr>
          <w:rFonts w:ascii="Arial" w:eastAsia="Times New Roman" w:hAnsi="Arial" w:cs="Arial"/>
          <w:sz w:val="20"/>
          <w:szCs w:val="20"/>
        </w:rPr>
        <w:t xml:space="preserve"> W</w:t>
      </w:r>
      <w:r w:rsidR="002E4F13">
        <w:rPr>
          <w:rFonts w:ascii="Arial" w:eastAsia="Times New Roman" w:hAnsi="Arial" w:cs="Arial"/>
          <w:sz w:val="20"/>
          <w:szCs w:val="20"/>
        </w:rPr>
        <w:t>), an established</w:t>
      </w:r>
      <w:r w:rsidR="004158BD">
        <w:rPr>
          <w:rFonts w:ascii="Arial" w:eastAsia="Times New Roman" w:hAnsi="Arial" w:cs="Arial"/>
          <w:sz w:val="20"/>
          <w:szCs w:val="20"/>
        </w:rPr>
        <w:t xml:space="preserve"> 400 ha</w:t>
      </w:r>
      <w:r w:rsidR="002E4F13">
        <w:rPr>
          <w:rFonts w:ascii="Arial" w:eastAsia="Times New Roman" w:hAnsi="Arial" w:cs="Arial"/>
          <w:sz w:val="20"/>
          <w:szCs w:val="20"/>
        </w:rPr>
        <w:t xml:space="preserve"> research forest</w:t>
      </w:r>
      <w:r w:rsidR="00D45663">
        <w:rPr>
          <w:rFonts w:ascii="Arial" w:eastAsia="Times New Roman" w:hAnsi="Arial" w:cs="Arial"/>
          <w:sz w:val="20"/>
          <w:szCs w:val="20"/>
        </w:rPr>
        <w:t xml:space="preserve"> </w:t>
      </w:r>
      <w:r w:rsidR="009454BF">
        <w:rPr>
          <w:rFonts w:ascii="Arial" w:eastAsia="Times New Roman" w:hAnsi="Arial" w:cs="Arial"/>
          <w:sz w:val="20"/>
          <w:szCs w:val="20"/>
        </w:rPr>
        <w:t xml:space="preserve">comprised of ancient semi-natural woodland </w:t>
      </w:r>
      <w:r w:rsidR="00D45663">
        <w:rPr>
          <w:rFonts w:ascii="Arial" w:eastAsia="Times New Roman" w:hAnsi="Arial" w:cs="Arial"/>
          <w:sz w:val="20"/>
          <w:szCs w:val="20"/>
        </w:rPr>
        <w:t xml:space="preserve">in </w:t>
      </w:r>
      <w:r w:rsidR="0082179D">
        <w:rPr>
          <w:rFonts w:ascii="Arial" w:eastAsia="Times New Roman" w:hAnsi="Arial" w:cs="Arial"/>
          <w:sz w:val="20"/>
          <w:szCs w:val="20"/>
        </w:rPr>
        <w:t>Oxfordshire, United Kingdom (UK)</w:t>
      </w:r>
      <w:r w:rsidR="00F80644">
        <w:rPr>
          <w:rFonts w:ascii="Arial" w:eastAsia="Times New Roman" w:hAnsi="Arial" w:cs="Arial"/>
          <w:sz w:val="20"/>
          <w:szCs w:val="20"/>
        </w:rPr>
        <w:t xml:space="preserve"> (Figure 1)</w:t>
      </w:r>
      <w:r w:rsidR="00D45663">
        <w:rPr>
          <w:rFonts w:ascii="Arial" w:eastAsia="Times New Roman" w:hAnsi="Arial" w:cs="Arial"/>
          <w:sz w:val="20"/>
          <w:szCs w:val="20"/>
        </w:rPr>
        <w:t>.</w:t>
      </w:r>
      <w:r w:rsidR="004158BD">
        <w:rPr>
          <w:rFonts w:ascii="Arial" w:eastAsia="Times New Roman" w:hAnsi="Arial" w:cs="Arial"/>
          <w:sz w:val="20"/>
          <w:szCs w:val="20"/>
        </w:rPr>
        <w:t xml:space="preserve">  </w:t>
      </w:r>
      <w:r w:rsidR="009D7701">
        <w:rPr>
          <w:rFonts w:ascii="Arial" w:eastAsia="Times New Roman" w:hAnsi="Arial" w:cs="Arial"/>
          <w:sz w:val="20"/>
          <w:szCs w:val="20"/>
        </w:rPr>
        <w:t>The site is characterised by clay soils, whilst t</w:t>
      </w:r>
      <w:r w:rsidR="004158BD">
        <w:rPr>
          <w:rFonts w:ascii="Arial" w:eastAsia="Times New Roman" w:hAnsi="Arial" w:cs="Arial"/>
          <w:sz w:val="20"/>
          <w:szCs w:val="20"/>
        </w:rPr>
        <w:t>he primary species are sycamore (</w:t>
      </w:r>
      <w:r w:rsidR="004158BD" w:rsidRPr="004158BD">
        <w:rPr>
          <w:rFonts w:ascii="Arial" w:eastAsia="Times New Roman" w:hAnsi="Arial" w:cs="Arial"/>
          <w:i/>
          <w:iCs/>
          <w:sz w:val="20"/>
          <w:szCs w:val="20"/>
        </w:rPr>
        <w:t xml:space="preserve">Acer </w:t>
      </w:r>
      <w:proofErr w:type="spellStart"/>
      <w:r w:rsidR="004158BD" w:rsidRPr="004158BD">
        <w:rPr>
          <w:rFonts w:ascii="Arial" w:eastAsia="Times New Roman" w:hAnsi="Arial" w:cs="Arial"/>
          <w:i/>
          <w:iCs/>
          <w:sz w:val="20"/>
          <w:szCs w:val="20"/>
        </w:rPr>
        <w:t>pseudoplatanus</w:t>
      </w:r>
      <w:proofErr w:type="spellEnd"/>
      <w:r w:rsidR="004158BD">
        <w:rPr>
          <w:rFonts w:ascii="Arial" w:eastAsia="Times New Roman" w:hAnsi="Arial" w:cs="Arial"/>
          <w:sz w:val="20"/>
          <w:szCs w:val="20"/>
        </w:rPr>
        <w:t>), ash (</w:t>
      </w:r>
      <w:r w:rsidR="004158BD">
        <w:rPr>
          <w:rFonts w:ascii="Arial" w:eastAsia="Times New Roman" w:hAnsi="Arial" w:cs="Arial"/>
          <w:i/>
          <w:iCs/>
          <w:sz w:val="20"/>
          <w:szCs w:val="20"/>
        </w:rPr>
        <w:t xml:space="preserve">Fraxinus </w:t>
      </w:r>
      <w:proofErr w:type="spellStart"/>
      <w:r w:rsidR="004158BD">
        <w:rPr>
          <w:rFonts w:ascii="Arial" w:eastAsia="Times New Roman" w:hAnsi="Arial" w:cs="Arial"/>
          <w:i/>
          <w:iCs/>
          <w:sz w:val="20"/>
          <w:szCs w:val="20"/>
        </w:rPr>
        <w:t>excelsoir</w:t>
      </w:r>
      <w:proofErr w:type="spellEnd"/>
      <w:r w:rsidR="004158BD">
        <w:rPr>
          <w:rFonts w:ascii="Arial" w:eastAsia="Times New Roman" w:hAnsi="Arial" w:cs="Arial"/>
          <w:sz w:val="20"/>
          <w:szCs w:val="20"/>
        </w:rPr>
        <w:t>), and hazel (</w:t>
      </w:r>
      <w:r w:rsidR="004158BD">
        <w:rPr>
          <w:rFonts w:ascii="Arial" w:eastAsia="Times New Roman" w:hAnsi="Arial" w:cs="Arial"/>
          <w:i/>
          <w:iCs/>
          <w:sz w:val="20"/>
          <w:szCs w:val="20"/>
        </w:rPr>
        <w:t xml:space="preserve">Corylus </w:t>
      </w:r>
      <w:proofErr w:type="spellStart"/>
      <w:r w:rsidR="004158BD">
        <w:rPr>
          <w:rFonts w:ascii="Arial" w:eastAsia="Times New Roman" w:hAnsi="Arial" w:cs="Arial"/>
          <w:i/>
          <w:iCs/>
          <w:sz w:val="20"/>
          <w:szCs w:val="20"/>
        </w:rPr>
        <w:t>avellana</w:t>
      </w:r>
      <w:proofErr w:type="spellEnd"/>
      <w:r w:rsidR="004158BD">
        <w:rPr>
          <w:rFonts w:ascii="Arial" w:eastAsia="Times New Roman" w:hAnsi="Arial" w:cs="Arial"/>
          <w:sz w:val="20"/>
          <w:szCs w:val="20"/>
        </w:rPr>
        <w:t>)</w:t>
      </w:r>
      <w:r w:rsidR="009454BF">
        <w:rPr>
          <w:rFonts w:ascii="Arial" w:eastAsia="Times New Roman" w:hAnsi="Arial" w:cs="Arial"/>
          <w:sz w:val="20"/>
          <w:szCs w:val="20"/>
        </w:rPr>
        <w:t>.</w:t>
      </w:r>
      <w:r w:rsidR="004158BD">
        <w:rPr>
          <w:rFonts w:ascii="Arial" w:eastAsia="Times New Roman" w:hAnsi="Arial" w:cs="Arial"/>
          <w:sz w:val="20"/>
          <w:szCs w:val="20"/>
        </w:rPr>
        <w:t xml:space="preserve"> </w:t>
      </w:r>
      <w:r w:rsidR="00D45663">
        <w:rPr>
          <w:rFonts w:ascii="Arial" w:eastAsia="Times New Roman" w:hAnsi="Arial" w:cs="Arial"/>
          <w:sz w:val="20"/>
          <w:szCs w:val="20"/>
        </w:rPr>
        <w:t xml:space="preserve">  </w:t>
      </w:r>
      <w:r w:rsidR="00AF114B">
        <w:rPr>
          <w:rFonts w:ascii="Arial" w:eastAsia="Times New Roman" w:hAnsi="Arial" w:cs="Arial"/>
          <w:sz w:val="20"/>
          <w:szCs w:val="20"/>
        </w:rPr>
        <w:t>M</w:t>
      </w:r>
      <w:r w:rsidR="00D45663">
        <w:rPr>
          <w:rFonts w:ascii="Arial" w:eastAsia="Times New Roman" w:hAnsi="Arial" w:cs="Arial"/>
          <w:sz w:val="20"/>
          <w:szCs w:val="20"/>
        </w:rPr>
        <w:t xml:space="preserve">anaged by the University of Oxford, </w:t>
      </w:r>
      <w:r w:rsidR="00AF114B">
        <w:rPr>
          <w:rFonts w:ascii="Arial" w:eastAsia="Times New Roman" w:hAnsi="Arial" w:cs="Arial"/>
          <w:sz w:val="20"/>
          <w:szCs w:val="20"/>
        </w:rPr>
        <w:t>the site forms</w:t>
      </w:r>
      <w:r w:rsidR="00D45663">
        <w:rPr>
          <w:rFonts w:ascii="Arial" w:eastAsia="Times New Roman" w:hAnsi="Arial" w:cs="Arial"/>
          <w:sz w:val="20"/>
          <w:szCs w:val="20"/>
        </w:rPr>
        <w:t xml:space="preserve"> part </w:t>
      </w:r>
      <w:r w:rsidR="00AF114B">
        <w:rPr>
          <w:rFonts w:ascii="Arial" w:eastAsia="Times New Roman" w:hAnsi="Arial" w:cs="Arial"/>
          <w:sz w:val="20"/>
          <w:szCs w:val="20"/>
        </w:rPr>
        <w:t>of</w:t>
      </w:r>
      <w:r w:rsidR="00D45663">
        <w:rPr>
          <w:rFonts w:ascii="Arial" w:eastAsia="Times New Roman" w:hAnsi="Arial" w:cs="Arial"/>
          <w:sz w:val="20"/>
          <w:szCs w:val="20"/>
        </w:rPr>
        <w:t xml:space="preserve"> the</w:t>
      </w:r>
      <w:r w:rsidR="00AF114B">
        <w:rPr>
          <w:rFonts w:ascii="Arial" w:eastAsia="Times New Roman" w:hAnsi="Arial" w:cs="Arial"/>
          <w:sz w:val="20"/>
          <w:szCs w:val="20"/>
        </w:rPr>
        <w:t xml:space="preserve"> UK Environmental Change Network (ECN)</w:t>
      </w:r>
      <w:r w:rsidR="009D7701">
        <w:rPr>
          <w:rFonts w:ascii="Arial" w:eastAsia="Times New Roman" w:hAnsi="Arial" w:cs="Arial"/>
          <w:sz w:val="20"/>
          <w:szCs w:val="20"/>
        </w:rPr>
        <w:t xml:space="preserve">, and </w:t>
      </w:r>
      <w:r w:rsidR="00AF114B">
        <w:rPr>
          <w:rFonts w:ascii="Arial" w:eastAsia="Times New Roman" w:hAnsi="Arial" w:cs="Arial"/>
          <w:sz w:val="20"/>
          <w:szCs w:val="20"/>
        </w:rPr>
        <w:t>features</w:t>
      </w:r>
      <w:r w:rsidR="002E4F13">
        <w:rPr>
          <w:rFonts w:ascii="Arial" w:eastAsia="Times New Roman" w:hAnsi="Arial" w:cs="Arial"/>
          <w:sz w:val="20"/>
          <w:szCs w:val="20"/>
        </w:rPr>
        <w:t xml:space="preserve"> a</w:t>
      </w:r>
      <w:r w:rsidR="00AF114B">
        <w:rPr>
          <w:rFonts w:ascii="Arial" w:eastAsia="Times New Roman" w:hAnsi="Arial" w:cs="Arial"/>
          <w:sz w:val="20"/>
          <w:szCs w:val="20"/>
        </w:rPr>
        <w:t xml:space="preserve">n </w:t>
      </w:r>
      <w:proofErr w:type="gramStart"/>
      <w:r w:rsidR="00AF114B">
        <w:rPr>
          <w:rFonts w:ascii="Arial" w:eastAsia="Times New Roman" w:hAnsi="Arial" w:cs="Arial"/>
          <w:sz w:val="20"/>
          <w:szCs w:val="20"/>
        </w:rPr>
        <w:t>18 ha</w:t>
      </w:r>
      <w:proofErr w:type="gramEnd"/>
      <w:r w:rsidR="00D45663">
        <w:rPr>
          <w:rFonts w:ascii="Arial" w:eastAsia="Times New Roman" w:hAnsi="Arial" w:cs="Arial"/>
          <w:sz w:val="20"/>
          <w:szCs w:val="20"/>
        </w:rPr>
        <w:t xml:space="preserve"> long-term</w:t>
      </w:r>
      <w:r w:rsidR="002E4F13">
        <w:rPr>
          <w:rFonts w:ascii="Arial" w:eastAsia="Times New Roman" w:hAnsi="Arial" w:cs="Arial"/>
          <w:sz w:val="20"/>
          <w:szCs w:val="20"/>
        </w:rPr>
        <w:t xml:space="preserve"> </w:t>
      </w:r>
      <w:r w:rsidR="00AF114B">
        <w:rPr>
          <w:rFonts w:ascii="Arial" w:eastAsia="Times New Roman" w:hAnsi="Arial" w:cs="Arial"/>
          <w:sz w:val="20"/>
          <w:szCs w:val="20"/>
        </w:rPr>
        <w:t>monitoring area</w:t>
      </w:r>
      <w:r w:rsidR="009D7701">
        <w:rPr>
          <w:rFonts w:ascii="Arial" w:eastAsia="Times New Roman" w:hAnsi="Arial" w:cs="Arial"/>
          <w:sz w:val="20"/>
          <w:szCs w:val="20"/>
        </w:rPr>
        <w:t xml:space="preserve"> </w:t>
      </w:r>
      <w:r w:rsidR="00AF114B">
        <w:rPr>
          <w:rFonts w:ascii="Arial" w:eastAsia="Times New Roman" w:hAnsi="Arial" w:cs="Arial"/>
          <w:sz w:val="20"/>
          <w:szCs w:val="20"/>
        </w:rPr>
        <w:t xml:space="preserve">associated with </w:t>
      </w:r>
      <w:r w:rsidR="00D45663">
        <w:rPr>
          <w:rFonts w:ascii="Arial" w:eastAsia="Times New Roman" w:hAnsi="Arial" w:cs="Arial"/>
          <w:sz w:val="20"/>
          <w:szCs w:val="20"/>
        </w:rPr>
        <w:t>the Forest Global Earth Observatory (</w:t>
      </w:r>
      <w:proofErr w:type="spellStart"/>
      <w:r w:rsidR="00D45663">
        <w:rPr>
          <w:rFonts w:ascii="Arial" w:eastAsia="Times New Roman" w:hAnsi="Arial" w:cs="Arial"/>
          <w:sz w:val="20"/>
          <w:szCs w:val="20"/>
        </w:rPr>
        <w:t>ForestGEO</w:t>
      </w:r>
      <w:proofErr w:type="spellEnd"/>
      <w:r w:rsidR="00D45663">
        <w:rPr>
          <w:rFonts w:ascii="Arial" w:eastAsia="Times New Roman" w:hAnsi="Arial" w:cs="Arial"/>
          <w:sz w:val="20"/>
          <w:szCs w:val="20"/>
        </w:rPr>
        <w:t>) network of inventory sites.</w:t>
      </w:r>
      <w:r w:rsidR="00CD0237">
        <w:rPr>
          <w:rFonts w:ascii="Arial" w:eastAsia="Times New Roman" w:hAnsi="Arial" w:cs="Arial"/>
          <w:sz w:val="20"/>
          <w:szCs w:val="20"/>
        </w:rPr>
        <w:t xml:space="preserve">  </w:t>
      </w:r>
      <w:r w:rsidR="00D45663">
        <w:rPr>
          <w:rFonts w:ascii="Arial" w:eastAsia="Times New Roman" w:hAnsi="Arial" w:cs="Arial"/>
          <w:sz w:val="20"/>
          <w:szCs w:val="20"/>
        </w:rPr>
        <w:t xml:space="preserve">Within the south-west corner of the </w:t>
      </w:r>
      <w:proofErr w:type="gramStart"/>
      <w:r w:rsidR="00CD0237">
        <w:rPr>
          <w:rFonts w:ascii="Arial" w:eastAsia="Times New Roman" w:hAnsi="Arial" w:cs="Arial"/>
          <w:sz w:val="20"/>
          <w:szCs w:val="20"/>
        </w:rPr>
        <w:t>18 ha</w:t>
      </w:r>
      <w:proofErr w:type="gramEnd"/>
      <w:r w:rsidR="00CD0237">
        <w:rPr>
          <w:rFonts w:ascii="Arial" w:eastAsia="Times New Roman" w:hAnsi="Arial" w:cs="Arial"/>
          <w:sz w:val="20"/>
          <w:szCs w:val="20"/>
        </w:rPr>
        <w:t xml:space="preserve"> monitoring area, a canopy walkway provides access to the top of the </w:t>
      </w:r>
      <w:r w:rsidR="00211540">
        <w:rPr>
          <w:rFonts w:ascii="Arial" w:eastAsia="Times New Roman" w:hAnsi="Arial" w:cs="Arial"/>
          <w:sz w:val="20"/>
          <w:szCs w:val="20"/>
        </w:rPr>
        <w:t>tree crowns</w:t>
      </w:r>
      <w:r w:rsidR="00CD0237">
        <w:rPr>
          <w:rFonts w:ascii="Arial" w:eastAsia="Times New Roman" w:hAnsi="Arial" w:cs="Arial"/>
          <w:sz w:val="20"/>
          <w:szCs w:val="20"/>
        </w:rPr>
        <w:t>.</w:t>
      </w:r>
      <w:r w:rsidR="0082179D" w:rsidRPr="0082179D">
        <w:rPr>
          <w:rFonts w:ascii="Arial" w:eastAsia="Times New Roman" w:hAnsi="Arial" w:cs="Arial"/>
          <w:sz w:val="20"/>
          <w:szCs w:val="20"/>
        </w:rPr>
        <w:t xml:space="preserve"> </w:t>
      </w:r>
      <w:r w:rsidR="009454BF">
        <w:rPr>
          <w:rFonts w:ascii="Arial" w:eastAsia="Times New Roman" w:hAnsi="Arial" w:cs="Arial"/>
          <w:sz w:val="20"/>
          <w:szCs w:val="20"/>
        </w:rPr>
        <w:t xml:space="preserve"> </w:t>
      </w:r>
      <w:r w:rsidR="0082179D">
        <w:rPr>
          <w:rFonts w:ascii="Arial" w:eastAsia="Times New Roman" w:hAnsi="Arial" w:cs="Arial"/>
          <w:sz w:val="20"/>
          <w:szCs w:val="20"/>
        </w:rPr>
        <w:t>The dominant species surrounding the canopy walkway are sycamore (</w:t>
      </w:r>
      <w:r w:rsidR="0082179D">
        <w:rPr>
          <w:rFonts w:ascii="Arial" w:eastAsia="Times New Roman" w:hAnsi="Arial" w:cs="Arial"/>
          <w:i/>
          <w:iCs/>
          <w:sz w:val="20"/>
          <w:szCs w:val="20"/>
        </w:rPr>
        <w:t xml:space="preserve">Acer </w:t>
      </w:r>
      <w:proofErr w:type="spellStart"/>
      <w:r w:rsidR="0082179D">
        <w:rPr>
          <w:rFonts w:ascii="Arial" w:eastAsia="Times New Roman" w:hAnsi="Arial" w:cs="Arial"/>
          <w:i/>
          <w:iCs/>
          <w:sz w:val="20"/>
          <w:szCs w:val="20"/>
        </w:rPr>
        <w:t>pseudoplatanus</w:t>
      </w:r>
      <w:proofErr w:type="spellEnd"/>
      <w:r w:rsidR="0082179D">
        <w:rPr>
          <w:rFonts w:ascii="Arial" w:eastAsia="Times New Roman" w:hAnsi="Arial" w:cs="Arial"/>
          <w:sz w:val="20"/>
          <w:szCs w:val="20"/>
        </w:rPr>
        <w:t>), oak (</w:t>
      </w:r>
      <w:r w:rsidR="0082179D">
        <w:rPr>
          <w:rFonts w:ascii="Arial" w:eastAsia="Times New Roman" w:hAnsi="Arial" w:cs="Arial"/>
          <w:i/>
          <w:iCs/>
          <w:sz w:val="20"/>
          <w:szCs w:val="20"/>
        </w:rPr>
        <w:t xml:space="preserve">Quercus </w:t>
      </w:r>
      <w:proofErr w:type="spellStart"/>
      <w:r w:rsidR="0082179D">
        <w:rPr>
          <w:rFonts w:ascii="Arial" w:eastAsia="Times New Roman" w:hAnsi="Arial" w:cs="Arial"/>
          <w:i/>
          <w:iCs/>
          <w:sz w:val="20"/>
          <w:szCs w:val="20"/>
        </w:rPr>
        <w:t>robcur</w:t>
      </w:r>
      <w:proofErr w:type="spellEnd"/>
      <w:r w:rsidR="0082179D">
        <w:rPr>
          <w:rFonts w:ascii="Arial" w:eastAsia="Times New Roman" w:hAnsi="Arial" w:cs="Arial"/>
          <w:sz w:val="20"/>
          <w:szCs w:val="20"/>
        </w:rPr>
        <w:t>), and beech (</w:t>
      </w:r>
      <w:r w:rsidR="0082179D">
        <w:rPr>
          <w:rFonts w:ascii="Arial" w:eastAsia="Times New Roman" w:hAnsi="Arial" w:cs="Arial"/>
          <w:i/>
          <w:iCs/>
          <w:sz w:val="20"/>
          <w:szCs w:val="20"/>
        </w:rPr>
        <w:t>Fagus sylvatica</w:t>
      </w:r>
      <w:r w:rsidR="0082179D">
        <w:rPr>
          <w:rFonts w:ascii="Arial" w:eastAsia="Times New Roman" w:hAnsi="Arial" w:cs="Arial"/>
          <w:sz w:val="20"/>
          <w:szCs w:val="20"/>
        </w:rPr>
        <w:t>).</w:t>
      </w:r>
      <w:r w:rsidR="004158BD">
        <w:rPr>
          <w:rFonts w:ascii="Arial" w:eastAsia="Times New Roman" w:hAnsi="Arial" w:cs="Arial"/>
          <w:sz w:val="20"/>
          <w:szCs w:val="20"/>
        </w:rPr>
        <w:t xml:space="preserve">  Previous studies at the site have carried out detailed characterisation of canopy structure during leaf-on and leaf-off conditions, using terrestrial laser scanning (TLS), DHP,</w:t>
      </w:r>
      <w:bookmarkStart w:id="3" w:name="_Hlk27316781"/>
      <w:r w:rsidR="004158BD">
        <w:rPr>
          <w:rFonts w:ascii="Arial" w:eastAsia="Times New Roman" w:hAnsi="Arial" w:cs="Arial"/>
          <w:sz w:val="20"/>
          <w:szCs w:val="20"/>
        </w:rPr>
        <w:t xml:space="preserve"> </w:t>
      </w:r>
      <w:bookmarkEnd w:id="2"/>
      <w:r w:rsidR="004158BD">
        <w:rPr>
          <w:rFonts w:ascii="Arial" w:eastAsia="Times New Roman" w:hAnsi="Arial" w:cs="Arial"/>
          <w:sz w:val="20"/>
          <w:szCs w:val="20"/>
        </w:rPr>
        <w:t xml:space="preserve">and LI-COR LAI-2200 measurements </w:t>
      </w:r>
      <w:r w:rsidR="004158BD">
        <w:rPr>
          <w:rFonts w:ascii="Arial" w:eastAsia="Times New Roman" w:hAnsi="Arial" w:cs="Arial"/>
          <w:sz w:val="20"/>
          <w:szCs w:val="20"/>
        </w:rPr>
        <w:fldChar w:fldCharType="begin" w:fldLock="1"/>
      </w:r>
      <w:r w:rsidR="004158BD">
        <w:rPr>
          <w:rFonts w:ascii="Arial" w:eastAsia="Times New Roman" w:hAnsi="Arial" w:cs="Arial"/>
          <w:sz w:val="20"/>
          <w:szCs w:val="20"/>
        </w:rPr>
        <w:instrText>ADDIN CSL_CITATION {"citationItems":[{"id":"ITEM-1","itemData":{"DOI":"10.3390/rs10060933","ISSN":"2072-4292","abstract":"Forest biophysical variables derived from remote sensing observations are vital for climate research. The combination of structurally and radiometrically accurate 3D &amp;ldquo;virtual&amp;rdquo; forests with radiative transfer (RT) models creates a powerful tool to facilitate the calibration and validation of remote sensing data and derived biophysical products by helping us understand the assumptions made in data processing algorithms. We present a workflow that uses highly detailed 3D terrestrial laser scanning (TLS) data to generate virtual forests for RT model simulations. Our approach to forest stand reconstruction from a co-registered point cloud is unique as it models each tree individually. Our approach follows three steps: (1) tree segmentation; (2) tree structure modelling and (3) leaf addition. To demonstrate this approach, we present the measurement and construction of a one hectare model of the deciduous forest in Wytham Woods (Oxford, UK). The model contains 559 individual trees. We matched the TLS data with traditional census data to determine the species of each individual tree and allocate species-specific radiometric properties. Our modelling framework is generic, highly transferable and adjustable to data collected with other TLS instruments and different ecosystems. The Wytham Woods virtual forest is made publicly available through an online repository.","author":[{"dropping-particle":"","family":"Calders","given":"Kim","non-dropping-particle":"","parse-names":false,"suffix":""},{"dropping-particle":"","family":"Origo","given":"Niall","non-dropping-particle":"","parse-names":false,"suffix":""},{"dropping-particle":"","family":"Burt","given":"Andrew","non-dropping-particle":"","parse-names":false,"suffix":""},{"dropping-particle":"","family":"Disney","given":"Mathias","non-dropping-particle":"","parse-names":false,"suffix":""},{"dropping-particle":"","family":"Nightingale","given":"Joanne","non-dropping-particle":"","parse-names":false,"suffix":""},{"dropping-particle":"","family":"Raumonen","given":"Pasi","non-dropping-particle":"","parse-names":false,"suffix":""},{"dropping-particle":"","family":"Åkerblom","given":"Markku","non-dropping-particle":"","parse-names":false,"suffix":""},{"dropping-particle":"","family":"Malhi","given":"Yadvinder","non-dropping-particle":"","parse-names":false,"suffix":""},{"dropping-particle":"","family":"Lewis","given":"Philip","non-dropping-particle":"","parse-names":false,"suffix":""}],"container-title":"Remote Sensing","id":"ITEM-1","issue":"6","issued":{"date-parts":[["2018","6","13"]]},"page":"933","title":"Realistic Forest Stand Reconstruction from Terrestrial LiDAR for Radiative Transfer Modelling","type":"article-journal","volume":"10"},"uris":["http://www.mendeley.com/documents/?uuid=1458cd22-bd53-43db-bce5-6a62272ba802"]},{"id":"ITEM-2","itemData":{"DOI":"10.1016/j.agrformet.2018.01.029","ISSN":"01681923","abstract":"In situ leaf area index (LAI) measurements are essential to validate widely-used large-area or global LAI products derived, indirectly, from satellite observations. Here, we compare three common and emerging ground-based sensors for rapid LAI characterisation of large areas, namely digital hemispherical photography (DHP), two versions of a widely-used commercial LAI sensor (LiCOR LAI-2000 and 2200), and terrestrial laser scanning (TLS). The comparison is conducted during leaf-on and leaf-off conditions at an unprecedented sample size in a deciduous woodland canopy. The deviation between estimates of these three ground-based instruments yields differences greater than the 5% threshold goal set by the World Meteorological Organization. The variance at sample level is reduced when aggregated to plot scale (1 ha) or site scale (6 ha). TLS shows the lowest relative standard deviation in both leaf-on (11.78%) and leaf-off (13.02%) conditions. Whereas the relative standard deviation of effective plant area index (ePAI) derived from DHP relates closely to TLS in leaf-on conditions, it is as large as 28.14–29.74% for effective wood area index (eWAI) values in leaf-off conditions depending on the thresholding technique that was used. ePAI values of TLS and LAI-2x00 agree best in leaf-on conditions with a concordance correlation coefficient (CCC) of 0.796. In leaf-off conditions, eWAI values derived from DHP with Ridler and Calvard thresholding agrees best with TLS. Sample size analysis using Monte Carlo bootstrapping shows that TLS requires the fewest samples to achieve a precision better than 5% for the mean ± standard deviation. We therefore support earlier studies that suggest that TLS measurements are preferential to measurements from instruments that are dependent on specific illumination conditions. A key issue with validation of indirect estimates of LAI is that the true values are not known. Since we cannot know the true values of LAI, we cannot quantify the accuracy of the measurements. Our radiative transfer simulations show that ePAI estimates are, on average, 27% higher than eLAI estimates. Linear regression indicated a linear relationship between eLAI and ePAI–eWAI (R2= 0.87), with an intercept of 0.552 and suggests that caution is required when using LAI estimates.","author":[{"dropping-particle":"","family":"Calders","given":"Kim","non-dropping-particle":"","parse-names":false,"suffix":""},{"dropping-particle":"","family":"Origo","given":"Niall","non-dropping-particle":"","parse-names":false,"suffix":""},{"dropping-particle":"","family":"Disney","given":"Mathias","non-dropping-particle":"","parse-names":false,"suffix":""},{"dropping-particle":"","family":"Nightingale","given":"Joanne","non-dropping-particle":"","parse-names":false,"suffix":""},{"dropping-particle":"","family":"Woodgate","given":"William","non-dropping-particle":"","parse-names":false,"suffix":""},{"dropping-particle":"","family":"Armston","given":"John","non-dropping-particle":"","parse-names":false,"suffix":""},{"dropping-particle":"","family":"Lewis","given":"Philip","non-dropping-particle":"","parse-names":false,"suffix":""}],"container-title":"Agricultural and Forest Meteorology","id":"ITEM-2","issue":"April","issued":{"date-parts":[["2018"]]},"page":"231-240","publisher":"Elsevier","title":"Variability and bias in active and passive ground-based measurements of effective plant, wood and leaf area index","type":"article-journal","volume":"252"},"uris":["http://www.mendeley.com/documents/?uuid=3ecc459d-722d-44e9-b7d6-407cef93fecc"]},{"id":"ITEM-3","itemData":{"DOI":"10.1016/j.agrformet.2017.02.004","ISSN":"01681923","author":[{"dropping-particle":"","family":"Origo","given":"Niall","non-dropping-particle":"","parse-names":false,"suffix":""},{"dropping-particle":"","family":"Calders","given":"Kim","non-dropping-particle":"","parse-names":false,"suffix":""},{"dropping-particle":"","family":"Nightingale","given":"Joanne","non-dropping-particle":"","parse-names":false,"suffix":""},{"dropping-particle":"","family":"Disney","given":"Mathias","non-dropping-particle":"","parse-names":false,"suffix":""}],"container-title":"Agricultural and Forest Meteorology","id":"ITEM-3","issued":{"date-parts":[["2017","5"]]},"page":"143-149","title":"Influence of levelling technique on the retrieval of canopy structural parameters from digital hemispherical photography","type":"article-journal","volume":"237-238"},"uris":["http://www.mendeley.com/documents/?uuid=cf5e8e39-ec2c-4609-bb70-21d9eba58fa8"]}],"mendeley":{"formattedCitation":"(Calders et al., 2018a, 2018b; Origo et al., 2017)","plainTextFormattedCitation":"(Calders et al., 2018a, 2018b; Origo et al., 2017)","previouslyFormattedCitation":"(Calders et al., 2018a, 2018b; Origo et al., 2017)"},"properties":{"noteIndex":0},"schema":"https://github.com/citation-style-language/schema/raw/master/csl-citation.json"}</w:instrText>
      </w:r>
      <w:r w:rsidR="004158BD">
        <w:rPr>
          <w:rFonts w:ascii="Arial" w:eastAsia="Times New Roman" w:hAnsi="Arial" w:cs="Arial"/>
          <w:sz w:val="20"/>
          <w:szCs w:val="20"/>
        </w:rPr>
        <w:fldChar w:fldCharType="separate"/>
      </w:r>
      <w:r w:rsidR="004158BD" w:rsidRPr="0082179D">
        <w:rPr>
          <w:rFonts w:ascii="Arial" w:eastAsia="Times New Roman" w:hAnsi="Arial" w:cs="Arial"/>
          <w:noProof/>
          <w:sz w:val="20"/>
          <w:szCs w:val="20"/>
        </w:rPr>
        <w:t>(Calders et al., 2018a, 2018b; Origo et al., 2017)</w:t>
      </w:r>
      <w:r w:rsidR="004158BD">
        <w:rPr>
          <w:rFonts w:ascii="Arial" w:eastAsia="Times New Roman" w:hAnsi="Arial" w:cs="Arial"/>
          <w:sz w:val="20"/>
          <w:szCs w:val="20"/>
        </w:rPr>
        <w:fldChar w:fldCharType="end"/>
      </w:r>
      <w:r w:rsidR="004158BD">
        <w:rPr>
          <w:rFonts w:ascii="Arial" w:eastAsia="Times New Roman" w:hAnsi="Arial" w:cs="Arial"/>
          <w:sz w:val="20"/>
          <w:szCs w:val="20"/>
        </w:rPr>
        <w:t>.</w:t>
      </w:r>
      <w:bookmarkEnd w:id="3"/>
    </w:p>
    <w:p w14:paraId="042C0177" w14:textId="23D68CC4" w:rsidR="00F71355" w:rsidRDefault="00F71355" w:rsidP="00D97A10">
      <w:pPr>
        <w:spacing w:line="480" w:lineRule="auto"/>
        <w:jc w:val="both"/>
        <w:rPr>
          <w:rFonts w:ascii="Arial" w:eastAsia="Times New Roman" w:hAnsi="Arial" w:cs="Arial"/>
          <w:i/>
          <w:iCs/>
          <w:sz w:val="20"/>
          <w:szCs w:val="20"/>
        </w:rPr>
      </w:pPr>
      <w:r>
        <w:rPr>
          <w:rFonts w:ascii="Arial" w:eastAsia="Times New Roman" w:hAnsi="Arial" w:cs="Arial"/>
          <w:i/>
          <w:iCs/>
          <w:sz w:val="20"/>
          <w:szCs w:val="20"/>
        </w:rPr>
        <w:t>2.2. Deploying time-lapse digital cameras</w:t>
      </w:r>
    </w:p>
    <w:p w14:paraId="5547988E" w14:textId="6658D42B" w:rsidR="001A4065" w:rsidRDefault="00124D2E" w:rsidP="00D97A10">
      <w:pPr>
        <w:spacing w:line="480" w:lineRule="auto"/>
        <w:jc w:val="both"/>
        <w:rPr>
          <w:rFonts w:ascii="Arial" w:eastAsia="Times New Roman" w:hAnsi="Arial" w:cs="Arial"/>
          <w:sz w:val="20"/>
          <w:szCs w:val="20"/>
        </w:rPr>
      </w:pPr>
      <w:r>
        <w:rPr>
          <w:rFonts w:ascii="Arial" w:eastAsia="Times New Roman" w:hAnsi="Arial" w:cs="Arial"/>
          <w:sz w:val="20"/>
          <w:szCs w:val="20"/>
        </w:rPr>
        <w:t xml:space="preserve">In April 2018, two </w:t>
      </w:r>
      <w:proofErr w:type="spellStart"/>
      <w:r w:rsidR="003C31E7">
        <w:rPr>
          <w:rFonts w:ascii="Arial" w:eastAsia="Times New Roman" w:hAnsi="Arial" w:cs="Arial"/>
          <w:sz w:val="20"/>
          <w:szCs w:val="20"/>
        </w:rPr>
        <w:t>Harbortronics</w:t>
      </w:r>
      <w:proofErr w:type="spellEnd"/>
      <w:r w:rsidR="003C31E7">
        <w:rPr>
          <w:rFonts w:ascii="Arial" w:eastAsia="Times New Roman" w:hAnsi="Arial" w:cs="Arial"/>
          <w:sz w:val="20"/>
          <w:szCs w:val="20"/>
        </w:rPr>
        <w:t xml:space="preserve"> </w:t>
      </w:r>
      <w:proofErr w:type="spellStart"/>
      <w:r w:rsidR="003C31E7">
        <w:rPr>
          <w:rFonts w:ascii="Arial" w:eastAsia="Times New Roman" w:hAnsi="Arial" w:cs="Arial"/>
          <w:sz w:val="20"/>
          <w:szCs w:val="20"/>
        </w:rPr>
        <w:t>Cyclapse</w:t>
      </w:r>
      <w:proofErr w:type="spellEnd"/>
      <w:r w:rsidR="003C31E7">
        <w:rPr>
          <w:rFonts w:ascii="Arial" w:eastAsia="Times New Roman" w:hAnsi="Arial" w:cs="Arial"/>
          <w:sz w:val="20"/>
          <w:szCs w:val="20"/>
        </w:rPr>
        <w:t xml:space="preserve"> </w:t>
      </w:r>
      <w:r>
        <w:rPr>
          <w:rFonts w:ascii="Arial" w:eastAsia="Times New Roman" w:hAnsi="Arial" w:cs="Arial"/>
          <w:sz w:val="20"/>
          <w:szCs w:val="20"/>
        </w:rPr>
        <w:t xml:space="preserve">time-lapse digital camera systems were </w:t>
      </w:r>
      <w:r w:rsidR="001C0A3F">
        <w:rPr>
          <w:rFonts w:ascii="Arial" w:eastAsia="Times New Roman" w:hAnsi="Arial" w:cs="Arial"/>
          <w:sz w:val="20"/>
          <w:szCs w:val="20"/>
        </w:rPr>
        <w:t>deployed</w:t>
      </w:r>
      <w:r>
        <w:rPr>
          <w:rFonts w:ascii="Arial" w:eastAsia="Times New Roman" w:hAnsi="Arial" w:cs="Arial"/>
          <w:sz w:val="20"/>
          <w:szCs w:val="20"/>
        </w:rPr>
        <w:t xml:space="preserve"> on the canopy walkway.  Both consisted of a waterproof housing </w:t>
      </w:r>
      <w:r w:rsidR="00672759">
        <w:rPr>
          <w:rFonts w:ascii="Arial" w:eastAsia="Times New Roman" w:hAnsi="Arial" w:cs="Arial"/>
          <w:sz w:val="20"/>
          <w:szCs w:val="20"/>
        </w:rPr>
        <w:t>containing</w:t>
      </w:r>
      <w:r>
        <w:rPr>
          <w:rFonts w:ascii="Arial" w:eastAsia="Times New Roman" w:hAnsi="Arial" w:cs="Arial"/>
          <w:sz w:val="20"/>
          <w:szCs w:val="20"/>
        </w:rPr>
        <w:t xml:space="preserve"> a </w:t>
      </w:r>
      <w:proofErr w:type="spellStart"/>
      <w:r w:rsidR="001B3356">
        <w:rPr>
          <w:rFonts w:ascii="Arial" w:eastAsia="Times New Roman" w:hAnsi="Arial" w:cs="Arial"/>
          <w:sz w:val="20"/>
          <w:szCs w:val="20"/>
        </w:rPr>
        <w:t>Harbortronics</w:t>
      </w:r>
      <w:proofErr w:type="spellEnd"/>
      <w:r w:rsidR="001B3356">
        <w:rPr>
          <w:rFonts w:ascii="Arial" w:eastAsia="Times New Roman" w:hAnsi="Arial" w:cs="Arial"/>
          <w:sz w:val="20"/>
          <w:szCs w:val="20"/>
        </w:rPr>
        <w:t xml:space="preserve"> </w:t>
      </w:r>
      <w:proofErr w:type="spellStart"/>
      <w:r>
        <w:rPr>
          <w:rFonts w:ascii="Arial" w:eastAsia="Times New Roman" w:hAnsi="Arial" w:cs="Arial"/>
          <w:sz w:val="20"/>
          <w:szCs w:val="20"/>
        </w:rPr>
        <w:t>DigiSnap</w:t>
      </w:r>
      <w:proofErr w:type="spellEnd"/>
      <w:r>
        <w:rPr>
          <w:rFonts w:ascii="Arial" w:eastAsia="Times New Roman" w:hAnsi="Arial" w:cs="Arial"/>
          <w:sz w:val="20"/>
          <w:szCs w:val="20"/>
        </w:rPr>
        <w:t xml:space="preserve"> Pro </w:t>
      </w:r>
      <w:r w:rsidR="007528E1">
        <w:rPr>
          <w:rFonts w:ascii="Arial" w:eastAsia="Times New Roman" w:hAnsi="Arial" w:cs="Arial"/>
          <w:sz w:val="20"/>
          <w:szCs w:val="20"/>
        </w:rPr>
        <w:t>intervalometer</w:t>
      </w:r>
      <w:r>
        <w:rPr>
          <w:rFonts w:ascii="Arial" w:eastAsia="Times New Roman" w:hAnsi="Arial" w:cs="Arial"/>
          <w:sz w:val="20"/>
          <w:szCs w:val="20"/>
        </w:rPr>
        <w:t xml:space="preserve"> and </w:t>
      </w:r>
      <w:r w:rsidR="005D4521">
        <w:rPr>
          <w:rFonts w:ascii="Arial" w:eastAsia="Times New Roman" w:hAnsi="Arial" w:cs="Arial"/>
          <w:sz w:val="20"/>
          <w:szCs w:val="20"/>
        </w:rPr>
        <w:t xml:space="preserve">full-frame </w:t>
      </w:r>
      <w:r>
        <w:rPr>
          <w:rFonts w:ascii="Arial" w:eastAsia="Times New Roman" w:hAnsi="Arial" w:cs="Arial"/>
          <w:sz w:val="20"/>
          <w:szCs w:val="20"/>
        </w:rPr>
        <w:t>Canon EOS 6D digital single lens reflex (DSLR) camera.</w:t>
      </w:r>
      <w:r w:rsidR="00C4709F">
        <w:rPr>
          <w:rFonts w:ascii="Arial" w:eastAsia="Times New Roman" w:hAnsi="Arial" w:cs="Arial"/>
          <w:sz w:val="20"/>
          <w:szCs w:val="20"/>
        </w:rPr>
        <w:t xml:space="preserve">  Each was powered by a </w:t>
      </w:r>
      <w:r w:rsidR="00634F91">
        <w:rPr>
          <w:rFonts w:ascii="Arial" w:eastAsia="Times New Roman" w:hAnsi="Arial" w:cs="Arial"/>
          <w:sz w:val="20"/>
          <w:szCs w:val="20"/>
        </w:rPr>
        <w:t xml:space="preserve">14.8 V </w:t>
      </w:r>
      <w:r w:rsidR="00C4709F">
        <w:rPr>
          <w:rFonts w:ascii="Arial" w:eastAsia="Times New Roman" w:hAnsi="Arial" w:cs="Arial"/>
          <w:sz w:val="20"/>
          <w:szCs w:val="20"/>
        </w:rPr>
        <w:t>6.2 Ah lithium-ion battery and 10 W photovoltaic panel.</w:t>
      </w:r>
      <w:r>
        <w:rPr>
          <w:rFonts w:ascii="Arial" w:eastAsia="Times New Roman" w:hAnsi="Arial" w:cs="Arial"/>
          <w:sz w:val="20"/>
          <w:szCs w:val="20"/>
        </w:rPr>
        <w:t xml:space="preserve">  </w:t>
      </w:r>
      <w:r w:rsidR="00C4709F">
        <w:rPr>
          <w:rFonts w:ascii="Arial" w:eastAsia="Times New Roman" w:hAnsi="Arial" w:cs="Arial"/>
          <w:sz w:val="20"/>
          <w:szCs w:val="20"/>
        </w:rPr>
        <w:t>The first</w:t>
      </w:r>
      <w:r>
        <w:rPr>
          <w:rFonts w:ascii="Arial" w:eastAsia="Times New Roman" w:hAnsi="Arial" w:cs="Arial"/>
          <w:sz w:val="20"/>
          <w:szCs w:val="20"/>
        </w:rPr>
        <w:t xml:space="preserve"> system</w:t>
      </w:r>
      <w:r w:rsidR="00C4709F">
        <w:rPr>
          <w:rFonts w:ascii="Arial" w:eastAsia="Times New Roman" w:hAnsi="Arial" w:cs="Arial"/>
          <w:sz w:val="20"/>
          <w:szCs w:val="20"/>
        </w:rPr>
        <w:t xml:space="preserve">, </w:t>
      </w:r>
      <w:r w:rsidR="00815B27">
        <w:rPr>
          <w:rFonts w:ascii="Arial" w:eastAsia="Times New Roman" w:hAnsi="Arial" w:cs="Arial"/>
          <w:sz w:val="20"/>
          <w:szCs w:val="20"/>
        </w:rPr>
        <w:t xml:space="preserve">which was used for DHP, was mounted below the canopy at approximately 2 m above the ground, facing directly upwards (Figure 1).  The housing was fitted with an acrylic dome, whilst the camera was equipped with a Sigma </w:t>
      </w:r>
      <w:r w:rsidR="00815B27" w:rsidRPr="00124D2E">
        <w:rPr>
          <w:rFonts w:ascii="Arial" w:eastAsia="Times New Roman" w:hAnsi="Arial" w:cs="Arial"/>
          <w:sz w:val="20"/>
          <w:szCs w:val="20"/>
        </w:rPr>
        <w:t>8</w:t>
      </w:r>
      <w:r w:rsidR="00815B27">
        <w:rPr>
          <w:rFonts w:ascii="Arial" w:eastAsia="Times New Roman" w:hAnsi="Arial" w:cs="Arial"/>
          <w:sz w:val="20"/>
          <w:szCs w:val="20"/>
        </w:rPr>
        <w:t xml:space="preserve"> </w:t>
      </w:r>
      <w:r w:rsidR="00815B27" w:rsidRPr="00124D2E">
        <w:rPr>
          <w:rFonts w:ascii="Arial" w:eastAsia="Times New Roman" w:hAnsi="Arial" w:cs="Arial"/>
          <w:sz w:val="20"/>
          <w:szCs w:val="20"/>
        </w:rPr>
        <w:t xml:space="preserve">mm F3.5 EX DG </w:t>
      </w:r>
      <w:r w:rsidR="00815B27">
        <w:rPr>
          <w:rFonts w:ascii="Arial" w:eastAsia="Times New Roman" w:hAnsi="Arial" w:cs="Arial"/>
          <w:sz w:val="20"/>
          <w:szCs w:val="20"/>
        </w:rPr>
        <w:t>fisheye lens.</w:t>
      </w:r>
      <w:r w:rsidR="00672759">
        <w:rPr>
          <w:rFonts w:ascii="Arial" w:eastAsia="Times New Roman" w:hAnsi="Arial" w:cs="Arial"/>
          <w:sz w:val="20"/>
          <w:szCs w:val="20"/>
        </w:rPr>
        <w:t xml:space="preserve">  </w:t>
      </w:r>
      <w:r>
        <w:rPr>
          <w:rFonts w:ascii="Arial" w:eastAsia="Times New Roman" w:hAnsi="Arial" w:cs="Arial"/>
          <w:sz w:val="20"/>
          <w:szCs w:val="20"/>
        </w:rPr>
        <w:t>The second system</w:t>
      </w:r>
      <w:r w:rsidR="00C4709F">
        <w:rPr>
          <w:rFonts w:ascii="Arial" w:eastAsia="Times New Roman" w:hAnsi="Arial" w:cs="Arial"/>
          <w:sz w:val="20"/>
          <w:szCs w:val="20"/>
        </w:rPr>
        <w:t xml:space="preserve">, </w:t>
      </w:r>
      <w:r w:rsidR="00815B27">
        <w:rPr>
          <w:rFonts w:ascii="Arial" w:eastAsia="Times New Roman" w:hAnsi="Arial" w:cs="Arial"/>
          <w:sz w:val="20"/>
          <w:szCs w:val="20"/>
        </w:rPr>
        <w:t xml:space="preserve">which was used for deriving colour indices, was mounted at the top of the walkway at approximately 15 m above the ground, facing north north-west </w:t>
      </w:r>
      <w:r w:rsidR="007D4451">
        <w:rPr>
          <w:rFonts w:ascii="Arial" w:eastAsia="Times New Roman" w:hAnsi="Arial" w:cs="Arial"/>
          <w:sz w:val="20"/>
          <w:szCs w:val="20"/>
        </w:rPr>
        <w:t xml:space="preserve">at an angle </w:t>
      </w:r>
      <w:r w:rsidR="00496528">
        <w:rPr>
          <w:rFonts w:ascii="Arial" w:eastAsia="Times New Roman" w:hAnsi="Arial" w:cs="Arial"/>
          <w:sz w:val="20"/>
          <w:szCs w:val="20"/>
        </w:rPr>
        <w:t>just</w:t>
      </w:r>
      <w:r w:rsidR="007D4451">
        <w:rPr>
          <w:rFonts w:ascii="Arial" w:eastAsia="Times New Roman" w:hAnsi="Arial" w:cs="Arial"/>
          <w:sz w:val="20"/>
          <w:szCs w:val="20"/>
        </w:rPr>
        <w:t xml:space="preserve"> below horizontal</w:t>
      </w:r>
      <w:r w:rsidR="000E7DF9">
        <w:rPr>
          <w:rFonts w:ascii="Arial" w:eastAsia="Times New Roman" w:hAnsi="Arial" w:cs="Arial"/>
          <w:sz w:val="20"/>
          <w:szCs w:val="20"/>
        </w:rPr>
        <w:t xml:space="preserve"> </w:t>
      </w:r>
      <w:r w:rsidR="00496528">
        <w:rPr>
          <w:rFonts w:ascii="Arial" w:eastAsia="Times New Roman" w:hAnsi="Arial" w:cs="Arial"/>
          <w:sz w:val="20"/>
          <w:szCs w:val="20"/>
        </w:rPr>
        <w:fldChar w:fldCharType="begin" w:fldLock="1"/>
      </w:r>
      <w:r w:rsidR="00D55C01">
        <w:rPr>
          <w:rFonts w:ascii="Arial" w:eastAsia="Times New Roman" w:hAnsi="Arial" w:cs="Arial"/>
          <w:sz w:val="20"/>
          <w:szCs w:val="20"/>
        </w:rPr>
        <w:instrText>ADDIN CSL_CITATION {"citationItems":[{"id":"ITEM-1","itemData":{"DOI":"10.1016/j.agrformet.2011.09.009","ISBN":"0168-1923","ISSN":"01681923","abstract":"Digital repeat photography has the potential to become an important long-term data source for phenological research given its advantages in terms of logistics, continuity, consistency and objectivity over traditional assessments of vegetation status by human observers. Red-green-blue (RGB) color channel information from digital images can be separately extracted as digital numbers, and subsequently summarized through color indices such as excess green (ExG=2G-[R+B]) or through nonlinear transforms to chromatic coordinates or other color spaces. Previous studies have demonstrated the use of ExG and the green chromatic coordinate (gcc=G/[R+G+B]) from digital landscape image archives for tracking canopy development but several methodological questions remained unanswered. These include the effects of diurnal, seasonal and weather-related changes in scene illumination on ExG and gcc, and digital camera and image file format choice. We show that gcc is generally more effective than ExG in suppressing the effects of changes in scene illumination. To further reduce these effects we propose a moving window approach that assigns the 90th percentile of all daytime values within a three-day window to the center day (per90), resulting in three-day ExG and gcc. Using image archives from eleven forest sites in North America, we demonstrate that per90 is able to further reduce unwanted variability in ExG and gcc due to changes in scene illumination compared to previously used mean mid-day values of ExG and gcc.Comparison of eleven different digital cameras at Harvard Forest (autumn 2010) indicates that camera and image file format choice might be of secondary importance for phenological research: with the exception of inexpensive indoor webcams, autumn patterns of changes in gcc and ExG from images in common JPEG image file format were in good agreement, especially toward the end of senescence. Due to its greater effectiveness in suppressing changes in scene illumination, especially in combination with per90, we advocate the use of gcc for phenological research. Our results indicate that gcc from different digital cameras can be used for comparing the timing of key phenological events (e.g., complete leaf coloring) across sites. However, differences in how specific cameras \"see\" the forest canopy may obscure subtle phenological changes that could be detectable if a common protocol was implemented across sites. © 2011 Elsevier B.V.","author":[{"dropping-particle":"","family":"Sonnentag","given":"Oliver","non-dropping-particle":"","parse-names":false,"suffix":""},{"dropping-particle":"","family":"Hufkens","given":"Koen","non-dropping-particle":"","parse-names":false,"suffix":""},{"dropping-particle":"","family":"Teshera-Sterne","given":"Cory","non-dropping-particle":"","parse-names":false,"suffix":""},{"dropping-particle":"","family":"Young","given":"Adam M","non-dropping-particle":"","parse-names":false,"suffix":""},{"dropping-particle":"","family":"Friedl","given":"Mark","non-dropping-particle":"","parse-names":false,"suffix":""},{"dropping-particle":"","family":"Braswell","given":"Bobby H","non-dropping-particle":"","parse-names":false,"suffix":""},{"dropping-particle":"","family":"Milliman","given":"Thomas","non-dropping-particle":"","parse-names":false,"suffix":""},{"dropping-particle":"","family":"O’Keefe","given":"John","non-dropping-particle":"","parse-names":false,"suffix":""},{"dropping-particle":"","family":"Richardson","given":"Andrew D","non-dropping-particle":"","parse-names":false,"suffix":""}],"container-title":"Agricultural and Forest Meteorology","id":"ITEM-1","issue":"1","issued":{"date-parts":[["2012","1"]]},"page":"159-177","title":"Digital repeat photography for phenological research in forest ecosystems","type":"article-journal","volume":"152"},"uris":["http://www.mendeley.com/documents/?uuid=06f703aa-c580-305c-bd1e-d7d557fa7cab"]},{"id":"ITEM-2","itemData":{"DOI":"10.1890/08-2022.1","ISBN":"1051-0761","ISSN":"1051-0761","PMID":"19769091","abstract":"There is a need to document how plant phenology is responding to global change factors, particularly warming trends. \"Near-surface\" remote sensing, using radiometric instruments or imaging sensors, has great potential to improve phenological monitoring because automated observations can be made at high temporal frequency. Here we build on previous work and show how inexpensive, networked digital cameras (\"webcams\") can be used to document spatial and temporal variation in the spring and autumn phenology of forest canopies. We use two years of imagery from a deciduous, northern hardwood site, and one year of imagery from a coniferous, boreal transition site. A quantitative signal is obtained by splitting images into separate red, green, and blue color channels and calculating the relative brightness of each channel for \"regions of interest\" within each image. We put the observed phenological signal in context by relating it to seasonal patterns of gross primary productivity, inferred from eddy covariance measurements of surface-atmosphere CO2 exchange. We show that spring increases, and autumn decreases, in canopy greenness can be detected in both deciduous and coniferous stands. In deciduous stands, an autumn red peak is also observed. The timing and rate of spring development and autumn senescence varies across the canopy, with greater variability in autumn than spring. Interannual variation in phenology can be detected both visually and quantitatively; delayed spring onset in 2007 compared to 2006 is related to a prolonged cold spell from day 85 to day 110. This work lays the foundation for regional-to continental-scale camera-based monitoring of phenology at network observatory sites, e. g., National Ecological Observatory Network (NEON) or AmeriFlux.","author":[{"dropping-particle":"","family":"Richardson","given":"Andrew D.","non-dropping-particle":"","parse-names":false,"suffix":""},{"dropping-particle":"","family":"Braswell","given":"Bobby H.","non-dropping-particle":"","parse-names":false,"suffix":""},{"dropping-particle":"","family":"Hollinger","given":"David Y.","non-dropping-particle":"","parse-names":false,"suffix":""},{"dropping-particle":"","family":"Jenkins","given":"Julian P.","non-dropping-particle":"","parse-names":false,"suffix":""},{"dropping-particle":"V.","family":"Ollinger","given":"Scott","non-dropping-particle":"","parse-names":false,"suffix":""}],"container-title":"Ecological Applications","id":"ITEM-2","issue":"6","issued":{"date-parts":[["2009","9"]]},"page":"1417-1428","title":"Near-surface remote sensing of spatial and temporal variation in canopy phenology","type":"article-journal","volume":"19"},"uris":["http://www.mendeley.com/documents/?uuid=67966d5f-a13e-359f-9124-560a40f628b3"]}],"mendeley":{"formattedCitation":"(Richardson et al., 2009; Sonnentag et al., 2012)","plainTextFormattedCitation":"(Richardson et al., 2009; Sonnentag et al., 2012)","previouslyFormattedCitation":"(Richardson et al., 2009; Sonnentag et al., 2012)"},"properties":{"noteIndex":0},"schema":"https://github.com/citation-style-language/schema/raw/master/csl-citation.json"}</w:instrText>
      </w:r>
      <w:r w:rsidR="00496528">
        <w:rPr>
          <w:rFonts w:ascii="Arial" w:eastAsia="Times New Roman" w:hAnsi="Arial" w:cs="Arial"/>
          <w:sz w:val="20"/>
          <w:szCs w:val="20"/>
        </w:rPr>
        <w:fldChar w:fldCharType="separate"/>
      </w:r>
      <w:r w:rsidR="00496528" w:rsidRPr="00496528">
        <w:rPr>
          <w:rFonts w:ascii="Arial" w:eastAsia="Times New Roman" w:hAnsi="Arial" w:cs="Arial"/>
          <w:noProof/>
          <w:sz w:val="20"/>
          <w:szCs w:val="20"/>
        </w:rPr>
        <w:t>(Richardson et al., 2009; Sonnentag et al., 2012)</w:t>
      </w:r>
      <w:r w:rsidR="00496528">
        <w:rPr>
          <w:rFonts w:ascii="Arial" w:eastAsia="Times New Roman" w:hAnsi="Arial" w:cs="Arial"/>
          <w:sz w:val="20"/>
          <w:szCs w:val="20"/>
        </w:rPr>
        <w:fldChar w:fldCharType="end"/>
      </w:r>
      <w:r w:rsidR="000E7DF9">
        <w:rPr>
          <w:rFonts w:ascii="Arial" w:eastAsia="Times New Roman" w:hAnsi="Arial" w:cs="Arial"/>
          <w:sz w:val="20"/>
          <w:szCs w:val="20"/>
        </w:rPr>
        <w:t xml:space="preserve"> </w:t>
      </w:r>
      <w:r w:rsidR="00815B27">
        <w:rPr>
          <w:rFonts w:ascii="Arial" w:eastAsia="Times New Roman" w:hAnsi="Arial" w:cs="Arial"/>
          <w:sz w:val="20"/>
          <w:szCs w:val="20"/>
        </w:rPr>
        <w:t xml:space="preserve">(Figure 1).  </w:t>
      </w:r>
      <w:r w:rsidR="001A4065">
        <w:rPr>
          <w:rFonts w:ascii="Arial" w:eastAsia="Times New Roman" w:hAnsi="Arial" w:cs="Arial"/>
          <w:sz w:val="20"/>
          <w:szCs w:val="20"/>
        </w:rPr>
        <w:t>In this case, t</w:t>
      </w:r>
      <w:r w:rsidR="00815B27">
        <w:rPr>
          <w:rFonts w:ascii="Arial" w:eastAsia="Times New Roman" w:hAnsi="Arial" w:cs="Arial"/>
          <w:sz w:val="20"/>
          <w:szCs w:val="20"/>
        </w:rPr>
        <w:t>he camera was equipped with a Canon 28-135 mm F3.5-5.6 IS</w:t>
      </w:r>
      <w:r w:rsidR="00E73417">
        <w:rPr>
          <w:rFonts w:ascii="Arial" w:eastAsia="Times New Roman" w:hAnsi="Arial" w:cs="Arial"/>
          <w:sz w:val="20"/>
          <w:szCs w:val="20"/>
        </w:rPr>
        <w:t xml:space="preserve"> </w:t>
      </w:r>
      <w:r w:rsidR="00815B27">
        <w:rPr>
          <w:rFonts w:ascii="Arial" w:eastAsia="Times New Roman" w:hAnsi="Arial" w:cs="Arial"/>
          <w:sz w:val="20"/>
          <w:szCs w:val="20"/>
        </w:rPr>
        <w:t>USM lens</w:t>
      </w:r>
      <w:r w:rsidR="007D4451">
        <w:rPr>
          <w:rFonts w:ascii="Arial" w:eastAsia="Times New Roman" w:hAnsi="Arial" w:cs="Arial"/>
          <w:sz w:val="20"/>
          <w:szCs w:val="20"/>
        </w:rPr>
        <w:t>, which was set to its minimum focal length</w:t>
      </w:r>
      <w:r w:rsidR="00815B27">
        <w:rPr>
          <w:rFonts w:ascii="Arial" w:eastAsia="Times New Roman" w:hAnsi="Arial" w:cs="Arial"/>
          <w:sz w:val="20"/>
          <w:szCs w:val="20"/>
        </w:rPr>
        <w:t xml:space="preserve">.  </w:t>
      </w:r>
      <w:r w:rsidR="00636437">
        <w:rPr>
          <w:rFonts w:ascii="Arial" w:eastAsia="Times New Roman" w:hAnsi="Arial" w:cs="Arial"/>
          <w:sz w:val="20"/>
          <w:szCs w:val="20"/>
        </w:rPr>
        <w:t xml:space="preserve">To prevent the build-up of internal condensation, a bag of </w:t>
      </w:r>
      <w:r w:rsidR="00160858">
        <w:rPr>
          <w:rFonts w:ascii="Arial" w:eastAsia="Times New Roman" w:hAnsi="Arial" w:cs="Arial"/>
          <w:sz w:val="20"/>
          <w:szCs w:val="20"/>
        </w:rPr>
        <w:t xml:space="preserve">silica gel </w:t>
      </w:r>
      <w:r w:rsidR="00636437">
        <w:rPr>
          <w:rFonts w:ascii="Arial" w:eastAsia="Times New Roman" w:hAnsi="Arial" w:cs="Arial"/>
          <w:sz w:val="20"/>
          <w:szCs w:val="20"/>
        </w:rPr>
        <w:t>desiccant was placed within each housing.</w:t>
      </w:r>
    </w:p>
    <w:p w14:paraId="1B82A16A" w14:textId="3B0A6311" w:rsidR="00C4709F" w:rsidRDefault="003C31E7" w:rsidP="00D97A10">
      <w:pPr>
        <w:spacing w:line="480" w:lineRule="auto"/>
        <w:jc w:val="both"/>
        <w:rPr>
          <w:rFonts w:ascii="Arial" w:eastAsia="Times New Roman" w:hAnsi="Arial" w:cs="Arial"/>
          <w:sz w:val="20"/>
          <w:szCs w:val="20"/>
        </w:rPr>
      </w:pPr>
      <w:r>
        <w:rPr>
          <w:rFonts w:ascii="Arial" w:eastAsia="Times New Roman" w:hAnsi="Arial" w:cs="Arial"/>
          <w:sz w:val="20"/>
          <w:szCs w:val="20"/>
        </w:rPr>
        <w:t xml:space="preserve">The location </w:t>
      </w:r>
      <w:r w:rsidR="001B3356">
        <w:rPr>
          <w:rFonts w:ascii="Arial" w:eastAsia="Times New Roman" w:hAnsi="Arial" w:cs="Arial"/>
          <w:sz w:val="20"/>
          <w:szCs w:val="20"/>
        </w:rPr>
        <w:t xml:space="preserve">of </w:t>
      </w:r>
      <w:r>
        <w:rPr>
          <w:rFonts w:ascii="Arial" w:eastAsia="Times New Roman" w:hAnsi="Arial" w:cs="Arial"/>
          <w:sz w:val="20"/>
          <w:szCs w:val="20"/>
        </w:rPr>
        <w:t>th</w:t>
      </w:r>
      <w:r w:rsidR="001B3356">
        <w:rPr>
          <w:rFonts w:ascii="Arial" w:eastAsia="Times New Roman" w:hAnsi="Arial" w:cs="Arial"/>
          <w:sz w:val="20"/>
          <w:szCs w:val="20"/>
        </w:rPr>
        <w:t>e</w:t>
      </w:r>
      <w:r>
        <w:rPr>
          <w:rFonts w:ascii="Arial" w:eastAsia="Times New Roman" w:hAnsi="Arial" w:cs="Arial"/>
          <w:sz w:val="20"/>
          <w:szCs w:val="20"/>
        </w:rPr>
        <w:t xml:space="preserve"> cameras was designed to maximise their common </w:t>
      </w:r>
      <w:r w:rsidR="00CF3773">
        <w:rPr>
          <w:rFonts w:ascii="Arial" w:eastAsia="Times New Roman" w:hAnsi="Arial" w:cs="Arial"/>
          <w:sz w:val="20"/>
          <w:szCs w:val="20"/>
        </w:rPr>
        <w:t>FOV</w:t>
      </w:r>
      <w:r>
        <w:rPr>
          <w:rFonts w:ascii="Arial" w:eastAsia="Times New Roman" w:hAnsi="Arial" w:cs="Arial"/>
          <w:sz w:val="20"/>
          <w:szCs w:val="20"/>
        </w:rPr>
        <w:t xml:space="preserve">.  </w:t>
      </w:r>
      <w:r w:rsidR="00672759">
        <w:rPr>
          <w:rFonts w:ascii="Arial" w:eastAsia="Times New Roman" w:hAnsi="Arial" w:cs="Arial"/>
          <w:sz w:val="20"/>
          <w:szCs w:val="20"/>
        </w:rPr>
        <w:t xml:space="preserve">Both were configured to acquire </w:t>
      </w:r>
      <w:r w:rsidR="00864A35">
        <w:rPr>
          <w:rFonts w:ascii="Arial" w:eastAsia="Times New Roman" w:hAnsi="Arial" w:cs="Arial"/>
          <w:sz w:val="20"/>
          <w:szCs w:val="20"/>
        </w:rPr>
        <w:t>raw</w:t>
      </w:r>
      <w:r w:rsidR="00672759">
        <w:rPr>
          <w:rFonts w:ascii="Arial" w:eastAsia="Times New Roman" w:hAnsi="Arial" w:cs="Arial"/>
          <w:sz w:val="20"/>
          <w:szCs w:val="20"/>
        </w:rPr>
        <w:t xml:space="preserve"> images</w:t>
      </w:r>
      <w:r w:rsidR="0064245C">
        <w:rPr>
          <w:rFonts w:ascii="Arial" w:eastAsia="Times New Roman" w:hAnsi="Arial" w:cs="Arial"/>
          <w:sz w:val="20"/>
          <w:szCs w:val="20"/>
        </w:rPr>
        <w:t xml:space="preserve"> (CR2 format)</w:t>
      </w:r>
      <w:r w:rsidR="00672759">
        <w:rPr>
          <w:rFonts w:ascii="Arial" w:eastAsia="Times New Roman" w:hAnsi="Arial" w:cs="Arial"/>
          <w:sz w:val="20"/>
          <w:szCs w:val="20"/>
        </w:rPr>
        <w:t xml:space="preserve"> every 30 minutes between 05:00 and 21:00 local time</w:t>
      </w:r>
      <w:r w:rsidR="00D330F0">
        <w:rPr>
          <w:rFonts w:ascii="Arial" w:eastAsia="Times New Roman" w:hAnsi="Arial" w:cs="Arial"/>
          <w:sz w:val="20"/>
          <w:szCs w:val="20"/>
        </w:rPr>
        <w:t xml:space="preserve">, providing a </w:t>
      </w:r>
      <w:r w:rsidR="00D330F0">
        <w:rPr>
          <w:rFonts w:ascii="Arial" w:eastAsia="Times New Roman" w:hAnsi="Arial" w:cs="Arial"/>
          <w:sz w:val="20"/>
          <w:szCs w:val="20"/>
        </w:rPr>
        <w:lastRenderedPageBreak/>
        <w:t xml:space="preserve">total of </w:t>
      </w:r>
      <w:r w:rsidR="00783195">
        <w:rPr>
          <w:rFonts w:ascii="Arial" w:eastAsia="Times New Roman" w:hAnsi="Arial" w:cs="Arial"/>
          <w:sz w:val="20"/>
          <w:szCs w:val="20"/>
        </w:rPr>
        <w:t>thir</w:t>
      </w:r>
      <w:r w:rsidR="00160858">
        <w:rPr>
          <w:rFonts w:ascii="Arial" w:eastAsia="Times New Roman" w:hAnsi="Arial" w:cs="Arial"/>
          <w:sz w:val="20"/>
          <w:szCs w:val="20"/>
        </w:rPr>
        <w:t>t</w:t>
      </w:r>
      <w:r w:rsidR="00783195">
        <w:rPr>
          <w:rFonts w:ascii="Arial" w:eastAsia="Times New Roman" w:hAnsi="Arial" w:cs="Arial"/>
          <w:sz w:val="20"/>
          <w:szCs w:val="20"/>
        </w:rPr>
        <w:t>y-four</w:t>
      </w:r>
      <w:r w:rsidR="00D330F0">
        <w:rPr>
          <w:rFonts w:ascii="Arial" w:eastAsia="Times New Roman" w:hAnsi="Arial" w:cs="Arial"/>
          <w:sz w:val="20"/>
          <w:szCs w:val="20"/>
        </w:rPr>
        <w:t xml:space="preserve"> images per day</w:t>
      </w:r>
      <w:r w:rsidR="00672759">
        <w:rPr>
          <w:rFonts w:ascii="Arial" w:eastAsia="Times New Roman" w:hAnsi="Arial" w:cs="Arial"/>
          <w:sz w:val="20"/>
          <w:szCs w:val="20"/>
        </w:rPr>
        <w:t xml:space="preserve">.  </w:t>
      </w:r>
      <w:r w:rsidR="00B64583">
        <w:rPr>
          <w:rFonts w:ascii="Arial" w:eastAsia="Times New Roman" w:hAnsi="Arial" w:cs="Arial"/>
          <w:sz w:val="20"/>
          <w:szCs w:val="20"/>
        </w:rPr>
        <w:t xml:space="preserve">Following </w:t>
      </w:r>
      <w:r w:rsidR="00C73683">
        <w:rPr>
          <w:rFonts w:ascii="Arial" w:eastAsia="Times New Roman" w:hAnsi="Arial" w:cs="Arial"/>
          <w:sz w:val="20"/>
          <w:szCs w:val="20"/>
        </w:rPr>
        <w:t xml:space="preserve">the </w:t>
      </w:r>
      <w:r w:rsidR="00961847">
        <w:rPr>
          <w:rFonts w:ascii="Arial" w:eastAsia="Times New Roman" w:hAnsi="Arial" w:cs="Arial"/>
          <w:sz w:val="20"/>
          <w:szCs w:val="20"/>
        </w:rPr>
        <w:t>recommendation</w:t>
      </w:r>
      <w:r w:rsidR="00C23315">
        <w:rPr>
          <w:rFonts w:ascii="Arial" w:eastAsia="Times New Roman" w:hAnsi="Arial" w:cs="Arial"/>
          <w:sz w:val="20"/>
          <w:szCs w:val="20"/>
        </w:rPr>
        <w:t xml:space="preserve">s of </w:t>
      </w:r>
      <w:r w:rsidR="00B64583">
        <w:rPr>
          <w:rFonts w:ascii="Arial" w:eastAsia="Times New Roman" w:hAnsi="Arial" w:cs="Arial"/>
          <w:sz w:val="20"/>
          <w:szCs w:val="20"/>
        </w:rPr>
        <w:fldChar w:fldCharType="begin" w:fldLock="1"/>
      </w:r>
      <w:r w:rsidR="00B64583">
        <w:rPr>
          <w:rFonts w:ascii="Arial" w:eastAsia="Times New Roman" w:hAnsi="Arial" w:cs="Arial"/>
          <w:sz w:val="20"/>
          <w:szCs w:val="20"/>
        </w:rPr>
        <w:instrText>ADDIN CSL_CITATION {"citationItems":[{"id":"ITEM-1","itemData":{"DOI":"10.1016/j.agrformet.2014.05.014","ISBN":"0168-1923","ISSN":"01681923","abstract":"Estimates of the canopy gap fraction, on which calculations of leaf area index (LAI) are based, are sensitive to photographic exposure in upward-facing images. In this article we describe a simple, automated method of image acquisition and processing that eliminates both subjectivity and the need for the operator to consider photographic exposure in the field. A key strength of our methodology was the use of a test apparatus (perforated aluminum screen) with a precisely known gap fraction; this allowed us to separate the confounding effects of gap size and gap fraction on the optimal photographic exposure for a canopy. We took photographs of the test apparatus at different photographic exposures; we varied the gap fraction by covering a proportion of the holes in the screen, and also varied gap size by varying the distance of the camera from the screen. We acquired both raw images and JPEG images. We found that the optimal exposure of JPEG images varied with both gap size and gap fraction, not just gap fraction as previously assumed. Underexposing by one stop yielded raw data that were never clipped resulting in data loss, but that used most of the 14-bit range of the raw file. We also found that it was easily possible to standardize photographic exposure during image processing by acquiring raw images in the field; thus eliminating the variation in estimated gap fraction and LAI associated with exposure variations. This result was replicated in both fisheye images and cover images that we acquired in real canopies. We recommend the following protocol for acquiring canopy images in future studies:. 1.Shoot raw using one stop of underexposure.2.Convert propriety-format raw files to DNG format using the free software Adobe DNG Converter.3.Contrast stretch the blue channel of the image and save as JPG for further analysis. The authors can supply MATLAB script to perform this step. ?? 2014.","author":[{"dropping-particle":"","family":"Macfarlane","given":"Craig","non-dropping-particle":"","parse-names":false,"suffix":""},{"dropping-particle":"","family":"Ryu","given":"Youngryel","non-dropping-particle":"","parse-names":false,"suffix":""},{"dropping-particle":"","family":"Ogden","given":"Gary N.","non-dropping-particle":"","parse-names":false,"suffix":""},{"dropping-particle":"","family":"Sonnentag","given":"Oliver","non-dropping-particle":"","parse-names":false,"suffix":""}],"container-title":"Agricultural and Forest Meteorology","id":"ITEM-1","issued":{"date-parts":[["2014","10"]]},"page":"244-253","title":"Digital canopy photography: Exposed and in the raw","type":"article-journal","volume":"197"},"uris":["http://www.mendeley.com/documents/?uuid=7d597242-3188-4d3c-b46a-23edda97b902"]}],"mendeley":{"formattedCitation":"(Macfarlane et al., 2014)","manualFormatting":"Macfarlane et al. (2014)","plainTextFormattedCitation":"(Macfarlane et al., 2014)","previouslyFormattedCitation":"(Macfarlane et al., 2014)"},"properties":{"noteIndex":0},"schema":"https://github.com/citation-style-language/schema/raw/master/csl-citation.json"}</w:instrText>
      </w:r>
      <w:r w:rsidR="00B64583">
        <w:rPr>
          <w:rFonts w:ascii="Arial" w:eastAsia="Times New Roman" w:hAnsi="Arial" w:cs="Arial"/>
          <w:sz w:val="20"/>
          <w:szCs w:val="20"/>
        </w:rPr>
        <w:fldChar w:fldCharType="separate"/>
      </w:r>
      <w:r w:rsidR="00B64583" w:rsidRPr="00672759">
        <w:rPr>
          <w:rFonts w:ascii="Arial" w:eastAsia="Times New Roman" w:hAnsi="Arial" w:cs="Arial"/>
          <w:noProof/>
          <w:sz w:val="20"/>
          <w:szCs w:val="20"/>
        </w:rPr>
        <w:t xml:space="preserve">Macfarlane et al. </w:t>
      </w:r>
      <w:r w:rsidR="00B64583">
        <w:rPr>
          <w:rFonts w:ascii="Arial" w:eastAsia="Times New Roman" w:hAnsi="Arial" w:cs="Arial"/>
          <w:noProof/>
          <w:sz w:val="20"/>
          <w:szCs w:val="20"/>
        </w:rPr>
        <w:t>(</w:t>
      </w:r>
      <w:r w:rsidR="00B64583" w:rsidRPr="00672759">
        <w:rPr>
          <w:rFonts w:ascii="Arial" w:eastAsia="Times New Roman" w:hAnsi="Arial" w:cs="Arial"/>
          <w:noProof/>
          <w:sz w:val="20"/>
          <w:szCs w:val="20"/>
        </w:rPr>
        <w:t>2014)</w:t>
      </w:r>
      <w:r w:rsidR="00B64583">
        <w:rPr>
          <w:rFonts w:ascii="Arial" w:eastAsia="Times New Roman" w:hAnsi="Arial" w:cs="Arial"/>
          <w:sz w:val="20"/>
          <w:szCs w:val="20"/>
        </w:rPr>
        <w:fldChar w:fldCharType="end"/>
      </w:r>
      <w:r w:rsidR="00B64583">
        <w:rPr>
          <w:rFonts w:ascii="Arial" w:eastAsia="Times New Roman" w:hAnsi="Arial" w:cs="Arial"/>
          <w:sz w:val="20"/>
          <w:szCs w:val="20"/>
        </w:rPr>
        <w:t>, t</w:t>
      </w:r>
      <w:r w:rsidR="00672759">
        <w:rPr>
          <w:rFonts w:ascii="Arial" w:eastAsia="Times New Roman" w:hAnsi="Arial" w:cs="Arial"/>
          <w:sz w:val="20"/>
          <w:szCs w:val="20"/>
        </w:rPr>
        <w:t xml:space="preserve">he below-canopy camera was set to </w:t>
      </w:r>
      <w:r w:rsidR="00367DAE">
        <w:rPr>
          <w:rFonts w:ascii="Arial" w:eastAsia="Times New Roman" w:hAnsi="Arial" w:cs="Arial"/>
          <w:sz w:val="20"/>
          <w:szCs w:val="20"/>
        </w:rPr>
        <w:t>underexpose images by one stop</w:t>
      </w:r>
      <w:r w:rsidR="00672759">
        <w:rPr>
          <w:rFonts w:ascii="Arial" w:eastAsia="Times New Roman" w:hAnsi="Arial" w:cs="Arial"/>
          <w:sz w:val="20"/>
          <w:szCs w:val="20"/>
        </w:rPr>
        <w:t xml:space="preserve"> relative to automatic exposure</w:t>
      </w:r>
      <w:r w:rsidR="00B64583">
        <w:rPr>
          <w:rFonts w:ascii="Arial" w:eastAsia="Times New Roman" w:hAnsi="Arial" w:cs="Arial"/>
          <w:sz w:val="20"/>
          <w:szCs w:val="20"/>
        </w:rPr>
        <w:t>.</w:t>
      </w:r>
      <w:r w:rsidR="00815B27">
        <w:rPr>
          <w:rFonts w:ascii="Arial" w:eastAsia="Times New Roman" w:hAnsi="Arial" w:cs="Arial"/>
          <w:sz w:val="20"/>
          <w:szCs w:val="20"/>
        </w:rPr>
        <w:t xml:space="preserve">  In the case of the above-canopy camera, a fixed white balance setting of ‘daylight’ was selected, according to the recommendations of </w:t>
      </w:r>
      <w:r w:rsidR="00815B27">
        <w:rPr>
          <w:rFonts w:ascii="Arial" w:eastAsia="Times New Roman" w:hAnsi="Arial" w:cs="Arial"/>
          <w:sz w:val="20"/>
          <w:szCs w:val="20"/>
        </w:rPr>
        <w:fldChar w:fldCharType="begin" w:fldLock="1"/>
      </w:r>
      <w:r w:rsidR="00815B27">
        <w:rPr>
          <w:rFonts w:ascii="Arial" w:eastAsia="Times New Roman" w:hAnsi="Arial" w:cs="Arial"/>
          <w:sz w:val="20"/>
          <w:szCs w:val="20"/>
        </w:rPr>
        <w:instrText>ADDIN CSL_CITATION {"citationItems":[{"id":"ITEM-1","itemData":{"DOI":"10.1890/08-2022.1","ISBN":"1051-0761","ISSN":"1051-0761","PMID":"19769091","abstract":"There is a need to document how plant phenology is responding to global change factors, particularly warming trends. \"Near-surface\" remote sensing, using radiometric instruments or imaging sensors, has great potential to improve phenological monitoring because automated observations can be made at high temporal frequency. Here we build on previous work and show how inexpensive, networked digital cameras (\"webcams\") can be used to document spatial and temporal variation in the spring and autumn phenology of forest canopies. We use two years of imagery from a deciduous, northern hardwood site, and one year of imagery from a coniferous, boreal transition site. A quantitative signal is obtained by splitting images into separate red, green, and blue color channels and calculating the relative brightness of each channel for \"regions of interest\" within each image. We put the observed phenological signal in context by relating it to seasonal patterns of gross primary productivity, inferred from eddy covariance measurements of surface-atmosphere CO2 exchange. We show that spring increases, and autumn decreases, in canopy greenness can be detected in both deciduous and coniferous stands. In deciduous stands, an autumn red peak is also observed. The timing and rate of spring development and autumn senescence varies across the canopy, with greater variability in autumn than spring. Interannual variation in phenology can be detected both visually and quantitatively; delayed spring onset in 2007 compared to 2006 is related to a prolonged cold spell from day 85 to day 110. This work lays the foundation for regional-to continental-scale camera-based monitoring of phenology at network observatory sites, e. g., National Ecological Observatory Network (NEON) or AmeriFlux.","author":[{"dropping-particle":"","family":"Richardson","given":"Andrew D.","non-dropping-particle":"","parse-names":false,"suffix":""},{"dropping-particle":"","family":"Braswell","given":"Bobby H.","non-dropping-particle":"","parse-names":false,"suffix":""},{"dropping-particle":"","family":"Hollinger","given":"David Y.","non-dropping-particle":"","parse-names":false,"suffix":""},{"dropping-particle":"","family":"Jenkins","given":"Julian P.","non-dropping-particle":"","parse-names":false,"suffix":""},{"dropping-particle":"V.","family":"Ollinger","given":"Scott","non-dropping-particle":"","parse-names":false,"suffix":""}],"container-title":"Ecological Applications","id":"ITEM-1","issue":"6","issued":{"date-parts":[["2009","9"]]},"page":"1417-1428","title":"Near-surface remote sensing of spatial and temporal variation in canopy phenology","type":"article-journal","volume":"19"},"uris":["http://www.mendeley.com/documents/?uuid=67966d5f-a13e-359f-9124-560a40f628b3"]}],"mendeley":{"formattedCitation":"(Richardson et al., 2009)","manualFormatting":"Richardson et al. (2009)","plainTextFormattedCitation":"(Richardson et al., 2009)","previouslyFormattedCitation":"(Richardson et al., 2009)"},"properties":{"noteIndex":0},"schema":"https://github.com/citation-style-language/schema/raw/master/csl-citation.json"}</w:instrText>
      </w:r>
      <w:r w:rsidR="00815B27">
        <w:rPr>
          <w:rFonts w:ascii="Arial" w:eastAsia="Times New Roman" w:hAnsi="Arial" w:cs="Arial"/>
          <w:sz w:val="20"/>
          <w:szCs w:val="20"/>
        </w:rPr>
        <w:fldChar w:fldCharType="separate"/>
      </w:r>
      <w:r w:rsidR="00815B27" w:rsidRPr="00597B82">
        <w:rPr>
          <w:rFonts w:ascii="Arial" w:eastAsia="Times New Roman" w:hAnsi="Arial" w:cs="Arial"/>
          <w:noProof/>
          <w:sz w:val="20"/>
          <w:szCs w:val="20"/>
        </w:rPr>
        <w:t xml:space="preserve">Richardson et al. </w:t>
      </w:r>
      <w:r w:rsidR="00815B27">
        <w:rPr>
          <w:rFonts w:ascii="Arial" w:eastAsia="Times New Roman" w:hAnsi="Arial" w:cs="Arial"/>
          <w:noProof/>
          <w:sz w:val="20"/>
          <w:szCs w:val="20"/>
        </w:rPr>
        <w:t>(</w:t>
      </w:r>
      <w:r w:rsidR="00815B27" w:rsidRPr="00597B82">
        <w:rPr>
          <w:rFonts w:ascii="Arial" w:eastAsia="Times New Roman" w:hAnsi="Arial" w:cs="Arial"/>
          <w:noProof/>
          <w:sz w:val="20"/>
          <w:szCs w:val="20"/>
        </w:rPr>
        <w:t>2009)</w:t>
      </w:r>
      <w:r w:rsidR="00815B27">
        <w:rPr>
          <w:rFonts w:ascii="Arial" w:eastAsia="Times New Roman" w:hAnsi="Arial" w:cs="Arial"/>
          <w:sz w:val="20"/>
          <w:szCs w:val="20"/>
        </w:rPr>
        <w:fldChar w:fldCharType="end"/>
      </w:r>
      <w:r w:rsidR="00815B27">
        <w:rPr>
          <w:rFonts w:ascii="Arial" w:eastAsia="Times New Roman" w:hAnsi="Arial" w:cs="Arial"/>
          <w:sz w:val="20"/>
          <w:szCs w:val="20"/>
        </w:rPr>
        <w:t>.</w:t>
      </w:r>
      <w:r w:rsidR="0092090B">
        <w:rPr>
          <w:rFonts w:ascii="Arial" w:eastAsia="Times New Roman" w:hAnsi="Arial" w:cs="Arial"/>
          <w:sz w:val="20"/>
          <w:szCs w:val="20"/>
        </w:rPr>
        <w:t xml:space="preserve">  Because of its upward facing nature, it was assumed that the below-canopy camera was more likely to require periodic cleaning.  For this reason, it was equipped with a cellular mode</w:t>
      </w:r>
      <w:r w:rsidR="00FF3522">
        <w:rPr>
          <w:rFonts w:ascii="Arial" w:eastAsia="Times New Roman" w:hAnsi="Arial" w:cs="Arial"/>
          <w:sz w:val="20"/>
          <w:szCs w:val="20"/>
        </w:rPr>
        <w:t>m, enabling the transmission of</w:t>
      </w:r>
      <w:r w:rsidR="0092090B">
        <w:rPr>
          <w:rFonts w:ascii="Arial" w:eastAsia="Times New Roman" w:hAnsi="Arial" w:cs="Arial"/>
          <w:sz w:val="20"/>
          <w:szCs w:val="20"/>
        </w:rPr>
        <w:t xml:space="preserve"> </w:t>
      </w:r>
      <w:r w:rsidR="00FF3522">
        <w:rPr>
          <w:rFonts w:ascii="Arial" w:eastAsia="Times New Roman" w:hAnsi="Arial" w:cs="Arial"/>
          <w:sz w:val="20"/>
          <w:szCs w:val="20"/>
        </w:rPr>
        <w:t>images</w:t>
      </w:r>
      <w:r w:rsidR="000C25EF">
        <w:rPr>
          <w:rFonts w:ascii="Arial" w:eastAsia="Times New Roman" w:hAnsi="Arial" w:cs="Arial"/>
          <w:sz w:val="20"/>
          <w:szCs w:val="20"/>
        </w:rPr>
        <w:t xml:space="preserve"> via file transfer protocol (FTP)</w:t>
      </w:r>
      <w:r w:rsidR="0092090B">
        <w:rPr>
          <w:rFonts w:ascii="Arial" w:eastAsia="Times New Roman" w:hAnsi="Arial" w:cs="Arial"/>
          <w:sz w:val="20"/>
          <w:szCs w:val="20"/>
        </w:rPr>
        <w:t xml:space="preserve"> to enable its condition to be monitored remotely.  In practice, little to no cleaning was required throughout the study period.</w:t>
      </w:r>
    </w:p>
    <w:p w14:paraId="7BF22A95" w14:textId="3F0070BC" w:rsidR="00307E9C" w:rsidRDefault="00343FAA" w:rsidP="00715842">
      <w:pPr>
        <w:spacing w:line="240" w:lineRule="auto"/>
        <w:jc w:val="both"/>
        <w:rPr>
          <w:rFonts w:ascii="Arial" w:eastAsia="Times New Roman" w:hAnsi="Arial" w:cs="Arial"/>
          <w:sz w:val="20"/>
          <w:szCs w:val="20"/>
        </w:rPr>
      </w:pPr>
      <w:r>
        <w:rPr>
          <w:rFonts w:ascii="Arial" w:eastAsia="Times New Roman" w:hAnsi="Arial" w:cs="Arial"/>
          <w:noProof/>
          <w:sz w:val="20"/>
          <w:szCs w:val="20"/>
          <w:lang w:eastAsia="en-GB"/>
        </w:rPr>
        <w:drawing>
          <wp:inline distT="0" distB="0" distL="0" distR="0" wp14:anchorId="355DC87E" wp14:editId="540552CD">
            <wp:extent cx="3118271" cy="2340000"/>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18271" cy="2340000"/>
                    </a:xfrm>
                    <a:prstGeom prst="rect">
                      <a:avLst/>
                    </a:prstGeom>
                    <a:noFill/>
                    <a:ln>
                      <a:noFill/>
                    </a:ln>
                  </pic:spPr>
                </pic:pic>
              </a:graphicData>
            </a:graphic>
          </wp:inline>
        </w:drawing>
      </w:r>
      <w:r w:rsidR="001638B7">
        <w:rPr>
          <w:rFonts w:ascii="Arial" w:eastAsia="Times New Roman" w:hAnsi="Arial" w:cs="Arial"/>
          <w:sz w:val="20"/>
          <w:szCs w:val="20"/>
        </w:rPr>
        <w:tab/>
      </w:r>
      <w:r w:rsidR="00715842">
        <w:rPr>
          <w:rFonts w:ascii="Arial" w:eastAsia="Times New Roman" w:hAnsi="Arial" w:cs="Arial"/>
          <w:sz w:val="20"/>
          <w:szCs w:val="20"/>
        </w:rPr>
        <w:t xml:space="preserve">      </w:t>
      </w:r>
      <w:r w:rsidR="00C11FF3">
        <w:rPr>
          <w:rFonts w:ascii="Arial" w:eastAsia="Times New Roman" w:hAnsi="Arial" w:cs="Arial"/>
          <w:noProof/>
          <w:sz w:val="20"/>
          <w:szCs w:val="20"/>
          <w:lang w:eastAsia="en-GB"/>
        </w:rPr>
        <w:drawing>
          <wp:inline distT="0" distB="0" distL="0" distR="0" wp14:anchorId="6F656843" wp14:editId="4960E60F">
            <wp:extent cx="2291260" cy="23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260" cy="2340000"/>
                    </a:xfrm>
                    <a:prstGeom prst="rect">
                      <a:avLst/>
                    </a:prstGeom>
                    <a:noFill/>
                    <a:ln>
                      <a:noFill/>
                    </a:ln>
                  </pic:spPr>
                </pic:pic>
              </a:graphicData>
            </a:graphic>
          </wp:inline>
        </w:drawing>
      </w:r>
    </w:p>
    <w:p w14:paraId="27A94486" w14:textId="0B735B9F" w:rsidR="00715842" w:rsidRDefault="00307E9C" w:rsidP="00715842">
      <w:pPr>
        <w:jc w:val="center"/>
      </w:pPr>
      <w:r w:rsidRPr="00307E9C">
        <w:rPr>
          <w:rFonts w:ascii="Arial" w:eastAsia="Times New Roman" w:hAnsi="Arial" w:cs="Arial"/>
          <w:sz w:val="18"/>
          <w:szCs w:val="20"/>
        </w:rPr>
        <w:t>(a)</w:t>
      </w:r>
      <w:r w:rsidRPr="00307E9C">
        <w:rPr>
          <w:rFonts w:ascii="Arial" w:eastAsia="Times New Roman" w:hAnsi="Arial" w:cs="Arial"/>
          <w:sz w:val="18"/>
          <w:szCs w:val="20"/>
        </w:rPr>
        <w:tab/>
      </w:r>
      <w:r w:rsidRPr="00307E9C">
        <w:rPr>
          <w:rFonts w:ascii="Arial" w:eastAsia="Times New Roman" w:hAnsi="Arial" w:cs="Arial"/>
          <w:sz w:val="18"/>
          <w:szCs w:val="20"/>
        </w:rPr>
        <w:tab/>
      </w:r>
      <w:r w:rsidRPr="00307E9C">
        <w:rPr>
          <w:rFonts w:ascii="Arial" w:eastAsia="Times New Roman" w:hAnsi="Arial" w:cs="Arial"/>
          <w:sz w:val="18"/>
          <w:szCs w:val="20"/>
        </w:rPr>
        <w:tab/>
      </w:r>
      <w:r w:rsidRPr="00307E9C">
        <w:rPr>
          <w:rFonts w:ascii="Arial" w:eastAsia="Times New Roman" w:hAnsi="Arial" w:cs="Arial"/>
          <w:sz w:val="18"/>
          <w:szCs w:val="20"/>
        </w:rPr>
        <w:tab/>
      </w:r>
      <w:r w:rsidRPr="00307E9C">
        <w:rPr>
          <w:rFonts w:ascii="Arial" w:eastAsia="Times New Roman" w:hAnsi="Arial" w:cs="Arial"/>
          <w:sz w:val="18"/>
          <w:szCs w:val="20"/>
        </w:rPr>
        <w:tab/>
      </w:r>
      <w:r w:rsidRPr="00307E9C">
        <w:rPr>
          <w:rFonts w:ascii="Arial" w:eastAsia="Times New Roman" w:hAnsi="Arial" w:cs="Arial"/>
          <w:sz w:val="18"/>
          <w:szCs w:val="20"/>
        </w:rPr>
        <w:tab/>
        <w:t>(b)</w:t>
      </w:r>
      <w:r w:rsidR="00715842">
        <w:rPr>
          <w:rFonts w:ascii="Arial" w:eastAsia="Times New Roman" w:hAnsi="Arial" w:cs="Arial"/>
          <w:sz w:val="18"/>
          <w:szCs w:val="20"/>
        </w:rPr>
        <w:br/>
      </w:r>
      <w:r w:rsidR="00715842">
        <w:rPr>
          <w:rFonts w:ascii="Arial" w:eastAsia="Times New Roman" w:hAnsi="Arial" w:cs="Arial"/>
          <w:sz w:val="18"/>
          <w:szCs w:val="20"/>
        </w:rPr>
        <w:br/>
      </w:r>
      <w:r w:rsidR="00C11FF3">
        <w:rPr>
          <w:rFonts w:ascii="Arial" w:eastAsia="Times New Roman" w:hAnsi="Arial" w:cs="Arial"/>
          <w:noProof/>
          <w:sz w:val="18"/>
          <w:szCs w:val="20"/>
          <w:lang w:eastAsia="en-GB"/>
        </w:rPr>
        <w:drawing>
          <wp:inline distT="0" distB="0" distL="0" distR="0" wp14:anchorId="60A1F824" wp14:editId="0C29FF83">
            <wp:extent cx="2700000" cy="20249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4925"/>
                    </a:xfrm>
                    <a:prstGeom prst="rect">
                      <a:avLst/>
                    </a:prstGeom>
                    <a:noFill/>
                    <a:ln>
                      <a:noFill/>
                    </a:ln>
                  </pic:spPr>
                </pic:pic>
              </a:graphicData>
            </a:graphic>
          </wp:inline>
        </w:drawing>
      </w:r>
      <w:r w:rsidR="00715842">
        <w:rPr>
          <w:rFonts w:ascii="Arial" w:eastAsia="Times New Roman" w:hAnsi="Arial" w:cs="Arial"/>
          <w:sz w:val="18"/>
          <w:szCs w:val="20"/>
        </w:rPr>
        <w:t xml:space="preserve">          </w:t>
      </w:r>
      <w:r w:rsidR="00C11FF3">
        <w:rPr>
          <w:rFonts w:ascii="Arial" w:eastAsia="Times New Roman" w:hAnsi="Arial" w:cs="Arial"/>
          <w:noProof/>
          <w:sz w:val="18"/>
          <w:szCs w:val="20"/>
          <w:lang w:eastAsia="en-GB"/>
        </w:rPr>
        <w:drawing>
          <wp:inline distT="0" distB="0" distL="0" distR="0" wp14:anchorId="5A24A0EE" wp14:editId="345ED63A">
            <wp:extent cx="2700000" cy="20249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2024925"/>
                    </a:xfrm>
                    <a:prstGeom prst="rect">
                      <a:avLst/>
                    </a:prstGeom>
                    <a:noFill/>
                    <a:ln>
                      <a:noFill/>
                    </a:ln>
                  </pic:spPr>
                </pic:pic>
              </a:graphicData>
            </a:graphic>
          </wp:inline>
        </w:drawing>
      </w:r>
    </w:p>
    <w:p w14:paraId="35648121" w14:textId="1985ACEC" w:rsidR="00FD6E92" w:rsidRPr="00FD6E92" w:rsidRDefault="00715842" w:rsidP="00CB23E2">
      <w:pPr>
        <w:spacing w:line="240" w:lineRule="auto"/>
        <w:jc w:val="center"/>
        <w:rPr>
          <w:rFonts w:ascii="Arial" w:eastAsia="Times New Roman" w:hAnsi="Arial" w:cs="Arial"/>
          <w:sz w:val="18"/>
          <w:szCs w:val="18"/>
        </w:rPr>
      </w:pPr>
      <w:r>
        <w:rPr>
          <w:rFonts w:ascii="Arial" w:eastAsia="Times New Roman" w:hAnsi="Arial" w:cs="Arial"/>
          <w:sz w:val="20"/>
          <w:szCs w:val="20"/>
        </w:rPr>
        <w:t>(c)</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t>(d)</w:t>
      </w:r>
      <w:r w:rsidR="00FD6E92">
        <w:rPr>
          <w:rFonts w:ascii="Arial" w:eastAsia="Times New Roman" w:hAnsi="Arial" w:cs="Arial"/>
          <w:sz w:val="20"/>
          <w:szCs w:val="20"/>
        </w:rPr>
        <w:br/>
      </w:r>
      <w:r w:rsidR="005C5E4D">
        <w:rPr>
          <w:rFonts w:ascii="Arial" w:eastAsia="Times New Roman" w:hAnsi="Arial" w:cs="Arial"/>
          <w:sz w:val="20"/>
          <w:szCs w:val="20"/>
        </w:rPr>
        <w:br/>
      </w:r>
      <w:r w:rsidR="00FD6E92">
        <w:rPr>
          <w:rFonts w:ascii="Arial" w:eastAsia="Times New Roman" w:hAnsi="Arial" w:cs="Arial"/>
          <w:sz w:val="20"/>
          <w:szCs w:val="20"/>
        </w:rPr>
        <w:t>F</w:t>
      </w:r>
      <w:r w:rsidR="00FD6E92" w:rsidRPr="00C46BA7">
        <w:rPr>
          <w:rFonts w:ascii="Arial" w:eastAsia="Times New Roman" w:hAnsi="Arial" w:cs="Arial"/>
          <w:sz w:val="18"/>
          <w:szCs w:val="18"/>
        </w:rPr>
        <w:t xml:space="preserve">igure 1: </w:t>
      </w:r>
      <w:r>
        <w:rPr>
          <w:rFonts w:ascii="Arial" w:eastAsia="Times New Roman" w:hAnsi="Arial" w:cs="Arial"/>
          <w:sz w:val="18"/>
          <w:szCs w:val="18"/>
        </w:rPr>
        <w:t>Plan view of the experimental setup</w:t>
      </w:r>
      <w:r w:rsidR="00CB23E2">
        <w:rPr>
          <w:rFonts w:ascii="Arial" w:eastAsia="Times New Roman" w:hAnsi="Arial" w:cs="Arial"/>
          <w:sz w:val="18"/>
          <w:szCs w:val="18"/>
        </w:rPr>
        <w:t xml:space="preserve"> (</w:t>
      </w:r>
      <w:r w:rsidR="00307E9C">
        <w:rPr>
          <w:rFonts w:ascii="Arial" w:eastAsia="Times New Roman" w:hAnsi="Arial" w:cs="Arial"/>
          <w:sz w:val="18"/>
          <w:szCs w:val="18"/>
        </w:rPr>
        <w:t>a</w:t>
      </w:r>
      <w:r w:rsidR="00CB23E2">
        <w:rPr>
          <w:rFonts w:ascii="Arial" w:eastAsia="Times New Roman" w:hAnsi="Arial" w:cs="Arial"/>
          <w:sz w:val="18"/>
          <w:szCs w:val="18"/>
        </w:rPr>
        <w:t>), schematic diagram of the installation</w:t>
      </w:r>
      <w:r w:rsidR="00477414">
        <w:rPr>
          <w:rFonts w:ascii="Arial" w:eastAsia="Times New Roman" w:hAnsi="Arial" w:cs="Arial"/>
          <w:sz w:val="18"/>
          <w:szCs w:val="18"/>
        </w:rPr>
        <w:t xml:space="preserve"> (not to scale)</w:t>
      </w:r>
      <w:r w:rsidR="00CB23E2">
        <w:rPr>
          <w:rFonts w:ascii="Arial" w:eastAsia="Times New Roman" w:hAnsi="Arial" w:cs="Arial"/>
          <w:sz w:val="18"/>
          <w:szCs w:val="18"/>
        </w:rPr>
        <w:t xml:space="preserve"> (</w:t>
      </w:r>
      <w:r w:rsidR="00307E9C">
        <w:rPr>
          <w:rFonts w:ascii="Arial" w:eastAsia="Times New Roman" w:hAnsi="Arial" w:cs="Arial"/>
          <w:sz w:val="18"/>
          <w:szCs w:val="18"/>
        </w:rPr>
        <w:t>b</w:t>
      </w:r>
      <w:r w:rsidR="00CB23E2">
        <w:rPr>
          <w:rFonts w:ascii="Arial" w:eastAsia="Times New Roman" w:hAnsi="Arial" w:cs="Arial"/>
          <w:sz w:val="18"/>
          <w:szCs w:val="18"/>
        </w:rPr>
        <w:t>)</w:t>
      </w:r>
      <w:r>
        <w:rPr>
          <w:rFonts w:ascii="Arial" w:eastAsia="Times New Roman" w:hAnsi="Arial" w:cs="Arial"/>
          <w:sz w:val="18"/>
          <w:szCs w:val="18"/>
        </w:rPr>
        <w:t>, and images of the above- (c) and below-canopy cameras (d).  Note that whilst part of the below-canopy camera’s FOV is obstructed by the lid of the housing, this portion of the image (</w:t>
      </w:r>
      <m:oMath>
        <m:r>
          <w:rPr>
            <w:rFonts w:ascii="Cambria Math" w:hAnsi="Cambria Math" w:cs="Arial"/>
            <w:sz w:val="20"/>
            <w:szCs w:val="20"/>
          </w:rPr>
          <m:t>θ</m:t>
        </m:r>
      </m:oMath>
      <w:r w:rsidR="003B1272">
        <w:rPr>
          <w:rFonts w:ascii="Arial" w:eastAsia="Times New Roman" w:hAnsi="Arial" w:cs="Arial"/>
          <w:sz w:val="18"/>
          <w:szCs w:val="18"/>
        </w:rPr>
        <w:t xml:space="preserve"> </w:t>
      </w:r>
      <w:r>
        <w:rPr>
          <w:rFonts w:ascii="Arial" w:eastAsia="Times New Roman" w:hAnsi="Arial" w:cs="Arial"/>
          <w:sz w:val="18"/>
          <w:szCs w:val="18"/>
        </w:rPr>
        <w:t>&gt; 60°) is not analysed (Section 2.3).</w:t>
      </w:r>
      <w:r w:rsidR="00FD6E92">
        <w:rPr>
          <w:rFonts w:ascii="Arial" w:eastAsia="Times New Roman" w:hAnsi="Arial" w:cs="Arial"/>
          <w:sz w:val="18"/>
          <w:szCs w:val="18"/>
        </w:rPr>
        <w:br/>
      </w:r>
    </w:p>
    <w:p w14:paraId="227BFAD3" w14:textId="1A4B4E50" w:rsidR="00F71355" w:rsidRDefault="00F71355" w:rsidP="00D97A10">
      <w:pPr>
        <w:spacing w:line="480" w:lineRule="auto"/>
        <w:jc w:val="both"/>
        <w:rPr>
          <w:rFonts w:ascii="Arial" w:eastAsia="Times New Roman" w:hAnsi="Arial" w:cs="Arial"/>
          <w:i/>
          <w:iCs/>
          <w:sz w:val="20"/>
          <w:szCs w:val="20"/>
        </w:rPr>
      </w:pPr>
      <w:r>
        <w:rPr>
          <w:rFonts w:ascii="Arial" w:eastAsia="Times New Roman" w:hAnsi="Arial" w:cs="Arial"/>
          <w:i/>
          <w:iCs/>
          <w:sz w:val="20"/>
          <w:szCs w:val="20"/>
        </w:rPr>
        <w:t xml:space="preserve">2.3. Deriving time-series of </w:t>
      </w:r>
      <w:r w:rsidR="00F3050A">
        <w:rPr>
          <w:rFonts w:ascii="Arial" w:eastAsia="Times New Roman" w:hAnsi="Arial" w:cs="Arial"/>
          <w:i/>
          <w:iCs/>
          <w:sz w:val="20"/>
          <w:szCs w:val="20"/>
        </w:rPr>
        <w:t>LAI</w:t>
      </w:r>
      <w:r w:rsidR="006F3451">
        <w:rPr>
          <w:rFonts w:ascii="Arial" w:eastAsia="Times New Roman" w:hAnsi="Arial" w:cs="Arial"/>
          <w:i/>
          <w:iCs/>
          <w:sz w:val="20"/>
          <w:szCs w:val="20"/>
        </w:rPr>
        <w:t xml:space="preserve"> and colour indices</w:t>
      </w:r>
    </w:p>
    <w:p w14:paraId="4F43A522" w14:textId="28F09CEB" w:rsidR="00136A67" w:rsidRDefault="00864A35" w:rsidP="00524C69">
      <w:pPr>
        <w:spacing w:line="480" w:lineRule="auto"/>
        <w:jc w:val="both"/>
        <w:rPr>
          <w:rFonts w:ascii="Arial" w:eastAsia="Times New Roman" w:hAnsi="Arial" w:cs="Arial"/>
          <w:sz w:val="20"/>
          <w:szCs w:val="20"/>
        </w:rPr>
      </w:pPr>
      <w:r w:rsidRPr="00864A35">
        <w:rPr>
          <w:rFonts w:ascii="Arial" w:eastAsia="Times New Roman" w:hAnsi="Arial" w:cs="Arial"/>
          <w:sz w:val="20"/>
          <w:szCs w:val="20"/>
        </w:rPr>
        <w:lastRenderedPageBreak/>
        <w:t>Before analysis, raw images were pre-processed</w:t>
      </w:r>
      <w:r w:rsidR="00136A67">
        <w:rPr>
          <w:rFonts w:ascii="Arial" w:eastAsia="Times New Roman" w:hAnsi="Arial" w:cs="Arial"/>
          <w:sz w:val="20"/>
          <w:szCs w:val="20"/>
        </w:rPr>
        <w:t xml:space="preserve"> in order to avoid </w:t>
      </w:r>
      <w:r w:rsidR="00307E9C">
        <w:rPr>
          <w:rFonts w:ascii="Arial" w:eastAsia="Times New Roman" w:hAnsi="Arial" w:cs="Arial"/>
          <w:sz w:val="20"/>
          <w:szCs w:val="20"/>
        </w:rPr>
        <w:t xml:space="preserve">internal </w:t>
      </w:r>
      <w:r w:rsidR="00136A67">
        <w:rPr>
          <w:rFonts w:ascii="Arial" w:eastAsia="Times New Roman" w:hAnsi="Arial" w:cs="Arial"/>
          <w:sz w:val="20"/>
          <w:szCs w:val="20"/>
        </w:rPr>
        <w:t xml:space="preserve">processing by the camera firmware, which has been shown to increase sensitivity to photographic exposure.  As recommended by </w:t>
      </w:r>
      <w:r w:rsidRPr="00864A35">
        <w:rPr>
          <w:rFonts w:ascii="Arial" w:eastAsia="Times New Roman" w:hAnsi="Arial" w:cs="Arial"/>
          <w:sz w:val="20"/>
          <w:szCs w:val="20"/>
        </w:rPr>
        <w:fldChar w:fldCharType="begin" w:fldLock="1"/>
      </w:r>
      <w:r w:rsidRPr="00864A35">
        <w:rPr>
          <w:rFonts w:ascii="Arial" w:eastAsia="Times New Roman" w:hAnsi="Arial" w:cs="Arial"/>
          <w:sz w:val="20"/>
          <w:szCs w:val="20"/>
        </w:rPr>
        <w:instrText>ADDIN CSL_CITATION {"citationItems":[{"id":"ITEM-1","itemData":{"DOI":"10.1016/j.agrformet.2014.05.014","ISBN":"0168-1923","ISSN":"01681923","abstract":"Estimates of the canopy gap fraction, on which calculations of leaf area index (LAI) are based, are sensitive to photographic exposure in upward-facing images. In this article we describe a simple, automated method of image acquisition and processing that eliminates both subjectivity and the need for the operator to consider photographic exposure in the field. A key strength of our methodology was the use of a test apparatus (perforated aluminum screen) with a precisely known gap fraction; this allowed us to separate the confounding effects of gap size and gap fraction on the optimal photographic exposure for a canopy. We took photographs of the test apparatus at different photographic exposures; we varied the gap fraction by covering a proportion of the holes in the screen, and also varied gap size by varying the distance of the camera from the screen. We acquired both raw images and JPEG images. We found that the optimal exposure of JPEG images varied with both gap size and gap fraction, not just gap fraction as previously assumed. Underexposing by one stop yielded raw data that were never clipped resulting in data loss, but that used most of the 14-bit range of the raw file. We also found that it was easily possible to standardize photographic exposure during image processing by acquiring raw images in the field; thus eliminating the variation in estimated gap fraction and LAI associated with exposure variations. This result was replicated in both fisheye images and cover images that we acquired in real canopies. We recommend the following protocol for acquiring canopy images in future studies:. 1.Shoot raw using one stop of underexposure.2.Convert propriety-format raw files to DNG format using the free software Adobe DNG Converter.3.Contrast stretch the blue channel of the image and save as JPG for further analysis. The authors can supply MATLAB script to perform this step. ?? 2014.","author":[{"dropping-particle":"","family":"Macfarlane","given":"Craig","non-dropping-particle":"","parse-names":false,"suffix":""},{"dropping-particle":"","family":"Ryu","given":"Youngryel","non-dropping-particle":"","parse-names":false,"suffix":""},{"dropping-particle":"","family":"Ogden","given":"Gary N.","non-dropping-particle":"","parse-names":false,"suffix":""},{"dropping-particle":"","family":"Sonnentag","given":"Oliver","non-dropping-particle":"","parse-names":false,"suffix":""}],"container-title":"Agricultural and Forest Meteorology","id":"ITEM-1","issued":{"date-parts":[["2014","10"]]},"page":"244-253","title":"Digital canopy photography: Exposed and in the raw","type":"article-journal","volume":"197"},"uris":["http://www.mendeley.com/documents/?uuid=7d597242-3188-4d3c-b46a-23edda97b902"]}],"mendeley":{"formattedCitation":"(Macfarlane et al., 2014)","manualFormatting":"Macfarlane et al. (2014)","plainTextFormattedCitation":"(Macfarlane et al., 2014)","previouslyFormattedCitation":"(Macfarlane et al., 2014)"},"properties":{"noteIndex":0},"schema":"https://github.com/citation-style-language/schema/raw/master/csl-citation.json"}</w:instrText>
      </w:r>
      <w:r w:rsidRPr="00864A35">
        <w:rPr>
          <w:rFonts w:ascii="Arial" w:eastAsia="Times New Roman" w:hAnsi="Arial" w:cs="Arial"/>
          <w:sz w:val="20"/>
          <w:szCs w:val="20"/>
        </w:rPr>
        <w:fldChar w:fldCharType="separate"/>
      </w:r>
      <w:r w:rsidRPr="00864A35">
        <w:rPr>
          <w:rFonts w:ascii="Arial" w:eastAsia="Times New Roman" w:hAnsi="Arial" w:cs="Arial"/>
          <w:noProof/>
          <w:sz w:val="20"/>
          <w:szCs w:val="20"/>
        </w:rPr>
        <w:t>Macfarlane et al. (2014)</w:t>
      </w:r>
      <w:r w:rsidRPr="00864A35">
        <w:rPr>
          <w:rFonts w:ascii="Arial" w:eastAsia="Times New Roman" w:hAnsi="Arial" w:cs="Arial"/>
          <w:sz w:val="20"/>
          <w:szCs w:val="20"/>
        </w:rPr>
        <w:fldChar w:fldCharType="end"/>
      </w:r>
      <w:r w:rsidR="00085905">
        <w:rPr>
          <w:rFonts w:ascii="Arial" w:eastAsia="Times New Roman" w:hAnsi="Arial" w:cs="Arial"/>
          <w:sz w:val="20"/>
          <w:szCs w:val="20"/>
        </w:rPr>
        <w:t xml:space="preserve">, </w:t>
      </w:r>
      <w:r w:rsidR="00136A67">
        <w:rPr>
          <w:rFonts w:ascii="Arial" w:eastAsia="Times New Roman" w:hAnsi="Arial" w:cs="Arial"/>
          <w:sz w:val="20"/>
          <w:szCs w:val="20"/>
        </w:rPr>
        <w:t>we performed</w:t>
      </w:r>
      <w:r w:rsidR="00A91D67">
        <w:rPr>
          <w:rFonts w:ascii="Arial" w:eastAsia="Times New Roman" w:hAnsi="Arial" w:cs="Arial"/>
          <w:sz w:val="20"/>
          <w:szCs w:val="20"/>
        </w:rPr>
        <w:t xml:space="preserve"> </w:t>
      </w:r>
      <w:r w:rsidR="006C5265">
        <w:rPr>
          <w:rFonts w:ascii="Arial" w:eastAsia="Times New Roman" w:hAnsi="Arial" w:cs="Arial"/>
          <w:sz w:val="20"/>
          <w:szCs w:val="20"/>
        </w:rPr>
        <w:t xml:space="preserve">gamma </w:t>
      </w:r>
      <w:r w:rsidR="00136A67">
        <w:rPr>
          <w:rFonts w:ascii="Arial" w:eastAsia="Times New Roman" w:hAnsi="Arial" w:cs="Arial"/>
          <w:sz w:val="20"/>
          <w:szCs w:val="20"/>
        </w:rPr>
        <w:t xml:space="preserve">correction and </w:t>
      </w:r>
      <w:r w:rsidRPr="00864A35">
        <w:rPr>
          <w:rFonts w:ascii="Arial" w:eastAsia="Times New Roman" w:hAnsi="Arial" w:cs="Arial"/>
          <w:sz w:val="20"/>
          <w:szCs w:val="20"/>
        </w:rPr>
        <w:t>contrast stretch</w:t>
      </w:r>
      <w:r w:rsidR="006C5265">
        <w:rPr>
          <w:rFonts w:ascii="Arial" w:eastAsia="Times New Roman" w:hAnsi="Arial" w:cs="Arial"/>
          <w:sz w:val="20"/>
          <w:szCs w:val="20"/>
        </w:rPr>
        <w:t>ing</w:t>
      </w:r>
      <w:r w:rsidRPr="00864A35">
        <w:rPr>
          <w:rFonts w:ascii="Arial" w:eastAsia="Times New Roman" w:hAnsi="Arial" w:cs="Arial"/>
          <w:sz w:val="20"/>
          <w:szCs w:val="20"/>
        </w:rPr>
        <w:t xml:space="preserve"> </w:t>
      </w:r>
      <w:r w:rsidR="00A91D67">
        <w:rPr>
          <w:rFonts w:ascii="Arial" w:eastAsia="Times New Roman" w:hAnsi="Arial" w:cs="Arial"/>
          <w:sz w:val="20"/>
          <w:szCs w:val="20"/>
        </w:rPr>
        <w:t>to saturate</w:t>
      </w:r>
      <w:r w:rsidRPr="00864A35">
        <w:rPr>
          <w:rFonts w:ascii="Arial" w:eastAsia="Times New Roman" w:hAnsi="Arial" w:cs="Arial"/>
          <w:sz w:val="20"/>
          <w:szCs w:val="20"/>
        </w:rPr>
        <w:t xml:space="preserve"> 1% of pixels at the high and low ends of the histogram, </w:t>
      </w:r>
      <w:r w:rsidR="00136A67">
        <w:rPr>
          <w:rFonts w:ascii="Arial" w:eastAsia="Times New Roman" w:hAnsi="Arial" w:cs="Arial"/>
          <w:sz w:val="20"/>
          <w:szCs w:val="20"/>
        </w:rPr>
        <w:t>before storing</w:t>
      </w:r>
      <w:r w:rsidRPr="00864A35">
        <w:rPr>
          <w:rFonts w:ascii="Arial" w:eastAsia="Times New Roman" w:hAnsi="Arial" w:cs="Arial"/>
          <w:sz w:val="20"/>
          <w:szCs w:val="20"/>
        </w:rPr>
        <w:t xml:space="preserve"> </w:t>
      </w:r>
      <w:r w:rsidR="006C5265">
        <w:rPr>
          <w:rFonts w:ascii="Arial" w:eastAsia="Times New Roman" w:hAnsi="Arial" w:cs="Arial"/>
          <w:sz w:val="20"/>
          <w:szCs w:val="20"/>
        </w:rPr>
        <w:t>the result</w:t>
      </w:r>
      <w:r w:rsidRPr="00864A35">
        <w:rPr>
          <w:rFonts w:ascii="Arial" w:eastAsia="Times New Roman" w:hAnsi="Arial" w:cs="Arial"/>
          <w:sz w:val="20"/>
          <w:szCs w:val="20"/>
        </w:rPr>
        <w:t xml:space="preserve"> in 8-bit form for further analysis</w:t>
      </w:r>
      <w:r w:rsidR="009304AD">
        <w:rPr>
          <w:rFonts w:ascii="Arial" w:eastAsia="Times New Roman" w:hAnsi="Arial" w:cs="Arial"/>
          <w:sz w:val="20"/>
          <w:szCs w:val="20"/>
        </w:rPr>
        <w:t>.</w:t>
      </w:r>
    </w:p>
    <w:p w14:paraId="5661AF80" w14:textId="3641CD3B" w:rsidR="00524C69" w:rsidRDefault="00864A35" w:rsidP="00524C69">
      <w:pPr>
        <w:spacing w:line="480" w:lineRule="auto"/>
        <w:jc w:val="both"/>
        <w:rPr>
          <w:rFonts w:ascii="Arial" w:hAnsi="Arial" w:cs="Arial"/>
          <w:sz w:val="20"/>
          <w:szCs w:val="20"/>
        </w:rPr>
      </w:pPr>
      <w:r>
        <w:rPr>
          <w:rFonts w:ascii="Arial" w:hAnsi="Arial" w:cs="Arial"/>
          <w:sz w:val="20"/>
          <w:szCs w:val="20"/>
        </w:rPr>
        <w:t>To calculate LAI from each below-canopy image, pixels were first classified as belonging to the sky or vegetation canopy, enabling the gap fraction to be calculated.  We adopted</w:t>
      </w:r>
      <w:r w:rsidR="008D644F">
        <w:rPr>
          <w:rFonts w:ascii="Arial" w:hAnsi="Arial" w:cs="Arial"/>
          <w:sz w:val="20"/>
          <w:szCs w:val="20"/>
        </w:rPr>
        <w:t xml:space="preserve"> </w:t>
      </w:r>
      <w:r w:rsidR="008D644F">
        <w:rPr>
          <w:rFonts w:ascii="Arial" w:hAnsi="Arial" w:cs="Arial"/>
          <w:sz w:val="20"/>
          <w:szCs w:val="20"/>
        </w:rPr>
        <w:fldChar w:fldCharType="begin" w:fldLock="1"/>
      </w:r>
      <w:r w:rsidR="008D644F">
        <w:rPr>
          <w:rFonts w:ascii="Arial" w:hAnsi="Arial" w:cs="Arial"/>
          <w:sz w:val="20"/>
          <w:szCs w:val="20"/>
        </w:rPr>
        <w:instrText>ADDIN CSL_CITATION {"citationItems":[{"id":"ITEM-1","itemData":{"DOI":"10.1109/TSMC.1978.4310039","ISBN":"0018-9472","ISSN":"0018-9472","abstract":"An object may be extracted from its background in a picture by theshold selection. Ideally, if the object has a different average gray level from that of its surrounding, the effect of thresholding will produce a white object with a black background or vice versa. In practice, it is often difficult, however, to select an appropriate threshold, and a technique is described whereby an optimum threshold may be chosen automatically as a result of an iterative process, successive iterations providing increasingly cleaner extractions of the object region. An application to low contrast images of handwritten text is discussed.","author":[{"dropping-particle":"","family":"Ridler","given":"T.W.","non-dropping-particle":"","parse-names":false,"suffix":""},{"dropping-particle":"","family":"Calvard","given":"S.","non-dropping-particle":"","parse-names":false,"suffix":""}],"container-title":"IEEE Transactions on Systems, Man, and Cybernetics","id":"ITEM-1","issue":"8","issued":{"date-parts":[["1978"]]},"page":"630-632","title":"Picture Thresholding Using an Iterative Selection Method","type":"article-journal","volume":"8"},"uris":["http://www.mendeley.com/documents/?uuid=13066ecd-cadd-47fd-b1b4-7450b0815777"]}],"mendeley":{"formattedCitation":"(Ridler and Calvard, 1978)","manualFormatting":"Ridler and Calvard's (1978)","plainTextFormattedCitation":"(Ridler and Calvard, 1978)","previouslyFormattedCitation":"(Ridler and Calvard, 1978)"},"properties":{"noteIndex":0},"schema":"https://github.com/citation-style-language/schema/raw/master/csl-citation.json"}</w:instrText>
      </w:r>
      <w:r w:rsidR="008D644F">
        <w:rPr>
          <w:rFonts w:ascii="Arial" w:hAnsi="Arial" w:cs="Arial"/>
          <w:sz w:val="20"/>
          <w:szCs w:val="20"/>
        </w:rPr>
        <w:fldChar w:fldCharType="separate"/>
      </w:r>
      <w:r w:rsidR="008D644F">
        <w:rPr>
          <w:rFonts w:ascii="Arial" w:hAnsi="Arial" w:cs="Arial"/>
          <w:noProof/>
          <w:sz w:val="20"/>
          <w:szCs w:val="20"/>
        </w:rPr>
        <w:t>Ridler and Calvard's (1978)</w:t>
      </w:r>
      <w:r w:rsidR="008D644F">
        <w:rPr>
          <w:rFonts w:ascii="Arial" w:hAnsi="Arial" w:cs="Arial"/>
          <w:sz w:val="20"/>
          <w:szCs w:val="20"/>
        </w:rPr>
        <w:fldChar w:fldCharType="end"/>
      </w:r>
      <w:r w:rsidR="008D644F">
        <w:rPr>
          <w:rFonts w:ascii="Arial" w:hAnsi="Arial" w:cs="Arial"/>
          <w:sz w:val="20"/>
          <w:szCs w:val="20"/>
        </w:rPr>
        <w:t xml:space="preserve"> clustering</w:t>
      </w:r>
      <w:r>
        <w:rPr>
          <w:rFonts w:ascii="Arial" w:hAnsi="Arial" w:cs="Arial"/>
          <w:sz w:val="20"/>
          <w:szCs w:val="20"/>
        </w:rPr>
        <w:t xml:space="preserve"> algorithm to objectively classify each image without user involvement.  When compared to thirty-four alternative unsupervised classification algorithms</w:t>
      </w:r>
      <w:r w:rsidR="009E7ED9" w:rsidRPr="009E7ED9">
        <w:rPr>
          <w:rFonts w:ascii="Arial" w:hAnsi="Arial" w:cs="Arial"/>
          <w:sz w:val="20"/>
          <w:szCs w:val="20"/>
        </w:rPr>
        <w:t xml:space="preserve"> </w:t>
      </w:r>
      <w:r w:rsidR="009E7ED9">
        <w:rPr>
          <w:rFonts w:ascii="Arial" w:hAnsi="Arial" w:cs="Arial"/>
          <w:sz w:val="20"/>
          <w:szCs w:val="20"/>
        </w:rPr>
        <w:t>over a range of canopy conditions</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{"citationItems":[{"id":"ITEM-1","itemData":{"DOI":"10.1016/j.agrformet.2005.06.003","ISBN":"0168-1923","ISSN":"01681923","abstract":"Thresholding is a central part of the analysis of hemispherical images in terms of gap fraction and leaf area index (LAI), and the selection of optimal thresholds has remained a challenge over decades. The need for an objective, automatic, operator-independent thresholding method has long been of interest to scientists using hemispherical photography. This manuscript deals with the comparison of a wide variety of different well-known automatic thresholding techniques against the subjective manual method, using high-dynamic range digital hemispherical photographs. The performance of the different thresholding methods was evaluated based on: (1) visual inspection by means of a multi-criteria decision system and (2) quantitative analysis of the methods' sensitivity to an overall performance criterium. The automatic Ridler clustering method proved to be the most robust thresholding method for various canopy structure conditions. This automatic method might be the best solution for a fast, reliable and objective use of hemispherical photographs for gap fraction and LAI estimation in forest stands, given that the threshold setting is no longer manually performed. The fine-tuning potential of local thresholding methods to better address particular photographic limitations (e.g. over-exposure in a certain image region) is also presented. ?? 2005 Elsevier B.V. All rights reserved.","author":[{"dropping-particle":"","family":"Jonckheere","given":"Inge","non-dropping-particle":"","parse-names":false,"suffix":""},{"dropping-particle":"","family":"Nackaerts","given":"Kris","non-dropping-particle":"","parse-names":false,"suffix":""},{"dropping-particle":"","family":"Muys","given":"Bart","non-dropping-particle":"","parse-names":false,"suffix":""},{"dropping-particle":"","family":"Coppin","given":"Pol","non-dropping-particle":"","parse-names":false,"suffix":""}],"container-title":"Agricultural and Forest Meteorology","id":"ITEM-1","issue":"1-2","issued":{"date-parts":[["2005","9"]]},"page":"96-114","title":"Assessment of automatic gap fraction estimation of forests from digital hemispherical photography","type":"article-journal","volume":"132"},"uris":["http://www.mendeley.com/documents/?uuid=6a484b2f-33b5-3335-a3cc-6b791d4ac59a"]}],"mendeley":{"formattedCitation":"(Jonckheere et al., 2005)","manualFormatting":"Jonckheere et al. (2005)","plainTextFormattedCitation":"(Jonckheere et al., 2005)","previouslyFormattedCitation":"(Jonckheere et al., 2005)"},"properties":{"noteIndex":0},"schema":"https://github.com/citation-style-language/schema/raw/master/csl-citation.json"}</w:instrText>
      </w:r>
      <w:r>
        <w:rPr>
          <w:rFonts w:ascii="Arial" w:hAnsi="Arial" w:cs="Arial"/>
          <w:sz w:val="20"/>
          <w:szCs w:val="20"/>
        </w:rPr>
        <w:fldChar w:fldCharType="separate"/>
      </w:r>
      <w:r>
        <w:rPr>
          <w:rFonts w:ascii="Arial" w:hAnsi="Arial" w:cs="Arial"/>
          <w:noProof/>
          <w:sz w:val="20"/>
          <w:szCs w:val="20"/>
        </w:rPr>
        <w:t>Jonckheere et al. (2005)</w:t>
      </w:r>
      <w:r>
        <w:rPr>
          <w:rFonts w:ascii="Arial" w:hAnsi="Arial" w:cs="Arial"/>
          <w:sz w:val="20"/>
          <w:szCs w:val="20"/>
        </w:rPr>
        <w:fldChar w:fldCharType="end"/>
      </w:r>
      <w:r>
        <w:rPr>
          <w:rFonts w:ascii="Arial" w:hAnsi="Arial" w:cs="Arial"/>
          <w:sz w:val="20"/>
          <w:szCs w:val="20"/>
        </w:rPr>
        <w:t xml:space="preserve"> concluded that </w:t>
      </w:r>
      <w:r w:rsidR="008D644F">
        <w:rPr>
          <w:rFonts w:ascii="Arial" w:hAnsi="Arial" w:cs="Arial"/>
          <w:sz w:val="20"/>
          <w:szCs w:val="20"/>
        </w:rPr>
        <w:fldChar w:fldCharType="begin" w:fldLock="1"/>
      </w:r>
      <w:r w:rsidR="008D644F">
        <w:rPr>
          <w:rFonts w:ascii="Arial" w:hAnsi="Arial" w:cs="Arial"/>
          <w:sz w:val="20"/>
          <w:szCs w:val="20"/>
        </w:rPr>
        <w:instrText>ADDIN CSL_CITATION {"citationItems":[{"id":"ITEM-1","itemData":{"DOI":"10.1109/TSMC.1978.4310039","ISBN":"0018-9472","ISSN":"0018-9472","abstract":"An object may be extracted from its background in a picture by theshold selection. Ideally, if the object has a different average gray level from that of its surrounding, the effect of thresholding will produce a white object with a black background or vice versa. In practice, it is often difficult, however, to select an appropriate threshold, and a technique is described whereby an optimum threshold may be chosen automatically as a result of an iterative process, successive iterations providing increasingly cleaner extractions of the object region. An application to low contrast images of handwritten text is discussed.","author":[{"dropping-particle":"","family":"Ridler","given":"T.W.","non-dropping-particle":"","parse-names":false,"suffix":""},{"dropping-particle":"","family":"Calvard","given":"S.","non-dropping-particle":"","parse-names":false,"suffix":""}],"container-title":"IEEE Transactions on Systems, Man, and Cybernetics","id":"ITEM-1","issue":"8","issued":{"date-parts":[["1978"]]},"page":"630-632","title":"Picture Thresholding Using an Iterative Selection Method","type":"article-journal","volume":"8"},"uris":["http://www.mendeley.com/documents/?uuid=13066ecd-cadd-47fd-b1b4-7450b0815777"]}],"mendeley":{"formattedCitation":"(Ridler and Calvard, 1978)","manualFormatting":"Ridler and Calvard's (1978)","plainTextFormattedCitation":"(Ridler and Calvard, 1978)","previouslyFormattedCitation":"(Ridler and Calvard, 1978)"},"properties":{"noteIndex":0},"schema":"https://github.com/citation-style-language/schema/raw/master/csl-citation.json"}</w:instrText>
      </w:r>
      <w:r w:rsidR="008D644F">
        <w:rPr>
          <w:rFonts w:ascii="Arial" w:hAnsi="Arial" w:cs="Arial"/>
          <w:sz w:val="20"/>
          <w:szCs w:val="20"/>
        </w:rPr>
        <w:fldChar w:fldCharType="separate"/>
      </w:r>
      <w:r w:rsidR="008D644F">
        <w:rPr>
          <w:rFonts w:ascii="Arial" w:hAnsi="Arial" w:cs="Arial"/>
          <w:noProof/>
          <w:sz w:val="20"/>
          <w:szCs w:val="20"/>
        </w:rPr>
        <w:t>Ridler and Calvard's (1978)</w:t>
      </w:r>
      <w:r w:rsidR="008D644F">
        <w:rPr>
          <w:rFonts w:ascii="Arial" w:hAnsi="Arial" w:cs="Arial"/>
          <w:sz w:val="20"/>
          <w:szCs w:val="20"/>
        </w:rPr>
        <w:fldChar w:fldCharType="end"/>
      </w:r>
      <w:r w:rsidR="008D644F">
        <w:rPr>
          <w:rFonts w:ascii="Arial" w:hAnsi="Arial" w:cs="Arial"/>
          <w:sz w:val="20"/>
          <w:szCs w:val="20"/>
        </w:rPr>
        <w:t xml:space="preserve"> method </w:t>
      </w:r>
      <w:r>
        <w:rPr>
          <w:rFonts w:ascii="Arial" w:hAnsi="Arial" w:cs="Arial"/>
          <w:sz w:val="20"/>
          <w:szCs w:val="20"/>
        </w:rPr>
        <w:t>provided the most accurate estimates of gap fractio</w:t>
      </w:r>
      <w:r w:rsidR="002B2128">
        <w:rPr>
          <w:rFonts w:ascii="Arial" w:hAnsi="Arial" w:cs="Arial"/>
          <w:sz w:val="20"/>
          <w:szCs w:val="20"/>
        </w:rPr>
        <w:t xml:space="preserve">n.  </w:t>
      </w:r>
      <w:r w:rsidR="00084483">
        <w:rPr>
          <w:rFonts w:ascii="Arial" w:hAnsi="Arial" w:cs="Arial"/>
          <w:sz w:val="20"/>
          <w:szCs w:val="20"/>
        </w:rPr>
        <w:t>To</w:t>
      </w:r>
      <w:r w:rsidR="002B2128">
        <w:rPr>
          <w:rFonts w:ascii="Arial" w:hAnsi="Arial" w:cs="Arial"/>
          <w:sz w:val="20"/>
          <w:szCs w:val="20"/>
        </w:rPr>
        <w:t xml:space="preserve"> minimise the effects of chromatic aberration and multiple scattering within the canopy</w:t>
      </w:r>
      <w:r w:rsidR="00084483">
        <w:rPr>
          <w:rFonts w:ascii="Arial" w:hAnsi="Arial" w:cs="Arial"/>
          <w:sz w:val="20"/>
          <w:szCs w:val="20"/>
        </w:rPr>
        <w:t xml:space="preserve">, </w:t>
      </w:r>
      <w:r w:rsidR="006F44C0">
        <w:rPr>
          <w:rFonts w:ascii="Arial" w:hAnsi="Arial" w:cs="Arial"/>
          <w:sz w:val="20"/>
          <w:szCs w:val="20"/>
        </w:rPr>
        <w:t xml:space="preserve">we restricted </w:t>
      </w:r>
      <w:r w:rsidR="00084483">
        <w:rPr>
          <w:rFonts w:ascii="Arial" w:hAnsi="Arial" w:cs="Arial"/>
          <w:sz w:val="20"/>
          <w:szCs w:val="20"/>
        </w:rPr>
        <w:t>analysis to the blue band</w:t>
      </w:r>
      <w:r w:rsidR="002B2128">
        <w:rPr>
          <w:rFonts w:ascii="Arial" w:hAnsi="Arial" w:cs="Arial"/>
          <w:sz w:val="20"/>
          <w:szCs w:val="20"/>
        </w:rPr>
        <w:t xml:space="preserve"> </w:t>
      </w:r>
      <w:r w:rsidR="002B2128">
        <w:rPr>
          <w:rFonts w:ascii="Arial" w:hAnsi="Arial" w:cs="Arial"/>
          <w:sz w:val="20"/>
          <w:szCs w:val="20"/>
        </w:rPr>
        <w:fldChar w:fldCharType="begin" w:fldLock="1"/>
      </w:r>
      <w:r w:rsidR="009148F3">
        <w:rPr>
          <w:rFonts w:ascii="Arial" w:hAnsi="Arial" w:cs="Arial"/>
          <w:sz w:val="20"/>
          <w:szCs w:val="20"/>
        </w:rPr>
        <w:instrText>ADDIN CSL_CITATION {"citationItems":[{"id":"ITEM-1","itemData":{"DOI":"10.1016/j.agrformet.2004.09.006","ISBN":"0168-1923","ISSN":"01681923","PMID":"16","abstract":"The retrieval of canopy architectural parameters using off-the-shelf digital cameras with fish-eye lens is investigated. The technique used takes advantage of the sensor's linear response to light of these cameras to improve the estimation of gap fraction using:the digital numbers of mixed sky-canopy pixels to estimate the within-pixel gap fraction; andthis process is done considering the variation in view zenith angle to take into account the sky radiance distribution and the canopy multiple scattering effects. The foliage element clumping index is retrieved over a wide range of view zenith angles using:the accumulated gap size distribution theory developed for the TRAC by Chen and Cihlar (1995a);the Lang and Xiang (1986) finite-length averaging method; anda method combining the gap size distribution and the Lang and Xiang finite-length methods. Using data from Canadian and Russian boreal forests, comparisons of gap fraction, clumping index and plant area index measured with the tracing radiation and architecture of canopies (TRAC) and digital hemispherical photography are presented. Evaluation of the LAI estimated from digital hemispherical photography with allometric LAI of two boreal forest stands suggest that that the clumping index combined method may be more accurate. © 2005 Published by Elsevier B.V.","author":[{"dropping-particle":"","family":"Leblanc","given":"Sylvain G.","non-dropping-particle":"","parse-names":false,"suffix":""},{"dropping-particle":"","family":"Chen","given":"Jing M.","non-dropping-particle":"","parse-names":false,"suffix":""},{"dropping-particle":"","family":"Fernandes","given":"Richard","non-dropping-particle":"","parse-names":false,"suffix":""},{"dropping-particle":"","family":"Deering","given":"Donald W.","non-dropping-particle":"","parse-names":false,"suffix":""},{"dropping-particle":"","family":"Conley","given":"Alexis","non-dropping-particle":"","parse-names":false,"suffix":""}],"container-title":"Agricultural and Forest Meteorology","id":"ITEM-1","issue":"3-4","issued":{"date-parts":[["2005","4"]]},"page":"187-207","title":"Methodology comparison for canopy structure parameters extraction from digital hemispherical photography in boreal forests","type":"article-journal","volume":"129"},"uris":["http://www.mendeley.com/documents/?uuid=372c4deb-1659-49cc-883b-ce56ee90a0e8"]},{"id":"ITEM-2","itemData":{"DOI":"10.1016/j.agrformet.2007.05.001","ISBN":"0168-1923","ISSN":"01681923","abstract":"This study compares circular fisheye photography and destructive leaf area index (L) estimation with two alternative indirect methods for estimating L in broad-leaved forest: fullframe fisheye photography and cover photography. Fullframe fisheye photography differs from circular fisheye photography in that the images have a reduced field of view; the zenithal range of 0??-90?? extends to the corners of the rectangular image, roughly doubling image resolution compared to circular fisheye images. Cover images are obtained by pointing a 70 mm equivalent focal length lens (in 35 mm format) straight upwards. Cover and L were measured in twelve stands of a 17 years old Eucalyptus marginata forest that had been planted at four initial densities: 625, 1250, 2500 and 10,000 trees per hectare. L, from destructive sampling, averaged between 2 and 2.4 for stands planted at between 1250 and 10,000 trees ha-1 but was only 1.3 for the stands planted at 625 trees ha-1. Cover photography provided good indirect estimates of L assuming a spherical leaf distribution, except in the stands with 10,000 trees ha-1. These trees appeared to have a more horizontal leaf angle based on the calculated zenithal extinction coefficient for those stands (???0.7). Rapid and automated analysis of cover images using WinSCANOPY 2006 yielded similar results to manual image analysis using Adobe Photoshop. Estimates of L from fullframe fisheye photography were better correlated with L from destructive sampling than L estimated from circular fisheye photography, but neither performed as well as cover photography. Photographic methods that use a single threshold to separate sky and foliage appear less sensitive to the camera's gamma function than methods that use a two-value threshold. Higher resolution (&gt;8 megapixel) cameras and better lenses, may further improve L estimation using fullframe fisheye photography. We recommend that cover photography be used for routine L estimation in broadleaf forest until it is demonstrated that fisheye methods can provide similar accuracy. ?? 2007 Elsevier B.V. All rights reserved.","author":[{"dropping-particle":"","family":"Macfarlane","given":"Craig","non-dropping-particle":"","parse-names":false,"suffix":""},{"dropping-particle":"","family":"Grigg","given":"Andrew","non-dropping-particle":"","parse-names":false,"suffix":""},{"dropping-particle":"","family":"Evangelista","given":"Crystelle","non-dropping-particle":"","parse-names":false,"suffix":""}],"container-title":"Agricultural and Forest Meteorology","id":"ITEM-2","issue":"1-2","issued":{"date-parts":[["2007","9"]]},"page":"1-12","title":"Estimating forest leaf area using cover and fullframe fisheye photography: Thinking inside the circle","type":"article-journal","volume":"146"},"uris":["http://www.mendeley.com/documents/?uuid=d88592e0-335b-41a7-b671-fd9e796b5ce3"]},{"id":"ITEM-3","itemData":{"DOI":"10.1016/j.agrformet.2014.05.014","ISBN":"0168-1923","ISSN":"01681923","abstract":"Estimates of the canopy gap fraction, on which calculations of leaf area index (LAI) are based, are sensitive to photographic exposure in upward-facing images. In this article we describe a simple, automated method of image acquisition and processing that eliminates both subjectivity and the need for the operator to consider photographic exposure in the field. A key strength of our methodology was the use of a test apparatus (perforated aluminum screen) with a precisely known gap fraction; this allowed us to separate the confounding effects of gap size and gap fraction on the optimal photographic exposure for a canopy. We took photographs of the test apparatus at different photographic exposures; we varied the gap fraction by covering a proportion of the holes in the screen, and also varied gap size by varying the distance of the camera from the screen. We acquired both raw images and JPEG images. We found that the optimal exposure of JPEG images varied with both gap size and gap fraction, not just gap fraction as previously assumed. Underexposing by one stop yielded raw data that were never clipped resulting in data loss, but that used most of the 14-bit range of the raw file. We also found that it was easily possible to standardize photographic exposure during image processing by acquiring raw images in the field; thus eliminating the variation in estimated gap fraction and LAI associated with exposure variations. This result was replicated in both fisheye images and cover images that we acquired in real canopies. We recommend the following protocol for acquiring canopy images in future studies:. 1.Shoot raw using one stop of underexposure.2.Convert propriety-format raw files to DNG format using the free software Adobe DNG Converter.3.Contrast stretch the blue channel of the image and save as JPG for further analysis. The authors can supply MATLAB script to perform this step. ?? 2014.","author":[{"dropping-particle":"","family":"Macfarlane","given":"Craig","non-dropping-particle":"","parse-names":false,"suffix":""},{"dropping-particle":"","family":"Ryu","given":"Youngryel","non-dropping-particle":"","parse-names":false,"suffix":""},{"dropping-particle":"","family":"Ogden","given":"Gary N.","non-dropping-particle":"","parse-names":false,"suffix":""},{"dropping-particle":"","family":"Sonnentag","given":"Oliver","non-dropping-particle":"","parse-names":false,"suffix":""}],"container-title":"Agricultural and Forest Meteorology","id":"ITEM-3","issued":{"date-parts":[["2014","10"]]},"page":"244-253","title":"Digital canopy photography: Exposed and in the raw","type":"article-journal","volume":"197"},"uris":["http://www.mendeley.com/documents/?uuid=7d597242-3188-4d3c-b46a-23edda97b902"]},{"id":"ITEM-4","itemData":{"DOI":"10.1016/j.agrformet.2005.09.009","ISBN":"0168-1923","ISSN":"01681923","PMID":"16678191","abstract":"A correct exposure is of crucial importance for accurate retrieval of canopy parameters using hemispherical photograph techniques. Digital hemispherical photographs were collected under different sky brightness conditions using a Nikon CoolPix 4500 camera with an FC-E8 fish-eye lens for canopies of different species and openness. Different exposure schemes were employed to investigate the effects of photographic exposure on the estimations of the effective leaf area index (Le) and gap fraction. The contrast between the sky and foliage under each exposure scheme was calculated to determine the correct exposure under different weather conditions. The results demonstrated that digital hemispherical photographs taken with automatic exposure are not reliable, causing Le underestimations by 16-71% for medium and high density canopies (Le = 3.2-4.8) and corresponding gap fraction overestimations by 18-72%. While for open canopies with Le &lt; 1.26, Le was overestimated by 11-29%, and the corresponding gap fraction was underestimated by 4-28%. Studies showed that increasing one stop of exposure results in 3-28% differences in Le for canopies with different openness. Based on the analysis, we determined the optimum exposure and developed a protocol for acquiring digital hemispherical photographs. The protocol requires first measuring reference exposure for the open sky using a built-in camera light meter, and then take photographs inside the canopy using the same camera with two stops of more exposure than the reference exposure in order to make the sky appear white and consequently also maximize the contrast between the sky and foliage. This protocol is applicable for different sky brightness and for different canopy openness. In dense canopies, this procedure requires much less exposure than automatic exposure, but in very open canopies, this procedure requires more exposure than automatic exposure. Using the exposure determined with this procedure rather than the automatic exposure, the comparison of Le values from the LAI-2000 and digital photographs is greatly improved, with R2 increasing from 0.77 to 0.95, and RMSE decreasing from 1.29 to 0.38. ?? 2005 Elsevier B.V. All rights reserved.","author":[{"dropping-particle":"","family":"Zhang","given":"Yongqin","non-dropping-particle":"","parse-names":false,"suffix":""},{"dropping-particle":"","family":"Chen","given":"Jing M.","non-dropping-particle":"","parse-names":false,"suffix":""},{"dropping-particle":"","family":"Miller","given":"John R.","non-dropping-particle":"","parse-names":false,"suffix":""}],"container-title":"Agricultural and Forest Meteorology","id":"ITEM-4","issue":"1-4","issued":{"date-parts":[["2005","11"]]},"page":"166-181","title":"Determining digital hemispherical photograph exposure for leaf area index estimation","type":"article-journal","volume":"133"},"uris":["http://www.mendeley.com/documents/?uuid=a57c5e7f-37da-472e-ad6f-7d4663f05701"]}],"mendeley":{"formattedCitation":"(Leblanc et al., 2005; Macfarlane et al., 2014, 2007a; Zhang et al., 2005)","plainTextFormattedCitation":"(Leblanc et al., 2005; Macfarlane et al., 2014, 2007a; Zhang et al., 2005)","previouslyFormattedCitation":"(Leblanc et al., 2005; Macfarlane et al., 2014, 2007a; Zhang et al., 2005)"},"properties":{"noteIndex":0},"schema":"https://github.com/citation-style-language/schema/raw/master/csl-citation.json"}</w:instrText>
      </w:r>
      <w:r w:rsidR="002B2128">
        <w:rPr>
          <w:rFonts w:ascii="Arial" w:hAnsi="Arial" w:cs="Arial"/>
          <w:sz w:val="20"/>
          <w:szCs w:val="20"/>
        </w:rPr>
        <w:fldChar w:fldCharType="separate"/>
      </w:r>
      <w:r w:rsidR="00755D1E" w:rsidRPr="00755D1E">
        <w:rPr>
          <w:rFonts w:ascii="Arial" w:hAnsi="Arial" w:cs="Arial"/>
          <w:noProof/>
          <w:sz w:val="20"/>
          <w:szCs w:val="20"/>
        </w:rPr>
        <w:t>(Leblanc et al., 2005; Macfarlane et al., 2014, 2007a; Zhang et al., 2005)</w:t>
      </w:r>
      <w:r w:rsidR="002B2128">
        <w:rPr>
          <w:rFonts w:ascii="Arial" w:hAnsi="Arial" w:cs="Arial"/>
          <w:sz w:val="20"/>
          <w:szCs w:val="20"/>
        </w:rPr>
        <w:fldChar w:fldCharType="end"/>
      </w:r>
      <w:r w:rsidR="002B2128">
        <w:rPr>
          <w:rFonts w:ascii="Arial" w:hAnsi="Arial" w:cs="Arial"/>
          <w:sz w:val="20"/>
          <w:szCs w:val="20"/>
        </w:rPr>
        <w:t>.</w:t>
      </w:r>
      <w:r w:rsidR="00084483">
        <w:rPr>
          <w:rFonts w:ascii="Arial" w:hAnsi="Arial" w:cs="Arial"/>
          <w:sz w:val="20"/>
          <w:szCs w:val="20"/>
        </w:rPr>
        <w:t xml:space="preserve">  </w:t>
      </w:r>
    </w:p>
    <w:p w14:paraId="714B5C6D" w14:textId="52FC117F" w:rsidR="00A91D67" w:rsidRDefault="00524C69" w:rsidP="00864A35">
      <w:pPr>
        <w:spacing w:after="0" w:line="480" w:lineRule="auto"/>
        <w:jc w:val="both"/>
        <w:rPr>
          <w:rFonts w:ascii="Arial" w:hAnsi="Arial" w:cs="Arial"/>
          <w:sz w:val="20"/>
          <w:szCs w:val="20"/>
        </w:rPr>
      </w:pPr>
      <w:r>
        <w:rPr>
          <w:rFonts w:ascii="Arial" w:hAnsi="Arial" w:cs="Arial"/>
          <w:sz w:val="20"/>
          <w:szCs w:val="20"/>
        </w:rPr>
        <w:t>Once classified, ea</w:t>
      </w:r>
      <w:r w:rsidR="00084483">
        <w:rPr>
          <w:rFonts w:ascii="Arial" w:hAnsi="Arial" w:cs="Arial"/>
          <w:sz w:val="20"/>
          <w:szCs w:val="20"/>
        </w:rPr>
        <w:t xml:space="preserve">ch image was divided into six zenith rings, and each zenith ring was divided into a further thirty-six azimuth cells.  Zenith angles greater than 60º were not analysed due to the </w:t>
      </w:r>
      <w:r w:rsidR="009F3BA1">
        <w:rPr>
          <w:rFonts w:ascii="Arial" w:hAnsi="Arial" w:cs="Arial"/>
          <w:sz w:val="20"/>
          <w:szCs w:val="20"/>
        </w:rPr>
        <w:t xml:space="preserve">increased </w:t>
      </w:r>
      <w:r w:rsidR="00084483">
        <w:rPr>
          <w:rFonts w:ascii="Arial" w:hAnsi="Arial" w:cs="Arial"/>
          <w:sz w:val="20"/>
          <w:szCs w:val="20"/>
        </w:rPr>
        <w:t>occurrence of mixed pixels at the extremes of the image</w:t>
      </w:r>
      <w:r w:rsidR="000A4707">
        <w:rPr>
          <w:rFonts w:ascii="Arial" w:hAnsi="Arial" w:cs="Arial"/>
          <w:sz w:val="20"/>
          <w:szCs w:val="20"/>
        </w:rPr>
        <w:t xml:space="preserve"> </w:t>
      </w:r>
      <w:r w:rsidR="000A4707">
        <w:rPr>
          <w:rFonts w:ascii="Arial" w:hAnsi="Arial" w:cs="Arial"/>
          <w:sz w:val="20"/>
          <w:szCs w:val="20"/>
        </w:rPr>
        <w:fldChar w:fldCharType="begin" w:fldLock="1"/>
      </w:r>
      <w:r w:rsidR="00145992">
        <w:rPr>
          <w:rFonts w:ascii="Arial" w:hAnsi="Arial" w:cs="Arial"/>
          <w:sz w:val="20"/>
          <w:szCs w:val="20"/>
        </w:rPr>
        <w:instrText>ADDIN CSL_CITATION {"citationItems":[{"id":"ITEM-1","itemData":{"DOI":"10.1016/j.agrformet.2003.08.027","ISBN":"0168-1923","ISSN":"01681923","PMID":"54","abstract":"Rapid, reliable and objective estimations of leaf area index (LAI) are essential for numerous studies of atmosphere-vegetation interaction, as LAI is very often a critical parameter in process-based models of vegetation canopy response to global environmental change. This paper reviews current knowledge concerning the use of direct and indirect methods for LAI determination. The value of optical LAI measurements by means of hemispherical photography has already been demonstrated in previous studies. As clumping seems to be the main factor causing errors in indirect LAI estimation, we suggest that the use of a digital camera with high dynamic range has the potential to overcome a number of described technical problems related to indirect LAI estimation. Further testing and defining of a standardised field protocol for digital hemispherical photography is however needed to improve this technique to achieve the standards of an ideal device. © 2003 Elsevier B.V. All rights reserved.","author":[{"dropping-particle":"","family":"Jonckheere","given":"Inge","non-dropping-particle":"","parse-names":false,"suffix":""},{"dropping-particle":"","family":"Fleck","given":"Stefan","non-dropping-particle":"","parse-names":false,"suffix":""},{"dropping-particle":"","family":"Nackaerts","given":"Kris","non-dropping-particle":"","parse-names":false,"suffix":""},{"dropping-particle":"","family":"Muys","given":"Bart","non-dropping-particle":"","parse-names":false,"suffix":""},{"dropping-particle":"","family":"Coppin","given":"Pol","non-dropping-particle":"","parse-names":false,"suffix":""},{"dropping-particle":"","family":"Weiss","given":"Marie","non-dropping-particle":"","parse-names":false,"suffix":""},{"dropping-particle":"","family":"Baret","given":"Frédéric","non-dropping-particle":"","parse-names":false,"suffix":""}],"container-title":"Agricultural and Forest Meteorology","id":"ITEM-1","issue":"1-2","issued":{"date-parts":[["2004","1"]]},"page":"19-35","title":"Review of methods for in situ leaf area index determination","type":"article-journal","volume":"121"},"uris":["http://www.mendeley.com/documents/?uuid=6442ba11-356e-31a6-aa90-199154d69b6f"]},{"id":"ITEM-2","itemData":{"author":[{"dropping-particle":"","family":"Weiss","given":"M.","non-dropping-particle":"","parse-names":false,"suffix":""},{"dropping-particle":"","family":"Baret","given":"F.","non-dropping-particle":"","parse-names":false,"suffix":""}],"id":"ITEM-2","issued":{"date-parts":[["2017"]]},"publisher":"Institut National de la Recherche Agronomique","publisher-place":"Avignon, France","title":"CAN-EYE V6.4.91 User Manual","type":"book"},"uris":["http://www.mendeley.com/documents/?uuid=f617d511-654e-46d9-a44a-7132be7340c5"]}],"mendeley":{"formattedCitation":"(Jonckheere et al., 2004; Weiss and Baret, 2017)","plainTextFormattedCitation":"(Jonckheere et al., 2004; Weiss and Baret, 2017)","previouslyFormattedCitation":"(Jonckheere et al., 2004; Weiss and Baret, 2017)"},"properties":{"noteIndex":0},"schema":"https://github.com/citation-style-language/schema/raw/master/csl-citation.json"}</w:instrText>
      </w:r>
      <w:r w:rsidR="000A4707">
        <w:rPr>
          <w:rFonts w:ascii="Arial" w:hAnsi="Arial" w:cs="Arial"/>
          <w:sz w:val="20"/>
          <w:szCs w:val="20"/>
        </w:rPr>
        <w:fldChar w:fldCharType="separate"/>
      </w:r>
      <w:r w:rsidR="000A4707" w:rsidRPr="000A4707">
        <w:rPr>
          <w:rFonts w:ascii="Arial" w:hAnsi="Arial" w:cs="Arial"/>
          <w:noProof/>
          <w:sz w:val="20"/>
          <w:szCs w:val="20"/>
        </w:rPr>
        <w:t>(Jonckheere et al., 2004; Weiss and Baret, 2017)</w:t>
      </w:r>
      <w:r w:rsidR="000A4707">
        <w:rPr>
          <w:rFonts w:ascii="Arial" w:hAnsi="Arial" w:cs="Arial"/>
          <w:sz w:val="20"/>
          <w:szCs w:val="20"/>
        </w:rPr>
        <w:fldChar w:fldCharType="end"/>
      </w:r>
      <w:r w:rsidR="00084483">
        <w:rPr>
          <w:rFonts w:ascii="Arial" w:hAnsi="Arial" w:cs="Arial"/>
          <w:sz w:val="20"/>
          <w:szCs w:val="20"/>
        </w:rPr>
        <w:t xml:space="preserve">.  </w:t>
      </w:r>
      <w:bookmarkStart w:id="4" w:name="_Hlk27316164"/>
      <w:r w:rsidR="00084483">
        <w:rPr>
          <w:rFonts w:ascii="Arial" w:hAnsi="Arial" w:cs="Arial"/>
          <w:sz w:val="20"/>
          <w:szCs w:val="20"/>
        </w:rPr>
        <w:t xml:space="preserve">From the estimates of gap fraction in each ring and cell, plant area index (PAI) was derived as a discretisation of </w:t>
      </w:r>
      <w:r w:rsidR="00084483">
        <w:rPr>
          <w:rFonts w:ascii="Arial" w:hAnsi="Arial" w:cs="Arial"/>
          <w:sz w:val="20"/>
          <w:szCs w:val="20"/>
        </w:rPr>
        <w:fldChar w:fldCharType="begin" w:fldLock="1"/>
      </w:r>
      <w:r w:rsidR="00084483">
        <w:rPr>
          <w:rFonts w:ascii="Arial" w:hAnsi="Arial" w:cs="Arial"/>
          <w:sz w:val="20"/>
          <w:szCs w:val="20"/>
        </w:rPr>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density","type":"article-journal","volume":"15"},"uris":["http://www.mendeley.com/documents/?uuid=d7a934a3-df7a-424f-b72b-e5628956ec7e"]}],"mendeley":{"formattedCitation":"(Miller, 1967)","manualFormatting":"Miller's (1967)","plainTextFormattedCitation":"(Miller, 1967)","previouslyFormattedCitation":"(Miller, 1967)"},"properties":{"noteIndex":0},"schema":"https://github.com/citation-style-language/schema/raw/master/csl-citation.json"}</w:instrText>
      </w:r>
      <w:r w:rsidR="00084483">
        <w:rPr>
          <w:rFonts w:ascii="Arial" w:hAnsi="Arial" w:cs="Arial"/>
          <w:sz w:val="20"/>
          <w:szCs w:val="20"/>
        </w:rPr>
        <w:fldChar w:fldCharType="separate"/>
      </w:r>
      <w:r w:rsidR="00084483" w:rsidRPr="00084483">
        <w:rPr>
          <w:rFonts w:ascii="Arial" w:hAnsi="Arial" w:cs="Arial"/>
          <w:noProof/>
          <w:sz w:val="20"/>
          <w:szCs w:val="20"/>
        </w:rPr>
        <w:t>Miller</w:t>
      </w:r>
      <w:r w:rsidR="00084483">
        <w:rPr>
          <w:rFonts w:ascii="Arial" w:hAnsi="Arial" w:cs="Arial"/>
          <w:noProof/>
          <w:sz w:val="20"/>
          <w:szCs w:val="20"/>
        </w:rPr>
        <w:t>'s</w:t>
      </w:r>
      <w:r w:rsidR="00084483" w:rsidRPr="00084483">
        <w:rPr>
          <w:rFonts w:ascii="Arial" w:hAnsi="Arial" w:cs="Arial"/>
          <w:noProof/>
          <w:sz w:val="20"/>
          <w:szCs w:val="20"/>
        </w:rPr>
        <w:t xml:space="preserve"> </w:t>
      </w:r>
      <w:r w:rsidR="00084483">
        <w:rPr>
          <w:rFonts w:ascii="Arial" w:hAnsi="Arial" w:cs="Arial"/>
          <w:noProof/>
          <w:sz w:val="20"/>
          <w:szCs w:val="20"/>
        </w:rPr>
        <w:t>(</w:t>
      </w:r>
      <w:r w:rsidR="00084483" w:rsidRPr="00084483">
        <w:rPr>
          <w:rFonts w:ascii="Arial" w:hAnsi="Arial" w:cs="Arial"/>
          <w:noProof/>
          <w:sz w:val="20"/>
          <w:szCs w:val="20"/>
        </w:rPr>
        <w:t>1967)</w:t>
      </w:r>
      <w:r w:rsidR="00084483">
        <w:rPr>
          <w:rFonts w:ascii="Arial" w:hAnsi="Arial" w:cs="Arial"/>
          <w:sz w:val="20"/>
          <w:szCs w:val="20"/>
        </w:rPr>
        <w:fldChar w:fldCharType="end"/>
      </w:r>
      <w:r w:rsidR="00084483">
        <w:rPr>
          <w:rFonts w:ascii="Arial" w:hAnsi="Arial" w:cs="Arial"/>
          <w:sz w:val="20"/>
          <w:szCs w:val="20"/>
        </w:rPr>
        <w:t xml:space="preserve"> integral, accounting for the effects of foliage clumping using the method of </w:t>
      </w:r>
      <w:r w:rsidR="00084483">
        <w:rPr>
          <w:rFonts w:ascii="Arial" w:hAnsi="Arial" w:cs="Arial"/>
          <w:sz w:val="20"/>
          <w:szCs w:val="20"/>
        </w:rPr>
        <w:fldChar w:fldCharType="begin" w:fldLock="1"/>
      </w:r>
      <w:r w:rsidR="00927299">
        <w:rPr>
          <w:rFonts w:ascii="Arial" w:hAnsi="Arial" w:cs="Arial"/>
          <w:sz w:val="20"/>
          <w:szCs w:val="20"/>
        </w:rPr>
        <w:instrText>ADDIN CSL_CITATION {"citationItems":[{"id":"ITEM-1","itemData":{"DOI":"10.1016/0168-1923(86)90033-X","ISBN":"0168-1923","ISSN":"01681923","PMID":"346","abstract":"We have shown previously that the leaf area index of uniform crops can be determined by using the sun's beam as a probe. Here, we show theoretically and empirically that the leaf area index of vegetation with large gaps can be measured by suitably averaging the local gap frequency, as detected by the transmission of the direct beam of the sun. The recommended procedure is to average the transmission linearly over a horizontal path ten times the characteristic width of a leaf and take the logarithm of this mean. The average of logarithms for many such paths is shown to be linearly related to the leaf area index. The estimate of leaf area index obtained by this procedure is more accurate than that obtained by averaging the transmission once over the full path. The analysis has been confirmed with measurements of crops of sorghum and wheat. The method is simple and appears most appropriate for forests. ?? 1986.","author":[{"dropping-particle":"","family":"Lang","given":"A. R G","non-dropping-particle":"","parse-names":false,"suffix":""},{"dropping-particle":"","family":"Yueqin","given":"Xiang","non-dropping-particle":"","parse-names":false,"suffix":""}],"container-title":"Agricultural and Forest Meteorology","id":"ITEM-1","issue":"3","issued":{"date-parts":[["1986","8"]]},"page":"229-243","title":"Estimation of leaf area index from transmission of direct sunlight in discontinuous canopies","type":"article-journal","volume":"37"},"uris":["http://www.mendeley.com/documents/?uuid=06ac3ead-c6af-4c6c-bc49-216a32ab703c"]}],"mendeley":{"formattedCitation":"(Lang and Yueqin, 1986)","manualFormatting":"Lang and Yueqin (1986)","plainTextFormattedCitation":"(Lang and Yueqin, 1986)","previouslyFormattedCitation":"(Lang and Yueqin, 1986)"},"properties":{"noteIndex":0},"schema":"https://github.com/citation-style-language/schema/raw/master/csl-citation.json"}</w:instrText>
      </w:r>
      <w:r w:rsidR="00084483">
        <w:rPr>
          <w:rFonts w:ascii="Arial" w:hAnsi="Arial" w:cs="Arial"/>
          <w:sz w:val="20"/>
          <w:szCs w:val="20"/>
        </w:rPr>
        <w:fldChar w:fldCharType="separate"/>
      </w:r>
      <w:r w:rsidR="00084483" w:rsidRPr="00084483">
        <w:rPr>
          <w:rFonts w:ascii="Arial" w:hAnsi="Arial" w:cs="Arial"/>
          <w:noProof/>
          <w:sz w:val="20"/>
          <w:szCs w:val="20"/>
        </w:rPr>
        <w:t xml:space="preserve">Lang and Yueqin </w:t>
      </w:r>
      <w:r w:rsidR="00084483">
        <w:rPr>
          <w:rFonts w:ascii="Arial" w:hAnsi="Arial" w:cs="Arial"/>
          <w:noProof/>
          <w:sz w:val="20"/>
          <w:szCs w:val="20"/>
        </w:rPr>
        <w:t>(</w:t>
      </w:r>
      <w:r w:rsidR="00084483" w:rsidRPr="00084483">
        <w:rPr>
          <w:rFonts w:ascii="Arial" w:hAnsi="Arial" w:cs="Arial"/>
          <w:noProof/>
          <w:sz w:val="20"/>
          <w:szCs w:val="20"/>
        </w:rPr>
        <w:t>1986)</w:t>
      </w:r>
      <w:r w:rsidR="00084483">
        <w:rPr>
          <w:rFonts w:ascii="Arial" w:hAnsi="Arial" w:cs="Arial"/>
          <w:sz w:val="20"/>
          <w:szCs w:val="20"/>
        </w:rPr>
        <w:fldChar w:fldCharType="end"/>
      </w:r>
      <w:r w:rsidR="00084483">
        <w:rPr>
          <w:rFonts w:ascii="Arial" w:hAnsi="Arial" w:cs="Arial"/>
          <w:sz w:val="20"/>
          <w:szCs w:val="20"/>
        </w:rPr>
        <w:t>, such that</w:t>
      </w:r>
    </w:p>
    <w:p w14:paraId="25128814" w14:textId="156B2CE6" w:rsidR="008D644F" w:rsidRPr="006F44C0" w:rsidRDefault="006F44C0" w:rsidP="00864A35">
      <w:pPr>
        <w:spacing w:after="0" w:line="480" w:lineRule="auto"/>
        <w:jc w:val="both"/>
        <w:rPr>
          <w:rFonts w:ascii="Arial" w:eastAsiaTheme="minorEastAsia" w:hAnsi="Arial" w:cs="Arial"/>
          <w:sz w:val="20"/>
          <w:szCs w:val="20"/>
        </w:rPr>
      </w:pPr>
      <m:oMathPara>
        <m:oMath>
          <m:r>
            <w:rPr>
              <w:rFonts w:ascii="Cambria Math" w:hAnsi="Cambria Math" w:cs="Arial"/>
              <w:sz w:val="20"/>
              <w:szCs w:val="20"/>
            </w:rPr>
            <m:t>PAI=2</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6</m:t>
              </m:r>
            </m:sup>
            <m:e>
              <m:r>
                <w:rPr>
                  <w:rFonts w:ascii="Cambria Math" w:hAnsi="Cambria Math" w:cs="Arial"/>
                  <w:sz w:val="20"/>
                  <w:szCs w:val="20"/>
                </w:rPr>
                <m:t>-</m:t>
              </m:r>
              <m:bar>
                <m:barPr>
                  <m:pos m:val="top"/>
                  <m:ctrlPr>
                    <w:rPr>
                      <w:rFonts w:ascii="Cambria Math" w:hAnsi="Cambria Math" w:cs="Arial"/>
                      <w:i/>
                      <w:sz w:val="20"/>
                      <w:szCs w:val="20"/>
                    </w:rPr>
                  </m:ctrlPr>
                </m:barPr>
                <m:e>
                  <m:func>
                    <m:funcPr>
                      <m:ctrlPr>
                        <w:rPr>
                          <w:rFonts w:ascii="Cambria Math" w:hAnsi="Cambria Math" w:cs="Arial"/>
                          <w:i/>
                          <w:sz w:val="20"/>
                          <w:szCs w:val="20"/>
                        </w:rPr>
                      </m:ctrlPr>
                    </m:funcPr>
                    <m:fName>
                      <m:r>
                        <m:rPr>
                          <m:sty m:val="p"/>
                        </m:rPr>
                        <w:rPr>
                          <w:rFonts w:ascii="Cambria Math" w:hAnsi="Cambria Math" w:cs="Arial"/>
                          <w:sz w:val="20"/>
                          <w:szCs w:val="20"/>
                        </w:rPr>
                        <m:t>ln</m:t>
                      </m:r>
                    </m:fName>
                    <m:e>
                      <m:r>
                        <w:rPr>
                          <w:rFonts w:ascii="Cambria Math" w:hAnsi="Cambria Math" w:cs="Arial"/>
                          <w:sz w:val="20"/>
                          <w:szCs w:val="20"/>
                        </w:rPr>
                        <m: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e>
                      </m:d>
                    </m:e>
                  </m:func>
                </m:e>
              </m:bar>
              <m:func>
                <m:funcPr>
                  <m:ctrlPr>
                    <w:rPr>
                      <w:rFonts w:ascii="Cambria Math" w:hAnsi="Cambria Math" w:cs="Arial"/>
                      <w:i/>
                      <w:sz w:val="20"/>
                      <w:szCs w:val="20"/>
                    </w:rPr>
                  </m:ctrlPr>
                </m:funcPr>
                <m:fName>
                  <m:r>
                    <m:rPr>
                      <m:sty m:val="p"/>
                    </m:rPr>
                    <w:rPr>
                      <w:rFonts w:ascii="Cambria Math" w:hAnsi="Cambria Math" w:cs="Arial"/>
                      <w:sz w:val="20"/>
                      <w:szCs w:val="20"/>
                    </w:rPr>
                    <m:t>cos</m:t>
                  </m:r>
                </m:fName>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r>
                    <w:rPr>
                      <w:rFonts w:ascii="Cambria Math" w:hAnsi="Cambria Math" w:cs="Arial"/>
                      <w:sz w:val="20"/>
                      <w:szCs w:val="20"/>
                    </w:rPr>
                    <m:t xml:space="preserve"> </m:t>
                  </m:r>
                  <m:sSub>
                    <m:sSubPr>
                      <m:ctrlPr>
                        <w:rPr>
                          <w:rFonts w:ascii="Cambria Math" w:hAnsi="Cambria Math" w:cs="Arial"/>
                          <w:sz w:val="20"/>
                          <w:szCs w:val="20"/>
                        </w:rPr>
                      </m:ctrlPr>
                    </m:sSubPr>
                    <m:e>
                      <m:r>
                        <w:rPr>
                          <w:rFonts w:ascii="Cambria Math" w:hAnsi="Cambria Math" w:cs="Arial"/>
                          <w:sz w:val="20"/>
                          <w:szCs w:val="20"/>
                        </w:rPr>
                        <m:t>w</m:t>
                      </m:r>
                    </m:e>
                    <m:sub>
                      <m:r>
                        <w:rPr>
                          <w:rFonts w:ascii="Cambria Math" w:hAnsi="Cambria Math" w:cs="Arial"/>
                          <w:sz w:val="20"/>
                          <w:szCs w:val="20"/>
                        </w:rPr>
                        <m:t>i</m:t>
                      </m:r>
                    </m:sub>
                  </m:sSub>
                </m:e>
              </m:func>
            </m:e>
          </m:nary>
        </m:oMath>
      </m:oMathPara>
    </w:p>
    <w:p w14:paraId="133012B2" w14:textId="4BA62C93" w:rsidR="008D644F" w:rsidRDefault="006F44C0" w:rsidP="00864A35">
      <w:pPr>
        <w:spacing w:after="0" w:line="480" w:lineRule="auto"/>
        <w:jc w:val="both"/>
        <w:rPr>
          <w:rFonts w:ascii="Arial" w:eastAsiaTheme="minorEastAsia" w:hAnsi="Arial" w:cs="Arial"/>
          <w:sz w:val="20"/>
          <w:szCs w:val="20"/>
        </w:rPr>
      </w:pPr>
      <w:r w:rsidRPr="00044E3C">
        <w:rPr>
          <w:rFonts w:ascii="Arial" w:hAnsi="Arial" w:cs="Arial"/>
          <w:sz w:val="20"/>
          <w:szCs w:val="20"/>
        </w:rPr>
        <w:t xml:space="preserve">where </w:t>
      </w:r>
      <m:oMath>
        <m:r>
          <w:rPr>
            <w:rFonts w:ascii="Cambria Math" w:hAnsi="Cambria Math" w:cs="Arial"/>
            <w:sz w:val="20"/>
            <w:szCs w:val="20"/>
          </w:rPr>
          <m:t>P</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e>
        </m:d>
      </m:oMath>
      <w:r w:rsidRPr="00044E3C">
        <w:rPr>
          <w:rFonts w:ascii="Arial" w:hAnsi="Arial" w:cs="Arial"/>
          <w:sz w:val="20"/>
          <w:szCs w:val="20"/>
        </w:rPr>
        <w:t xml:space="preserve"> is the gap fraction in ring </w:t>
      </w:r>
      <m:oMath>
        <m:r>
          <w:rPr>
            <w:rFonts w:ascii="Cambria Math" w:hAnsi="Cambria Math" w:cs="Arial"/>
            <w:sz w:val="20"/>
            <w:szCs w:val="20"/>
          </w:rPr>
          <m:t>i</m:t>
        </m:r>
      </m:oMath>
      <w:r w:rsidR="008D644F">
        <w:rPr>
          <w:rFonts w:ascii="Arial" w:hAnsi="Arial" w:cs="Arial"/>
          <w:sz w:val="20"/>
          <w:szCs w:val="20"/>
        </w:rPr>
        <w:t>,</w:t>
      </w:r>
      <w:r w:rsidRPr="00044E3C">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oMath>
      <w:r w:rsidRPr="00044E3C">
        <w:rPr>
          <w:rFonts w:ascii="Arial" w:hAnsi="Arial" w:cs="Arial"/>
          <w:sz w:val="20"/>
          <w:szCs w:val="20"/>
        </w:rPr>
        <w:t xml:space="preserve"> is </w:t>
      </w:r>
      <w:r>
        <w:rPr>
          <w:rFonts w:ascii="Arial" w:hAnsi="Arial" w:cs="Arial"/>
          <w:sz w:val="20"/>
          <w:szCs w:val="20"/>
        </w:rPr>
        <w:t xml:space="preserve">its </w:t>
      </w:r>
      <w:r w:rsidRPr="00044E3C">
        <w:rPr>
          <w:rFonts w:ascii="Arial" w:hAnsi="Arial" w:cs="Arial"/>
          <w:sz w:val="20"/>
          <w:szCs w:val="20"/>
        </w:rPr>
        <w:t>central zenith angle</w:t>
      </w:r>
      <w:r w:rsidR="008D644F">
        <w:rPr>
          <w:rFonts w:ascii="Arial" w:hAnsi="Arial" w:cs="Arial"/>
          <w:sz w:val="20"/>
          <w:szCs w:val="20"/>
        </w:rPr>
        <w:t xml:space="preserve">, and </w:t>
      </w:r>
      <m:oMath>
        <m:sSub>
          <m:sSubPr>
            <m:ctrlPr>
              <w:rPr>
                <w:rFonts w:ascii="Cambria Math" w:hAnsi="Cambria Math" w:cs="Arial"/>
                <w:sz w:val="20"/>
                <w:szCs w:val="20"/>
              </w:rPr>
            </m:ctrlPr>
          </m:sSubPr>
          <m:e>
            <m:r>
              <w:rPr>
                <w:rFonts w:ascii="Cambria Math" w:hAnsi="Cambria Math" w:cs="Arial"/>
                <w:sz w:val="20"/>
                <w:szCs w:val="20"/>
              </w:rPr>
              <m:t>w</m:t>
            </m:r>
          </m:e>
          <m:sub>
            <m:r>
              <w:rPr>
                <w:rFonts w:ascii="Cambria Math" w:hAnsi="Cambria Math" w:cs="Arial"/>
                <w:sz w:val="20"/>
                <w:szCs w:val="20"/>
              </w:rPr>
              <m:t>i</m:t>
            </m:r>
          </m:sub>
        </m:sSub>
      </m:oMath>
      <w:r w:rsidR="008D644F">
        <w:rPr>
          <w:rFonts w:ascii="Arial" w:eastAsiaTheme="minorEastAsia" w:hAnsi="Arial" w:cs="Arial"/>
          <w:sz w:val="20"/>
          <w:szCs w:val="20"/>
        </w:rPr>
        <w:t xml:space="preserve"> is the weight associated with each </w:t>
      </w:r>
      <w:proofErr w:type="gramStart"/>
      <w:r w:rsidR="008D644F">
        <w:rPr>
          <w:rFonts w:ascii="Arial" w:eastAsiaTheme="minorEastAsia" w:hAnsi="Arial" w:cs="Arial"/>
          <w:sz w:val="20"/>
          <w:szCs w:val="20"/>
        </w:rPr>
        <w:t>ring.</w:t>
      </w:r>
      <w:proofErr w:type="gramEnd"/>
      <w:r w:rsidR="008D644F">
        <w:rPr>
          <w:rFonts w:ascii="Arial" w:eastAsiaTheme="minorEastAsia" w:hAnsi="Arial" w:cs="Arial"/>
          <w:sz w:val="20"/>
          <w:szCs w:val="20"/>
        </w:rPr>
        <w:t xml:space="preserve">  Weights were calculated to </w:t>
      </w:r>
      <w:r w:rsidR="009F3BA1">
        <w:rPr>
          <w:rFonts w:ascii="Arial" w:eastAsiaTheme="minorEastAsia" w:hAnsi="Arial" w:cs="Arial"/>
          <w:sz w:val="20"/>
          <w:szCs w:val="20"/>
        </w:rPr>
        <w:t>sum to one accounting for</w:t>
      </w:r>
      <w:r w:rsidR="008D644F">
        <w:rPr>
          <w:rFonts w:ascii="Arial" w:eastAsiaTheme="minorEastAsia" w:hAnsi="Arial" w:cs="Arial"/>
          <w:sz w:val="20"/>
          <w:szCs w:val="20"/>
        </w:rPr>
        <w:t xml:space="preserve"> the restricted range of sampled zenith angles</w:t>
      </w:r>
      <w:r w:rsidR="009F3BA1">
        <w:rPr>
          <w:rFonts w:ascii="Arial" w:eastAsiaTheme="minorEastAsia" w:hAnsi="Arial" w:cs="Arial"/>
          <w:sz w:val="20"/>
          <w:szCs w:val="20"/>
        </w:rPr>
        <w:t>, such that</w:t>
      </w:r>
    </w:p>
    <w:p w14:paraId="6334127F" w14:textId="178B5A23" w:rsidR="008D644F" w:rsidRDefault="00DD6B39" w:rsidP="00864A35">
      <w:pPr>
        <w:spacing w:after="0" w:line="480" w:lineRule="auto"/>
        <w:jc w:val="both"/>
        <w:rPr>
          <w:rFonts w:ascii="Arial" w:eastAsiaTheme="minorEastAsia" w:hAnsi="Arial" w:cs="Arial"/>
          <w:sz w:val="20"/>
          <w:szCs w:val="20"/>
        </w:rPr>
      </w:pPr>
      <m:oMathPara>
        <m:oMath>
          <m:sSub>
            <m:sSubPr>
              <m:ctrlPr>
                <w:rPr>
                  <w:rFonts w:ascii="Cambria Math" w:hAnsi="Cambria Math" w:cs="Arial"/>
                  <w:sz w:val="20"/>
                  <w:szCs w:val="20"/>
                </w:rPr>
              </m:ctrlPr>
            </m:sSubPr>
            <m:e>
              <m:r>
                <w:rPr>
                  <w:rFonts w:ascii="Cambria Math" w:hAnsi="Cambria Math" w:cs="Arial"/>
                  <w:sz w:val="20"/>
                  <w:szCs w:val="20"/>
                </w:rPr>
                <m:t>w</m:t>
              </m:r>
            </m:e>
            <m:sub>
              <m:r>
                <w:rPr>
                  <w:rFonts w:ascii="Cambria Math" w:hAnsi="Cambria Math" w:cs="Arial"/>
                  <w:sz w:val="20"/>
                  <w:szCs w:val="20"/>
                </w:rPr>
                <m:t>i</m:t>
              </m:r>
            </m:sub>
          </m:sSub>
          <m:r>
            <m:rPr>
              <m:sty m:val="p"/>
            </m:rPr>
            <w:rPr>
              <w:rFonts w:ascii="Cambria Math" w:hAnsi="Cambria Math" w:cs="Arial"/>
              <w:sz w:val="20"/>
              <w:szCs w:val="20"/>
            </w:rPr>
            <m:t>=</m:t>
          </m:r>
          <m:f>
            <m:fPr>
              <m:ctrlPr>
                <w:rPr>
                  <w:rFonts w:ascii="Cambria Math" w:hAnsi="Cambria Math" w:cs="Arial"/>
                  <w:i/>
                  <w:sz w:val="20"/>
                  <w:szCs w:val="20"/>
                </w:rPr>
              </m:ctrlPr>
            </m:fPr>
            <m:num>
              <m:func>
                <m:funcPr>
                  <m:ctrlPr>
                    <w:rPr>
                      <w:rFonts w:ascii="Cambria Math" w:hAnsi="Cambria Math" w:cs="Arial"/>
                      <w:i/>
                      <w:sz w:val="20"/>
                      <w:szCs w:val="20"/>
                    </w:rPr>
                  </m:ctrlPr>
                </m:funcPr>
                <m:fName>
                  <m:r>
                    <m:rPr>
                      <m:sty m:val="p"/>
                    </m:rPr>
                    <w:rPr>
                      <w:rFonts w:ascii="Cambria Math" w:hAnsi="Cambria Math" w:cs="Arial"/>
                      <w:sz w:val="20"/>
                      <w:szCs w:val="20"/>
                    </w:rPr>
                    <m:t>sin</m:t>
                  </m:r>
                </m:fName>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func>
                    <m:funcPr>
                      <m:ctrlPr>
                        <w:rPr>
                          <w:rFonts w:ascii="Cambria Math" w:hAnsi="Cambria Math" w:cs="Arial"/>
                          <w:i/>
                          <w:sz w:val="20"/>
                          <w:szCs w:val="20"/>
                        </w:rPr>
                      </m:ctrlPr>
                    </m:funcPr>
                    <m:fName>
                      <m:r>
                        <m:rPr>
                          <m:sty m:val="p"/>
                        </m:rPr>
                        <w:rPr>
                          <w:rFonts w:ascii="Cambria Math" w:hAnsi="Cambria Math" w:cs="Arial"/>
                          <w:sz w:val="20"/>
                          <w:szCs w:val="20"/>
                        </w:rPr>
                        <m:t>d</m:t>
                      </m:r>
                    </m:fName>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e>
                  </m:func>
                </m:e>
              </m:func>
            </m:num>
            <m:den>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6</m:t>
                  </m:r>
                </m:sup>
                <m:e>
                  <m:func>
                    <m:funcPr>
                      <m:ctrlPr>
                        <w:rPr>
                          <w:rFonts w:ascii="Cambria Math" w:hAnsi="Cambria Math" w:cs="Arial"/>
                          <w:i/>
                          <w:sz w:val="20"/>
                          <w:szCs w:val="20"/>
                        </w:rPr>
                      </m:ctrlPr>
                    </m:funcPr>
                    <m:fName>
                      <m:r>
                        <m:rPr>
                          <m:sty m:val="p"/>
                        </m:rPr>
                        <w:rPr>
                          <w:rFonts w:ascii="Cambria Math" w:hAnsi="Cambria Math" w:cs="Arial"/>
                          <w:sz w:val="20"/>
                          <w:szCs w:val="20"/>
                        </w:rPr>
                        <m:t>sin</m:t>
                      </m:r>
                    </m:fName>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func>
                        <m:funcPr>
                          <m:ctrlPr>
                            <w:rPr>
                              <w:rFonts w:ascii="Cambria Math" w:hAnsi="Cambria Math" w:cs="Arial"/>
                              <w:i/>
                              <w:sz w:val="20"/>
                              <w:szCs w:val="20"/>
                            </w:rPr>
                          </m:ctrlPr>
                        </m:funcPr>
                        <m:fName>
                          <m:r>
                            <m:rPr>
                              <m:sty m:val="p"/>
                            </m:rPr>
                            <w:rPr>
                              <w:rFonts w:ascii="Cambria Math" w:hAnsi="Cambria Math" w:cs="Arial"/>
                              <w:sz w:val="20"/>
                              <w:szCs w:val="20"/>
                            </w:rPr>
                            <m:t>d</m:t>
                          </m:r>
                        </m:fName>
                        <m:e>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i</m:t>
                              </m:r>
                            </m:sub>
                          </m:sSub>
                        </m:e>
                      </m:func>
                    </m:e>
                  </m:func>
                </m:e>
              </m:nary>
            </m:den>
          </m:f>
        </m:oMath>
      </m:oMathPara>
    </w:p>
    <w:p w14:paraId="20BCF3BA" w14:textId="5324D55F" w:rsidR="0010726F" w:rsidRDefault="008D644F" w:rsidP="00864A35">
      <w:pPr>
        <w:spacing w:after="0" w:line="480" w:lineRule="auto"/>
        <w:jc w:val="both"/>
        <w:rPr>
          <w:rFonts w:ascii="Arial" w:hAnsi="Arial" w:cs="Arial"/>
          <w:sz w:val="20"/>
          <w:szCs w:val="20"/>
        </w:rPr>
      </w:pPr>
      <w:r>
        <w:rPr>
          <w:rFonts w:ascii="Arial" w:hAnsi="Arial" w:cs="Arial"/>
          <w:sz w:val="20"/>
          <w:szCs w:val="20"/>
        </w:rPr>
        <w:fldChar w:fldCharType="begin" w:fldLock="1"/>
      </w:r>
      <w:r w:rsidR="009F3BA1">
        <w:rPr>
          <w:rFonts w:ascii="Arial" w:hAnsi="Arial" w:cs="Arial"/>
          <w:sz w:val="20"/>
          <w:szCs w:val="20"/>
        </w:rPr>
        <w:instrText>ADDIN CSL_CITATION {"citationItems":[{"id":"ITEM-1","itemData":{"author":[{"dropping-particle":"","family":"LI-COR","given":"","non-dropping-particle":"","parse-names":false,"suffix":""}],"id":"ITEM-1","issued":{"date-parts":[["2013"]]},"publisher":"LI-COR","publisher-place":"Lincoln, Nebraska, United States","title":"LAI-2200C Plant Canopy Analyser Instruction Manual","type":"book"},"uris":["http://www.mendeley.com/documents/?uuid=67a9ca21-c653-481e-b777-d74e42f528de"]}],"mendeley":{"formattedCitation":"(LI-COR, 2013)","plainTextFormattedCitation":"(LI-COR, 2013)","previouslyFormattedCitation":"(LI-COR, 2013)"},"properties":{"noteIndex":0},"schema":"https://github.com/citation-style-language/schema/raw/master/csl-citation.json"}</w:instrText>
      </w:r>
      <w:r>
        <w:rPr>
          <w:rFonts w:ascii="Arial" w:hAnsi="Arial" w:cs="Arial"/>
          <w:sz w:val="20"/>
          <w:szCs w:val="20"/>
        </w:rPr>
        <w:fldChar w:fldCharType="separate"/>
      </w:r>
      <w:r w:rsidRPr="008D644F">
        <w:rPr>
          <w:rFonts w:ascii="Arial" w:hAnsi="Arial" w:cs="Arial"/>
          <w:noProof/>
          <w:sz w:val="20"/>
          <w:szCs w:val="20"/>
        </w:rPr>
        <w:t>(LI-COR, 2013)</w:t>
      </w:r>
      <w:r>
        <w:rPr>
          <w:rFonts w:ascii="Arial" w:hAnsi="Arial" w:cs="Arial"/>
          <w:sz w:val="20"/>
          <w:szCs w:val="20"/>
        </w:rPr>
        <w:fldChar w:fldCharType="end"/>
      </w:r>
      <w:r>
        <w:rPr>
          <w:rFonts w:ascii="Arial" w:hAnsi="Arial" w:cs="Arial"/>
          <w:sz w:val="20"/>
          <w:szCs w:val="20"/>
        </w:rPr>
        <w:t>.</w:t>
      </w:r>
      <w:r w:rsidR="009148F3">
        <w:rPr>
          <w:rFonts w:ascii="Arial" w:hAnsi="Arial" w:cs="Arial"/>
          <w:sz w:val="20"/>
          <w:szCs w:val="20"/>
        </w:rPr>
        <w:t xml:space="preserve">  </w:t>
      </w:r>
      <w:r w:rsidR="00F60223">
        <w:rPr>
          <w:rFonts w:ascii="Arial" w:hAnsi="Arial" w:cs="Arial"/>
          <w:sz w:val="20"/>
          <w:szCs w:val="20"/>
        </w:rPr>
        <w:t xml:space="preserve">Unlike in the LAI-2000 </w:t>
      </w:r>
      <w:r w:rsidR="00F60223">
        <w:rPr>
          <w:rFonts w:ascii="Arial" w:hAnsi="Arial" w:cs="Arial"/>
          <w:sz w:val="20"/>
          <w:szCs w:val="20"/>
        </w:rPr>
        <w:fldChar w:fldCharType="begin" w:fldLock="1"/>
      </w:r>
      <w:r w:rsidR="00D87D5D">
        <w:rPr>
          <w:rFonts w:ascii="Arial" w:hAnsi="Arial" w:cs="Arial"/>
          <w:sz w:val="20"/>
          <w:szCs w:val="20"/>
        </w:rPr>
        <w:instrText>ADDIN CSL_CITATION {"citationItems":[{"id":"ITEM-1","itemData":{"DOI":"10.2134/agronj1991.00021962008300050009x","ISSN":"0002-1962","author":[{"dropping-particle":"","family":"Welles","given":"J. M.","non-dropping-particle":"","parse-names":false,"suffix":""},{"dropping-particle":"","family":"Norman","given":"J. M.","non-dropping-particle":"","parse-names":false,"suffix":""}],"container-title":"Agronomy Journal","id":"ITEM-1","issue":"5","issued":{"date-parts":[["1991"]]},"page":"818-825","title":"Instrument for Indirect Measurement of Canopy Architecture","type":"article-journal","volume":"83"},"uris":["http://www.mendeley.com/documents/?uuid=2ae2550d-7c9f-42a5-be81-a06b7f7531e6"]}],"mendeley":{"formattedCitation":"(Welles and Norman, 1991)","plainTextFormattedCitation":"(Welles and Norman, 1991)","previouslyFormattedCitation":"(Welles and Norman, 1991)"},"properties":{"noteIndex":0},"schema":"https://github.com/citation-style-language/schema/raw/master/csl-citation.json"}</w:instrText>
      </w:r>
      <w:r w:rsidR="00F60223">
        <w:rPr>
          <w:rFonts w:ascii="Arial" w:hAnsi="Arial" w:cs="Arial"/>
          <w:sz w:val="20"/>
          <w:szCs w:val="20"/>
        </w:rPr>
        <w:fldChar w:fldCharType="separate"/>
      </w:r>
      <w:r w:rsidR="00F60223" w:rsidRPr="00F60223">
        <w:rPr>
          <w:rFonts w:ascii="Arial" w:hAnsi="Arial" w:cs="Arial"/>
          <w:noProof/>
          <w:sz w:val="20"/>
          <w:szCs w:val="20"/>
        </w:rPr>
        <w:t>(Welles and Norman, 1991)</w:t>
      </w:r>
      <w:r w:rsidR="00F60223">
        <w:rPr>
          <w:rFonts w:ascii="Arial" w:hAnsi="Arial" w:cs="Arial"/>
          <w:sz w:val="20"/>
          <w:szCs w:val="20"/>
        </w:rPr>
        <w:fldChar w:fldCharType="end"/>
      </w:r>
      <w:r w:rsidR="00F60223">
        <w:rPr>
          <w:rFonts w:ascii="Arial" w:hAnsi="Arial" w:cs="Arial"/>
          <w:sz w:val="20"/>
          <w:szCs w:val="20"/>
        </w:rPr>
        <w:t>, t</w:t>
      </w:r>
      <w:r w:rsidR="009148F3">
        <w:rPr>
          <w:rFonts w:ascii="Arial" w:hAnsi="Arial" w:cs="Arial"/>
          <w:sz w:val="20"/>
          <w:szCs w:val="20"/>
        </w:rPr>
        <w:t xml:space="preserve">he last ring was not weighted as if it extended down to the horizon, as </w:t>
      </w:r>
      <w:r w:rsidR="009148F3">
        <w:rPr>
          <w:rFonts w:ascii="Arial" w:hAnsi="Arial" w:cs="Arial"/>
          <w:sz w:val="20"/>
          <w:szCs w:val="20"/>
        </w:rPr>
        <w:fldChar w:fldCharType="begin" w:fldLock="1"/>
      </w:r>
      <w:r w:rsidR="00F60223">
        <w:rPr>
          <w:rFonts w:ascii="Arial" w:hAnsi="Arial" w:cs="Arial"/>
          <w:sz w:val="20"/>
          <w:szCs w:val="20"/>
        </w:rPr>
        <w:instrText>ADDIN CSL_CITATION {"citationItems":[{"id":"ITEM-1","itemData":{"DOI":"10.1016/S0168-1923(01)00284-2","ISSN":"01681923","abstract":"Accurate and fast non-destructive measurements of leaf area index (LAI) of plant canopies are essential to environmental applications such as water and carbon cycle modelling. A commonly used technique to acquire LAI in situ is based on measurements of radiation transmittance through the canopy with optical instruments. The LAI-2000, that obtains measurements of effective LAI (Le: LAI retrieved assuming random foliage distribution) based on gap fraction at five view angles, is designed to work under diffuse light conditions. The LAI-2000 makes use of blue light to minimise the effect of light scattering in the canopy on LAI measurements. However, actual field LAI measurements are still routinely done under a range of illumination conditions, including direct sunlight. The LAI values measured under conditions of either partial or full direct light are generally smaller than the ones obtained under diffuse conditions. Although this error source is prevailing in many field LAI measurements, hitherto the problem has not been tackled rigorously. To better understand and improve the LAI-2000 measurements taken under non-ideal conditions, measurements were taken in two deciduous and two coniferous forest sites at different times of cloudless days to study how the scattering of the blue light by plant canopies affects LAI measurements. The sites are located in Larose forest near Ottawa, Canada. It is shown through these measurements and modelling with the canopy radiative transfer model Five-scale [Remote Sens. Rev. 19 (2000) 293-305] that the blue light scattering causes underestimation of effective LAI by up to 20% when measured under direct sunlight. A correction for the scattering effect, as a function of solar zenith angle and the effective LAI measured under the sunlit condition, is found through an empirical fit to the measured data in a limited range as well as model-simulated data in the full possible range possible. It is also found that the LAI-2000 fourth ring (47-58° from zenith) gives a more consistent correction than the other rings and that this ring used alone is also suitable for effective LAI retrieval under diffuse conditions. The correction scheme can reduce the error in effective LAI measurements to within 2%. It is therefore suggested that in field programs with logistic constraints, the LAI-2000 time of operation during sunny days can be extended beyond the diffuse illumination conditions near sunrise and sunset since the influence of th…","author":[{"dropping-particle":"","family":"Leblanc","given":"Sylvain G.","non-dropping-particle":"","parse-names":false,"suffix":""},{"dropping-particle":"","family":"Chen","given":"Jing M.","non-dropping-particle":"","parse-names":false,"suffix":""}],"container-title":"Agricultural and Forest Meteorology","id":"ITEM-1","issue":"2","issued":{"date-parts":[["2001","12"]]},"page":"125-139","title":"A practical scheme for correcting multiple scattering effects on optical LAI measurements","type":"article-journal","volume":"110"},"uris":["http://www.mendeley.com/documents/?uuid=592f102d-693e-4ee9-9ae8-bc9e062c7157"]}],"mendeley":{"formattedCitation":"(Leblanc and Chen, 2001)","manualFormatting":"Leblanc and Chen (2001)","plainTextFormattedCitation":"(Leblanc and Chen, 2001)","previouslyFormattedCitation":"(Leblanc and Chen, 2001)"},"properties":{"noteIndex":0},"schema":"https://github.com/citation-style-language/schema/raw/master/csl-citation.json"}</w:instrText>
      </w:r>
      <w:r w:rsidR="009148F3">
        <w:rPr>
          <w:rFonts w:ascii="Arial" w:hAnsi="Arial" w:cs="Arial"/>
          <w:sz w:val="20"/>
          <w:szCs w:val="20"/>
        </w:rPr>
        <w:fldChar w:fldCharType="separate"/>
      </w:r>
      <w:r w:rsidR="009148F3" w:rsidRPr="009148F3">
        <w:rPr>
          <w:rFonts w:ascii="Arial" w:hAnsi="Arial" w:cs="Arial"/>
          <w:noProof/>
          <w:sz w:val="20"/>
          <w:szCs w:val="20"/>
        </w:rPr>
        <w:t xml:space="preserve">Leblanc and Chen </w:t>
      </w:r>
      <w:r w:rsidR="009148F3">
        <w:rPr>
          <w:rFonts w:ascii="Arial" w:hAnsi="Arial" w:cs="Arial"/>
          <w:noProof/>
          <w:sz w:val="20"/>
          <w:szCs w:val="20"/>
        </w:rPr>
        <w:t>(</w:t>
      </w:r>
      <w:r w:rsidR="009148F3" w:rsidRPr="009148F3">
        <w:rPr>
          <w:rFonts w:ascii="Arial" w:hAnsi="Arial" w:cs="Arial"/>
          <w:noProof/>
          <w:sz w:val="20"/>
          <w:szCs w:val="20"/>
        </w:rPr>
        <w:t>2001)</w:t>
      </w:r>
      <w:r w:rsidR="009148F3">
        <w:rPr>
          <w:rFonts w:ascii="Arial" w:hAnsi="Arial" w:cs="Arial"/>
          <w:sz w:val="20"/>
          <w:szCs w:val="20"/>
        </w:rPr>
        <w:fldChar w:fldCharType="end"/>
      </w:r>
      <w:r w:rsidR="009148F3">
        <w:rPr>
          <w:rFonts w:ascii="Arial" w:hAnsi="Arial" w:cs="Arial"/>
          <w:sz w:val="20"/>
          <w:szCs w:val="20"/>
        </w:rPr>
        <w:t xml:space="preserve"> suggest this leads to underestimation of </w:t>
      </w:r>
      <w:r w:rsidR="006D34E3">
        <w:rPr>
          <w:rFonts w:ascii="Arial" w:hAnsi="Arial" w:cs="Arial"/>
          <w:sz w:val="20"/>
          <w:szCs w:val="20"/>
        </w:rPr>
        <w:t>PAI</w:t>
      </w:r>
      <w:r w:rsidR="009148F3">
        <w:rPr>
          <w:rFonts w:ascii="Arial" w:hAnsi="Arial" w:cs="Arial"/>
          <w:sz w:val="20"/>
          <w:szCs w:val="20"/>
        </w:rPr>
        <w:t>.</w:t>
      </w:r>
      <w:r w:rsidR="006F44C0">
        <w:rPr>
          <w:rFonts w:ascii="Arial" w:hAnsi="Arial" w:cs="Arial"/>
          <w:sz w:val="20"/>
          <w:szCs w:val="20"/>
        </w:rPr>
        <w:t xml:space="preserve">  </w:t>
      </w:r>
      <w:bookmarkEnd w:id="4"/>
      <w:r w:rsidR="006F44C0">
        <w:rPr>
          <w:rFonts w:ascii="Arial" w:hAnsi="Arial" w:cs="Arial"/>
          <w:sz w:val="20"/>
          <w:szCs w:val="20"/>
        </w:rPr>
        <w:t xml:space="preserve">PAI values were converted to LAI by subtracting wood area index (WAI), which was </w:t>
      </w:r>
      <w:r w:rsidR="00EC7B31">
        <w:rPr>
          <w:rFonts w:ascii="Arial" w:hAnsi="Arial" w:cs="Arial"/>
          <w:sz w:val="20"/>
          <w:szCs w:val="20"/>
        </w:rPr>
        <w:t>estimated</w:t>
      </w:r>
      <w:r w:rsidR="006F44C0">
        <w:rPr>
          <w:rFonts w:ascii="Arial" w:hAnsi="Arial" w:cs="Arial"/>
          <w:sz w:val="20"/>
          <w:szCs w:val="20"/>
        </w:rPr>
        <w:t xml:space="preserve"> as the mean PAI observed during leaf-off conditions</w:t>
      </w:r>
      <w:r w:rsidR="00755D1E">
        <w:rPr>
          <w:rFonts w:ascii="Arial" w:hAnsi="Arial" w:cs="Arial"/>
          <w:sz w:val="20"/>
          <w:szCs w:val="20"/>
        </w:rPr>
        <w:t xml:space="preserve"> </w:t>
      </w:r>
      <w:r w:rsidR="00755D1E">
        <w:rPr>
          <w:rFonts w:ascii="Arial" w:hAnsi="Arial" w:cs="Arial"/>
          <w:sz w:val="20"/>
          <w:szCs w:val="20"/>
        </w:rPr>
        <w:fldChar w:fldCharType="begin" w:fldLock="1"/>
      </w:r>
      <w:r w:rsidR="00755D1E">
        <w:rPr>
          <w:rFonts w:ascii="Arial" w:hAnsi="Arial" w:cs="Arial"/>
          <w:sz w:val="20"/>
          <w:szCs w:val="20"/>
        </w:rPr>
        <w:instrText>ADDIN CSL_CITATION {"citationItems":[{"id":"ITEM-1","itemData":{"DOI":"10.1016/j.agrformet.2017.09.004","ISSN":"01681923","abstract":"Long-term, continuous digital camera imagery and tower-based radiometric monitoring were conducted at a representative hardwood forest site in the Northeastern United States, part of the AmeriFlux network. In this study, the phenological metrics of the leaf area index (LAI), plant area index (PAI) and associated transition dates (e.g., timing of the onset of leaf expansion and the cessation of leaf fall) were compared using 4-year of data from Bartlett Experimental Forest. We used digital repeat photography (DRP) imagery collected using two different methods (\"canopy cover\" and \"phenocam\" approaches), together with above- and below-canopy measurements of photosynthetically active radiation (PAR). The growth-period LAI estimated from canopy cover images (LAICANOPY) and the above and below canopy PAR measurements (LAIfPARt) were within approximately the same range, in term of magnitude, as previous results for multiple comparative methods, although growing-season LAICANOPY was slightly lower (3.11m2 m-2 to 3.35m2 m-2) than LAIfPARt (3.19m2 m-2 to 3.67m2 m-2). In addition, we derived phenological transition dates from PAICANOPY, PAIfPARt, and color-based metrics calculated from the phenocam imagery (green (GCC) and red (RCC) chromatic coordinates). The transition dates in both spring and autumn differed somewhat according to method, presumably due to the vegetation status detection abilities of each vegetation metric. We found that LAI estimation from canopy cover images may be influenced by automatic exposure settings, which limits the ability to detect subtle changes in phenology during the transition phases in both spring and autumn. Particularly in autumn, the color-based metrics calculated from the phenocam imagery are decoupled from leaf area dynamics and thus PAI. While above and below canopy PAR measurements could yield the better indicators for estimating LAI, its seasonal dynamics, and associated phenological transition dates in long-term monitoring, we argue that there are obvious benefits to the multi-sensor approach used here.","author":[{"dropping-particle":"","family":"Toda","given":"Motomu","non-dropping-particle":"","parse-names":false,"suffix":""},{"dropping-particle":"","family":"Richardson","given":"Andrew D.","non-dropping-particle":"","parse-names":false,"suffix":""}],"container-title":"Agricultural and Forest Meteorology","id":"ITEM-1","issue":"September","issued":{"date-parts":[["2017","9"]]},"page":"1-10","title":"Estimation of plant area index and phenological transition dates from digital repeat photography and radiometric approaches in a hardwood forest in the Northeastern United States","type":"article-journal"},"uris":["http://www.mendeley.com/documents/?uuid=60af9818-db88-4e35-82a0-1f08dc215e98"]}],"mendeley":{"formattedCitation":"(Toda and Richardson, 2017)","plainTextFormattedCitation":"(Toda and Richardson, 2017)","previouslyFormattedCitation":"(Toda and Richardson, 2017)"},"properties":{"noteIndex":0},"schema":"https://github.com/citation-style-language/schema/raw/master/csl-citation.json"}</w:instrText>
      </w:r>
      <w:r w:rsidR="00755D1E">
        <w:rPr>
          <w:rFonts w:ascii="Arial" w:hAnsi="Arial" w:cs="Arial"/>
          <w:sz w:val="20"/>
          <w:szCs w:val="20"/>
        </w:rPr>
        <w:fldChar w:fldCharType="separate"/>
      </w:r>
      <w:r w:rsidR="00755D1E" w:rsidRPr="00136A67">
        <w:rPr>
          <w:rFonts w:ascii="Arial" w:hAnsi="Arial" w:cs="Arial"/>
          <w:noProof/>
          <w:sz w:val="20"/>
          <w:szCs w:val="20"/>
        </w:rPr>
        <w:t>(Toda and Richardson, 2017)</w:t>
      </w:r>
      <w:r w:rsidR="00755D1E">
        <w:rPr>
          <w:rFonts w:ascii="Arial" w:hAnsi="Arial" w:cs="Arial"/>
          <w:sz w:val="20"/>
          <w:szCs w:val="20"/>
        </w:rPr>
        <w:fldChar w:fldCharType="end"/>
      </w:r>
      <w:r w:rsidR="00EC7B31">
        <w:rPr>
          <w:rFonts w:ascii="Arial" w:hAnsi="Arial" w:cs="Arial"/>
          <w:sz w:val="20"/>
          <w:szCs w:val="20"/>
        </w:rPr>
        <w:t xml:space="preserve"> (defined here as</w:t>
      </w:r>
      <w:r w:rsidR="00063223">
        <w:rPr>
          <w:rFonts w:ascii="Arial" w:hAnsi="Arial" w:cs="Arial"/>
          <w:sz w:val="20"/>
          <w:szCs w:val="20"/>
        </w:rPr>
        <w:t xml:space="preserve"> </w:t>
      </w:r>
      <w:r w:rsidR="008C320A">
        <w:rPr>
          <w:rFonts w:ascii="Arial" w:hAnsi="Arial" w:cs="Arial"/>
          <w:sz w:val="20"/>
          <w:szCs w:val="20"/>
        </w:rPr>
        <w:lastRenderedPageBreak/>
        <w:t>December to March</w:t>
      </w:r>
      <w:r w:rsidR="00790FE9">
        <w:rPr>
          <w:rFonts w:ascii="Arial" w:hAnsi="Arial" w:cs="Arial"/>
          <w:sz w:val="20"/>
          <w:szCs w:val="20"/>
        </w:rPr>
        <w:t>, PAI = 1.35</w:t>
      </w:r>
      <w:r w:rsidR="00EC7B31">
        <w:rPr>
          <w:rFonts w:ascii="Arial" w:hAnsi="Arial" w:cs="Arial"/>
          <w:sz w:val="20"/>
          <w:szCs w:val="20"/>
        </w:rPr>
        <w:t>)</w:t>
      </w:r>
      <w:r w:rsidR="0010726F">
        <w:rPr>
          <w:rFonts w:ascii="Arial" w:hAnsi="Arial" w:cs="Arial"/>
          <w:sz w:val="20"/>
          <w:szCs w:val="20"/>
        </w:rPr>
        <w:t>.</w:t>
      </w:r>
      <w:r w:rsidR="00B2505F">
        <w:rPr>
          <w:rFonts w:ascii="Arial" w:hAnsi="Arial" w:cs="Arial"/>
          <w:sz w:val="20"/>
          <w:szCs w:val="20"/>
        </w:rPr>
        <w:t xml:space="preserve">  This also enabled the contribution of the canopy walkway</w:t>
      </w:r>
      <w:r w:rsidR="00790FE9">
        <w:rPr>
          <w:rFonts w:ascii="Arial" w:hAnsi="Arial" w:cs="Arial"/>
          <w:sz w:val="20"/>
          <w:szCs w:val="20"/>
        </w:rPr>
        <w:t xml:space="preserve">, </w:t>
      </w:r>
      <w:r w:rsidR="00C23315">
        <w:rPr>
          <w:rFonts w:ascii="Arial" w:hAnsi="Arial" w:cs="Arial"/>
          <w:sz w:val="20"/>
          <w:szCs w:val="20"/>
        </w:rPr>
        <w:t>which could not be distinguished from the forest canopy by the classification</w:t>
      </w:r>
      <w:r w:rsidR="00790FE9">
        <w:rPr>
          <w:rFonts w:ascii="Arial" w:hAnsi="Arial" w:cs="Arial"/>
          <w:sz w:val="20"/>
          <w:szCs w:val="20"/>
        </w:rPr>
        <w:t>,</w:t>
      </w:r>
      <w:r w:rsidR="00B2505F">
        <w:rPr>
          <w:rFonts w:ascii="Arial" w:hAnsi="Arial" w:cs="Arial"/>
          <w:sz w:val="20"/>
          <w:szCs w:val="20"/>
        </w:rPr>
        <w:t xml:space="preserve"> to be </w:t>
      </w:r>
      <w:r w:rsidR="00A96103">
        <w:rPr>
          <w:rFonts w:ascii="Arial" w:hAnsi="Arial" w:cs="Arial"/>
          <w:sz w:val="20"/>
          <w:szCs w:val="20"/>
        </w:rPr>
        <w:t>accounted for.</w:t>
      </w:r>
    </w:p>
    <w:p w14:paraId="78EC0CF8" w14:textId="471A7D7F" w:rsidR="003E3881" w:rsidRDefault="003E3881" w:rsidP="003E3881">
      <w:pPr>
        <w:spacing w:before="240" w:line="480" w:lineRule="auto"/>
        <w:jc w:val="both"/>
        <w:rPr>
          <w:rFonts w:ascii="Arial" w:eastAsia="Times New Roman" w:hAnsi="Arial" w:cs="Arial"/>
          <w:sz w:val="20"/>
          <w:szCs w:val="20"/>
        </w:rPr>
      </w:pPr>
      <w:r>
        <w:rPr>
          <w:rFonts w:ascii="Arial" w:eastAsia="Times New Roman" w:hAnsi="Arial" w:cs="Arial"/>
          <w:sz w:val="20"/>
          <w:szCs w:val="20"/>
        </w:rPr>
        <w:t xml:space="preserve">To derive colour indices from the above-canopy images, a region-of-interest (ROI) was defined to exclude non-canopy features within the camera’s </w:t>
      </w:r>
      <w:r w:rsidR="00CF3773">
        <w:rPr>
          <w:rFonts w:ascii="Arial" w:eastAsia="Times New Roman" w:hAnsi="Arial" w:cs="Arial"/>
          <w:sz w:val="20"/>
          <w:szCs w:val="20"/>
        </w:rPr>
        <w:t>FOV</w:t>
      </w:r>
      <w:r>
        <w:rPr>
          <w:rFonts w:ascii="Arial" w:eastAsia="Times New Roman" w:hAnsi="Arial" w:cs="Arial"/>
          <w:sz w:val="20"/>
          <w:szCs w:val="20"/>
        </w:rPr>
        <w:t xml:space="preserve">, such as the sky.  Within this ROI, we calculated the green chromatic coordinate (GCC), which is a widely used measure of canopy greenness in </w:t>
      </w:r>
      <w:r w:rsidR="00CF3773">
        <w:rPr>
          <w:rFonts w:ascii="Arial" w:eastAsia="Times New Roman" w:hAnsi="Arial" w:cs="Arial"/>
          <w:sz w:val="20"/>
          <w:szCs w:val="20"/>
        </w:rPr>
        <w:t xml:space="preserve">above-canopy </w:t>
      </w:r>
      <w:r>
        <w:rPr>
          <w:rFonts w:ascii="Arial" w:eastAsia="Times New Roman" w:hAnsi="Arial" w:cs="Arial"/>
          <w:sz w:val="20"/>
          <w:szCs w:val="20"/>
        </w:rPr>
        <w:t>digital repeat photography</w:t>
      </w:r>
      <w:r w:rsidR="007B3A55">
        <w:rPr>
          <w:rFonts w:ascii="Arial" w:eastAsia="Times New Roman" w:hAnsi="Arial" w:cs="Arial"/>
          <w:sz w:val="20"/>
          <w:szCs w:val="20"/>
        </w:rPr>
        <w:t xml:space="preserve"> </w:t>
      </w:r>
      <w:r w:rsidR="007B3A55">
        <w:rPr>
          <w:rFonts w:ascii="Arial" w:eastAsia="Times New Roman" w:hAnsi="Arial" w:cs="Arial"/>
          <w:sz w:val="20"/>
          <w:szCs w:val="20"/>
        </w:rPr>
        <w:fldChar w:fldCharType="begin" w:fldLock="1"/>
      </w:r>
      <w:r w:rsidR="00755433">
        <w:rPr>
          <w:rFonts w:ascii="Arial" w:eastAsia="Times New Roman" w:hAnsi="Arial" w:cs="Arial"/>
          <w:sz w:val="20"/>
          <w:szCs w:val="20"/>
        </w:rPr>
        <w:instrText>ADDIN CSL_CITATION {"citationItems":[{"id":"ITEM-1","itemData":{"DOI":"10.1007/s00442-006-0657-z","ISBN":"0029-8549","ISSN":"0029-8549","PMID":"17342508","abstract":"Understanding relationships between canopy structure and the seasonal dynamics of photosynthetic uptake of CO(2) by forest canopies requires improved knowledge of canopy phenology at eddy covariance flux tower sites. We investigated whether digital webcam images could be used to monitor the trajectory of spring green-up in a deciduous northern hardwood forest. A standard, commercially available webcam was mounted at the top of the eddy covariance tower at the Bartlett AmeriFlux site. Images were collected each day around midday. Red, green, and blue color channel brightness data for a 640 x 100-pixel region-of-interest were extracted from each image. We evaluated the green-up signal extracted from webcam images against changes in the fraction of incident photosynthetically active radiation that is absorbed by the canopy (f (APAR)), a broadband normalized difference vegetation index (NDVI), and the light-saturated rate of canopy photosynthesis (A(max)), inferred from eddy flux measurements. The relative brightness of the green channel (green %) was relatively stable through the winter months. A steady rising trend in green % began around day 120 and continued through day 160, at which point a stable plateau was reached. The relative brightness of the blue channel (blue %) also responded to spring green-up, although there was more day-to-day variation in the signal because blue % was more sensitive to changes in the quality (spectral distribution) of incident radiation. Seasonal changes in blue % were most similar to those in f (APAR) and broadband NDVI, whereas changes in green % proceeded more slowly, and were drawn out over a longer period of time. Changes in A(max) lagged green-up by at least a week. We conclude that webcams offer an inexpensive means by which phenological changes in the canopy state can be quantified. A network of cameras could offer a novel opportunity to implement a regional or national phenology monitoring program.","author":[{"dropping-particle":"","family":"Richardson","given":"Andrew D","non-dropping-particle":"","parse-names":false,"suffix":""},{"dropping-particle":"","family":"Jenkins","given":"Julian P","non-dropping-particle":"","parse-names":false,"suffix":""},{"dropping-particle":"","family":"Braswell","given":"Bobby H","non-dropping-particle":"","parse-names":false,"suffix":""},{"dropping-particle":"","family":"Hollinger","given":"David Y","non-dropping-particle":"","parse-names":false,"suffix":""},{"dropping-particle":"V","family":"Ollinger","given":"Scott","non-dropping-particle":"","parse-names":false,"suffix":""},{"dropping-particle":"","family":"Smith","given":"Marie-Louise","non-dropping-particle":"","parse-names":false,"suffix":""}],"container-title":"Oecologia","id":"ITEM-1","issue":"2","issued":{"date-parts":[["2007","5","3"]]},"page":"323-334","title":"Use of digital webcam images to track spring green-up in a deciduous broadleaf forest","type":"article-journal","volume":"152"},"uris":["http://www.mendeley.com/documents/?uuid=e9be935b-6af1-3aff-ba6e-12cb1c828092"]},{"id":"ITEM-2","itemData":{"DOI":"10.1890/08-2022.1","ISBN":"1051-0761","ISSN":"1051-0761","PMID":"19769091","abstract":"There is a need to document how plant phenology is responding to global change factors, particularly warming trends. \"Near-surface\" remote sensing, using radiometric instruments or imaging sensors, has great potential to improve phenological monitoring because automated observations can be made at high temporal frequency. Here we build on previous work and show how inexpensive, networked digital cameras (\"webcams\") can be used to document spatial and temporal variation in the spring and autumn phenology of forest canopies. We use two years of imagery from a deciduous, northern hardwood site, and one year of imagery from a coniferous, boreal transition site. A quantitative signal is obtained by splitting images into separate red, green, and blue color channels and calculating the relative brightness of each channel for \"regions of interest\" within each image. We put the observed phenological signal in context by relating it to seasonal patterns of gross primary productivity, inferred from eddy covariance measurements of surface-atmosphere CO2 exchange. We show that spring increases, and autumn decreases, in canopy greenness can be detected in both deciduous and coniferous stands. In deciduous stands, an autumn red peak is also observed. The timing and rate of spring development and autumn senescence varies across the canopy, with greater variability in autumn than spring. Interannual variation in phenology can be detected both visually and quantitatively; delayed spring onset in 2007 compared to 2006 is related to a prolonged cold spell from day 85 to day 110. This work lays the foundation for regional-to continental-scale camera-based monitoring of phenology at network observatory sites, e. g., National Ecological Observatory Network (NEON) or AmeriFlux.","author":[{"dropping-particle":"","family":"Richardson","given":"Andrew D.","non-dropping-particle":"","parse-names":false,"suffix":""},{"dropping-particle":"","family":"Braswell","given":"Bobby H.","non-dropping-particle":"","parse-names":false,"suffix":""},{"dropping-particle":"","family":"Hollinger","given":"David Y.","non-dropping-particle":"","parse-names":false,"suffix":""},{"dropping-particle":"","family":"Jenkins","given":"Julian P.","non-dropping-particle":"","parse-names":false,"suffix":""},{"dropping-particle":"V.","family":"Ollinger","given":"Scott","non-dropping-particle":"","parse-names":false,"suffix":""}],"container-title":"Ecological Applications","id":"ITEM-2","issue":"6","issued":{"date-parts":[["2009","9"]]},"page":"1417-1428","title":"Near-surface remote sensing of spatial and temporal variation in canopy phenology","type":"article-journal","volume":"19"},"uris":["http://www.mendeley.com/documents/?uuid=67966d5f-a13e-359f-9124-560a40f628b3"]},{"id":"ITEM-3","itemData":{"DOI":"10.1016/j.agrformet.2011.09.009","ISBN":"0168-1923","ISSN":"01681923","abstract":"Digital repeat photography has the potential to become an important long-term data source for phenological research given its advantages in terms of logistics, continuity, consistency and objectivity over traditional assessments of vegetation status by human observers. Red-green-blue (RGB) color channel information from digital images can be separately extracted as digital numbers, and subsequently summarized through color indices such as excess green (ExG=2G-[R+B]) or through nonlinear transforms to chromatic coordinates or other color spaces. Previous studies have demonstrated the use of ExG and the green chromatic coordinate (gcc=G/[R+G+B]) from digital landscape image archives for tracking canopy development but several methodological questions remained unanswered. These include the effects of diurnal, seasonal and weather-related changes in scene illumination on ExG and gcc, and digital camera and image file format choice. We show that gcc is generally more effective than ExG in suppressing the effects of changes in scene illumination. To further reduce these effects we propose a moving window approach that assigns the 90th percentile of all daytime values within a three-day window to the center day (per90), resulting in three-day ExG and gcc. Using image archives from eleven forest sites in North America, we demonstrate that per90 is able to further reduce unwanted variability in ExG and gcc due to changes in scene illumination compared to previously used mean mid-day values of ExG and gcc.Comparison of eleven different digital cameras at Harvard Forest (autumn 2010) indicates that camera and image file format choice might be of secondary importance for phenological research: with the exception of inexpensive indoor webcams, autumn patterns of changes in gcc and ExG from images in common JPEG image file format were in good agreement, especially toward the end of senescence. Due to its greater effectiveness in suppressing changes in scene illumination, especially in combination with per90, we advocate the use of gcc for phenological research. Our results indicate that gcc from different digital cameras can be used for comparing the timing of key phenological events (e.g., complete leaf coloring) across sites. However, differences in how specific cameras \"see\" the forest canopy may obscure subtle phenological changes that could be detectable if a common protocol was implemented across sites. © 2011 Elsevier B.V.","author":[{"dropping-particle":"","family":"Sonnentag","given":"Oliver","non-dropping-particle":"","parse-names":false,"suffix":""},{"dropping-particle":"","family":"Hufkens","given":"Koen","non-dropping-particle":"","parse-names":false,"suffix":""},{"dropping-particle":"","family":"Teshera-Sterne","given":"Cory","non-dropping-particle":"","parse-names":false,"suffix":""},{"dropping-particle":"","family":"Young","given":"Adam M","non-dropping-particle":"","parse-names":false,"suffix":""},{"dropping-particle":"","family":"Friedl","given":"Mark","non-dropping-particle":"","parse-names":false,"suffix":""},{"dropping-particle":"","family":"Braswell","given":"Bobby H","non-dropping-particle":"","parse-names":false,"suffix":""},{"dropping-particle":"","family":"Milliman","given":"Thomas","non-dropping-particle":"","parse-names":false,"suffix":""},{"dropping-particle":"","family":"O’Keefe","given":"John","non-dropping-particle":"","parse-names":false,"suffix":""},{"dropping-particle":"","family":"Richardson","given":"Andrew D","non-dropping-particle":"","parse-names":false,"suffix":""}],"container-title":"Agricultural and Forest Meteorology","id":"ITEM-3","issue":"1","issued":{"date-parts":[["2012","1"]]},"page":"159-177","title":"Digital repeat photography for phenological research in forest ecosystems","type":"article-journal","volume":"152"},"uris":["http://www.mendeley.com/documents/?uuid=06f703aa-c580-305c-bd1e-d7d557fa7cab"]},{"id":"ITEM-4","itemData":{"DOI":"10.1890/13-0652.1","ISBN":"10510761","ISSN":"1051-0761","PMID":"17793577","abstract":"Digital repeat photography is becoming widely used for near-surface remote sensing of vegetation. Canopy greenness, which has been used extensively for phenological applications, can be readily quantified from camera images. Important questions remain, however, as to whether the observed changes in canopy greenness are directly related to changes in leaf-level traits, changes in canopy structure, or some combination thereof. We investigated relationships between canopy greenness and various metrics of canopy structure and function, using five years (2008-2012) of automated digital imagery, ground observations of phenological transitions, leaf area index (LAI) measurements, and eddy covariance estimates of gross ecosystem photosynthesis from the Harvard Forest, a temperate deciduous forest in the northeastern United States. Additionally, we sampled canopy sunlit leaves on a weekly basis throughout the growing season of 2011. We measured physiological and morphological traits including leaf size, mass (wet/dry), nitrogen content, chlorophyll fluorescence, and spectral reflectance and characterized individual leaf color with flatbed scanner imagery. Our results show that observed spring and autumn phenological transition dates are well captured by information extracted from digital repeat photography. However, spring development of both LAI and the measured physiological and morphological traits are shown to lag behind spring increases in canopy greenness, which rises very quickly to its maximum value before leaves are even half their final size. Based on the hypothesis that changes in canopy greenness represent the aggregate effect of changes in both leaf-level properties (specifically, leaf color) and changes in canopy structure (specifically, LAI), we developed a two end-member mixing model. With just a single free parameter, the model was able to reproduce the observed seasonal trajectory of canopy greenness. This analysis shows that canopy greenness is relatively insensitive to changes in LAI at high LAI levels, which we further demonstrate by assessing the impact of an ice storm on both LAI and canopy greenness. Our study provides new insights into the mechanisms driving seasonal changes in canopy greenness retrieved from digital camera imagery. The nonlinear relationship between canopy greenness and canopy LAI has important implications both for phenological research applications and for assessing responses of vegetation to disturbances. [ABSTRACT F…","author":[{"dropping-particle":"","family":"Keenan","given":"T F","non-dropping-particle":"","parse-names":false,"suffix":""},{"dropping-particle":"","family":"Darby","given":"B","non-dropping-particle":"","parse-names":false,"suffix":""},{"dropping-particle":"","family":"Felts","given":"E","non-dropping-particle":"","parse-names":false,"suffix":""},{"dropping-particle":"","family":"Sonnentag","given":"O","non-dropping-particle":"","parse-names":false,"suffix":""},{"dropping-particle":"","family":"Friedl","given":"M A","non-dropping-particle":"","parse-names":false,"suffix":""},{"dropping-particle":"","family":"Hufkens","given":"K","non-dropping-particle":"","parse-names":false,"suffix":""},{"dropping-particle":"","family":"O'Keefe","given":"J.","non-dropping-particle":"","parse-names":false,"suffix":""},{"dropping-particle":"","family":"Klosterman","given":"S","non-dropping-particle":"","parse-names":false,"suffix":""},{"dropping-particle":"","family":"Munger","given":"J W","non-dropping-particle":"","parse-names":false,"suffix":""},{"dropping-particle":"","family":"Toomey","given":"M","non-dropping-particle":"","parse-names":false,"suffix":""},{"dropping-particle":"","family":"Richardson","given":"A. D.","non-dropping-particle":"","parse-names":false,"suffix":""}],"container-title":"Ecological Applications","id":"ITEM-4","issue":"6","issued":{"date-parts":[["2014","9"]]},"page":"1478-1489","title":"Tracking forest phenology and seasonal physiology using digital repeat photography: a critical assessment","type":"article-journal","volume":"24"},"uris":["http://www.mendeley.com/documents/?uuid=e7e6bf14-b3ee-3fd8-8564-45fc8970be39"]},{"id":"ITEM-5","itemData":{"DOI":"10.1890/14-0005.1","ISBN":"1051-0761","ISSN":"1051-0761","abstract":"The proliferation of digital cameras co-located with eddy covariance instrumentation provides new opportunities to better understand the relationship between canopy phenology and the seasonality of canopy photosynthesis. In this paper we analyze the abilities and limitations of canopy color metrics measured by digital repeat photography to track seasonal canopy development and photosynthesis, determine phenological transition dates, and estimate intra-annual and interannual variability in canopy photosynthesis. We used 59 site-years of camera imagery and net ecosystem exchange measurements from 17 towers spanning three plant functional types (deciduous broadleaf forest, evergreen needleleaf forest, and grassland/crops) to derive color indices and estimate gross primary productivity (GPP). GPP was strongly correlated with greenness derived from camera imagery in all three plant functional types. Specifically, the beginning of the photosynthetic period in deciduous broadleaf forest and grassland/crops and the end of the photosynthetic period in grassland/crops were both correlated with changes in greenness; changes in redness were correlated with the end of the photosynthetic period in deciduous broadleaf forest. However, it was not possible to accurately identify the beginning or ending of the photosynthetic period using camera greenness in evergreen needleleaf forest. At deciduous broadleaf sites, anomalies in integrated greenness and total GPP were significantly correlated up to 60 days after the mean onset date for the start of spring. More generally, results from this work demonstrate that digital repeat photography can be used to quantify both the duration of the photosynthetically active period as well as total GPP in deciduous broadleaf forest and grassland/crops, but that new and different approaches are required before comparable results can be achieved in evergreen needleleaf forest.","author":[{"dropping-particle":"","family":"Toomey","given":"Michael","non-dropping-particle":"","parse-names":false,"suffix":""},{"dropping-particle":"","family":"Friedl","given":"Mark A","non-dropping-particle":"","parse-names":false,"suffix":""},{"dropping-particle":"","family":"Frolking","given":"Steve","non-dropping-particle":"","parse-names":false,"suffix":""},{"dropping-particle":"","family":"Hufkens","given":"Koen","non-dropping-particle":"","parse-names":false,"suffix":""},{"dropping-particle":"","family":"Klosterman","given":"Stephen","non-dropping-particle":"","parse-names":false,"suffix":""},{"dropping-particle":"","family":"Sonnentag","given":"Oliver","non-dropping-particle":"","parse-names":false,"suffix":""},{"dropping-particle":"","family":"Baldocchi","given":"Dennis D","non-dropping-particle":"","parse-names":false,"suffix":""},{"dropping-particle":"","family":"Bernacchi","given":"Carl J","non-dropping-particle":"","parse-names":false,"suffix":""},{"dropping-particle":"","family":"Biraud","given":"Sebastien C","non-dropping-particle":"","parse-names":false,"suffix":""},{"dropping-particle":"","family":"Bohrer","given":"Gil","non-dropping-particle":"","parse-names":false,"suffix":""},{"dropping-particle":"","family":"Brzostek","given":"Edward","non-dropping-particle":"","parse-names":false,"suffix":""},{"dropping-particle":"","family":"Burns","given":"Sean P.","non-dropping-particle":"","parse-names":false,"suffix":""},{"dropping-particle":"","family":"Coursolle","given":"Carole","non-dropping-particle":"","parse-names":false,"suffix":""},{"dropping-particle":"","family":"Hollinger","given":"David Y.","non-dropping-particle":"","parse-names":false,"suffix":""},{"dropping-particle":"","family":"Margolis","given":"Hank A.","non-dropping-particle":"","parse-names":false,"suffix":""},{"dropping-particle":"","family":"McCaughey","given":"Harry","non-dropping-particle":"","parse-names":false,"suffix":""},{"dropping-particle":"","family":"Monson","given":"Russell K.","non-dropping-particle":"","parse-names":false,"suffix":""},{"dropping-particle":"","family":"Munger","given":"J. William","non-dropping-particle":"","parse-names":false,"suffix":""},{"dropping-particle":"","family":"Pallardy","given":"Stephen","non-dropping-particle":"","parse-names":false,"suffix":""},{"dropping-particle":"","family":"Phillips","given":"Richard P.","non-dropping-particle":"","parse-names":false,"suffix":""},{"dropping-particle":"","family":"Torn","given":"Margaret S.","non-dropping-particle":"","parse-names":false,"suffix":""},{"dropping-particle":"","family":"Wharton","given":"Sonia","non-dropping-particle":"","parse-names":false,"suffix":""},{"dropping-particle":"","family":"Zeri","given":"Marcelo","non-dropping-particle":"","parse-names":false,"suffix":""},{"dropping-particle":"","family":"Richardson","given":"Andrew D","non-dropping-particle":"","parse-names":false,"suffix":""}],"container-title":"Ecological Applications","id":"ITEM-5","issue":"1","issued":{"date-parts":[["2015","1"]]},"page":"99-115","title":"Greenness indices from digital cameras predict the timing and seasonal dynamics of canopy-scale photosynthesis","type":"article-journal","volume":"25"},"uris":["http://www.mendeley.com/documents/?uuid=78b8b09e-8939-3a69-98c5-2b61fbfbabc1"]}],"mendeley":{"formattedCitation":"(Keenan et al., 2014; Richardson et al., 2009, 2007; Sonnentag et al., 2012; Toomey et al., 2015)","plainTextFormattedCitation":"(Keenan et al., 2014; Richardson et al., 2009, 2007; Sonnentag et al., 2012; Toomey et al., 2015)","previouslyFormattedCitation":"(Keenan et al., 2014; Richardson et al., 2009, 2007; Sonnentag et al., 2012; Toomey et al., 2015)"},"properties":{"noteIndex":0},"schema":"https://github.com/citation-style-language/schema/raw/master/csl-citation.json"}</w:instrText>
      </w:r>
      <w:r w:rsidR="007B3A55">
        <w:rPr>
          <w:rFonts w:ascii="Arial" w:eastAsia="Times New Roman" w:hAnsi="Arial" w:cs="Arial"/>
          <w:sz w:val="20"/>
          <w:szCs w:val="20"/>
        </w:rPr>
        <w:fldChar w:fldCharType="separate"/>
      </w:r>
      <w:r w:rsidR="007B3A55" w:rsidRPr="007B3A55">
        <w:rPr>
          <w:rFonts w:ascii="Arial" w:eastAsia="Times New Roman" w:hAnsi="Arial" w:cs="Arial"/>
          <w:noProof/>
          <w:sz w:val="20"/>
          <w:szCs w:val="20"/>
        </w:rPr>
        <w:t>(Keenan et al., 2014; Richardson et al., 2009, 2007; Sonnentag et al., 2012; Toomey et al., 2015)</w:t>
      </w:r>
      <w:r w:rsidR="007B3A55">
        <w:rPr>
          <w:rFonts w:ascii="Arial" w:eastAsia="Times New Roman" w:hAnsi="Arial" w:cs="Arial"/>
          <w:sz w:val="20"/>
          <w:szCs w:val="20"/>
        </w:rPr>
        <w:fldChar w:fldCharType="end"/>
      </w:r>
      <w:r>
        <w:rPr>
          <w:rFonts w:ascii="Arial" w:eastAsia="Times New Roman" w:hAnsi="Arial" w:cs="Arial"/>
          <w:sz w:val="20"/>
          <w:szCs w:val="20"/>
        </w:rPr>
        <w:t>.  The GCC was calculated as</w:t>
      </w:r>
    </w:p>
    <w:p w14:paraId="12BA86E6" w14:textId="77777777" w:rsidR="003E3881" w:rsidRPr="002E3A97" w:rsidRDefault="003E3881" w:rsidP="003E3881">
      <w:pPr>
        <w:spacing w:line="480" w:lineRule="auto"/>
        <w:jc w:val="both"/>
        <w:rPr>
          <w:rFonts w:ascii="Arial" w:eastAsia="Times New Roman" w:hAnsi="Arial" w:cs="Arial"/>
          <w:sz w:val="20"/>
          <w:szCs w:val="20"/>
        </w:rPr>
      </w:pPr>
      <m:oMathPara>
        <m:oMath>
          <m:r>
            <w:rPr>
              <w:rFonts w:ascii="Cambria Math" w:eastAsia="Times New Roman" w:hAnsi="Cambria Math" w:cs="Arial"/>
              <w:sz w:val="20"/>
              <w:szCs w:val="20"/>
            </w:rPr>
            <m:t xml:space="preserve">GCC= </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DN</m:t>
                  </m:r>
                </m:e>
                <m:sub>
                  <m:r>
                    <w:rPr>
                      <w:rFonts w:ascii="Cambria Math" w:eastAsia="Times New Roman" w:hAnsi="Cambria Math" w:cs="Arial"/>
                      <w:sz w:val="20"/>
                      <w:szCs w:val="20"/>
                    </w:rPr>
                    <m:t>green</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DN</m:t>
                  </m:r>
                </m:e>
                <m:sub>
                  <m:r>
                    <w:rPr>
                      <w:rFonts w:ascii="Cambria Math" w:eastAsia="Times New Roman" w:hAnsi="Cambria Math" w:cs="Arial"/>
                      <w:sz w:val="20"/>
                      <w:szCs w:val="20"/>
                    </w:rPr>
                    <m:t>red</m:t>
                  </m:r>
                </m:sub>
              </m:sSub>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DN</m:t>
                  </m:r>
                </m:e>
                <m:sub>
                  <m:r>
                    <w:rPr>
                      <w:rFonts w:ascii="Cambria Math" w:eastAsia="Times New Roman" w:hAnsi="Cambria Math" w:cs="Arial"/>
                      <w:sz w:val="20"/>
                      <w:szCs w:val="20"/>
                    </w:rPr>
                    <m:t>green</m:t>
                  </m:r>
                </m:sub>
              </m:sSub>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DN</m:t>
                  </m:r>
                </m:e>
                <m:sub>
                  <m:r>
                    <w:rPr>
                      <w:rFonts w:ascii="Cambria Math" w:eastAsia="Times New Roman" w:hAnsi="Cambria Math" w:cs="Arial"/>
                      <w:sz w:val="20"/>
                      <w:szCs w:val="20"/>
                    </w:rPr>
                    <m:t>blue</m:t>
                  </m:r>
                </m:sub>
              </m:sSub>
            </m:den>
          </m:f>
        </m:oMath>
      </m:oMathPara>
    </w:p>
    <w:p w14:paraId="26B7B32F" w14:textId="75239446" w:rsidR="003E3881" w:rsidRPr="003E3881" w:rsidRDefault="003E3881" w:rsidP="003E3881">
      <w:pPr>
        <w:spacing w:line="480" w:lineRule="auto"/>
        <w:jc w:val="both"/>
        <w:rPr>
          <w:rFonts w:ascii="Arial" w:eastAsia="Times New Roman" w:hAnsi="Arial" w:cs="Arial"/>
          <w:sz w:val="20"/>
          <w:szCs w:val="20"/>
        </w:rPr>
      </w:pPr>
      <w:r>
        <w:rPr>
          <w:rFonts w:ascii="Arial" w:eastAsia="Times New Roman" w:hAnsi="Arial" w:cs="Arial"/>
          <w:sz w:val="20"/>
          <w:szCs w:val="20"/>
        </w:rPr>
        <w:t xml:space="preserve">where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DN</m:t>
            </m:r>
          </m:e>
          <m:sub>
            <m:r>
              <w:rPr>
                <w:rFonts w:ascii="Cambria Math" w:eastAsia="Times New Roman" w:hAnsi="Cambria Math" w:cs="Arial"/>
                <w:sz w:val="20"/>
                <w:szCs w:val="20"/>
              </w:rPr>
              <m:t>red</m:t>
            </m:r>
          </m:sub>
        </m:sSub>
      </m:oMath>
      <w:r>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DN</m:t>
            </m:r>
          </m:e>
          <m:sub>
            <m:r>
              <w:rPr>
                <w:rFonts w:ascii="Cambria Math" w:eastAsia="Times New Roman" w:hAnsi="Cambria Math" w:cs="Arial"/>
                <w:sz w:val="20"/>
                <w:szCs w:val="20"/>
              </w:rPr>
              <m:t>green</m:t>
            </m:r>
          </m:sub>
        </m:sSub>
      </m:oMath>
      <w:r>
        <w:rPr>
          <w:rFonts w:ascii="Arial" w:eastAsia="Times New Roman" w:hAnsi="Arial" w:cs="Arial"/>
          <w:sz w:val="20"/>
          <w:szCs w:val="20"/>
        </w:rPr>
        <w:t xml:space="preserve">, and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DN</m:t>
            </m:r>
          </m:e>
          <m:sub>
            <m:r>
              <w:rPr>
                <w:rFonts w:ascii="Cambria Math" w:eastAsia="Times New Roman" w:hAnsi="Cambria Math" w:cs="Arial"/>
                <w:sz w:val="20"/>
                <w:szCs w:val="20"/>
              </w:rPr>
              <m:t>blue</m:t>
            </m:r>
          </m:sub>
        </m:sSub>
      </m:oMath>
      <w:r>
        <w:rPr>
          <w:rFonts w:ascii="Arial" w:eastAsia="Times New Roman" w:hAnsi="Arial" w:cs="Arial"/>
          <w:sz w:val="20"/>
          <w:szCs w:val="20"/>
        </w:rPr>
        <w:t xml:space="preserve"> are mean digital number values in the red, green, and blue bands of the image, respectively.</w:t>
      </w:r>
    </w:p>
    <w:p w14:paraId="1E35FA25" w14:textId="0A9F441B" w:rsidR="00864A35" w:rsidRPr="00C6548A" w:rsidRDefault="006A43D3" w:rsidP="003E3881">
      <w:pPr>
        <w:spacing w:line="480" w:lineRule="auto"/>
        <w:jc w:val="both"/>
        <w:rPr>
          <w:rFonts w:ascii="Arial" w:hAnsi="Arial" w:cs="Arial"/>
          <w:sz w:val="20"/>
          <w:szCs w:val="20"/>
        </w:rPr>
      </w:pPr>
      <w:r>
        <w:rPr>
          <w:rFonts w:ascii="Arial" w:hAnsi="Arial" w:cs="Arial"/>
          <w:sz w:val="20"/>
          <w:szCs w:val="20"/>
        </w:rPr>
        <w:t>Once</w:t>
      </w:r>
      <w:r w:rsidR="006F08E4">
        <w:rPr>
          <w:rFonts w:ascii="Arial" w:hAnsi="Arial" w:cs="Arial"/>
          <w:sz w:val="20"/>
          <w:szCs w:val="20"/>
        </w:rPr>
        <w:t xml:space="preserve"> </w:t>
      </w:r>
      <w:r w:rsidR="003E3881">
        <w:rPr>
          <w:rFonts w:ascii="Arial" w:hAnsi="Arial" w:cs="Arial"/>
          <w:sz w:val="20"/>
          <w:szCs w:val="20"/>
        </w:rPr>
        <w:t>LAI and the GCC</w:t>
      </w:r>
      <w:r w:rsidR="006F08E4">
        <w:rPr>
          <w:rFonts w:ascii="Arial" w:hAnsi="Arial" w:cs="Arial"/>
          <w:sz w:val="20"/>
          <w:szCs w:val="20"/>
        </w:rPr>
        <w:t xml:space="preserve"> were</w:t>
      </w:r>
      <w:r>
        <w:rPr>
          <w:rFonts w:ascii="Arial" w:hAnsi="Arial" w:cs="Arial"/>
          <w:sz w:val="20"/>
          <w:szCs w:val="20"/>
        </w:rPr>
        <w:t xml:space="preserve"> calculated, data screening was carried out to remove spurious values and </w:t>
      </w:r>
      <w:r w:rsidR="006F08E4">
        <w:rPr>
          <w:rFonts w:ascii="Arial" w:hAnsi="Arial" w:cs="Arial"/>
          <w:sz w:val="20"/>
          <w:szCs w:val="20"/>
        </w:rPr>
        <w:t xml:space="preserve">supress </w:t>
      </w:r>
      <w:r>
        <w:rPr>
          <w:rFonts w:ascii="Arial" w:hAnsi="Arial" w:cs="Arial"/>
          <w:sz w:val="20"/>
          <w:szCs w:val="20"/>
        </w:rPr>
        <w:t xml:space="preserve">noise.  </w:t>
      </w:r>
      <w:r w:rsidR="006F227F">
        <w:rPr>
          <w:rFonts w:ascii="Arial" w:hAnsi="Arial" w:cs="Arial"/>
          <w:sz w:val="20"/>
          <w:szCs w:val="20"/>
        </w:rPr>
        <w:t>In the case of digital cover photography, current a</w:t>
      </w:r>
      <w:r w:rsidR="006F227F" w:rsidRPr="006F227F">
        <w:rPr>
          <w:rFonts w:ascii="Arial" w:hAnsi="Arial" w:cs="Arial"/>
          <w:sz w:val="20"/>
          <w:szCs w:val="20"/>
        </w:rPr>
        <w:t>pproaches to screen poor quality images are not well established, with some studies relying on manual inspection (Toda and Richardson, 2017).</w:t>
      </w:r>
      <w:r w:rsidR="006F227F">
        <w:rPr>
          <w:rFonts w:ascii="Arial" w:hAnsi="Arial" w:cs="Arial"/>
          <w:sz w:val="20"/>
          <w:szCs w:val="20"/>
        </w:rPr>
        <w:t xml:space="preserve">  </w:t>
      </w:r>
      <w:r w:rsidR="00722605">
        <w:rPr>
          <w:rFonts w:ascii="Arial" w:hAnsi="Arial" w:cs="Arial"/>
          <w:sz w:val="20"/>
          <w:szCs w:val="20"/>
        </w:rPr>
        <w:fldChar w:fldCharType="begin" w:fldLock="1"/>
      </w:r>
      <w:r w:rsidR="00084483">
        <w:rPr>
          <w:rFonts w:ascii="Arial" w:hAnsi="Arial" w:cs="Arial"/>
          <w:sz w:val="20"/>
          <w:szCs w:val="20"/>
        </w:rPr>
        <w:instrText>ADDIN CSL_CITATION {"citationItems":[{"id":"ITEM-1","itemData":{"DOI":"10.1016/j.rse.2012.08.027","ISBN":"0034-4257","ISSN":"00344257","abstract":"Understanding the dynamics of leaf area index (LAI) at ecosystem scale is critical for evaluating and modeling the response of vegetation to environmental variability and change. We present an approach for quantifying daily ecosystem LAI that integrates automatic acquisition of a small number of reference photos, viewed towards the zenith, and a larger number of photos covering a spatially extensive area that were manually acquired during periodic field trips. We present an image archive spanning three years for an oak-savanna ecosystem in California to identify the timing of phenological and disturbance events, and to quantify the seasonal to interannual variability of tree LAI at ecosystem scale. The digital camera-derived LAI, corrected for clumping effects, agreed well (r 2=0.94, root mean square error=0.05) with independent estimates of LAI from litterfall traps and the LAI-2000 Plant Canopy Analyzer. Using the Moderate Resolution Imaging Spectroradiometer (MODIS) LAI product, which combined grass and tree LAI, we obtained realistic seasonal patterns of ecosystem LAI that corresponded with tree LAI from the digital cameras for the period when grass was dead. The digital camera method is an easy and inexpensive way to monitor LAI at ecosystem scale. This method can be used for testing and improving phenology models, evaluating remote-sensing-derived LAI products, and quantifying forest structures in rapidly changing environments. ?? 2012 Elsevier Inc.","author":[{"dropping-particle":"","family":"Ryu","given":"Youngryel","non-dropping-particle":"","parse-names":false,"suffix":""},{"dropping-particle":"","family":"Verfaillie","given":"Joseph","non-dropping-particle":"","parse-names":false,"suffix":""},{"dropping-particle":"","family":"Macfarlane","given":"Craig","non-dropping-particle":"","parse-names":false,"suffix":""},{"dropping-particle":"","family":"Kobayashi","given":"Hideki","non-dropping-particle":"","parse-names":false,"suffix":""},{"dropping-particle":"","family":"Sonnentag","given":"Oliver","non-dropping-particle":"","parse-names":false,"suffix":""},{"dropping-particle":"","family":"Vargas","given":"Rodrigo","non-dropping-particle":"","parse-names":false,"suffix":""},{"dropping-particle":"","family":"Ma","given":"Siyan","non-dropping-particle":"","parse-names":false,"suffix":""},{"dropping-particle":"","family":"Baldocchi","given":"Dennis D","non-dropping-particle":"","parse-names":false,"suffix":""}],"container-title":"Remote Sensing of Environment","id":"ITEM-1","issued":{"date-parts":[["2012","11"]]},"page":"116-125","title":"Continuous observation of tree leaf area index at ecosystem scale using upward-pointing digital cameras","type":"article-journal","volume":"126"},"uris":["http://www.mendeley.com/documents/?uuid=7b906222-0c3e-38c1-b5b5-dfe624b8c760"]}],"mendeley":{"formattedCitation":"(Ryu et al., 2012)","manualFormatting":"Ryu et al. (2012)","plainTextFormattedCitation":"(Ryu et al., 2012)","previouslyFormattedCitation":"(Ryu et al., 2012)"},"properties":{"noteIndex":0},"schema":"https://github.com/citation-style-language/schema/raw/master/csl-citation.json"}</w:instrText>
      </w:r>
      <w:r w:rsidR="00722605">
        <w:rPr>
          <w:rFonts w:ascii="Arial" w:hAnsi="Arial" w:cs="Arial"/>
          <w:sz w:val="20"/>
          <w:szCs w:val="20"/>
        </w:rPr>
        <w:fldChar w:fldCharType="separate"/>
      </w:r>
      <w:r w:rsidR="00722605" w:rsidRPr="00722605">
        <w:rPr>
          <w:rFonts w:ascii="Arial" w:hAnsi="Arial" w:cs="Arial"/>
          <w:noProof/>
          <w:sz w:val="20"/>
          <w:szCs w:val="20"/>
        </w:rPr>
        <w:t xml:space="preserve">Ryu et al. </w:t>
      </w:r>
      <w:r w:rsidR="00722605">
        <w:rPr>
          <w:rFonts w:ascii="Arial" w:hAnsi="Arial" w:cs="Arial"/>
          <w:noProof/>
          <w:sz w:val="20"/>
          <w:szCs w:val="20"/>
        </w:rPr>
        <w:t>(</w:t>
      </w:r>
      <w:r w:rsidR="00722605" w:rsidRPr="00722605">
        <w:rPr>
          <w:rFonts w:ascii="Arial" w:hAnsi="Arial" w:cs="Arial"/>
          <w:noProof/>
          <w:sz w:val="20"/>
          <w:szCs w:val="20"/>
        </w:rPr>
        <w:t>2012)</w:t>
      </w:r>
      <w:r w:rsidR="00722605">
        <w:rPr>
          <w:rFonts w:ascii="Arial" w:hAnsi="Arial" w:cs="Arial"/>
          <w:sz w:val="20"/>
          <w:szCs w:val="20"/>
        </w:rPr>
        <w:fldChar w:fldCharType="end"/>
      </w:r>
      <w:r w:rsidR="00722605">
        <w:rPr>
          <w:rFonts w:ascii="Arial" w:hAnsi="Arial" w:cs="Arial"/>
          <w:sz w:val="20"/>
          <w:szCs w:val="20"/>
        </w:rPr>
        <w:t xml:space="preserve"> were able to</w:t>
      </w:r>
      <w:r w:rsidR="006F227F">
        <w:rPr>
          <w:rFonts w:ascii="Arial" w:hAnsi="Arial" w:cs="Arial"/>
          <w:sz w:val="20"/>
          <w:szCs w:val="20"/>
        </w:rPr>
        <w:t xml:space="preserve"> automatically</w:t>
      </w:r>
      <w:r w:rsidR="00722605">
        <w:rPr>
          <w:rFonts w:ascii="Arial" w:hAnsi="Arial" w:cs="Arial"/>
          <w:sz w:val="20"/>
          <w:szCs w:val="20"/>
        </w:rPr>
        <w:t xml:space="preserve"> identify images with water drop</w:t>
      </w:r>
      <w:r w:rsidR="006F08E4">
        <w:rPr>
          <w:rFonts w:ascii="Arial" w:hAnsi="Arial" w:cs="Arial"/>
          <w:sz w:val="20"/>
          <w:szCs w:val="20"/>
        </w:rPr>
        <w:t>let</w:t>
      </w:r>
      <w:r w:rsidR="00722605">
        <w:rPr>
          <w:rFonts w:ascii="Arial" w:hAnsi="Arial" w:cs="Arial"/>
          <w:sz w:val="20"/>
          <w:szCs w:val="20"/>
        </w:rPr>
        <w:t>s on the camera housing by their smaller file size</w:t>
      </w:r>
      <w:r w:rsidR="007F72BA">
        <w:rPr>
          <w:rFonts w:ascii="Arial" w:hAnsi="Arial" w:cs="Arial"/>
          <w:sz w:val="20"/>
          <w:szCs w:val="20"/>
        </w:rPr>
        <w:t xml:space="preserve"> (presumably due to the use of lossy compression)</w:t>
      </w:r>
      <w:r w:rsidR="00722605">
        <w:rPr>
          <w:rFonts w:ascii="Arial" w:hAnsi="Arial" w:cs="Arial"/>
          <w:sz w:val="20"/>
          <w:szCs w:val="20"/>
        </w:rPr>
        <w:t>.  Because we recorded</w:t>
      </w:r>
      <w:r>
        <w:rPr>
          <w:rFonts w:ascii="Arial" w:hAnsi="Arial" w:cs="Arial"/>
          <w:sz w:val="20"/>
          <w:szCs w:val="20"/>
        </w:rPr>
        <w:t xml:space="preserve"> </w:t>
      </w:r>
      <w:r w:rsidR="002E3A97">
        <w:rPr>
          <w:rFonts w:ascii="Arial" w:hAnsi="Arial" w:cs="Arial"/>
          <w:sz w:val="20"/>
          <w:szCs w:val="20"/>
        </w:rPr>
        <w:t>raw</w:t>
      </w:r>
      <w:r>
        <w:rPr>
          <w:rFonts w:ascii="Arial" w:hAnsi="Arial" w:cs="Arial"/>
          <w:sz w:val="20"/>
          <w:szCs w:val="20"/>
        </w:rPr>
        <w:t xml:space="preserve"> </w:t>
      </w:r>
      <w:r w:rsidR="006F08E4">
        <w:rPr>
          <w:rFonts w:ascii="Arial" w:hAnsi="Arial" w:cs="Arial"/>
          <w:sz w:val="20"/>
          <w:szCs w:val="20"/>
        </w:rPr>
        <w:t xml:space="preserve">images </w:t>
      </w:r>
      <w:r w:rsidR="00722605">
        <w:rPr>
          <w:rFonts w:ascii="Arial" w:hAnsi="Arial" w:cs="Arial"/>
          <w:sz w:val="20"/>
          <w:szCs w:val="20"/>
        </w:rPr>
        <w:t xml:space="preserve">with no compression, </w:t>
      </w:r>
      <w:r w:rsidR="00F52C4D">
        <w:rPr>
          <w:rFonts w:ascii="Arial" w:hAnsi="Arial" w:cs="Arial"/>
          <w:sz w:val="20"/>
          <w:szCs w:val="20"/>
        </w:rPr>
        <w:t>we</w:t>
      </w:r>
      <w:r w:rsidR="00722605">
        <w:rPr>
          <w:rFonts w:ascii="Arial" w:hAnsi="Arial" w:cs="Arial"/>
          <w:sz w:val="20"/>
          <w:szCs w:val="20"/>
        </w:rPr>
        <w:t xml:space="preserve"> could not </w:t>
      </w:r>
      <w:r w:rsidR="00F52C4D">
        <w:rPr>
          <w:rFonts w:ascii="Arial" w:hAnsi="Arial" w:cs="Arial"/>
          <w:sz w:val="20"/>
          <w:szCs w:val="20"/>
        </w:rPr>
        <w:t>apply this method</w:t>
      </w:r>
      <w:r w:rsidR="00CB6BFF">
        <w:rPr>
          <w:rFonts w:ascii="Arial" w:hAnsi="Arial" w:cs="Arial"/>
          <w:sz w:val="20"/>
          <w:szCs w:val="20"/>
        </w:rPr>
        <w:t xml:space="preserve"> to our data</w:t>
      </w:r>
      <w:r w:rsidR="00722605">
        <w:rPr>
          <w:rFonts w:ascii="Arial" w:hAnsi="Arial" w:cs="Arial"/>
          <w:sz w:val="20"/>
          <w:szCs w:val="20"/>
        </w:rPr>
        <w:t>, as no appreciable difference in file size was observed between images.</w:t>
      </w:r>
      <w:r>
        <w:rPr>
          <w:rFonts w:ascii="Arial" w:hAnsi="Arial" w:cs="Arial"/>
          <w:sz w:val="20"/>
          <w:szCs w:val="20"/>
        </w:rPr>
        <w:t xml:space="preserve">  Instead, </w:t>
      </w:r>
      <w:r w:rsidR="00F52C4D">
        <w:rPr>
          <w:rFonts w:ascii="Arial" w:hAnsi="Arial" w:cs="Arial"/>
          <w:sz w:val="20"/>
          <w:szCs w:val="20"/>
        </w:rPr>
        <w:t>we implemented an alternative data screening approach</w:t>
      </w:r>
      <w:r>
        <w:rPr>
          <w:rFonts w:ascii="Arial" w:hAnsi="Arial" w:cs="Arial"/>
          <w:sz w:val="20"/>
          <w:szCs w:val="20"/>
        </w:rPr>
        <w:t xml:space="preserve">.  This was based on the </w:t>
      </w:r>
      <w:r w:rsidR="00FC3291">
        <w:rPr>
          <w:rFonts w:ascii="Arial" w:hAnsi="Arial" w:cs="Arial"/>
          <w:sz w:val="20"/>
          <w:szCs w:val="20"/>
        </w:rPr>
        <w:t>observation that</w:t>
      </w:r>
      <w:r>
        <w:rPr>
          <w:rFonts w:ascii="Arial" w:hAnsi="Arial" w:cs="Arial"/>
          <w:sz w:val="20"/>
          <w:szCs w:val="20"/>
        </w:rPr>
        <w:t xml:space="preserve"> most sources of noise (including</w:t>
      </w:r>
      <w:r w:rsidR="00CC325D">
        <w:rPr>
          <w:rFonts w:ascii="Arial" w:hAnsi="Arial" w:cs="Arial"/>
          <w:sz w:val="20"/>
          <w:szCs w:val="20"/>
        </w:rPr>
        <w:t xml:space="preserve"> </w:t>
      </w:r>
      <w:r>
        <w:rPr>
          <w:rFonts w:ascii="Arial" w:hAnsi="Arial" w:cs="Arial"/>
          <w:sz w:val="20"/>
          <w:szCs w:val="20"/>
        </w:rPr>
        <w:t>water drop</w:t>
      </w:r>
      <w:r w:rsidR="006F08E4">
        <w:rPr>
          <w:rFonts w:ascii="Arial" w:hAnsi="Arial" w:cs="Arial"/>
          <w:sz w:val="20"/>
          <w:szCs w:val="20"/>
        </w:rPr>
        <w:t>let</w:t>
      </w:r>
      <w:r>
        <w:rPr>
          <w:rFonts w:ascii="Arial" w:hAnsi="Arial" w:cs="Arial"/>
          <w:sz w:val="20"/>
          <w:szCs w:val="20"/>
        </w:rPr>
        <w:t>s on the</w:t>
      </w:r>
      <w:r w:rsidR="006F08E4">
        <w:rPr>
          <w:rFonts w:ascii="Arial" w:hAnsi="Arial" w:cs="Arial"/>
          <w:sz w:val="20"/>
          <w:szCs w:val="20"/>
        </w:rPr>
        <w:t xml:space="preserve"> camera</w:t>
      </w:r>
      <w:r>
        <w:rPr>
          <w:rFonts w:ascii="Arial" w:hAnsi="Arial" w:cs="Arial"/>
          <w:sz w:val="20"/>
          <w:szCs w:val="20"/>
        </w:rPr>
        <w:t xml:space="preserve"> housing, overexposure</w:t>
      </w:r>
      <w:r w:rsidR="00FC3291">
        <w:rPr>
          <w:rFonts w:ascii="Arial" w:hAnsi="Arial" w:cs="Arial"/>
          <w:sz w:val="20"/>
          <w:szCs w:val="20"/>
        </w:rPr>
        <w:t>, and</w:t>
      </w:r>
      <w:r>
        <w:rPr>
          <w:rFonts w:ascii="Arial" w:hAnsi="Arial" w:cs="Arial"/>
          <w:sz w:val="20"/>
          <w:szCs w:val="20"/>
        </w:rPr>
        <w:t xml:space="preserve"> </w:t>
      </w:r>
      <w:r w:rsidR="006F08E4">
        <w:rPr>
          <w:rFonts w:ascii="Arial" w:hAnsi="Arial" w:cs="Arial"/>
          <w:sz w:val="20"/>
          <w:szCs w:val="20"/>
        </w:rPr>
        <w:t>suboptimal</w:t>
      </w:r>
      <w:r>
        <w:rPr>
          <w:rFonts w:ascii="Arial" w:hAnsi="Arial" w:cs="Arial"/>
          <w:sz w:val="20"/>
          <w:szCs w:val="20"/>
        </w:rPr>
        <w:t xml:space="preserve"> illumination</w:t>
      </w:r>
      <w:r w:rsidR="006F08E4">
        <w:rPr>
          <w:rFonts w:ascii="Arial" w:hAnsi="Arial" w:cs="Arial"/>
          <w:sz w:val="20"/>
          <w:szCs w:val="20"/>
        </w:rPr>
        <w:t xml:space="preserve"> conditions</w:t>
      </w:r>
      <w:r>
        <w:rPr>
          <w:rFonts w:ascii="Arial" w:hAnsi="Arial" w:cs="Arial"/>
          <w:sz w:val="20"/>
          <w:szCs w:val="20"/>
        </w:rPr>
        <w:t>)</w:t>
      </w:r>
      <w:r w:rsidR="00FC3291">
        <w:rPr>
          <w:rFonts w:ascii="Arial" w:hAnsi="Arial" w:cs="Arial"/>
          <w:sz w:val="20"/>
          <w:szCs w:val="20"/>
        </w:rPr>
        <w:t xml:space="preserve"> were negatively biased (i.e. they led to a reduction in derived values).  As such, the upper envelope of the data could be considered to represent the best quality observations.</w:t>
      </w:r>
      <w:r w:rsidR="00086B58">
        <w:rPr>
          <w:rFonts w:ascii="Arial" w:hAnsi="Arial" w:cs="Arial"/>
          <w:sz w:val="20"/>
          <w:szCs w:val="20"/>
        </w:rPr>
        <w:t xml:space="preserve">  To exploit this fact, the maximum </w:t>
      </w:r>
      <w:r w:rsidR="003E3881">
        <w:rPr>
          <w:rFonts w:ascii="Arial" w:hAnsi="Arial" w:cs="Arial"/>
          <w:sz w:val="20"/>
          <w:szCs w:val="20"/>
        </w:rPr>
        <w:t>LAI and GCC</w:t>
      </w:r>
      <w:r w:rsidR="00086B58">
        <w:rPr>
          <w:rFonts w:ascii="Arial" w:hAnsi="Arial" w:cs="Arial"/>
          <w:sz w:val="20"/>
          <w:szCs w:val="20"/>
        </w:rPr>
        <w:t xml:space="preserve"> values were selected from the </w:t>
      </w:r>
      <w:r w:rsidR="00783195">
        <w:rPr>
          <w:rFonts w:ascii="Arial" w:hAnsi="Arial" w:cs="Arial"/>
          <w:sz w:val="20"/>
          <w:szCs w:val="20"/>
        </w:rPr>
        <w:t>thirty-four</w:t>
      </w:r>
      <w:r w:rsidR="00086B58">
        <w:rPr>
          <w:rFonts w:ascii="Arial" w:hAnsi="Arial" w:cs="Arial"/>
          <w:sz w:val="20"/>
          <w:szCs w:val="20"/>
        </w:rPr>
        <w:t xml:space="preserve"> available</w:t>
      </w:r>
      <w:r w:rsidR="00F52C4D">
        <w:rPr>
          <w:rFonts w:ascii="Arial" w:hAnsi="Arial" w:cs="Arial"/>
          <w:sz w:val="20"/>
          <w:szCs w:val="20"/>
        </w:rPr>
        <w:t xml:space="preserve"> observations</w:t>
      </w:r>
      <w:r w:rsidR="00086B58">
        <w:rPr>
          <w:rFonts w:ascii="Arial" w:hAnsi="Arial" w:cs="Arial"/>
          <w:sz w:val="20"/>
          <w:szCs w:val="20"/>
        </w:rPr>
        <w:t xml:space="preserve"> </w:t>
      </w:r>
      <w:r w:rsidR="00F52C4D">
        <w:rPr>
          <w:rFonts w:ascii="Arial" w:hAnsi="Arial" w:cs="Arial"/>
          <w:sz w:val="20"/>
          <w:szCs w:val="20"/>
        </w:rPr>
        <w:t>in</w:t>
      </w:r>
      <w:r w:rsidR="00086B58">
        <w:rPr>
          <w:rFonts w:ascii="Arial" w:hAnsi="Arial" w:cs="Arial"/>
          <w:sz w:val="20"/>
          <w:szCs w:val="20"/>
        </w:rPr>
        <w:t xml:space="preserve"> </w:t>
      </w:r>
      <w:r w:rsidR="00A672B6">
        <w:rPr>
          <w:rFonts w:ascii="Arial" w:hAnsi="Arial" w:cs="Arial"/>
          <w:sz w:val="20"/>
          <w:szCs w:val="20"/>
        </w:rPr>
        <w:t xml:space="preserve">each </w:t>
      </w:r>
      <w:r w:rsidR="004A0ADF">
        <w:rPr>
          <w:rFonts w:ascii="Arial" w:hAnsi="Arial" w:cs="Arial"/>
          <w:sz w:val="20"/>
          <w:szCs w:val="20"/>
        </w:rPr>
        <w:t>day,</w:t>
      </w:r>
      <w:r w:rsidR="00F52C4D">
        <w:rPr>
          <w:rFonts w:ascii="Arial" w:hAnsi="Arial" w:cs="Arial"/>
          <w:sz w:val="20"/>
          <w:szCs w:val="20"/>
        </w:rPr>
        <w:t xml:space="preserve"> pro</w:t>
      </w:r>
      <w:r w:rsidR="00B95F2A">
        <w:rPr>
          <w:rFonts w:ascii="Arial" w:hAnsi="Arial" w:cs="Arial"/>
          <w:sz w:val="20"/>
          <w:szCs w:val="20"/>
        </w:rPr>
        <w:t>viding</w:t>
      </w:r>
      <w:r w:rsidR="00F52C4D">
        <w:rPr>
          <w:rFonts w:ascii="Arial" w:hAnsi="Arial" w:cs="Arial"/>
          <w:sz w:val="20"/>
          <w:szCs w:val="20"/>
        </w:rPr>
        <w:t xml:space="preserve"> </w:t>
      </w:r>
      <w:r w:rsidR="00EC02C5">
        <w:rPr>
          <w:rFonts w:ascii="Arial" w:hAnsi="Arial" w:cs="Arial"/>
          <w:sz w:val="20"/>
          <w:szCs w:val="20"/>
        </w:rPr>
        <w:t xml:space="preserve">a </w:t>
      </w:r>
      <w:r w:rsidR="00F52C4D">
        <w:rPr>
          <w:rFonts w:ascii="Arial" w:hAnsi="Arial" w:cs="Arial"/>
          <w:sz w:val="20"/>
          <w:szCs w:val="20"/>
        </w:rPr>
        <w:t>time-series with daily temporal resolution.</w:t>
      </w:r>
      <w:r w:rsidR="00F67A25">
        <w:rPr>
          <w:rFonts w:ascii="Arial" w:hAnsi="Arial" w:cs="Arial"/>
          <w:sz w:val="20"/>
          <w:szCs w:val="20"/>
        </w:rPr>
        <w:t xml:space="preserve">  </w:t>
      </w:r>
      <w:bookmarkStart w:id="5" w:name="_Hlk27317053"/>
      <w:r w:rsidR="00F67A25">
        <w:rPr>
          <w:rFonts w:ascii="Arial" w:hAnsi="Arial" w:cs="Arial"/>
          <w:sz w:val="20"/>
          <w:szCs w:val="20"/>
        </w:rPr>
        <w:t>To assess the ability of the data screening method to supress high frequency noise, a lag = 1 autocorrelation analysis was carried out on both the screened and unscreened time-series.</w:t>
      </w:r>
      <w:bookmarkEnd w:id="5"/>
    </w:p>
    <w:p w14:paraId="57172CE4" w14:textId="7BF6217B" w:rsidR="00F71355" w:rsidRDefault="00F71355" w:rsidP="00C6548A">
      <w:pPr>
        <w:spacing w:before="240" w:line="480" w:lineRule="auto"/>
        <w:jc w:val="both"/>
        <w:rPr>
          <w:rFonts w:ascii="Arial" w:eastAsia="Times New Roman" w:hAnsi="Arial" w:cs="Arial"/>
          <w:i/>
          <w:iCs/>
          <w:sz w:val="20"/>
          <w:szCs w:val="20"/>
        </w:rPr>
      </w:pPr>
      <w:r>
        <w:rPr>
          <w:rFonts w:ascii="Arial" w:eastAsia="Times New Roman" w:hAnsi="Arial" w:cs="Arial"/>
          <w:i/>
          <w:iCs/>
          <w:sz w:val="20"/>
          <w:szCs w:val="20"/>
        </w:rPr>
        <w:t xml:space="preserve">2.4. Benchmarking </w:t>
      </w:r>
      <w:r w:rsidR="009F3BA1">
        <w:rPr>
          <w:rFonts w:ascii="Arial" w:eastAsia="Times New Roman" w:hAnsi="Arial" w:cs="Arial"/>
          <w:i/>
          <w:iCs/>
          <w:sz w:val="20"/>
          <w:szCs w:val="20"/>
        </w:rPr>
        <w:t xml:space="preserve">automated </w:t>
      </w:r>
      <w:r>
        <w:rPr>
          <w:rFonts w:ascii="Arial" w:eastAsia="Times New Roman" w:hAnsi="Arial" w:cs="Arial"/>
          <w:i/>
          <w:iCs/>
          <w:sz w:val="20"/>
          <w:szCs w:val="20"/>
        </w:rPr>
        <w:t xml:space="preserve">LAI data </w:t>
      </w:r>
      <w:r w:rsidR="009F3BA1">
        <w:rPr>
          <w:rFonts w:ascii="Arial" w:eastAsia="Times New Roman" w:hAnsi="Arial" w:cs="Arial"/>
          <w:i/>
          <w:iCs/>
          <w:sz w:val="20"/>
          <w:szCs w:val="20"/>
        </w:rPr>
        <w:t xml:space="preserve">against manual DHP acquisitions </w:t>
      </w:r>
    </w:p>
    <w:p w14:paraId="116F4A74" w14:textId="10C8ECBF" w:rsidR="0099168F" w:rsidRDefault="00C009B7" w:rsidP="00D97A10">
      <w:pPr>
        <w:spacing w:line="480" w:lineRule="auto"/>
        <w:jc w:val="both"/>
        <w:rPr>
          <w:rFonts w:ascii="Arial" w:eastAsia="Times New Roman" w:hAnsi="Arial" w:cs="Arial"/>
          <w:sz w:val="20"/>
          <w:szCs w:val="20"/>
        </w:rPr>
      </w:pPr>
      <w:bookmarkStart w:id="6" w:name="_Hlk27315905"/>
      <w:r>
        <w:rPr>
          <w:rFonts w:ascii="Arial" w:eastAsia="Times New Roman" w:hAnsi="Arial" w:cs="Arial"/>
          <w:sz w:val="20"/>
          <w:szCs w:val="20"/>
        </w:rPr>
        <w:lastRenderedPageBreak/>
        <w:t>Additional field data collection was carried out</w:t>
      </w:r>
      <w:r w:rsidR="004C19FC">
        <w:rPr>
          <w:rFonts w:ascii="Arial" w:eastAsia="Times New Roman" w:hAnsi="Arial" w:cs="Arial"/>
          <w:sz w:val="20"/>
          <w:szCs w:val="20"/>
        </w:rPr>
        <w:t xml:space="preserve"> </w:t>
      </w:r>
      <w:r w:rsidR="00F67A25">
        <w:rPr>
          <w:rFonts w:ascii="Arial" w:eastAsia="Times New Roman" w:hAnsi="Arial" w:cs="Arial"/>
          <w:sz w:val="20"/>
          <w:szCs w:val="20"/>
        </w:rPr>
        <w:t>in the vicinity of</w:t>
      </w:r>
      <w:r w:rsidR="004C19FC">
        <w:rPr>
          <w:rFonts w:ascii="Arial" w:eastAsia="Times New Roman" w:hAnsi="Arial" w:cs="Arial"/>
          <w:sz w:val="20"/>
          <w:szCs w:val="20"/>
        </w:rPr>
        <w:t xml:space="preserve"> the canopy walkway</w:t>
      </w:r>
      <w:r>
        <w:rPr>
          <w:rFonts w:ascii="Arial" w:eastAsia="Times New Roman" w:hAnsi="Arial" w:cs="Arial"/>
          <w:sz w:val="20"/>
          <w:szCs w:val="20"/>
        </w:rPr>
        <w:t xml:space="preserve"> to assess the robustness of</w:t>
      </w:r>
      <w:r w:rsidR="00C6548A">
        <w:rPr>
          <w:rFonts w:ascii="Arial" w:eastAsia="Times New Roman" w:hAnsi="Arial" w:cs="Arial"/>
          <w:sz w:val="20"/>
          <w:szCs w:val="20"/>
        </w:rPr>
        <w:t xml:space="preserve"> the</w:t>
      </w:r>
      <w:r w:rsidR="00B740F1">
        <w:rPr>
          <w:rFonts w:ascii="Arial" w:eastAsia="Times New Roman" w:hAnsi="Arial" w:cs="Arial"/>
          <w:sz w:val="20"/>
          <w:szCs w:val="20"/>
        </w:rPr>
        <w:t xml:space="preserve"> automated</w:t>
      </w:r>
      <w:r w:rsidR="00995F84">
        <w:rPr>
          <w:rFonts w:ascii="Arial" w:eastAsia="Times New Roman" w:hAnsi="Arial" w:cs="Arial"/>
          <w:sz w:val="20"/>
          <w:szCs w:val="20"/>
        </w:rPr>
        <w:t xml:space="preserve"> </w:t>
      </w:r>
      <w:r>
        <w:rPr>
          <w:rFonts w:ascii="Arial" w:eastAsia="Times New Roman" w:hAnsi="Arial" w:cs="Arial"/>
          <w:sz w:val="20"/>
          <w:szCs w:val="20"/>
        </w:rPr>
        <w:t>data</w:t>
      </w:r>
      <w:r w:rsidR="00B740F1">
        <w:rPr>
          <w:rFonts w:ascii="Arial" w:eastAsia="Times New Roman" w:hAnsi="Arial" w:cs="Arial"/>
          <w:sz w:val="20"/>
          <w:szCs w:val="20"/>
        </w:rPr>
        <w:t xml:space="preserve"> </w:t>
      </w:r>
      <w:r>
        <w:rPr>
          <w:rFonts w:ascii="Arial" w:eastAsia="Times New Roman" w:hAnsi="Arial" w:cs="Arial"/>
          <w:sz w:val="20"/>
          <w:szCs w:val="20"/>
        </w:rPr>
        <w:t>processing</w:t>
      </w:r>
      <w:r w:rsidR="008450D5">
        <w:rPr>
          <w:rFonts w:ascii="Arial" w:eastAsia="Times New Roman" w:hAnsi="Arial" w:cs="Arial"/>
          <w:sz w:val="20"/>
          <w:szCs w:val="20"/>
        </w:rPr>
        <w:t xml:space="preserve"> and screening</w:t>
      </w:r>
      <w:r>
        <w:rPr>
          <w:rFonts w:ascii="Arial" w:eastAsia="Times New Roman" w:hAnsi="Arial" w:cs="Arial"/>
          <w:sz w:val="20"/>
          <w:szCs w:val="20"/>
        </w:rPr>
        <w:t xml:space="preserve"> methods described in Section 2.3</w:t>
      </w:r>
      <w:bookmarkEnd w:id="6"/>
      <w:r>
        <w:rPr>
          <w:rFonts w:ascii="Arial" w:eastAsia="Times New Roman" w:hAnsi="Arial" w:cs="Arial"/>
          <w:sz w:val="20"/>
          <w:szCs w:val="20"/>
        </w:rPr>
        <w:t xml:space="preserve">.  This involved the </w:t>
      </w:r>
      <w:r w:rsidR="000E201B">
        <w:rPr>
          <w:rFonts w:ascii="Arial" w:eastAsia="Times New Roman" w:hAnsi="Arial" w:cs="Arial"/>
          <w:sz w:val="20"/>
          <w:szCs w:val="20"/>
        </w:rPr>
        <w:t xml:space="preserve">manual </w:t>
      </w:r>
      <w:r>
        <w:rPr>
          <w:rFonts w:ascii="Arial" w:eastAsia="Times New Roman" w:hAnsi="Arial" w:cs="Arial"/>
          <w:sz w:val="20"/>
          <w:szCs w:val="20"/>
        </w:rPr>
        <w:t xml:space="preserve">acquisition of </w:t>
      </w:r>
      <w:r w:rsidR="00FD6E92">
        <w:rPr>
          <w:rFonts w:ascii="Arial" w:eastAsia="Times New Roman" w:hAnsi="Arial" w:cs="Arial"/>
          <w:sz w:val="20"/>
          <w:szCs w:val="20"/>
        </w:rPr>
        <w:t>optimal</w:t>
      </w:r>
      <w:r w:rsidR="004A0ADF">
        <w:rPr>
          <w:rFonts w:ascii="Arial" w:eastAsia="Times New Roman" w:hAnsi="Arial" w:cs="Arial"/>
          <w:sz w:val="20"/>
          <w:szCs w:val="20"/>
        </w:rPr>
        <w:t>,</w:t>
      </w:r>
      <w:r w:rsidR="00FD6E92">
        <w:rPr>
          <w:rFonts w:ascii="Arial" w:eastAsia="Times New Roman" w:hAnsi="Arial" w:cs="Arial"/>
          <w:sz w:val="20"/>
          <w:szCs w:val="20"/>
        </w:rPr>
        <w:t xml:space="preserve"> </w:t>
      </w:r>
      <w:r w:rsidR="00E30F7F">
        <w:rPr>
          <w:rFonts w:ascii="Arial" w:eastAsia="Times New Roman" w:hAnsi="Arial" w:cs="Arial"/>
          <w:sz w:val="20"/>
          <w:szCs w:val="20"/>
        </w:rPr>
        <w:t>user-</w:t>
      </w:r>
      <w:r>
        <w:rPr>
          <w:rFonts w:ascii="Arial" w:eastAsia="Times New Roman" w:hAnsi="Arial" w:cs="Arial"/>
          <w:sz w:val="20"/>
          <w:szCs w:val="20"/>
        </w:rPr>
        <w:t>operated</w:t>
      </w:r>
      <w:r w:rsidR="00CC510E">
        <w:rPr>
          <w:rFonts w:ascii="Arial" w:eastAsia="Times New Roman" w:hAnsi="Arial" w:cs="Arial"/>
          <w:sz w:val="20"/>
          <w:szCs w:val="20"/>
        </w:rPr>
        <w:t xml:space="preserve"> </w:t>
      </w:r>
      <w:r>
        <w:rPr>
          <w:rFonts w:ascii="Arial" w:eastAsia="Times New Roman" w:hAnsi="Arial" w:cs="Arial"/>
          <w:sz w:val="20"/>
          <w:szCs w:val="20"/>
        </w:rPr>
        <w:t>DHP images</w:t>
      </w:r>
      <w:r w:rsidR="00CC510E">
        <w:rPr>
          <w:rFonts w:ascii="Arial" w:eastAsia="Times New Roman" w:hAnsi="Arial" w:cs="Arial"/>
          <w:sz w:val="20"/>
          <w:szCs w:val="20"/>
        </w:rPr>
        <w:t xml:space="preserve">, which were collected </w:t>
      </w:r>
      <w:r w:rsidR="00B740F1">
        <w:rPr>
          <w:rFonts w:ascii="Arial" w:eastAsia="Times New Roman" w:hAnsi="Arial" w:cs="Arial"/>
          <w:sz w:val="20"/>
          <w:szCs w:val="20"/>
        </w:rPr>
        <w:t xml:space="preserve">on </w:t>
      </w:r>
      <w:r w:rsidR="00783195">
        <w:rPr>
          <w:rFonts w:ascii="Arial" w:eastAsia="Times New Roman" w:hAnsi="Arial" w:cs="Arial"/>
          <w:sz w:val="20"/>
          <w:szCs w:val="20"/>
        </w:rPr>
        <w:t>fourteen</w:t>
      </w:r>
      <w:r w:rsidR="00B740F1">
        <w:rPr>
          <w:rFonts w:ascii="Arial" w:eastAsia="Times New Roman" w:hAnsi="Arial" w:cs="Arial"/>
          <w:sz w:val="20"/>
          <w:szCs w:val="20"/>
        </w:rPr>
        <w:t xml:space="preserve"> dates</w:t>
      </w:r>
      <w:r w:rsidR="00CC510E" w:rsidRPr="00CC510E">
        <w:rPr>
          <w:rFonts w:ascii="Arial" w:eastAsia="Times New Roman" w:hAnsi="Arial" w:cs="Arial"/>
          <w:sz w:val="20"/>
          <w:szCs w:val="20"/>
        </w:rPr>
        <w:t xml:space="preserve"> </w:t>
      </w:r>
      <w:r w:rsidR="00CC510E">
        <w:rPr>
          <w:rFonts w:ascii="Arial" w:eastAsia="Times New Roman" w:hAnsi="Arial" w:cs="Arial"/>
          <w:sz w:val="20"/>
          <w:szCs w:val="20"/>
        </w:rPr>
        <w:t xml:space="preserve">under </w:t>
      </w:r>
      <w:r w:rsidR="00FD6E92">
        <w:rPr>
          <w:rFonts w:ascii="Arial" w:eastAsia="Times New Roman" w:hAnsi="Arial" w:cs="Arial"/>
          <w:sz w:val="20"/>
          <w:szCs w:val="20"/>
        </w:rPr>
        <w:t>best-case</w:t>
      </w:r>
      <w:r w:rsidR="00CC510E">
        <w:rPr>
          <w:rFonts w:ascii="Arial" w:eastAsia="Times New Roman" w:hAnsi="Arial" w:cs="Arial"/>
          <w:sz w:val="20"/>
          <w:szCs w:val="20"/>
        </w:rPr>
        <w:t xml:space="preserve"> illumination conditions (i.e. uniform overcast skie</w:t>
      </w:r>
      <w:r w:rsidR="00EE4E75">
        <w:rPr>
          <w:rFonts w:ascii="Arial" w:eastAsia="Times New Roman" w:hAnsi="Arial" w:cs="Arial"/>
          <w:sz w:val="20"/>
          <w:szCs w:val="20"/>
        </w:rPr>
        <w:t>s</w:t>
      </w:r>
      <w:r w:rsidR="00EA0EEE">
        <w:rPr>
          <w:rFonts w:ascii="Arial" w:eastAsia="Times New Roman" w:hAnsi="Arial" w:cs="Arial"/>
          <w:sz w:val="20"/>
          <w:szCs w:val="20"/>
        </w:rPr>
        <w:t xml:space="preserve"> or close to sunrise/sun</w:t>
      </w:r>
      <w:r w:rsidR="00825A66">
        <w:rPr>
          <w:rFonts w:ascii="Arial" w:eastAsia="Times New Roman" w:hAnsi="Arial" w:cs="Arial"/>
          <w:sz w:val="20"/>
          <w:szCs w:val="20"/>
        </w:rPr>
        <w:t>s</w:t>
      </w:r>
      <w:r w:rsidR="00EA0EEE">
        <w:rPr>
          <w:rFonts w:ascii="Arial" w:eastAsia="Times New Roman" w:hAnsi="Arial" w:cs="Arial"/>
          <w:sz w:val="20"/>
          <w:szCs w:val="20"/>
        </w:rPr>
        <w:t>et</w:t>
      </w:r>
      <w:r w:rsidR="00CC510E">
        <w:rPr>
          <w:rFonts w:ascii="Arial" w:eastAsia="Times New Roman" w:hAnsi="Arial" w:cs="Arial"/>
          <w:sz w:val="20"/>
          <w:szCs w:val="20"/>
        </w:rPr>
        <w:t>)</w:t>
      </w:r>
      <w:r w:rsidR="00AD393D">
        <w:rPr>
          <w:rFonts w:ascii="Arial" w:eastAsia="Times New Roman" w:hAnsi="Arial" w:cs="Arial"/>
          <w:sz w:val="20"/>
          <w:szCs w:val="20"/>
        </w:rPr>
        <w:t xml:space="preserve"> </w:t>
      </w:r>
      <w:r w:rsidR="00AD393D">
        <w:rPr>
          <w:rFonts w:ascii="Arial" w:eastAsia="Times New Roman" w:hAnsi="Arial" w:cs="Arial"/>
          <w:sz w:val="20"/>
          <w:szCs w:val="20"/>
        </w:rPr>
        <w:fldChar w:fldCharType="begin" w:fldLock="1"/>
      </w:r>
      <w:r w:rsidR="00862319">
        <w:rPr>
          <w:rFonts w:ascii="Arial" w:eastAsia="Times New Roman" w:hAnsi="Arial" w:cs="Arial"/>
          <w:sz w:val="20"/>
          <w:szCs w:val="20"/>
        </w:rPr>
        <w:instrText>ADDIN CSL_CITATION {"citationItems":[{"id":"ITEM-1","itemData":{"DOI":"10.3832/ifor0775-005","ISBN":"1824-0119","ISSN":"19717458","PMID":"775","abstract":"Hemispherical photography has been used since the 1960s in forest ecology. Nevertheless, specific constraints related to film cameras have progressively prevented widespread adoption of this photographic method. Advances in digital photographic technology hold great promise to overcome the major drawbacks of hemispherical photography, particularly regarding field techniques and image processing aspects. This contribution is aimed to: (i) provide a basic foreground of digital hemispherical photography; (ii) illustrate the major strengths and weakness of the method; (iii) provide an reliable protocol for image acquisition and analysis, to get the most out of using hemispherical photography for canopy properties extraction.","author":[{"dropping-particle":"","family":"Chianucci","given":"Francesco","non-dropping-particle":"","parse-names":false,"suffix":""},{"dropping-particle":"","family":"Cutini","given":"Andrea","non-dropping-particle":"","parse-names":false,"suffix":""}],"container-title":"iForest - Biogeosciences and Forestry","id":"ITEM-1","issue":"6","issued":{"date-parts":[["2012","12","17"]]},"page":"290-295","title":"Digital hemispherical photography for estimating forest canopy properties: current controversies and opportunities","type":"article-journal","volume":"5"},"uris":["http://www.mendeley.com/documents/?uuid=874b21c1-236d-457e-aba0-2a73eaf5302a"]},{"id":"ITEM-2","itemData":{"DOI":"10.1093/jxb/erg263","ISSN":"1460-2431","abstract":"Leaf area index (LAI) is the total one-sided area of leaf tissue per unit ground surface area. It is a key parameter in ecophysiology, especially for scaling up the gas exchange from leaf to canopy level. It charac-terizes the canopy±atmosphere interface, where most of the energy ¯uxes exchange. It is also one of the most dif®cult to quantify properly, owing to large spatial and temporal variability. Many methods have been developed to quantify LAI from the ground and some of them are also suitable for describing other structural parameters of the canopy. This paper reviews the direct and indirect methods, the required instruments, their advantages, disadvantages and accuracy of the results. Analysis of the literature shows that most cross-validations between direct and indirect methods have pointed to a signi®cant underestimation of LAI with the latter techniques, especially in forest stands. The two main causes for the discrepancy, clumping and contribution of stem and branches, are discussed and some recent theor-etical or technical solutions are presented as poten-tial improvements to reduce bias or discrepancies. The accuracy, sampling strategy and spatial validity of the LAI measurements have to be assessed for quality assurance of both the measurement and the modelling purposes of all the LAI-dependent eco-physiological and biophysical processes of canopies.","author":[{"dropping-particle":"","family":"Bréda","given":"N. J. J.","non-dropping-particle":"","parse-names":false,"suffix":""}],"container-title":"Journal of Experimental Botany","id":"ITEM-2","issue":"392","issued":{"date-parts":[["2003","9","25"]]},"page":"2403-2417","title":"Ground-based measurements of leaf area index: a review of methods, instruments and current controversies","type":"article-journal","volume":"54"},"uris":["http://www.mendeley.com/documents/?uuid=74c456fc-5aaa-3d4b-b8c1-561d212dcfda"]},{"id":"ITEM-3","itemData":{"DOI":"10.1016/j.agrformet.2003.08.027","ISBN":"0168-1923","ISSN":"01681923","PMID":"54","abstract":"Rapid, reliable and objective estimations of leaf area index (LAI) are essential for numerous studies of atmosphere-vegetation interaction, as LAI is very often a critical parameter in process-based models of vegetation canopy response to global environmental change. This paper reviews current knowledge concerning the use of direct and indirect methods for LAI determination. The value of optical LAI measurements by means of hemispherical photography has already been demonstrated in previous studies. As clumping seems to be the main factor causing errors in indirect LAI estimation, we suggest that the use of a digital camera with high dynamic range has the potential to overcome a number of described technical problems related to indirect LAI estimation. Further testing and defining of a standardised field protocol for digital hemispherical photography is however needed to improve this technique to achieve the standards of an ideal device. © 2003 Elsevier B.V. All rights reserved.","author":[{"dropping-particle":"","family":"Jonckheere","given":"Inge","non-dropping-particle":"","parse-names":false,"suffix":""},{"dropping-particle":"","family":"Fleck","given":"Stefan","non-dropping-particle":"","parse-names":false,"suffix":""},{"dropping-particle":"","family":"Nackaerts","given":"Kris","non-dropping-particle":"","parse-names":false,"suffix":""},{"dropping-particle":"","family":"Muys","given":"Bart","non-dropping-particle":"","parse-names":false,"suffix":""},{"dropping-particle":"","family":"Coppin","given":"Pol","non-dropping-particle":"","parse-names":false,"suffix":""},{"dropping-particle":"","family":"Weiss","given":"Marie","non-dropping-particle":"","parse-names":false,"suffix":""},{"dropping-particle":"","family":"Baret","given":"Frédéric","non-dropping-particle":"","parse-names":false,"suffix":""}],"container-title":"Agricultural and Forest Meteorology","id":"ITEM-3","issue":"1-2","issued":{"date-parts":[["2004","1"]]},"page":"19-35","title":"Review of methods for in situ leaf area index determination","type":"article-journal","volume":"121"},"uris":["http://www.mendeley.com/documents/?uuid=6442ba11-356e-31a6-aa90-199154d69b6f"]}],"mendeley":{"formattedCitation":"(Bréda, 2003; Chianucci and Cutini, 2012; Jonckheere et al., 2004)","plainTextFormattedCitation":"(Bréda, 2003; Chianucci and Cutini, 2012; Jonckheere et al., 2004)","previouslyFormattedCitation":"(Bréda, 2003; Chianucci and Cutini, 2012; Jonckheere et al., 2004)"},"properties":{"noteIndex":0},"schema":"https://github.com/citation-style-language/schema/raw/master/csl-citation.json"}</w:instrText>
      </w:r>
      <w:r w:rsidR="00AD393D">
        <w:rPr>
          <w:rFonts w:ascii="Arial" w:eastAsia="Times New Roman" w:hAnsi="Arial" w:cs="Arial"/>
          <w:sz w:val="20"/>
          <w:szCs w:val="20"/>
        </w:rPr>
        <w:fldChar w:fldCharType="separate"/>
      </w:r>
      <w:r w:rsidR="006424A1" w:rsidRPr="006424A1">
        <w:rPr>
          <w:rFonts w:ascii="Arial" w:eastAsia="Times New Roman" w:hAnsi="Arial" w:cs="Arial"/>
          <w:noProof/>
          <w:sz w:val="20"/>
          <w:szCs w:val="20"/>
        </w:rPr>
        <w:t>(Bréda, 2003; Chianucci and Cutini, 2012; Jonckheere et al., 2004)</w:t>
      </w:r>
      <w:r w:rsidR="00AD393D">
        <w:rPr>
          <w:rFonts w:ascii="Arial" w:eastAsia="Times New Roman" w:hAnsi="Arial" w:cs="Arial"/>
          <w:sz w:val="20"/>
          <w:szCs w:val="20"/>
        </w:rPr>
        <w:fldChar w:fldCharType="end"/>
      </w:r>
      <w:r w:rsidR="00B740F1">
        <w:rPr>
          <w:rFonts w:ascii="Arial" w:eastAsia="Times New Roman" w:hAnsi="Arial" w:cs="Arial"/>
          <w:sz w:val="20"/>
          <w:szCs w:val="20"/>
        </w:rPr>
        <w:t>.  In this case, images were acquired using a Nikon Coolpix 4500 digital camera equipped with an FC-E8 fisheye lens, which was stabilised using a monopod and bubble level.</w:t>
      </w:r>
      <w:r w:rsidR="00927299">
        <w:rPr>
          <w:rFonts w:ascii="Arial" w:eastAsia="Times New Roman" w:hAnsi="Arial" w:cs="Arial"/>
          <w:sz w:val="20"/>
          <w:szCs w:val="20"/>
        </w:rPr>
        <w:t xml:space="preserve">  </w:t>
      </w:r>
      <w:r w:rsidR="009F3BA1">
        <w:rPr>
          <w:rFonts w:ascii="Arial" w:eastAsia="Times New Roman" w:hAnsi="Arial" w:cs="Arial"/>
          <w:sz w:val="20"/>
          <w:szCs w:val="20"/>
        </w:rPr>
        <w:t>Thirteen</w:t>
      </w:r>
      <w:r w:rsidR="00D45A46">
        <w:rPr>
          <w:rFonts w:ascii="Arial" w:eastAsia="Times New Roman" w:hAnsi="Arial" w:cs="Arial"/>
          <w:sz w:val="20"/>
          <w:szCs w:val="20"/>
        </w:rPr>
        <w:t xml:space="preserve"> images</w:t>
      </w:r>
      <w:r w:rsidR="00927299">
        <w:rPr>
          <w:rFonts w:ascii="Arial" w:eastAsia="Times New Roman" w:hAnsi="Arial" w:cs="Arial"/>
          <w:sz w:val="20"/>
          <w:szCs w:val="20"/>
        </w:rPr>
        <w:t xml:space="preserve"> were acquired within </w:t>
      </w:r>
      <w:r w:rsidR="00CC510E">
        <w:rPr>
          <w:rFonts w:ascii="Arial" w:eastAsia="Times New Roman" w:hAnsi="Arial" w:cs="Arial"/>
          <w:sz w:val="20"/>
          <w:szCs w:val="20"/>
        </w:rPr>
        <w:t>the</w:t>
      </w:r>
      <w:r w:rsidR="00927299">
        <w:rPr>
          <w:rFonts w:ascii="Arial" w:eastAsia="Times New Roman" w:hAnsi="Arial" w:cs="Arial"/>
          <w:sz w:val="20"/>
          <w:szCs w:val="20"/>
        </w:rPr>
        <w:t xml:space="preserve"> surrounding 40 m x 40 m area</w:t>
      </w:r>
      <w:r w:rsidR="008450D5" w:rsidRPr="008450D5">
        <w:rPr>
          <w:rFonts w:ascii="Arial" w:eastAsia="Times New Roman" w:hAnsi="Arial" w:cs="Arial"/>
          <w:sz w:val="20"/>
          <w:szCs w:val="20"/>
        </w:rPr>
        <w:t xml:space="preserve"> </w:t>
      </w:r>
      <w:r w:rsidR="008450D5">
        <w:rPr>
          <w:rFonts w:ascii="Arial" w:eastAsia="Times New Roman" w:hAnsi="Arial" w:cs="Arial"/>
          <w:sz w:val="20"/>
          <w:szCs w:val="20"/>
        </w:rPr>
        <w:t>on each date</w:t>
      </w:r>
      <w:r w:rsidR="00927299">
        <w:rPr>
          <w:rFonts w:ascii="Arial" w:eastAsia="Times New Roman" w:hAnsi="Arial" w:cs="Arial"/>
          <w:sz w:val="20"/>
          <w:szCs w:val="20"/>
        </w:rPr>
        <w:t xml:space="preserve">.  Based on the recommendations of </w:t>
      </w:r>
      <w:r w:rsidR="00927299">
        <w:rPr>
          <w:rFonts w:ascii="Arial" w:eastAsia="Times New Roman" w:hAnsi="Arial" w:cs="Arial"/>
          <w:sz w:val="20"/>
          <w:szCs w:val="20"/>
        </w:rPr>
        <w:fldChar w:fldCharType="begin" w:fldLock="1"/>
      </w:r>
      <w:r w:rsidR="00927299">
        <w:rPr>
          <w:rFonts w:ascii="Arial" w:eastAsia="Times New Roman" w:hAnsi="Arial" w:cs="Arial"/>
          <w:sz w:val="20"/>
          <w:szCs w:val="20"/>
        </w:rPr>
        <w:instrText>ADDIN CSL_CITATION {"citationItems":[{"id":"ITEM-1","itemData":{"DOI":"10.1016/j.agrformet.2011.10.002","ISBN":"0168-1923","ISSN":"01681923","abstract":"Field measurements of leaf area index (LAI) are needed for many ecological and remote sensing applications, but they are laborious and time-consuming. The sampling designs of optical LAI measurements have been mainly driven by the field-of-view of the sensor as well as the upscaling process and spatial resolution of satellite imagery. An optimized sampling design would improve the accuracy of the LAI measurements and reduce the time needed for field work. However, a systematic comparison of sampling designs for LAI measurements in boreal forests has not been done. The aim of this study was to analyze the effect of sampling designs on the accuracy of LAI estimates obtained with the LAI-2000 Plant Canopy Analyzer in a boreal forest. Field data was collected from six study sites in Hyytiälä, central Finland. Two sites were dominated by Pinus sylvestris, two sites by Picea abies, and two sites by Betula pendula. Each site had a regular 9 × 9 -grid of LAI measurement points. All sites were studied using regular and systematic sampling techniques. Statistical analysis was used to examine the site-specific number of measurement points needed in random sampling to achieve a given precision, and as a starting point for regular and systematic sampling. Results indicated that twelve randomly located measurement points are enough to characterize site-specific LAI with standard error less than 0.15. LAI units. If the twelve sampling points are organized systematically, the average standard error is reduced to 0.06 units and the coefficient of variation to less than 0.03. © 2011 Elsevier B.V.","author":[{"dropping-particle":"","family":"Majasalmi","given":"Titta","non-dropping-particle":"","parse-names":false,"suffix":""},{"dropping-particle":"","family":"Rautiainen","given":"Miina","non-dropping-particle":"","parse-names":false,"suffix":""},{"dropping-particle":"","family":"Stenberg","given":"Pauline","non-dropping-particle":"","parse-names":false,"suffix":""},{"dropping-particle":"","family":"Rita","given":"Hannu","non-dropping-particle":"","parse-names":false,"suffix":""}],"container-title":"Agricultural and Forest Meteorology","id":"ITEM-1","issued":{"date-parts":[["2012","3"]]},"page":"38-43","publisher":"Elsevier B.V.","title":"Optimizing the sampling scheme for LAI-2000 measurements in a boreal forest","type":"article-journal","volume":"154-155"},"uris":["http://www.mendeley.com/documents/?uuid=c1ee4bf3-b7e0-4799-a1aa-2c56b0a72728"]}],"mendeley":{"formattedCitation":"(Majasalmi et al., 2012)","manualFormatting":"Majasalmi et al. (2012)","plainTextFormattedCitation":"(Majasalmi et al., 2012)","previouslyFormattedCitation":"(Majasalmi et al., 2012)"},"properties":{"noteIndex":0},"schema":"https://github.com/citation-style-language/schema/raw/master/csl-citation.json"}</w:instrText>
      </w:r>
      <w:r w:rsidR="00927299">
        <w:rPr>
          <w:rFonts w:ascii="Arial" w:eastAsia="Times New Roman" w:hAnsi="Arial" w:cs="Arial"/>
          <w:sz w:val="20"/>
          <w:szCs w:val="20"/>
        </w:rPr>
        <w:fldChar w:fldCharType="separate"/>
      </w:r>
      <w:r w:rsidR="00927299" w:rsidRPr="00927299">
        <w:rPr>
          <w:rFonts w:ascii="Arial" w:eastAsia="Times New Roman" w:hAnsi="Arial" w:cs="Arial"/>
          <w:noProof/>
          <w:sz w:val="20"/>
          <w:szCs w:val="20"/>
        </w:rPr>
        <w:t xml:space="preserve">Majasalmi et al. </w:t>
      </w:r>
      <w:r w:rsidR="00927299">
        <w:rPr>
          <w:rFonts w:ascii="Arial" w:eastAsia="Times New Roman" w:hAnsi="Arial" w:cs="Arial"/>
          <w:noProof/>
          <w:sz w:val="20"/>
          <w:szCs w:val="20"/>
        </w:rPr>
        <w:t>(</w:t>
      </w:r>
      <w:r w:rsidR="00927299" w:rsidRPr="00927299">
        <w:rPr>
          <w:rFonts w:ascii="Arial" w:eastAsia="Times New Roman" w:hAnsi="Arial" w:cs="Arial"/>
          <w:noProof/>
          <w:sz w:val="20"/>
          <w:szCs w:val="20"/>
        </w:rPr>
        <w:t>2012)</w:t>
      </w:r>
      <w:r w:rsidR="00927299">
        <w:rPr>
          <w:rFonts w:ascii="Arial" w:eastAsia="Times New Roman" w:hAnsi="Arial" w:cs="Arial"/>
          <w:sz w:val="20"/>
          <w:szCs w:val="20"/>
        </w:rPr>
        <w:fldChar w:fldCharType="end"/>
      </w:r>
      <w:r w:rsidR="00927299">
        <w:rPr>
          <w:rFonts w:ascii="Arial" w:eastAsia="Times New Roman" w:hAnsi="Arial" w:cs="Arial"/>
          <w:sz w:val="20"/>
          <w:szCs w:val="20"/>
        </w:rPr>
        <w:t>, a cross-based sampling scheme</w:t>
      </w:r>
      <w:r w:rsidR="00CC510E">
        <w:rPr>
          <w:rFonts w:ascii="Arial" w:eastAsia="Times New Roman" w:hAnsi="Arial" w:cs="Arial"/>
          <w:sz w:val="20"/>
          <w:szCs w:val="20"/>
        </w:rPr>
        <w:t xml:space="preserve"> similar to that proposed in the Validation of European Land Remote Sensing Instruments (VALERI) project</w:t>
      </w:r>
      <w:r w:rsidR="00927299">
        <w:rPr>
          <w:rFonts w:ascii="Arial" w:eastAsia="Times New Roman" w:hAnsi="Arial" w:cs="Arial"/>
          <w:sz w:val="20"/>
          <w:szCs w:val="20"/>
        </w:rPr>
        <w:t xml:space="preserve"> </w:t>
      </w:r>
      <w:r w:rsidR="008450D5">
        <w:rPr>
          <w:rFonts w:ascii="Arial" w:eastAsia="Times New Roman" w:hAnsi="Arial" w:cs="Arial"/>
          <w:sz w:val="20"/>
          <w:szCs w:val="20"/>
        </w:rPr>
        <w:fldChar w:fldCharType="begin" w:fldLock="1"/>
      </w:r>
      <w:r w:rsidR="000A4707">
        <w:rPr>
          <w:rFonts w:ascii="Arial" w:eastAsia="Times New Roman" w:hAnsi="Arial" w:cs="Arial"/>
          <w:sz w:val="20"/>
          <w:szCs w:val="20"/>
        </w:rPr>
        <w:instrText>ADDIN CSL_CITATION {"citationItems":[{"id":"ITEM-1","itemData":{"author":[{"dropping-particle":"","family":"Baret","given":"F","non-dropping-particle":"","parse-names":false,"suffix":""},{"dropping-particle":"","family":"Weiss","given":"M","non-dropping-particle":"","parse-names":false,"suffix":""},{"dropping-particle":"","family":"Allard","given":"D","non-dropping-particle":"","parse-names":false,"suffix":""},{"dropping-particle":"","family":"Garrigues","given":"S","non-dropping-particle":"","parse-names":false,"suffix":""},{"dropping-particle":"","family":"Leroy","given":"M","non-dropping-particle":"","parse-names":false,"suffix":""},{"dropping-particle":"","family":"Jeanjean","given":"H","non-dropping-particle":"","parse-names":false,"suffix":""},{"dropping-particle":"","family":"Fernandes","given":"R","non-dropping-particle":"","parse-names":false,"suffix":""},{"dropping-particle":"","family":"Myneni","given":"R","non-dropping-particle":"","parse-names":false,"suffix":""},{"dropping-particle":"","family":"Privette","given":"J","non-dropping-particle":"","parse-names":false,"suffix":""},{"dropping-particle":"","family":"Morisette","given":"J","non-dropping-particle":"","parse-names":false,"suffix":""},{"dropping-particle":"","family":"Bohbot","given":"H","non-dropping-particle":"","parse-names":false,"suffix":""}],"id":"ITEM-1","issued":{"date-parts":[["2005"]]},"publisher":"Institut National de la Recherche Agronomique","publisher-place":"Avignon, France","title":"VALERI : a network of sites and a methodology for the validation of medium spatial resolution land satellite products","type":"book"},"uris":["http://www.mendeley.com/documents/?uuid=fc06abf7-039c-34bc-bbaa-0665f539fcbf"]}],"mendeley":{"formattedCitation":"(Baret et al., 2005)","plainTextFormattedCitation":"(Baret et al., 2005)","previouslyFormattedCitation":"(Baret et al., 2005)"},"properties":{"noteIndex":0},"schema":"https://github.com/citation-style-language/schema/raw/master/csl-citation.json"}</w:instrText>
      </w:r>
      <w:r w:rsidR="008450D5">
        <w:rPr>
          <w:rFonts w:ascii="Arial" w:eastAsia="Times New Roman" w:hAnsi="Arial" w:cs="Arial"/>
          <w:sz w:val="20"/>
          <w:szCs w:val="20"/>
        </w:rPr>
        <w:fldChar w:fldCharType="separate"/>
      </w:r>
      <w:r w:rsidR="008450D5" w:rsidRPr="008450D5">
        <w:rPr>
          <w:rFonts w:ascii="Arial" w:eastAsia="Times New Roman" w:hAnsi="Arial" w:cs="Arial"/>
          <w:noProof/>
          <w:sz w:val="20"/>
          <w:szCs w:val="20"/>
        </w:rPr>
        <w:t>(Baret et al., 2005)</w:t>
      </w:r>
      <w:r w:rsidR="008450D5">
        <w:rPr>
          <w:rFonts w:ascii="Arial" w:eastAsia="Times New Roman" w:hAnsi="Arial" w:cs="Arial"/>
          <w:sz w:val="20"/>
          <w:szCs w:val="20"/>
        </w:rPr>
        <w:fldChar w:fldCharType="end"/>
      </w:r>
      <w:r w:rsidR="008450D5">
        <w:rPr>
          <w:rFonts w:ascii="Arial" w:eastAsia="Times New Roman" w:hAnsi="Arial" w:cs="Arial"/>
          <w:sz w:val="20"/>
          <w:szCs w:val="20"/>
        </w:rPr>
        <w:t xml:space="preserve"> </w:t>
      </w:r>
      <w:r w:rsidR="00927299">
        <w:rPr>
          <w:rFonts w:ascii="Arial" w:eastAsia="Times New Roman" w:hAnsi="Arial" w:cs="Arial"/>
          <w:sz w:val="20"/>
          <w:szCs w:val="20"/>
        </w:rPr>
        <w:t>was adopted</w:t>
      </w:r>
      <w:r w:rsidR="00077921">
        <w:rPr>
          <w:rFonts w:ascii="Arial" w:eastAsia="Times New Roman" w:hAnsi="Arial" w:cs="Arial"/>
          <w:sz w:val="20"/>
          <w:szCs w:val="20"/>
        </w:rPr>
        <w:t xml:space="preserve"> (Figure 1</w:t>
      </w:r>
      <w:bookmarkStart w:id="7" w:name="_Hlk27315989"/>
      <w:r w:rsidR="00077921">
        <w:rPr>
          <w:rFonts w:ascii="Arial" w:eastAsia="Times New Roman" w:hAnsi="Arial" w:cs="Arial"/>
          <w:sz w:val="20"/>
          <w:szCs w:val="20"/>
        </w:rPr>
        <w:t>).</w:t>
      </w:r>
      <w:r w:rsidR="009F3BA1">
        <w:rPr>
          <w:rFonts w:ascii="Arial" w:eastAsia="Times New Roman" w:hAnsi="Arial" w:cs="Arial"/>
          <w:sz w:val="20"/>
          <w:szCs w:val="20"/>
        </w:rPr>
        <w:t xml:space="preserve">  Images were processed to derive LAI as described in Section 2.3.</w:t>
      </w:r>
      <w:bookmarkEnd w:id="7"/>
      <w:r w:rsidR="009F3BA1">
        <w:rPr>
          <w:rFonts w:ascii="Arial" w:eastAsia="Times New Roman" w:hAnsi="Arial" w:cs="Arial"/>
          <w:sz w:val="20"/>
          <w:szCs w:val="20"/>
        </w:rPr>
        <w:t xml:space="preserve">  </w:t>
      </w:r>
      <w:bookmarkStart w:id="8" w:name="_Hlk27316325"/>
      <w:r w:rsidR="00755D1E">
        <w:rPr>
          <w:rFonts w:ascii="Arial" w:eastAsia="Times New Roman" w:hAnsi="Arial" w:cs="Arial"/>
          <w:sz w:val="20"/>
          <w:szCs w:val="20"/>
        </w:rPr>
        <w:t>As</w:t>
      </w:r>
      <w:r w:rsidR="009F3BA1">
        <w:rPr>
          <w:rFonts w:ascii="Arial" w:eastAsia="Times New Roman" w:hAnsi="Arial" w:cs="Arial"/>
          <w:sz w:val="20"/>
          <w:szCs w:val="20"/>
        </w:rPr>
        <w:t xml:space="preserve"> a means of verifying the processing </w:t>
      </w:r>
      <w:r w:rsidR="00F67A25">
        <w:rPr>
          <w:rFonts w:ascii="Arial" w:eastAsia="Times New Roman" w:hAnsi="Arial" w:cs="Arial"/>
          <w:sz w:val="20"/>
          <w:szCs w:val="20"/>
        </w:rPr>
        <w:t>method</w:t>
      </w:r>
      <w:r w:rsidR="009F3BA1">
        <w:rPr>
          <w:rFonts w:ascii="Arial" w:eastAsia="Times New Roman" w:hAnsi="Arial" w:cs="Arial"/>
          <w:sz w:val="20"/>
          <w:szCs w:val="20"/>
        </w:rPr>
        <w:t xml:space="preserve">, estimates of PAI were </w:t>
      </w:r>
      <w:r w:rsidR="00D959C3">
        <w:rPr>
          <w:rFonts w:ascii="Arial" w:eastAsia="Times New Roman" w:hAnsi="Arial" w:cs="Arial"/>
          <w:sz w:val="20"/>
          <w:szCs w:val="20"/>
        </w:rPr>
        <w:t xml:space="preserve">also </w:t>
      </w:r>
      <w:r w:rsidR="009F3BA1">
        <w:rPr>
          <w:rFonts w:ascii="Arial" w:eastAsia="Times New Roman" w:hAnsi="Arial" w:cs="Arial"/>
          <w:sz w:val="20"/>
          <w:szCs w:val="20"/>
        </w:rPr>
        <w:t xml:space="preserve">compared with </w:t>
      </w:r>
      <w:r w:rsidR="00F67A25">
        <w:rPr>
          <w:rFonts w:ascii="Arial" w:eastAsia="Times New Roman" w:hAnsi="Arial" w:cs="Arial"/>
          <w:sz w:val="20"/>
          <w:szCs w:val="20"/>
        </w:rPr>
        <w:t xml:space="preserve">those </w:t>
      </w:r>
      <w:r w:rsidR="009F3BA1">
        <w:rPr>
          <w:rFonts w:ascii="Arial" w:eastAsia="Times New Roman" w:hAnsi="Arial" w:cs="Arial"/>
          <w:sz w:val="20"/>
          <w:szCs w:val="20"/>
        </w:rPr>
        <w:t xml:space="preserve">derived according to </w:t>
      </w:r>
      <w:r w:rsidR="009F3BA1">
        <w:rPr>
          <w:rFonts w:ascii="Arial" w:eastAsia="Times New Roman" w:hAnsi="Arial" w:cs="Arial"/>
          <w:sz w:val="20"/>
          <w:szCs w:val="20"/>
        </w:rPr>
        <w:fldChar w:fldCharType="begin" w:fldLock="1"/>
      </w:r>
      <w:r w:rsidR="00F67A25">
        <w:rPr>
          <w:rFonts w:ascii="Arial" w:eastAsia="Times New Roman" w:hAnsi="Arial" w:cs="Arial"/>
          <w:sz w:val="20"/>
          <w:szCs w:val="20"/>
        </w:rPr>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quadrats","type":"article-journal","volume":"11"},"uris":["http://www.mendeley.com/documents/?uuid=64c33ae6-5785-463b-be22-59ff4e4a9c5d"]}],"mendeley":{"formattedCitation":"(Warren-Wilson, 1963)","manualFormatting":"Warren-Wilson (1963)","plainTextFormattedCitation":"(Warren-Wilson, 1963)","previouslyFormattedCitation":"(Warren-Wilson, 1963)"},"properties":{"noteIndex":0},"schema":"https://github.com/citation-style-language/schema/raw/master/csl-citation.json"}</w:instrText>
      </w:r>
      <w:r w:rsidR="009F3BA1">
        <w:rPr>
          <w:rFonts w:ascii="Arial" w:eastAsia="Times New Roman" w:hAnsi="Arial" w:cs="Arial"/>
          <w:sz w:val="20"/>
          <w:szCs w:val="20"/>
        </w:rPr>
        <w:fldChar w:fldCharType="separate"/>
      </w:r>
      <w:r w:rsidR="009F3BA1" w:rsidRPr="009F3BA1">
        <w:rPr>
          <w:rFonts w:ascii="Arial" w:eastAsia="Times New Roman" w:hAnsi="Arial" w:cs="Arial"/>
          <w:noProof/>
          <w:sz w:val="20"/>
          <w:szCs w:val="20"/>
        </w:rPr>
        <w:t xml:space="preserve">Warren-Wilson </w:t>
      </w:r>
      <w:r w:rsidR="009F3BA1">
        <w:rPr>
          <w:rFonts w:ascii="Arial" w:eastAsia="Times New Roman" w:hAnsi="Arial" w:cs="Arial"/>
          <w:noProof/>
          <w:sz w:val="20"/>
          <w:szCs w:val="20"/>
        </w:rPr>
        <w:t>(</w:t>
      </w:r>
      <w:r w:rsidR="009F3BA1" w:rsidRPr="009F3BA1">
        <w:rPr>
          <w:rFonts w:ascii="Arial" w:eastAsia="Times New Roman" w:hAnsi="Arial" w:cs="Arial"/>
          <w:noProof/>
          <w:sz w:val="20"/>
          <w:szCs w:val="20"/>
        </w:rPr>
        <w:t>1963)</w:t>
      </w:r>
      <w:r w:rsidR="009F3BA1">
        <w:rPr>
          <w:rFonts w:ascii="Arial" w:eastAsia="Times New Roman" w:hAnsi="Arial" w:cs="Arial"/>
          <w:sz w:val="20"/>
          <w:szCs w:val="20"/>
        </w:rPr>
        <w:fldChar w:fldCharType="end"/>
      </w:r>
      <w:r w:rsidR="00F67A25">
        <w:rPr>
          <w:rFonts w:ascii="Arial" w:eastAsia="Times New Roman" w:hAnsi="Arial" w:cs="Arial"/>
          <w:sz w:val="20"/>
          <w:szCs w:val="20"/>
        </w:rPr>
        <w:t xml:space="preserve"> (i.e. making</w:t>
      </w:r>
      <w:r w:rsidR="009F3BA1">
        <w:rPr>
          <w:rFonts w:ascii="Arial" w:eastAsia="Times New Roman" w:hAnsi="Arial" w:cs="Arial"/>
          <w:sz w:val="20"/>
          <w:szCs w:val="20"/>
        </w:rPr>
        <w:t xml:space="preserve"> use of the gap fraction in the hinge region surrounding 57.5</w:t>
      </w:r>
      <w:bookmarkStart w:id="9" w:name="_Hlk27316275"/>
      <w:r w:rsidR="009F3BA1">
        <w:rPr>
          <w:rFonts w:ascii="Arial" w:eastAsia="Times New Roman" w:hAnsi="Arial" w:cs="Arial"/>
          <w:sz w:val="20"/>
          <w:szCs w:val="20"/>
        </w:rPr>
        <w:t>°</w:t>
      </w:r>
      <w:bookmarkEnd w:id="9"/>
      <w:r w:rsidR="009F3BA1">
        <w:rPr>
          <w:rFonts w:ascii="Arial" w:eastAsia="Times New Roman" w:hAnsi="Arial" w:cs="Arial"/>
          <w:sz w:val="20"/>
          <w:szCs w:val="20"/>
        </w:rPr>
        <w:t xml:space="preserve"> only</w:t>
      </w:r>
      <w:r w:rsidR="00F67A25">
        <w:rPr>
          <w:rFonts w:ascii="Arial" w:eastAsia="Times New Roman" w:hAnsi="Arial" w:cs="Arial"/>
          <w:sz w:val="20"/>
          <w:szCs w:val="20"/>
        </w:rPr>
        <w:t>)</w:t>
      </w:r>
      <w:r w:rsidR="009F3BA1">
        <w:rPr>
          <w:rFonts w:ascii="Arial" w:eastAsia="Times New Roman" w:hAnsi="Arial" w:cs="Arial"/>
          <w:sz w:val="20"/>
          <w:szCs w:val="20"/>
        </w:rPr>
        <w:t xml:space="preserve"> (Appendix A).  When model assumptions are met, the two </w:t>
      </w:r>
      <w:r w:rsidR="00F67A25">
        <w:rPr>
          <w:rFonts w:ascii="Arial" w:eastAsia="Times New Roman" w:hAnsi="Arial" w:cs="Arial"/>
          <w:sz w:val="20"/>
          <w:szCs w:val="20"/>
        </w:rPr>
        <w:t>estimates</w:t>
      </w:r>
      <w:r w:rsidR="009F3BA1">
        <w:rPr>
          <w:rFonts w:ascii="Arial" w:eastAsia="Times New Roman" w:hAnsi="Arial" w:cs="Arial"/>
          <w:sz w:val="20"/>
          <w:szCs w:val="20"/>
        </w:rPr>
        <w:t xml:space="preserve"> should demonstrate close agreement</w:t>
      </w:r>
      <w:r w:rsidR="00F67A25">
        <w:rPr>
          <w:rFonts w:ascii="Arial" w:eastAsia="Times New Roman" w:hAnsi="Arial" w:cs="Arial"/>
          <w:sz w:val="20"/>
          <w:szCs w:val="20"/>
        </w:rPr>
        <w:t xml:space="preserve"> </w:t>
      </w:r>
      <w:r w:rsidR="00F67A25">
        <w:rPr>
          <w:rFonts w:ascii="Arial" w:eastAsia="Times New Roman" w:hAnsi="Arial" w:cs="Arial"/>
          <w:sz w:val="20"/>
          <w:szCs w:val="20"/>
        </w:rPr>
        <w:fldChar w:fldCharType="begin" w:fldLock="1"/>
      </w:r>
      <w:r w:rsidR="00E52EC3">
        <w:rPr>
          <w:rFonts w:ascii="Arial" w:eastAsia="Times New Roman" w:hAnsi="Arial" w:cs="Arial"/>
          <w:sz w:val="20"/>
          <w:szCs w:val="20"/>
        </w:rPr>
        <w:instrText>ADDIN CSL_CITATION {"citationItems":[{"id":"ITEM-1","itemData":{"DOI":"10.1016/S0168-1923(01)00284-2","ISSN":"01681923","abstract":"Accurate and fast non-destructive measurements of leaf area index (LAI) of plant canopies are essential to environmental applications such as water and carbon cycle modelling. A commonly used technique to acquire LAI in situ is based on measurements of radiation transmittance through the canopy with optical instruments. The LAI-2000, that obtains measurements of effective LAI (Le: LAI retrieved assuming random foliage distribution) based on gap fraction at five view angles, is designed to work under diffuse light conditions. The LAI-2000 makes use of blue light to minimise the effect of light scattering in the canopy on LAI measurements. However, actual field LAI measurements are still routinely done under a range of illumination conditions, including direct sunlight. The LAI values measured under conditions of either partial or full direct light are generally smaller than the ones obtained under diffuse conditions. Although this error source is prevailing in many field LAI measurements, hitherto the problem has not been tackled rigorously. To better understand and improve the LAI-2000 measurements taken under non-ideal conditions, measurements were taken in two deciduous and two coniferous forest sites at different times of cloudless days to study how the scattering of the blue light by plant canopies affects LAI measurements. The sites are located in Larose forest near Ottawa, Canada. It is shown through these measurements and modelling with the canopy radiative transfer model Five-scale [Remote Sens. Rev. 19 (2000) 293-305] that the blue light scattering causes underestimation of effective LAI by up to 20% when measured under direct sunlight. A correction for the scattering effect, as a function of solar zenith angle and the effective LAI measured under the sunlit condition, is found through an empirical fit to the measured data in a limited range as well as model-simulated data in the full possible range possible. It is also found that the LAI-2000 fourth ring (47-58° from zenith) gives a more consistent correction than the other rings and that this ring used alone is also suitable for effective LAI retrieval under diffuse conditions. The correction scheme can reduce the error in effective LAI measurements to within 2%. It is therefore suggested that in field programs with logistic constraints, the LAI-2000 time of operation during sunny days can be extended beyond the diffuse illumination conditions near sunrise and sunset since the influence of th…","author":[{"dropping-particle":"","family":"Leblanc","given":"Sylvain G.","non-dropping-particle":"","parse-names":false,"suffix":""},{"dropping-particle":"","family":"Chen","given":"Jing M.","non-dropping-particle":"","parse-names":false,"suffix":""}],"container-title":"Agricultural and Forest Meteorology","id":"ITEM-1","issue":"2","issued":{"date-parts":[["2001","12"]]},"page":"125-139","title":"A practical scheme for correcting multiple scattering effects on optical LAI measurements","type":"article-journal","volume":"110"},"uris":["http://www.mendeley.com/documents/?uuid=592f102d-693e-4ee9-9ae8-bc9e062c7157"]},{"id":"ITEM-2","itemData":{"DOI":"10.1016/j.rse.2009.12.010","ISBN":"0034-4257","ISSN":"00344257","abstract":"Leaf area index (LAI) is a commonly required parameter when modelling land surface fluxes. Satellite based imagers, such as the 300 m full resolution (FR) Medium Spectral Resolution Imaging Spectrometer (MERIS), offer the potential for timely LAI mapping. The availability of multiple MERIS LAI algorithms prompts the need for an evaluation of their performance, especially over a range of land use conditions. Four current methods for deriving LAI from MERIS FR data were compared to estimates from in-situ measurements over a 3 km ?? 3 km region near Ottawa, Canada. The LAI of deciduous dominant forest stands and corn, soybean and pasture fields was measured in-situ using digital hemispherical photography and processed using the CANEYE software. MERIS LAI estimates were derived using the MERIS Top of Atmosphere (TOA) algorithm, MERIS Top of Canopy (TOC) algorithm, the Canada Centre for Remote Sensing (CCRS) Empirical algorithm and the University of Toronto (UofT) GLOBCARBON algorithm. Results show that TOA and TOC LAI estimates were nearly identical (R2 &gt; 0.98) with underestimation of LAI when it is larger than 4 and overestimation when smaller than 2 over the study region. The UofT and CCRS LAI estimates had root mean square errors over 1.4 units with large (??? 25%) relative residuals over forests and consistent underestimates over corn fields. Both algorithms were correlated (R2 &gt; 0.8) possibly due to their use of the same spectral bands derived vegetation index for retrieving LAI. LAI time series from TOA, TOC and CCRS algorithms showed smooth growth trajectories however similar errors were found when the values were compared with the in-situ LAI. In summary, none of the MERIS LAI algorithms currently meet performance requirements from the Global Climate Observing System. Crown Copyright ?? 2009.","author":[{"dropping-particle":"","family":"Canisius","given":"Francis","non-dropping-particle":"","parse-names":false,"suffix":""},{"dropping-particle":"","family":"Fernandes","given":"Richard","non-dropping-particle":"","parse-names":false,"suffix":""},{"dropping-particle":"","family":"Chen","given":"Jing","non-dropping-particle":"","parse-names":false,"suffix":""}],"container-title":"Remote Sensing of Environment","id":"ITEM-2","issue":"5","issued":{"date-parts":[["2010","5"]]},"page":"950-960","title":"Comparison and evaluation of Medium Resolution Imaging Spectrometer leaf area index products across a range of land use","type":"article-journal","volume":"114"},"uris":["http://www.mendeley.com/documents/?uuid=4bcfb2fd-7f64-49f7-b652-15d0665fa532"]}],"mendeley":{"formattedCitation":"(Canisius et al., 2010; Leblanc and Chen, 2001)","plainTextFormattedCitation":"(Canisius et al., 2010; Leblanc and Chen, 2001)","previouslyFormattedCitation":"(Canisius et al., 2010; Leblanc and Chen, 2001)"},"properties":{"noteIndex":0},"schema":"https://github.com/citation-style-language/schema/raw/master/csl-citation.json"}</w:instrText>
      </w:r>
      <w:r w:rsidR="00F67A25">
        <w:rPr>
          <w:rFonts w:ascii="Arial" w:eastAsia="Times New Roman" w:hAnsi="Arial" w:cs="Arial"/>
          <w:sz w:val="20"/>
          <w:szCs w:val="20"/>
        </w:rPr>
        <w:fldChar w:fldCharType="separate"/>
      </w:r>
      <w:r w:rsidR="00F67A25" w:rsidRPr="00F67A25">
        <w:rPr>
          <w:rFonts w:ascii="Arial" w:eastAsia="Times New Roman" w:hAnsi="Arial" w:cs="Arial"/>
          <w:noProof/>
          <w:sz w:val="20"/>
          <w:szCs w:val="20"/>
        </w:rPr>
        <w:t>(Canisius et al., 2010; Leblanc and Chen, 2001)</w:t>
      </w:r>
      <w:r w:rsidR="00F67A25">
        <w:rPr>
          <w:rFonts w:ascii="Arial" w:eastAsia="Times New Roman" w:hAnsi="Arial" w:cs="Arial"/>
          <w:sz w:val="20"/>
          <w:szCs w:val="20"/>
        </w:rPr>
        <w:fldChar w:fldCharType="end"/>
      </w:r>
      <w:r w:rsidR="00F67A25">
        <w:rPr>
          <w:rFonts w:ascii="Arial" w:eastAsia="Times New Roman" w:hAnsi="Arial" w:cs="Arial"/>
          <w:sz w:val="20"/>
          <w:szCs w:val="20"/>
        </w:rPr>
        <w:t>.</w:t>
      </w:r>
    </w:p>
    <w:bookmarkEnd w:id="8"/>
    <w:p w14:paraId="4BAC7F82" w14:textId="21D2EFCB" w:rsidR="00A369D8" w:rsidRPr="00A369D8" w:rsidRDefault="00A369D8" w:rsidP="00D97A10">
      <w:pPr>
        <w:spacing w:line="480" w:lineRule="auto"/>
        <w:jc w:val="both"/>
        <w:rPr>
          <w:rFonts w:ascii="Arial" w:eastAsia="Times New Roman" w:hAnsi="Arial" w:cs="Arial"/>
          <w:sz w:val="20"/>
          <w:szCs w:val="20"/>
        </w:rPr>
      </w:pPr>
      <w:r>
        <w:rPr>
          <w:rFonts w:ascii="Arial" w:eastAsia="Times New Roman" w:hAnsi="Arial" w:cs="Arial"/>
          <w:sz w:val="20"/>
          <w:szCs w:val="20"/>
        </w:rPr>
        <w:t xml:space="preserve">Agreement between screened and </w:t>
      </w:r>
      <w:r w:rsidR="00F67A25">
        <w:rPr>
          <w:rFonts w:ascii="Arial" w:eastAsia="Times New Roman" w:hAnsi="Arial" w:cs="Arial"/>
          <w:sz w:val="20"/>
          <w:szCs w:val="20"/>
        </w:rPr>
        <w:t xml:space="preserve">manually </w:t>
      </w:r>
      <w:r>
        <w:rPr>
          <w:rFonts w:ascii="Arial" w:eastAsia="Times New Roman" w:hAnsi="Arial" w:cs="Arial"/>
          <w:sz w:val="20"/>
          <w:szCs w:val="20"/>
        </w:rPr>
        <w:t>acquired observations was assessed using the coefficient of determination (</w:t>
      </w:r>
      <w:r>
        <w:rPr>
          <w:rFonts w:ascii="Arial" w:eastAsia="Times New Roman" w:hAnsi="Arial" w:cs="Arial"/>
          <w:i/>
          <w:sz w:val="20"/>
          <w:szCs w:val="20"/>
        </w:rPr>
        <w:t>r</w:t>
      </w:r>
      <w:r>
        <w:rPr>
          <w:rFonts w:ascii="Arial" w:eastAsia="Times New Roman" w:hAnsi="Arial" w:cs="Arial"/>
          <w:sz w:val="20"/>
          <w:szCs w:val="20"/>
          <w:vertAlign w:val="superscript"/>
        </w:rPr>
        <w:t>2</w:t>
      </w:r>
      <w:r>
        <w:rPr>
          <w:rFonts w:ascii="Arial" w:eastAsia="Times New Roman" w:hAnsi="Arial" w:cs="Arial"/>
          <w:sz w:val="20"/>
          <w:szCs w:val="20"/>
        </w:rPr>
        <w:t>) and root mean square error (RMSE).  A normalised RMSE (NRMSE) was calculated by dividing the RMSE by the mean of the optimally acquired observations, whilst bias and precision were quantified as the mean and standard deviation of differences, respectively.</w:t>
      </w:r>
    </w:p>
    <w:p w14:paraId="763EC0D0" w14:textId="630FA520" w:rsidR="005F3B8C" w:rsidRDefault="005F3B8C" w:rsidP="00D97A10">
      <w:pPr>
        <w:spacing w:line="480" w:lineRule="auto"/>
        <w:jc w:val="both"/>
        <w:rPr>
          <w:rFonts w:ascii="Arial" w:eastAsia="Times New Roman" w:hAnsi="Arial" w:cs="Arial"/>
          <w:i/>
          <w:iCs/>
          <w:sz w:val="20"/>
          <w:szCs w:val="20"/>
        </w:rPr>
      </w:pPr>
      <w:r>
        <w:rPr>
          <w:rFonts w:ascii="Arial" w:eastAsia="Times New Roman" w:hAnsi="Arial" w:cs="Arial"/>
          <w:i/>
          <w:iCs/>
          <w:sz w:val="20"/>
          <w:szCs w:val="20"/>
        </w:rPr>
        <w:t xml:space="preserve">2.5. </w:t>
      </w:r>
      <w:r w:rsidR="00022391">
        <w:rPr>
          <w:rFonts w:ascii="Arial" w:eastAsia="Times New Roman" w:hAnsi="Arial" w:cs="Arial"/>
          <w:i/>
          <w:iCs/>
          <w:sz w:val="20"/>
          <w:szCs w:val="20"/>
        </w:rPr>
        <w:t xml:space="preserve">Deriving phenological </w:t>
      </w:r>
      <w:r w:rsidR="00AC4BD0">
        <w:rPr>
          <w:rFonts w:ascii="Arial" w:eastAsia="Times New Roman" w:hAnsi="Arial" w:cs="Arial"/>
          <w:i/>
          <w:iCs/>
          <w:sz w:val="20"/>
          <w:szCs w:val="20"/>
        </w:rPr>
        <w:t xml:space="preserve">transition dates </w:t>
      </w:r>
      <w:r w:rsidR="00022391">
        <w:rPr>
          <w:rFonts w:ascii="Arial" w:eastAsia="Times New Roman" w:hAnsi="Arial" w:cs="Arial"/>
          <w:i/>
          <w:iCs/>
          <w:sz w:val="20"/>
          <w:szCs w:val="20"/>
        </w:rPr>
        <w:t>and evaluating their consistency</w:t>
      </w:r>
    </w:p>
    <w:p w14:paraId="0CA86919" w14:textId="29B0038D" w:rsidR="00DE152E" w:rsidRDefault="00DE152E" w:rsidP="00D97A10">
      <w:pPr>
        <w:spacing w:line="480" w:lineRule="auto"/>
        <w:jc w:val="both"/>
        <w:rPr>
          <w:rFonts w:ascii="Arial" w:eastAsia="Times New Roman" w:hAnsi="Arial" w:cs="Arial"/>
          <w:sz w:val="20"/>
          <w:szCs w:val="20"/>
        </w:rPr>
      </w:pPr>
      <w:r>
        <w:rPr>
          <w:rFonts w:ascii="Arial" w:eastAsia="Times New Roman" w:hAnsi="Arial" w:cs="Arial"/>
          <w:sz w:val="20"/>
          <w:szCs w:val="20"/>
        </w:rPr>
        <w:t xml:space="preserve">To derive phenological transition dates from the data provided by the digital time-lapse systems, double logistic functions were fit to the associated time-series of </w:t>
      </w:r>
      <w:r w:rsidR="003E3881">
        <w:rPr>
          <w:rFonts w:ascii="Arial" w:eastAsia="Times New Roman" w:hAnsi="Arial" w:cs="Arial"/>
          <w:sz w:val="20"/>
          <w:szCs w:val="20"/>
        </w:rPr>
        <w:t>LAI and the GCC</w:t>
      </w:r>
      <w:r>
        <w:rPr>
          <w:rFonts w:ascii="Arial" w:eastAsia="Times New Roman" w:hAnsi="Arial" w:cs="Arial"/>
          <w:sz w:val="20"/>
          <w:szCs w:val="20"/>
        </w:rPr>
        <w:t xml:space="preserve">.  </w:t>
      </w:r>
      <w:bookmarkStart w:id="10" w:name="_Hlk27315637"/>
      <w:r>
        <w:rPr>
          <w:rFonts w:ascii="Arial" w:eastAsia="Times New Roman" w:hAnsi="Arial" w:cs="Arial"/>
          <w:sz w:val="20"/>
          <w:szCs w:val="20"/>
        </w:rPr>
        <w:t>The double logistic function is widely used to represent forest phenology</w:t>
      </w:r>
      <w:r w:rsidR="007B3A55" w:rsidRPr="007B3A55">
        <w:rPr>
          <w:rFonts w:ascii="Arial" w:eastAsia="Times New Roman" w:hAnsi="Arial" w:cs="Arial"/>
          <w:sz w:val="20"/>
          <w:szCs w:val="20"/>
        </w:rPr>
        <w:t xml:space="preserve"> </w:t>
      </w:r>
      <w:r w:rsidR="007B3A55">
        <w:rPr>
          <w:rFonts w:ascii="Arial" w:eastAsia="Times New Roman" w:hAnsi="Arial" w:cs="Arial"/>
          <w:sz w:val="20"/>
          <w:szCs w:val="20"/>
        </w:rPr>
        <w:fldChar w:fldCharType="begin" w:fldLock="1"/>
      </w:r>
      <w:r w:rsidR="007B3A55">
        <w:rPr>
          <w:rFonts w:ascii="Arial" w:eastAsia="Times New Roman" w:hAnsi="Arial" w:cs="Arial"/>
          <w:sz w:val="20"/>
          <w:szCs w:val="20"/>
        </w:rPr>
        <w:instrText>ADDIN CSL_CITATION {"citationItems":[{"id":"ITEM-1","itemData":{"DOI":"10.1890/08-2022.1","ISBN":"1051-0761","ISSN":"1051-0761","PMID":"19769091","abstract":"There is a need to document how plant phenology is responding to global change factors, particularly warming trends. \"Near-surface\" remote sensing, using radiometric instruments or imaging sensors, has great potential to improve phenological monitoring because automated observations can be made at high temporal frequency. Here we build on previous work and show how inexpensive, networked digital cameras (\"webcams\") can be used to document spatial and temporal variation in the spring and autumn phenology of forest canopies. We use two years of imagery from a deciduous, northern hardwood site, and one year of imagery from a coniferous, boreal transition site. A quantitative signal is obtained by splitting images into separate red, green, and blue color channels and calculating the relative brightness of each channel for \"regions of interest\" within each image. We put the observed phenological signal in context by relating it to seasonal patterns of gross primary productivity, inferred from eddy covariance measurements of surface-atmosphere CO2 exchange. We show that spring increases, and autumn decreases, in canopy greenness can be detected in both deciduous and coniferous stands. In deciduous stands, an autumn red peak is also observed. The timing and rate of spring development and autumn senescence varies across the canopy, with greater variability in autumn than spring. Interannual variation in phenology can be detected both visually and quantitatively; delayed spring onset in 2007 compared to 2006 is related to a prolonged cold spell from day 85 to day 110. This work lays the foundation for regional-to continental-scale camera-based monitoring of phenology at network observatory sites, e. g., National Ecological Observatory Network (NEON) or AmeriFlux.","author":[{"dropping-particle":"","family":"Richardson","given":"Andrew D.","non-dropping-particle":"","parse-names":false,"suffix":""},{"dropping-particle":"","family":"Braswell","given":"Bobby H.","non-dropping-particle":"","parse-names":false,"suffix":""},{"dropping-particle":"","family":"Hollinger","given":"David Y.","non-dropping-particle":"","parse-names":false,"suffix":""},{"dropping-particle":"","family":"Jenkins","given":"Julian P.","non-dropping-particle":"","parse-names":false,"suffix":""},{"dropping-particle":"V.","family":"Ollinger","given":"Scott","non-dropping-particle":"","parse-names":false,"suffix":""}],"container-title":"Ecological Applications","id":"ITEM-1","issue":"6","issued":{"date-parts":[["2009","9"]]},"page":"1417-1428","title":"Near-surface remote sensing of spatial and temporal variation in canopy phenology","type":"article-journal","volume":"19"},"uris":["http://www.mendeley.com/documents/?uuid=67966d5f-a13e-359f-9124-560a40f628b3"]},{"id":"ITEM-2","itemData":{"DOI":"10.1016/j.rse.2005.10.021","ISBN":"00344257","ISSN":"00344257","PMID":"108","abstract":"Current models of vegetation dynamics using the normalized vegetation index (NDVI) time series perform poorly for high-latitude environments. This is due partly to specific attributes of these environments, such as short growing season, long periods of darkness in winter, persistence of snow cover, and dominance of evergreen species, but also to the design of the models. We present a new method for monitoring vegetation activity at high latitudes, using Moderate Resolution Imaging Spectroradiometer (MODIS) NDVI. It estimates the NDVI of the vegetation during winter and applies a double logistic function, which is uniquely defined by six parameters that describe the yearly NDVI time series. Using NDVI data from 2000 to 2004, we illustrate the performance of this method for an area in northern Scandinavia (35 ?? 162 km2, 68?? N 23?? E) and compare it to existing methods based on Fourier series and asymmetric Gaussian functions. The double logistic functions describe the NDVI data better than both the Fourier series and the asymmetric Gaussian functions, as quantified by the root mean square errors. Compared with the method based on Fourier series, the new method does not overestimate the duration of the growing season. In addition, it handles outliers effectively and estimates parameters that are related to phenological events, such as the timing of spring and autumn. This makes the method most suitable for both estimating biophysical parameters and monitoring vegetation phenology. ?? 2005 Elsevier Inc. All rights reserved.","author":[{"dropping-particle":"","family":"Beck","given":"Pieter S.A.","non-dropping-particle":"","parse-names":false,"suffix":""},{"dropping-particle":"","family":"Atzberger","given":"Clement","non-dropping-particle":"","parse-names":false,"suffix":""},{"dropping-particle":"","family":"Høgda","given":"Kjell Arild","non-dropping-particle":"","parse-names":false,"suffix":""},{"dropping-particle":"","family":"Johansen","given":"Bernt","non-dropping-particle":"","parse-names":false,"suffix":""},{"dropping-particle":"","family":"Skidmore","given":"Andrew K.","non-dropping-particle":"","parse-names":false,"suffix":""}],"container-title":"Remote Sensing of Environment","id":"ITEM-2","issue":"3","issued":{"date-parts":[["2006","2"]]},"page":"321-334","title":"Improved monitoring of vegetation dynamics at very high latitudes: A new method using MODIS NDVI","type":"article-journal","volume":"100"},"uris":["http://www.mendeley.com/documents/?uuid=6e707e75-3426-4fb8-9538-2e20b50346ad"]},{"id":"ITEM-3","itemData":{"DOI":"10.1016/j.rse.2012.04.001","ISBN":"0034-4257","ISSN":"00344257","PMID":"176","abstract":"Several models have been fitted in the past to smooth time-series vegetation index data from different satellite sensors to estimate vegetation phenological parameters. However, differences between the models and fine tuning of model parameters lead to potential differences, uncertainty and bias between the results amongst users. The current research assessed four techniques: Fourier analysis, asymmetric Gaussian model, double logistic model and the Whittaker filter for smoothing multi-temporal satellite sensor observations with the ultimate purpose of deriving an appropriate annual vegetation growth cycle and estimating phenological parameters reliably. The research used Level 3 Medium Resolution Imaging Spectrometer (MERIS, spatial resolution ~. 4.6. km) Terrestrial Chlorophyll Index (MTCI) data over the years 2004 to 2006 composited at eight day intervals covering the Indian sub-continent. First, the four models were fitted to representative sample time-series of the major vegetation types in India, and the quality of the fit was analysed. Second, the effect of noise on model fitting was analysed by adding Gaussian noise to a standard profile. Finally, the four models were fitted to the whole study area to characterise variation in the quality of model fitting as a function of single and double vegetation seasons. These smoothed data were used to estimate the onset of greenness (OG), a major phenological parameter. The models were evaluated using the root mean square error (RMSE), Akaike Information Criteria (AIC), and Bayesian Information Criteria (BIC). The first test (fitting to representative sample time series) revealed the consistently superior performance of the Whittaker and Fourier approaches in most cases. The second test (fitting after the addition of Gaussian noise) revealed the superior performance of the double logistic and Fourier approaches. Finally, when the approaches were applied to the whole study, thus, including vegetation with different phenological profiles and multiple growing seasons (third test), it was found that it was necessary to tune each of the models according to the number of annual growing seasons to produce reliable fits. The double logistic and asymmetric Gaussian models did not perform well for areas with more than one growing season per year. The mean absolute deviation in OG derived from these models was a maximum (3 to 4. weeks) within the dry deciduous vegetation type and minimum (1. week) in evergreen veget…","author":[{"dropping-particle":"","family":"Atkinson","given":"Peter M.","non-dropping-particle":"","parse-names":false,"suffix":""},{"dropping-particle":"","family":"Jeganathan","given":"C.","non-dropping-particle":"","parse-names":false,"suffix":""},{"dropping-particle":"","family":"Dash","given":"Jadu","non-dropping-particle":"","parse-names":false,"suffix":""},{"dropping-particle":"","family":"Atzberger","given":"Clement","non-dropping-particle":"","parse-names":false,"suffix":""}],"container-title":"Remote Sensing of Environment","id":"ITEM-3","issued":{"date-parts":[["2012","8"]]},"page":"400-417","title":"Inter-comparison of four models for smoothing satellite sensor time-series data to estimate vegetation phenology","type":"article-journal","volume":"123"},"uris":["http://www.mendeley.com/documents/?uuid=510969dd-e784-3a31-a281-ff7bbe1b97c3"]},{"id":"ITEM-4","itemData":{"DOI":"10.1016/S0034-4257(02)00135-9","ISBN":"0034-4257","ISSN":"00344257","abstract":"Accurate measurements of regional to global scale vegetation dynamics (phenology) are required to improve models and understanding of inter-annual variability in terrestrial ecosystem carbon exchange and climate-biosphere interactions. Since the mid-1980s, satellite data have been used to study these processes. In this paper, a new methodology to monitor global vegetation phenology from time series of satellite data is presented. The method uses series of piecewise logistic functions, which are fit to remotely sensed vegetation index (VI) data, to represent intra-annual vegetation dynamics. Using this approach, transition dates for vegetation activity within annual time series of VI data can be determined from satellite data. The method allows vegetation dynamics to be monitored at large scales in a fashion that it is ecologically meaningful and does not require pre-smoothing of data or the use of user-defined thresholds. Preliminary results based on an annual time series of Moderate Resolution Imaging Spectroradiometer (MODIS) data for the northeastern United States demonstrate that the method is able to monitor vegetation phenology with good success. ?? 2002 Elsevier Science Inc. All rights reserved.","author":[{"dropping-particle":"","family":"Zhang","given":"Xiaoyang","non-dropping-particle":"","parse-names":false,"suffix":""},{"dropping-particle":"","family":"Friedl","given":"Mark A.","non-dropping-particle":"","parse-names":false,"suffix":""},{"dropping-particle":"","family":"Schaaf","given":"Crystal B.","non-dropping-particle":"","parse-names":false,"suffix":""},{"dropping-particle":"","family":"Strahler","given":"Alan H.","non-dropping-particle":"","parse-names":false,"suffix":""},{"dropping-particle":"","family":"Hodges","given":"John C.F.","non-dropping-particle":"","parse-names":false,"suffix":""},{"dropping-particle":"","family":"Gao","given":"Feng","non-dropping-particle":"","parse-names":false,"suffix":""},{"dropping-particle":"","family":"Reed","given":"Bradley C.","non-dropping-particle":"","parse-names":false,"suffix":""},{"dropping-particle":"","family":"Huete","given":"Alfredo","non-dropping-particle":"","parse-names":false,"suffix":""}],"container-title":"Remote Sensing of Environment","id":"ITEM-4","issue":"3","issued":{"date-parts":[["2003","3"]]},"page":"471-475","title":"Monitoring vegetation phenology using MODIS","type":"article-journal","volume":"84"},"uris":["http://www.mendeley.com/documents/?uuid=d3d98aff-c572-4c43-bc33-4b2d7b10cd26"]}],"mendeley":{"formattedCitation":"(Atkinson et al., 2012; Beck et al., 2006; Richardson et al., 2009; Zhang et al., 2003)","plainTextFormattedCitation":"(Atkinson et al., 2012; Beck et al., 2006; Richardson et al., 2009; Zhang et al., 2003)","previouslyFormattedCitation":"(Atkinson et al., 2012; Beck et al., 2006; Richardson et al., 2009; Zhang et al., 2003)"},"properties":{"noteIndex":0},"schema":"https://github.com/citation-style-language/schema/raw/master/csl-citation.json"}</w:instrText>
      </w:r>
      <w:r w:rsidR="007B3A55">
        <w:rPr>
          <w:rFonts w:ascii="Arial" w:eastAsia="Times New Roman" w:hAnsi="Arial" w:cs="Arial"/>
          <w:sz w:val="20"/>
          <w:szCs w:val="20"/>
        </w:rPr>
        <w:fldChar w:fldCharType="separate"/>
      </w:r>
      <w:r w:rsidR="007B3A55" w:rsidRPr="007B3A55">
        <w:rPr>
          <w:rFonts w:ascii="Arial" w:eastAsia="Times New Roman" w:hAnsi="Arial" w:cs="Arial"/>
          <w:noProof/>
          <w:sz w:val="20"/>
          <w:szCs w:val="20"/>
        </w:rPr>
        <w:t>(Atkinson et al., 2012; Beck et al., 2006; Richardson et al., 2009; Zhang et al., 2003)</w:t>
      </w:r>
      <w:r w:rsidR="007B3A55">
        <w:rPr>
          <w:rFonts w:ascii="Arial" w:eastAsia="Times New Roman" w:hAnsi="Arial" w:cs="Arial"/>
          <w:sz w:val="20"/>
          <w:szCs w:val="20"/>
        </w:rPr>
        <w:fldChar w:fldCharType="end"/>
      </w:r>
      <w:bookmarkEnd w:id="10"/>
      <w:r>
        <w:rPr>
          <w:rFonts w:ascii="Arial" w:eastAsia="Times New Roman" w:hAnsi="Arial" w:cs="Arial"/>
          <w:sz w:val="20"/>
          <w:szCs w:val="20"/>
        </w:rPr>
        <w:t>, and takes the form</w:t>
      </w:r>
    </w:p>
    <w:p w14:paraId="006AB8FF" w14:textId="77777777" w:rsidR="00DE152E" w:rsidRDefault="00DE152E" w:rsidP="00DE152E">
      <w:pPr>
        <w:spacing w:line="480" w:lineRule="auto"/>
        <w:jc w:val="both"/>
        <w:rPr>
          <w:rFonts w:ascii="Arial" w:eastAsia="Times New Roman" w:hAnsi="Arial" w:cs="Arial"/>
          <w:sz w:val="20"/>
          <w:szCs w:val="20"/>
        </w:rPr>
      </w:pPr>
      <m:oMathPara>
        <m:oMath>
          <m:r>
            <w:rPr>
              <w:rFonts w:ascii="Cambria Math" w:eastAsia="Times New Roman" w:hAnsi="Cambria Math" w:cs="Times New Roman"/>
              <w:sz w:val="20"/>
              <w:szCs w:val="20"/>
            </w:rPr>
            <m:t>g</m:t>
          </m:r>
          <m:d>
            <m:dPr>
              <m:ctrlPr>
                <w:rPr>
                  <w:rFonts w:ascii="Cambria Math" w:eastAsia="Times New Roman" w:hAnsi="Cambria Math" w:cs="Times New Roman"/>
                  <w:i/>
                </w:rPr>
              </m:ctrlPr>
            </m:dPr>
            <m:e>
              <m:r>
                <w:rPr>
                  <w:rFonts w:ascii="Cambria Math" w:eastAsia="Times New Roman" w:hAnsi="Cambria Math" w:cs="Times New Roman"/>
                  <w:sz w:val="20"/>
                  <w:szCs w:val="20"/>
                </w:rPr>
                <m:t>x</m:t>
              </m:r>
            </m:e>
          </m:d>
          <m:r>
            <w:rPr>
              <w:rFonts w:ascii="Cambria Math" w:eastAsia="Times New Roman" w:hAnsi="Cambria Math" w:cs="Times New Roman"/>
              <w:sz w:val="20"/>
              <w:szCs w:val="20"/>
            </w:rPr>
            <m:t>=a+</m:t>
          </m:r>
          <m:f>
            <m:fPr>
              <m:ctrlPr>
                <w:rPr>
                  <w:rFonts w:ascii="Cambria Math" w:eastAsia="Times New Roman" w:hAnsi="Cambria Math" w:cs="Times New Roman"/>
                  <w:i/>
                </w:rPr>
              </m:ctrlPr>
            </m:fPr>
            <m:num>
              <m:r>
                <w:rPr>
                  <w:rFonts w:ascii="Cambria Math" w:eastAsia="Times New Roman" w:hAnsi="Cambria Math" w:cs="Times New Roman"/>
                  <w:sz w:val="20"/>
                  <w:szCs w:val="20"/>
                </w:rPr>
                <m:t>b</m:t>
              </m:r>
            </m:num>
            <m:den>
              <m:d>
                <m:dPr>
                  <m:begChr m:val="["/>
                  <m:endChr m:val="]"/>
                  <m:ctrlPr>
                    <w:rPr>
                      <w:rFonts w:ascii="Cambria Math" w:eastAsia="Times New Roman" w:hAnsi="Cambria Math" w:cs="Times New Roman"/>
                      <w:i/>
                    </w:rPr>
                  </m:ctrlPr>
                </m:dPr>
                <m:e>
                  <m:r>
                    <w:rPr>
                      <w:rFonts w:ascii="Cambria Math" w:eastAsia="Times New Roman" w:hAnsi="Cambria Math" w:cs="Times New Roman"/>
                      <w:sz w:val="20"/>
                      <w:szCs w:val="20"/>
                    </w:rPr>
                    <m:t>1+</m:t>
                  </m:r>
                  <m:func>
                    <m:funcPr>
                      <m:ctrlPr>
                        <w:rPr>
                          <w:rFonts w:ascii="Cambria Math" w:eastAsia="Times New Roman" w:hAnsi="Cambria Math" w:cs="Times New Roman"/>
                        </w:rPr>
                      </m:ctrlPr>
                    </m:funcPr>
                    <m:fName>
                      <m:r>
                        <m:rPr>
                          <m:sty m:val="p"/>
                        </m:rPr>
                        <w:rPr>
                          <w:rFonts w:ascii="Cambria Math" w:eastAsia="Times New Roman" w:hAnsi="Cambria Math" w:cs="Times New Roman"/>
                          <w:sz w:val="20"/>
                          <w:szCs w:val="20"/>
                        </w:rPr>
                        <m:t>exp</m:t>
                      </m:r>
                      <m:ctrlPr>
                        <w:rPr>
                          <w:rFonts w:ascii="Cambria Math" w:eastAsia="Times New Roman" w:hAnsi="Cambria Math" w:cs="Times New Roman"/>
                          <w:i/>
                        </w:rPr>
                      </m:ctrlPr>
                    </m:fName>
                    <m:e>
                      <m:d>
                        <m:dPr>
                          <m:ctrlPr>
                            <w:rPr>
                              <w:rFonts w:ascii="Cambria Math" w:eastAsia="Times New Roman" w:hAnsi="Cambria Math" w:cs="Times New Roman"/>
                              <w:i/>
                            </w:rPr>
                          </m:ctrlPr>
                        </m:dPr>
                        <m:e>
                          <m:r>
                            <w:rPr>
                              <w:rFonts w:ascii="Cambria Math" w:eastAsia="Times New Roman" w:hAnsi="Cambria Math" w:cs="Times New Roman"/>
                              <w:sz w:val="20"/>
                              <w:szCs w:val="20"/>
                            </w:rPr>
                            <m:t>c-dx</m:t>
                          </m:r>
                        </m:e>
                      </m:d>
                    </m:e>
                  </m:func>
                </m:e>
              </m:d>
              <m:r>
                <w:rPr>
                  <w:rFonts w:ascii="Cambria Math" w:eastAsia="Times New Roman" w:hAnsi="Cambria Math" w:cs="Times New Roman"/>
                  <w:sz w:val="20"/>
                  <w:szCs w:val="20"/>
                </w:rPr>
                <m:t xml:space="preserve"> </m:t>
              </m:r>
              <m:d>
                <m:dPr>
                  <m:begChr m:val="["/>
                  <m:endChr m:val="]"/>
                  <m:ctrlPr>
                    <w:rPr>
                      <w:rFonts w:ascii="Cambria Math" w:eastAsia="Times New Roman" w:hAnsi="Cambria Math" w:cs="Times New Roman"/>
                      <w:i/>
                    </w:rPr>
                  </m:ctrlPr>
                </m:dPr>
                <m:e>
                  <m:r>
                    <w:rPr>
                      <w:rFonts w:ascii="Cambria Math" w:eastAsia="Times New Roman" w:hAnsi="Cambria Math" w:cs="Times New Roman"/>
                      <w:sz w:val="20"/>
                      <w:szCs w:val="20"/>
                    </w:rPr>
                    <m:t>1+</m:t>
                  </m:r>
                  <m:func>
                    <m:funcPr>
                      <m:ctrlPr>
                        <w:rPr>
                          <w:rFonts w:ascii="Cambria Math" w:eastAsia="Times New Roman" w:hAnsi="Cambria Math" w:cs="Times New Roman"/>
                        </w:rPr>
                      </m:ctrlPr>
                    </m:funcPr>
                    <m:fName>
                      <m:r>
                        <m:rPr>
                          <m:sty m:val="p"/>
                        </m:rPr>
                        <w:rPr>
                          <w:rFonts w:ascii="Cambria Math" w:eastAsia="Times New Roman" w:hAnsi="Cambria Math" w:cs="Times New Roman"/>
                          <w:sz w:val="20"/>
                          <w:szCs w:val="20"/>
                        </w:rPr>
                        <m:t>exp</m:t>
                      </m:r>
                      <m:ctrlPr>
                        <w:rPr>
                          <w:rFonts w:ascii="Cambria Math" w:eastAsia="Times New Roman" w:hAnsi="Cambria Math" w:cs="Times New Roman"/>
                          <w:i/>
                        </w:rPr>
                      </m:ctrlPr>
                    </m:fName>
                    <m:e>
                      <m:d>
                        <m:dPr>
                          <m:ctrlPr>
                            <w:rPr>
                              <w:rFonts w:ascii="Cambria Math" w:eastAsia="Times New Roman" w:hAnsi="Cambria Math" w:cs="Times New Roman"/>
                              <w:i/>
                            </w:rPr>
                          </m:ctrlPr>
                        </m:dPr>
                        <m:e>
                          <m:r>
                            <w:rPr>
                              <w:rFonts w:ascii="Cambria Math" w:eastAsia="Times New Roman" w:hAnsi="Cambria Math" w:cs="Times New Roman"/>
                              <w:sz w:val="20"/>
                              <w:szCs w:val="20"/>
                            </w:rPr>
                            <m:t>e-fx</m:t>
                          </m:r>
                        </m:e>
                      </m:d>
                    </m:e>
                  </m:func>
                </m:e>
              </m:d>
            </m:den>
          </m:f>
        </m:oMath>
      </m:oMathPara>
    </w:p>
    <w:p w14:paraId="746D4853" w14:textId="5DF1CD61" w:rsidR="00F71355" w:rsidRDefault="00DE152E" w:rsidP="00D97A10">
      <w:pPr>
        <w:spacing w:line="480" w:lineRule="auto"/>
        <w:jc w:val="both"/>
        <w:rPr>
          <w:rFonts w:ascii="Arial" w:eastAsia="Times New Roman" w:hAnsi="Arial" w:cs="Arial"/>
          <w:sz w:val="20"/>
          <w:szCs w:val="20"/>
        </w:rPr>
      </w:pPr>
      <w:r>
        <w:rPr>
          <w:rFonts w:ascii="Arial" w:eastAsia="Times New Roman" w:hAnsi="Arial" w:cs="Arial"/>
          <w:sz w:val="20"/>
          <w:szCs w:val="20"/>
        </w:rPr>
        <w:t xml:space="preserve">where </w:t>
      </w:r>
      <m:oMath>
        <m:r>
          <w:rPr>
            <w:rFonts w:ascii="Cambria Math" w:eastAsia="Times New Roman" w:hAnsi="Cambria Math" w:cs="Arial"/>
            <w:sz w:val="20"/>
            <w:szCs w:val="20"/>
          </w:rPr>
          <m:t>g</m:t>
        </m:r>
        <m:d>
          <m:dPr>
            <m:ctrlPr>
              <w:rPr>
                <w:rFonts w:ascii="Cambria Math" w:eastAsia="Times New Roman" w:hAnsi="Cambria Math" w:cs="Arial"/>
                <w:i/>
              </w:rPr>
            </m:ctrlPr>
          </m:dPr>
          <m:e>
            <m:r>
              <w:rPr>
                <w:rFonts w:ascii="Cambria Math" w:eastAsia="Times New Roman" w:hAnsi="Cambria Math" w:cs="Arial"/>
                <w:sz w:val="20"/>
                <w:szCs w:val="20"/>
              </w:rPr>
              <m:t>x</m:t>
            </m:r>
          </m:e>
        </m:d>
      </m:oMath>
      <w:r>
        <w:rPr>
          <w:rFonts w:ascii="Arial" w:eastAsia="Times New Roman" w:hAnsi="Arial" w:cs="Arial"/>
          <w:sz w:val="20"/>
          <w:szCs w:val="20"/>
        </w:rPr>
        <w:t xml:space="preserve"> is the LAI</w:t>
      </w:r>
      <w:r w:rsidR="001C36D5">
        <w:rPr>
          <w:rFonts w:ascii="Arial" w:eastAsia="Times New Roman" w:hAnsi="Arial" w:cs="Arial"/>
          <w:sz w:val="20"/>
          <w:szCs w:val="20"/>
        </w:rPr>
        <w:t xml:space="preserve"> or GCC</w:t>
      </w:r>
      <w:r>
        <w:rPr>
          <w:rFonts w:ascii="Arial" w:eastAsia="Times New Roman" w:hAnsi="Arial" w:cs="Arial"/>
          <w:sz w:val="20"/>
          <w:szCs w:val="20"/>
        </w:rPr>
        <w:t xml:space="preserve"> value at a given </w:t>
      </w:r>
      <w:r w:rsidR="00B273FF">
        <w:rPr>
          <w:rFonts w:ascii="Arial" w:eastAsia="Times New Roman" w:hAnsi="Arial" w:cs="Arial"/>
          <w:sz w:val="20"/>
          <w:szCs w:val="20"/>
        </w:rPr>
        <w:t>date</w:t>
      </w:r>
      <w:r>
        <w:rPr>
          <w:rFonts w:ascii="Arial" w:eastAsia="Times New Roman" w:hAnsi="Arial" w:cs="Arial"/>
          <w:sz w:val="20"/>
          <w:szCs w:val="20"/>
        </w:rPr>
        <w:t xml:space="preserve">, </w:t>
      </w:r>
      <m:oMath>
        <m:r>
          <w:rPr>
            <w:rFonts w:ascii="Cambria Math" w:eastAsia="Times New Roman" w:hAnsi="Cambria Math" w:cs="Arial"/>
            <w:sz w:val="20"/>
            <w:szCs w:val="20"/>
          </w:rPr>
          <m:t>a</m:t>
        </m:r>
      </m:oMath>
      <w:r>
        <w:rPr>
          <w:rFonts w:ascii="Arial" w:eastAsia="Times New Roman" w:hAnsi="Arial" w:cs="Arial"/>
          <w:sz w:val="20"/>
          <w:szCs w:val="20"/>
        </w:rPr>
        <w:t xml:space="preserve"> is the base level, </w:t>
      </w:r>
      <m:oMath>
        <m:r>
          <w:rPr>
            <w:rFonts w:ascii="Cambria Math" w:eastAsia="Times New Roman" w:hAnsi="Cambria Math" w:cs="Arial"/>
            <w:sz w:val="20"/>
            <w:szCs w:val="20"/>
          </w:rPr>
          <m:t>b</m:t>
        </m:r>
      </m:oMath>
      <w:r>
        <w:rPr>
          <w:rFonts w:ascii="Arial" w:eastAsia="Times New Roman" w:hAnsi="Arial" w:cs="Arial"/>
          <w:sz w:val="20"/>
          <w:szCs w:val="20"/>
        </w:rPr>
        <w:t xml:space="preserve"> is the seasonal amplitude, </w:t>
      </w:r>
      <m:oMath>
        <m:r>
          <w:rPr>
            <w:rFonts w:ascii="Cambria Math" w:eastAsia="Times New Roman" w:hAnsi="Cambria Math" w:cs="Arial"/>
            <w:sz w:val="20"/>
            <w:szCs w:val="20"/>
          </w:rPr>
          <m:t>c</m:t>
        </m:r>
      </m:oMath>
      <w:r>
        <w:rPr>
          <w:rFonts w:ascii="Arial" w:eastAsia="Times New Roman" w:hAnsi="Arial" w:cs="Arial"/>
          <w:sz w:val="20"/>
          <w:szCs w:val="20"/>
        </w:rPr>
        <w:t xml:space="preserve"> and </w:t>
      </w:r>
      <m:oMath>
        <m:r>
          <w:rPr>
            <w:rFonts w:ascii="Cambria Math" w:eastAsia="Times New Roman" w:hAnsi="Cambria Math" w:cs="Arial"/>
            <w:sz w:val="20"/>
            <w:szCs w:val="20"/>
          </w:rPr>
          <m:t>d</m:t>
        </m:r>
      </m:oMath>
      <w:r>
        <w:rPr>
          <w:rFonts w:ascii="Arial" w:eastAsia="Times New Roman" w:hAnsi="Arial" w:cs="Arial"/>
          <w:sz w:val="20"/>
          <w:szCs w:val="20"/>
        </w:rPr>
        <w:t xml:space="preserve"> control the timing and rate of the start of season, and </w:t>
      </w:r>
      <m:oMath>
        <m:r>
          <w:rPr>
            <w:rFonts w:ascii="Cambria Math" w:eastAsia="Times New Roman" w:hAnsi="Cambria Math" w:cs="Arial"/>
            <w:sz w:val="20"/>
            <w:szCs w:val="20"/>
          </w:rPr>
          <m:t>e</m:t>
        </m:r>
      </m:oMath>
      <w:r>
        <w:rPr>
          <w:rFonts w:ascii="Arial" w:eastAsia="Times New Roman" w:hAnsi="Arial" w:cs="Arial"/>
          <w:sz w:val="20"/>
          <w:szCs w:val="20"/>
        </w:rPr>
        <w:t xml:space="preserve"> and </w:t>
      </w:r>
      <m:oMath>
        <m:r>
          <w:rPr>
            <w:rFonts w:ascii="Cambria Math" w:eastAsia="Times New Roman" w:hAnsi="Cambria Math" w:cs="Arial"/>
            <w:sz w:val="20"/>
            <w:szCs w:val="20"/>
          </w:rPr>
          <m:t>f</m:t>
        </m:r>
      </m:oMath>
      <w:r>
        <w:rPr>
          <w:rFonts w:ascii="Arial" w:eastAsia="Times New Roman" w:hAnsi="Arial" w:cs="Arial"/>
          <w:sz w:val="20"/>
          <w:szCs w:val="20"/>
        </w:rPr>
        <w:t xml:space="preserve"> control the timing and rate of the end of season.</w:t>
      </w:r>
      <w:r w:rsidR="004D01B1">
        <w:rPr>
          <w:rFonts w:ascii="Arial" w:eastAsia="Times New Roman" w:hAnsi="Arial" w:cs="Arial"/>
          <w:sz w:val="20"/>
          <w:szCs w:val="20"/>
        </w:rPr>
        <w:t xml:space="preserve">  </w:t>
      </w:r>
      <w:r w:rsidR="00B07266">
        <w:rPr>
          <w:rFonts w:ascii="Arial" w:eastAsia="Times New Roman" w:hAnsi="Arial" w:cs="Arial"/>
          <w:sz w:val="20"/>
          <w:szCs w:val="20"/>
        </w:rPr>
        <w:t>Once fit, t</w:t>
      </w:r>
      <w:r>
        <w:rPr>
          <w:rFonts w:ascii="Arial" w:eastAsia="Times New Roman" w:hAnsi="Arial" w:cs="Arial"/>
          <w:sz w:val="20"/>
          <w:szCs w:val="20"/>
        </w:rPr>
        <w:t xml:space="preserve">he onset of greenness was determined as the </w:t>
      </w:r>
      <w:r w:rsidR="009D46DE">
        <w:rPr>
          <w:rFonts w:ascii="Arial" w:eastAsia="Times New Roman" w:hAnsi="Arial" w:cs="Arial"/>
          <w:sz w:val="20"/>
          <w:szCs w:val="20"/>
        </w:rPr>
        <w:t xml:space="preserve">date </w:t>
      </w:r>
      <w:r>
        <w:rPr>
          <w:rFonts w:ascii="Arial" w:eastAsia="Times New Roman" w:hAnsi="Arial" w:cs="Arial"/>
          <w:sz w:val="20"/>
          <w:szCs w:val="20"/>
        </w:rPr>
        <w:t xml:space="preserve">at which the ascending </w:t>
      </w:r>
      <w:r>
        <w:rPr>
          <w:rFonts w:ascii="Arial" w:eastAsia="Times New Roman" w:hAnsi="Arial" w:cs="Arial"/>
          <w:sz w:val="20"/>
          <w:szCs w:val="20"/>
        </w:rPr>
        <w:lastRenderedPageBreak/>
        <w:t xml:space="preserve">limb reached </w:t>
      </w:r>
      <w:r w:rsidR="0043006B">
        <w:rPr>
          <w:rFonts w:ascii="Arial" w:eastAsia="Times New Roman" w:hAnsi="Arial" w:cs="Arial"/>
          <w:sz w:val="20"/>
          <w:szCs w:val="20"/>
        </w:rPr>
        <w:t>5</w:t>
      </w:r>
      <w:r w:rsidR="004D01B1">
        <w:rPr>
          <w:rFonts w:ascii="Arial" w:eastAsia="Times New Roman" w:hAnsi="Arial" w:cs="Arial"/>
          <w:sz w:val="20"/>
          <w:szCs w:val="20"/>
        </w:rPr>
        <w:t>0</w:t>
      </w:r>
      <w:r>
        <w:rPr>
          <w:rFonts w:ascii="Arial" w:eastAsia="Times New Roman" w:hAnsi="Arial" w:cs="Arial"/>
          <w:sz w:val="20"/>
          <w:szCs w:val="20"/>
        </w:rPr>
        <w:t xml:space="preserve">% of </w:t>
      </w:r>
      <w:r w:rsidR="009D46DE">
        <w:rPr>
          <w:rFonts w:ascii="Arial" w:eastAsia="Times New Roman" w:hAnsi="Arial" w:cs="Arial"/>
          <w:sz w:val="20"/>
          <w:szCs w:val="20"/>
        </w:rPr>
        <w:t xml:space="preserve">the </w:t>
      </w:r>
      <w:r>
        <w:rPr>
          <w:rFonts w:ascii="Arial" w:eastAsia="Times New Roman" w:hAnsi="Arial" w:cs="Arial"/>
          <w:sz w:val="20"/>
          <w:szCs w:val="20"/>
        </w:rPr>
        <w:t>seasonal amplitude</w:t>
      </w:r>
      <w:r w:rsidR="004D01B1">
        <w:rPr>
          <w:rFonts w:ascii="Arial" w:eastAsia="Times New Roman" w:hAnsi="Arial" w:cs="Arial"/>
          <w:sz w:val="20"/>
          <w:szCs w:val="20"/>
        </w:rPr>
        <w:t>, whilst</w:t>
      </w:r>
      <w:r w:rsidR="007B41A4">
        <w:rPr>
          <w:rFonts w:ascii="Arial" w:eastAsia="Times New Roman" w:hAnsi="Arial" w:cs="Arial"/>
          <w:sz w:val="20"/>
          <w:szCs w:val="20"/>
        </w:rPr>
        <w:t xml:space="preserve"> </w:t>
      </w:r>
      <w:r w:rsidR="004D01B1">
        <w:rPr>
          <w:rFonts w:ascii="Arial" w:eastAsia="Times New Roman" w:hAnsi="Arial" w:cs="Arial"/>
          <w:sz w:val="20"/>
          <w:szCs w:val="20"/>
        </w:rPr>
        <w:t>t</w:t>
      </w:r>
      <w:r w:rsidR="009D46DE">
        <w:rPr>
          <w:rFonts w:ascii="Arial" w:eastAsia="Times New Roman" w:hAnsi="Arial" w:cs="Arial"/>
          <w:sz w:val="20"/>
          <w:szCs w:val="20"/>
        </w:rPr>
        <w:t xml:space="preserve">he onset of senescence was determined </w:t>
      </w:r>
      <w:r w:rsidR="004D01B1">
        <w:rPr>
          <w:rFonts w:ascii="Arial" w:eastAsia="Times New Roman" w:hAnsi="Arial" w:cs="Arial"/>
          <w:sz w:val="20"/>
          <w:szCs w:val="20"/>
        </w:rPr>
        <w:t>when</w:t>
      </w:r>
      <w:r w:rsidR="009D46DE">
        <w:rPr>
          <w:rFonts w:ascii="Arial" w:eastAsia="Times New Roman" w:hAnsi="Arial" w:cs="Arial"/>
          <w:sz w:val="20"/>
          <w:szCs w:val="20"/>
        </w:rPr>
        <w:t xml:space="preserve"> the descending limb</w:t>
      </w:r>
      <w:r w:rsidR="004D01B1">
        <w:rPr>
          <w:rFonts w:ascii="Arial" w:eastAsia="Times New Roman" w:hAnsi="Arial" w:cs="Arial"/>
          <w:sz w:val="20"/>
          <w:szCs w:val="20"/>
        </w:rPr>
        <w:t xml:space="preserve"> reached </w:t>
      </w:r>
      <w:r w:rsidR="0043006B">
        <w:rPr>
          <w:rFonts w:ascii="Arial" w:eastAsia="Times New Roman" w:hAnsi="Arial" w:cs="Arial"/>
          <w:sz w:val="20"/>
          <w:szCs w:val="20"/>
        </w:rPr>
        <w:t>5</w:t>
      </w:r>
      <w:r w:rsidR="004D01B1">
        <w:rPr>
          <w:rFonts w:ascii="Arial" w:eastAsia="Times New Roman" w:hAnsi="Arial" w:cs="Arial"/>
          <w:sz w:val="20"/>
          <w:szCs w:val="20"/>
        </w:rPr>
        <w:t>0% of the seasonal amplitude</w:t>
      </w:r>
      <w:r w:rsidR="00887D68">
        <w:rPr>
          <w:rFonts w:ascii="Arial" w:eastAsia="Times New Roman" w:hAnsi="Arial" w:cs="Arial"/>
          <w:sz w:val="20"/>
          <w:szCs w:val="20"/>
        </w:rPr>
        <w:t xml:space="preserve"> </w:t>
      </w:r>
      <w:r w:rsidR="00887D68">
        <w:rPr>
          <w:rFonts w:ascii="Arial" w:eastAsia="Times New Roman" w:hAnsi="Arial" w:cs="Arial"/>
          <w:sz w:val="20"/>
          <w:szCs w:val="20"/>
        </w:rPr>
        <w:fldChar w:fldCharType="begin" w:fldLock="1"/>
      </w:r>
      <w:r w:rsidR="00887D68">
        <w:rPr>
          <w:rFonts w:ascii="Arial" w:eastAsia="Times New Roman" w:hAnsi="Arial" w:cs="Arial"/>
          <w:sz w:val="20"/>
          <w:szCs w:val="20"/>
        </w:rPr>
        <w:instrText>ADDIN CSL_CITATION {"citationItems":[{"id":"ITEM-1","itemData":{"DOI":"10.1016/j.rse.2016.09.014","ISSN":"00344257","abstract":"Forests play important roles in the Earth's climate system and global carbon cycle. Therefore, a critical need exists to improve our understanding of how the growing seasons of forests are changing, and by extension, how the composition and function of forests will respond to future climate change. Coarse spatial resolution satellite remote sensing has been widely used to monitor and map the phenology of terrestrial ecosystems at regional to global scales, and despite widespread agreement that the growing season of Northern Hemisphere forests is changing, the spatial resolution of these data sources imposes significant limitations on the character and quality of inferences that can be drawn from them. In particular, the spatial resolution afforded by instruments such as MODIS does not resolve ecologically important landscape-scale patterns in phenology. With this issue in mind, here we evaluate the ability of a newly developed Landsat phenology algorithm (LPA) to reconstruct a 32-year time series for the start and end of the growing season in North American temperate and boreal forests. We focus on 13 “sidelap” regions located between overlapping Landsat scenes that span a large geographic range of temperate and boreal forests, and evaluate the quality and character of LPA-derived start and end of growing season (SOS and EOS) dates using several independent data sources. On average, SOS and EOS dates were detected for about two-thirds of the 32 years included in our analysis, with the remaining one-third missing due to cloud cover. Moreover, there was generally better agreement between ground observations and LPA-derived estimates of SOS dates than for EOS across the 13 sites included in our study. Our results demonstrate that, despite the presence of time series gaps, LPA provides a robust basis for retrospective analysis of long-term changes in spring and autumn deciduous forest phenology over the last three decades. Finally, our results support the potential for monitoring land surface phenology at 30 m spatial resolution in near real-time by combining time series from multiple sensors such as the Landsat Operational Land Imager and the Sentinel 2 MultiSpectral Instrument.","author":[{"dropping-particle":"","family":"Melaas","given":"Eli K.","non-dropping-particle":"","parse-names":false,"suffix":""},{"dropping-particle":"","family":"Sulla-Menashe","given":"Damien","non-dropping-particle":"","parse-names":false,"suffix":""},{"dropping-particle":"","family":"Gray","given":"Josh M.","non-dropping-particle":"","parse-names":false,"suffix":""},{"dropping-particle":"","family":"Black","given":"T. Andrew","non-dropping-particle":"","parse-names":false,"suffix":""},{"dropping-particle":"","family":"Morin","given":"Timothy H.","non-dropping-particle":"","parse-names":false,"suffix":""},{"dropping-particle":"","family":"Richardson","given":"Andrew D.","non-dropping-particle":"","parse-names":false,"suffix":""},{"dropping-particle":"","family":"Friedl","given":"Mark A.","non-dropping-particle":"","parse-names":false,"suffix":""}],"container-title":"Remote Sensing of Environment","id":"ITEM-1","issued":{"date-parts":[["2016","12"]]},"page":"452-464","title":"Multisite analysis of land surface phenology in North American temperate and boreal deciduous forests from Landsat","type":"article-journal","volume":"186"},"uris":["http://www.mendeley.com/documents/?uuid=1d697753-3454-4931-a40a-a05e58b7f758"]},{"id":"ITEM-2","itemData":{"DOI":"10.1016/j.rse.2016.02.018","ISBN":"00344257","ISSN":"00344257","abstract":"Information on the spatial and temporal patterns of plant phenology is important to develop a more comprehensive understanding of food availability and habitat for many animal species. The combination of broad scale, regional climatic, and more localized, site-level drivers presents a challenge when upscaling phenology from the plot to the region. Likewise, developing relationships between ground- or camera-based estimates and satellite imagery remains difficult due to the trade-off between temporal and spatial resolution. Landsat imagery, with its 16 day temporal resolution, is often thought of as being insufficient for timely observation of changes in vegetation throughout the year. However the free availability of the Landsat archive has enabled a major shift in the way Landsat imagery is processed moving towards pixel, rather than scene, based analyses. In this paper we build on previous research by examining the applicability and accuracy of Landsat derived phenology curves beyond deciduous stands into more mixed stands and conifer dominated forest types in the Rocky Mountains and foothills in Alberta, Canada. In addition, we discuss the application of these Landsat phenology curves to phenology of understorey species which are linked to habitat selection for free roaming wildlife, in particular grizzly bears. The agreement between Landsat- and camera-derived estimates of key phenological events was stronger for green-up (RMSE = 7 days) than for senescence (RMSE = 14 days). Our results show that yearly adjustment of green-up and senescence dates using available Landsat observations improved the agreement with camera-derived estimates when compared to average annual curves. Seasonal phenology transition dates accepted as valid ranged from 25% for alpine herbaceous pixels to 75% for closed deciduous, demonstrating the variable success of this approach across land cover types. Season transition dates were rejected if pixels lacked a strong enough green-up signal in Landsat spectral indices or if the estimated dates fell outside of the valid range. We conclude by investigating the spatial patterns of seasonal phenology at the Landsat scale, and assess the relative importance of regional vs. microsite conditions as well as the utility of these data for resource and wildlife management.","author":[{"dropping-particle":"","family":"Nijland","given":"W.","non-dropping-particle":"","parse-names":false,"suffix":""},{"dropping-particle":"","family":"Bolton","given":"D.K.","non-dropping-particle":"","parse-names":false,"suffix":""},{"dropping-particle":"","family":"Coops","given":"N.C.","non-dropping-particle":"","parse-names":false,"suffix":""},{"dropping-particle":"","family":"Stenhouse","given":"G.","non-dropping-particle":"","parse-names":false,"suffix":""}],"container-title":"Remote Sensing of Environment","id":"ITEM-2","issued":{"date-parts":[["2016","5"]]},"page":"13-20","title":"Imaging phenology; scaling from camera plots to landscapes","type":"article-journal","volume":"177"},"uris":["http://www.mendeley.com/documents/?uuid=469e27d7-6efa-483d-ae7e-de1cbd0f263b"]},{"id":"ITEM-3","itemData":{"DOI":"10.1007/s10661-010-1768-x","ISBN":"0167-6369","ISSN":"0167-6369","PMID":"21082343","abstract":"Critical to habitat management is the understanding of not only the location of animal food resources, but also the timing of their availability. Grizzly bear (Ursus arctos) diets, for example, shift seasonally as different vegetation species enter key phenological phases. In this paper, we describe the use of a network of seven ground-based digital camera systems to monitor understorey and overstorey vegetation within species-specific regions of interest. Established across an elevation gradient in western Alberta, Canada, the cameras collected true-colour (RGB) images daily from 13 April 2009 to 27 October 2009. Fourth-order polynomials were fit to an RGB-derived index, which was then compared to field-based observations of phenological phases. Using linear regression to statistically relate the camera and field data, results indicated that 61% (r (2) = 0.61, df = 1, F = 14.3, p = 0.0043) of the variance observed in the field phenological phase data is captured by the cameras for the start of the growing season and 72% (r (2) = 0.72, df = 1, F = 23.09, p = 0.0009) of the variance in length of growing season. Based on the linear regression models, the mean absolute differences in residuals between predicted and observed start of growing season and length of growing season were 4 and 6 days, respectively. This work extends upon previous research by demonstrating that specific understorey and overstorey species can be targeted for phenological monitoring in a forested environment, using readily available digital camera technology and RGB-based vegetation indices.","author":[{"dropping-particle":"","family":"Bater","given":"Christopher W.","non-dropping-particle":"","parse-names":false,"suffix":""},{"dropping-particle":"","family":"Coops","given":"Nicholas C.","non-dropping-particle":"","parse-names":false,"suffix":""},{"dropping-particle":"","family":"Wulder","given":"Michael A.","non-dropping-particle":"","parse-names":false,"suffix":""},{"dropping-particle":"","family":"Hilker","given":"Thomas","non-dropping-particle":"","parse-names":false,"suffix":""},{"dropping-particle":"","family":"Nielsen","given":"Scott E.","non-dropping-particle":"","parse-names":false,"suffix":""},{"dropping-particle":"","family":"McDermid","given":"Greg","non-dropping-particle":"","parse-names":false,"suffix":""},{"dropping-particle":"","family":"Stenhouse","given":"Gordon B.","non-dropping-particle":"","parse-names":false,"suffix":""}],"container-title":"Environmental Monitoring and Assessment","id":"ITEM-3","issue":"1-4","issued":{"date-parts":[["2011","9","18"]]},"page":"1-13","title":"Using digital time-lapse cameras to monitor species-specific understorey and overstorey phenology in support of wildlife habitat assessment","type":"article-journal","volume":"180"},"uris":["http://www.mendeley.com/documents/?uuid=f0cfa13e-edb9-4889-95b9-25e4e0377c2b"]},{"id":"ITEM-4","itemData":{"DOI":"10.1080/01431161.2010.550330","ISSN":"2150-704X","author":[{"dropping-particle":"","family":"Coops","given":"Nicholas C.","non-dropping-particle":"","parse-names":false,"suffix":""},{"dropping-particle":"","family":"Hilker","given":"Thomas","non-dropping-particle":"","parse-names":false,"suffix":""},{"dropping-particle":"","family":"Bater","given":"Christopher W.","non-dropping-particle":"","parse-names":false,"suffix":""},{"dropping-particle":"","family":"Wulder","given":"Michael A.","non-dropping-particle":"","parse-names":false,"suffix":""},{"dropping-particle":"","family":"Nielsen","given":"Scott E.","non-dropping-particle":"","parse-names":false,"suffix":""},{"dropping-particle":"","family":"McDermid","given":"Greg","non-dropping-particle":"","parse-names":false,"suffix":""},{"dropping-particle":"","family":"Stenhouse","given":"Gordon","non-dropping-particle":"","parse-names":false,"suffix":""}],"container-title":"Remote Sensing Letters","id":"ITEM-4","issue":"3","issued":{"date-parts":[["2012","5"]]},"page":"191-200","title":"Linking ground-based to satellite-derived phenological metrics in support of habitat assessment","type":"article-journal","volume":"3"},"uris":["http://www.mendeley.com/documents/?uuid=6f97540d-5afa-40b4-978c-c46aab732f8f"]}],"mendeley":{"formattedCitation":"(Bater et al., 2011; Coops et al., 2012; Melaas et al., 2016; Nijland et al., 2016)","plainTextFormattedCitation":"(Bater et al., 2011; Coops et al., 2012; Melaas et al., 2016; Nijland et al., 2016)","previouslyFormattedCitation":"(Bater et al., 2011; Coops et al., 2012; Melaas et al., 2016; Nijland et al., 2016)"},"properties":{"noteIndex":0},"schema":"https://github.com/citation-style-language/schema/raw/master/csl-citation.json"}</w:instrText>
      </w:r>
      <w:r w:rsidR="00887D68">
        <w:rPr>
          <w:rFonts w:ascii="Arial" w:eastAsia="Times New Roman" w:hAnsi="Arial" w:cs="Arial"/>
          <w:sz w:val="20"/>
          <w:szCs w:val="20"/>
        </w:rPr>
        <w:fldChar w:fldCharType="separate"/>
      </w:r>
      <w:r w:rsidR="00887D68" w:rsidRPr="00887D68">
        <w:rPr>
          <w:rFonts w:ascii="Arial" w:eastAsia="Times New Roman" w:hAnsi="Arial" w:cs="Arial"/>
          <w:noProof/>
          <w:sz w:val="20"/>
          <w:szCs w:val="20"/>
        </w:rPr>
        <w:t>(Bater et al., 2011; Coops et al., 2012; Melaas et al., 2016; Nijland et al., 2016)</w:t>
      </w:r>
      <w:r w:rsidR="00887D68">
        <w:rPr>
          <w:rFonts w:ascii="Arial" w:eastAsia="Times New Roman" w:hAnsi="Arial" w:cs="Arial"/>
          <w:sz w:val="20"/>
          <w:szCs w:val="20"/>
        </w:rPr>
        <w:fldChar w:fldCharType="end"/>
      </w:r>
      <w:r w:rsidR="004D01B1">
        <w:rPr>
          <w:rFonts w:ascii="Arial" w:eastAsia="Times New Roman" w:hAnsi="Arial" w:cs="Arial"/>
          <w:sz w:val="20"/>
          <w:szCs w:val="20"/>
        </w:rPr>
        <w:t>.  To account for the fact that</w:t>
      </w:r>
      <w:r w:rsidR="00E900A3">
        <w:rPr>
          <w:rFonts w:ascii="Arial" w:eastAsia="Times New Roman" w:hAnsi="Arial" w:cs="Arial"/>
          <w:sz w:val="20"/>
          <w:szCs w:val="20"/>
        </w:rPr>
        <w:t xml:space="preserve"> annual</w:t>
      </w:r>
      <w:r w:rsidR="004D01B1">
        <w:rPr>
          <w:rFonts w:ascii="Arial" w:eastAsia="Times New Roman" w:hAnsi="Arial" w:cs="Arial"/>
          <w:sz w:val="20"/>
          <w:szCs w:val="20"/>
        </w:rPr>
        <w:t xml:space="preserve"> time-series of </w:t>
      </w:r>
      <w:r w:rsidR="008D698F">
        <w:rPr>
          <w:rFonts w:ascii="Arial" w:eastAsia="Times New Roman" w:hAnsi="Arial" w:cs="Arial"/>
          <w:sz w:val="20"/>
          <w:szCs w:val="20"/>
        </w:rPr>
        <w:t>colour indices</w:t>
      </w:r>
      <w:r w:rsidR="004D01B1">
        <w:rPr>
          <w:rFonts w:ascii="Arial" w:eastAsia="Times New Roman" w:hAnsi="Arial" w:cs="Arial"/>
          <w:sz w:val="20"/>
          <w:szCs w:val="20"/>
        </w:rPr>
        <w:t xml:space="preserve"> often demonstrate asymmetry, </w:t>
      </w:r>
      <w:r w:rsidR="0097010B">
        <w:rPr>
          <w:rFonts w:ascii="Arial" w:eastAsia="Times New Roman" w:hAnsi="Arial" w:cs="Arial"/>
          <w:sz w:val="20"/>
          <w:szCs w:val="20"/>
        </w:rPr>
        <w:t xml:space="preserve">transition dates were also calculated using the </w:t>
      </w:r>
      <w:r w:rsidR="004D01B1">
        <w:rPr>
          <w:rFonts w:ascii="Arial" w:eastAsia="Times New Roman" w:hAnsi="Arial" w:cs="Arial"/>
          <w:sz w:val="20"/>
          <w:szCs w:val="20"/>
        </w:rPr>
        <w:t xml:space="preserve">modified double logistic function proposed by </w:t>
      </w:r>
      <w:r w:rsidR="004D01B1">
        <w:rPr>
          <w:rFonts w:ascii="Arial" w:eastAsia="Times New Roman" w:hAnsi="Arial" w:cs="Arial"/>
          <w:sz w:val="20"/>
          <w:szCs w:val="20"/>
        </w:rPr>
        <w:fldChar w:fldCharType="begin" w:fldLock="1"/>
      </w:r>
      <w:r w:rsidR="003D0B61">
        <w:rPr>
          <w:rFonts w:ascii="Arial" w:eastAsia="Times New Roman" w:hAnsi="Arial" w:cs="Arial"/>
          <w:sz w:val="20"/>
          <w:szCs w:val="20"/>
        </w:rPr>
        <w:instrText>ADDIN CSL_CITATION {"citationItems":[{"id":"ITEM-1","itemData":{"DOI":"10.1111/j.1365-2486.2011.02521.x","ISSN":"13541013","abstract":"The timing of spring leaf development, trajectories of summer leaf area, and the timing of autumn senescence have profound impacts to the water, carbon, and energy balance of ecosystems, and are likely influenced by global climate change. Limited field-based and remote-sensing observations have suggested complex spatial patterns related to geographic features that influence climate. However, much of this variability occurs at spatial scales that inhibit a detailed understanding of even the dominant drivers. Recognizing these limitations, we used nonlinear inverse modeling of medium-resolution remote sensing data, organized by day of year, to explore the influence of climate-related landscape factors on the timing of spring and autumn leaf-area trajectories in mid-Atlantic, USA forests. We also examined the extent to which declining summer greenness (greendown) degrades the precision and accuracy of observations of autumn offset of greenness. Of the dominant drivers of landscape phenology, elevation was the strongest, explaining up to 70% of the spati al variation in the onset of greenness. Urban land cover was second in importance, influencing spring onset and autumn offset to a distance of 32 km from large cities. Distance to tidal water also influenced phenological timing, but only within ~5 km of shorelines. Additionally, we observed that (i) growing season length unexpectedly increases with increasing elevation at elevations below 275 m; (ii) along gradients in urban land cover, timing of autumn offset has a stronger effect on growing season length than does timing of spring onset; and (iii) summer greendown introduces bias and uncertainty into observations of the autumn offset of greenness. These results demonstrate the power of medium grain analyses of landscape-scale phenology for understanding environmental controls on growing season length, and predicting how these might be affected by climate change. © 2011 Blackwell Publishing Ltd.","author":[{"dropping-particle":"","family":"Elmore","given":"Andrew J.","non-dropping-particle":"","parse-names":false,"suffix":""},{"dropping-particle":"","family":"Guinn","given":"Steven M.","non-dropping-particle":"","parse-names":false,"suffix":""},{"dropping-particle":"","family":"Minsley","given":"Burke J.","non-dropping-particle":"","parse-names":false,"suffix":""},{"dropping-particle":"","family":"Richardson","given":"Andrew D.","non-dropping-particle":"","parse-names":false,"suffix":""}],"container-title":"Global Change Biology","id":"ITEM-1","issue":"2","issued":{"date-parts":[["2012","2"]]},"page":"656-674","title":"Landscape controls on the timing of spring, autumn, and growing season length in mid-Atlantic forests","type":"article-journal","volume":"18"},"uris":["http://www.mendeley.com/documents/?uuid=92607ed3-28bb-4900-8968-4f530369de70"]}],"mendeley":{"formattedCitation":"(Elmore et al., 2012)","manualFormatting":"Elmore et al. (2012)","plainTextFormattedCitation":"(Elmore et al., 2012)","previouslyFormattedCitation":"(Elmore et al., 2012)"},"properties":{"noteIndex":0},"schema":"https://github.com/citation-style-language/schema/raw/master/csl-citation.json"}</w:instrText>
      </w:r>
      <w:r w:rsidR="004D01B1">
        <w:rPr>
          <w:rFonts w:ascii="Arial" w:eastAsia="Times New Roman" w:hAnsi="Arial" w:cs="Arial"/>
          <w:sz w:val="20"/>
          <w:szCs w:val="20"/>
        </w:rPr>
        <w:fldChar w:fldCharType="separate"/>
      </w:r>
      <w:r w:rsidR="004D01B1" w:rsidRPr="004D01B1">
        <w:rPr>
          <w:rFonts w:ascii="Arial" w:eastAsia="Times New Roman" w:hAnsi="Arial" w:cs="Arial"/>
          <w:noProof/>
          <w:sz w:val="20"/>
          <w:szCs w:val="20"/>
        </w:rPr>
        <w:t xml:space="preserve">Elmore et al. </w:t>
      </w:r>
      <w:r w:rsidR="004D01B1">
        <w:rPr>
          <w:rFonts w:ascii="Arial" w:eastAsia="Times New Roman" w:hAnsi="Arial" w:cs="Arial"/>
          <w:noProof/>
          <w:sz w:val="20"/>
          <w:szCs w:val="20"/>
        </w:rPr>
        <w:t>(</w:t>
      </w:r>
      <w:r w:rsidR="004D01B1" w:rsidRPr="004D01B1">
        <w:rPr>
          <w:rFonts w:ascii="Arial" w:eastAsia="Times New Roman" w:hAnsi="Arial" w:cs="Arial"/>
          <w:noProof/>
          <w:sz w:val="20"/>
          <w:szCs w:val="20"/>
        </w:rPr>
        <w:t>2012)</w:t>
      </w:r>
      <w:r w:rsidR="004D01B1">
        <w:rPr>
          <w:rFonts w:ascii="Arial" w:eastAsia="Times New Roman" w:hAnsi="Arial" w:cs="Arial"/>
          <w:sz w:val="20"/>
          <w:szCs w:val="20"/>
        </w:rPr>
        <w:fldChar w:fldCharType="end"/>
      </w:r>
      <w:r w:rsidR="00F01F63">
        <w:rPr>
          <w:rFonts w:ascii="Arial" w:eastAsia="Times New Roman" w:hAnsi="Arial" w:cs="Arial"/>
          <w:sz w:val="20"/>
          <w:szCs w:val="20"/>
        </w:rPr>
        <w:t>, which introduces a</w:t>
      </w:r>
      <w:r w:rsidR="00872273">
        <w:rPr>
          <w:rFonts w:ascii="Arial" w:eastAsia="Times New Roman" w:hAnsi="Arial" w:cs="Arial"/>
          <w:sz w:val="20"/>
          <w:szCs w:val="20"/>
        </w:rPr>
        <w:t>n additional</w:t>
      </w:r>
      <w:r w:rsidR="00F01F63">
        <w:rPr>
          <w:rFonts w:ascii="Arial" w:eastAsia="Times New Roman" w:hAnsi="Arial" w:cs="Arial"/>
          <w:sz w:val="20"/>
          <w:szCs w:val="20"/>
        </w:rPr>
        <w:t xml:space="preserve"> term to account for summer decline</w:t>
      </w:r>
      <w:r w:rsidR="0097010B">
        <w:rPr>
          <w:rFonts w:ascii="Arial" w:eastAsia="Times New Roman" w:hAnsi="Arial" w:cs="Arial"/>
          <w:sz w:val="20"/>
          <w:szCs w:val="20"/>
        </w:rPr>
        <w:t>.</w:t>
      </w:r>
      <w:r w:rsidR="004F3A16">
        <w:rPr>
          <w:rFonts w:ascii="Arial" w:eastAsia="Times New Roman" w:hAnsi="Arial" w:cs="Arial"/>
          <w:sz w:val="20"/>
          <w:szCs w:val="20"/>
        </w:rPr>
        <w:t xml:space="preserve">  </w:t>
      </w:r>
      <w:bookmarkStart w:id="11" w:name="_Hlk27315843"/>
      <w:r w:rsidR="004F3A16">
        <w:rPr>
          <w:rFonts w:ascii="Arial" w:eastAsia="Times New Roman" w:hAnsi="Arial" w:cs="Arial"/>
          <w:sz w:val="20"/>
          <w:szCs w:val="20"/>
        </w:rPr>
        <w:t xml:space="preserve">Transition dates were calculated using the double logistic and modified double logistic functions for both LAI and the GCC, enabling us to evaluate their sensitivity to the choice of function in the case </w:t>
      </w:r>
      <w:r w:rsidR="00CF3773">
        <w:rPr>
          <w:rFonts w:ascii="Arial" w:eastAsia="Times New Roman" w:hAnsi="Arial" w:cs="Arial"/>
          <w:sz w:val="20"/>
          <w:szCs w:val="20"/>
        </w:rPr>
        <w:t xml:space="preserve">of </w:t>
      </w:r>
      <w:r w:rsidR="004F3A16">
        <w:rPr>
          <w:rFonts w:ascii="Arial" w:eastAsia="Times New Roman" w:hAnsi="Arial" w:cs="Arial"/>
          <w:sz w:val="20"/>
          <w:szCs w:val="20"/>
        </w:rPr>
        <w:t>each variable.</w:t>
      </w:r>
    </w:p>
    <w:bookmarkEnd w:id="11"/>
    <w:p w14:paraId="6341280A" w14:textId="0E87E5FC" w:rsidR="00F71355" w:rsidRPr="007B41A4" w:rsidRDefault="00F71355" w:rsidP="00D97A10">
      <w:pPr>
        <w:spacing w:line="480" w:lineRule="auto"/>
        <w:jc w:val="both"/>
        <w:rPr>
          <w:rFonts w:ascii="Arial" w:eastAsia="Times New Roman" w:hAnsi="Arial" w:cs="Arial"/>
          <w:sz w:val="20"/>
          <w:szCs w:val="20"/>
        </w:rPr>
        <w:sectPr w:rsidR="00F71355" w:rsidRPr="007B41A4" w:rsidSect="00C660FC">
          <w:pgSz w:w="11907" w:h="16839" w:code="9"/>
          <w:pgMar w:top="1440" w:right="1440" w:bottom="1440" w:left="1440" w:header="708" w:footer="708" w:gutter="0"/>
          <w:lnNumType w:countBy="1" w:restart="continuous"/>
          <w:cols w:space="708"/>
          <w:docGrid w:linePitch="360"/>
        </w:sectPr>
      </w:pPr>
    </w:p>
    <w:p w14:paraId="11AEC868" w14:textId="77777777" w:rsidR="005A4B77" w:rsidRDefault="00D97A10" w:rsidP="00D97A10">
      <w:pPr>
        <w:spacing w:line="480" w:lineRule="auto"/>
        <w:jc w:val="both"/>
        <w:rPr>
          <w:rFonts w:ascii="Arial" w:eastAsia="Times New Roman" w:hAnsi="Arial" w:cs="Arial"/>
          <w:b/>
          <w:sz w:val="20"/>
          <w:szCs w:val="20"/>
        </w:rPr>
      </w:pPr>
      <w:r w:rsidRPr="00D97A10">
        <w:rPr>
          <w:rFonts w:ascii="Arial" w:eastAsia="Times New Roman" w:hAnsi="Arial" w:cs="Arial"/>
          <w:b/>
          <w:sz w:val="20"/>
          <w:szCs w:val="20"/>
        </w:rPr>
        <w:lastRenderedPageBreak/>
        <w:t>3. Results</w:t>
      </w:r>
    </w:p>
    <w:p w14:paraId="40557935" w14:textId="336BAB93" w:rsidR="006F3318" w:rsidRDefault="006F3318" w:rsidP="006F3318">
      <w:pPr>
        <w:tabs>
          <w:tab w:val="center" w:pos="4513"/>
          <w:tab w:val="right" w:pos="9027"/>
        </w:tabs>
        <w:rPr>
          <w:rFonts w:ascii="Arial" w:eastAsia="Times New Roman" w:hAnsi="Arial" w:cs="Arial"/>
          <w:i/>
          <w:iCs/>
          <w:sz w:val="20"/>
          <w:szCs w:val="20"/>
        </w:rPr>
      </w:pPr>
      <w:r>
        <w:rPr>
          <w:rFonts w:ascii="Arial" w:eastAsia="Times New Roman" w:hAnsi="Arial" w:cs="Arial"/>
          <w:i/>
          <w:iCs/>
          <w:sz w:val="20"/>
          <w:szCs w:val="20"/>
        </w:rPr>
        <w:t xml:space="preserve">3.1. Time-series </w:t>
      </w:r>
      <w:r w:rsidR="001B35AE">
        <w:rPr>
          <w:rFonts w:ascii="Arial" w:eastAsia="Times New Roman" w:hAnsi="Arial" w:cs="Arial"/>
          <w:i/>
          <w:iCs/>
          <w:sz w:val="20"/>
          <w:szCs w:val="20"/>
        </w:rPr>
        <w:t xml:space="preserve">of </w:t>
      </w:r>
      <w:r w:rsidR="003E3881">
        <w:rPr>
          <w:rFonts w:ascii="Arial" w:eastAsia="Times New Roman" w:hAnsi="Arial" w:cs="Arial"/>
          <w:i/>
          <w:iCs/>
          <w:sz w:val="20"/>
          <w:szCs w:val="20"/>
        </w:rPr>
        <w:t>LAI and the GCC</w:t>
      </w:r>
    </w:p>
    <w:p w14:paraId="37E3DE47" w14:textId="27AC5B84" w:rsidR="001B35AE" w:rsidRDefault="006F3318" w:rsidP="006F3318">
      <w:pPr>
        <w:tabs>
          <w:tab w:val="center" w:pos="4513"/>
          <w:tab w:val="right" w:pos="9027"/>
        </w:tabs>
        <w:spacing w:before="240" w:line="480" w:lineRule="auto"/>
        <w:jc w:val="both"/>
        <w:rPr>
          <w:rFonts w:ascii="Arial" w:eastAsia="Times New Roman" w:hAnsi="Arial" w:cs="Arial"/>
          <w:sz w:val="20"/>
          <w:szCs w:val="20"/>
        </w:rPr>
      </w:pPr>
      <w:r>
        <w:rPr>
          <w:rFonts w:ascii="Arial" w:eastAsia="Times New Roman" w:hAnsi="Arial" w:cs="Arial"/>
          <w:sz w:val="20"/>
          <w:szCs w:val="20"/>
        </w:rPr>
        <w:t xml:space="preserve">At a temporal resolution of 30 minutes </w:t>
      </w:r>
      <w:r w:rsidR="00D57893">
        <w:rPr>
          <w:rFonts w:ascii="Arial" w:eastAsia="Times New Roman" w:hAnsi="Arial" w:cs="Arial"/>
          <w:sz w:val="20"/>
          <w:szCs w:val="20"/>
        </w:rPr>
        <w:t>(</w:t>
      </w:r>
      <w:r>
        <w:rPr>
          <w:rFonts w:ascii="Arial" w:eastAsia="Times New Roman" w:hAnsi="Arial" w:cs="Arial"/>
          <w:sz w:val="20"/>
          <w:szCs w:val="20"/>
        </w:rPr>
        <w:t>between 05:00 and 21:00 local time</w:t>
      </w:r>
      <w:r w:rsidR="00D57893">
        <w:rPr>
          <w:rFonts w:ascii="Arial" w:eastAsia="Times New Roman" w:hAnsi="Arial" w:cs="Arial"/>
          <w:sz w:val="20"/>
          <w:szCs w:val="20"/>
        </w:rPr>
        <w:t>)</w:t>
      </w:r>
      <w:r>
        <w:rPr>
          <w:rFonts w:ascii="Arial" w:eastAsia="Times New Roman" w:hAnsi="Arial" w:cs="Arial"/>
          <w:sz w:val="20"/>
          <w:szCs w:val="20"/>
        </w:rPr>
        <w:t xml:space="preserve">, the unscreened data were subject to a considerable degree of noise, which was expressed as high frequency variation in </w:t>
      </w:r>
      <w:r w:rsidR="003C32A2">
        <w:rPr>
          <w:rFonts w:ascii="Arial" w:eastAsia="Times New Roman" w:hAnsi="Arial" w:cs="Arial"/>
          <w:sz w:val="20"/>
          <w:szCs w:val="20"/>
        </w:rPr>
        <w:t>LAI</w:t>
      </w:r>
      <w:r>
        <w:rPr>
          <w:rFonts w:ascii="Arial" w:eastAsia="Times New Roman" w:hAnsi="Arial" w:cs="Arial"/>
          <w:sz w:val="20"/>
          <w:szCs w:val="20"/>
        </w:rPr>
        <w:t xml:space="preserve"> and </w:t>
      </w:r>
      <w:r w:rsidR="003C32A2">
        <w:rPr>
          <w:rFonts w:ascii="Arial" w:eastAsia="Times New Roman" w:hAnsi="Arial" w:cs="Arial"/>
          <w:sz w:val="20"/>
          <w:szCs w:val="20"/>
        </w:rPr>
        <w:t>GCC</w:t>
      </w:r>
      <w:r>
        <w:rPr>
          <w:rFonts w:ascii="Arial" w:eastAsia="Times New Roman" w:hAnsi="Arial" w:cs="Arial"/>
          <w:sz w:val="20"/>
          <w:szCs w:val="20"/>
        </w:rPr>
        <w:t xml:space="preserve"> values unrelated to changes in forest biophysical properties</w:t>
      </w:r>
      <w:r w:rsidR="00C70730">
        <w:rPr>
          <w:rFonts w:ascii="Arial" w:eastAsia="Times New Roman" w:hAnsi="Arial" w:cs="Arial"/>
          <w:sz w:val="20"/>
          <w:szCs w:val="20"/>
        </w:rPr>
        <w:t xml:space="preserve"> (Figures 2</w:t>
      </w:r>
      <w:r w:rsidR="003F061A">
        <w:rPr>
          <w:rFonts w:ascii="Arial" w:eastAsia="Times New Roman" w:hAnsi="Arial" w:cs="Arial"/>
          <w:sz w:val="20"/>
          <w:szCs w:val="20"/>
        </w:rPr>
        <w:t>a</w:t>
      </w:r>
      <w:r w:rsidR="00C70730">
        <w:rPr>
          <w:rFonts w:ascii="Arial" w:eastAsia="Times New Roman" w:hAnsi="Arial" w:cs="Arial"/>
          <w:sz w:val="20"/>
          <w:szCs w:val="20"/>
        </w:rPr>
        <w:t xml:space="preserve"> and 3</w:t>
      </w:r>
      <w:r w:rsidR="003F061A">
        <w:rPr>
          <w:rFonts w:ascii="Arial" w:eastAsia="Times New Roman" w:hAnsi="Arial" w:cs="Arial"/>
          <w:sz w:val="20"/>
          <w:szCs w:val="20"/>
        </w:rPr>
        <w:t>a</w:t>
      </w:r>
      <w:r w:rsidR="00C70730">
        <w:rPr>
          <w:rFonts w:ascii="Arial" w:eastAsia="Times New Roman" w:hAnsi="Arial" w:cs="Arial"/>
          <w:sz w:val="20"/>
          <w:szCs w:val="20"/>
        </w:rPr>
        <w:t>)</w:t>
      </w:r>
      <w:r>
        <w:rPr>
          <w:rFonts w:ascii="Arial" w:eastAsia="Times New Roman" w:hAnsi="Arial" w:cs="Arial"/>
          <w:sz w:val="20"/>
          <w:szCs w:val="20"/>
        </w:rPr>
        <w:t xml:space="preserve">.  Within a given day, a difference between minimum and maximum </w:t>
      </w:r>
      <w:r w:rsidR="00F80D7A">
        <w:rPr>
          <w:rFonts w:ascii="Arial" w:eastAsia="Times New Roman" w:hAnsi="Arial" w:cs="Arial"/>
          <w:sz w:val="20"/>
          <w:szCs w:val="20"/>
        </w:rPr>
        <w:t>LAI</w:t>
      </w:r>
      <w:r>
        <w:rPr>
          <w:rFonts w:ascii="Arial" w:eastAsia="Times New Roman" w:hAnsi="Arial" w:cs="Arial"/>
          <w:sz w:val="20"/>
          <w:szCs w:val="20"/>
        </w:rPr>
        <w:t xml:space="preserve"> values of up to </w:t>
      </w:r>
      <w:r w:rsidR="00F21B51">
        <w:rPr>
          <w:rFonts w:ascii="Arial" w:eastAsia="Times New Roman" w:hAnsi="Arial" w:cs="Arial"/>
          <w:sz w:val="20"/>
          <w:szCs w:val="20"/>
        </w:rPr>
        <w:t>3.73</w:t>
      </w:r>
      <w:r>
        <w:rPr>
          <w:rFonts w:ascii="Arial" w:eastAsia="Times New Roman" w:hAnsi="Arial" w:cs="Arial"/>
          <w:sz w:val="20"/>
          <w:szCs w:val="20"/>
        </w:rPr>
        <w:t xml:space="preserve"> could be observed, although the mean difference was </w:t>
      </w:r>
      <w:r w:rsidR="00F21B51">
        <w:rPr>
          <w:rFonts w:ascii="Arial" w:eastAsia="Times New Roman" w:hAnsi="Arial" w:cs="Arial"/>
          <w:sz w:val="20"/>
          <w:szCs w:val="20"/>
        </w:rPr>
        <w:t>1.26</w:t>
      </w:r>
      <w:r w:rsidR="00C70730">
        <w:rPr>
          <w:rFonts w:ascii="Arial" w:eastAsia="Times New Roman" w:hAnsi="Arial" w:cs="Arial"/>
          <w:sz w:val="20"/>
          <w:szCs w:val="20"/>
        </w:rPr>
        <w:t xml:space="preserve"> (Figure 2</w:t>
      </w:r>
      <w:r w:rsidR="003F061A">
        <w:rPr>
          <w:rFonts w:ascii="Arial" w:eastAsia="Times New Roman" w:hAnsi="Arial" w:cs="Arial"/>
          <w:sz w:val="20"/>
          <w:szCs w:val="20"/>
        </w:rPr>
        <w:t>a</w:t>
      </w:r>
      <w:r w:rsidR="00C70730">
        <w:rPr>
          <w:rFonts w:ascii="Arial" w:eastAsia="Times New Roman" w:hAnsi="Arial" w:cs="Arial"/>
          <w:sz w:val="20"/>
          <w:szCs w:val="20"/>
        </w:rPr>
        <w:t>)</w:t>
      </w:r>
      <w:r>
        <w:rPr>
          <w:rFonts w:ascii="Arial" w:eastAsia="Times New Roman" w:hAnsi="Arial" w:cs="Arial"/>
          <w:sz w:val="20"/>
          <w:szCs w:val="20"/>
        </w:rPr>
        <w:t xml:space="preserve">.  </w:t>
      </w:r>
      <w:r w:rsidR="00F80D7A">
        <w:rPr>
          <w:rFonts w:ascii="Arial" w:eastAsia="Times New Roman" w:hAnsi="Arial" w:cs="Arial"/>
          <w:sz w:val="20"/>
          <w:szCs w:val="20"/>
        </w:rPr>
        <w:t>In the case of the GCC, t</w:t>
      </w:r>
      <w:r>
        <w:rPr>
          <w:rFonts w:ascii="Arial" w:eastAsia="Times New Roman" w:hAnsi="Arial" w:cs="Arial"/>
          <w:sz w:val="20"/>
          <w:szCs w:val="20"/>
        </w:rPr>
        <w:t xml:space="preserve">he </w:t>
      </w:r>
      <w:r w:rsidR="00F80D7A">
        <w:rPr>
          <w:rFonts w:ascii="Arial" w:eastAsia="Times New Roman" w:hAnsi="Arial" w:cs="Arial"/>
          <w:sz w:val="20"/>
          <w:szCs w:val="20"/>
        </w:rPr>
        <w:t>greatest</w:t>
      </w:r>
      <w:r>
        <w:rPr>
          <w:rFonts w:ascii="Arial" w:eastAsia="Times New Roman" w:hAnsi="Arial" w:cs="Arial"/>
          <w:sz w:val="20"/>
          <w:szCs w:val="20"/>
        </w:rPr>
        <w:t xml:space="preserve"> difference between minimum and maximum values </w:t>
      </w:r>
      <w:proofErr w:type="gramStart"/>
      <w:r>
        <w:rPr>
          <w:rFonts w:ascii="Arial" w:eastAsia="Times New Roman" w:hAnsi="Arial" w:cs="Arial"/>
          <w:sz w:val="20"/>
          <w:szCs w:val="20"/>
        </w:rPr>
        <w:t>in a given</w:t>
      </w:r>
      <w:proofErr w:type="gramEnd"/>
      <w:r>
        <w:rPr>
          <w:rFonts w:ascii="Arial" w:eastAsia="Times New Roman" w:hAnsi="Arial" w:cs="Arial"/>
          <w:sz w:val="20"/>
          <w:szCs w:val="20"/>
        </w:rPr>
        <w:t xml:space="preserve"> day was </w:t>
      </w:r>
      <w:r w:rsidR="00F80D7A">
        <w:rPr>
          <w:rFonts w:ascii="Arial" w:eastAsia="Times New Roman" w:hAnsi="Arial" w:cs="Arial"/>
          <w:sz w:val="20"/>
          <w:szCs w:val="20"/>
        </w:rPr>
        <w:t>0.08</w:t>
      </w:r>
      <w:r w:rsidR="006838F3">
        <w:rPr>
          <w:rFonts w:ascii="Arial" w:eastAsia="Times New Roman" w:hAnsi="Arial" w:cs="Arial"/>
          <w:sz w:val="20"/>
          <w:szCs w:val="20"/>
        </w:rPr>
        <w:t xml:space="preserve">, whilst the mean difference was </w:t>
      </w:r>
      <w:r w:rsidR="00F80D7A">
        <w:rPr>
          <w:rFonts w:ascii="Arial" w:eastAsia="Times New Roman" w:hAnsi="Arial" w:cs="Arial"/>
          <w:sz w:val="20"/>
          <w:szCs w:val="20"/>
        </w:rPr>
        <w:t xml:space="preserve">0.03 </w:t>
      </w:r>
      <w:r w:rsidR="00C70730">
        <w:rPr>
          <w:rFonts w:ascii="Arial" w:eastAsia="Times New Roman" w:hAnsi="Arial" w:cs="Arial"/>
          <w:sz w:val="20"/>
          <w:szCs w:val="20"/>
        </w:rPr>
        <w:t xml:space="preserve">(Figure </w:t>
      </w:r>
      <w:r w:rsidR="00C77990">
        <w:rPr>
          <w:rFonts w:ascii="Arial" w:eastAsia="Times New Roman" w:hAnsi="Arial" w:cs="Arial"/>
          <w:sz w:val="20"/>
          <w:szCs w:val="20"/>
        </w:rPr>
        <w:t>3</w:t>
      </w:r>
      <w:r w:rsidR="003F061A">
        <w:rPr>
          <w:rFonts w:ascii="Arial" w:eastAsia="Times New Roman" w:hAnsi="Arial" w:cs="Arial"/>
          <w:sz w:val="20"/>
          <w:szCs w:val="20"/>
        </w:rPr>
        <w:t>a</w:t>
      </w:r>
      <w:r w:rsidR="00C70730">
        <w:rPr>
          <w:rFonts w:ascii="Arial" w:eastAsia="Times New Roman" w:hAnsi="Arial" w:cs="Arial"/>
          <w:sz w:val="20"/>
          <w:szCs w:val="20"/>
        </w:rPr>
        <w:t>)</w:t>
      </w:r>
      <w:r>
        <w:rPr>
          <w:rFonts w:ascii="Arial" w:eastAsia="Times New Roman" w:hAnsi="Arial" w:cs="Arial"/>
          <w:sz w:val="20"/>
          <w:szCs w:val="20"/>
        </w:rPr>
        <w:t xml:space="preserve">.  </w:t>
      </w:r>
      <w:bookmarkStart w:id="12" w:name="_Hlk27317557"/>
      <w:r>
        <w:rPr>
          <w:rFonts w:ascii="Arial" w:eastAsia="Times New Roman" w:hAnsi="Arial" w:cs="Arial"/>
          <w:sz w:val="20"/>
          <w:szCs w:val="20"/>
        </w:rPr>
        <w:t xml:space="preserve">The screened data, which represented daily maximum </w:t>
      </w:r>
      <w:r w:rsidR="00F80D7A">
        <w:rPr>
          <w:rFonts w:ascii="Arial" w:eastAsia="Times New Roman" w:hAnsi="Arial" w:cs="Arial"/>
          <w:sz w:val="20"/>
          <w:szCs w:val="20"/>
        </w:rPr>
        <w:t>LAI and GCC</w:t>
      </w:r>
      <w:r>
        <w:rPr>
          <w:rFonts w:ascii="Arial" w:eastAsia="Times New Roman" w:hAnsi="Arial" w:cs="Arial"/>
          <w:sz w:val="20"/>
          <w:szCs w:val="20"/>
        </w:rPr>
        <w:t xml:space="preserve"> values, were characterised by greatly reduced variability and more </w:t>
      </w:r>
      <w:r w:rsidR="002E70F1">
        <w:rPr>
          <w:rFonts w:ascii="Arial" w:eastAsia="Times New Roman" w:hAnsi="Arial" w:cs="Arial"/>
          <w:sz w:val="20"/>
          <w:szCs w:val="20"/>
        </w:rPr>
        <w:t xml:space="preserve">plausible </w:t>
      </w:r>
      <w:r>
        <w:rPr>
          <w:rFonts w:ascii="Arial" w:eastAsia="Times New Roman" w:hAnsi="Arial" w:cs="Arial"/>
          <w:sz w:val="20"/>
          <w:szCs w:val="20"/>
        </w:rPr>
        <w:t>temporal sequences</w:t>
      </w:r>
      <w:r w:rsidR="00C70730">
        <w:rPr>
          <w:rFonts w:ascii="Arial" w:eastAsia="Times New Roman" w:hAnsi="Arial" w:cs="Arial"/>
          <w:sz w:val="20"/>
          <w:szCs w:val="20"/>
        </w:rPr>
        <w:t xml:space="preserve"> (Figures 2</w:t>
      </w:r>
      <w:r w:rsidR="003F061A">
        <w:rPr>
          <w:rFonts w:ascii="Arial" w:eastAsia="Times New Roman" w:hAnsi="Arial" w:cs="Arial"/>
          <w:sz w:val="20"/>
          <w:szCs w:val="20"/>
        </w:rPr>
        <w:t>a</w:t>
      </w:r>
      <w:r w:rsidR="00AD0D68">
        <w:rPr>
          <w:rFonts w:ascii="Arial" w:eastAsia="Times New Roman" w:hAnsi="Arial" w:cs="Arial"/>
          <w:sz w:val="20"/>
          <w:szCs w:val="20"/>
        </w:rPr>
        <w:t xml:space="preserve"> </w:t>
      </w:r>
      <w:r w:rsidR="00C70730">
        <w:rPr>
          <w:rFonts w:ascii="Arial" w:eastAsia="Times New Roman" w:hAnsi="Arial" w:cs="Arial"/>
          <w:sz w:val="20"/>
          <w:szCs w:val="20"/>
        </w:rPr>
        <w:t>and 3</w:t>
      </w:r>
      <w:r w:rsidR="003F061A">
        <w:rPr>
          <w:rFonts w:ascii="Arial" w:eastAsia="Times New Roman" w:hAnsi="Arial" w:cs="Arial"/>
          <w:sz w:val="20"/>
          <w:szCs w:val="20"/>
        </w:rPr>
        <w:t>a</w:t>
      </w:r>
      <w:r w:rsidR="00C70730">
        <w:rPr>
          <w:rFonts w:ascii="Arial" w:eastAsia="Times New Roman" w:hAnsi="Arial" w:cs="Arial"/>
          <w:sz w:val="20"/>
          <w:szCs w:val="20"/>
        </w:rPr>
        <w:t>).</w:t>
      </w:r>
      <w:r w:rsidR="00F67A25">
        <w:rPr>
          <w:rFonts w:ascii="Arial" w:eastAsia="Times New Roman" w:hAnsi="Arial" w:cs="Arial"/>
          <w:sz w:val="20"/>
          <w:szCs w:val="20"/>
        </w:rPr>
        <w:t xml:space="preserve">  </w:t>
      </w:r>
      <w:bookmarkEnd w:id="12"/>
      <w:r w:rsidR="00F74A0B">
        <w:rPr>
          <w:rFonts w:ascii="Arial" w:eastAsia="Times New Roman" w:hAnsi="Arial" w:cs="Arial"/>
          <w:sz w:val="20"/>
          <w:szCs w:val="20"/>
        </w:rPr>
        <w:t>For LAI, t</w:t>
      </w:r>
      <w:r w:rsidR="00AD708A">
        <w:rPr>
          <w:rFonts w:ascii="Arial" w:eastAsia="Times New Roman" w:hAnsi="Arial" w:cs="Arial"/>
          <w:sz w:val="20"/>
          <w:szCs w:val="20"/>
        </w:rPr>
        <w:t xml:space="preserve">he smoother nature of the screened </w:t>
      </w:r>
      <w:r w:rsidR="00F74A0B">
        <w:rPr>
          <w:rFonts w:ascii="Arial" w:eastAsia="Times New Roman" w:hAnsi="Arial" w:cs="Arial"/>
          <w:sz w:val="20"/>
          <w:szCs w:val="20"/>
        </w:rPr>
        <w:t>data</w:t>
      </w:r>
      <w:r w:rsidR="00F67A25">
        <w:rPr>
          <w:rFonts w:ascii="Arial" w:eastAsia="Times New Roman" w:hAnsi="Arial" w:cs="Arial"/>
          <w:sz w:val="20"/>
          <w:szCs w:val="20"/>
        </w:rPr>
        <w:t xml:space="preserve"> was reflected by increased </w:t>
      </w:r>
      <w:r w:rsidR="0014690C">
        <w:rPr>
          <w:rFonts w:ascii="Arial" w:eastAsia="Times New Roman" w:hAnsi="Arial" w:cs="Arial"/>
          <w:sz w:val="20"/>
          <w:szCs w:val="20"/>
        </w:rPr>
        <w:t xml:space="preserve">lag = 1 </w:t>
      </w:r>
      <w:r w:rsidR="00F67A25">
        <w:rPr>
          <w:rFonts w:ascii="Arial" w:eastAsia="Times New Roman" w:hAnsi="Arial" w:cs="Arial"/>
          <w:sz w:val="20"/>
          <w:szCs w:val="20"/>
        </w:rPr>
        <w:t>autocorrelation (Table 1).</w:t>
      </w:r>
    </w:p>
    <w:p w14:paraId="585AFEA3" w14:textId="5B43ACDC" w:rsidR="00F21B51" w:rsidRDefault="00B63554" w:rsidP="00F21B51">
      <w:pPr>
        <w:tabs>
          <w:tab w:val="center" w:pos="4513"/>
          <w:tab w:val="right" w:pos="9027"/>
        </w:tabs>
        <w:spacing w:before="240" w:line="240" w:lineRule="auto"/>
        <w:jc w:val="center"/>
        <w:rPr>
          <w:rFonts w:ascii="Arial" w:eastAsia="Times New Roman" w:hAnsi="Arial" w:cs="Arial"/>
          <w:sz w:val="18"/>
          <w:szCs w:val="18"/>
        </w:rPr>
      </w:pPr>
      <w:r>
        <w:rPr>
          <w:rFonts w:ascii="Arial" w:eastAsia="Times New Roman" w:hAnsi="Arial" w:cs="Arial"/>
          <w:sz w:val="18"/>
          <w:szCs w:val="18"/>
        </w:rPr>
        <w:br/>
      </w:r>
      <w:bookmarkStart w:id="13" w:name="_Hlk27317665"/>
      <w:r w:rsidR="006C39B5">
        <w:rPr>
          <w:rFonts w:ascii="Arial" w:eastAsia="Times New Roman" w:hAnsi="Arial" w:cs="Arial"/>
          <w:noProof/>
          <w:sz w:val="18"/>
          <w:szCs w:val="18"/>
          <w:lang w:eastAsia="en-GB"/>
        </w:rPr>
        <w:drawing>
          <wp:inline distT="0" distB="0" distL="0" distR="0" wp14:anchorId="173E7038" wp14:editId="66144789">
            <wp:extent cx="5726430" cy="2145665"/>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430" cy="2145665"/>
                    </a:xfrm>
                    <a:prstGeom prst="rect">
                      <a:avLst/>
                    </a:prstGeom>
                    <a:noFill/>
                    <a:ln>
                      <a:noFill/>
                    </a:ln>
                  </pic:spPr>
                </pic:pic>
              </a:graphicData>
            </a:graphic>
          </wp:inline>
        </w:drawing>
      </w:r>
      <w:r w:rsidR="00E6016C">
        <w:rPr>
          <w:rFonts w:ascii="Arial" w:eastAsia="Times New Roman" w:hAnsi="Arial" w:cs="Arial"/>
          <w:sz w:val="18"/>
          <w:szCs w:val="18"/>
        </w:rPr>
        <w:br/>
        <w:t>(a)</w:t>
      </w:r>
      <w:r w:rsidR="00E6016C">
        <w:rPr>
          <w:rFonts w:ascii="Arial" w:eastAsia="Times New Roman" w:hAnsi="Arial" w:cs="Arial"/>
          <w:sz w:val="18"/>
          <w:szCs w:val="18"/>
        </w:rPr>
        <w:tab/>
        <w:t>(b)</w:t>
      </w:r>
      <w:r w:rsidR="00E6016C">
        <w:rPr>
          <w:rFonts w:ascii="Arial" w:eastAsia="Times New Roman" w:hAnsi="Arial" w:cs="Arial"/>
          <w:sz w:val="18"/>
          <w:szCs w:val="18"/>
        </w:rPr>
        <w:br/>
      </w:r>
      <w:r w:rsidR="00C70730" w:rsidRPr="00C70730">
        <w:rPr>
          <w:rFonts w:ascii="Arial" w:eastAsia="Times New Roman" w:hAnsi="Arial" w:cs="Arial"/>
          <w:sz w:val="18"/>
          <w:szCs w:val="18"/>
        </w:rPr>
        <w:br/>
        <w:t>Figure 2:</w:t>
      </w:r>
      <w:r w:rsidR="00AD0D68">
        <w:rPr>
          <w:rFonts w:ascii="Arial" w:eastAsia="Times New Roman" w:hAnsi="Arial" w:cs="Arial"/>
          <w:sz w:val="18"/>
          <w:szCs w:val="18"/>
        </w:rPr>
        <w:t xml:space="preserve"> </w:t>
      </w:r>
      <w:r w:rsidR="00112AB4">
        <w:rPr>
          <w:rFonts w:ascii="Arial" w:eastAsia="Times New Roman" w:hAnsi="Arial" w:cs="Arial"/>
          <w:sz w:val="18"/>
          <w:szCs w:val="18"/>
        </w:rPr>
        <w:t xml:space="preserve">LAI values throughout the study period </w:t>
      </w:r>
      <w:r w:rsidR="00AD0D68">
        <w:rPr>
          <w:rFonts w:ascii="Arial" w:eastAsia="Times New Roman" w:hAnsi="Arial" w:cs="Arial"/>
          <w:sz w:val="18"/>
          <w:szCs w:val="18"/>
        </w:rPr>
        <w:t>(</w:t>
      </w:r>
      <w:r w:rsidR="00E16F8A">
        <w:rPr>
          <w:rFonts w:ascii="Arial" w:eastAsia="Times New Roman" w:hAnsi="Arial" w:cs="Arial"/>
          <w:sz w:val="18"/>
          <w:szCs w:val="18"/>
        </w:rPr>
        <w:t>a</w:t>
      </w:r>
      <w:r w:rsidR="00AD0D68">
        <w:rPr>
          <w:rFonts w:ascii="Arial" w:eastAsia="Times New Roman" w:hAnsi="Arial" w:cs="Arial"/>
          <w:sz w:val="18"/>
          <w:szCs w:val="18"/>
        </w:rPr>
        <w:t>)</w:t>
      </w:r>
      <w:r w:rsidR="00112AB4">
        <w:rPr>
          <w:rFonts w:ascii="Arial" w:eastAsia="Times New Roman" w:hAnsi="Arial" w:cs="Arial"/>
          <w:sz w:val="18"/>
          <w:szCs w:val="18"/>
        </w:rPr>
        <w:t xml:space="preserve">, </w:t>
      </w:r>
      <w:r w:rsidR="002A59EB">
        <w:rPr>
          <w:rFonts w:ascii="Arial" w:eastAsia="Times New Roman" w:hAnsi="Arial" w:cs="Arial"/>
          <w:sz w:val="18"/>
          <w:szCs w:val="18"/>
        </w:rPr>
        <w:t>in addition to</w:t>
      </w:r>
      <w:r w:rsidR="00112AB4">
        <w:rPr>
          <w:rFonts w:ascii="Arial" w:eastAsia="Times New Roman" w:hAnsi="Arial" w:cs="Arial"/>
          <w:sz w:val="18"/>
          <w:szCs w:val="18"/>
        </w:rPr>
        <w:t xml:space="preserve"> the relationship between screened LAI values and LAI derived from DHP images </w:t>
      </w:r>
      <w:r w:rsidR="00815B27">
        <w:rPr>
          <w:rFonts w:ascii="Arial" w:eastAsia="Times New Roman" w:hAnsi="Arial" w:cs="Arial"/>
          <w:sz w:val="18"/>
          <w:szCs w:val="18"/>
        </w:rPr>
        <w:t xml:space="preserve">manually </w:t>
      </w:r>
      <w:r w:rsidR="00112AB4">
        <w:rPr>
          <w:rFonts w:ascii="Arial" w:eastAsia="Times New Roman" w:hAnsi="Arial" w:cs="Arial"/>
          <w:sz w:val="18"/>
          <w:szCs w:val="18"/>
        </w:rPr>
        <w:t xml:space="preserve">acquired within the </w:t>
      </w:r>
      <w:r w:rsidR="00975E1E">
        <w:rPr>
          <w:rFonts w:ascii="Arial" w:eastAsia="Times New Roman" w:hAnsi="Arial" w:cs="Arial"/>
          <w:sz w:val="18"/>
          <w:szCs w:val="18"/>
        </w:rPr>
        <w:t>surrounding</w:t>
      </w:r>
      <w:r w:rsidR="00112AB4">
        <w:rPr>
          <w:rFonts w:ascii="Arial" w:eastAsia="Times New Roman" w:hAnsi="Arial" w:cs="Arial"/>
          <w:sz w:val="18"/>
          <w:szCs w:val="18"/>
        </w:rPr>
        <w:t xml:space="preserve"> 40 m x 40 m </w:t>
      </w:r>
      <w:r w:rsidR="00975E1E">
        <w:rPr>
          <w:rFonts w:ascii="Arial" w:eastAsia="Times New Roman" w:hAnsi="Arial" w:cs="Arial"/>
          <w:sz w:val="18"/>
          <w:szCs w:val="18"/>
        </w:rPr>
        <w:t>area</w:t>
      </w:r>
      <w:r w:rsidR="00112AB4">
        <w:rPr>
          <w:rFonts w:ascii="Arial" w:eastAsia="Times New Roman" w:hAnsi="Arial" w:cs="Arial"/>
          <w:sz w:val="18"/>
          <w:szCs w:val="18"/>
        </w:rPr>
        <w:t xml:space="preserve"> under optimal </w:t>
      </w:r>
      <w:r w:rsidR="00815B27">
        <w:rPr>
          <w:rFonts w:ascii="Arial" w:eastAsia="Times New Roman" w:hAnsi="Arial" w:cs="Arial"/>
          <w:sz w:val="18"/>
          <w:szCs w:val="18"/>
        </w:rPr>
        <w:t xml:space="preserve">illumination </w:t>
      </w:r>
      <w:r w:rsidR="00112AB4">
        <w:rPr>
          <w:rFonts w:ascii="Arial" w:eastAsia="Times New Roman" w:hAnsi="Arial" w:cs="Arial"/>
          <w:sz w:val="18"/>
          <w:szCs w:val="18"/>
        </w:rPr>
        <w:t xml:space="preserve">conditions </w:t>
      </w:r>
      <w:r w:rsidR="00AD0D68">
        <w:rPr>
          <w:rFonts w:ascii="Arial" w:eastAsia="Times New Roman" w:hAnsi="Arial" w:cs="Arial"/>
          <w:sz w:val="18"/>
          <w:szCs w:val="18"/>
        </w:rPr>
        <w:t>(</w:t>
      </w:r>
      <w:r w:rsidR="00E16F8A">
        <w:rPr>
          <w:rFonts w:ascii="Arial" w:eastAsia="Times New Roman" w:hAnsi="Arial" w:cs="Arial"/>
          <w:sz w:val="18"/>
          <w:szCs w:val="18"/>
        </w:rPr>
        <w:t>b</w:t>
      </w:r>
      <w:r w:rsidR="00AD0D68">
        <w:rPr>
          <w:rFonts w:ascii="Arial" w:eastAsia="Times New Roman" w:hAnsi="Arial" w:cs="Arial"/>
          <w:sz w:val="18"/>
          <w:szCs w:val="18"/>
        </w:rPr>
        <w:t>)</w:t>
      </w:r>
      <w:r w:rsidR="00112AB4">
        <w:rPr>
          <w:rFonts w:ascii="Arial" w:eastAsia="Times New Roman" w:hAnsi="Arial" w:cs="Arial"/>
          <w:sz w:val="18"/>
          <w:szCs w:val="18"/>
        </w:rPr>
        <w:t>.</w:t>
      </w:r>
      <w:r w:rsidR="00F21B51">
        <w:rPr>
          <w:rFonts w:ascii="Arial" w:eastAsia="Times New Roman" w:hAnsi="Arial" w:cs="Arial"/>
          <w:sz w:val="18"/>
          <w:szCs w:val="18"/>
        </w:rPr>
        <w:br/>
      </w:r>
      <w:bookmarkEnd w:id="13"/>
    </w:p>
    <w:p w14:paraId="1B3BAEF6" w14:textId="39AD9E6E" w:rsidR="00F21B51" w:rsidRPr="00C70730" w:rsidRDefault="00F21B51" w:rsidP="00E6016C">
      <w:pPr>
        <w:tabs>
          <w:tab w:val="center" w:pos="4513"/>
          <w:tab w:val="right" w:pos="9027"/>
        </w:tabs>
        <w:spacing w:before="240" w:line="240" w:lineRule="auto"/>
        <w:jc w:val="center"/>
        <w:rPr>
          <w:rFonts w:ascii="Arial" w:eastAsia="Times New Roman" w:hAnsi="Arial" w:cs="Arial"/>
          <w:sz w:val="18"/>
          <w:szCs w:val="18"/>
        </w:rPr>
      </w:pPr>
      <w:bookmarkStart w:id="14" w:name="_Hlk27317087"/>
      <w:r>
        <w:rPr>
          <w:rFonts w:ascii="Arial" w:eastAsia="Times New Roman" w:hAnsi="Arial" w:cs="Arial"/>
          <w:sz w:val="18"/>
          <w:szCs w:val="18"/>
        </w:rPr>
        <w:t xml:space="preserve">Table 1: </w:t>
      </w:r>
      <w:r w:rsidR="00DA3FFB">
        <w:rPr>
          <w:rFonts w:ascii="Arial" w:eastAsia="Times New Roman" w:hAnsi="Arial" w:cs="Arial"/>
          <w:sz w:val="18"/>
          <w:szCs w:val="18"/>
        </w:rPr>
        <w:t>Lag = 1 autocorrelation</w:t>
      </w:r>
      <w:r>
        <w:rPr>
          <w:rFonts w:ascii="Arial" w:eastAsia="Times New Roman" w:hAnsi="Arial" w:cs="Arial"/>
          <w:sz w:val="18"/>
          <w:szCs w:val="18"/>
        </w:rPr>
        <w:t xml:space="preserve"> of screened and unscreened LAI and GCC time-series.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1267"/>
        <w:gridCol w:w="1381"/>
      </w:tblGrid>
      <w:tr w:rsidR="00F21B51" w:rsidRPr="00F21B51" w14:paraId="03291CC8" w14:textId="77777777" w:rsidTr="00E52EC3">
        <w:tc>
          <w:tcPr>
            <w:tcW w:w="3533" w:type="pct"/>
            <w:tcBorders>
              <w:top w:val="single" w:sz="4" w:space="0" w:color="auto"/>
              <w:bottom w:val="single" w:sz="4" w:space="0" w:color="auto"/>
            </w:tcBorders>
          </w:tcPr>
          <w:p w14:paraId="3EE7E99A" w14:textId="77777777" w:rsidR="00F21B51" w:rsidRPr="00F21B51" w:rsidRDefault="00F21B51" w:rsidP="00E52EC3">
            <w:pPr>
              <w:jc w:val="center"/>
              <w:rPr>
                <w:rFonts w:ascii="Arial" w:hAnsi="Arial" w:cs="Arial"/>
                <w:sz w:val="18"/>
                <w:szCs w:val="18"/>
              </w:rPr>
            </w:pPr>
            <w:bookmarkStart w:id="15" w:name="_Hlk26891845"/>
            <w:r w:rsidRPr="00F21B51">
              <w:rPr>
                <w:rFonts w:ascii="Arial" w:hAnsi="Arial" w:cs="Arial"/>
                <w:sz w:val="18"/>
                <w:szCs w:val="18"/>
              </w:rPr>
              <w:t>Time-series</w:t>
            </w:r>
          </w:p>
        </w:tc>
        <w:tc>
          <w:tcPr>
            <w:tcW w:w="702" w:type="pct"/>
            <w:tcBorders>
              <w:top w:val="single" w:sz="4" w:space="0" w:color="auto"/>
              <w:bottom w:val="single" w:sz="4" w:space="0" w:color="auto"/>
            </w:tcBorders>
          </w:tcPr>
          <w:p w14:paraId="61F98871"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LAI</w:t>
            </w:r>
          </w:p>
        </w:tc>
        <w:tc>
          <w:tcPr>
            <w:tcW w:w="765" w:type="pct"/>
            <w:tcBorders>
              <w:top w:val="single" w:sz="4" w:space="0" w:color="auto"/>
              <w:bottom w:val="single" w:sz="4" w:space="0" w:color="auto"/>
            </w:tcBorders>
          </w:tcPr>
          <w:p w14:paraId="3CF44C8A"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GCC</w:t>
            </w:r>
          </w:p>
        </w:tc>
      </w:tr>
      <w:tr w:rsidR="00F21B51" w:rsidRPr="00F21B51" w14:paraId="1D2590DC" w14:textId="77777777" w:rsidTr="00E52EC3">
        <w:tc>
          <w:tcPr>
            <w:tcW w:w="3533" w:type="pct"/>
            <w:tcBorders>
              <w:top w:val="single" w:sz="4" w:space="0" w:color="auto"/>
            </w:tcBorders>
          </w:tcPr>
          <w:p w14:paraId="5B41E58B"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Screened</w:t>
            </w:r>
          </w:p>
        </w:tc>
        <w:tc>
          <w:tcPr>
            <w:tcW w:w="702" w:type="pct"/>
            <w:tcBorders>
              <w:top w:val="single" w:sz="4" w:space="0" w:color="auto"/>
            </w:tcBorders>
          </w:tcPr>
          <w:p w14:paraId="0A0FEAE1"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0.99</w:t>
            </w:r>
          </w:p>
        </w:tc>
        <w:tc>
          <w:tcPr>
            <w:tcW w:w="765" w:type="pct"/>
            <w:tcBorders>
              <w:top w:val="single" w:sz="4" w:space="0" w:color="auto"/>
            </w:tcBorders>
          </w:tcPr>
          <w:p w14:paraId="1FB27B01"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0.98</w:t>
            </w:r>
          </w:p>
        </w:tc>
      </w:tr>
      <w:tr w:rsidR="00F21B51" w:rsidRPr="00F21B51" w14:paraId="79A18BB4" w14:textId="77777777" w:rsidTr="00E52EC3">
        <w:tc>
          <w:tcPr>
            <w:tcW w:w="3533" w:type="pct"/>
            <w:tcBorders>
              <w:bottom w:val="single" w:sz="4" w:space="0" w:color="auto"/>
            </w:tcBorders>
          </w:tcPr>
          <w:p w14:paraId="453303F0"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Unscreened</w:t>
            </w:r>
          </w:p>
        </w:tc>
        <w:tc>
          <w:tcPr>
            <w:tcW w:w="702" w:type="pct"/>
            <w:tcBorders>
              <w:bottom w:val="single" w:sz="4" w:space="0" w:color="auto"/>
            </w:tcBorders>
          </w:tcPr>
          <w:p w14:paraId="512AFAFC"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0.97</w:t>
            </w:r>
          </w:p>
        </w:tc>
        <w:tc>
          <w:tcPr>
            <w:tcW w:w="765" w:type="pct"/>
            <w:tcBorders>
              <w:bottom w:val="single" w:sz="4" w:space="0" w:color="auto"/>
            </w:tcBorders>
          </w:tcPr>
          <w:p w14:paraId="78EB657E" w14:textId="77777777" w:rsidR="00F21B51" w:rsidRPr="00F21B51" w:rsidRDefault="00F21B51" w:rsidP="00E52EC3">
            <w:pPr>
              <w:jc w:val="center"/>
              <w:rPr>
                <w:rFonts w:ascii="Arial" w:hAnsi="Arial" w:cs="Arial"/>
                <w:sz w:val="18"/>
                <w:szCs w:val="18"/>
              </w:rPr>
            </w:pPr>
            <w:r w:rsidRPr="00F21B51">
              <w:rPr>
                <w:rFonts w:ascii="Arial" w:hAnsi="Arial" w:cs="Arial"/>
                <w:sz w:val="18"/>
                <w:szCs w:val="18"/>
              </w:rPr>
              <w:t>0.98</w:t>
            </w:r>
          </w:p>
        </w:tc>
      </w:tr>
    </w:tbl>
    <w:bookmarkEnd w:id="14"/>
    <w:bookmarkEnd w:id="15"/>
    <w:p w14:paraId="40BFBD51" w14:textId="5CFC7E80" w:rsidR="00DF6340" w:rsidRDefault="00F21B51" w:rsidP="00F21B51">
      <w:pPr>
        <w:tabs>
          <w:tab w:val="center" w:pos="4513"/>
          <w:tab w:val="right" w:pos="9027"/>
        </w:tabs>
        <w:spacing w:line="480" w:lineRule="auto"/>
        <w:jc w:val="both"/>
        <w:rPr>
          <w:rFonts w:ascii="Arial" w:eastAsia="Times New Roman" w:hAnsi="Arial" w:cs="Arial"/>
          <w:sz w:val="20"/>
          <w:szCs w:val="20"/>
        </w:rPr>
      </w:pPr>
      <w:r>
        <w:rPr>
          <w:rFonts w:ascii="Arial" w:eastAsia="Times New Roman" w:hAnsi="Arial" w:cs="Arial"/>
          <w:sz w:val="20"/>
          <w:szCs w:val="20"/>
        </w:rPr>
        <w:br/>
      </w:r>
      <w:r w:rsidR="00C21719">
        <w:rPr>
          <w:rFonts w:ascii="Arial" w:eastAsia="Times New Roman" w:hAnsi="Arial" w:cs="Arial"/>
          <w:sz w:val="20"/>
          <w:szCs w:val="20"/>
        </w:rPr>
        <w:t>The</w:t>
      </w:r>
      <w:r w:rsidR="00DF6340">
        <w:rPr>
          <w:rFonts w:ascii="Arial" w:eastAsia="Times New Roman" w:hAnsi="Arial" w:cs="Arial"/>
          <w:sz w:val="20"/>
          <w:szCs w:val="20"/>
        </w:rPr>
        <w:t xml:space="preserve"> time-series of the GCC was characterised by pronounced asymmetry</w:t>
      </w:r>
      <w:r w:rsidR="00C70730">
        <w:rPr>
          <w:rFonts w:ascii="Arial" w:eastAsia="Times New Roman" w:hAnsi="Arial" w:cs="Arial"/>
          <w:sz w:val="20"/>
          <w:szCs w:val="20"/>
        </w:rPr>
        <w:t xml:space="preserve"> (Figure 3</w:t>
      </w:r>
      <w:r w:rsidR="003F061A">
        <w:rPr>
          <w:rFonts w:ascii="Arial" w:eastAsia="Times New Roman" w:hAnsi="Arial" w:cs="Arial"/>
          <w:sz w:val="20"/>
          <w:szCs w:val="20"/>
        </w:rPr>
        <w:t>a</w:t>
      </w:r>
      <w:r w:rsidR="00C70730">
        <w:rPr>
          <w:rFonts w:ascii="Arial" w:eastAsia="Times New Roman" w:hAnsi="Arial" w:cs="Arial"/>
          <w:sz w:val="20"/>
          <w:szCs w:val="20"/>
        </w:rPr>
        <w:t>)</w:t>
      </w:r>
      <w:r w:rsidR="00DF6340">
        <w:rPr>
          <w:rFonts w:ascii="Arial" w:eastAsia="Times New Roman" w:hAnsi="Arial" w:cs="Arial"/>
          <w:sz w:val="20"/>
          <w:szCs w:val="20"/>
        </w:rPr>
        <w:t xml:space="preserve">.  A spring peak was observed in the middle of May (GCC = 0.52), whilst a subsequent decline in GCC values occurred over the summer, between the start of June and </w:t>
      </w:r>
      <w:r w:rsidR="002F5D11">
        <w:rPr>
          <w:rFonts w:ascii="Arial" w:eastAsia="Times New Roman" w:hAnsi="Arial" w:cs="Arial"/>
          <w:sz w:val="20"/>
          <w:szCs w:val="20"/>
        </w:rPr>
        <w:t xml:space="preserve">the </w:t>
      </w:r>
      <w:r w:rsidR="00DF6340">
        <w:rPr>
          <w:rFonts w:ascii="Arial" w:eastAsia="Times New Roman" w:hAnsi="Arial" w:cs="Arial"/>
          <w:sz w:val="20"/>
          <w:szCs w:val="20"/>
        </w:rPr>
        <w:t xml:space="preserve">end of October (GCC = 0.47 to 0.40).  </w:t>
      </w:r>
      <w:r w:rsidR="00C164C3">
        <w:rPr>
          <w:rFonts w:ascii="Arial" w:eastAsia="Times New Roman" w:hAnsi="Arial" w:cs="Arial"/>
          <w:sz w:val="20"/>
          <w:szCs w:val="20"/>
        </w:rPr>
        <w:t>In contrast, t</w:t>
      </w:r>
      <w:r w:rsidR="00DF6340">
        <w:rPr>
          <w:rFonts w:ascii="Arial" w:eastAsia="Times New Roman" w:hAnsi="Arial" w:cs="Arial"/>
          <w:sz w:val="20"/>
          <w:szCs w:val="20"/>
        </w:rPr>
        <w:t xml:space="preserve">he time-series of LAI was </w:t>
      </w:r>
      <w:r w:rsidR="002F5D11">
        <w:rPr>
          <w:rFonts w:ascii="Arial" w:eastAsia="Times New Roman" w:hAnsi="Arial" w:cs="Arial"/>
          <w:sz w:val="20"/>
          <w:szCs w:val="20"/>
        </w:rPr>
        <w:t>characterised by increased symmetry</w:t>
      </w:r>
      <w:r w:rsidR="00DF6340">
        <w:rPr>
          <w:rFonts w:ascii="Arial" w:eastAsia="Times New Roman" w:hAnsi="Arial" w:cs="Arial"/>
          <w:sz w:val="20"/>
          <w:szCs w:val="20"/>
        </w:rPr>
        <w:t xml:space="preserve">, demonstrating comparative stability </w:t>
      </w:r>
      <w:r w:rsidR="00DF6340">
        <w:rPr>
          <w:rFonts w:ascii="Arial" w:eastAsia="Times New Roman" w:hAnsi="Arial" w:cs="Arial"/>
          <w:sz w:val="20"/>
          <w:szCs w:val="20"/>
        </w:rPr>
        <w:lastRenderedPageBreak/>
        <w:t>during peak greenness over the course of the summer months</w:t>
      </w:r>
      <w:r w:rsidR="00C70730">
        <w:rPr>
          <w:rFonts w:ascii="Arial" w:eastAsia="Times New Roman" w:hAnsi="Arial" w:cs="Arial"/>
          <w:sz w:val="20"/>
          <w:szCs w:val="20"/>
        </w:rPr>
        <w:t xml:space="preserve"> (Figure 2</w:t>
      </w:r>
      <w:r w:rsidR="003F061A">
        <w:rPr>
          <w:rFonts w:ascii="Arial" w:eastAsia="Times New Roman" w:hAnsi="Arial" w:cs="Arial"/>
          <w:sz w:val="20"/>
          <w:szCs w:val="20"/>
        </w:rPr>
        <w:t>a</w:t>
      </w:r>
      <w:r w:rsidR="00C70730">
        <w:rPr>
          <w:rFonts w:ascii="Arial" w:eastAsia="Times New Roman" w:hAnsi="Arial" w:cs="Arial"/>
          <w:sz w:val="20"/>
          <w:szCs w:val="20"/>
        </w:rPr>
        <w:t>)</w:t>
      </w:r>
      <w:r w:rsidR="00DF6340">
        <w:rPr>
          <w:rFonts w:ascii="Arial" w:eastAsia="Times New Roman" w:hAnsi="Arial" w:cs="Arial"/>
          <w:sz w:val="20"/>
          <w:szCs w:val="20"/>
        </w:rPr>
        <w:t xml:space="preserve">.  </w:t>
      </w:r>
      <w:r w:rsidR="007F0C73">
        <w:rPr>
          <w:rFonts w:ascii="Arial" w:eastAsia="Times New Roman" w:hAnsi="Arial" w:cs="Arial"/>
          <w:sz w:val="20"/>
          <w:szCs w:val="20"/>
        </w:rPr>
        <w:t>For LAI, t</w:t>
      </w:r>
      <w:r w:rsidR="00DF6340">
        <w:rPr>
          <w:rFonts w:ascii="Arial" w:eastAsia="Times New Roman" w:hAnsi="Arial" w:cs="Arial"/>
          <w:sz w:val="20"/>
          <w:szCs w:val="20"/>
        </w:rPr>
        <w:t>he onset of greenness was</w:t>
      </w:r>
      <w:r w:rsidR="003531FD">
        <w:rPr>
          <w:rFonts w:ascii="Arial" w:eastAsia="Times New Roman" w:hAnsi="Arial" w:cs="Arial"/>
          <w:sz w:val="20"/>
          <w:szCs w:val="20"/>
        </w:rPr>
        <w:t xml:space="preserve"> approximately 3</w:t>
      </w:r>
      <w:r w:rsidR="009B1717">
        <w:rPr>
          <w:rFonts w:ascii="Arial" w:eastAsia="Times New Roman" w:hAnsi="Arial" w:cs="Arial"/>
          <w:sz w:val="20"/>
          <w:szCs w:val="20"/>
        </w:rPr>
        <w:t>0</w:t>
      </w:r>
      <w:r w:rsidR="003531FD">
        <w:rPr>
          <w:rFonts w:ascii="Arial" w:eastAsia="Times New Roman" w:hAnsi="Arial" w:cs="Arial"/>
          <w:sz w:val="20"/>
          <w:szCs w:val="20"/>
        </w:rPr>
        <w:t xml:space="preserve">% more rapid </w:t>
      </w:r>
      <w:r w:rsidR="00DF6340">
        <w:rPr>
          <w:rFonts w:ascii="Arial" w:eastAsia="Times New Roman" w:hAnsi="Arial" w:cs="Arial"/>
          <w:sz w:val="20"/>
          <w:szCs w:val="20"/>
        </w:rPr>
        <w:t>than senescence</w:t>
      </w:r>
      <w:r w:rsidR="00A03BB7">
        <w:rPr>
          <w:rFonts w:ascii="Arial" w:eastAsia="Times New Roman" w:hAnsi="Arial" w:cs="Arial"/>
          <w:sz w:val="20"/>
          <w:szCs w:val="20"/>
        </w:rPr>
        <w:t xml:space="preserve"> </w:t>
      </w:r>
      <w:r w:rsidR="00C70730">
        <w:rPr>
          <w:rFonts w:ascii="Arial" w:eastAsia="Times New Roman" w:hAnsi="Arial" w:cs="Arial"/>
          <w:sz w:val="20"/>
          <w:szCs w:val="20"/>
        </w:rPr>
        <w:t>(Figure 2</w:t>
      </w:r>
      <w:r w:rsidR="003F061A">
        <w:rPr>
          <w:rFonts w:ascii="Arial" w:eastAsia="Times New Roman" w:hAnsi="Arial" w:cs="Arial"/>
          <w:sz w:val="20"/>
          <w:szCs w:val="20"/>
        </w:rPr>
        <w:t>a</w:t>
      </w:r>
      <w:r w:rsidR="00C70730">
        <w:rPr>
          <w:rFonts w:ascii="Arial" w:eastAsia="Times New Roman" w:hAnsi="Arial" w:cs="Arial"/>
          <w:sz w:val="20"/>
          <w:szCs w:val="20"/>
        </w:rPr>
        <w:t>).</w:t>
      </w:r>
    </w:p>
    <w:p w14:paraId="4A411FE0" w14:textId="7F9C5FA2" w:rsidR="00DA5401" w:rsidRDefault="006C39B5" w:rsidP="001638B7">
      <w:pPr>
        <w:tabs>
          <w:tab w:val="center" w:pos="4513"/>
          <w:tab w:val="right" w:pos="9027"/>
        </w:tabs>
        <w:spacing w:before="240" w:line="240" w:lineRule="auto"/>
        <w:jc w:val="center"/>
        <w:rPr>
          <w:rFonts w:ascii="Arial" w:eastAsia="Times New Roman" w:hAnsi="Arial" w:cs="Arial"/>
          <w:sz w:val="18"/>
          <w:szCs w:val="18"/>
        </w:rPr>
      </w:pPr>
      <w:r>
        <w:rPr>
          <w:rFonts w:ascii="Arial" w:eastAsia="Times New Roman" w:hAnsi="Arial" w:cs="Arial"/>
          <w:noProof/>
          <w:sz w:val="20"/>
          <w:szCs w:val="20"/>
          <w:lang w:eastAsia="en-GB"/>
        </w:rPr>
        <w:drawing>
          <wp:inline distT="0" distB="0" distL="0" distR="0" wp14:anchorId="68410AE8" wp14:editId="2CA01103">
            <wp:extent cx="5726430" cy="2145665"/>
            <wp:effectExtent l="0" t="0" r="762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6430" cy="2145665"/>
                    </a:xfrm>
                    <a:prstGeom prst="rect">
                      <a:avLst/>
                    </a:prstGeom>
                    <a:noFill/>
                    <a:ln>
                      <a:noFill/>
                    </a:ln>
                  </pic:spPr>
                </pic:pic>
              </a:graphicData>
            </a:graphic>
          </wp:inline>
        </w:drawing>
      </w:r>
      <w:r w:rsidR="00E6016C">
        <w:rPr>
          <w:rFonts w:ascii="Arial" w:eastAsia="Times New Roman" w:hAnsi="Arial" w:cs="Arial"/>
          <w:sz w:val="18"/>
          <w:szCs w:val="18"/>
        </w:rPr>
        <w:t>(a)</w:t>
      </w:r>
      <w:r w:rsidR="00E6016C">
        <w:rPr>
          <w:rFonts w:ascii="Arial" w:eastAsia="Times New Roman" w:hAnsi="Arial" w:cs="Arial"/>
          <w:sz w:val="18"/>
          <w:szCs w:val="18"/>
        </w:rPr>
        <w:tab/>
        <w:t>(b)</w:t>
      </w:r>
    </w:p>
    <w:p w14:paraId="39F2BD17" w14:textId="0E7DF143" w:rsidR="00DA5401" w:rsidRDefault="00DA5401" w:rsidP="00C70730">
      <w:pPr>
        <w:tabs>
          <w:tab w:val="center" w:pos="4513"/>
          <w:tab w:val="right" w:pos="9027"/>
        </w:tabs>
        <w:spacing w:before="240" w:line="240" w:lineRule="auto"/>
        <w:jc w:val="center"/>
        <w:rPr>
          <w:rFonts w:ascii="Arial" w:eastAsia="Times New Roman" w:hAnsi="Arial" w:cs="Arial"/>
          <w:sz w:val="18"/>
          <w:szCs w:val="18"/>
        </w:rPr>
      </w:pPr>
      <w:r>
        <w:rPr>
          <w:rFonts w:ascii="Arial" w:eastAsia="Times New Roman" w:hAnsi="Arial" w:cs="Arial"/>
          <w:sz w:val="18"/>
          <w:szCs w:val="18"/>
        </w:rPr>
        <w:t>Figure 3: GCC values throughout the study period (a), in addition to the relationship between LAI and the GCC when considering screened obse</w:t>
      </w:r>
      <w:r w:rsidR="00D66EDF">
        <w:rPr>
          <w:rFonts w:ascii="Arial" w:eastAsia="Times New Roman" w:hAnsi="Arial" w:cs="Arial"/>
          <w:sz w:val="18"/>
          <w:szCs w:val="18"/>
        </w:rPr>
        <w:t>rvations of both variables (b).</w:t>
      </w:r>
      <w:r w:rsidR="00D66EDF">
        <w:rPr>
          <w:rFonts w:ascii="Arial" w:eastAsia="Times New Roman" w:hAnsi="Arial" w:cs="Arial"/>
          <w:sz w:val="18"/>
          <w:szCs w:val="18"/>
        </w:rPr>
        <w:br/>
      </w:r>
    </w:p>
    <w:p w14:paraId="2BB7A23C" w14:textId="64422A64" w:rsidR="00B63554" w:rsidRPr="001B35AE" w:rsidRDefault="00B63554" w:rsidP="00B63554">
      <w:pPr>
        <w:tabs>
          <w:tab w:val="center" w:pos="4513"/>
          <w:tab w:val="right" w:pos="9027"/>
        </w:tabs>
        <w:spacing w:before="240" w:line="480" w:lineRule="auto"/>
        <w:jc w:val="both"/>
        <w:rPr>
          <w:rFonts w:ascii="Arial" w:eastAsia="Times New Roman" w:hAnsi="Arial" w:cs="Arial"/>
          <w:i/>
          <w:iCs/>
          <w:sz w:val="20"/>
          <w:szCs w:val="20"/>
        </w:rPr>
      </w:pPr>
      <w:r>
        <w:rPr>
          <w:rFonts w:ascii="Arial" w:eastAsia="Times New Roman" w:hAnsi="Arial" w:cs="Arial"/>
          <w:i/>
          <w:iCs/>
          <w:sz w:val="20"/>
          <w:szCs w:val="20"/>
        </w:rPr>
        <w:t xml:space="preserve">3.2. Evaluation of </w:t>
      </w:r>
      <w:r w:rsidR="00F21B51">
        <w:rPr>
          <w:rFonts w:ascii="Arial" w:eastAsia="Times New Roman" w:hAnsi="Arial" w:cs="Arial"/>
          <w:i/>
          <w:iCs/>
          <w:sz w:val="20"/>
          <w:szCs w:val="20"/>
        </w:rPr>
        <w:t xml:space="preserve">screened </w:t>
      </w:r>
      <w:r>
        <w:rPr>
          <w:rFonts w:ascii="Arial" w:eastAsia="Times New Roman" w:hAnsi="Arial" w:cs="Arial"/>
          <w:i/>
          <w:iCs/>
          <w:sz w:val="20"/>
          <w:szCs w:val="20"/>
        </w:rPr>
        <w:t xml:space="preserve">LAI data </w:t>
      </w:r>
      <w:r w:rsidR="00F21B51">
        <w:rPr>
          <w:rFonts w:ascii="Arial" w:eastAsia="Times New Roman" w:hAnsi="Arial" w:cs="Arial"/>
          <w:i/>
          <w:iCs/>
          <w:sz w:val="20"/>
          <w:szCs w:val="20"/>
        </w:rPr>
        <w:t>against manually acquired DHP</w:t>
      </w:r>
    </w:p>
    <w:p w14:paraId="21B171D2" w14:textId="1F6BBCF4" w:rsidR="00B63554" w:rsidRDefault="00B63554" w:rsidP="00B63554">
      <w:pPr>
        <w:tabs>
          <w:tab w:val="center" w:pos="4513"/>
          <w:tab w:val="right" w:pos="9027"/>
        </w:tabs>
        <w:spacing w:before="240" w:line="480" w:lineRule="auto"/>
        <w:jc w:val="both"/>
        <w:rPr>
          <w:rFonts w:ascii="Arial" w:eastAsia="Times New Roman" w:hAnsi="Arial" w:cs="Arial"/>
          <w:sz w:val="20"/>
          <w:szCs w:val="20"/>
        </w:rPr>
      </w:pPr>
      <w:bookmarkStart w:id="16" w:name="_Hlk27317644"/>
      <w:r>
        <w:rPr>
          <w:rFonts w:ascii="Arial" w:eastAsia="Times New Roman" w:hAnsi="Arial" w:cs="Arial"/>
          <w:sz w:val="20"/>
          <w:szCs w:val="20"/>
        </w:rPr>
        <w:t>In t</w:t>
      </w:r>
      <w:r w:rsidR="007F0C73">
        <w:rPr>
          <w:rFonts w:ascii="Arial" w:eastAsia="Times New Roman" w:hAnsi="Arial" w:cs="Arial"/>
          <w:sz w:val="20"/>
          <w:szCs w:val="20"/>
        </w:rPr>
        <w:t>erms of</w:t>
      </w:r>
      <w:r>
        <w:rPr>
          <w:rFonts w:ascii="Arial" w:eastAsia="Times New Roman" w:hAnsi="Arial" w:cs="Arial"/>
          <w:sz w:val="20"/>
          <w:szCs w:val="20"/>
        </w:rPr>
        <w:t xml:space="preserve"> LAI derived from the automated DHP system, the screened data demonstrated very </w:t>
      </w:r>
      <w:r w:rsidR="004B1115">
        <w:rPr>
          <w:rFonts w:ascii="Arial" w:eastAsia="Times New Roman" w:hAnsi="Arial" w:cs="Arial"/>
          <w:sz w:val="20"/>
          <w:szCs w:val="20"/>
        </w:rPr>
        <w:t xml:space="preserve">close </w:t>
      </w:r>
      <w:r>
        <w:rPr>
          <w:rFonts w:ascii="Arial" w:eastAsia="Times New Roman" w:hAnsi="Arial" w:cs="Arial"/>
          <w:sz w:val="20"/>
          <w:szCs w:val="20"/>
        </w:rPr>
        <w:t xml:space="preserve">agreement with </w:t>
      </w:r>
      <w:r w:rsidR="00F21B51">
        <w:rPr>
          <w:rFonts w:ascii="Arial" w:eastAsia="Times New Roman" w:hAnsi="Arial" w:cs="Arial"/>
          <w:sz w:val="20"/>
          <w:szCs w:val="20"/>
        </w:rPr>
        <w:t xml:space="preserve">manually </w:t>
      </w:r>
      <w:r>
        <w:rPr>
          <w:rFonts w:ascii="Arial" w:eastAsia="Times New Roman" w:hAnsi="Arial" w:cs="Arial"/>
          <w:sz w:val="20"/>
          <w:szCs w:val="20"/>
        </w:rPr>
        <w:t xml:space="preserve">acquired DHP data </w:t>
      </w:r>
      <w:r w:rsidR="00975E1E">
        <w:rPr>
          <w:rFonts w:ascii="Arial" w:eastAsia="Times New Roman" w:hAnsi="Arial" w:cs="Arial"/>
          <w:sz w:val="20"/>
          <w:szCs w:val="20"/>
        </w:rPr>
        <w:t>(</w:t>
      </w:r>
      <w:r>
        <w:rPr>
          <w:rFonts w:ascii="Arial" w:eastAsia="Times New Roman" w:hAnsi="Arial" w:cs="Arial"/>
          <w:sz w:val="20"/>
          <w:szCs w:val="20"/>
        </w:rPr>
        <w:t>collected</w:t>
      </w:r>
      <w:r w:rsidR="000E201B">
        <w:rPr>
          <w:rFonts w:ascii="Arial" w:eastAsia="Times New Roman" w:hAnsi="Arial" w:cs="Arial"/>
          <w:sz w:val="20"/>
          <w:szCs w:val="20"/>
        </w:rPr>
        <w:t xml:space="preserve"> under best-case illumination conditions</w:t>
      </w:r>
      <w:r>
        <w:rPr>
          <w:rFonts w:ascii="Arial" w:eastAsia="Times New Roman" w:hAnsi="Arial" w:cs="Arial"/>
          <w:sz w:val="20"/>
          <w:szCs w:val="20"/>
        </w:rPr>
        <w:t xml:space="preserve"> at </w:t>
      </w:r>
      <w:r w:rsidR="001D2C42">
        <w:rPr>
          <w:rFonts w:ascii="Arial" w:eastAsia="Times New Roman" w:hAnsi="Arial" w:cs="Arial"/>
          <w:sz w:val="20"/>
          <w:szCs w:val="20"/>
        </w:rPr>
        <w:t>thirteen</w:t>
      </w:r>
      <w:r>
        <w:rPr>
          <w:rFonts w:ascii="Arial" w:eastAsia="Times New Roman" w:hAnsi="Arial" w:cs="Arial"/>
          <w:sz w:val="20"/>
          <w:szCs w:val="20"/>
        </w:rPr>
        <w:t xml:space="preserve"> points </w:t>
      </w:r>
      <w:r w:rsidR="00975E1E">
        <w:rPr>
          <w:rFonts w:ascii="Arial" w:eastAsia="Times New Roman" w:hAnsi="Arial" w:cs="Arial"/>
          <w:sz w:val="20"/>
          <w:szCs w:val="20"/>
        </w:rPr>
        <w:t>within the surrounding</w:t>
      </w:r>
      <w:r>
        <w:rPr>
          <w:rFonts w:ascii="Arial" w:eastAsia="Times New Roman" w:hAnsi="Arial" w:cs="Arial"/>
          <w:sz w:val="20"/>
          <w:szCs w:val="20"/>
        </w:rPr>
        <w:t xml:space="preserve"> 40 m x 40 m </w:t>
      </w:r>
      <w:r w:rsidR="00975E1E">
        <w:rPr>
          <w:rFonts w:ascii="Arial" w:eastAsia="Times New Roman" w:hAnsi="Arial" w:cs="Arial"/>
          <w:sz w:val="20"/>
          <w:szCs w:val="20"/>
        </w:rPr>
        <w:t>area)</w:t>
      </w:r>
      <w:r>
        <w:rPr>
          <w:rFonts w:ascii="Arial" w:eastAsia="Times New Roman" w:hAnsi="Arial" w:cs="Arial"/>
          <w:sz w:val="20"/>
          <w:szCs w:val="20"/>
        </w:rPr>
        <w:t xml:space="preserve">.  </w:t>
      </w:r>
      <w:bookmarkEnd w:id="16"/>
      <w:r>
        <w:rPr>
          <w:rFonts w:ascii="Arial" w:eastAsia="Times New Roman" w:hAnsi="Arial" w:cs="Arial"/>
          <w:sz w:val="20"/>
          <w:szCs w:val="20"/>
        </w:rPr>
        <w:t>This was reflected by a strong linear relationship (</w:t>
      </w:r>
      <w:r>
        <w:rPr>
          <w:rFonts w:ascii="Arial" w:eastAsia="Times New Roman" w:hAnsi="Arial" w:cs="Arial"/>
          <w:i/>
          <w:iCs/>
          <w:sz w:val="20"/>
          <w:szCs w:val="20"/>
        </w:rPr>
        <w:t>r</w:t>
      </w:r>
      <w:r>
        <w:rPr>
          <w:rFonts w:ascii="Arial" w:eastAsia="Times New Roman" w:hAnsi="Arial" w:cs="Arial"/>
          <w:sz w:val="20"/>
          <w:szCs w:val="20"/>
          <w:vertAlign w:val="superscript"/>
        </w:rPr>
        <w:t>2</w:t>
      </w:r>
      <w:r>
        <w:rPr>
          <w:rFonts w:ascii="Arial" w:eastAsia="Times New Roman" w:hAnsi="Arial" w:cs="Arial"/>
          <w:sz w:val="20"/>
          <w:szCs w:val="20"/>
        </w:rPr>
        <w:t xml:space="preserve"> = 0.99), high accuracy (RMSE = 0.20, NRMSE = 12.60%), low bias (-0.13) and high precision (0.16).  Minimal scatter was observed at all LAI values, with points lying close to the 1:1 line regardless of their magnitude (Figure 2</w:t>
      </w:r>
      <w:r w:rsidR="003F061A">
        <w:rPr>
          <w:rFonts w:ascii="Arial" w:eastAsia="Times New Roman" w:hAnsi="Arial" w:cs="Arial"/>
          <w:sz w:val="20"/>
          <w:szCs w:val="20"/>
        </w:rPr>
        <w:t>b</w:t>
      </w:r>
      <w:r>
        <w:rPr>
          <w:rFonts w:ascii="Arial" w:eastAsia="Times New Roman" w:hAnsi="Arial" w:cs="Arial"/>
          <w:sz w:val="20"/>
          <w:szCs w:val="20"/>
        </w:rPr>
        <w:t xml:space="preserve">).  </w:t>
      </w:r>
      <w:r w:rsidR="00975E1E">
        <w:rPr>
          <w:rFonts w:ascii="Arial" w:eastAsia="Times New Roman" w:hAnsi="Arial" w:cs="Arial"/>
          <w:sz w:val="20"/>
          <w:szCs w:val="20"/>
        </w:rPr>
        <w:t>These results were</w:t>
      </w:r>
      <w:r w:rsidR="007F0C73">
        <w:rPr>
          <w:rFonts w:ascii="Arial" w:eastAsia="Times New Roman" w:hAnsi="Arial" w:cs="Arial"/>
          <w:sz w:val="20"/>
          <w:szCs w:val="20"/>
        </w:rPr>
        <w:t xml:space="preserve"> reflected by </w:t>
      </w:r>
      <w:r>
        <w:rPr>
          <w:rFonts w:ascii="Arial" w:eastAsia="Times New Roman" w:hAnsi="Arial" w:cs="Arial"/>
          <w:sz w:val="20"/>
          <w:szCs w:val="20"/>
        </w:rPr>
        <w:t>good temporal consistency</w:t>
      </w:r>
      <w:r w:rsidR="007F0C73">
        <w:rPr>
          <w:rFonts w:ascii="Arial" w:eastAsia="Times New Roman" w:hAnsi="Arial" w:cs="Arial"/>
          <w:sz w:val="20"/>
          <w:szCs w:val="20"/>
        </w:rPr>
        <w:t xml:space="preserve"> in the</w:t>
      </w:r>
      <w:r>
        <w:rPr>
          <w:rFonts w:ascii="Arial" w:eastAsia="Times New Roman" w:hAnsi="Arial" w:cs="Arial"/>
          <w:sz w:val="20"/>
          <w:szCs w:val="20"/>
        </w:rPr>
        <w:t xml:space="preserve"> </w:t>
      </w:r>
      <w:r w:rsidR="007F0C73">
        <w:rPr>
          <w:rFonts w:ascii="Arial" w:eastAsia="Times New Roman" w:hAnsi="Arial" w:cs="Arial"/>
          <w:sz w:val="20"/>
          <w:szCs w:val="20"/>
        </w:rPr>
        <w:t>time-series of screened and</w:t>
      </w:r>
      <w:r>
        <w:rPr>
          <w:rFonts w:ascii="Arial" w:eastAsia="Times New Roman" w:hAnsi="Arial" w:cs="Arial"/>
          <w:sz w:val="20"/>
          <w:szCs w:val="20"/>
        </w:rPr>
        <w:t xml:space="preserve"> </w:t>
      </w:r>
      <w:r w:rsidR="00F21B51">
        <w:rPr>
          <w:rFonts w:ascii="Arial" w:eastAsia="Times New Roman" w:hAnsi="Arial" w:cs="Arial"/>
          <w:sz w:val="20"/>
          <w:szCs w:val="20"/>
        </w:rPr>
        <w:t xml:space="preserve">manually </w:t>
      </w:r>
      <w:r>
        <w:rPr>
          <w:rFonts w:ascii="Arial" w:eastAsia="Times New Roman" w:hAnsi="Arial" w:cs="Arial"/>
          <w:sz w:val="20"/>
          <w:szCs w:val="20"/>
        </w:rPr>
        <w:t>acquired DHP data</w:t>
      </w:r>
      <w:r w:rsidR="007F0C73">
        <w:rPr>
          <w:rFonts w:ascii="Arial" w:eastAsia="Times New Roman" w:hAnsi="Arial" w:cs="Arial"/>
          <w:sz w:val="20"/>
          <w:szCs w:val="20"/>
        </w:rPr>
        <w:t xml:space="preserve"> </w:t>
      </w:r>
      <w:r>
        <w:rPr>
          <w:rFonts w:ascii="Arial" w:eastAsia="Times New Roman" w:hAnsi="Arial" w:cs="Arial"/>
          <w:sz w:val="20"/>
          <w:szCs w:val="20"/>
        </w:rPr>
        <w:t>(Figure 2</w:t>
      </w:r>
      <w:r w:rsidR="003F061A">
        <w:rPr>
          <w:rFonts w:ascii="Arial" w:eastAsia="Times New Roman" w:hAnsi="Arial" w:cs="Arial"/>
          <w:sz w:val="20"/>
          <w:szCs w:val="20"/>
        </w:rPr>
        <w:t>a</w:t>
      </w:r>
      <w:r>
        <w:rPr>
          <w:rFonts w:ascii="Arial" w:eastAsia="Times New Roman" w:hAnsi="Arial" w:cs="Arial"/>
          <w:sz w:val="20"/>
          <w:szCs w:val="20"/>
        </w:rPr>
        <w:t>).</w:t>
      </w:r>
    </w:p>
    <w:p w14:paraId="3A71588E" w14:textId="23E4F7EA" w:rsidR="001B35AE" w:rsidRDefault="001B35AE" w:rsidP="006F3318">
      <w:pPr>
        <w:tabs>
          <w:tab w:val="center" w:pos="4513"/>
          <w:tab w:val="right" w:pos="9027"/>
        </w:tabs>
        <w:spacing w:before="240" w:line="480" w:lineRule="auto"/>
        <w:jc w:val="both"/>
        <w:rPr>
          <w:rFonts w:ascii="Arial" w:eastAsia="Times New Roman" w:hAnsi="Arial" w:cs="Arial"/>
          <w:i/>
          <w:iCs/>
          <w:sz w:val="20"/>
          <w:szCs w:val="20"/>
        </w:rPr>
      </w:pPr>
      <w:r>
        <w:rPr>
          <w:rFonts w:ascii="Arial" w:eastAsia="Times New Roman" w:hAnsi="Arial" w:cs="Arial"/>
          <w:i/>
          <w:iCs/>
          <w:sz w:val="20"/>
          <w:szCs w:val="20"/>
        </w:rPr>
        <w:t>3.3. Relationship between the GCC and LAI</w:t>
      </w:r>
    </w:p>
    <w:p w14:paraId="79CA87BE" w14:textId="05B4B62A" w:rsidR="00D66EDF" w:rsidRDefault="007D54A9" w:rsidP="006F3318">
      <w:pPr>
        <w:tabs>
          <w:tab w:val="center" w:pos="4513"/>
          <w:tab w:val="right" w:pos="9027"/>
        </w:tabs>
        <w:spacing w:before="240" w:line="480" w:lineRule="auto"/>
        <w:jc w:val="both"/>
        <w:rPr>
          <w:rFonts w:ascii="Arial" w:eastAsia="Times New Roman" w:hAnsi="Arial" w:cs="Arial"/>
          <w:sz w:val="20"/>
          <w:szCs w:val="20"/>
        </w:rPr>
      </w:pPr>
      <w:r>
        <w:rPr>
          <w:rFonts w:ascii="Arial" w:eastAsia="Times New Roman" w:hAnsi="Arial" w:cs="Arial"/>
          <w:sz w:val="20"/>
          <w:szCs w:val="20"/>
        </w:rPr>
        <w:t xml:space="preserve">The </w:t>
      </w:r>
      <w:r w:rsidR="00D57893">
        <w:rPr>
          <w:rFonts w:ascii="Arial" w:eastAsia="Times New Roman" w:hAnsi="Arial" w:cs="Arial"/>
          <w:sz w:val="20"/>
          <w:szCs w:val="20"/>
        </w:rPr>
        <w:t xml:space="preserve">observed </w:t>
      </w:r>
      <w:r>
        <w:rPr>
          <w:rFonts w:ascii="Arial" w:eastAsia="Times New Roman" w:hAnsi="Arial" w:cs="Arial"/>
          <w:sz w:val="20"/>
          <w:szCs w:val="20"/>
        </w:rPr>
        <w:t>relationship between the GCC and LAI was non-linear</w:t>
      </w:r>
      <w:r w:rsidR="004B7923">
        <w:rPr>
          <w:rFonts w:ascii="Arial" w:eastAsia="Times New Roman" w:hAnsi="Arial" w:cs="Arial"/>
          <w:sz w:val="20"/>
          <w:szCs w:val="20"/>
        </w:rPr>
        <w:t>,</w:t>
      </w:r>
      <w:r>
        <w:rPr>
          <w:rFonts w:ascii="Arial" w:eastAsia="Times New Roman" w:hAnsi="Arial" w:cs="Arial"/>
          <w:sz w:val="20"/>
          <w:szCs w:val="20"/>
        </w:rPr>
        <w:t xml:space="preserve"> highly dependent on phenological stage</w:t>
      </w:r>
      <w:r w:rsidR="001B60AD">
        <w:rPr>
          <w:rFonts w:ascii="Arial" w:eastAsia="Times New Roman" w:hAnsi="Arial" w:cs="Arial"/>
          <w:sz w:val="20"/>
          <w:szCs w:val="20"/>
        </w:rPr>
        <w:t>,</w:t>
      </w:r>
      <w:r w:rsidR="004B7923">
        <w:rPr>
          <w:rFonts w:ascii="Arial" w:eastAsia="Times New Roman" w:hAnsi="Arial" w:cs="Arial"/>
          <w:sz w:val="20"/>
          <w:szCs w:val="20"/>
        </w:rPr>
        <w:t xml:space="preserve"> and characterised by hysteresis effects. </w:t>
      </w:r>
      <w:r>
        <w:rPr>
          <w:rFonts w:ascii="Arial" w:eastAsia="Times New Roman" w:hAnsi="Arial" w:cs="Arial"/>
          <w:sz w:val="20"/>
          <w:szCs w:val="20"/>
        </w:rPr>
        <w:t xml:space="preserve"> </w:t>
      </w:r>
      <w:r w:rsidR="004B7923">
        <w:rPr>
          <w:rFonts w:ascii="Arial" w:eastAsia="Times New Roman" w:hAnsi="Arial" w:cs="Arial"/>
          <w:sz w:val="20"/>
          <w:szCs w:val="20"/>
        </w:rPr>
        <w:t xml:space="preserve">This was most </w:t>
      </w:r>
      <w:r w:rsidR="00C70730">
        <w:rPr>
          <w:rFonts w:ascii="Arial" w:eastAsia="Times New Roman" w:hAnsi="Arial" w:cs="Arial"/>
          <w:sz w:val="20"/>
          <w:szCs w:val="20"/>
        </w:rPr>
        <w:t>distinctly</w:t>
      </w:r>
      <w:r w:rsidR="004B7923">
        <w:rPr>
          <w:rFonts w:ascii="Arial" w:eastAsia="Times New Roman" w:hAnsi="Arial" w:cs="Arial"/>
          <w:sz w:val="20"/>
          <w:szCs w:val="20"/>
        </w:rPr>
        <w:t xml:space="preserve"> demonstrated when comparing </w:t>
      </w:r>
      <w:r w:rsidR="00C70730">
        <w:rPr>
          <w:rFonts w:ascii="Arial" w:eastAsia="Times New Roman" w:hAnsi="Arial" w:cs="Arial"/>
          <w:sz w:val="20"/>
          <w:szCs w:val="20"/>
        </w:rPr>
        <w:t xml:space="preserve">interpolated </w:t>
      </w:r>
      <w:r w:rsidR="004B7923">
        <w:rPr>
          <w:rFonts w:ascii="Arial" w:eastAsia="Times New Roman" w:hAnsi="Arial" w:cs="Arial"/>
          <w:sz w:val="20"/>
          <w:szCs w:val="20"/>
        </w:rPr>
        <w:t>values provided by the</w:t>
      </w:r>
      <w:r w:rsidR="008204E9">
        <w:rPr>
          <w:rFonts w:ascii="Arial" w:eastAsia="Times New Roman" w:hAnsi="Arial" w:cs="Arial"/>
          <w:sz w:val="20"/>
          <w:szCs w:val="20"/>
        </w:rPr>
        <w:t xml:space="preserve"> </w:t>
      </w:r>
      <w:r w:rsidR="0012191D">
        <w:rPr>
          <w:rFonts w:ascii="Arial" w:eastAsia="Times New Roman" w:hAnsi="Arial" w:cs="Arial"/>
          <w:sz w:val="20"/>
          <w:szCs w:val="20"/>
        </w:rPr>
        <w:t>phenological</w:t>
      </w:r>
      <w:r w:rsidR="004B7923">
        <w:rPr>
          <w:rFonts w:ascii="Arial" w:eastAsia="Times New Roman" w:hAnsi="Arial" w:cs="Arial"/>
          <w:sz w:val="20"/>
          <w:szCs w:val="20"/>
        </w:rPr>
        <w:t xml:space="preserve"> functions fit to the GCC and LAI</w:t>
      </w:r>
      <w:r w:rsidR="003F061A">
        <w:rPr>
          <w:rFonts w:ascii="Arial" w:eastAsia="Times New Roman" w:hAnsi="Arial" w:cs="Arial"/>
          <w:sz w:val="20"/>
          <w:szCs w:val="20"/>
        </w:rPr>
        <w:t xml:space="preserve"> (Figure </w:t>
      </w:r>
      <w:r w:rsidR="00DA5401">
        <w:rPr>
          <w:rFonts w:ascii="Arial" w:eastAsia="Times New Roman" w:hAnsi="Arial" w:cs="Arial"/>
          <w:sz w:val="20"/>
          <w:szCs w:val="20"/>
        </w:rPr>
        <w:t>4b</w:t>
      </w:r>
      <w:proofErr w:type="gramStart"/>
      <w:r w:rsidR="003F061A">
        <w:rPr>
          <w:rFonts w:ascii="Arial" w:eastAsia="Times New Roman" w:hAnsi="Arial" w:cs="Arial"/>
          <w:sz w:val="20"/>
          <w:szCs w:val="20"/>
        </w:rPr>
        <w:t>)</w:t>
      </w:r>
      <w:r w:rsidR="004B7923">
        <w:rPr>
          <w:rFonts w:ascii="Arial" w:eastAsia="Times New Roman" w:hAnsi="Arial" w:cs="Arial"/>
          <w:sz w:val="20"/>
          <w:szCs w:val="20"/>
        </w:rPr>
        <w:t>, but</w:t>
      </w:r>
      <w:proofErr w:type="gramEnd"/>
      <w:r w:rsidR="004B7923">
        <w:rPr>
          <w:rFonts w:ascii="Arial" w:eastAsia="Times New Roman" w:hAnsi="Arial" w:cs="Arial"/>
          <w:sz w:val="20"/>
          <w:szCs w:val="20"/>
        </w:rPr>
        <w:t xml:space="preserve"> was also</w:t>
      </w:r>
      <w:r w:rsidR="00C70730">
        <w:rPr>
          <w:rFonts w:ascii="Arial" w:eastAsia="Times New Roman" w:hAnsi="Arial" w:cs="Arial"/>
          <w:sz w:val="20"/>
          <w:szCs w:val="20"/>
        </w:rPr>
        <w:t xml:space="preserve"> clearly</w:t>
      </w:r>
      <w:r w:rsidR="004B7923">
        <w:rPr>
          <w:rFonts w:ascii="Arial" w:eastAsia="Times New Roman" w:hAnsi="Arial" w:cs="Arial"/>
          <w:sz w:val="20"/>
          <w:szCs w:val="20"/>
        </w:rPr>
        <w:t xml:space="preserve"> apparent in the</w:t>
      </w:r>
      <w:r w:rsidR="007F0C73">
        <w:rPr>
          <w:rFonts w:ascii="Arial" w:eastAsia="Times New Roman" w:hAnsi="Arial" w:cs="Arial"/>
          <w:sz w:val="20"/>
          <w:szCs w:val="20"/>
        </w:rPr>
        <w:t xml:space="preserve"> screened</w:t>
      </w:r>
      <w:r w:rsidR="004B7923">
        <w:rPr>
          <w:rFonts w:ascii="Arial" w:eastAsia="Times New Roman" w:hAnsi="Arial" w:cs="Arial"/>
          <w:sz w:val="20"/>
          <w:szCs w:val="20"/>
        </w:rPr>
        <w:t xml:space="preserve"> GCC and LAI </w:t>
      </w:r>
      <w:r w:rsidR="007F0C73">
        <w:rPr>
          <w:rFonts w:ascii="Arial" w:eastAsia="Times New Roman" w:hAnsi="Arial" w:cs="Arial"/>
          <w:sz w:val="20"/>
          <w:szCs w:val="20"/>
        </w:rPr>
        <w:t>observations</w:t>
      </w:r>
      <w:r w:rsidR="00A71ADF">
        <w:rPr>
          <w:rFonts w:ascii="Arial" w:eastAsia="Times New Roman" w:hAnsi="Arial" w:cs="Arial"/>
          <w:sz w:val="20"/>
          <w:szCs w:val="20"/>
        </w:rPr>
        <w:t xml:space="preserve"> </w:t>
      </w:r>
      <w:r w:rsidR="00C70730">
        <w:rPr>
          <w:rFonts w:ascii="Arial" w:eastAsia="Times New Roman" w:hAnsi="Arial" w:cs="Arial"/>
          <w:sz w:val="20"/>
          <w:szCs w:val="20"/>
        </w:rPr>
        <w:t>(Figure 3</w:t>
      </w:r>
      <w:r w:rsidR="003F061A">
        <w:rPr>
          <w:rFonts w:ascii="Arial" w:eastAsia="Times New Roman" w:hAnsi="Arial" w:cs="Arial"/>
          <w:sz w:val="20"/>
          <w:szCs w:val="20"/>
        </w:rPr>
        <w:t>b</w:t>
      </w:r>
      <w:r w:rsidR="00C70730">
        <w:rPr>
          <w:rFonts w:ascii="Arial" w:eastAsia="Times New Roman" w:hAnsi="Arial" w:cs="Arial"/>
          <w:sz w:val="20"/>
          <w:szCs w:val="20"/>
        </w:rPr>
        <w:t>)</w:t>
      </w:r>
      <w:r w:rsidR="004B7923">
        <w:rPr>
          <w:rFonts w:ascii="Arial" w:eastAsia="Times New Roman" w:hAnsi="Arial" w:cs="Arial"/>
          <w:sz w:val="20"/>
          <w:szCs w:val="20"/>
        </w:rPr>
        <w:t xml:space="preserve">.  </w:t>
      </w:r>
      <w:r>
        <w:rPr>
          <w:rFonts w:ascii="Arial" w:eastAsia="Times New Roman" w:hAnsi="Arial" w:cs="Arial"/>
          <w:sz w:val="20"/>
          <w:szCs w:val="20"/>
        </w:rPr>
        <w:t>During the onset of greenness</w:t>
      </w:r>
      <w:r w:rsidR="004C19FC">
        <w:rPr>
          <w:rFonts w:ascii="Arial" w:eastAsia="Times New Roman" w:hAnsi="Arial" w:cs="Arial"/>
          <w:sz w:val="20"/>
          <w:szCs w:val="20"/>
        </w:rPr>
        <w:t xml:space="preserve"> (Figure </w:t>
      </w:r>
      <w:r w:rsidR="00DA5401">
        <w:rPr>
          <w:rFonts w:ascii="Arial" w:eastAsia="Times New Roman" w:hAnsi="Arial" w:cs="Arial"/>
          <w:sz w:val="20"/>
          <w:szCs w:val="20"/>
        </w:rPr>
        <w:t>4b</w:t>
      </w:r>
      <w:r w:rsidR="004C19FC">
        <w:rPr>
          <w:rFonts w:ascii="Arial" w:eastAsia="Times New Roman" w:hAnsi="Arial" w:cs="Arial"/>
          <w:sz w:val="20"/>
          <w:szCs w:val="20"/>
        </w:rPr>
        <w:t>,</w:t>
      </w:r>
      <w:r w:rsidR="0058066A">
        <w:rPr>
          <w:rFonts w:ascii="Arial" w:eastAsia="Times New Roman" w:hAnsi="Arial" w:cs="Arial"/>
          <w:sz w:val="20"/>
          <w:szCs w:val="20"/>
        </w:rPr>
        <w:t xml:space="preserve"> Phase</w:t>
      </w:r>
      <w:r w:rsidR="000511B0">
        <w:rPr>
          <w:rFonts w:ascii="Arial" w:eastAsia="Times New Roman" w:hAnsi="Arial" w:cs="Arial"/>
          <w:sz w:val="20"/>
          <w:szCs w:val="20"/>
        </w:rPr>
        <w:t xml:space="preserve"> </w:t>
      </w:r>
      <w:r w:rsidR="004C19FC">
        <w:rPr>
          <w:rFonts w:ascii="Arial" w:eastAsia="Times New Roman" w:hAnsi="Arial" w:cs="Arial"/>
          <w:sz w:val="20"/>
          <w:szCs w:val="20"/>
        </w:rPr>
        <w:t>1)</w:t>
      </w:r>
      <w:r>
        <w:rPr>
          <w:rFonts w:ascii="Arial" w:eastAsia="Times New Roman" w:hAnsi="Arial" w:cs="Arial"/>
          <w:sz w:val="20"/>
          <w:szCs w:val="20"/>
        </w:rPr>
        <w:t>, the GCC increased exponentially with increases in LAI</w:t>
      </w:r>
      <w:r w:rsidR="004B7923">
        <w:rPr>
          <w:rFonts w:ascii="Arial" w:eastAsia="Times New Roman" w:hAnsi="Arial" w:cs="Arial"/>
          <w:sz w:val="20"/>
          <w:szCs w:val="20"/>
        </w:rPr>
        <w:t>, ranging from 0.36 (LAI = 0.65) to 0.47 (LAI = 3.68)</w:t>
      </w:r>
      <w:r>
        <w:rPr>
          <w:rFonts w:ascii="Arial" w:eastAsia="Times New Roman" w:hAnsi="Arial" w:cs="Arial"/>
          <w:sz w:val="20"/>
          <w:szCs w:val="20"/>
        </w:rPr>
        <w:t xml:space="preserve">.  </w:t>
      </w:r>
      <w:r w:rsidR="001B60AD">
        <w:rPr>
          <w:rFonts w:ascii="Arial" w:eastAsia="Times New Roman" w:hAnsi="Arial" w:cs="Arial"/>
          <w:sz w:val="20"/>
          <w:szCs w:val="20"/>
        </w:rPr>
        <w:t>Throughout</w:t>
      </w:r>
      <w:r>
        <w:rPr>
          <w:rFonts w:ascii="Arial" w:eastAsia="Times New Roman" w:hAnsi="Arial" w:cs="Arial"/>
          <w:sz w:val="20"/>
          <w:szCs w:val="20"/>
        </w:rPr>
        <w:t xml:space="preserve"> peak greenness</w:t>
      </w:r>
      <w:r w:rsidR="004B7923">
        <w:rPr>
          <w:rFonts w:ascii="Arial" w:eastAsia="Times New Roman" w:hAnsi="Arial" w:cs="Arial"/>
          <w:sz w:val="20"/>
          <w:szCs w:val="20"/>
        </w:rPr>
        <w:t>, a reduction</w:t>
      </w:r>
      <w:r>
        <w:rPr>
          <w:rFonts w:ascii="Arial" w:eastAsia="Times New Roman" w:hAnsi="Arial" w:cs="Arial"/>
          <w:sz w:val="20"/>
          <w:szCs w:val="20"/>
        </w:rPr>
        <w:t xml:space="preserve"> in the GCC </w:t>
      </w:r>
      <w:r w:rsidR="004B7923">
        <w:rPr>
          <w:rFonts w:ascii="Arial" w:eastAsia="Times New Roman" w:hAnsi="Arial" w:cs="Arial"/>
          <w:sz w:val="20"/>
          <w:szCs w:val="20"/>
        </w:rPr>
        <w:t xml:space="preserve">from 0.47 to 0.43 </w:t>
      </w:r>
      <w:r>
        <w:rPr>
          <w:rFonts w:ascii="Arial" w:eastAsia="Times New Roman" w:hAnsi="Arial" w:cs="Arial"/>
          <w:sz w:val="20"/>
          <w:szCs w:val="20"/>
        </w:rPr>
        <w:t>occurred independently of any changes in LAI</w:t>
      </w:r>
      <w:r w:rsidR="004C19FC">
        <w:rPr>
          <w:rFonts w:ascii="Arial" w:eastAsia="Times New Roman" w:hAnsi="Arial" w:cs="Arial"/>
          <w:sz w:val="20"/>
          <w:szCs w:val="20"/>
        </w:rPr>
        <w:t xml:space="preserve"> (Figure </w:t>
      </w:r>
      <w:r w:rsidR="00DA5401">
        <w:rPr>
          <w:rFonts w:ascii="Arial" w:eastAsia="Times New Roman" w:hAnsi="Arial" w:cs="Arial"/>
          <w:sz w:val="20"/>
          <w:szCs w:val="20"/>
        </w:rPr>
        <w:t>4b</w:t>
      </w:r>
      <w:r w:rsidR="004C19FC">
        <w:rPr>
          <w:rFonts w:ascii="Arial" w:eastAsia="Times New Roman" w:hAnsi="Arial" w:cs="Arial"/>
          <w:sz w:val="20"/>
          <w:szCs w:val="20"/>
        </w:rPr>
        <w:t xml:space="preserve">, </w:t>
      </w:r>
      <w:r w:rsidR="0058066A">
        <w:rPr>
          <w:rFonts w:ascii="Arial" w:eastAsia="Times New Roman" w:hAnsi="Arial" w:cs="Arial"/>
          <w:sz w:val="20"/>
          <w:szCs w:val="20"/>
        </w:rPr>
        <w:t>Phase 2</w:t>
      </w:r>
      <w:r w:rsidR="004C19FC">
        <w:rPr>
          <w:rFonts w:ascii="Arial" w:eastAsia="Times New Roman" w:hAnsi="Arial" w:cs="Arial"/>
          <w:sz w:val="20"/>
          <w:szCs w:val="20"/>
        </w:rPr>
        <w:t>)</w:t>
      </w:r>
      <w:r w:rsidR="004B7923">
        <w:rPr>
          <w:rFonts w:ascii="Arial" w:eastAsia="Times New Roman" w:hAnsi="Arial" w:cs="Arial"/>
          <w:sz w:val="20"/>
          <w:szCs w:val="20"/>
        </w:rPr>
        <w:t xml:space="preserve">.  </w:t>
      </w:r>
      <w:r>
        <w:rPr>
          <w:rFonts w:ascii="Arial" w:eastAsia="Times New Roman" w:hAnsi="Arial" w:cs="Arial"/>
          <w:sz w:val="20"/>
          <w:szCs w:val="20"/>
        </w:rPr>
        <w:t xml:space="preserve">A near-linear decrease in </w:t>
      </w:r>
      <w:r>
        <w:rPr>
          <w:rFonts w:ascii="Arial" w:eastAsia="Times New Roman" w:hAnsi="Arial" w:cs="Arial"/>
          <w:sz w:val="20"/>
          <w:szCs w:val="20"/>
        </w:rPr>
        <w:lastRenderedPageBreak/>
        <w:t>the GCC was</w:t>
      </w:r>
      <w:r w:rsidR="004B7923">
        <w:rPr>
          <w:rFonts w:ascii="Arial" w:eastAsia="Times New Roman" w:hAnsi="Arial" w:cs="Arial"/>
          <w:sz w:val="20"/>
          <w:szCs w:val="20"/>
        </w:rPr>
        <w:t xml:space="preserve"> then</w:t>
      </w:r>
      <w:r>
        <w:rPr>
          <w:rFonts w:ascii="Arial" w:eastAsia="Times New Roman" w:hAnsi="Arial" w:cs="Arial"/>
          <w:sz w:val="20"/>
          <w:szCs w:val="20"/>
        </w:rPr>
        <w:t xml:space="preserve"> observed during senescence</w:t>
      </w:r>
      <w:r w:rsidR="00D67234">
        <w:rPr>
          <w:rFonts w:ascii="Arial" w:eastAsia="Times New Roman" w:hAnsi="Arial" w:cs="Arial"/>
          <w:sz w:val="20"/>
          <w:szCs w:val="20"/>
        </w:rPr>
        <w:t xml:space="preserve"> (from 0.43 to 0.40)</w:t>
      </w:r>
      <w:r>
        <w:rPr>
          <w:rFonts w:ascii="Arial" w:eastAsia="Times New Roman" w:hAnsi="Arial" w:cs="Arial"/>
          <w:sz w:val="20"/>
          <w:szCs w:val="20"/>
        </w:rPr>
        <w:t>, until</w:t>
      </w:r>
      <w:r w:rsidR="00D67234">
        <w:rPr>
          <w:rFonts w:ascii="Arial" w:eastAsia="Times New Roman" w:hAnsi="Arial" w:cs="Arial"/>
          <w:sz w:val="20"/>
          <w:szCs w:val="20"/>
        </w:rPr>
        <w:t xml:space="preserve"> </w:t>
      </w:r>
      <w:proofErr w:type="gramStart"/>
      <w:r w:rsidR="00D67234">
        <w:rPr>
          <w:rFonts w:ascii="Arial" w:eastAsia="Times New Roman" w:hAnsi="Arial" w:cs="Arial"/>
          <w:sz w:val="20"/>
          <w:szCs w:val="20"/>
        </w:rPr>
        <w:t>an</w:t>
      </w:r>
      <w:proofErr w:type="gramEnd"/>
      <w:r>
        <w:rPr>
          <w:rFonts w:ascii="Arial" w:eastAsia="Times New Roman" w:hAnsi="Arial" w:cs="Arial"/>
          <w:sz w:val="20"/>
          <w:szCs w:val="20"/>
        </w:rPr>
        <w:t xml:space="preserve"> </w:t>
      </w:r>
      <w:r w:rsidR="00D67234">
        <w:rPr>
          <w:rFonts w:ascii="Arial" w:eastAsia="Times New Roman" w:hAnsi="Arial" w:cs="Arial"/>
          <w:sz w:val="20"/>
          <w:szCs w:val="20"/>
        </w:rPr>
        <w:t>LAI of 0.</w:t>
      </w:r>
      <w:r w:rsidR="00BF15E2">
        <w:rPr>
          <w:rFonts w:ascii="Arial" w:eastAsia="Times New Roman" w:hAnsi="Arial" w:cs="Arial"/>
          <w:sz w:val="20"/>
          <w:szCs w:val="20"/>
        </w:rPr>
        <w:t>70</w:t>
      </w:r>
      <w:r w:rsidR="004C19FC">
        <w:rPr>
          <w:rFonts w:ascii="Arial" w:eastAsia="Times New Roman" w:hAnsi="Arial" w:cs="Arial"/>
          <w:sz w:val="20"/>
          <w:szCs w:val="20"/>
        </w:rPr>
        <w:t xml:space="preserve"> (Figure </w:t>
      </w:r>
      <w:r w:rsidR="00DA5401">
        <w:rPr>
          <w:rFonts w:ascii="Arial" w:eastAsia="Times New Roman" w:hAnsi="Arial" w:cs="Arial"/>
          <w:sz w:val="20"/>
          <w:szCs w:val="20"/>
        </w:rPr>
        <w:t>4b</w:t>
      </w:r>
      <w:r w:rsidR="004C19FC">
        <w:rPr>
          <w:rFonts w:ascii="Arial" w:eastAsia="Times New Roman" w:hAnsi="Arial" w:cs="Arial"/>
          <w:sz w:val="20"/>
          <w:szCs w:val="20"/>
        </w:rPr>
        <w:t>,</w:t>
      </w:r>
      <w:r w:rsidR="000511B0">
        <w:rPr>
          <w:rFonts w:ascii="Arial" w:eastAsia="Times New Roman" w:hAnsi="Arial" w:cs="Arial"/>
          <w:sz w:val="20"/>
          <w:szCs w:val="20"/>
        </w:rPr>
        <w:t xml:space="preserve"> </w:t>
      </w:r>
      <w:r w:rsidR="0058066A">
        <w:rPr>
          <w:rFonts w:ascii="Arial" w:eastAsia="Times New Roman" w:hAnsi="Arial" w:cs="Arial"/>
          <w:sz w:val="20"/>
          <w:szCs w:val="20"/>
        </w:rPr>
        <w:t>Phase</w:t>
      </w:r>
      <w:r w:rsidR="004C19FC">
        <w:rPr>
          <w:rFonts w:ascii="Arial" w:eastAsia="Times New Roman" w:hAnsi="Arial" w:cs="Arial"/>
          <w:sz w:val="20"/>
          <w:szCs w:val="20"/>
        </w:rPr>
        <w:t xml:space="preserve"> 3)</w:t>
      </w:r>
      <w:r>
        <w:rPr>
          <w:rFonts w:ascii="Arial" w:eastAsia="Times New Roman" w:hAnsi="Arial" w:cs="Arial"/>
          <w:sz w:val="20"/>
          <w:szCs w:val="20"/>
        </w:rPr>
        <w:t xml:space="preserve">.  At this point, large </w:t>
      </w:r>
      <w:r w:rsidR="00D67234">
        <w:rPr>
          <w:rFonts w:ascii="Arial" w:eastAsia="Times New Roman" w:hAnsi="Arial" w:cs="Arial"/>
          <w:sz w:val="20"/>
          <w:szCs w:val="20"/>
        </w:rPr>
        <w:t xml:space="preserve">decreases </w:t>
      </w:r>
      <w:r>
        <w:rPr>
          <w:rFonts w:ascii="Arial" w:eastAsia="Times New Roman" w:hAnsi="Arial" w:cs="Arial"/>
          <w:sz w:val="20"/>
          <w:szCs w:val="20"/>
        </w:rPr>
        <w:t xml:space="preserve">in the GCC (0.40 to 0.36) were observed despite relatively small </w:t>
      </w:r>
      <w:r w:rsidR="00D67234">
        <w:rPr>
          <w:rFonts w:ascii="Arial" w:eastAsia="Times New Roman" w:hAnsi="Arial" w:cs="Arial"/>
          <w:sz w:val="20"/>
          <w:szCs w:val="20"/>
        </w:rPr>
        <w:t>decreases in</w:t>
      </w:r>
      <w:r>
        <w:rPr>
          <w:rFonts w:ascii="Arial" w:eastAsia="Times New Roman" w:hAnsi="Arial" w:cs="Arial"/>
          <w:sz w:val="20"/>
          <w:szCs w:val="20"/>
        </w:rPr>
        <w:t xml:space="preserve"> </w:t>
      </w:r>
      <w:r w:rsidR="00D67234">
        <w:rPr>
          <w:rFonts w:ascii="Arial" w:eastAsia="Times New Roman" w:hAnsi="Arial" w:cs="Arial"/>
          <w:sz w:val="20"/>
          <w:szCs w:val="20"/>
        </w:rPr>
        <w:t>LAI (</w:t>
      </w:r>
      <w:r>
        <w:rPr>
          <w:rFonts w:ascii="Arial" w:eastAsia="Times New Roman" w:hAnsi="Arial" w:cs="Arial"/>
          <w:sz w:val="20"/>
          <w:szCs w:val="20"/>
        </w:rPr>
        <w:t>0.</w:t>
      </w:r>
      <w:r w:rsidR="00BF15E2">
        <w:rPr>
          <w:rFonts w:ascii="Arial" w:eastAsia="Times New Roman" w:hAnsi="Arial" w:cs="Arial"/>
          <w:sz w:val="20"/>
          <w:szCs w:val="20"/>
        </w:rPr>
        <w:t>70</w:t>
      </w:r>
      <w:r>
        <w:rPr>
          <w:rFonts w:ascii="Arial" w:eastAsia="Times New Roman" w:hAnsi="Arial" w:cs="Arial"/>
          <w:sz w:val="20"/>
          <w:szCs w:val="20"/>
        </w:rPr>
        <w:t xml:space="preserve"> to 0.50</w:t>
      </w:r>
      <w:r w:rsidR="00D67234">
        <w:rPr>
          <w:rFonts w:ascii="Arial" w:eastAsia="Times New Roman" w:hAnsi="Arial" w:cs="Arial"/>
          <w:sz w:val="20"/>
          <w:szCs w:val="20"/>
        </w:rPr>
        <w:t>)</w:t>
      </w:r>
      <w:r w:rsidR="00B719E7">
        <w:rPr>
          <w:rFonts w:ascii="Arial" w:eastAsia="Times New Roman" w:hAnsi="Arial" w:cs="Arial"/>
          <w:sz w:val="20"/>
          <w:szCs w:val="20"/>
        </w:rPr>
        <w:t xml:space="preserve"> (Figure </w:t>
      </w:r>
      <w:r w:rsidR="00DA5401">
        <w:rPr>
          <w:rFonts w:ascii="Arial" w:eastAsia="Times New Roman" w:hAnsi="Arial" w:cs="Arial"/>
          <w:sz w:val="20"/>
          <w:szCs w:val="20"/>
        </w:rPr>
        <w:t>4b</w:t>
      </w:r>
      <w:r w:rsidR="004C19FC">
        <w:rPr>
          <w:rFonts w:ascii="Arial" w:eastAsia="Times New Roman" w:hAnsi="Arial" w:cs="Arial"/>
          <w:sz w:val="20"/>
          <w:szCs w:val="20"/>
        </w:rPr>
        <w:t xml:space="preserve">, </w:t>
      </w:r>
      <w:r w:rsidR="0058066A">
        <w:rPr>
          <w:rFonts w:ascii="Arial" w:eastAsia="Times New Roman" w:hAnsi="Arial" w:cs="Arial"/>
          <w:sz w:val="20"/>
          <w:szCs w:val="20"/>
        </w:rPr>
        <w:t>Phase</w:t>
      </w:r>
      <w:r w:rsidR="000511B0">
        <w:rPr>
          <w:rFonts w:ascii="Arial" w:eastAsia="Times New Roman" w:hAnsi="Arial" w:cs="Arial"/>
          <w:sz w:val="20"/>
          <w:szCs w:val="20"/>
        </w:rPr>
        <w:t xml:space="preserve"> </w:t>
      </w:r>
      <w:r w:rsidR="004C19FC">
        <w:rPr>
          <w:rFonts w:ascii="Arial" w:eastAsia="Times New Roman" w:hAnsi="Arial" w:cs="Arial"/>
          <w:sz w:val="20"/>
          <w:szCs w:val="20"/>
        </w:rPr>
        <w:t>4</w:t>
      </w:r>
      <w:r w:rsidR="00B719E7">
        <w:rPr>
          <w:rFonts w:ascii="Arial" w:eastAsia="Times New Roman" w:hAnsi="Arial" w:cs="Arial"/>
          <w:sz w:val="20"/>
          <w:szCs w:val="20"/>
        </w:rPr>
        <w:t>).</w:t>
      </w:r>
      <w:r w:rsidR="00C626CE">
        <w:rPr>
          <w:rFonts w:ascii="Arial" w:eastAsia="Times New Roman" w:hAnsi="Arial" w:cs="Arial"/>
          <w:sz w:val="20"/>
          <w:szCs w:val="20"/>
        </w:rPr>
        <w:t xml:space="preserve">  The GCC then remained constant with further decreases in LAI (0.50 to 0.00) (Figure 4b, Phase 5).</w:t>
      </w:r>
    </w:p>
    <w:p w14:paraId="6CDDCA5C" w14:textId="4613B974" w:rsidR="001B35AE" w:rsidRPr="00817D68" w:rsidRDefault="006C39B5" w:rsidP="00D66EDF">
      <w:pPr>
        <w:tabs>
          <w:tab w:val="center" w:pos="4513"/>
          <w:tab w:val="right" w:pos="9027"/>
        </w:tabs>
        <w:spacing w:before="240" w:line="240" w:lineRule="auto"/>
        <w:jc w:val="center"/>
        <w:rPr>
          <w:rFonts w:ascii="Arial" w:eastAsia="Times New Roman" w:hAnsi="Arial" w:cs="Arial"/>
          <w:sz w:val="20"/>
          <w:szCs w:val="20"/>
        </w:rPr>
      </w:pPr>
      <w:r>
        <w:rPr>
          <w:rFonts w:ascii="Arial" w:eastAsia="Times New Roman" w:hAnsi="Arial" w:cs="Arial"/>
          <w:noProof/>
          <w:sz w:val="18"/>
          <w:szCs w:val="18"/>
          <w:lang w:eastAsia="en-GB"/>
        </w:rPr>
        <w:drawing>
          <wp:inline distT="0" distB="0" distL="0" distR="0" wp14:anchorId="574B4486" wp14:editId="5CE130A3">
            <wp:extent cx="5726430" cy="21456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6430" cy="2145665"/>
                    </a:xfrm>
                    <a:prstGeom prst="rect">
                      <a:avLst/>
                    </a:prstGeom>
                    <a:noFill/>
                    <a:ln>
                      <a:noFill/>
                    </a:ln>
                  </pic:spPr>
                </pic:pic>
              </a:graphicData>
            </a:graphic>
          </wp:inline>
        </w:drawing>
      </w:r>
      <w:r w:rsidR="00D66EDF">
        <w:rPr>
          <w:rFonts w:ascii="Arial" w:eastAsia="Times New Roman" w:hAnsi="Arial" w:cs="Arial"/>
          <w:sz w:val="18"/>
          <w:szCs w:val="18"/>
        </w:rPr>
        <w:t>(a)</w:t>
      </w:r>
      <w:r w:rsidR="00D66EDF">
        <w:rPr>
          <w:rFonts w:ascii="Arial" w:eastAsia="Times New Roman" w:hAnsi="Arial" w:cs="Arial"/>
          <w:sz w:val="18"/>
          <w:szCs w:val="18"/>
        </w:rPr>
        <w:tab/>
        <w:t>(b)</w:t>
      </w:r>
      <w:r w:rsidR="00D66EDF">
        <w:rPr>
          <w:rFonts w:ascii="Arial" w:eastAsia="Times New Roman" w:hAnsi="Arial" w:cs="Arial"/>
          <w:sz w:val="18"/>
          <w:szCs w:val="18"/>
        </w:rPr>
        <w:br/>
      </w:r>
      <w:r w:rsidR="00D66EDF">
        <w:rPr>
          <w:rFonts w:ascii="Arial" w:eastAsia="Times New Roman" w:hAnsi="Arial" w:cs="Arial"/>
          <w:sz w:val="20"/>
          <w:szCs w:val="20"/>
        </w:rPr>
        <w:br/>
      </w:r>
      <w:r w:rsidR="00D66EDF" w:rsidRPr="00DA5401">
        <w:rPr>
          <w:rFonts w:ascii="Arial" w:eastAsia="Times New Roman" w:hAnsi="Arial" w:cs="Arial"/>
          <w:sz w:val="18"/>
          <w:szCs w:val="18"/>
        </w:rPr>
        <w:t>Figure 4: Interpolated LAI and GCC values provided by the phenological functions throughout the study period</w:t>
      </w:r>
      <w:r w:rsidR="00D66EDF">
        <w:rPr>
          <w:rFonts w:ascii="Arial" w:eastAsia="Times New Roman" w:hAnsi="Arial" w:cs="Arial"/>
          <w:sz w:val="18"/>
          <w:szCs w:val="18"/>
        </w:rPr>
        <w:t xml:space="preserve"> (a)</w:t>
      </w:r>
      <w:r w:rsidR="00D66EDF" w:rsidRPr="00DA5401">
        <w:rPr>
          <w:rFonts w:ascii="Arial" w:eastAsia="Times New Roman" w:hAnsi="Arial" w:cs="Arial"/>
          <w:sz w:val="18"/>
          <w:szCs w:val="18"/>
        </w:rPr>
        <w:t>, in addition to the relationship between LAI and the GCC when considering interpolated observations of both variables (</w:t>
      </w:r>
      <w:r w:rsidR="00D66EDF">
        <w:rPr>
          <w:rFonts w:ascii="Arial" w:eastAsia="Times New Roman" w:hAnsi="Arial" w:cs="Arial"/>
          <w:sz w:val="18"/>
          <w:szCs w:val="18"/>
        </w:rPr>
        <w:t>b</w:t>
      </w:r>
      <w:r w:rsidR="00D66EDF" w:rsidRPr="00DA5401">
        <w:rPr>
          <w:rFonts w:ascii="Arial" w:eastAsia="Times New Roman" w:hAnsi="Arial" w:cs="Arial"/>
          <w:sz w:val="18"/>
          <w:szCs w:val="18"/>
        </w:rPr>
        <w:t>).</w:t>
      </w:r>
      <w:r w:rsidR="00D66EDF">
        <w:rPr>
          <w:rFonts w:ascii="Arial" w:eastAsia="Times New Roman" w:hAnsi="Arial" w:cs="Arial"/>
          <w:sz w:val="18"/>
          <w:szCs w:val="18"/>
        </w:rPr>
        <w:t xml:space="preserve">  Hypothesised phase</w:t>
      </w:r>
      <w:r w:rsidR="00AE0D8A">
        <w:rPr>
          <w:rFonts w:ascii="Arial" w:eastAsia="Times New Roman" w:hAnsi="Arial" w:cs="Arial"/>
          <w:sz w:val="18"/>
          <w:szCs w:val="18"/>
        </w:rPr>
        <w:t>s</w:t>
      </w:r>
      <w:r w:rsidR="00D66EDF">
        <w:rPr>
          <w:rFonts w:ascii="Arial" w:eastAsia="Times New Roman" w:hAnsi="Arial" w:cs="Arial"/>
          <w:sz w:val="18"/>
          <w:szCs w:val="18"/>
        </w:rPr>
        <w:t xml:space="preserve"> of the relationship are indicated in grey.</w:t>
      </w:r>
    </w:p>
    <w:p w14:paraId="0DD90E00" w14:textId="6FC42FD4" w:rsidR="002C74C4" w:rsidRDefault="001B35AE" w:rsidP="006F3318">
      <w:pPr>
        <w:tabs>
          <w:tab w:val="center" w:pos="4513"/>
          <w:tab w:val="right" w:pos="9027"/>
        </w:tabs>
        <w:spacing w:before="240" w:line="480" w:lineRule="auto"/>
        <w:jc w:val="both"/>
        <w:rPr>
          <w:rFonts w:ascii="Arial" w:eastAsia="Times New Roman" w:hAnsi="Arial" w:cs="Arial"/>
          <w:sz w:val="20"/>
          <w:szCs w:val="20"/>
        </w:rPr>
      </w:pPr>
      <w:r>
        <w:rPr>
          <w:rFonts w:ascii="Arial" w:eastAsia="Times New Roman" w:hAnsi="Arial" w:cs="Arial"/>
          <w:i/>
          <w:iCs/>
          <w:sz w:val="20"/>
          <w:szCs w:val="20"/>
        </w:rPr>
        <w:t>3.4. Consistency of phenological transition dates</w:t>
      </w:r>
    </w:p>
    <w:p w14:paraId="6924ED3F" w14:textId="56209239" w:rsidR="002C74C4" w:rsidRDefault="00D96C75" w:rsidP="006F3318">
      <w:pPr>
        <w:tabs>
          <w:tab w:val="center" w:pos="4513"/>
          <w:tab w:val="right" w:pos="9027"/>
        </w:tabs>
        <w:spacing w:before="240" w:line="480" w:lineRule="auto"/>
        <w:jc w:val="both"/>
        <w:rPr>
          <w:rFonts w:ascii="Arial" w:eastAsia="Times New Roman" w:hAnsi="Arial" w:cs="Arial"/>
          <w:sz w:val="20"/>
          <w:szCs w:val="20"/>
        </w:rPr>
      </w:pPr>
      <w:r>
        <w:rPr>
          <w:rFonts w:ascii="Arial" w:eastAsia="Times New Roman" w:hAnsi="Arial" w:cs="Arial"/>
          <w:sz w:val="20"/>
          <w:szCs w:val="20"/>
        </w:rPr>
        <w:t xml:space="preserve">The </w:t>
      </w:r>
      <w:r w:rsidR="002C74C4">
        <w:rPr>
          <w:rFonts w:ascii="Arial" w:eastAsia="Times New Roman" w:hAnsi="Arial" w:cs="Arial"/>
          <w:sz w:val="20"/>
          <w:szCs w:val="20"/>
        </w:rPr>
        <w:t xml:space="preserve">transition dates derived from LAI were least sensitive to the choice of </w:t>
      </w:r>
      <w:r w:rsidR="00995C62">
        <w:rPr>
          <w:rFonts w:ascii="Arial" w:eastAsia="Times New Roman" w:hAnsi="Arial" w:cs="Arial"/>
          <w:sz w:val="20"/>
          <w:szCs w:val="20"/>
        </w:rPr>
        <w:t xml:space="preserve">phenological </w:t>
      </w:r>
      <w:r w:rsidR="002C74C4">
        <w:rPr>
          <w:rFonts w:ascii="Arial" w:eastAsia="Times New Roman" w:hAnsi="Arial" w:cs="Arial"/>
          <w:sz w:val="20"/>
          <w:szCs w:val="20"/>
        </w:rPr>
        <w:t xml:space="preserve">function, demonstrating an identical onset of greenness and </w:t>
      </w:r>
      <w:r w:rsidR="00A93B05">
        <w:rPr>
          <w:rFonts w:ascii="Arial" w:eastAsia="Times New Roman" w:hAnsi="Arial" w:cs="Arial"/>
          <w:sz w:val="20"/>
          <w:szCs w:val="20"/>
        </w:rPr>
        <w:t>4 days difference in the</w:t>
      </w:r>
      <w:r w:rsidR="002C74C4">
        <w:rPr>
          <w:rFonts w:ascii="Arial" w:eastAsia="Times New Roman" w:hAnsi="Arial" w:cs="Arial"/>
          <w:sz w:val="20"/>
          <w:szCs w:val="20"/>
        </w:rPr>
        <w:t xml:space="preserve"> onset of senescence </w:t>
      </w:r>
      <w:r w:rsidR="007F0C73">
        <w:rPr>
          <w:rFonts w:ascii="Arial" w:eastAsia="Times New Roman" w:hAnsi="Arial" w:cs="Arial"/>
          <w:sz w:val="20"/>
          <w:szCs w:val="20"/>
        </w:rPr>
        <w:t>according to</w:t>
      </w:r>
      <w:r w:rsidR="002C74C4">
        <w:rPr>
          <w:rFonts w:ascii="Arial" w:eastAsia="Times New Roman" w:hAnsi="Arial" w:cs="Arial"/>
          <w:sz w:val="20"/>
          <w:szCs w:val="20"/>
        </w:rPr>
        <w:t xml:space="preserve"> the double logistic and modified double logistic functions</w:t>
      </w:r>
      <w:r>
        <w:rPr>
          <w:rFonts w:ascii="Arial" w:eastAsia="Times New Roman" w:hAnsi="Arial" w:cs="Arial"/>
          <w:sz w:val="20"/>
          <w:szCs w:val="20"/>
        </w:rPr>
        <w:t xml:space="preserve"> (Table </w:t>
      </w:r>
      <w:r w:rsidR="00F21B51">
        <w:rPr>
          <w:rFonts w:ascii="Arial" w:eastAsia="Times New Roman" w:hAnsi="Arial" w:cs="Arial"/>
          <w:sz w:val="20"/>
          <w:szCs w:val="20"/>
        </w:rPr>
        <w:t>2</w:t>
      </w:r>
      <w:r>
        <w:rPr>
          <w:rFonts w:ascii="Arial" w:eastAsia="Times New Roman" w:hAnsi="Arial" w:cs="Arial"/>
          <w:sz w:val="20"/>
          <w:szCs w:val="20"/>
        </w:rPr>
        <w:t>)</w:t>
      </w:r>
      <w:r w:rsidR="002C74C4">
        <w:rPr>
          <w:rFonts w:ascii="Arial" w:eastAsia="Times New Roman" w:hAnsi="Arial" w:cs="Arial"/>
          <w:sz w:val="20"/>
          <w:szCs w:val="20"/>
        </w:rPr>
        <w:t xml:space="preserve">.  </w:t>
      </w:r>
      <w:r w:rsidR="00F80D7A">
        <w:rPr>
          <w:rFonts w:ascii="Arial" w:eastAsia="Times New Roman" w:hAnsi="Arial" w:cs="Arial"/>
          <w:sz w:val="20"/>
          <w:szCs w:val="20"/>
        </w:rPr>
        <w:t>Transition</w:t>
      </w:r>
      <w:r w:rsidR="002C74C4">
        <w:rPr>
          <w:rFonts w:ascii="Arial" w:eastAsia="Times New Roman" w:hAnsi="Arial" w:cs="Arial"/>
          <w:sz w:val="20"/>
          <w:szCs w:val="20"/>
        </w:rPr>
        <w:t xml:space="preserve"> dates derived from the GCC were considerably more sensitive to the choice of function, demonstrating a later onset of greenness (2 days) and onset of senescence (7 days) </w:t>
      </w:r>
      <w:r w:rsidR="007F0C73">
        <w:rPr>
          <w:rFonts w:ascii="Arial" w:eastAsia="Times New Roman" w:hAnsi="Arial" w:cs="Arial"/>
          <w:sz w:val="20"/>
          <w:szCs w:val="20"/>
        </w:rPr>
        <w:t>according to</w:t>
      </w:r>
      <w:r w:rsidR="002C74C4">
        <w:rPr>
          <w:rFonts w:ascii="Arial" w:eastAsia="Times New Roman" w:hAnsi="Arial" w:cs="Arial"/>
          <w:sz w:val="20"/>
          <w:szCs w:val="20"/>
        </w:rPr>
        <w:t xml:space="preserve"> the modified double logistic functio</w:t>
      </w:r>
      <w:r>
        <w:rPr>
          <w:rFonts w:ascii="Arial" w:eastAsia="Times New Roman" w:hAnsi="Arial" w:cs="Arial"/>
          <w:sz w:val="20"/>
          <w:szCs w:val="20"/>
        </w:rPr>
        <w:t xml:space="preserve">n (Table </w:t>
      </w:r>
      <w:r w:rsidR="00F21B51">
        <w:rPr>
          <w:rFonts w:ascii="Arial" w:eastAsia="Times New Roman" w:hAnsi="Arial" w:cs="Arial"/>
          <w:sz w:val="20"/>
          <w:szCs w:val="20"/>
        </w:rPr>
        <w:t>2</w:t>
      </w:r>
      <w:r>
        <w:rPr>
          <w:rFonts w:ascii="Arial" w:eastAsia="Times New Roman" w:hAnsi="Arial" w:cs="Arial"/>
          <w:sz w:val="20"/>
          <w:szCs w:val="20"/>
        </w:rPr>
        <w:t>).  In all cases, s</w:t>
      </w:r>
      <w:r w:rsidR="002C74C4">
        <w:rPr>
          <w:rFonts w:ascii="Arial" w:eastAsia="Times New Roman" w:hAnsi="Arial" w:cs="Arial"/>
          <w:sz w:val="20"/>
          <w:szCs w:val="20"/>
        </w:rPr>
        <w:t>ubstantial differences between transition dates derived from LAI and the GCC were observed</w:t>
      </w:r>
      <w:r>
        <w:rPr>
          <w:rFonts w:ascii="Arial" w:eastAsia="Times New Roman" w:hAnsi="Arial" w:cs="Arial"/>
          <w:sz w:val="20"/>
          <w:szCs w:val="20"/>
        </w:rPr>
        <w:t xml:space="preserve">.  When derived from the GCC, the onset of senescence </w:t>
      </w:r>
      <w:r w:rsidR="00F80D7A">
        <w:rPr>
          <w:rFonts w:ascii="Arial" w:eastAsia="Times New Roman" w:hAnsi="Arial" w:cs="Arial"/>
          <w:sz w:val="20"/>
          <w:szCs w:val="20"/>
        </w:rPr>
        <w:t>occurred</w:t>
      </w:r>
      <w:r>
        <w:rPr>
          <w:rFonts w:ascii="Arial" w:eastAsia="Times New Roman" w:hAnsi="Arial" w:cs="Arial"/>
          <w:sz w:val="20"/>
          <w:szCs w:val="20"/>
        </w:rPr>
        <w:t xml:space="preserve"> between 12 and 23 days </w:t>
      </w:r>
      <w:r w:rsidR="00F80D7A">
        <w:rPr>
          <w:rFonts w:ascii="Arial" w:eastAsia="Times New Roman" w:hAnsi="Arial" w:cs="Arial"/>
          <w:sz w:val="20"/>
          <w:szCs w:val="20"/>
        </w:rPr>
        <w:t>earl</w:t>
      </w:r>
      <w:r w:rsidR="007F0C73">
        <w:rPr>
          <w:rFonts w:ascii="Arial" w:eastAsia="Times New Roman" w:hAnsi="Arial" w:cs="Arial"/>
          <w:sz w:val="20"/>
          <w:szCs w:val="20"/>
        </w:rPr>
        <w:t>ier than when derived from LAI</w:t>
      </w:r>
      <w:r w:rsidR="00F80D7A">
        <w:rPr>
          <w:rFonts w:ascii="Arial" w:eastAsia="Times New Roman" w:hAnsi="Arial" w:cs="Arial"/>
          <w:sz w:val="20"/>
          <w:szCs w:val="20"/>
        </w:rPr>
        <w:t xml:space="preserve">, </w:t>
      </w:r>
      <w:r>
        <w:rPr>
          <w:rFonts w:ascii="Arial" w:eastAsia="Times New Roman" w:hAnsi="Arial" w:cs="Arial"/>
          <w:sz w:val="20"/>
          <w:szCs w:val="20"/>
        </w:rPr>
        <w:t xml:space="preserve">depending on the adopted function.  Reduced differences were observed in terms of the onset of greenness, which occurred between 5 and 7 days earlier when derived from the GCC as opposed to LAI (Table </w:t>
      </w:r>
      <w:r w:rsidR="00F21B51">
        <w:rPr>
          <w:rFonts w:ascii="Arial" w:eastAsia="Times New Roman" w:hAnsi="Arial" w:cs="Arial"/>
          <w:sz w:val="20"/>
          <w:szCs w:val="20"/>
        </w:rPr>
        <w:t>2</w:t>
      </w:r>
      <w:r>
        <w:rPr>
          <w:rFonts w:ascii="Arial" w:eastAsia="Times New Roman" w:hAnsi="Arial" w:cs="Arial"/>
          <w:sz w:val="20"/>
          <w:szCs w:val="20"/>
        </w:rPr>
        <w:t>).</w:t>
      </w:r>
    </w:p>
    <w:p w14:paraId="686C7832" w14:textId="77777777" w:rsidR="007C4250" w:rsidRDefault="007C4250" w:rsidP="00061B3B">
      <w:pPr>
        <w:tabs>
          <w:tab w:val="center" w:pos="4513"/>
          <w:tab w:val="right" w:pos="9027"/>
        </w:tabs>
        <w:spacing w:before="240" w:line="240" w:lineRule="auto"/>
        <w:jc w:val="center"/>
        <w:rPr>
          <w:rFonts w:ascii="Arial" w:eastAsia="Times New Roman" w:hAnsi="Arial" w:cs="Arial"/>
          <w:sz w:val="18"/>
          <w:szCs w:val="18"/>
        </w:rPr>
        <w:sectPr w:rsidR="007C4250" w:rsidSect="00C660FC">
          <w:pgSz w:w="11907" w:h="16839" w:code="9"/>
          <w:pgMar w:top="1440" w:right="1440" w:bottom="1440" w:left="1440" w:header="708" w:footer="708" w:gutter="0"/>
          <w:lnNumType w:countBy="1" w:restart="continuous"/>
          <w:cols w:space="708"/>
          <w:docGrid w:linePitch="360"/>
        </w:sectPr>
      </w:pPr>
    </w:p>
    <w:p w14:paraId="7948D720" w14:textId="1F3C53ED" w:rsidR="00061B3B" w:rsidRPr="00061B3B" w:rsidRDefault="00061B3B" w:rsidP="00061B3B">
      <w:pPr>
        <w:tabs>
          <w:tab w:val="center" w:pos="4513"/>
          <w:tab w:val="right" w:pos="9027"/>
        </w:tabs>
        <w:spacing w:before="240" w:line="240" w:lineRule="auto"/>
        <w:jc w:val="center"/>
        <w:rPr>
          <w:rFonts w:ascii="Arial" w:eastAsia="Times New Roman" w:hAnsi="Arial" w:cs="Arial"/>
          <w:sz w:val="18"/>
          <w:szCs w:val="18"/>
        </w:rPr>
      </w:pPr>
      <w:r w:rsidRPr="00061B3B">
        <w:rPr>
          <w:rFonts w:ascii="Arial" w:eastAsia="Times New Roman" w:hAnsi="Arial" w:cs="Arial"/>
          <w:sz w:val="18"/>
          <w:szCs w:val="18"/>
        </w:rPr>
        <w:lastRenderedPageBreak/>
        <w:t xml:space="preserve">Table </w:t>
      </w:r>
      <w:r w:rsidR="00F21B51">
        <w:rPr>
          <w:rFonts w:ascii="Arial" w:eastAsia="Times New Roman" w:hAnsi="Arial" w:cs="Arial"/>
          <w:sz w:val="18"/>
          <w:szCs w:val="18"/>
        </w:rPr>
        <w:t>2</w:t>
      </w:r>
      <w:r w:rsidR="00425EFB">
        <w:rPr>
          <w:rFonts w:ascii="Arial" w:eastAsia="Times New Roman" w:hAnsi="Arial" w:cs="Arial"/>
          <w:sz w:val="18"/>
          <w:szCs w:val="18"/>
        </w:rPr>
        <w:t>: Phenological transition dates</w:t>
      </w:r>
      <w:r w:rsidR="00DC21F2">
        <w:rPr>
          <w:rFonts w:ascii="Arial" w:eastAsia="Times New Roman" w:hAnsi="Arial" w:cs="Arial"/>
          <w:sz w:val="18"/>
          <w:szCs w:val="18"/>
        </w:rPr>
        <w:t xml:space="preserve"> (</w:t>
      </w:r>
      <w:r w:rsidR="00B273FF">
        <w:rPr>
          <w:rFonts w:ascii="Arial" w:eastAsia="Times New Roman" w:hAnsi="Arial" w:cs="Arial"/>
          <w:sz w:val="18"/>
          <w:szCs w:val="18"/>
        </w:rPr>
        <w:t>day of year</w:t>
      </w:r>
      <w:r w:rsidR="00DC21F2">
        <w:rPr>
          <w:rFonts w:ascii="Arial" w:eastAsia="Times New Roman" w:hAnsi="Arial" w:cs="Arial"/>
          <w:sz w:val="18"/>
          <w:szCs w:val="18"/>
        </w:rPr>
        <w:t>)</w:t>
      </w:r>
      <w:r w:rsidR="00425EFB">
        <w:rPr>
          <w:rFonts w:ascii="Arial" w:eastAsia="Times New Roman" w:hAnsi="Arial" w:cs="Arial"/>
          <w:sz w:val="18"/>
          <w:szCs w:val="18"/>
        </w:rPr>
        <w:t xml:space="preserve"> derived from the double logistic and modified double logistic functions fit to the time-series of LAI and </w:t>
      </w:r>
      <w:r w:rsidR="00BE48C8">
        <w:rPr>
          <w:rFonts w:ascii="Arial" w:eastAsia="Times New Roman" w:hAnsi="Arial" w:cs="Arial"/>
          <w:sz w:val="18"/>
          <w:szCs w:val="18"/>
        </w:rPr>
        <w:t>the GCC</w:t>
      </w:r>
      <w:r w:rsidR="00425EFB">
        <w:rPr>
          <w:rFonts w:ascii="Arial" w:eastAsia="Times New Roman" w:hAnsi="Arial" w:cs="Arial"/>
          <w:sz w:val="18"/>
          <w:szCs w:val="18"/>
        </w:rPr>
        <w:t>.</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1921"/>
        <w:gridCol w:w="2042"/>
        <w:gridCol w:w="222"/>
        <w:gridCol w:w="1923"/>
        <w:gridCol w:w="2042"/>
      </w:tblGrid>
      <w:tr w:rsidR="00061B3B" w14:paraId="4A41C5FC" w14:textId="77777777" w:rsidTr="002C74C4">
        <w:trPr>
          <w:jc w:val="center"/>
        </w:trPr>
        <w:tc>
          <w:tcPr>
            <w:tcW w:w="486" w:type="pct"/>
          </w:tcPr>
          <w:p w14:paraId="5DDC3965" w14:textId="77777777" w:rsidR="00061B3B" w:rsidRDefault="00061B3B" w:rsidP="002C74C4">
            <w:pPr>
              <w:jc w:val="center"/>
              <w:rPr>
                <w:rFonts w:ascii="Arial" w:hAnsi="Arial" w:cs="Arial"/>
                <w:sz w:val="18"/>
                <w:szCs w:val="18"/>
              </w:rPr>
            </w:pPr>
          </w:p>
        </w:tc>
        <w:tc>
          <w:tcPr>
            <w:tcW w:w="2195" w:type="pct"/>
            <w:gridSpan w:val="2"/>
            <w:tcBorders>
              <w:top w:val="single" w:sz="4" w:space="0" w:color="auto"/>
              <w:bottom w:val="single" w:sz="4" w:space="0" w:color="auto"/>
            </w:tcBorders>
          </w:tcPr>
          <w:p w14:paraId="6492B86C" w14:textId="18C8421E" w:rsidR="00061B3B" w:rsidRDefault="00061B3B" w:rsidP="002C74C4">
            <w:pPr>
              <w:jc w:val="center"/>
              <w:rPr>
                <w:rFonts w:ascii="Arial" w:hAnsi="Arial" w:cs="Arial"/>
                <w:sz w:val="18"/>
                <w:szCs w:val="18"/>
              </w:rPr>
            </w:pPr>
            <w:r>
              <w:rPr>
                <w:rFonts w:ascii="Arial" w:hAnsi="Arial" w:cs="Arial"/>
                <w:sz w:val="18"/>
                <w:szCs w:val="18"/>
              </w:rPr>
              <w:t>Double logistic</w:t>
            </w:r>
            <w:r w:rsidR="00F80D7A">
              <w:rPr>
                <w:rFonts w:ascii="Arial" w:hAnsi="Arial" w:cs="Arial"/>
                <w:sz w:val="18"/>
                <w:szCs w:val="18"/>
              </w:rPr>
              <w:t xml:space="preserve"> function</w:t>
            </w:r>
          </w:p>
        </w:tc>
        <w:tc>
          <w:tcPr>
            <w:tcW w:w="123" w:type="pct"/>
          </w:tcPr>
          <w:p w14:paraId="6BB9F42E" w14:textId="77777777" w:rsidR="00061B3B" w:rsidRDefault="00061B3B" w:rsidP="002C74C4">
            <w:pPr>
              <w:jc w:val="center"/>
              <w:rPr>
                <w:rFonts w:ascii="Arial" w:hAnsi="Arial" w:cs="Arial"/>
                <w:sz w:val="18"/>
                <w:szCs w:val="18"/>
              </w:rPr>
            </w:pPr>
          </w:p>
        </w:tc>
        <w:tc>
          <w:tcPr>
            <w:tcW w:w="2196" w:type="pct"/>
            <w:gridSpan w:val="2"/>
            <w:tcBorders>
              <w:top w:val="single" w:sz="4" w:space="0" w:color="auto"/>
              <w:bottom w:val="single" w:sz="4" w:space="0" w:color="auto"/>
            </w:tcBorders>
          </w:tcPr>
          <w:p w14:paraId="57D96698" w14:textId="0ACEFEF5" w:rsidR="00061B3B" w:rsidRDefault="00061B3B" w:rsidP="002C74C4">
            <w:pPr>
              <w:jc w:val="center"/>
              <w:rPr>
                <w:rFonts w:ascii="Arial" w:hAnsi="Arial" w:cs="Arial"/>
                <w:sz w:val="18"/>
                <w:szCs w:val="18"/>
              </w:rPr>
            </w:pPr>
            <w:r>
              <w:rPr>
                <w:rFonts w:ascii="Arial" w:hAnsi="Arial" w:cs="Arial"/>
                <w:sz w:val="18"/>
                <w:szCs w:val="18"/>
              </w:rPr>
              <w:t>Modified double logistic</w:t>
            </w:r>
            <w:r w:rsidR="00F80D7A">
              <w:rPr>
                <w:rFonts w:ascii="Arial" w:hAnsi="Arial" w:cs="Arial"/>
                <w:sz w:val="18"/>
                <w:szCs w:val="18"/>
              </w:rPr>
              <w:t xml:space="preserve"> function</w:t>
            </w:r>
          </w:p>
        </w:tc>
      </w:tr>
      <w:tr w:rsidR="00061B3B" w14:paraId="5D95DD1B" w14:textId="77777777" w:rsidTr="002C74C4">
        <w:trPr>
          <w:jc w:val="center"/>
        </w:trPr>
        <w:tc>
          <w:tcPr>
            <w:tcW w:w="486" w:type="pct"/>
            <w:tcBorders>
              <w:bottom w:val="single" w:sz="4" w:space="0" w:color="auto"/>
            </w:tcBorders>
            <w:vAlign w:val="bottom"/>
          </w:tcPr>
          <w:p w14:paraId="58553C8C" w14:textId="77777777" w:rsidR="00061B3B" w:rsidRDefault="00061B3B" w:rsidP="002C74C4">
            <w:pPr>
              <w:jc w:val="center"/>
              <w:rPr>
                <w:rFonts w:ascii="Arial" w:hAnsi="Arial" w:cs="Arial"/>
                <w:sz w:val="18"/>
                <w:szCs w:val="18"/>
              </w:rPr>
            </w:pPr>
            <w:r>
              <w:rPr>
                <w:rFonts w:ascii="Arial" w:hAnsi="Arial" w:cs="Arial"/>
                <w:sz w:val="18"/>
                <w:szCs w:val="18"/>
              </w:rPr>
              <w:t>Variable</w:t>
            </w:r>
          </w:p>
        </w:tc>
        <w:tc>
          <w:tcPr>
            <w:tcW w:w="1064" w:type="pct"/>
            <w:tcBorders>
              <w:top w:val="single" w:sz="4" w:space="0" w:color="auto"/>
              <w:bottom w:val="single" w:sz="4" w:space="0" w:color="auto"/>
            </w:tcBorders>
            <w:vAlign w:val="bottom"/>
          </w:tcPr>
          <w:p w14:paraId="5900A531" w14:textId="682E557A" w:rsidR="00061B3B" w:rsidRDefault="00061B3B" w:rsidP="002C74C4">
            <w:pPr>
              <w:jc w:val="center"/>
              <w:rPr>
                <w:rFonts w:ascii="Arial" w:hAnsi="Arial" w:cs="Arial"/>
                <w:sz w:val="18"/>
                <w:szCs w:val="18"/>
              </w:rPr>
            </w:pPr>
            <w:r>
              <w:rPr>
                <w:rFonts w:ascii="Arial" w:hAnsi="Arial" w:cs="Arial"/>
                <w:sz w:val="18"/>
                <w:szCs w:val="18"/>
              </w:rPr>
              <w:t>Onset of greenness</w:t>
            </w:r>
          </w:p>
        </w:tc>
        <w:tc>
          <w:tcPr>
            <w:tcW w:w="1131" w:type="pct"/>
            <w:tcBorders>
              <w:top w:val="single" w:sz="4" w:space="0" w:color="auto"/>
              <w:bottom w:val="single" w:sz="4" w:space="0" w:color="auto"/>
            </w:tcBorders>
            <w:vAlign w:val="bottom"/>
          </w:tcPr>
          <w:p w14:paraId="08CE3CF1" w14:textId="22BED072" w:rsidR="00061B3B" w:rsidRDefault="00061B3B" w:rsidP="002C74C4">
            <w:pPr>
              <w:jc w:val="center"/>
              <w:rPr>
                <w:rFonts w:ascii="Arial" w:hAnsi="Arial" w:cs="Arial"/>
                <w:sz w:val="18"/>
                <w:szCs w:val="18"/>
              </w:rPr>
            </w:pPr>
            <w:r>
              <w:rPr>
                <w:rFonts w:ascii="Arial" w:hAnsi="Arial" w:cs="Arial"/>
                <w:sz w:val="18"/>
                <w:szCs w:val="18"/>
              </w:rPr>
              <w:t>Onset of senescence</w:t>
            </w:r>
          </w:p>
        </w:tc>
        <w:tc>
          <w:tcPr>
            <w:tcW w:w="123" w:type="pct"/>
            <w:tcBorders>
              <w:bottom w:val="single" w:sz="4" w:space="0" w:color="auto"/>
            </w:tcBorders>
            <w:vAlign w:val="bottom"/>
          </w:tcPr>
          <w:p w14:paraId="6B04B1DB" w14:textId="77777777" w:rsidR="00061B3B" w:rsidRDefault="00061B3B" w:rsidP="002C74C4">
            <w:pPr>
              <w:jc w:val="center"/>
              <w:rPr>
                <w:rFonts w:ascii="Arial" w:hAnsi="Arial" w:cs="Arial"/>
                <w:sz w:val="18"/>
                <w:szCs w:val="18"/>
              </w:rPr>
            </w:pPr>
          </w:p>
        </w:tc>
        <w:tc>
          <w:tcPr>
            <w:tcW w:w="1065" w:type="pct"/>
            <w:tcBorders>
              <w:top w:val="single" w:sz="4" w:space="0" w:color="auto"/>
              <w:bottom w:val="single" w:sz="4" w:space="0" w:color="auto"/>
            </w:tcBorders>
            <w:vAlign w:val="bottom"/>
          </w:tcPr>
          <w:p w14:paraId="2E280343" w14:textId="62ABFFA4" w:rsidR="00061B3B" w:rsidRDefault="00061B3B" w:rsidP="002C74C4">
            <w:pPr>
              <w:jc w:val="center"/>
              <w:rPr>
                <w:rFonts w:ascii="Arial" w:hAnsi="Arial" w:cs="Arial"/>
                <w:sz w:val="18"/>
                <w:szCs w:val="18"/>
              </w:rPr>
            </w:pPr>
            <w:r>
              <w:rPr>
                <w:rFonts w:ascii="Arial" w:hAnsi="Arial" w:cs="Arial"/>
                <w:sz w:val="18"/>
                <w:szCs w:val="18"/>
              </w:rPr>
              <w:t>Onset of greenness</w:t>
            </w:r>
          </w:p>
        </w:tc>
        <w:tc>
          <w:tcPr>
            <w:tcW w:w="1131" w:type="pct"/>
            <w:tcBorders>
              <w:top w:val="single" w:sz="4" w:space="0" w:color="auto"/>
              <w:bottom w:val="single" w:sz="4" w:space="0" w:color="auto"/>
            </w:tcBorders>
            <w:vAlign w:val="bottom"/>
          </w:tcPr>
          <w:p w14:paraId="5011FFF9" w14:textId="70CDF5AD" w:rsidR="00061B3B" w:rsidRDefault="00061B3B" w:rsidP="002C74C4">
            <w:pPr>
              <w:jc w:val="center"/>
              <w:rPr>
                <w:rFonts w:ascii="Arial" w:hAnsi="Arial" w:cs="Arial"/>
                <w:sz w:val="18"/>
                <w:szCs w:val="18"/>
              </w:rPr>
            </w:pPr>
            <w:r>
              <w:rPr>
                <w:rFonts w:ascii="Arial" w:hAnsi="Arial" w:cs="Arial"/>
                <w:sz w:val="18"/>
                <w:szCs w:val="18"/>
              </w:rPr>
              <w:t>Onset of senescence</w:t>
            </w:r>
          </w:p>
        </w:tc>
      </w:tr>
      <w:tr w:rsidR="00061B3B" w14:paraId="74CC4F9D" w14:textId="77777777" w:rsidTr="002C74C4">
        <w:trPr>
          <w:jc w:val="center"/>
        </w:trPr>
        <w:tc>
          <w:tcPr>
            <w:tcW w:w="486" w:type="pct"/>
            <w:tcBorders>
              <w:top w:val="single" w:sz="4" w:space="0" w:color="auto"/>
            </w:tcBorders>
          </w:tcPr>
          <w:p w14:paraId="595032FE" w14:textId="77777777" w:rsidR="00061B3B" w:rsidRDefault="00061B3B" w:rsidP="002C74C4">
            <w:pPr>
              <w:jc w:val="center"/>
              <w:rPr>
                <w:rFonts w:ascii="Arial" w:hAnsi="Arial" w:cs="Arial"/>
                <w:sz w:val="18"/>
                <w:szCs w:val="18"/>
              </w:rPr>
            </w:pPr>
            <w:r>
              <w:rPr>
                <w:rFonts w:ascii="Arial" w:hAnsi="Arial" w:cs="Arial"/>
                <w:sz w:val="18"/>
                <w:szCs w:val="18"/>
              </w:rPr>
              <w:t>LAI</w:t>
            </w:r>
          </w:p>
        </w:tc>
        <w:tc>
          <w:tcPr>
            <w:tcW w:w="1064" w:type="pct"/>
            <w:tcBorders>
              <w:top w:val="single" w:sz="4" w:space="0" w:color="auto"/>
            </w:tcBorders>
          </w:tcPr>
          <w:p w14:paraId="74C12079" w14:textId="77777777" w:rsidR="00061B3B" w:rsidRDefault="00061B3B" w:rsidP="002C74C4">
            <w:pPr>
              <w:jc w:val="center"/>
              <w:rPr>
                <w:rFonts w:ascii="Arial" w:hAnsi="Arial" w:cs="Arial"/>
                <w:sz w:val="18"/>
                <w:szCs w:val="18"/>
              </w:rPr>
            </w:pPr>
            <w:r>
              <w:rPr>
                <w:rFonts w:ascii="Arial" w:hAnsi="Arial" w:cs="Arial"/>
                <w:sz w:val="18"/>
                <w:szCs w:val="18"/>
              </w:rPr>
              <w:t>126</w:t>
            </w:r>
          </w:p>
        </w:tc>
        <w:tc>
          <w:tcPr>
            <w:tcW w:w="1131" w:type="pct"/>
            <w:tcBorders>
              <w:top w:val="single" w:sz="4" w:space="0" w:color="auto"/>
            </w:tcBorders>
          </w:tcPr>
          <w:p w14:paraId="3007B8DF" w14:textId="77777777" w:rsidR="00061B3B" w:rsidRDefault="00061B3B" w:rsidP="002C74C4">
            <w:pPr>
              <w:jc w:val="center"/>
              <w:rPr>
                <w:rFonts w:ascii="Arial" w:hAnsi="Arial" w:cs="Arial"/>
                <w:sz w:val="18"/>
                <w:szCs w:val="18"/>
              </w:rPr>
            </w:pPr>
            <w:r>
              <w:rPr>
                <w:rFonts w:ascii="Arial" w:hAnsi="Arial" w:cs="Arial"/>
                <w:sz w:val="18"/>
                <w:szCs w:val="18"/>
              </w:rPr>
              <w:t>289</w:t>
            </w:r>
          </w:p>
        </w:tc>
        <w:tc>
          <w:tcPr>
            <w:tcW w:w="123" w:type="pct"/>
            <w:tcBorders>
              <w:top w:val="single" w:sz="4" w:space="0" w:color="auto"/>
            </w:tcBorders>
          </w:tcPr>
          <w:p w14:paraId="334C00AE" w14:textId="77777777" w:rsidR="00061B3B" w:rsidRDefault="00061B3B" w:rsidP="002C74C4">
            <w:pPr>
              <w:jc w:val="center"/>
              <w:rPr>
                <w:rFonts w:ascii="Arial" w:hAnsi="Arial" w:cs="Arial"/>
                <w:sz w:val="18"/>
                <w:szCs w:val="18"/>
              </w:rPr>
            </w:pPr>
          </w:p>
        </w:tc>
        <w:tc>
          <w:tcPr>
            <w:tcW w:w="1065" w:type="pct"/>
            <w:tcBorders>
              <w:top w:val="single" w:sz="4" w:space="0" w:color="auto"/>
            </w:tcBorders>
          </w:tcPr>
          <w:p w14:paraId="05C2D97F" w14:textId="77777777" w:rsidR="00061B3B" w:rsidRDefault="00061B3B" w:rsidP="002C74C4">
            <w:pPr>
              <w:jc w:val="center"/>
              <w:rPr>
                <w:rFonts w:ascii="Arial" w:hAnsi="Arial" w:cs="Arial"/>
                <w:sz w:val="18"/>
                <w:szCs w:val="18"/>
              </w:rPr>
            </w:pPr>
            <w:r>
              <w:rPr>
                <w:rFonts w:ascii="Arial" w:hAnsi="Arial" w:cs="Arial"/>
                <w:sz w:val="18"/>
                <w:szCs w:val="18"/>
              </w:rPr>
              <w:t>126</w:t>
            </w:r>
          </w:p>
        </w:tc>
        <w:tc>
          <w:tcPr>
            <w:tcW w:w="1131" w:type="pct"/>
            <w:tcBorders>
              <w:top w:val="single" w:sz="4" w:space="0" w:color="auto"/>
            </w:tcBorders>
          </w:tcPr>
          <w:p w14:paraId="1F1E9F27" w14:textId="77777777" w:rsidR="00061B3B" w:rsidRDefault="00061B3B" w:rsidP="002C74C4">
            <w:pPr>
              <w:jc w:val="center"/>
              <w:rPr>
                <w:rFonts w:ascii="Arial" w:hAnsi="Arial" w:cs="Arial"/>
                <w:sz w:val="18"/>
                <w:szCs w:val="18"/>
              </w:rPr>
            </w:pPr>
            <w:r>
              <w:rPr>
                <w:rFonts w:ascii="Arial" w:hAnsi="Arial" w:cs="Arial"/>
                <w:sz w:val="18"/>
                <w:szCs w:val="18"/>
              </w:rPr>
              <w:t>293</w:t>
            </w:r>
          </w:p>
        </w:tc>
      </w:tr>
      <w:tr w:rsidR="00061B3B" w14:paraId="40F000BD" w14:textId="77777777" w:rsidTr="002C74C4">
        <w:trPr>
          <w:jc w:val="center"/>
        </w:trPr>
        <w:tc>
          <w:tcPr>
            <w:tcW w:w="486" w:type="pct"/>
          </w:tcPr>
          <w:p w14:paraId="5D173FEE" w14:textId="77777777" w:rsidR="00061B3B" w:rsidRDefault="00061B3B" w:rsidP="002C74C4">
            <w:pPr>
              <w:jc w:val="center"/>
              <w:rPr>
                <w:rFonts w:ascii="Arial" w:hAnsi="Arial" w:cs="Arial"/>
                <w:sz w:val="18"/>
                <w:szCs w:val="18"/>
              </w:rPr>
            </w:pPr>
            <w:r>
              <w:rPr>
                <w:rFonts w:ascii="Arial" w:hAnsi="Arial" w:cs="Arial"/>
                <w:sz w:val="18"/>
                <w:szCs w:val="18"/>
              </w:rPr>
              <w:t>GCC</w:t>
            </w:r>
          </w:p>
        </w:tc>
        <w:tc>
          <w:tcPr>
            <w:tcW w:w="1064" w:type="pct"/>
          </w:tcPr>
          <w:p w14:paraId="5FFC7E14" w14:textId="77777777" w:rsidR="00061B3B" w:rsidRDefault="00061B3B" w:rsidP="002C74C4">
            <w:pPr>
              <w:jc w:val="center"/>
              <w:rPr>
                <w:rFonts w:ascii="Arial" w:hAnsi="Arial" w:cs="Arial"/>
                <w:sz w:val="18"/>
                <w:szCs w:val="18"/>
              </w:rPr>
            </w:pPr>
            <w:r>
              <w:rPr>
                <w:rFonts w:ascii="Arial" w:hAnsi="Arial" w:cs="Arial"/>
                <w:sz w:val="18"/>
                <w:szCs w:val="18"/>
              </w:rPr>
              <w:t>119</w:t>
            </w:r>
          </w:p>
        </w:tc>
        <w:tc>
          <w:tcPr>
            <w:tcW w:w="1131" w:type="pct"/>
          </w:tcPr>
          <w:p w14:paraId="747D9F54" w14:textId="77777777" w:rsidR="00061B3B" w:rsidRDefault="00061B3B" w:rsidP="002C74C4">
            <w:pPr>
              <w:jc w:val="center"/>
              <w:rPr>
                <w:rFonts w:ascii="Arial" w:hAnsi="Arial" w:cs="Arial"/>
                <w:sz w:val="18"/>
                <w:szCs w:val="18"/>
              </w:rPr>
            </w:pPr>
            <w:r>
              <w:rPr>
                <w:rFonts w:ascii="Arial" w:hAnsi="Arial" w:cs="Arial"/>
                <w:sz w:val="18"/>
                <w:szCs w:val="18"/>
              </w:rPr>
              <w:t>270</w:t>
            </w:r>
          </w:p>
        </w:tc>
        <w:tc>
          <w:tcPr>
            <w:tcW w:w="123" w:type="pct"/>
          </w:tcPr>
          <w:p w14:paraId="12564018" w14:textId="77777777" w:rsidR="00061B3B" w:rsidRDefault="00061B3B" w:rsidP="002C74C4">
            <w:pPr>
              <w:jc w:val="center"/>
              <w:rPr>
                <w:rFonts w:ascii="Arial" w:hAnsi="Arial" w:cs="Arial"/>
                <w:sz w:val="18"/>
                <w:szCs w:val="18"/>
              </w:rPr>
            </w:pPr>
          </w:p>
        </w:tc>
        <w:tc>
          <w:tcPr>
            <w:tcW w:w="1065" w:type="pct"/>
          </w:tcPr>
          <w:p w14:paraId="11E5A5D3" w14:textId="77777777" w:rsidR="00061B3B" w:rsidRDefault="00061B3B" w:rsidP="002C74C4">
            <w:pPr>
              <w:jc w:val="center"/>
              <w:rPr>
                <w:rFonts w:ascii="Arial" w:hAnsi="Arial" w:cs="Arial"/>
                <w:sz w:val="18"/>
                <w:szCs w:val="18"/>
              </w:rPr>
            </w:pPr>
            <w:r>
              <w:rPr>
                <w:rFonts w:ascii="Arial" w:hAnsi="Arial" w:cs="Arial"/>
                <w:sz w:val="18"/>
                <w:szCs w:val="18"/>
              </w:rPr>
              <w:t>121</w:t>
            </w:r>
          </w:p>
        </w:tc>
        <w:tc>
          <w:tcPr>
            <w:tcW w:w="1131" w:type="pct"/>
          </w:tcPr>
          <w:p w14:paraId="32173F9C" w14:textId="77777777" w:rsidR="00061B3B" w:rsidRDefault="00061B3B" w:rsidP="002C74C4">
            <w:pPr>
              <w:jc w:val="center"/>
              <w:rPr>
                <w:rFonts w:ascii="Arial" w:hAnsi="Arial" w:cs="Arial"/>
                <w:sz w:val="18"/>
                <w:szCs w:val="18"/>
              </w:rPr>
            </w:pPr>
            <w:r>
              <w:rPr>
                <w:rFonts w:ascii="Arial" w:hAnsi="Arial" w:cs="Arial"/>
                <w:sz w:val="18"/>
                <w:szCs w:val="18"/>
              </w:rPr>
              <w:t>277</w:t>
            </w:r>
          </w:p>
        </w:tc>
      </w:tr>
    </w:tbl>
    <w:p w14:paraId="496BC223" w14:textId="73B10CD1" w:rsidR="00CD7F79" w:rsidRPr="00CD7F79" w:rsidRDefault="00CD7F79" w:rsidP="006F3318">
      <w:pPr>
        <w:tabs>
          <w:tab w:val="center" w:pos="4513"/>
          <w:tab w:val="right" w:pos="9027"/>
        </w:tabs>
        <w:spacing w:before="240" w:line="480" w:lineRule="auto"/>
        <w:jc w:val="both"/>
        <w:rPr>
          <w:rFonts w:ascii="Arial" w:eastAsia="Times New Roman" w:hAnsi="Arial" w:cs="Arial"/>
          <w:sz w:val="20"/>
          <w:szCs w:val="20"/>
        </w:rPr>
        <w:sectPr w:rsidR="00CD7F79" w:rsidRPr="00CD7F79" w:rsidSect="00C660FC">
          <w:pgSz w:w="11907" w:h="16839" w:code="9"/>
          <w:pgMar w:top="1440" w:right="1440" w:bottom="1440" w:left="1440" w:header="708" w:footer="708" w:gutter="0"/>
          <w:lnNumType w:countBy="1" w:restart="continuous"/>
          <w:cols w:space="708"/>
          <w:docGrid w:linePitch="360"/>
        </w:sectPr>
      </w:pPr>
    </w:p>
    <w:p w14:paraId="4173E332" w14:textId="11B8B607" w:rsidR="00214280" w:rsidRDefault="00D9391F" w:rsidP="00E441F8">
      <w:pPr>
        <w:spacing w:line="480" w:lineRule="auto"/>
        <w:jc w:val="both"/>
        <w:rPr>
          <w:rFonts w:ascii="Arial" w:eastAsia="Times New Roman" w:hAnsi="Arial" w:cs="Arial"/>
          <w:b/>
          <w:bCs/>
          <w:sz w:val="20"/>
          <w:szCs w:val="20"/>
        </w:rPr>
      </w:pPr>
      <w:r w:rsidRPr="00D9391F">
        <w:rPr>
          <w:rFonts w:ascii="Arial" w:eastAsia="Times New Roman" w:hAnsi="Arial" w:cs="Arial"/>
          <w:b/>
          <w:bCs/>
          <w:sz w:val="20"/>
          <w:szCs w:val="20"/>
        </w:rPr>
        <w:lastRenderedPageBreak/>
        <w:t xml:space="preserve">4. </w:t>
      </w:r>
      <w:r>
        <w:rPr>
          <w:rFonts w:ascii="Arial" w:eastAsia="Times New Roman" w:hAnsi="Arial" w:cs="Arial"/>
          <w:b/>
          <w:bCs/>
          <w:sz w:val="20"/>
          <w:szCs w:val="20"/>
        </w:rPr>
        <w:t>Discussion</w:t>
      </w:r>
    </w:p>
    <w:p w14:paraId="6D630F1D" w14:textId="0EE86DC7" w:rsidR="003D48D4" w:rsidRDefault="003D48D4" w:rsidP="00E441F8">
      <w:pPr>
        <w:spacing w:line="480" w:lineRule="auto"/>
        <w:jc w:val="both"/>
        <w:rPr>
          <w:rFonts w:ascii="Arial" w:eastAsia="Times New Roman" w:hAnsi="Arial" w:cs="Arial"/>
          <w:i/>
          <w:iCs/>
          <w:sz w:val="20"/>
          <w:szCs w:val="20"/>
        </w:rPr>
      </w:pPr>
      <w:r>
        <w:rPr>
          <w:rFonts w:ascii="Arial" w:eastAsia="Times New Roman" w:hAnsi="Arial" w:cs="Arial"/>
          <w:i/>
          <w:iCs/>
          <w:sz w:val="20"/>
          <w:szCs w:val="20"/>
        </w:rPr>
        <w:t>4.1. Utility of automated DHP for tracking forest LAI</w:t>
      </w:r>
    </w:p>
    <w:p w14:paraId="5B38255A" w14:textId="6B75E544" w:rsidR="00576E7D" w:rsidRDefault="002131D2" w:rsidP="00E441F8">
      <w:pPr>
        <w:spacing w:line="480" w:lineRule="auto"/>
        <w:jc w:val="both"/>
        <w:rPr>
          <w:rFonts w:ascii="Arial" w:eastAsia="Times New Roman" w:hAnsi="Arial" w:cs="Arial"/>
          <w:sz w:val="20"/>
          <w:szCs w:val="20"/>
        </w:rPr>
      </w:pPr>
      <w:r>
        <w:rPr>
          <w:rFonts w:ascii="Arial" w:hAnsi="Arial" w:cs="Arial"/>
          <w:bCs/>
          <w:sz w:val="20"/>
          <w:szCs w:val="20"/>
        </w:rPr>
        <w:t xml:space="preserve">Information on the temporal dynamics of forest biophysical properties is required by models of vegetation productivity, biosphere-atmosphere interactions, and the surface energy balance.  </w:t>
      </w:r>
      <w:r>
        <w:rPr>
          <w:rFonts w:ascii="Arial" w:eastAsia="Times New Roman" w:hAnsi="Arial" w:cs="Arial"/>
          <w:sz w:val="20"/>
          <w:szCs w:val="20"/>
        </w:rPr>
        <w:t>Because in</w:t>
      </w:r>
      <w:r w:rsidR="00CF3773">
        <w:rPr>
          <w:rFonts w:ascii="Arial" w:eastAsia="Times New Roman" w:hAnsi="Arial" w:cs="Arial"/>
          <w:sz w:val="20"/>
          <w:szCs w:val="20"/>
        </w:rPr>
        <w:t xml:space="preserve"> </w:t>
      </w:r>
      <w:r>
        <w:rPr>
          <w:rFonts w:ascii="Arial" w:eastAsia="Times New Roman" w:hAnsi="Arial" w:cs="Arial"/>
          <w:sz w:val="20"/>
          <w:szCs w:val="20"/>
        </w:rPr>
        <w:t xml:space="preserve">situ measurements are </w:t>
      </w:r>
      <w:r>
        <w:rPr>
          <w:rFonts w:ascii="Arial" w:hAnsi="Arial" w:cs="Arial"/>
          <w:bCs/>
          <w:sz w:val="20"/>
          <w:szCs w:val="20"/>
        </w:rPr>
        <w:t>restricted by resource constraints, there is a need for cost-effective techniques to continuously monitor forest biophysical properties over time</w:t>
      </w:r>
      <w:r>
        <w:rPr>
          <w:rFonts w:ascii="Arial" w:eastAsia="Times New Roman" w:hAnsi="Arial" w:cs="Arial"/>
          <w:sz w:val="20"/>
          <w:szCs w:val="20"/>
        </w:rPr>
        <w:t xml:space="preserve">.  </w:t>
      </w:r>
      <w:r w:rsidR="00191F1E">
        <w:rPr>
          <w:rFonts w:ascii="Arial" w:eastAsia="Times New Roman" w:hAnsi="Arial" w:cs="Arial"/>
          <w:sz w:val="20"/>
          <w:szCs w:val="20"/>
        </w:rPr>
        <w:t xml:space="preserve">Previously investigated techniques for </w:t>
      </w:r>
      <w:r w:rsidR="00010E51">
        <w:rPr>
          <w:rFonts w:ascii="Arial" w:eastAsia="Times New Roman" w:hAnsi="Arial" w:cs="Arial"/>
          <w:sz w:val="20"/>
          <w:szCs w:val="20"/>
        </w:rPr>
        <w:t xml:space="preserve">the </w:t>
      </w:r>
      <w:r w:rsidR="00191F1E">
        <w:rPr>
          <w:rFonts w:ascii="Arial" w:eastAsia="Times New Roman" w:hAnsi="Arial" w:cs="Arial"/>
          <w:sz w:val="20"/>
          <w:szCs w:val="20"/>
        </w:rPr>
        <w:t xml:space="preserve">continuous monitoring of </w:t>
      </w:r>
      <w:r w:rsidR="00A82643">
        <w:rPr>
          <w:rFonts w:ascii="Arial" w:eastAsia="Times New Roman" w:hAnsi="Arial" w:cs="Arial"/>
          <w:sz w:val="20"/>
          <w:szCs w:val="20"/>
        </w:rPr>
        <w:t xml:space="preserve">biophysical variables </w:t>
      </w:r>
      <w:r w:rsidR="00E441F8">
        <w:rPr>
          <w:rFonts w:ascii="Arial" w:eastAsia="Times New Roman" w:hAnsi="Arial" w:cs="Arial"/>
          <w:sz w:val="20"/>
          <w:szCs w:val="20"/>
        </w:rPr>
        <w:t>such as LAI</w:t>
      </w:r>
      <w:r w:rsidR="00191F1E">
        <w:rPr>
          <w:rFonts w:ascii="Arial" w:eastAsia="Times New Roman" w:hAnsi="Arial" w:cs="Arial"/>
          <w:sz w:val="20"/>
          <w:szCs w:val="20"/>
        </w:rPr>
        <w:t xml:space="preserve"> have been subject to a number of challenge</w:t>
      </w:r>
      <w:r w:rsidR="00783195">
        <w:rPr>
          <w:rFonts w:ascii="Arial" w:eastAsia="Times New Roman" w:hAnsi="Arial" w:cs="Arial"/>
          <w:sz w:val="20"/>
          <w:szCs w:val="20"/>
        </w:rPr>
        <w:t xml:space="preserve">s, including </w:t>
      </w:r>
      <w:r w:rsidR="00FC6E8A">
        <w:rPr>
          <w:rFonts w:ascii="Arial" w:eastAsia="Times New Roman" w:hAnsi="Arial" w:cs="Arial"/>
          <w:sz w:val="20"/>
          <w:szCs w:val="20"/>
        </w:rPr>
        <w:t>the</w:t>
      </w:r>
      <w:r w:rsidR="00191F1E">
        <w:rPr>
          <w:rFonts w:ascii="Arial" w:eastAsia="Times New Roman" w:hAnsi="Arial" w:cs="Arial"/>
          <w:sz w:val="20"/>
          <w:szCs w:val="20"/>
        </w:rPr>
        <w:t xml:space="preserve"> need for calibration</w:t>
      </w:r>
      <w:r w:rsidR="00FC6E8A">
        <w:rPr>
          <w:rFonts w:ascii="Arial" w:eastAsia="Times New Roman" w:hAnsi="Arial" w:cs="Arial"/>
          <w:sz w:val="20"/>
          <w:szCs w:val="20"/>
        </w:rPr>
        <w:t xml:space="preserve"> </w:t>
      </w:r>
      <w:r w:rsidR="00F21B51">
        <w:rPr>
          <w:rFonts w:ascii="Arial" w:eastAsia="Times New Roman" w:hAnsi="Arial" w:cs="Arial"/>
          <w:sz w:val="20"/>
          <w:szCs w:val="20"/>
        </w:rPr>
        <w:t xml:space="preserve">of </w:t>
      </w:r>
      <w:r w:rsidR="00145992">
        <w:rPr>
          <w:rFonts w:ascii="Arial" w:eastAsia="Times New Roman" w:hAnsi="Arial" w:cs="Arial"/>
          <w:sz w:val="20"/>
          <w:szCs w:val="20"/>
        </w:rPr>
        <w:t>above-</w:t>
      </w:r>
      <w:r w:rsidR="00F21B51">
        <w:rPr>
          <w:rFonts w:ascii="Arial" w:eastAsia="Times New Roman" w:hAnsi="Arial" w:cs="Arial"/>
          <w:sz w:val="20"/>
          <w:szCs w:val="20"/>
        </w:rPr>
        <w:t xml:space="preserve"> and below-</w:t>
      </w:r>
      <w:r w:rsidR="00145992">
        <w:rPr>
          <w:rFonts w:ascii="Arial" w:eastAsia="Times New Roman" w:hAnsi="Arial" w:cs="Arial"/>
          <w:sz w:val="20"/>
          <w:szCs w:val="20"/>
        </w:rPr>
        <w:t>canopy sensors</w:t>
      </w:r>
      <w:r w:rsidR="00DA7439">
        <w:rPr>
          <w:rFonts w:ascii="Arial" w:eastAsia="Times New Roman" w:hAnsi="Arial" w:cs="Arial"/>
          <w:sz w:val="20"/>
          <w:szCs w:val="20"/>
        </w:rPr>
        <w:t xml:space="preserve">, </w:t>
      </w:r>
      <w:r w:rsidR="000F793F">
        <w:rPr>
          <w:rFonts w:ascii="Arial" w:eastAsia="Times New Roman" w:hAnsi="Arial" w:cs="Arial"/>
          <w:sz w:val="20"/>
          <w:szCs w:val="20"/>
        </w:rPr>
        <w:t>ancillary information</w:t>
      </w:r>
      <w:r w:rsidR="00143F20">
        <w:rPr>
          <w:rFonts w:ascii="Arial" w:eastAsia="Times New Roman" w:hAnsi="Arial" w:cs="Arial"/>
          <w:sz w:val="20"/>
          <w:szCs w:val="20"/>
        </w:rPr>
        <w:t xml:space="preserve"> on canopy leaf angle distribution</w:t>
      </w:r>
      <w:r w:rsidR="009145C9">
        <w:rPr>
          <w:rFonts w:ascii="Arial" w:eastAsia="Times New Roman" w:hAnsi="Arial" w:cs="Arial"/>
          <w:sz w:val="20"/>
          <w:szCs w:val="20"/>
        </w:rPr>
        <w:t>, and</w:t>
      </w:r>
      <w:r w:rsidR="00191F1E">
        <w:rPr>
          <w:rFonts w:ascii="Arial" w:eastAsia="Times New Roman" w:hAnsi="Arial" w:cs="Arial"/>
          <w:sz w:val="20"/>
          <w:szCs w:val="20"/>
        </w:rPr>
        <w:t xml:space="preserve"> </w:t>
      </w:r>
      <w:r w:rsidR="00010E51">
        <w:rPr>
          <w:rFonts w:ascii="Arial" w:eastAsia="Times New Roman" w:hAnsi="Arial" w:cs="Arial"/>
          <w:sz w:val="20"/>
          <w:szCs w:val="20"/>
        </w:rPr>
        <w:t xml:space="preserve">limited </w:t>
      </w:r>
      <w:r w:rsidR="00FC6E8A">
        <w:rPr>
          <w:rFonts w:ascii="Arial" w:eastAsia="Times New Roman" w:hAnsi="Arial" w:cs="Arial"/>
          <w:sz w:val="20"/>
          <w:szCs w:val="20"/>
        </w:rPr>
        <w:t>measurement footprints</w:t>
      </w:r>
      <w:r w:rsidR="00862319">
        <w:rPr>
          <w:rFonts w:ascii="Arial" w:eastAsia="Times New Roman" w:hAnsi="Arial" w:cs="Arial"/>
          <w:sz w:val="20"/>
          <w:szCs w:val="20"/>
        </w:rPr>
        <w:t xml:space="preserve"> </w:t>
      </w:r>
      <w:r w:rsidR="00862319">
        <w:rPr>
          <w:rFonts w:ascii="Arial" w:eastAsia="Times New Roman" w:hAnsi="Arial" w:cs="Arial"/>
          <w:sz w:val="20"/>
          <w:szCs w:val="20"/>
        </w:rPr>
        <w:fldChar w:fldCharType="begin" w:fldLock="1"/>
      </w:r>
      <w:r w:rsidR="00E04E61" w:rsidRPr="00DA7439">
        <w:rPr>
          <w:rFonts w:ascii="Arial" w:eastAsia="Times New Roman" w:hAnsi="Arial" w:cs="Arial"/>
          <w:sz w:val="20"/>
          <w:szCs w:val="20"/>
        </w:rPr>
        <w:instrText>ADDIN CSL_CITATION {"citationItems":[{"id":"ITEM-1","itemData":{"DOI":"10.1016/j.agrformet.2018.02.003","ISSN":"01681923","abstract":"Automatic leaf area index (LAI) measurements are important for obtaining sufficient amounts of field data over an extended period of time. A seasonal field campaign was carried out to obtain continuous LAI measurements over maize, soybean, and sorghum fields in northeast China in 2016. Field LAI measurements were acquired with the automatic PASTIS-57 (PAI Autonomous System from Transmittance Instantaneous Sensed from 57°) instrument and two smartphone applications, PocketLAI and LAISmart. These measurements were compared with data obtained using the LAI-2200 Plant Canopy Analyzer, digital hemispherical photography (DHP), and destructive sampling measurements. The effective plant area index (PAIeff) estimates from LAI-2200 and DHP are consistent over the season, with the overall relative errors (RE) of less than 5%. The PASTIS-57 data exhibit a small underestimation of the LAI-2200 and DHP values (RE &lt; 20%). The relative errors for the LAISmart data are between −20% and −30%. PocketLAI significantly underestimates the LAI-2200 values (RE &gt; 40%) and saturates at around PAIeff= 3.5. The canopy clumping index (CI) exhibits an S-shaped seasonal variation that decreases with the increase of PAIeffduring the vegetative growth stage but increases after this stage. PASTIS-57 shows great potential for obtaining continuous LAI measurements in agricultural crop fields, but the smartphone applications should be further examined before they can be used for research purposes. The data collected in this study are valuable for the validation of remote sensing products.","author":[{"dropping-particle":"","family":"Fang","given":"Hongliang","non-dropping-particle":"","parse-names":false,"suffix":""},{"dropping-particle":"","family":"Ye","given":"Yongchang","non-dropping-particle":"","parse-names":false,"suffix":""},{"dropping-particle":"","family":"Liu","given":"Weiwei","non-dropping-particle":"","parse-names":false,"suffix":""},{"dropping-particle":"","family":"Wei","given":"Shanshan","non-dropping-particle":"","parse-names":false,"suffix":""},{"dropping-particle":"","family":"Ma","given":"Li","non-dropping-particle":"","parse-names":false,"suffix":""}],"container-title":"Agricultural and Forest Meteorology","id":"ITEM-1","issue":"February","issued":{"date-parts":[["2018","5"]]},"page":"48-61","title":"Continuous estimation of canopy leaf area index (LAI) and clumping index over broadleaf crop fields: An investigation of the PASTIS-57 instrument and smartphone applications","type":"article-journal","volume":"253-254"},"uris":["http://www.mendeley.com/documents/?uuid=5058f23c-6061-414e-ad34-8be7e60721af"]},{"id":"ITEM-2","itemData":{"DOI":"10.1016/j.compag.2014.08.003","ISBN":"0168-1699","ISSN":"01681699","abstract":"Plant leaf area index (LAI) is an important structural parameter for describing the ability of the canopy to intercept solar radiation, and it plays an important role in the estimation of forest biomass. To overcome the difficulties of current ground measurement instruments in automatically collecting plant LAI, we have designed a continuous LAI measurement system: LAINet. The main part of LAINet includes the distributed Below Node (BN), which is deployed below the canopy and receives transmitted solar radiation, the Above Node (AN), which is used to receive downward radiation above the canopy, and the Central Node (CN), which is used as a data reception and control node. Communication among the nodes is implemented through the Zigbee protocol, while data exchange between the CN and the remote data center server is completed through the General Packet Radio Service (GPRS) network. The design of the LAINet framework and the algorithm for estimating the LAI from a multi-point directional transmittance is presented in this paper. The sensors of LAINet are calibrated on two clear days, and the performance of the proposed system is compared in time series field experiments. Comparison of the nodes' sensor results indicates that under the condition of the same solar radiation, the response between the different sensors is of high consistence, and each node has a stable calibration coefficient across different dates. In the field coniferous forest experiment, upon comparing with TRAC (Tracing Radiance and Architecture of Canopies) instruments and the results obtained using different data processing algorithms, it is found that the LAINet system can produce the best results with a minimum root mean square error (RMSE=0.34) and a higher determination coefficient (R2=0.81). We adopt a multi-day window for aggregating the daily observed LAI to remove the noise that occurs from daily weather variation, and it indicates that the aggregated time series LAI can capture the process of the coniferous needles' growth and defoliation properly. Thus, it is confirmed that LAINet can be used as a feasible method to conduct automatic ground observations, especially in the scenario where continuous observation is required. ?? 2014 Elsevier B.V.","author":[{"dropping-particle":"","family":"Qu","given":"Yonghua","non-dropping-particle":"","parse-names":false,"suffix":""},{"dropping-particle":"","family":"Han","given":"Wenchao","non-dropping-particle":"","parse-names":false,"suffix":""},{"dropping-particle":"","family":"Fu","given":"Lizhe","non-dropping-particle":"","parse-names":false,"suffix":""},{"dropping-particle":"","family":"Li","given":"Congrong","non-dropping-particle":"","parse-names":false,"suffix":""},{"dropping-particle":"","family":"Song","given":"Jinling","non-dropping-particle":"","parse-names":false,"suffix":""},{"dropping-particle":"","family":"Zhou","given":"Hongmin","non-dropping-particle":"","parse-names":false,"suffix":""},{"dropping-particle":"","family":"Bo","given":"Yanchen","non-dropping-particle":"","parse-names":false,"suffix":""},{"dropping-particle":"","family":"Wang","given":"Jindi","non-dropping-particle":"","parse-names":false,"suffix":""}],"container-title":"Computers and Electronics in Agriculture","id":"ITEM-2","issued":{"date-parts":[["2014","10"]]},"page":"200-208","title":"LAINet – A wireless sensor network for coniferous forest leaf area index measurement: Design, algorithm and validation","type":"article-journal","volume":"108"},"uris":["http://www.mendeley.com/documents/?uuid=8a8423d5-3bd6-3a9e-8a01-050809732362"]},{"id":"ITEM-3","itemData":{"DOI":"10.1016/j.rse.2012.08.027","ISBN":"0034-4257","ISSN":"00344257","abstract":"Understanding the dynamics of leaf area index (LAI) at ecosystem scale is critical for evaluating and modeling the response of vegetation to environmental variability and change. We present an approach for quantifying daily ecosystem LAI that integrates automatic acquisition of a small number of reference photos, viewed towards the zenith, and a larger number of photos covering a spatially extensive area that were manually acquired during periodic field trips. We present an image archive spanning three years for an oak-savanna ecosystem in California to identify the timing of phenological and disturbance events, and to quantify the seasonal to interannual variability of tree LAI at ecosystem scale. The digital camera-derived LAI, corrected for clumping effects, agreed well (r 2=0.94, root mean square error=0.05) with independent estimates of LAI from litterfall traps and the LAI-2000 Plant Canopy Analyzer. Using the Moderate Resolution Imaging Spectroradiometer (MODIS) LAI product, which combined grass and tree LAI, we obtained realistic seasonal patterns of ecosystem LAI that corresponded with tree LAI from the digital cameras for the period when grass was dead. The digital camera method is an easy and inexpensive way to monitor LAI at ecosystem scale. This method can be used for testing and improving phenology models, evaluating remote-sensing-derived LAI products, and quantifying forest structures in rapidly changing environments. ?? 2012 Elsevier Inc.","author":[{"dropping-particle":"","family":"Ryu","given":"Youngryel","non-dropping-particle":"","parse-names":false,"suffix":""},{"dropping-particle":"","family":"Verfaillie","given":"Joseph","non-dropping-particle":"","parse-names":false,"suffix":""},{"dropping-particle":"","family":"Macfarlane","given":"Craig","non-dropping-particle":"","parse-names":false,"suffix":""},{"dropping-particle":"","family":"Kobayashi","given":"Hideki","non-dropping-particle":"","parse-names":false,"suffix":""},{"dropping-particle":"","family":"Sonnentag","given":"Oliver","non-dropping-particle":"","parse-names":false,"suffix":""},{"dropping-particle":"","family":"Vargas","given":"Rodrigo","non-dropping-particle":"","parse-names":false,"suffix":""},{"dropping-particle":"","family":"Ma","given":"Siyan","non-dropping-particle":"","parse-names":false,"suffix":""},{"dropping-particle":"","family":"Baldocchi","given":"Dennis D","non-dropping-particle":"","parse-names":false,"suffix":""}],"container-title":"Remote Sensing of Environment","id":"ITEM-3","issued":{"date-parts":[["2012","11"]]},"page":"116-125","title":"Continuous observation of tree leaf area index at ecosystem scale using upward-pointing digital cameras","type":"article-journal","volume":"126"},"uris":["http://www.mendeley.com/documents/?uuid=7b906222-0c3e-38c1-b5b5-dfe624b8c760"]},{"id":"ITEM-4","itemData":{"DOI":"10.1016/j.agrformet.2017.09.004","ISSN":"01681923","abstract":"Long-term, continuous digital camera imagery and tower-based radiometric monitoring were conducted at a representative hardwood forest site in the Northeastern United States, part of the AmeriFlux network. In this study, the phenological metrics of the leaf area index (LAI), plant area index (PAI) and associated transition dates (e.g., timing of the onset of leaf expansion and the cessation of leaf fall) were compared using 4-year of data from Bartlett Experimental Forest. We used digital repeat photography (DRP) imagery collected using two different methods (\"canopy cover\" and \"phenocam\" approaches), together with above- and below-canopy measurements of photosynthetically active radiation (PAR). The growth-period LAI estimated from canopy cover images (LAICANOPY) and the above and below canopy PAR measurements (LAIfPARt) were within approximately the same range, in term of magnitude, as previous results for multiple comparative methods, although growing-season LAICANOPY was slightly lower (3.11m2 m-2 to 3.35m2 m-2) than LAIfPARt (3.19m2 m-2 to 3.67m2 m-2). In addition, we derived phenological transition dates from PAICANOPY, PAIfPARt, and color-based metrics calculated from the phenocam imagery (green (GCC) and red (RCC) chromatic coordinates). The transition dates in both spring and autumn differed somewhat according to method, presumably due to the vegetation status detection abilities of each vegetation metric. We found that LAI estimation from canopy cover images may be influenced by automatic exposure settings, which limits the ability to detect subtle changes in phenology during the transition phases in both spring and autumn. Particularly in autumn, the color-based metrics calculated from the phenocam imagery are decoupled from leaf area dynamics and thus PAI. While above and below canopy PAR measurements could yield the better indicators for estimating LAI, its seasonal dynamics, and associated phenological transition dates in long-term monitoring, we argue that there are obvious benefits to the multi-sensor approach used here.","author":[{"dropping-particle":"","family":"Toda","given":"Motomu","non-dropping-particle":"","parse-names":false,"suffix":""},{"dropping-particle":"","family":"Richardson","given":"Andrew D.","non-dropping-particle":"","parse-names":false,"suffix":""}],"container-title":"Agricultural and Forest Meteorology","id":"ITEM-4","issue":"September","issued":{"date-parts":[["2017","9"]]},"page":"1-10","title":"Estimation of plant area index and phenological transition dates from digital repeat photography and radiometric approaches in a hardwood forest in the Northeastern United States","type":"article-journal"},"uris":["http://www.mendeley.com/documents/?uuid=60af9818-db88-4e35-82a0-1f08dc215e98"]}],"mendeley":{"formattedCitation":"(Fang et al., 2018; Qu et al., 2014; Ryu et al., 2012; Toda and Richardson, 2017)","plainTextFormattedCitation":"(Fang et al., 2018; Qu et al., 2014; Ryu et al., 2012; Toda and Richardson, 2017)","previouslyFormattedCitation":"(Fang et al., 2018; Qu et al., 2014; Ryu et al., 2012; Toda and Richardson, 2017)"},"properties":{"noteIndex":0},"schema":"https://github.com/citation-style-language/schema/raw/master/csl-citation.json"}</w:instrText>
      </w:r>
      <w:r w:rsidR="00862319">
        <w:rPr>
          <w:rFonts w:ascii="Arial" w:eastAsia="Times New Roman" w:hAnsi="Arial" w:cs="Arial"/>
          <w:sz w:val="20"/>
          <w:szCs w:val="20"/>
        </w:rPr>
        <w:fldChar w:fldCharType="separate"/>
      </w:r>
      <w:r w:rsidR="00862319" w:rsidRPr="00862319">
        <w:rPr>
          <w:rFonts w:ascii="Arial" w:eastAsia="Times New Roman" w:hAnsi="Arial" w:cs="Arial"/>
          <w:noProof/>
          <w:sz w:val="20"/>
          <w:szCs w:val="20"/>
        </w:rPr>
        <w:t>(Fang et al., 2018; Qu et al., 2014; Ryu et al., 2012; Toda and Richardson, 2017)</w:t>
      </w:r>
      <w:r w:rsidR="00862319">
        <w:rPr>
          <w:rFonts w:ascii="Arial" w:eastAsia="Times New Roman" w:hAnsi="Arial" w:cs="Arial"/>
          <w:sz w:val="20"/>
          <w:szCs w:val="20"/>
        </w:rPr>
        <w:fldChar w:fldCharType="end"/>
      </w:r>
      <w:r w:rsidR="00191F1E">
        <w:rPr>
          <w:rFonts w:ascii="Arial" w:eastAsia="Times New Roman" w:hAnsi="Arial" w:cs="Arial"/>
          <w:sz w:val="20"/>
          <w:szCs w:val="20"/>
        </w:rPr>
        <w:t xml:space="preserve">.  </w:t>
      </w:r>
      <w:r w:rsidR="00FA110C">
        <w:rPr>
          <w:rFonts w:ascii="Arial" w:eastAsia="Times New Roman" w:hAnsi="Arial" w:cs="Arial"/>
          <w:sz w:val="20"/>
          <w:szCs w:val="20"/>
        </w:rPr>
        <w:t>To</w:t>
      </w:r>
      <w:r w:rsidR="003E12D4">
        <w:rPr>
          <w:rFonts w:ascii="Arial" w:eastAsia="Times New Roman" w:hAnsi="Arial" w:cs="Arial"/>
          <w:sz w:val="20"/>
          <w:szCs w:val="20"/>
        </w:rPr>
        <w:t xml:space="preserve"> overcome these challenges,</w:t>
      </w:r>
      <w:r w:rsidR="00191F1E">
        <w:rPr>
          <w:rFonts w:ascii="Arial" w:eastAsia="Times New Roman" w:hAnsi="Arial" w:cs="Arial"/>
          <w:sz w:val="20"/>
          <w:szCs w:val="20"/>
        </w:rPr>
        <w:t xml:space="preserve"> we investigated </w:t>
      </w:r>
      <w:r w:rsidR="00ED5829">
        <w:rPr>
          <w:rFonts w:ascii="Arial" w:eastAsia="Times New Roman" w:hAnsi="Arial" w:cs="Arial"/>
          <w:sz w:val="20"/>
          <w:szCs w:val="20"/>
        </w:rPr>
        <w:t>a new</w:t>
      </w:r>
      <w:r w:rsidR="00191F1E">
        <w:rPr>
          <w:rFonts w:ascii="Arial" w:eastAsia="Times New Roman" w:hAnsi="Arial" w:cs="Arial"/>
          <w:sz w:val="20"/>
          <w:szCs w:val="20"/>
        </w:rPr>
        <w:t xml:space="preserve"> approach based on automated DHP.  Using established</w:t>
      </w:r>
      <w:r w:rsidR="00010E51">
        <w:rPr>
          <w:rFonts w:ascii="Arial" w:eastAsia="Times New Roman" w:hAnsi="Arial" w:cs="Arial"/>
          <w:sz w:val="20"/>
          <w:szCs w:val="20"/>
        </w:rPr>
        <w:t xml:space="preserve"> and automated</w:t>
      </w:r>
      <w:r w:rsidR="00191F1E">
        <w:rPr>
          <w:rFonts w:ascii="Arial" w:eastAsia="Times New Roman" w:hAnsi="Arial" w:cs="Arial"/>
          <w:sz w:val="20"/>
          <w:szCs w:val="20"/>
        </w:rPr>
        <w:t xml:space="preserve"> analysis methods, a time-series of LAI was successfully derived from the acquired imagery.  Whilst this time-series was subject to a considerable degree of </w:t>
      </w:r>
      <w:r w:rsidR="00ED5829">
        <w:rPr>
          <w:rFonts w:ascii="Arial" w:eastAsia="Times New Roman" w:hAnsi="Arial" w:cs="Arial"/>
          <w:sz w:val="20"/>
          <w:szCs w:val="20"/>
        </w:rPr>
        <w:t>variability</w:t>
      </w:r>
      <w:r w:rsidR="00191F1E">
        <w:rPr>
          <w:rFonts w:ascii="Arial" w:eastAsia="Times New Roman" w:hAnsi="Arial" w:cs="Arial"/>
          <w:sz w:val="20"/>
          <w:szCs w:val="20"/>
        </w:rPr>
        <w:t>, our</w:t>
      </w:r>
      <w:r w:rsidR="00010E51">
        <w:rPr>
          <w:rFonts w:ascii="Arial" w:eastAsia="Times New Roman" w:hAnsi="Arial" w:cs="Arial"/>
          <w:sz w:val="20"/>
          <w:szCs w:val="20"/>
        </w:rPr>
        <w:t xml:space="preserve"> simple</w:t>
      </w:r>
      <w:r w:rsidR="00191F1E">
        <w:rPr>
          <w:rFonts w:ascii="Arial" w:eastAsia="Times New Roman" w:hAnsi="Arial" w:cs="Arial"/>
          <w:sz w:val="20"/>
          <w:szCs w:val="20"/>
        </w:rPr>
        <w:t xml:space="preserve"> data screening approach was able to supress much of the observed </w:t>
      </w:r>
      <w:r w:rsidR="00ED5829">
        <w:rPr>
          <w:rFonts w:ascii="Arial" w:eastAsia="Times New Roman" w:hAnsi="Arial" w:cs="Arial"/>
          <w:sz w:val="20"/>
          <w:szCs w:val="20"/>
        </w:rPr>
        <w:t>noise</w:t>
      </w:r>
      <w:r w:rsidR="00191F1E">
        <w:rPr>
          <w:rFonts w:ascii="Arial" w:eastAsia="Times New Roman" w:hAnsi="Arial" w:cs="Arial"/>
          <w:sz w:val="20"/>
          <w:szCs w:val="20"/>
        </w:rPr>
        <w:t>, providing a good description of LAI dynamics at a daily temporal resolution</w:t>
      </w:r>
      <w:r w:rsidR="00862319">
        <w:rPr>
          <w:rFonts w:ascii="Arial" w:eastAsia="Times New Roman" w:hAnsi="Arial" w:cs="Arial"/>
          <w:sz w:val="20"/>
          <w:szCs w:val="20"/>
        </w:rPr>
        <w:t xml:space="preserve"> without requiring </w:t>
      </w:r>
      <w:r w:rsidR="006C5D46">
        <w:rPr>
          <w:rFonts w:ascii="Arial" w:eastAsia="Times New Roman" w:hAnsi="Arial" w:cs="Arial"/>
          <w:sz w:val="20"/>
          <w:szCs w:val="20"/>
        </w:rPr>
        <w:t>manual</w:t>
      </w:r>
      <w:r w:rsidR="00862319">
        <w:rPr>
          <w:rFonts w:ascii="Arial" w:eastAsia="Times New Roman" w:hAnsi="Arial" w:cs="Arial"/>
          <w:sz w:val="20"/>
          <w:szCs w:val="20"/>
        </w:rPr>
        <w:t xml:space="preserve"> </w:t>
      </w:r>
      <w:r w:rsidR="00FC6E8A">
        <w:rPr>
          <w:rFonts w:ascii="Arial" w:eastAsia="Times New Roman" w:hAnsi="Arial" w:cs="Arial"/>
          <w:sz w:val="20"/>
          <w:szCs w:val="20"/>
        </w:rPr>
        <w:t>in</w:t>
      </w:r>
      <w:r w:rsidR="006C5D46">
        <w:rPr>
          <w:rFonts w:ascii="Arial" w:eastAsia="Times New Roman" w:hAnsi="Arial" w:cs="Arial"/>
          <w:sz w:val="20"/>
          <w:szCs w:val="20"/>
        </w:rPr>
        <w:t>spection</w:t>
      </w:r>
      <w:r w:rsidR="00862319">
        <w:rPr>
          <w:rFonts w:ascii="Arial" w:eastAsia="Times New Roman" w:hAnsi="Arial" w:cs="Arial"/>
          <w:sz w:val="20"/>
          <w:szCs w:val="20"/>
        </w:rPr>
        <w:t>.</w:t>
      </w:r>
    </w:p>
    <w:p w14:paraId="5354FF8F" w14:textId="27C859C1" w:rsidR="00191F1E" w:rsidRDefault="003E12D4" w:rsidP="00E441F8">
      <w:pPr>
        <w:spacing w:line="480" w:lineRule="auto"/>
        <w:jc w:val="both"/>
        <w:rPr>
          <w:rFonts w:ascii="Arial" w:eastAsia="Times New Roman" w:hAnsi="Arial" w:cs="Arial"/>
          <w:sz w:val="20"/>
          <w:szCs w:val="20"/>
        </w:rPr>
      </w:pPr>
      <w:r>
        <w:rPr>
          <w:rFonts w:ascii="Arial" w:eastAsia="Times New Roman" w:hAnsi="Arial" w:cs="Arial"/>
          <w:sz w:val="20"/>
          <w:szCs w:val="20"/>
        </w:rPr>
        <w:t>Importantly, the</w:t>
      </w:r>
      <w:r w:rsidR="00191F1E">
        <w:rPr>
          <w:rFonts w:ascii="Arial" w:eastAsia="Times New Roman" w:hAnsi="Arial" w:cs="Arial"/>
          <w:sz w:val="20"/>
          <w:szCs w:val="20"/>
        </w:rPr>
        <w:t xml:space="preserve"> screened observations derived from our automated DHP system were in very close agreement with </w:t>
      </w:r>
      <w:r w:rsidR="00010E51">
        <w:rPr>
          <w:rFonts w:ascii="Arial" w:eastAsia="Times New Roman" w:hAnsi="Arial" w:cs="Arial"/>
          <w:sz w:val="20"/>
          <w:szCs w:val="20"/>
        </w:rPr>
        <w:t>LAI</w:t>
      </w:r>
      <w:r w:rsidR="00191F1E">
        <w:rPr>
          <w:rFonts w:ascii="Arial" w:eastAsia="Times New Roman" w:hAnsi="Arial" w:cs="Arial"/>
          <w:sz w:val="20"/>
          <w:szCs w:val="20"/>
        </w:rPr>
        <w:t xml:space="preserve"> </w:t>
      </w:r>
      <w:r w:rsidR="00ED2189">
        <w:rPr>
          <w:rFonts w:ascii="Arial" w:eastAsia="Times New Roman" w:hAnsi="Arial" w:cs="Arial"/>
          <w:sz w:val="20"/>
          <w:szCs w:val="20"/>
        </w:rPr>
        <w:t xml:space="preserve">obtained </w:t>
      </w:r>
      <w:r w:rsidR="00145992">
        <w:rPr>
          <w:rFonts w:ascii="Arial" w:eastAsia="Times New Roman" w:hAnsi="Arial" w:cs="Arial"/>
          <w:sz w:val="20"/>
          <w:szCs w:val="20"/>
        </w:rPr>
        <w:t>from</w:t>
      </w:r>
      <w:r w:rsidR="00191F1E">
        <w:rPr>
          <w:rFonts w:ascii="Arial" w:eastAsia="Times New Roman" w:hAnsi="Arial" w:cs="Arial"/>
          <w:sz w:val="20"/>
          <w:szCs w:val="20"/>
        </w:rPr>
        <w:t xml:space="preserve"> </w:t>
      </w:r>
      <w:r w:rsidR="00EC763D">
        <w:rPr>
          <w:rFonts w:ascii="Arial" w:eastAsia="Times New Roman" w:hAnsi="Arial" w:cs="Arial"/>
          <w:sz w:val="20"/>
          <w:szCs w:val="20"/>
        </w:rPr>
        <w:t>DHP images</w:t>
      </w:r>
      <w:r w:rsidR="00010E51">
        <w:rPr>
          <w:rFonts w:ascii="Arial" w:eastAsia="Times New Roman" w:hAnsi="Arial" w:cs="Arial"/>
          <w:sz w:val="20"/>
          <w:szCs w:val="20"/>
        </w:rPr>
        <w:t xml:space="preserve"> that were</w:t>
      </w:r>
      <w:r w:rsidR="00EC763D">
        <w:rPr>
          <w:rFonts w:ascii="Arial" w:eastAsia="Times New Roman" w:hAnsi="Arial" w:cs="Arial"/>
          <w:sz w:val="20"/>
          <w:szCs w:val="20"/>
        </w:rPr>
        <w:t xml:space="preserve"> manually acquired </w:t>
      </w:r>
      <w:r w:rsidR="00191F1E">
        <w:rPr>
          <w:rFonts w:ascii="Arial" w:eastAsia="Times New Roman" w:hAnsi="Arial" w:cs="Arial"/>
          <w:sz w:val="20"/>
          <w:szCs w:val="20"/>
        </w:rPr>
        <w:t>under optimal illumination conditions.  This</w:t>
      </w:r>
      <w:r>
        <w:rPr>
          <w:rFonts w:ascii="Arial" w:eastAsia="Times New Roman" w:hAnsi="Arial" w:cs="Arial"/>
          <w:sz w:val="20"/>
          <w:szCs w:val="20"/>
        </w:rPr>
        <w:t xml:space="preserve"> finding</w:t>
      </w:r>
      <w:r w:rsidR="00191F1E">
        <w:rPr>
          <w:rFonts w:ascii="Arial" w:eastAsia="Times New Roman" w:hAnsi="Arial" w:cs="Arial"/>
          <w:sz w:val="20"/>
          <w:szCs w:val="20"/>
        </w:rPr>
        <w:t xml:space="preserve"> lends support to the basis of our data screening approach, which assumes that most sources of noise are negatively biased.  By selecting the daily maximum LAI value and ensuring that the automated DHP system </w:t>
      </w:r>
      <w:r>
        <w:rPr>
          <w:rFonts w:ascii="Arial" w:eastAsia="Times New Roman" w:hAnsi="Arial" w:cs="Arial"/>
          <w:sz w:val="20"/>
          <w:szCs w:val="20"/>
        </w:rPr>
        <w:t xml:space="preserve">was configured to </w:t>
      </w:r>
      <w:r w:rsidR="00191F1E">
        <w:rPr>
          <w:rFonts w:ascii="Arial" w:eastAsia="Times New Roman" w:hAnsi="Arial" w:cs="Arial"/>
          <w:sz w:val="20"/>
          <w:szCs w:val="20"/>
        </w:rPr>
        <w:t xml:space="preserve">acquire images close to sunrise and sunset, the </w:t>
      </w:r>
      <w:bookmarkStart w:id="17" w:name="_Hlk14218295"/>
      <w:r w:rsidR="00191F1E">
        <w:rPr>
          <w:rFonts w:ascii="Arial" w:eastAsia="Times New Roman" w:hAnsi="Arial" w:cs="Arial"/>
          <w:sz w:val="20"/>
          <w:szCs w:val="20"/>
        </w:rPr>
        <w:t>effects of suboptimal illumination conditions could largely</w:t>
      </w:r>
      <w:r w:rsidR="008B035D">
        <w:rPr>
          <w:rFonts w:ascii="Arial" w:eastAsia="Times New Roman" w:hAnsi="Arial" w:cs="Arial"/>
          <w:sz w:val="20"/>
          <w:szCs w:val="20"/>
        </w:rPr>
        <w:t xml:space="preserve"> be</w:t>
      </w:r>
      <w:r w:rsidR="00191F1E">
        <w:rPr>
          <w:rFonts w:ascii="Arial" w:eastAsia="Times New Roman" w:hAnsi="Arial" w:cs="Arial"/>
          <w:sz w:val="20"/>
          <w:szCs w:val="20"/>
        </w:rPr>
        <w:t xml:space="preserve"> supressed</w:t>
      </w:r>
      <w:bookmarkEnd w:id="17"/>
      <w:r w:rsidR="00191F1E">
        <w:rPr>
          <w:rFonts w:ascii="Arial" w:eastAsia="Times New Roman" w:hAnsi="Arial" w:cs="Arial"/>
          <w:sz w:val="20"/>
          <w:szCs w:val="20"/>
        </w:rPr>
        <w:t xml:space="preserve">.  </w:t>
      </w:r>
      <w:r w:rsidR="008B035D">
        <w:rPr>
          <w:rFonts w:ascii="Arial" w:eastAsia="Times New Roman" w:hAnsi="Arial" w:cs="Arial"/>
          <w:sz w:val="20"/>
          <w:szCs w:val="20"/>
        </w:rPr>
        <w:t>Additionally, t</w:t>
      </w:r>
      <w:r w:rsidR="00191F1E">
        <w:rPr>
          <w:rFonts w:ascii="Arial" w:eastAsia="Times New Roman" w:hAnsi="Arial" w:cs="Arial"/>
          <w:sz w:val="20"/>
          <w:szCs w:val="20"/>
        </w:rPr>
        <w:t>he same data screening approach proved effective in supressing noise in the GCC</w:t>
      </w:r>
      <w:r>
        <w:rPr>
          <w:rFonts w:ascii="Arial" w:eastAsia="Times New Roman" w:hAnsi="Arial" w:cs="Arial"/>
          <w:sz w:val="20"/>
          <w:szCs w:val="20"/>
        </w:rPr>
        <w:t>.  A</w:t>
      </w:r>
      <w:r w:rsidR="00191F1E">
        <w:rPr>
          <w:rFonts w:ascii="Arial" w:eastAsia="Times New Roman" w:hAnsi="Arial" w:cs="Arial"/>
          <w:sz w:val="20"/>
          <w:szCs w:val="20"/>
        </w:rPr>
        <w:t xml:space="preserve">lthough they require different illumination conditions, </w:t>
      </w:r>
      <w:r>
        <w:rPr>
          <w:rFonts w:ascii="Arial" w:eastAsia="Times New Roman" w:hAnsi="Arial" w:cs="Arial"/>
          <w:sz w:val="20"/>
          <w:szCs w:val="20"/>
        </w:rPr>
        <w:t xml:space="preserve">previous studies have demonstrated that </w:t>
      </w:r>
      <w:r w:rsidR="00191F1E">
        <w:rPr>
          <w:rFonts w:ascii="Arial" w:eastAsia="Times New Roman" w:hAnsi="Arial" w:cs="Arial"/>
          <w:sz w:val="20"/>
          <w:szCs w:val="20"/>
        </w:rPr>
        <w:t xml:space="preserve">the upper envelope can also be considered to represent the best quality observations in the case of colour indices derived </w:t>
      </w:r>
      <w:r w:rsidR="00576E7D">
        <w:rPr>
          <w:rFonts w:ascii="Arial" w:eastAsia="Times New Roman" w:hAnsi="Arial" w:cs="Arial"/>
          <w:sz w:val="20"/>
          <w:szCs w:val="20"/>
        </w:rPr>
        <w:t>from</w:t>
      </w:r>
      <w:r w:rsidR="00010E51">
        <w:rPr>
          <w:rFonts w:ascii="Arial" w:eastAsia="Times New Roman" w:hAnsi="Arial" w:cs="Arial"/>
          <w:sz w:val="20"/>
          <w:szCs w:val="20"/>
        </w:rPr>
        <w:t xml:space="preserve"> </w:t>
      </w:r>
      <w:r w:rsidR="00011276">
        <w:rPr>
          <w:rFonts w:ascii="Arial" w:eastAsia="Times New Roman" w:hAnsi="Arial" w:cs="Arial"/>
          <w:sz w:val="20"/>
          <w:szCs w:val="20"/>
        </w:rPr>
        <w:t xml:space="preserve">above-canopy </w:t>
      </w:r>
      <w:r w:rsidR="00191F1E">
        <w:rPr>
          <w:rFonts w:ascii="Arial" w:eastAsia="Times New Roman" w:hAnsi="Arial" w:cs="Arial"/>
          <w:sz w:val="20"/>
          <w:szCs w:val="20"/>
        </w:rPr>
        <w:t>digital repeat photography</w:t>
      </w:r>
      <w:r>
        <w:rPr>
          <w:rFonts w:ascii="Arial" w:eastAsia="Times New Roman" w:hAnsi="Arial" w:cs="Arial"/>
          <w:sz w:val="20"/>
          <w:szCs w:val="20"/>
        </w:rPr>
        <w:t xml:space="preserve"> </w:t>
      </w:r>
      <w:r w:rsidR="00145992">
        <w:rPr>
          <w:rFonts w:ascii="Arial" w:eastAsia="Times New Roman" w:hAnsi="Arial" w:cs="Arial"/>
          <w:sz w:val="20"/>
          <w:szCs w:val="20"/>
        </w:rPr>
        <w:fldChar w:fldCharType="begin" w:fldLock="1"/>
      </w:r>
      <w:r w:rsidR="00FD679B">
        <w:rPr>
          <w:rFonts w:ascii="Arial" w:eastAsia="Times New Roman" w:hAnsi="Arial" w:cs="Arial"/>
          <w:sz w:val="20"/>
          <w:szCs w:val="20"/>
        </w:rPr>
        <w:instrText>ADDIN CSL_CITATION {"citationItems":[{"id":"ITEM-1","itemData":{"DOI":"10.1016/j.agrformet.2011.09.009","ISBN":"0168-1923","ISSN":"01681923","abstract":"Digital repeat photography has the potential to become an important long-term data source for phenological research given its advantages in terms of logistics, continuity, consistency and objectivity over traditional assessments of vegetation status by human observers. Red-green-blue (RGB) color channel information from digital images can be separately extracted as digital numbers, and subsequently summarized through color indices such as excess green (ExG=2G-[R+B]) or through nonlinear transforms to chromatic coordinates or other color spaces. Previous studies have demonstrated the use of ExG and the green chromatic coordinate (gcc=G/[R+G+B]) from digital landscape image archives for tracking canopy development but several methodological questions remained unanswered. These include the effects of diurnal, seasonal and weather-related changes in scene illumination on ExG and gcc, and digital camera and image file format choice. We show that gcc is generally more effective than ExG in suppressing the effects of changes in scene illumination. To further reduce these effects we propose a moving window approach that assigns the 90th percentile of all daytime values within a three-day window to the center day (per90), resulting in three-day ExG and gcc. Using image archives from eleven forest sites in North America, we demonstrate that per90 is able to further reduce unwanted variability in ExG and gcc due to changes in scene illumination compared to previously used mean mid-day values of ExG and gcc.Comparison of eleven different digital cameras at Harvard Forest (autumn 2010) indicates that camera and image file format choice might be of secondary importance for phenological research: with the exception of inexpensive indoor webcams, autumn patterns of changes in gcc and ExG from images in common JPEG image file format were in good agreement, especially toward the end of senescence. Due to its greater effectiveness in suppressing changes in scene illumination, especially in combination with per90, we advocate the use of gcc for phenological research. Our results indicate that gcc from different digital cameras can be used for comparing the timing of key phenological events (e.g., complete leaf coloring) across sites. However, differences in how specific cameras \"see\" the forest canopy may obscure subtle phenological changes that could be detectable if a common protocol was implemented across sites. © 2011 Elsevier B.V.","author":[{"dropping-particle":"","family":"Sonnentag","given":"Oliver","non-dropping-particle":"","parse-names":false,"suffix":""},{"dropping-particle":"","family":"Hufkens","given":"Koen","non-dropping-particle":"","parse-names":false,"suffix":""},{"dropping-particle":"","family":"Teshera-Sterne","given":"Cory","non-dropping-particle":"","parse-names":false,"suffix":""},{"dropping-particle":"","family":"Young","given":"Adam M","non-dropping-particle":"","parse-names":false,"suffix":""},{"dropping-particle":"","family":"Friedl","given":"Mark","non-dropping-particle":"","parse-names":false,"suffix":""},{"dropping-particle":"","family":"Braswell","given":"Bobby H","non-dropping-particle":"","parse-names":false,"suffix":""},{"dropping-particle":"","family":"Milliman","given":"Thomas","non-dropping-particle":"","parse-names":false,"suffix":""},{"dropping-particle":"","family":"O’Keefe","given":"John","non-dropping-particle":"","parse-names":false,"suffix":""},{"dropping-particle":"","family":"Richardson","given":"Andrew D","non-dropping-particle":"","parse-names":false,"suffix":""}],"container-title":"Agricultural and Forest Meteorology","id":"ITEM-1","issue":"1","issued":{"date-parts":[["2012","1"]]},"page":"159-177","title":"Digital repeat photography for phenological research in forest ecosystems","type":"article-journal","volume":"152"},"uris":["http://www.mendeley.com/documents/?uuid=06f703aa-c580-305c-bd1e-d7d557fa7cab"]}],"mendeley":{"formattedCitation":"(Sonnentag et al., 2012)","plainTextFormattedCitation":"(Sonnentag et al., 2012)","previouslyFormattedCitation":"(Sonnentag et al., 2012)"},"properties":{"noteIndex":0},"schema":"https://github.com/citation-style-language/schema/raw/master/csl-citation.json"}</w:instrText>
      </w:r>
      <w:r w:rsidR="00145992">
        <w:rPr>
          <w:rFonts w:ascii="Arial" w:eastAsia="Times New Roman" w:hAnsi="Arial" w:cs="Arial"/>
          <w:sz w:val="20"/>
          <w:szCs w:val="20"/>
        </w:rPr>
        <w:fldChar w:fldCharType="separate"/>
      </w:r>
      <w:r w:rsidR="00145992" w:rsidRPr="00145992">
        <w:rPr>
          <w:rFonts w:ascii="Arial" w:eastAsia="Times New Roman" w:hAnsi="Arial" w:cs="Arial"/>
          <w:noProof/>
          <w:sz w:val="20"/>
          <w:szCs w:val="20"/>
        </w:rPr>
        <w:t>(Sonnentag et al., 2012)</w:t>
      </w:r>
      <w:r w:rsidR="00145992">
        <w:rPr>
          <w:rFonts w:ascii="Arial" w:eastAsia="Times New Roman" w:hAnsi="Arial" w:cs="Arial"/>
          <w:sz w:val="20"/>
          <w:szCs w:val="20"/>
        </w:rPr>
        <w:fldChar w:fldCharType="end"/>
      </w:r>
      <w:r w:rsidR="00191F1E">
        <w:rPr>
          <w:rFonts w:ascii="Arial" w:eastAsia="Times New Roman" w:hAnsi="Arial" w:cs="Arial"/>
          <w:sz w:val="20"/>
          <w:szCs w:val="20"/>
        </w:rPr>
        <w:t>.</w:t>
      </w:r>
    </w:p>
    <w:p w14:paraId="718811BD" w14:textId="3604EB09" w:rsidR="00576E7D" w:rsidRDefault="003D48D4" w:rsidP="00E441F8">
      <w:pPr>
        <w:spacing w:line="480" w:lineRule="auto"/>
        <w:jc w:val="both"/>
        <w:rPr>
          <w:rFonts w:ascii="Arial" w:eastAsia="Times New Roman" w:hAnsi="Arial" w:cs="Arial"/>
          <w:i/>
          <w:iCs/>
          <w:sz w:val="20"/>
          <w:szCs w:val="20"/>
        </w:rPr>
      </w:pPr>
      <w:r>
        <w:rPr>
          <w:rFonts w:ascii="Arial" w:eastAsia="Times New Roman" w:hAnsi="Arial" w:cs="Arial"/>
          <w:i/>
          <w:iCs/>
          <w:sz w:val="20"/>
          <w:szCs w:val="20"/>
        </w:rPr>
        <w:t xml:space="preserve">4.2. Relationship between </w:t>
      </w:r>
      <w:r w:rsidR="00576E7D">
        <w:rPr>
          <w:rFonts w:ascii="Arial" w:eastAsia="Times New Roman" w:hAnsi="Arial" w:cs="Arial"/>
          <w:i/>
          <w:iCs/>
          <w:sz w:val="20"/>
          <w:szCs w:val="20"/>
        </w:rPr>
        <w:t>the GCC and LAI</w:t>
      </w:r>
      <w:r>
        <w:rPr>
          <w:rFonts w:ascii="Arial" w:eastAsia="Times New Roman" w:hAnsi="Arial" w:cs="Arial"/>
          <w:i/>
          <w:iCs/>
          <w:sz w:val="20"/>
          <w:szCs w:val="20"/>
        </w:rPr>
        <w:t xml:space="preserve"> and implications for phenological research</w:t>
      </w:r>
    </w:p>
    <w:p w14:paraId="1E9D6C46" w14:textId="3837847B" w:rsidR="00576E7D" w:rsidRDefault="00010E51" w:rsidP="002A751B">
      <w:pPr>
        <w:spacing w:line="480" w:lineRule="auto"/>
        <w:jc w:val="both"/>
        <w:rPr>
          <w:rFonts w:ascii="Arial" w:eastAsia="Times New Roman" w:hAnsi="Arial" w:cs="Arial"/>
          <w:sz w:val="20"/>
          <w:szCs w:val="20"/>
        </w:rPr>
      </w:pPr>
      <w:r>
        <w:rPr>
          <w:rFonts w:ascii="Arial" w:eastAsia="Times New Roman" w:hAnsi="Arial" w:cs="Arial"/>
          <w:sz w:val="20"/>
          <w:szCs w:val="20"/>
        </w:rPr>
        <w:t>In recent years, several</w:t>
      </w:r>
      <w:r w:rsidR="00576E7D">
        <w:rPr>
          <w:rFonts w:ascii="Arial" w:eastAsia="Times New Roman" w:hAnsi="Arial" w:cs="Arial"/>
          <w:sz w:val="20"/>
          <w:szCs w:val="20"/>
        </w:rPr>
        <w:t xml:space="preserve"> studies have provided insight into the relationship between colour indices derived from</w:t>
      </w:r>
      <w:r w:rsidR="008663B0">
        <w:rPr>
          <w:rFonts w:ascii="Arial" w:eastAsia="Times New Roman" w:hAnsi="Arial" w:cs="Arial"/>
          <w:sz w:val="20"/>
          <w:szCs w:val="20"/>
        </w:rPr>
        <w:t xml:space="preserve"> above-canopy</w:t>
      </w:r>
      <w:r w:rsidR="00576E7D">
        <w:rPr>
          <w:rFonts w:ascii="Arial" w:eastAsia="Times New Roman" w:hAnsi="Arial" w:cs="Arial"/>
          <w:sz w:val="20"/>
          <w:szCs w:val="20"/>
        </w:rPr>
        <w:t xml:space="preserve"> digital repeat photography and forest biophysical properties</w:t>
      </w:r>
      <w:r w:rsidR="00755D1E">
        <w:rPr>
          <w:rFonts w:ascii="Arial" w:eastAsia="Times New Roman" w:hAnsi="Arial" w:cs="Arial"/>
          <w:sz w:val="20"/>
          <w:szCs w:val="20"/>
        </w:rPr>
        <w:t xml:space="preserve"> </w:t>
      </w:r>
      <w:r w:rsidR="00755D1E">
        <w:rPr>
          <w:rFonts w:ascii="Arial" w:eastAsia="Times New Roman" w:hAnsi="Arial" w:cs="Arial"/>
          <w:sz w:val="20"/>
          <w:szCs w:val="20"/>
        </w:rPr>
        <w:fldChar w:fldCharType="begin" w:fldLock="1"/>
      </w:r>
      <w:r w:rsidR="009148F3">
        <w:rPr>
          <w:rFonts w:ascii="Arial" w:eastAsia="Times New Roman" w:hAnsi="Arial" w:cs="Arial"/>
          <w:sz w:val="20"/>
          <w:szCs w:val="20"/>
        </w:rPr>
        <w:instrText>ADDIN CSL_CITATION {"citationItems":[{"id":"ITEM-1","itemData":{"DOI":"10.1016/j.agrformet.2017.08.012","ISSN":"01681923","abstract":"© 2017 Elsevier B.V. Over the last two decades, satellite-derived estimates of biophysical variables have been increasingly used in operational services, requiring quantification of their accuracy and uncertainty. Evaluating satellite-derived vegetation products is challenging due to their moderate spatial resolution, the heterogeneity of the terrestrial landscape, and difficulties in adequately characterising spatial and temporal vegetation dynamics. In recent years, near-surface remote sensing has emerged as a potential source of data against which satellite-derived vegetation products can be evaluated. Several studies have focussed on the evaluation of satellite-derived phenological transition dates, however in most cases the shape and magnitude of the underlying time-series are neglected. In this paper, we investigated the relationship between the green chromatic coo rdinate (GCC) derived using near-surface remote sensing and a range of vegetation products derived from the Medium Resolution Imaging Spectrometer (MERIS) throughout the growing season. Moderate to strong relationships between the GCC and vegetation products derived from MERIS were observed at deciduous forest sites. Weak relationships were observed over evergreen forest sites as a result of their subtle seasonality, which is likely masked by atmospheric, bidirectional reflectance distribution function (BRDF), and shadowing effects. Temporal inconsistencies were attributed to the oblique viewing geometry of the digital cameras and differences in the incorporated spectral bands. In addition, the commonly observed summer decline in GCC values was found to be primarily associated with seasonal variations in brown pigment concentration, and to a lesser extent illumination geometry. At deciduous sites, increased sensitivity to initial increases in canopy greenness was demonstrated by the GCC, making it particularly well-suited to identifying the start of season when compared to satellite-derived vegetation products. Nevertheless, in some cases, the relationship between the GCC and vegetation products derived from MERIS was found to saturate asymptotically. This limits the potential of the approach for evaluation of the vegetation products that underlie satellite-derived phenological transition dates, and for the continuous monitoring of vegetation during the growing season, particularly at medium to high biomass study sites.","author":[{"dropping-particle":"","family":"Brown","given":"Luke A.","non-dropping-particle":"","parse-names":false,"suffix":""},{"dropping-particle":"","family":"Dash","given":"Jadunandan","non-dropping-particle":"","parse-names":false,"suffix":""},{"dropping-particle":"","family":"Ogutu","given":"Booker O.","non-dropping-particle":"","parse-names":false,"suffix":""},{"dropping-particle":"","family":"Richardson","given":"Andrew D.","non-dropping-particle":"","parse-names":false,"suffix":""}],"container-title":"Agricultural and Forest Meteorology","id":"ITEM-1","issued":{"date-parts":[["2017","12"]]},"page":"280-292","title":"On the relationship between continuous measures of canopy greenness derived using near-surface remote sensing and satellite-derived vegetation products","type":"article-journal","volume":"247"},"uris":["http://www.mendeley.com/documents/?uuid=6b59aa24-f65c-3723-b2c4-f56825faef3e"]},{"id":"ITEM-2","itemData":{"DOI":"10.1890/13-0652.1","ISBN":"10510761","ISSN":"1051-0761","PMID":"17793577","abstract":"Digital repeat photography is becoming widely used for near-surface remote sensing of vegetation. Canopy greenness, which has been used extensively for phenological applications, can be readily quantified from camera images. Important questions remain, however, as to whether the observed changes in canopy greenness are directly related to changes in leaf-level traits, changes in canopy structure, or some combination thereof. We investigated relationships between canopy greenness and various metrics of canopy structure and function, using five years (2008-2012) of automated digital imagery, ground observations of phenological transitions, leaf area index (LAI) measurements, and eddy covariance estimates of gross ecosystem photosynthesis from the Harvard Forest, a temperate deciduous forest in the northeastern United States. Additionally, we sampled canopy sunlit leaves on a weekly basis throughout the growing season of 2011. We measured physiological and morphological traits including leaf size, mass (wet/dry), nitrogen content, chlorophyll fluorescence, and spectral reflectance and characterized individual leaf color with flatbed scanner imagery. Our results show that observed spring and autumn phenological transition dates are well captured by information extracted from digital repeat photography. However, spring development of both LAI and the measured physiological and morphological traits are shown to lag behind spring increases in canopy greenness, which rises very quickly to its maximum value before leaves are even half their final size. Based on the hypothesis that changes in canopy greenness represent the aggregate effect of changes in both leaf-level properties (specifically, leaf color) and changes in canopy structure (specifically, LAI), we developed a two end-member mixing model. With just a single free parameter, the model was able to reproduce the observed seasonal trajectory of canopy greenness. This analysis shows that canopy greenness is relatively insensitive to changes in LAI at high LAI levels, which we further demonstrate by assessing the impact of an ice storm on both LAI and canopy greenness. Our study provides new insights into the mechanisms driving seasonal changes in canopy greenness retrieved from digital camera imagery. The nonlinear relationship between canopy greenness and canopy LAI has important implications both for phenological research applications and for assessing responses of vegetation to disturbances. [ABSTRACT F…","author":[{"dropping-particle":"","family":"Keenan","given":"T F","non-dropping-particle":"","parse-names":false,"suffix":""},{"dropping-particle":"","family":"Darby","given":"B","non-dropping-particle":"","parse-names":false,"suffix":""},{"dropping-particle":"","family":"Felts","given":"E","non-dropping-particle":"","parse-names":false,"suffix":""},{"dropping-particle":"","family":"Sonnentag","given":"O","non-dropping-particle":"","parse-names":false,"suffix":""},{"dropping-particle":"","family":"Friedl","given":"M A","non-dropping-particle":"","parse-names":false,"suffix":""},{"dropping-particle":"","family":"Hufkens","given":"K","non-dropping-particle":"","parse-names":false,"suffix":""},{"dropping-particle":"","family":"O'Keefe","given":"J.","non-dropping-particle":"","parse-names":false,"suffix":""},{"dropping-particle":"","family":"Klosterman","given":"S","non-dropping-particle":"","parse-names":false,"suffix":""},{"dropping-particle":"","family":"Munger","given":"J W","non-dropping-particle":"","parse-names":false,"suffix":""},{"dropping-particle":"","family":"Toomey","given":"M","non-dropping-particle":"","parse-names":false,"suffix":""},{"dropping-particle":"","family":"Richardson","given":"A. D.","non-dropping-particle":"","parse-names":false,"suffix":""}],"container-title":"Ecological Applications","id":"ITEM-2","issue":"6","issued":{"date-parts":[["2014","9"]]},"page":"1478-1489","title":"Tracking forest phenology and seasonal physiology using digital repeat photography: a critical assessment","type":"article-journal","volume":"24"},"uris":["http://www.mendeley.com/documents/?uuid=e7e6bf14-b3ee-3fd8-8564-45fc8970be39"]},{"id":"ITEM-3","itemData":{"DOI":"10.5194/bg-12-5995-2015","ISBN":"1726-4170","ISSN":"1726-4189","abstract":"Plant phenological development is orchestrated through subtle changes in photoperiod, temperature, soil moisture and nutrient availability. Presently, the exact timing of plant development stages and their response to climate and management practices are crudely represented in land surface models. As visual observations of phenology are laborious, there is a need to supplement long-term observations with automated techniques such as those provided by digital repeat photography at high temporal and spatial resolution. We present the first synthesis from a growing observational network of digital cameras installed on towers across Europe above deciduous and evergreen forests, grasslands and croplands, where vegetation and atmosphere CO2 fluxes are measured continuously. Using colour indices from digital images and using piecewise regression analysis of time series, we explored whether key changes in canopy phenology could be detected automatically across different land use types in the network. The piecewise regression approach could capture the start and end of the growing season, in addition to identifying striking changes in colour signals caused by flowering and management practices such as mowing. Exploring the dates of green-up and senescence of deciduous forests extracted by the piecewise regression approach against dates estimated from visual observations, we found that these phenological events could be detected adequately (RMSE 2 flux measurements will improve our understanding of how changes in growing season length are likely to shape the capacity of European ecosystems to sequester CO2 in the future.","author":[{"dropping-particle":"","family":"Wingate","given":"L","non-dropping-particle":"","parse-names":false,"suffix":""},{"dropping-particle":"","family":"Ogée","given":"J.","non-dropping-particle":"","parse-names":false,"suffix":""},{"dropping-particle":"","family":"Cremonese","given":"E","non-dropping-particle":"","parse-names":false,"suffix":""},{"dropping-particle":"","family":"Filippa","given":"G","non-dropping-particle":"","parse-names":false,"suffix":""},{"dropping-particle":"","family":"Mizunuma","given":"T","non-dropping-particle":"","parse-names":false,"suffix":""},{"dropping-particle":"","family":"Migliavacca","given":"M","non-dropping-particle":"","parse-names":false,"suffix":""},{"dropping-particle":"","family":"Moisy","given":"C","non-dropping-particle":"","parse-names":false,"suffix":""},{"dropping-particle":"","family":"Wilkinson","given":"M","non-dropping-particle":"","parse-names":false,"suffix":""},{"dropping-particle":"","family":"Moureaux","given":"C.","non-dropping-particle":"","parse-names":false,"suffix":""},{"dropping-particle":"","family":"Wohlfahrt","given":"G.","non-dropping-particle":"","parse-names":false,"suffix":""},{"dropping-particle":"","family":"Hammerle","given":"A.","non-dropping-particle":"","parse-names":false,"suffix":""},{"dropping-particle":"","family":"Hörtnagl","given":"L.","non-dropping-particle":"","parse-names":false,"suffix":""},{"dropping-particle":"","family":"Gimeno","given":"C.","non-dropping-particle":"","parse-names":false,"suffix":""},{"dropping-particle":"","family":"Porcar-Castell","given":"A.","non-dropping-particle":"","parse-names":false,"suffix":""},{"dropping-particle":"","family":"Galvagno","given":"M.","non-dropping-particle":"","parse-names":false,"suffix":""},{"dropping-particle":"","family":"Nakaji","given":"T.","non-dropping-particle":"","parse-names":false,"suffix":""},{"dropping-particle":"","family":"Morison","given":"J.","non-dropping-particle":"","parse-names":false,"suffix":""},{"dropping-particle":"","family":"Kolle","given":"O.","non-dropping-particle":"","parse-names":false,"suffix":""},{"dropping-particle":"","family":"Knohl","given":"A.","non-dropping-particle":"","parse-names":false,"suffix":""},{"dropping-particle":"","family":"Kutsch","given":"W.","non-dropping-particle":"","parse-names":false,"suffix":""},{"dropping-particle":"","family":"Kolari","given":"P.","non-dropping-particle":"","parse-names":false,"suffix":""},{"dropping-particle":"","family":"Nikinmaa","given":"E.","non-dropping-particle":"","parse-names":false,"suffix":""},{"dropping-particle":"","family":"Ibrom","given":"A.","non-dropping-particle":"","parse-names":false,"suffix":""},{"dropping-particle":"","family":"Gielen","given":"B.","non-dropping-particle":"","parse-names":false,"suffix":""},{"dropping-particle":"","family":"Eugster","given":"W.","non-dropping-particle":"","parse-names":false,"suffix":""},{"dropping-particle":"","family":"Balzarolo","given":"M.","non-dropping-particle":"","parse-names":false,"suffix":""},{"dropping-particle":"","family":"Papale","given":"D.","non-dropping-particle":"","parse-names":false,"suffix":""},{"dropping-particle":"","family":"Klumpp","given":"K.","non-dropping-particle":"","parse-names":false,"suffix":""},{"dropping-particle":"","family":"Köstner","given":"B.","non-dropping-particle":"","parse-names":false,"suffix":""},{"dropping-particle":"","family":"Grünwald","given":"T.","non-dropping-particle":"","parse-names":false,"suffix":""},{"dropping-particle":"","family":"Joffre","given":"R.","non-dropping-particle":"","parse-names":false,"suffix":""},{"dropping-particle":"","family":"Ourcival","given":"J.-M.","non-dropping-particle":"","parse-names":false,"suffix":""},{"dropping-particle":"","family":"Hellstrom","given":"M.","non-dropping-particle":"","parse-names":false,"suffix":""},{"dropping-particle":"","family":"Lindroth","given":"A.","non-dropping-particle":"","parse-names":false,"suffix":""},{"dropping-particle":"","family":"George","given":"C.","non-dropping-particle":"","parse-names":false,"suffix":""},{"dropping-particle":"","family":"Longdoz","given":"B.","non-dropping-particle":"","parse-names":false,"suffix":""},{"dropping-particle":"","family":"Genty","given":"B.","non-dropping-particle":"","parse-names":false,"suffix":""},{"dropping-particle":"","family":"Levula","given":"J.","non-dropping-particle":"","parse-names":false,"suffix":""},{"dropping-particle":"","family":"Heinesch","given":"B.","non-dropping-particle":"","parse-names":false,"suffix":""},{"dropping-particle":"","family":"Sprintsin","given":"M.","non-dropping-particle":"","parse-names":false,"suffix":""},{"dropping-particle":"","family":"Yakir","given":"D.","non-dropping-particle":"","parse-names":false,"suffix":""},{"dropping-particle":"","family":"Manise","given":"T.","non-dropping-particle":"","parse-names":false,"suffix":""},{"dropping-particle":"","family":"Guyon","given":"D.","non-dropping-particle":"","parse-names":false,"suffix":""},{"dropping-particle":"","family":"Ahrends","given":"H.","non-dropping-particle":"","parse-names":false,"suffix":""},{"dropping-particle":"","family":"Plaza-Aguilar","given":"A.","non-dropping-particle":"","parse-names":false,"suffix":""},{"dropping-particle":"","family":"Guan","given":"J. H.","non-dropping-particle":"","parse-names":false,"suffix":""},{"dropping-particle":"","family":"Grace","given":"J","non-dropping-particle":"","parse-names":false,"suffix":""}],"container-title":"Biogeosciences","id":"ITEM-3","issue":"20","issued":{"date-parts":[["2015","10","21"]]},"page":"5995-6015","title":"Interpreting canopy development and physiology using a European phenology camera network at flux sites","type":"article-journal","volume":"12"},"uris":["http://www.mendeley.com/documents/?uuid=75d0adb8-ce89-35be-bcd0-fd8d59e72e67"]},{"id":"ITEM-4","itemData":{"DOI":"10.1002/2013JG002460","ISBN":"2169-8953","ISSN":"21698953","abstract":"Plant phenology, a sensitive indicator of climate change, influences vegetation-atmosphere interactions by changing the carbon and water cycles from local to global scales. Camera-based phenological observations of the color changes of the vegetation canopy throughout the growing season have become popular in recent years. However, the linkages between camera phenological metrics and leaf biochemical, biophysical, and spectral properties are elusive. We measured key leaf properties including chlorophyll concentration and leaf reflectance on a weekly basis from June to November 2011 in a white oak forest on the island of Martha's Vineyard, Massachusetts, USA. Concurrently, we used a digital camera to automatically acquire daily pictures of the tree canopies. We found that there was a mismatch between the camera-based phenological metric for the canopy greenness (green chromatic coordinate, gcc) and the total chlorophyll and carotenoids concentration and leaf mass per area during late spring/early summer. The seasonal peak of gcc is approximately 20 days earlier than the peak of the total chlorophyll concentration. During the fall, both canopy and leaf redness were significantly correlated with the vegetation index for anthocyanin concentration, opening a new window to quantify vegetation senescence remotely. Satellite- and camera-based vegetation indices agreed well, suggesting that camera-based observations can be used as the ground validation for satellites. Using the high-temporal resolution dataset of leaf biochemical, biophysical, and spectral properties, our results show the strengths and potential uncertainties to use canopy color as the proxy of ecosystem functioning.","author":[{"dropping-particle":"","family":"Yang","given":"Xi","non-dropping-particle":"","parse-names":false,"suffix":""},{"dropping-particle":"","family":"Tang","given":"Jianwu","non-dropping-particle":"","parse-names":false,"suffix":""},{"dropping-particle":"","family":"Mustard","given":"John F","non-dropping-particle":"","parse-names":false,"suffix":""}],"container-title":"Journal of Geophysical Research: Biogeosciences","id":"ITEM-4","issue":"3","issued":{"date-parts":[["2014","3"]]},"page":"181-191","title":"Beyond leaf color: Comparing camera-based phenological metrics with leaf biochemical, biophysical, and spectral properties throughout the growing season of a temperate deciduous forest","type":"article-journal","volume":"119"},"uris":["http://www.mendeley.com/documents/?uuid=3cb250b4-9976-34df-8e05-b00d5236c75a"]}],"mendeley":{"formattedCitation":"(Brown et al., 2017; Keenan et al., 2014; Wingate et al., 2015; Yang et al., 2014)","plainTextFormattedCitation":"(Brown et al., 2017; Keenan et al., 2014; Wingate et al., 2015; Yang et al., 2014)","previouslyFormattedCitation":"(Brown et al., 2017; Keenan et al., 2014; Wingate et al., 2015; Yang et al., 2014)"},"properties":{"noteIndex":0},"schema":"https://github.com/citation-style-language/schema/raw/master/csl-citation.json"}</w:instrText>
      </w:r>
      <w:r w:rsidR="00755D1E">
        <w:rPr>
          <w:rFonts w:ascii="Arial" w:eastAsia="Times New Roman" w:hAnsi="Arial" w:cs="Arial"/>
          <w:sz w:val="20"/>
          <w:szCs w:val="20"/>
        </w:rPr>
        <w:fldChar w:fldCharType="separate"/>
      </w:r>
      <w:r w:rsidR="00755D1E" w:rsidRPr="00755D1E">
        <w:rPr>
          <w:rFonts w:ascii="Arial" w:eastAsia="Times New Roman" w:hAnsi="Arial" w:cs="Arial"/>
          <w:noProof/>
          <w:sz w:val="20"/>
          <w:szCs w:val="20"/>
        </w:rPr>
        <w:t>(Brown et al., 2017; Keenan et al., 2014; Wingate et al., 2015; Yang et al., 2014)</w:t>
      </w:r>
      <w:r w:rsidR="00755D1E">
        <w:rPr>
          <w:rFonts w:ascii="Arial" w:eastAsia="Times New Roman" w:hAnsi="Arial" w:cs="Arial"/>
          <w:sz w:val="20"/>
          <w:szCs w:val="20"/>
        </w:rPr>
        <w:fldChar w:fldCharType="end"/>
      </w:r>
      <w:r w:rsidR="00576E7D">
        <w:rPr>
          <w:rFonts w:ascii="Arial" w:eastAsia="Times New Roman" w:hAnsi="Arial" w:cs="Arial"/>
          <w:sz w:val="20"/>
          <w:szCs w:val="20"/>
        </w:rPr>
        <w:t xml:space="preserve">.  By combining our automated DHP </w:t>
      </w:r>
      <w:r w:rsidR="00576E7D">
        <w:rPr>
          <w:rFonts w:ascii="Arial" w:eastAsia="Times New Roman" w:hAnsi="Arial" w:cs="Arial"/>
          <w:sz w:val="20"/>
          <w:szCs w:val="20"/>
        </w:rPr>
        <w:lastRenderedPageBreak/>
        <w:t>system with an above-canopy</w:t>
      </w:r>
      <w:r w:rsidR="00E441F8">
        <w:rPr>
          <w:rFonts w:ascii="Arial" w:eastAsia="Times New Roman" w:hAnsi="Arial" w:cs="Arial"/>
          <w:sz w:val="20"/>
          <w:szCs w:val="20"/>
        </w:rPr>
        <w:t xml:space="preserve"> </w:t>
      </w:r>
      <w:r w:rsidR="00475E40">
        <w:rPr>
          <w:rFonts w:ascii="Arial" w:eastAsia="Times New Roman" w:hAnsi="Arial" w:cs="Arial"/>
          <w:sz w:val="20"/>
          <w:szCs w:val="20"/>
        </w:rPr>
        <w:t xml:space="preserve">time-lapse </w:t>
      </w:r>
      <w:r w:rsidR="00E441F8">
        <w:rPr>
          <w:rFonts w:ascii="Arial" w:eastAsia="Times New Roman" w:hAnsi="Arial" w:cs="Arial"/>
          <w:sz w:val="20"/>
          <w:szCs w:val="20"/>
        </w:rPr>
        <w:t>digital</w:t>
      </w:r>
      <w:r w:rsidR="00576E7D">
        <w:rPr>
          <w:rFonts w:ascii="Arial" w:eastAsia="Times New Roman" w:hAnsi="Arial" w:cs="Arial"/>
          <w:sz w:val="20"/>
          <w:szCs w:val="20"/>
        </w:rPr>
        <w:t xml:space="preserve"> camera, we were able to investigate this relationship in </w:t>
      </w:r>
      <w:r w:rsidR="00475E40">
        <w:rPr>
          <w:rFonts w:ascii="Arial" w:eastAsia="Times New Roman" w:hAnsi="Arial" w:cs="Arial"/>
          <w:sz w:val="20"/>
          <w:szCs w:val="20"/>
        </w:rPr>
        <w:t>greater</w:t>
      </w:r>
      <w:r w:rsidR="00576E7D">
        <w:rPr>
          <w:rFonts w:ascii="Arial" w:eastAsia="Times New Roman" w:hAnsi="Arial" w:cs="Arial"/>
          <w:sz w:val="20"/>
          <w:szCs w:val="20"/>
        </w:rPr>
        <w:t xml:space="preserve"> detail</w:t>
      </w:r>
      <w:r w:rsidR="00475E40">
        <w:rPr>
          <w:rFonts w:ascii="Arial" w:eastAsia="Times New Roman" w:hAnsi="Arial" w:cs="Arial"/>
          <w:sz w:val="20"/>
          <w:szCs w:val="20"/>
        </w:rPr>
        <w:t xml:space="preserve"> than previously possible</w:t>
      </w:r>
      <w:r w:rsidR="00DD73EC">
        <w:rPr>
          <w:rFonts w:ascii="Arial" w:eastAsia="Times New Roman" w:hAnsi="Arial" w:cs="Arial"/>
          <w:sz w:val="20"/>
          <w:szCs w:val="20"/>
        </w:rPr>
        <w:t>.</w:t>
      </w:r>
      <w:r w:rsidR="00E441F8">
        <w:rPr>
          <w:rFonts w:ascii="Arial" w:eastAsia="Times New Roman" w:hAnsi="Arial" w:cs="Arial"/>
          <w:sz w:val="20"/>
          <w:szCs w:val="20"/>
        </w:rPr>
        <w:t xml:space="preserve">  Whilst the non-linear nature of the</w:t>
      </w:r>
      <w:r>
        <w:rPr>
          <w:rFonts w:ascii="Arial" w:eastAsia="Times New Roman" w:hAnsi="Arial" w:cs="Arial"/>
          <w:sz w:val="20"/>
          <w:szCs w:val="20"/>
        </w:rPr>
        <w:t xml:space="preserve"> GCC-LAI</w:t>
      </w:r>
      <w:r w:rsidR="00E441F8">
        <w:rPr>
          <w:rFonts w:ascii="Arial" w:eastAsia="Times New Roman" w:hAnsi="Arial" w:cs="Arial"/>
          <w:sz w:val="20"/>
          <w:szCs w:val="20"/>
        </w:rPr>
        <w:t xml:space="preserve"> relationship is well-known</w:t>
      </w:r>
      <w:r w:rsidR="00E04E61">
        <w:rPr>
          <w:rFonts w:ascii="Arial" w:eastAsia="Times New Roman" w:hAnsi="Arial" w:cs="Arial"/>
          <w:sz w:val="20"/>
          <w:szCs w:val="20"/>
        </w:rPr>
        <w:t xml:space="preserve"> </w:t>
      </w:r>
      <w:r w:rsidR="00E04E61">
        <w:rPr>
          <w:rFonts w:ascii="Arial" w:eastAsia="Times New Roman" w:hAnsi="Arial" w:cs="Arial"/>
          <w:sz w:val="20"/>
          <w:szCs w:val="20"/>
        </w:rPr>
        <w:fldChar w:fldCharType="begin" w:fldLock="1"/>
      </w:r>
      <w:r w:rsidR="002A751B">
        <w:rPr>
          <w:rFonts w:ascii="Arial" w:eastAsia="Times New Roman" w:hAnsi="Arial" w:cs="Arial"/>
          <w:sz w:val="20"/>
          <w:szCs w:val="20"/>
        </w:rPr>
        <w:instrText>ADDIN CSL_CITATION {"citationItems":[{"id":"ITEM-1","itemData":{"DOI":"10.1890/13-0652.1","ISBN":"10510761","ISSN":"1051-0761","PMID":"17793577","abstract":"Digital repeat photography is becoming widely used for near-surface remote sensing of vegetation. Canopy greenness, which has been used extensively for phenological applications, can be readily quantified from camera images. Important questions remain, however, as to whether the observed changes in canopy greenness are directly related to changes in leaf-level traits, changes in canopy structure, or some combination thereof. We investigated relationships between canopy greenness and various metrics of canopy structure and function, using five years (2008-2012) of automated digital imagery, ground observations of phenological transitions, leaf area index (LAI) measurements, and eddy covariance estimates of gross ecosystem photosynthesis from the Harvard Forest, a temperate deciduous forest in the northeastern United States. Additionally, we sampled canopy sunlit leaves on a weekly basis throughout the growing season of 2011. We measured physiological and morphological traits including leaf size, mass (wet/dry), nitrogen content, chlorophyll fluorescence, and spectral reflectance and characterized individual leaf color with flatbed scanner imagery. Our results show that observed spring and autumn phenological transition dates are well captured by information extracted from digital repeat photography. However, spring development of both LAI and the measured physiological and morphological traits are shown to lag behind spring increases in canopy greenness, which rises very quickly to its maximum value before leaves are even half their final size. Based on the hypothesis that changes in canopy greenness represent the aggregate effect of changes in both leaf-level properties (specifically, leaf color) and changes in canopy structure (specifically, LAI), we developed a two end-member mixing model. With just a single free parameter, the model was able to reproduce the observed seasonal trajectory of canopy greenness. This analysis shows that canopy greenness is relatively insensitive to changes in LAI at high LAI levels, which we further demonstrate by assessing the impact of an ice storm on both LAI and canopy greenness. Our study provides new insights into the mechanisms driving seasonal changes in canopy greenness retrieved from digital camera imagery. The nonlinear relationship between canopy greenness and canopy LAI has important implications both for phenological research applications and for assessing responses of vegetation to disturbances. [ABSTRACT F…","author":[{"dropping-particle":"","family":"Keenan","given":"T F","non-dropping-particle":"","parse-names":false,"suffix":""},{"dropping-particle":"","family":"Darby","given":"B","non-dropping-particle":"","parse-names":false,"suffix":""},{"dropping-particle":"","family":"Felts","given":"E","non-dropping-particle":"","parse-names":false,"suffix":""},{"dropping-particle":"","family":"Sonnentag","given":"O","non-dropping-particle":"","parse-names":false,"suffix":""},{"dropping-particle":"","family":"Friedl","given":"M A","non-dropping-particle":"","parse-names":false,"suffix":""},{"dropping-particle":"","family":"Hufkens","given":"K","non-dropping-particle":"","parse-names":false,"suffix":""},{"dropping-particle":"","family":"O'Keefe","given":"J.","non-dropping-particle":"","parse-names":false,"suffix":""},{"dropping-particle":"","family":"Klosterman","given":"S","non-dropping-particle":"","parse-names":false,"suffix":""},{"dropping-particle":"","family":"Munger","given":"J W","non-dropping-particle":"","parse-names":false,"suffix":""},{"dropping-particle":"","family":"Toomey","given":"M","non-dropping-particle":"","parse-names":false,"suffix":""},{"dropping-particle":"","family":"Richardson","given":"A. D.","non-dropping-particle":"","parse-names":false,"suffix":""}],"container-title":"Ecological Applications","id":"ITEM-1","issue":"6","issued":{"date-parts":[["2014","9"]]},"page":"1478-1489","title":"Tracking forest phenology and seasonal physiology using digital repeat photography: a critical assessment","type":"article-journal","volume":"24"},"uris":["http://www.mendeley.com/documents/?uuid=e7e6bf14-b3ee-3fd8-8564-45fc8970be39"]}],"mendeley":{"formattedCitation":"(Keenan et al., 2014)","plainTextFormattedCitation":"(Keenan et al., 2014)","previouslyFormattedCitation":"(Keenan et al., 2014)"},"properties":{"noteIndex":0},"schema":"https://github.com/citation-style-language/schema/raw/master/csl-citation.json"}</w:instrText>
      </w:r>
      <w:r w:rsidR="00E04E61">
        <w:rPr>
          <w:rFonts w:ascii="Arial" w:eastAsia="Times New Roman" w:hAnsi="Arial" w:cs="Arial"/>
          <w:sz w:val="20"/>
          <w:szCs w:val="20"/>
        </w:rPr>
        <w:fldChar w:fldCharType="separate"/>
      </w:r>
      <w:r w:rsidR="0022290B" w:rsidRPr="0022290B">
        <w:rPr>
          <w:rFonts w:ascii="Arial" w:eastAsia="Times New Roman" w:hAnsi="Arial" w:cs="Arial"/>
          <w:noProof/>
          <w:sz w:val="20"/>
          <w:szCs w:val="20"/>
        </w:rPr>
        <w:t>(Keenan et al., 2014)</w:t>
      </w:r>
      <w:r w:rsidR="00E04E61">
        <w:rPr>
          <w:rFonts w:ascii="Arial" w:eastAsia="Times New Roman" w:hAnsi="Arial" w:cs="Arial"/>
          <w:sz w:val="20"/>
          <w:szCs w:val="20"/>
        </w:rPr>
        <w:fldChar w:fldCharType="end"/>
      </w:r>
      <w:r w:rsidR="00E441F8">
        <w:rPr>
          <w:rFonts w:ascii="Arial" w:eastAsia="Times New Roman" w:hAnsi="Arial" w:cs="Arial"/>
          <w:sz w:val="20"/>
          <w:szCs w:val="20"/>
        </w:rPr>
        <w:t xml:space="preserve">, </w:t>
      </w:r>
      <w:r w:rsidR="0075337A">
        <w:rPr>
          <w:rFonts w:ascii="Arial" w:eastAsia="Times New Roman" w:hAnsi="Arial" w:cs="Arial"/>
          <w:sz w:val="20"/>
          <w:szCs w:val="20"/>
        </w:rPr>
        <w:t>little attention has been paid to</w:t>
      </w:r>
      <w:r w:rsidR="00E441F8">
        <w:rPr>
          <w:rFonts w:ascii="Arial" w:eastAsia="Times New Roman" w:hAnsi="Arial" w:cs="Arial"/>
          <w:sz w:val="20"/>
          <w:szCs w:val="20"/>
        </w:rPr>
        <w:t xml:space="preserve"> the role of seasonal dependencie</w:t>
      </w:r>
      <w:r w:rsidR="00DD73EC">
        <w:rPr>
          <w:rFonts w:ascii="Arial" w:eastAsia="Times New Roman" w:hAnsi="Arial" w:cs="Arial"/>
          <w:sz w:val="20"/>
          <w:szCs w:val="20"/>
        </w:rPr>
        <w:t>s</w:t>
      </w:r>
      <w:r w:rsidR="00204BB5">
        <w:rPr>
          <w:rFonts w:ascii="Arial" w:eastAsia="Times New Roman" w:hAnsi="Arial" w:cs="Arial"/>
          <w:sz w:val="20"/>
          <w:szCs w:val="20"/>
        </w:rPr>
        <w:t>.  To our knowledge, this</w:t>
      </w:r>
      <w:r w:rsidR="00DD73EC">
        <w:rPr>
          <w:rFonts w:ascii="Arial" w:eastAsia="Times New Roman" w:hAnsi="Arial" w:cs="Arial"/>
          <w:sz w:val="20"/>
          <w:szCs w:val="20"/>
        </w:rPr>
        <w:t xml:space="preserve"> study is the first to </w:t>
      </w:r>
      <w:r w:rsidR="002F4897">
        <w:rPr>
          <w:rFonts w:ascii="Arial" w:eastAsia="Times New Roman" w:hAnsi="Arial" w:cs="Arial"/>
          <w:sz w:val="20"/>
          <w:szCs w:val="20"/>
        </w:rPr>
        <w:t>explicitly explore this relationship using</w:t>
      </w:r>
      <w:r w:rsidR="00DD73EC">
        <w:rPr>
          <w:rFonts w:ascii="Arial" w:eastAsia="Times New Roman" w:hAnsi="Arial" w:cs="Arial"/>
          <w:sz w:val="20"/>
          <w:szCs w:val="20"/>
        </w:rPr>
        <w:t xml:space="preserve"> continuous measurements of LAI throughout the phenological cycle.</w:t>
      </w:r>
      <w:r w:rsidR="00E441F8">
        <w:rPr>
          <w:rFonts w:ascii="Arial" w:eastAsia="Times New Roman" w:hAnsi="Arial" w:cs="Arial"/>
          <w:sz w:val="20"/>
          <w:szCs w:val="20"/>
        </w:rPr>
        <w:t xml:space="preserve">  Our results indicate that the</w:t>
      </w:r>
      <w:r w:rsidR="002F4897">
        <w:rPr>
          <w:rFonts w:ascii="Arial" w:eastAsia="Times New Roman" w:hAnsi="Arial" w:cs="Arial"/>
          <w:sz w:val="20"/>
          <w:szCs w:val="20"/>
        </w:rPr>
        <w:t xml:space="preserve"> GCC-LAI</w:t>
      </w:r>
      <w:r w:rsidR="00E441F8">
        <w:rPr>
          <w:rFonts w:ascii="Arial" w:eastAsia="Times New Roman" w:hAnsi="Arial" w:cs="Arial"/>
          <w:sz w:val="20"/>
          <w:szCs w:val="20"/>
        </w:rPr>
        <w:t xml:space="preserve"> relationship is characterised by distinct hysteresis effects, and that </w:t>
      </w:r>
      <w:r>
        <w:rPr>
          <w:rFonts w:ascii="Arial" w:eastAsia="Times New Roman" w:hAnsi="Arial" w:cs="Arial"/>
          <w:sz w:val="20"/>
          <w:szCs w:val="20"/>
        </w:rPr>
        <w:t>its</w:t>
      </w:r>
      <w:r w:rsidR="00E441F8">
        <w:rPr>
          <w:rFonts w:ascii="Arial" w:eastAsia="Times New Roman" w:hAnsi="Arial" w:cs="Arial"/>
          <w:sz w:val="20"/>
          <w:szCs w:val="20"/>
        </w:rPr>
        <w:t xml:space="preserve"> form is governed by phenological stage</w:t>
      </w:r>
      <w:r w:rsidR="002A751B">
        <w:rPr>
          <w:rFonts w:ascii="Arial" w:eastAsia="Times New Roman" w:hAnsi="Arial" w:cs="Arial"/>
          <w:sz w:val="20"/>
          <w:szCs w:val="20"/>
        </w:rPr>
        <w:t xml:space="preserve">.  </w:t>
      </w:r>
      <w:r w:rsidR="00AD67E6">
        <w:rPr>
          <w:rFonts w:ascii="Arial" w:eastAsia="Times New Roman" w:hAnsi="Arial" w:cs="Arial"/>
          <w:sz w:val="20"/>
          <w:szCs w:val="20"/>
        </w:rPr>
        <w:t>Five distinct</w:t>
      </w:r>
      <w:r w:rsidR="00C97911">
        <w:rPr>
          <w:rFonts w:ascii="Arial" w:eastAsia="Times New Roman" w:hAnsi="Arial" w:cs="Arial"/>
          <w:sz w:val="20"/>
          <w:szCs w:val="20"/>
        </w:rPr>
        <w:t xml:space="preserve"> hypothesised</w:t>
      </w:r>
      <w:r w:rsidR="003D0929">
        <w:rPr>
          <w:rFonts w:ascii="Arial" w:eastAsia="Times New Roman" w:hAnsi="Arial" w:cs="Arial"/>
          <w:sz w:val="20"/>
          <w:szCs w:val="20"/>
        </w:rPr>
        <w:t xml:space="preserve"> phases can be identified</w:t>
      </w:r>
      <w:r w:rsidR="003F061A">
        <w:rPr>
          <w:rFonts w:ascii="Arial" w:eastAsia="Times New Roman" w:hAnsi="Arial" w:cs="Arial"/>
          <w:sz w:val="20"/>
          <w:szCs w:val="20"/>
        </w:rPr>
        <w:t xml:space="preserve"> (Figure </w:t>
      </w:r>
      <w:r w:rsidR="00DA5401">
        <w:rPr>
          <w:rFonts w:ascii="Arial" w:eastAsia="Times New Roman" w:hAnsi="Arial" w:cs="Arial"/>
          <w:sz w:val="20"/>
          <w:szCs w:val="20"/>
        </w:rPr>
        <w:t>4b</w:t>
      </w:r>
      <w:r w:rsidR="003F061A">
        <w:rPr>
          <w:rFonts w:ascii="Arial" w:eastAsia="Times New Roman" w:hAnsi="Arial" w:cs="Arial"/>
          <w:sz w:val="20"/>
          <w:szCs w:val="20"/>
        </w:rPr>
        <w:t>)</w:t>
      </w:r>
      <w:r w:rsidR="003D0929">
        <w:rPr>
          <w:rFonts w:ascii="Arial" w:eastAsia="Times New Roman" w:hAnsi="Arial" w:cs="Arial"/>
          <w:sz w:val="20"/>
          <w:szCs w:val="20"/>
        </w:rPr>
        <w:t>:</w:t>
      </w:r>
    </w:p>
    <w:p w14:paraId="59B9FCF1" w14:textId="5220FEEA" w:rsidR="002A751B" w:rsidRDefault="002A751B" w:rsidP="00D7663C">
      <w:pPr>
        <w:pStyle w:val="ListParagraph"/>
        <w:numPr>
          <w:ilvl w:val="0"/>
          <w:numId w:val="15"/>
        </w:numPr>
        <w:spacing w:line="480" w:lineRule="auto"/>
        <w:jc w:val="both"/>
        <w:rPr>
          <w:rFonts w:ascii="Arial" w:eastAsia="Times New Roman" w:hAnsi="Arial" w:cs="Arial"/>
          <w:sz w:val="20"/>
          <w:szCs w:val="20"/>
        </w:rPr>
      </w:pPr>
      <w:r>
        <w:rPr>
          <w:rFonts w:ascii="Arial" w:eastAsia="Times New Roman" w:hAnsi="Arial" w:cs="Arial"/>
          <w:sz w:val="20"/>
          <w:szCs w:val="20"/>
        </w:rPr>
        <w:t xml:space="preserve">During the onset of greenness, the GCC is initially sensitive to increases in LAI, until gaps in the canopy (as viewed obliquely) are filled </w:t>
      </w:r>
      <w:r>
        <w:rPr>
          <w:rFonts w:ascii="Arial" w:eastAsia="Times New Roman" w:hAnsi="Arial" w:cs="Arial"/>
          <w:sz w:val="20"/>
          <w:szCs w:val="20"/>
        </w:rPr>
        <w:fldChar w:fldCharType="begin" w:fldLock="1"/>
      </w:r>
      <w:r>
        <w:rPr>
          <w:rFonts w:ascii="Arial" w:eastAsia="Times New Roman" w:hAnsi="Arial" w:cs="Arial"/>
          <w:sz w:val="20"/>
          <w:szCs w:val="20"/>
        </w:rPr>
        <w:instrText>ADDIN CSL_CITATION {"citationItems":[{"id":"ITEM-1","itemData":{"DOI":"10.1890/13-0652.1","ISBN":"10510761","ISSN":"1051-0761","PMID":"17793577","abstract":"Digital repeat photography is becoming widely used for near-surface remote sensing of vegetation. Canopy greenness, which has been used extensively for phenological applications, can be readily quantified from camera images. Important questions remain, however, as to whether the observed changes in canopy greenness are directly related to changes in leaf-level traits, changes in canopy structure, or some combination thereof. We investigated relationships between canopy greenness and various metrics of canopy structure and function, using five years (2008-2012) of automated digital imagery, ground observations of phenological transitions, leaf area index (LAI) measurements, and eddy covariance estimates of gross ecosystem photosynthesis from the Harvard Forest, a temperate deciduous forest in the northeastern United States. Additionally, we sampled canopy sunlit leaves on a weekly basis throughout the growing season of 2011. We measured physiological and morphological traits including leaf size, mass (wet/dry), nitrogen content, chlorophyll fluorescence, and spectral reflectance and characterized individual leaf color with flatbed scanner imagery. Our results show that observed spring and autumn phenological transition dates are well captured by information extracted from digital repeat photography. However, spring development of both LAI and the measured physiological and morphological traits are shown to lag behind spring increases in canopy greenness, which rises very quickly to its maximum value before leaves are even half their final size. Based on the hypothesis that changes in canopy greenness represent the aggregate effect of changes in both leaf-level properties (specifically, leaf color) and changes in canopy structure (specifically, LAI), we developed a two end-member mixing model. With just a single free parameter, the model was able to reproduce the observed seasonal trajectory of canopy greenness. This analysis shows that canopy greenness is relatively insensitive to changes in LAI at high LAI levels, which we further demonstrate by assessing the impact of an ice storm on both LAI and canopy greenness. Our study provides new insights into the mechanisms driving seasonal changes in canopy greenness retrieved from digital camera imagery. The nonlinear relationship between canopy greenness and canopy LAI has important implications both for phenological research applications and for assessing responses of vegetation to disturbances. [ABSTRACT F…","author":[{"dropping-particle":"","family":"Keenan","given":"T F","non-dropping-particle":"","parse-names":false,"suffix":""},{"dropping-particle":"","family":"Darby","given":"B","non-dropping-particle":"","parse-names":false,"suffix":""},{"dropping-particle":"","family":"Felts","given":"E","non-dropping-particle":"","parse-names":false,"suffix":""},{"dropping-particle":"","family":"Sonnentag","given":"O","non-dropping-particle":"","parse-names":false,"suffix":""},{"dropping-particle":"","family":"Friedl","given":"M A","non-dropping-particle":"","parse-names":false,"suffix":""},{"dropping-particle":"","family":"Hufkens","given":"K","non-dropping-particle":"","parse-names":false,"suffix":""},{"dropping-particle":"","family":"O'Keefe","given":"J.","non-dropping-particle":"","parse-names":false,"suffix":""},{"dropping-particle":"","family":"Klosterman","given":"S","non-dropping-particle":"","parse-names":false,"suffix":""},{"dropping-particle":"","family":"Munger","given":"J W","non-dropping-particle":"","parse-names":false,"suffix":""},{"dropping-particle":"","family":"Toomey","given":"M","non-dropping-particle":"","parse-names":false,"suffix":""},{"dropping-particle":"","family":"Richardson","given":"A. D.","non-dropping-particle":"","parse-names":false,"suffix":""}],"container-title":"Ecological Applications","id":"ITEM-1","issue":"6","issued":{"date-parts":[["2014","9"]]},"page":"1478-1489","title":"Tracking forest phenology and seasonal physiology using digital repeat photography: a critical assessment","type":"article-journal","volume":"24"},"uris":["http://www.mendeley.com/documents/?uuid=e7e6bf14-b3ee-3fd8-8564-45fc8970be39"]}],"mendeley":{"formattedCitation":"(Keenan et al., 2014)","plainTextFormattedCitation":"(Keenan et al., 2014)","previouslyFormattedCitation":"(Keenan et al., 2014)"},"properties":{"noteIndex":0},"schema":"https://github.com/citation-style-language/schema/raw/master/csl-citation.json"}</w:instrText>
      </w:r>
      <w:r>
        <w:rPr>
          <w:rFonts w:ascii="Arial" w:eastAsia="Times New Roman" w:hAnsi="Arial" w:cs="Arial"/>
          <w:sz w:val="20"/>
          <w:szCs w:val="20"/>
        </w:rPr>
        <w:fldChar w:fldCharType="separate"/>
      </w:r>
      <w:r w:rsidRPr="002A751B">
        <w:rPr>
          <w:rFonts w:ascii="Arial" w:eastAsia="Times New Roman" w:hAnsi="Arial" w:cs="Arial"/>
          <w:noProof/>
          <w:sz w:val="20"/>
          <w:szCs w:val="20"/>
        </w:rPr>
        <w:t>(Keenan et al., 2014)</w:t>
      </w:r>
      <w:r>
        <w:rPr>
          <w:rFonts w:ascii="Arial" w:eastAsia="Times New Roman" w:hAnsi="Arial" w:cs="Arial"/>
          <w:sz w:val="20"/>
          <w:szCs w:val="20"/>
        </w:rPr>
        <w:fldChar w:fldCharType="end"/>
      </w:r>
      <w:r>
        <w:rPr>
          <w:rFonts w:ascii="Arial" w:eastAsia="Times New Roman" w:hAnsi="Arial" w:cs="Arial"/>
          <w:sz w:val="20"/>
          <w:szCs w:val="20"/>
        </w:rPr>
        <w:t>.  Further increases in the GCC are caused by increases leaf chlorophyll con</w:t>
      </w:r>
      <w:r w:rsidR="002E05F9">
        <w:rPr>
          <w:rFonts w:ascii="Arial" w:eastAsia="Times New Roman" w:hAnsi="Arial" w:cs="Arial"/>
          <w:sz w:val="20"/>
          <w:szCs w:val="20"/>
        </w:rPr>
        <w:t>centration</w:t>
      </w:r>
      <w:r>
        <w:rPr>
          <w:rFonts w:ascii="Arial" w:eastAsia="Times New Roman" w:hAnsi="Arial" w:cs="Arial"/>
          <w:sz w:val="20"/>
          <w:szCs w:val="20"/>
        </w:rPr>
        <w:t xml:space="preserve"> until the spring peak</w:t>
      </w:r>
      <w:r w:rsidR="004A4AF4">
        <w:rPr>
          <w:rFonts w:ascii="Arial" w:eastAsia="Times New Roman" w:hAnsi="Arial" w:cs="Arial"/>
          <w:sz w:val="20"/>
          <w:szCs w:val="20"/>
        </w:rPr>
        <w:t xml:space="preserve"> in GCC values</w:t>
      </w:r>
      <w:r>
        <w:rPr>
          <w:rFonts w:ascii="Arial" w:eastAsia="Times New Roman" w:hAnsi="Arial" w:cs="Arial"/>
          <w:sz w:val="20"/>
          <w:szCs w:val="20"/>
        </w:rPr>
        <w:t xml:space="preserve"> </w:t>
      </w:r>
      <w:r>
        <w:rPr>
          <w:rFonts w:ascii="Arial" w:eastAsia="Times New Roman" w:hAnsi="Arial" w:cs="Arial"/>
          <w:sz w:val="20"/>
          <w:szCs w:val="20"/>
        </w:rPr>
        <w:fldChar w:fldCharType="begin" w:fldLock="1"/>
      </w:r>
      <w:r>
        <w:rPr>
          <w:rFonts w:ascii="Arial" w:eastAsia="Times New Roman" w:hAnsi="Arial" w:cs="Arial"/>
          <w:sz w:val="20"/>
          <w:szCs w:val="20"/>
        </w:rPr>
        <w:instrText>ADDIN CSL_CITATION {"citationItems":[{"id":"ITEM-1","itemData":{"DOI":"10.5194/bg-12-5995-2015","ISBN":"1726-4170","ISSN":"1726-4189","abstract":"Plant phenological development is orchestrated through subtle changes in photoperiod, temperature, soil moisture and nutrient availability. Presently, the exact timing of plant development stages and their response to climate and management practices are crudely represented in land surface models. As visual observations of phenology are laborious, there is a need to supplement long-term observations with automated techniques such as those provided by digital repeat photography at high temporal and spatial resolution. We present the first synthesis from a growing observational network of digital cameras installed on towers across Europe above deciduous and evergreen forests, grasslands and croplands, where vegetation and atmosphere CO2 fluxes are measured continuously. Using colour indices from digital images and using piecewise regression analysis of time series, we explored whether key changes in canopy phenology could be detected automatically across different land use types in the network. The piecewise regression approach could capture the start and end of the growing season, in addition to identifying striking changes in colour signals caused by flowering and management practices such as mowing. Exploring the dates of green-up and senescence of deciduous forests extracted by the piecewise regression approach against dates estimated from visual observations, we found that these phenological events could be detected adequately (RMSE 2 flux measurements will improve our understanding of how changes in growing season length are likely to shape the capacity of European ecosystems to sequester CO2 in the future.","author":[{"dropping-particle":"","family":"Wingate","given":"L","non-dropping-particle":"","parse-names":false,"suffix":""},{"dropping-particle":"","family":"Ogée","given":"J.","non-dropping-particle":"","parse-names":false,"suffix":""},{"dropping-particle":"","family":"Cremonese","given":"E","non-dropping-particle":"","parse-names":false,"suffix":""},{"dropping-particle":"","family":"Filippa","given":"G","non-dropping-particle":"","parse-names":false,"suffix":""},{"dropping-particle":"","family":"Mizunuma","given":"T","non-dropping-particle":"","parse-names":false,"suffix":""},{"dropping-particle":"","family":"Migliavacca","given":"M","non-dropping-particle":"","parse-names":false,"suffix":""},{"dropping-particle":"","family":"Moisy","given":"C","non-dropping-particle":"","parse-names":false,"suffix":""},{"dropping-particle":"","family":"Wilkinson","given":"M","non-dropping-particle":"","parse-names":false,"suffix":""},{"dropping-particle":"","family":"Moureaux","given":"C.","non-dropping-particle":"","parse-names":false,"suffix":""},{"dropping-particle":"","family":"Wohlfahrt","given":"G.","non-dropping-particle":"","parse-names":false,"suffix":""},{"dropping-particle":"","family":"Hammerle","given":"A.","non-dropping-particle":"","parse-names":false,"suffix":""},{"dropping-particle":"","family":"Hörtnagl","given":"L.","non-dropping-particle":"","parse-names":false,"suffix":""},{"dropping-particle":"","family":"Gimeno","given":"C.","non-dropping-particle":"","parse-names":false,"suffix":""},{"dropping-particle":"","family":"Porcar-Castell","given":"A.","non-dropping-particle":"","parse-names":false,"suffix":""},{"dropping-particle":"","family":"Galvagno","given":"M.","non-dropping-particle":"","parse-names":false,"suffix":""},{"dropping-particle":"","family":"Nakaji","given":"T.","non-dropping-particle":"","parse-names":false,"suffix":""},{"dropping-particle":"","family":"Morison","given":"J.","non-dropping-particle":"","parse-names":false,"suffix":""},{"dropping-particle":"","family":"Kolle","given":"O.","non-dropping-particle":"","parse-names":false,"suffix":""},{"dropping-particle":"","family":"Knohl","given":"A.","non-dropping-particle":"","parse-names":false,"suffix":""},{"dropping-particle":"","family":"Kutsch","given":"W.","non-dropping-particle":"","parse-names":false,"suffix":""},{"dropping-particle":"","family":"Kolari","given":"P.","non-dropping-particle":"","parse-names":false,"suffix":""},{"dropping-particle":"","family":"Nikinmaa","given":"E.","non-dropping-particle":"","parse-names":false,"suffix":""},{"dropping-particle":"","family":"Ibrom","given":"A.","non-dropping-particle":"","parse-names":false,"suffix":""},{"dropping-particle":"","family":"Gielen","given":"B.","non-dropping-particle":"","parse-names":false,"suffix":""},{"dropping-particle":"","family":"Eugster","given":"W.","non-dropping-particle":"","parse-names":false,"suffix":""},{"dropping-particle":"","family":"Balzarolo","given":"M.","non-dropping-particle":"","parse-names":false,"suffix":""},{"dropping-particle":"","family":"Papale","given":"D.","non-dropping-particle":"","parse-names":false,"suffix":""},{"dropping-particle":"","family":"Klumpp","given":"K.","non-dropping-particle":"","parse-names":false,"suffix":""},{"dropping-particle":"","family":"Köstner","given":"B.","non-dropping-particle":"","parse-names":false,"suffix":""},{"dropping-particle":"","family":"Grünwald","given":"T.","non-dropping-particle":"","parse-names":false,"suffix":""},{"dropping-particle":"","family":"Joffre","given":"R.","non-dropping-particle":"","parse-names":false,"suffix":""},{"dropping-particle":"","family":"Ourcival","given":"J.-M.","non-dropping-particle":"","parse-names":false,"suffix":""},{"dropping-particle":"","family":"Hellstrom","given":"M.","non-dropping-particle":"","parse-names":false,"suffix":""},{"dropping-particle":"","family":"Lindroth","given":"A.","non-dropping-particle":"","parse-names":false,"suffix":""},{"dropping-particle":"","family":"George","given":"C.","non-dropping-particle":"","parse-names":false,"suffix":""},{"dropping-particle":"","family":"Longdoz","given":"B.","non-dropping-particle":"","parse-names":false,"suffix":""},{"dropping-particle":"","family":"Genty","given":"B.","non-dropping-particle":"","parse-names":false,"suffix":""},{"dropping-particle":"","family":"Levula","given":"J.","non-dropping-particle":"","parse-names":false,"suffix":""},{"dropping-particle":"","family":"Heinesch","given":"B.","non-dropping-particle":"","parse-names":false,"suffix":""},{"dropping-particle":"","family":"Sprintsin","given":"M.","non-dropping-particle":"","parse-names":false,"suffix":""},{"dropping-particle":"","family":"Yakir","given":"D.","non-dropping-particle":"","parse-names":false,"suffix":""},{"dropping-particle":"","family":"Manise","given":"T.","non-dropping-particle":"","parse-names":false,"suffix":""},{"dropping-particle":"","family":"Guyon","given":"D.","non-dropping-particle":"","parse-names":false,"suffix":""},{"dropping-particle":"","family":"Ahrends","given":"H.","non-dropping-particle":"","parse-names":false,"suffix":""},{"dropping-particle":"","family":"Plaza-Aguilar","given":"A.","non-dropping-particle":"","parse-names":false,"suffix":""},{"dropping-particle":"","family":"Guan","given":"J. H.","non-dropping-particle":"","parse-names":false,"suffix":""},{"dropping-particle":"","family":"Grace","given":"J","non-dropping-particle":"","parse-names":false,"suffix":""}],"container-title":"Biogeosciences","id":"ITEM-1","issue":"20","issued":{"date-parts":[["2015","10","21"]]},"page":"5995-6015","title":"Interpreting canopy development and physiology using a European phenology camera network at flux sites","type":"article-journal","volume":"12"},"uris":["http://www.mendeley.com/documents/?uuid=75d0adb8-ce89-35be-bcd0-fd8d59e72e67"]}],"mendeley":{"formattedCitation":"(Wingate et al., 2015)","plainTextFormattedCitation":"(Wingate et al., 2015)","previouslyFormattedCitation":"(Wingate et al., 2015)"},"properties":{"noteIndex":0},"schema":"https://github.com/citation-style-language/schema/raw/master/csl-citation.json"}</w:instrText>
      </w:r>
      <w:r>
        <w:rPr>
          <w:rFonts w:ascii="Arial" w:eastAsia="Times New Roman" w:hAnsi="Arial" w:cs="Arial"/>
          <w:sz w:val="20"/>
          <w:szCs w:val="20"/>
        </w:rPr>
        <w:fldChar w:fldCharType="separate"/>
      </w:r>
      <w:r w:rsidRPr="002A751B">
        <w:rPr>
          <w:rFonts w:ascii="Arial" w:eastAsia="Times New Roman" w:hAnsi="Arial" w:cs="Arial"/>
          <w:noProof/>
          <w:sz w:val="20"/>
          <w:szCs w:val="20"/>
        </w:rPr>
        <w:t>(Wingate et al., 2015)</w:t>
      </w:r>
      <w:r>
        <w:rPr>
          <w:rFonts w:ascii="Arial" w:eastAsia="Times New Roman" w:hAnsi="Arial" w:cs="Arial"/>
          <w:sz w:val="20"/>
          <w:szCs w:val="20"/>
        </w:rPr>
        <w:fldChar w:fldCharType="end"/>
      </w:r>
      <w:r>
        <w:rPr>
          <w:rFonts w:ascii="Arial" w:eastAsia="Times New Roman" w:hAnsi="Arial" w:cs="Arial"/>
          <w:sz w:val="20"/>
          <w:szCs w:val="20"/>
        </w:rPr>
        <w:t>.</w:t>
      </w:r>
    </w:p>
    <w:p w14:paraId="4A9E9C3C" w14:textId="44E2261E" w:rsidR="002A751B" w:rsidRDefault="002A751B" w:rsidP="00D7663C">
      <w:pPr>
        <w:pStyle w:val="ListParagraph"/>
        <w:numPr>
          <w:ilvl w:val="0"/>
          <w:numId w:val="15"/>
        </w:numPr>
        <w:spacing w:line="480" w:lineRule="auto"/>
        <w:jc w:val="both"/>
        <w:rPr>
          <w:rFonts w:ascii="Arial" w:eastAsia="Times New Roman" w:hAnsi="Arial" w:cs="Arial"/>
          <w:sz w:val="20"/>
          <w:szCs w:val="20"/>
        </w:rPr>
      </w:pPr>
      <w:r>
        <w:rPr>
          <w:rFonts w:ascii="Arial" w:eastAsia="Times New Roman" w:hAnsi="Arial" w:cs="Arial"/>
          <w:sz w:val="20"/>
          <w:szCs w:val="20"/>
        </w:rPr>
        <w:t>During peak greenness, changes in the GCC occur independently of changes in LAI</w:t>
      </w:r>
      <w:r w:rsidR="002901BF">
        <w:rPr>
          <w:rFonts w:ascii="Arial" w:eastAsia="Times New Roman" w:hAnsi="Arial" w:cs="Arial"/>
          <w:sz w:val="20"/>
          <w:szCs w:val="20"/>
        </w:rPr>
        <w:t xml:space="preserve"> </w:t>
      </w:r>
      <w:r w:rsidR="002901BF">
        <w:rPr>
          <w:rFonts w:ascii="Arial" w:eastAsia="Times New Roman" w:hAnsi="Arial" w:cs="Arial"/>
          <w:sz w:val="20"/>
          <w:szCs w:val="20"/>
        </w:rPr>
        <w:fldChar w:fldCharType="begin" w:fldLock="1"/>
      </w:r>
      <w:r w:rsidR="002901BF">
        <w:rPr>
          <w:rFonts w:ascii="Arial" w:eastAsia="Times New Roman" w:hAnsi="Arial" w:cs="Arial"/>
          <w:sz w:val="20"/>
          <w:szCs w:val="20"/>
        </w:rPr>
        <w:instrText>ADDIN CSL_CITATION {"citationItems":[{"id":"ITEM-1","itemData":{"DOI":"10.1002/2013JG002460","ISBN":"2169-8953","ISSN":"21698953","abstract":"Plant phenology, a sensitive indicator of climate change, influences vegetation-atmosphere interactions by changing the carbon and water cycles from local to global scales. Camera-based phenological observations of the color changes of the vegetation canopy throughout the growing season have become popular in recent years. However, the linkages between camera phenological metrics and leaf biochemical, biophysical, and spectral properties are elusive. We measured key leaf properties including chlorophyll concentration and leaf reflectance on a weekly basis from June to November 2011 in a white oak forest on the island of Martha's Vineyard, Massachusetts, USA. Concurrently, we used a digital camera to automatically acquire daily pictures of the tree canopies. We found that there was a mismatch between the camera-based phenological metric for the canopy greenness (green chromatic coordinate, gcc) and the total chlorophyll and carotenoids concentration and leaf mass per area during late spring/early summer. The seasonal peak of gcc is approximately 20 days earlier than the peak of the total chlorophyll concentration. During the fall, both canopy and leaf redness were significantly correlated with the vegetation index for anthocyanin concentration, opening a new window to quantify vegetation senescence remotely. Satellite- and camera-based vegetation indices agreed well, suggesting that camera-based observations can be used as the ground validation for satellites. Using the high-temporal resolution dataset of leaf biochemical, biophysical, and spectral properties, our results show the strengths and potential uncertainties to use canopy color as the proxy of ecosystem functioning.","author":[{"dropping-particle":"","family":"Yang","given":"Xi","non-dropping-particle":"","parse-names":false,"suffix":""},{"dropping-particle":"","family":"Tang","given":"Jianwu","non-dropping-particle":"","parse-names":false,"suffix":""},{"dropping-particle":"","family":"Mustard","given":"John F","non-dropping-particle":"","parse-names":false,"suffix":""}],"container-title":"Journal of Geophysical Research: Biogeosciences","id":"ITEM-1","issue":"3","issued":{"date-parts":[["2014","3"]]},"page":"181-191","title":"Beyond leaf color: Comparing camera-based phenological metrics with leaf biochemical, biophysical, and spectral properties throughout the growing season of a temperate deciduous forest","type":"article-journal","volume":"119"},"uris":["http://www.mendeley.com/documents/?uuid=3cb250b4-9976-34df-8e05-b00d5236c75a"]}],"mendeley":{"formattedCitation":"(Yang et al., 2014)","plainTextFormattedCitation":"(Yang et al., 2014)","previouslyFormattedCitation":"(Yang et al., 2014)"},"properties":{"noteIndex":0},"schema":"https://github.com/citation-style-language/schema/raw/master/csl-citation.json"}</w:instrText>
      </w:r>
      <w:r w:rsidR="002901BF">
        <w:rPr>
          <w:rFonts w:ascii="Arial" w:eastAsia="Times New Roman" w:hAnsi="Arial" w:cs="Arial"/>
          <w:sz w:val="20"/>
          <w:szCs w:val="20"/>
        </w:rPr>
        <w:fldChar w:fldCharType="separate"/>
      </w:r>
      <w:r w:rsidR="002901BF" w:rsidRPr="002901BF">
        <w:rPr>
          <w:rFonts w:ascii="Arial" w:eastAsia="Times New Roman" w:hAnsi="Arial" w:cs="Arial"/>
          <w:noProof/>
          <w:sz w:val="20"/>
          <w:szCs w:val="20"/>
        </w:rPr>
        <w:t>(Yang et al., 2014)</w:t>
      </w:r>
      <w:r w:rsidR="002901BF">
        <w:rPr>
          <w:rFonts w:ascii="Arial" w:eastAsia="Times New Roman" w:hAnsi="Arial" w:cs="Arial"/>
          <w:sz w:val="20"/>
          <w:szCs w:val="20"/>
        </w:rPr>
        <w:fldChar w:fldCharType="end"/>
      </w:r>
      <w:r w:rsidR="002901BF">
        <w:rPr>
          <w:rFonts w:ascii="Arial" w:eastAsia="Times New Roman" w:hAnsi="Arial" w:cs="Arial"/>
          <w:sz w:val="20"/>
          <w:szCs w:val="20"/>
        </w:rPr>
        <w:t xml:space="preserve">, and are due to </w:t>
      </w:r>
      <w:r>
        <w:rPr>
          <w:rFonts w:ascii="Arial" w:eastAsia="Times New Roman" w:hAnsi="Arial" w:cs="Arial"/>
          <w:sz w:val="20"/>
          <w:szCs w:val="20"/>
        </w:rPr>
        <w:t>the summer decline</w:t>
      </w:r>
      <w:r w:rsidR="003B4DDF">
        <w:rPr>
          <w:rFonts w:ascii="Arial" w:eastAsia="Times New Roman" w:hAnsi="Arial" w:cs="Arial"/>
          <w:sz w:val="20"/>
          <w:szCs w:val="20"/>
        </w:rPr>
        <w:t xml:space="preserve"> in GCC values</w:t>
      </w:r>
      <w:r>
        <w:rPr>
          <w:rFonts w:ascii="Arial" w:eastAsia="Times New Roman" w:hAnsi="Arial" w:cs="Arial"/>
          <w:sz w:val="20"/>
          <w:szCs w:val="20"/>
        </w:rPr>
        <w:t xml:space="preserve">, which is likely caused by increases in </w:t>
      </w:r>
      <w:r w:rsidR="002E05F9">
        <w:rPr>
          <w:rFonts w:ascii="Arial" w:eastAsia="Times New Roman" w:hAnsi="Arial" w:cs="Arial"/>
          <w:sz w:val="20"/>
          <w:szCs w:val="20"/>
        </w:rPr>
        <w:t xml:space="preserve">the concentration of </w:t>
      </w:r>
      <w:r>
        <w:rPr>
          <w:rFonts w:ascii="Arial" w:eastAsia="Times New Roman" w:hAnsi="Arial" w:cs="Arial"/>
          <w:sz w:val="20"/>
          <w:szCs w:val="20"/>
        </w:rPr>
        <w:t>brown pigment</w:t>
      </w:r>
      <w:r w:rsidR="002E05F9">
        <w:rPr>
          <w:rFonts w:ascii="Arial" w:eastAsia="Times New Roman" w:hAnsi="Arial" w:cs="Arial"/>
          <w:sz w:val="20"/>
          <w:szCs w:val="20"/>
        </w:rPr>
        <w:t>s, in addition to</w:t>
      </w:r>
      <w:r>
        <w:rPr>
          <w:rFonts w:ascii="Arial" w:eastAsia="Times New Roman" w:hAnsi="Arial" w:cs="Arial"/>
          <w:sz w:val="20"/>
          <w:szCs w:val="20"/>
        </w:rPr>
        <w:t xml:space="preserve"> seasonal changes in illumination geometry </w:t>
      </w:r>
      <w:r>
        <w:rPr>
          <w:rFonts w:ascii="Arial" w:eastAsia="Times New Roman" w:hAnsi="Arial" w:cs="Arial"/>
          <w:sz w:val="20"/>
          <w:szCs w:val="20"/>
        </w:rPr>
        <w:fldChar w:fldCharType="begin" w:fldLock="1"/>
      </w:r>
      <w:r w:rsidR="0050706B">
        <w:rPr>
          <w:rFonts w:ascii="Arial" w:eastAsia="Times New Roman" w:hAnsi="Arial" w:cs="Arial"/>
          <w:sz w:val="20"/>
          <w:szCs w:val="20"/>
        </w:rPr>
        <w:instrText>ADDIN CSL_CITATION {"citationItems":[{"id":"ITEM-1","itemData":{"DOI":"10.1016/j.agrformet.2017.08.012","ISSN":"01681923","abstract":"© 2017 Elsevier B.V. Over the last two decades, satellite-derived estimates of biophysical variables have been increasingly used in operational services, requiring quantification of their accuracy and uncertainty. Evaluating satellite-derived vegetation products is challenging due to their moderate spatial resolution, the heterogeneity of the terrestrial landscape, and difficulties in adequately characterising spatial and temporal vegetation dynamics. In recent years, near-surface remote sensing has emerged as a potential source of data against which satellite-derived vegetation products can be evaluated. Several studies have focussed on the evaluation of satellite-derived phenological transition dates, however in most cases the shape and magnitude of the underlying time-series are neglected. In this paper, we investigated the relationship between the green chromatic coo rdinate (GCC) derived using near-surface remote sensing and a range of vegetation products derived from the Medium Resolution Imaging Spectrometer (MERIS) throughout the growing season. Moderate to strong relationships between the GCC and vegetation products derived from MERIS were observed at deciduous forest sites. Weak relationships were observed over evergreen forest sites as a result of their subtle seasonality, which is likely masked by atmospheric, bidirectional reflectance distribution function (BRDF), and shadowing effects. Temporal inconsistencies were attributed to the oblique viewing geometry of the digital cameras and differences in the incorporated spectral bands. In addition, the commonly observed summer decline in GCC values was found to be primarily associated with seasonal variations in brown pigment concentration, and to a lesser extent illumination geometry. At deciduous sites, increased sensitivity to initial increases in canopy greenness was demonstrated by the GCC, making it particularly well-suited to identifying the start of season when compared to satellite-derived vegetation products. Nevertheless, in some cases, the relationship between the GCC and vegetation products derived from MERIS was found to saturate asymptotically. This limits the potential of the approach for evaluation of the vegetation products that underlie satellite-derived phenological transition dates, and for the continuous monitoring of vegetation during the growing season, particularly at medium to high biomass study sites.","author":[{"dropping-particle":"","family":"Brown","given":"Luke A.","non-dropping-particle":"","parse-names":false,"suffix":""},{"dropping-particle":"","family":"Dash","given":"Jadunandan","non-dropping-particle":"","parse-names":false,"suffix":""},{"dropping-particle":"","family":"Ogutu","given":"Booker O.","non-dropping-particle":"","parse-names":false,"suffix":""},{"dropping-particle":"","family":"Richardson","given":"Andrew D.","non-dropping-particle":"","parse-names":false,"suffix":""}],"container-title":"Agricultural and Forest Meteorology","id":"ITEM-1","issued":{"date-parts":[["2017","12"]]},"page":"280-292","title":"On the relationship between continuous measures of canopy greenness derived using near-surface remote sensing and satellite-derived vegetation products","type":"article-journal","volume":"247"},"uris":["http://www.mendeley.com/documents/?uuid=6b59aa24-f65c-3723-b2c4-f56825faef3e"]}],"mendeley":{"formattedCitation":"(Brown et al., 2017)","plainTextFormattedCitation":"(Brown et al., 2017)","previouslyFormattedCitation":"(Brown et al., 2017)"},"properties":{"noteIndex":0},"schema":"https://github.com/citation-style-language/schema/raw/master/csl-citation.json"}</w:instrText>
      </w:r>
      <w:r>
        <w:rPr>
          <w:rFonts w:ascii="Arial" w:eastAsia="Times New Roman" w:hAnsi="Arial" w:cs="Arial"/>
          <w:sz w:val="20"/>
          <w:szCs w:val="20"/>
        </w:rPr>
        <w:fldChar w:fldCharType="separate"/>
      </w:r>
      <w:r w:rsidRPr="002A751B">
        <w:rPr>
          <w:rFonts w:ascii="Arial" w:eastAsia="Times New Roman" w:hAnsi="Arial" w:cs="Arial"/>
          <w:noProof/>
          <w:sz w:val="20"/>
          <w:szCs w:val="20"/>
        </w:rPr>
        <w:t>(Brown et al., 2017)</w:t>
      </w:r>
      <w:r>
        <w:rPr>
          <w:rFonts w:ascii="Arial" w:eastAsia="Times New Roman" w:hAnsi="Arial" w:cs="Arial"/>
          <w:sz w:val="20"/>
          <w:szCs w:val="20"/>
        </w:rPr>
        <w:fldChar w:fldCharType="end"/>
      </w:r>
      <w:r>
        <w:rPr>
          <w:rFonts w:ascii="Arial" w:eastAsia="Times New Roman" w:hAnsi="Arial" w:cs="Arial"/>
          <w:sz w:val="20"/>
          <w:szCs w:val="20"/>
        </w:rPr>
        <w:t>.</w:t>
      </w:r>
    </w:p>
    <w:p w14:paraId="2ED67E82" w14:textId="77777777" w:rsidR="00F11DB4" w:rsidRDefault="002A751B" w:rsidP="00D7663C">
      <w:pPr>
        <w:pStyle w:val="ListParagraph"/>
        <w:numPr>
          <w:ilvl w:val="0"/>
          <w:numId w:val="15"/>
        </w:numPr>
        <w:spacing w:line="480" w:lineRule="auto"/>
        <w:jc w:val="both"/>
        <w:rPr>
          <w:rFonts w:ascii="Arial" w:eastAsia="Times New Roman" w:hAnsi="Arial" w:cs="Arial"/>
          <w:sz w:val="20"/>
          <w:szCs w:val="20"/>
        </w:rPr>
      </w:pPr>
      <w:r>
        <w:rPr>
          <w:rFonts w:ascii="Arial" w:eastAsia="Times New Roman" w:hAnsi="Arial" w:cs="Arial"/>
          <w:sz w:val="20"/>
          <w:szCs w:val="20"/>
        </w:rPr>
        <w:t xml:space="preserve">During senescence, </w:t>
      </w:r>
      <w:r w:rsidR="00047D0B">
        <w:rPr>
          <w:rFonts w:ascii="Arial" w:eastAsia="Times New Roman" w:hAnsi="Arial" w:cs="Arial"/>
          <w:sz w:val="20"/>
          <w:szCs w:val="20"/>
        </w:rPr>
        <w:t xml:space="preserve">we </w:t>
      </w:r>
      <w:r w:rsidR="00B76E45">
        <w:rPr>
          <w:rFonts w:ascii="Arial" w:eastAsia="Times New Roman" w:hAnsi="Arial" w:cs="Arial"/>
          <w:sz w:val="20"/>
          <w:szCs w:val="20"/>
        </w:rPr>
        <w:t>hypothesise</w:t>
      </w:r>
      <w:r w:rsidR="00047D0B">
        <w:rPr>
          <w:rFonts w:ascii="Arial" w:eastAsia="Times New Roman" w:hAnsi="Arial" w:cs="Arial"/>
          <w:sz w:val="20"/>
          <w:szCs w:val="20"/>
        </w:rPr>
        <w:t xml:space="preserve"> that </w:t>
      </w:r>
      <w:r>
        <w:rPr>
          <w:rFonts w:ascii="Arial" w:eastAsia="Times New Roman" w:hAnsi="Arial" w:cs="Arial"/>
          <w:sz w:val="20"/>
          <w:szCs w:val="20"/>
        </w:rPr>
        <w:t>decreases in the GCC are</w:t>
      </w:r>
      <w:r w:rsidR="00475E40">
        <w:rPr>
          <w:rFonts w:ascii="Arial" w:eastAsia="Times New Roman" w:hAnsi="Arial" w:cs="Arial"/>
          <w:sz w:val="20"/>
          <w:szCs w:val="20"/>
        </w:rPr>
        <w:t xml:space="preserve"> </w:t>
      </w:r>
      <w:r>
        <w:rPr>
          <w:rFonts w:ascii="Arial" w:eastAsia="Times New Roman" w:hAnsi="Arial" w:cs="Arial"/>
          <w:sz w:val="20"/>
          <w:szCs w:val="20"/>
        </w:rPr>
        <w:t>the result of changes in pigmentation</w:t>
      </w:r>
      <w:r w:rsidR="00047D0B">
        <w:rPr>
          <w:rFonts w:ascii="Arial" w:eastAsia="Times New Roman" w:hAnsi="Arial" w:cs="Arial"/>
          <w:sz w:val="20"/>
          <w:szCs w:val="20"/>
        </w:rPr>
        <w:t xml:space="preserve">, </w:t>
      </w:r>
      <w:r w:rsidR="00BF15E2">
        <w:rPr>
          <w:rFonts w:ascii="Arial" w:eastAsia="Times New Roman" w:hAnsi="Arial" w:cs="Arial"/>
          <w:sz w:val="20"/>
          <w:szCs w:val="20"/>
        </w:rPr>
        <w:t>until gaps in the canopy re-emerge</w:t>
      </w:r>
      <w:r w:rsidR="00047D0B">
        <w:rPr>
          <w:rFonts w:ascii="Arial" w:eastAsia="Times New Roman" w:hAnsi="Arial" w:cs="Arial"/>
          <w:sz w:val="20"/>
          <w:szCs w:val="20"/>
        </w:rPr>
        <w:t>.  This provides an explanation for the earlier onset of senescence ide</w:t>
      </w:r>
      <w:r w:rsidR="00B75005">
        <w:rPr>
          <w:rFonts w:ascii="Arial" w:eastAsia="Times New Roman" w:hAnsi="Arial" w:cs="Arial"/>
          <w:sz w:val="20"/>
          <w:szCs w:val="20"/>
        </w:rPr>
        <w:t>ntified in the case of the GCC, since</w:t>
      </w:r>
      <w:r w:rsidR="00047D0B">
        <w:rPr>
          <w:rFonts w:ascii="Arial" w:eastAsia="Times New Roman" w:hAnsi="Arial" w:cs="Arial"/>
          <w:sz w:val="20"/>
          <w:szCs w:val="20"/>
        </w:rPr>
        <w:t xml:space="preserve"> changes in pigmentation </w:t>
      </w:r>
      <w:r w:rsidR="00B75005">
        <w:rPr>
          <w:rFonts w:ascii="Arial" w:eastAsia="Times New Roman" w:hAnsi="Arial" w:cs="Arial"/>
          <w:sz w:val="20"/>
          <w:szCs w:val="20"/>
        </w:rPr>
        <w:t>begin</w:t>
      </w:r>
      <w:r w:rsidR="00047D0B">
        <w:rPr>
          <w:rFonts w:ascii="Arial" w:eastAsia="Times New Roman" w:hAnsi="Arial" w:cs="Arial"/>
          <w:sz w:val="20"/>
          <w:szCs w:val="20"/>
        </w:rPr>
        <w:t xml:space="preserve"> before any reduction in LAI. </w:t>
      </w:r>
      <w:r w:rsidR="00F12FD6">
        <w:rPr>
          <w:rFonts w:ascii="Arial" w:eastAsia="Times New Roman" w:hAnsi="Arial" w:cs="Arial"/>
          <w:sz w:val="20"/>
          <w:szCs w:val="20"/>
        </w:rPr>
        <w:t xml:space="preserve"> Once gaps re-emerge, f</w:t>
      </w:r>
      <w:r w:rsidR="00047D0B">
        <w:rPr>
          <w:rFonts w:ascii="Arial" w:eastAsia="Times New Roman" w:hAnsi="Arial" w:cs="Arial"/>
          <w:sz w:val="20"/>
          <w:szCs w:val="20"/>
        </w:rPr>
        <w:t xml:space="preserve">urther decreases in the GCC are driven by a combination of changes in pigmentation </w:t>
      </w:r>
      <w:r w:rsidR="00047D0B" w:rsidRPr="00B75005">
        <w:rPr>
          <w:rFonts w:ascii="Arial" w:eastAsia="Times New Roman" w:hAnsi="Arial" w:cs="Arial"/>
          <w:i/>
          <w:sz w:val="20"/>
          <w:szCs w:val="20"/>
        </w:rPr>
        <w:t>and</w:t>
      </w:r>
      <w:r w:rsidR="00047D0B">
        <w:rPr>
          <w:rFonts w:ascii="Arial" w:eastAsia="Times New Roman" w:hAnsi="Arial" w:cs="Arial"/>
          <w:sz w:val="20"/>
          <w:szCs w:val="20"/>
        </w:rPr>
        <w:t xml:space="preserve"> decreases in LAI</w:t>
      </w:r>
      <w:r w:rsidR="008E32BB">
        <w:rPr>
          <w:rFonts w:ascii="Arial" w:eastAsia="Times New Roman" w:hAnsi="Arial" w:cs="Arial"/>
          <w:sz w:val="20"/>
          <w:szCs w:val="20"/>
        </w:rPr>
        <w:t>.</w:t>
      </w:r>
      <w:r>
        <w:rPr>
          <w:rFonts w:ascii="Arial" w:eastAsia="Times New Roman" w:hAnsi="Arial" w:cs="Arial"/>
          <w:sz w:val="20"/>
          <w:szCs w:val="20"/>
        </w:rPr>
        <w:t xml:space="preserve">  </w:t>
      </w:r>
    </w:p>
    <w:p w14:paraId="47E7BBE0" w14:textId="69FE491E" w:rsidR="00F11DB4" w:rsidRDefault="001A2B9A" w:rsidP="00D7663C">
      <w:pPr>
        <w:pStyle w:val="ListParagraph"/>
        <w:numPr>
          <w:ilvl w:val="0"/>
          <w:numId w:val="15"/>
        </w:numPr>
        <w:spacing w:line="480" w:lineRule="auto"/>
        <w:jc w:val="both"/>
        <w:rPr>
          <w:rFonts w:ascii="Arial" w:eastAsia="Times New Roman" w:hAnsi="Arial" w:cs="Arial"/>
          <w:sz w:val="20"/>
          <w:szCs w:val="20"/>
        </w:rPr>
      </w:pPr>
      <w:r>
        <w:rPr>
          <w:rFonts w:ascii="Arial" w:eastAsia="Times New Roman" w:hAnsi="Arial" w:cs="Arial"/>
          <w:sz w:val="20"/>
          <w:szCs w:val="20"/>
        </w:rPr>
        <w:t>Towards the end of senescence</w:t>
      </w:r>
      <w:r w:rsidR="002A751B">
        <w:rPr>
          <w:rFonts w:ascii="Arial" w:eastAsia="Times New Roman" w:hAnsi="Arial" w:cs="Arial"/>
          <w:sz w:val="20"/>
          <w:szCs w:val="20"/>
        </w:rPr>
        <w:t>,</w:t>
      </w:r>
      <w:r w:rsidR="00D7663C">
        <w:rPr>
          <w:rFonts w:ascii="Arial" w:eastAsia="Times New Roman" w:hAnsi="Arial" w:cs="Arial"/>
          <w:sz w:val="20"/>
          <w:szCs w:val="20"/>
        </w:rPr>
        <w:t xml:space="preserve"> the remaining leaves turn </w:t>
      </w:r>
      <w:r w:rsidR="00BF15E2">
        <w:rPr>
          <w:rFonts w:ascii="Arial" w:eastAsia="Times New Roman" w:hAnsi="Arial" w:cs="Arial"/>
          <w:sz w:val="20"/>
          <w:szCs w:val="20"/>
        </w:rPr>
        <w:t xml:space="preserve">from yellow </w:t>
      </w:r>
      <w:r w:rsidR="00047D0B">
        <w:rPr>
          <w:rFonts w:ascii="Arial" w:eastAsia="Times New Roman" w:hAnsi="Arial" w:cs="Arial"/>
          <w:sz w:val="20"/>
          <w:szCs w:val="20"/>
        </w:rPr>
        <w:t xml:space="preserve">to </w:t>
      </w:r>
      <w:r w:rsidR="00D7663C">
        <w:rPr>
          <w:rFonts w:ascii="Arial" w:eastAsia="Times New Roman" w:hAnsi="Arial" w:cs="Arial"/>
          <w:sz w:val="20"/>
          <w:szCs w:val="20"/>
        </w:rPr>
        <w:t xml:space="preserve">brown, leading to large decreases in the GCC despite relatively small decreases in LAI.  </w:t>
      </w:r>
    </w:p>
    <w:p w14:paraId="3C04E4ED" w14:textId="3E316D97" w:rsidR="002A751B" w:rsidRDefault="00D7663C" w:rsidP="00D7663C">
      <w:pPr>
        <w:pStyle w:val="ListParagraph"/>
        <w:numPr>
          <w:ilvl w:val="0"/>
          <w:numId w:val="15"/>
        </w:numPr>
        <w:spacing w:line="480" w:lineRule="auto"/>
        <w:jc w:val="both"/>
        <w:rPr>
          <w:rFonts w:ascii="Arial" w:eastAsia="Times New Roman" w:hAnsi="Arial" w:cs="Arial"/>
          <w:sz w:val="20"/>
          <w:szCs w:val="20"/>
        </w:rPr>
      </w:pPr>
      <w:r>
        <w:rPr>
          <w:rFonts w:ascii="Arial" w:eastAsia="Times New Roman" w:hAnsi="Arial" w:cs="Arial"/>
          <w:sz w:val="20"/>
          <w:szCs w:val="20"/>
        </w:rPr>
        <w:t>Once</w:t>
      </w:r>
      <w:r w:rsidR="008718CC">
        <w:rPr>
          <w:rFonts w:ascii="Arial" w:eastAsia="Times New Roman" w:hAnsi="Arial" w:cs="Arial"/>
          <w:sz w:val="20"/>
          <w:szCs w:val="20"/>
        </w:rPr>
        <w:t xml:space="preserve"> the remaining leaves are</w:t>
      </w:r>
      <w:r>
        <w:rPr>
          <w:rFonts w:ascii="Arial" w:eastAsia="Times New Roman" w:hAnsi="Arial" w:cs="Arial"/>
          <w:sz w:val="20"/>
          <w:szCs w:val="20"/>
        </w:rPr>
        <w:t xml:space="preserve"> completely brown, </w:t>
      </w:r>
      <w:r w:rsidR="00F66731">
        <w:rPr>
          <w:rFonts w:ascii="Arial" w:eastAsia="Times New Roman" w:hAnsi="Arial" w:cs="Arial"/>
          <w:sz w:val="20"/>
          <w:szCs w:val="20"/>
        </w:rPr>
        <w:t>the GCC is insensitive to further decreases in LAI</w:t>
      </w:r>
      <w:r>
        <w:rPr>
          <w:rFonts w:ascii="Arial" w:eastAsia="Times New Roman" w:hAnsi="Arial" w:cs="Arial"/>
          <w:sz w:val="20"/>
          <w:szCs w:val="20"/>
        </w:rPr>
        <w:t>.</w:t>
      </w:r>
    </w:p>
    <w:p w14:paraId="00A536E7" w14:textId="7A1A5683" w:rsidR="009663C3" w:rsidRDefault="00DC1F0A" w:rsidP="00407C07">
      <w:pPr>
        <w:spacing w:line="480" w:lineRule="auto"/>
        <w:jc w:val="both"/>
        <w:rPr>
          <w:rFonts w:ascii="Arial" w:eastAsia="Times New Roman" w:hAnsi="Arial" w:cs="Arial"/>
          <w:sz w:val="20"/>
          <w:szCs w:val="20"/>
        </w:rPr>
      </w:pPr>
      <w:r>
        <w:rPr>
          <w:rFonts w:ascii="Arial" w:eastAsia="Times New Roman" w:hAnsi="Arial" w:cs="Arial"/>
          <w:sz w:val="20"/>
          <w:szCs w:val="20"/>
        </w:rPr>
        <w:t xml:space="preserve">It is as a result of </w:t>
      </w:r>
      <w:r w:rsidR="0041530B">
        <w:rPr>
          <w:rFonts w:ascii="Arial" w:eastAsia="Times New Roman" w:hAnsi="Arial" w:cs="Arial"/>
          <w:sz w:val="20"/>
          <w:szCs w:val="20"/>
        </w:rPr>
        <w:t>this complex relationship</w:t>
      </w:r>
      <w:r>
        <w:rPr>
          <w:rFonts w:ascii="Arial" w:eastAsia="Times New Roman" w:hAnsi="Arial" w:cs="Arial"/>
          <w:sz w:val="20"/>
          <w:szCs w:val="20"/>
        </w:rPr>
        <w:t xml:space="preserve"> that</w:t>
      </w:r>
      <w:r w:rsidR="00407C07">
        <w:rPr>
          <w:rFonts w:ascii="Arial" w:eastAsia="Times New Roman" w:hAnsi="Arial" w:cs="Arial"/>
          <w:sz w:val="20"/>
          <w:szCs w:val="20"/>
        </w:rPr>
        <w:t xml:space="preserve"> substantial differences </w:t>
      </w:r>
      <w:r w:rsidR="00E73311">
        <w:rPr>
          <w:rFonts w:ascii="Arial" w:eastAsia="Times New Roman" w:hAnsi="Arial" w:cs="Arial"/>
          <w:sz w:val="20"/>
          <w:szCs w:val="20"/>
        </w:rPr>
        <w:t xml:space="preserve">between </w:t>
      </w:r>
      <w:r w:rsidR="00407C07">
        <w:rPr>
          <w:rFonts w:ascii="Arial" w:eastAsia="Times New Roman" w:hAnsi="Arial" w:cs="Arial"/>
          <w:sz w:val="20"/>
          <w:szCs w:val="20"/>
        </w:rPr>
        <w:t xml:space="preserve">phenological transition dates </w:t>
      </w:r>
      <w:r w:rsidR="00062C1C">
        <w:rPr>
          <w:rFonts w:ascii="Arial" w:eastAsia="Times New Roman" w:hAnsi="Arial" w:cs="Arial"/>
          <w:sz w:val="20"/>
          <w:szCs w:val="20"/>
        </w:rPr>
        <w:t>derived from</w:t>
      </w:r>
      <w:r w:rsidR="00E42879">
        <w:rPr>
          <w:rFonts w:ascii="Arial" w:eastAsia="Times New Roman" w:hAnsi="Arial" w:cs="Arial"/>
          <w:sz w:val="20"/>
          <w:szCs w:val="20"/>
        </w:rPr>
        <w:t xml:space="preserve"> </w:t>
      </w:r>
      <w:r w:rsidR="0041530B">
        <w:rPr>
          <w:rFonts w:ascii="Arial" w:eastAsia="Times New Roman" w:hAnsi="Arial" w:cs="Arial"/>
          <w:sz w:val="20"/>
          <w:szCs w:val="20"/>
        </w:rPr>
        <w:t>the GCC and LAI</w:t>
      </w:r>
      <w:r w:rsidR="00062C1C">
        <w:rPr>
          <w:rFonts w:ascii="Arial" w:eastAsia="Times New Roman" w:hAnsi="Arial" w:cs="Arial"/>
          <w:sz w:val="20"/>
          <w:szCs w:val="20"/>
        </w:rPr>
        <w:t xml:space="preserve"> are observed</w:t>
      </w:r>
      <w:r w:rsidR="00E73311">
        <w:rPr>
          <w:rFonts w:ascii="Arial" w:eastAsia="Times New Roman" w:hAnsi="Arial" w:cs="Arial"/>
          <w:sz w:val="20"/>
          <w:szCs w:val="20"/>
        </w:rPr>
        <w:t>, particularly in the case of the onset of senescence</w:t>
      </w:r>
      <w:r w:rsidR="00062C1C">
        <w:rPr>
          <w:rFonts w:ascii="Arial" w:eastAsia="Times New Roman" w:hAnsi="Arial" w:cs="Arial"/>
          <w:sz w:val="20"/>
          <w:szCs w:val="20"/>
        </w:rPr>
        <w:t>.</w:t>
      </w:r>
      <w:r>
        <w:rPr>
          <w:rFonts w:ascii="Arial" w:eastAsia="Times New Roman" w:hAnsi="Arial" w:cs="Arial"/>
          <w:sz w:val="20"/>
          <w:szCs w:val="20"/>
        </w:rPr>
        <w:t xml:space="preserve">  </w:t>
      </w:r>
      <w:r w:rsidR="00247A2C">
        <w:rPr>
          <w:rFonts w:ascii="Arial" w:eastAsia="Times New Roman" w:hAnsi="Arial" w:cs="Arial"/>
          <w:sz w:val="20"/>
          <w:szCs w:val="20"/>
        </w:rPr>
        <w:t>These</w:t>
      </w:r>
      <w:r w:rsidR="008E32BB">
        <w:rPr>
          <w:rFonts w:ascii="Arial" w:eastAsia="Times New Roman" w:hAnsi="Arial" w:cs="Arial"/>
          <w:sz w:val="20"/>
          <w:szCs w:val="20"/>
        </w:rPr>
        <w:t xml:space="preserve"> findings have important implications for phenological research utilising </w:t>
      </w:r>
      <w:r w:rsidR="008663B0">
        <w:rPr>
          <w:rFonts w:ascii="Arial" w:eastAsia="Times New Roman" w:hAnsi="Arial" w:cs="Arial"/>
          <w:sz w:val="20"/>
          <w:szCs w:val="20"/>
        </w:rPr>
        <w:t xml:space="preserve">above-canopy </w:t>
      </w:r>
      <w:r w:rsidR="008E32BB">
        <w:rPr>
          <w:rFonts w:ascii="Arial" w:eastAsia="Times New Roman" w:hAnsi="Arial" w:cs="Arial"/>
          <w:sz w:val="20"/>
          <w:szCs w:val="20"/>
        </w:rPr>
        <w:t xml:space="preserve">digital repeat </w:t>
      </w:r>
      <w:proofErr w:type="gramStart"/>
      <w:r w:rsidR="0041530B">
        <w:rPr>
          <w:rFonts w:ascii="Arial" w:eastAsia="Times New Roman" w:hAnsi="Arial" w:cs="Arial"/>
          <w:sz w:val="20"/>
          <w:szCs w:val="20"/>
        </w:rPr>
        <w:t>photography, and</w:t>
      </w:r>
      <w:proofErr w:type="gramEnd"/>
      <w:r w:rsidR="00475E40">
        <w:rPr>
          <w:rFonts w:ascii="Arial" w:eastAsia="Times New Roman" w:hAnsi="Arial" w:cs="Arial"/>
          <w:sz w:val="20"/>
          <w:szCs w:val="20"/>
        </w:rPr>
        <w:t xml:space="preserve"> indicate t</w:t>
      </w:r>
      <w:r w:rsidR="00385998">
        <w:rPr>
          <w:rFonts w:ascii="Arial" w:eastAsia="Times New Roman" w:hAnsi="Arial" w:cs="Arial"/>
          <w:sz w:val="20"/>
          <w:szCs w:val="20"/>
        </w:rPr>
        <w:t xml:space="preserve">hat </w:t>
      </w:r>
      <w:r w:rsidR="00AA7515">
        <w:rPr>
          <w:rFonts w:ascii="Arial" w:eastAsia="Times New Roman" w:hAnsi="Arial" w:cs="Arial"/>
          <w:sz w:val="20"/>
          <w:szCs w:val="20"/>
        </w:rPr>
        <w:t xml:space="preserve">transition dates derived from colour indices cannot </w:t>
      </w:r>
      <w:r w:rsidR="00611C1E">
        <w:rPr>
          <w:rFonts w:ascii="Arial" w:eastAsia="Times New Roman" w:hAnsi="Arial" w:cs="Arial"/>
          <w:sz w:val="20"/>
          <w:szCs w:val="20"/>
        </w:rPr>
        <w:t xml:space="preserve">be </w:t>
      </w:r>
      <w:r w:rsidR="00AA7515">
        <w:rPr>
          <w:rFonts w:ascii="Arial" w:eastAsia="Times New Roman" w:hAnsi="Arial" w:cs="Arial"/>
          <w:sz w:val="20"/>
          <w:szCs w:val="20"/>
        </w:rPr>
        <w:t xml:space="preserve">easily linked to </w:t>
      </w:r>
      <w:r w:rsidR="00611C1E">
        <w:rPr>
          <w:rFonts w:ascii="Arial" w:eastAsia="Times New Roman" w:hAnsi="Arial" w:cs="Arial"/>
          <w:sz w:val="20"/>
          <w:szCs w:val="20"/>
        </w:rPr>
        <w:t xml:space="preserve">any </w:t>
      </w:r>
      <w:r w:rsidR="00475E40">
        <w:rPr>
          <w:rFonts w:ascii="Arial" w:eastAsia="Times New Roman" w:hAnsi="Arial" w:cs="Arial"/>
          <w:sz w:val="20"/>
          <w:szCs w:val="20"/>
        </w:rPr>
        <w:t xml:space="preserve">one </w:t>
      </w:r>
      <w:r w:rsidR="00F21B51">
        <w:rPr>
          <w:rFonts w:ascii="Arial" w:eastAsia="Times New Roman" w:hAnsi="Arial" w:cs="Arial"/>
          <w:sz w:val="20"/>
          <w:szCs w:val="20"/>
        </w:rPr>
        <w:t>biophysical property</w:t>
      </w:r>
      <w:r w:rsidR="00AA7515">
        <w:rPr>
          <w:rFonts w:ascii="Arial" w:eastAsia="Times New Roman" w:hAnsi="Arial" w:cs="Arial"/>
          <w:sz w:val="20"/>
          <w:szCs w:val="20"/>
        </w:rPr>
        <w:t>.</w:t>
      </w:r>
      <w:r w:rsidR="008E32BB">
        <w:rPr>
          <w:rFonts w:ascii="Arial" w:eastAsia="Times New Roman" w:hAnsi="Arial" w:cs="Arial"/>
          <w:sz w:val="20"/>
          <w:szCs w:val="20"/>
        </w:rPr>
        <w:t xml:space="preserve">  </w:t>
      </w:r>
      <w:r w:rsidR="00755433">
        <w:rPr>
          <w:rFonts w:ascii="Arial" w:eastAsia="Times New Roman" w:hAnsi="Arial" w:cs="Arial"/>
          <w:sz w:val="20"/>
          <w:szCs w:val="20"/>
        </w:rPr>
        <w:t xml:space="preserve">In this respect, the GCC may be described as a cryptic or ambiguous measure of phenology </w:t>
      </w:r>
      <w:r w:rsidR="00755433">
        <w:rPr>
          <w:rFonts w:ascii="Arial" w:eastAsia="Times New Roman" w:hAnsi="Arial" w:cs="Arial"/>
          <w:sz w:val="20"/>
          <w:szCs w:val="20"/>
        </w:rPr>
        <w:fldChar w:fldCharType="begin" w:fldLock="1"/>
      </w:r>
      <w:r w:rsidR="008D6541">
        <w:rPr>
          <w:rFonts w:ascii="Arial" w:eastAsia="Times New Roman" w:hAnsi="Arial" w:cs="Arial"/>
          <w:sz w:val="20"/>
          <w:szCs w:val="20"/>
        </w:rPr>
        <w:instrText>ADDIN CSL_CITATION {"citationItems":[{"id":"ITEM-1","itemData":{"DOI":"10.1111/gcb.14759","ISSN":"1354-1013","abstract":"Plant phenology—the timing of cyclic or recurrent biological events in plants—offers insight into the ecology, evolution, and seasonality of plant-mediated ecosystem processes. Traditionally studied phenologies are readily apparent, such as flowering events, germination timing, and season-initiating budbreak. However, a broad range of phenologies that are fundamental to the ecology and evolution of plants, and to global biogeochemical cycles and climate change predictions, have been neglected because they are “cryptic”—that is, hidden from view (e.g., root production) or difficult to distinguish and interpret based on common measurements at typical scales of examination (e.g., leaf turnover in evergreen forests). We illustrate how capturing cryptic phenology can advance scientific understanding with two case studies: wood phenology in a deciduous forest of the northeastern USA and leaf phenology in tropical evergreen forests of Amazonia. Drawing on these case studies and other literature, we argue that conceptualizing and characterizing cryptic plant phenology is needed for understanding and accurate prediction at many scales from organisms to ecosystems. We recommend avenues of empirical and modeling research to accelerate discovery of cryptic phenological patterns, to understand their causes and consequences, and to represent these processes in terrestrial biosphere models.","author":[{"dropping-particle":"","family":"Albert","given":"Loren P.","non-dropping-particle":"","parse-names":false,"suffix":""},{"dropping-particle":"","family":"Restrepo</w:instrText>
      </w:r>
      <w:r w:rsidR="008D6541">
        <w:rPr>
          <w:rFonts w:ascii="Cambria Math" w:eastAsia="Times New Roman" w:hAnsi="Cambria Math" w:cs="Cambria Math"/>
          <w:sz w:val="20"/>
          <w:szCs w:val="20"/>
        </w:rPr>
        <w:instrText>‐</w:instrText>
      </w:r>
      <w:r w:rsidR="008D6541">
        <w:rPr>
          <w:rFonts w:ascii="Arial" w:eastAsia="Times New Roman" w:hAnsi="Arial" w:cs="Arial"/>
          <w:sz w:val="20"/>
          <w:szCs w:val="20"/>
        </w:rPr>
        <w:instrText>Coupe","given":"Natalia","non-dropping-particle":"","parse-names":false,"suffix":""},{"dropping-particle":"","family":"Smith","given":"Marielle N.","non-dropping-particle":"","parse-names":false,"suffix":""},{"dropping-particle":"","family":"Wu","given":"Jin","non-dropping-particle":"","parse-names":false,"suffix":""},{"dropping-particle":"","family":"Chavana</w:instrText>
      </w:r>
      <w:r w:rsidR="008D6541">
        <w:rPr>
          <w:rFonts w:ascii="Cambria Math" w:eastAsia="Times New Roman" w:hAnsi="Cambria Math" w:cs="Cambria Math"/>
          <w:sz w:val="20"/>
          <w:szCs w:val="20"/>
        </w:rPr>
        <w:instrText>‐</w:instrText>
      </w:r>
      <w:r w:rsidR="008D6541">
        <w:rPr>
          <w:rFonts w:ascii="Arial" w:eastAsia="Times New Roman" w:hAnsi="Arial" w:cs="Arial"/>
          <w:sz w:val="20"/>
          <w:szCs w:val="20"/>
        </w:rPr>
        <w:instrText>Bryant","given":"Cecilia","non-dropping-particle":"","parse-names":false,"suffix":""},{"dropping-particle":"","family":"Prohaska","given":"Neill","non-dropping-particle":"","parse-names":false,"suffix":""},{"dropping-particle":"","family":"Taylor","given":"Tyeen C.","non-dropping-particle":"","parse-names":false,"suffix":""},{"dropping-particle":"","family":"Martins","given":"Giordane A.","non-dropping-particle":"","parse-names":false,"suffix":""},{"dropping-particle":"","family":"Ciais","given":"Philippe","non-dropping-particle":"","parse-names":false,"suffix":""},{"dropping-particle":"","family":"Mao","given":"Jiafu","non-dropping-particle":"","parse-names":false,"suffix":""},{"dropping-particle":"","family":"Arain","given":"M. Altaf","non-dropping-particle":"","parse-names":false,"suffix":""},{"dropping-particle":"","family":"Li","given":"Wei","non-dropping-particle":"","parse-names":false,"suffix":""},{"dropping-particle":"","family":"Shi","given":"Xiaoying","non-dropping-particle":"","parse-names":false,"suffix":""},{"dropping-particle":"","family":"Ricciuto","given":"Daniel M.","non-dropping-particle":"","parse-names":false,"suffix":""},{"dropping-particle":"","family":"Huxman","given":"Travis E.","non-dropping-particle":"","parse-names":false,"suffix":""},{"dropping-particle":"","family":"McMahon","given":"Sean M.","non-dropping-particle":"","parse-names":false,"suffix":""},{"dropping-particle":"","family":"Saleska","given":"Scott R.","non-dropping-particle":"","parse-names":false,"suffix":""}],"container-title":"Global Change Biology","id":"ITEM-1","issue":"11","issued":{"date-parts":[["2019","11","22"]]},"page":"3591-3608","title":"Cryptic phenology in plants: Case studies, implications, and recommendations","type":"article-journal","volume":"25"},"uris":["http://www.mendeley.com/documents/?uuid=79b8baa3-cda0-4e48-a76e-b0c3167a6c6c"]}],"mendeley":{"formattedCitation":"(Albert et al., 2019)","plainTextFormattedCitation":"(Albert et al., 2019)","previouslyFormattedCitation":"(Albert et al., 2019)"},"properties":{"noteIndex":0},"schema":"https://github.com/citation-style-language/schema/raw/master/csl-citation.json"}</w:instrText>
      </w:r>
      <w:r w:rsidR="00755433">
        <w:rPr>
          <w:rFonts w:ascii="Arial" w:eastAsia="Times New Roman" w:hAnsi="Arial" w:cs="Arial"/>
          <w:sz w:val="20"/>
          <w:szCs w:val="20"/>
        </w:rPr>
        <w:fldChar w:fldCharType="separate"/>
      </w:r>
      <w:r w:rsidR="00755433" w:rsidRPr="00755433">
        <w:rPr>
          <w:rFonts w:ascii="Arial" w:eastAsia="Times New Roman" w:hAnsi="Arial" w:cs="Arial"/>
          <w:noProof/>
          <w:sz w:val="20"/>
          <w:szCs w:val="20"/>
        </w:rPr>
        <w:t>(Albert et al., 2019)</w:t>
      </w:r>
      <w:r w:rsidR="00755433">
        <w:rPr>
          <w:rFonts w:ascii="Arial" w:eastAsia="Times New Roman" w:hAnsi="Arial" w:cs="Arial"/>
          <w:sz w:val="20"/>
          <w:szCs w:val="20"/>
        </w:rPr>
        <w:fldChar w:fldCharType="end"/>
      </w:r>
      <w:r w:rsidR="00755433">
        <w:rPr>
          <w:rFonts w:ascii="Arial" w:eastAsia="Times New Roman" w:hAnsi="Arial" w:cs="Arial"/>
          <w:sz w:val="20"/>
          <w:szCs w:val="20"/>
        </w:rPr>
        <w:t xml:space="preserve">, as its seasonality is driven by multiple processes </w:t>
      </w:r>
      <w:r w:rsidR="00755433">
        <w:rPr>
          <w:rFonts w:ascii="Arial" w:eastAsia="Times New Roman" w:hAnsi="Arial" w:cs="Arial"/>
          <w:sz w:val="20"/>
          <w:szCs w:val="20"/>
        </w:rPr>
        <w:lastRenderedPageBreak/>
        <w:t xml:space="preserve">that </w:t>
      </w:r>
      <w:r w:rsidR="00E656AF">
        <w:rPr>
          <w:rFonts w:ascii="Arial" w:eastAsia="Times New Roman" w:hAnsi="Arial" w:cs="Arial"/>
          <w:sz w:val="20"/>
          <w:szCs w:val="20"/>
        </w:rPr>
        <w:t>may</w:t>
      </w:r>
      <w:r w:rsidR="00491E46">
        <w:rPr>
          <w:rFonts w:ascii="Arial" w:eastAsia="Times New Roman" w:hAnsi="Arial" w:cs="Arial"/>
          <w:sz w:val="20"/>
          <w:szCs w:val="20"/>
        </w:rPr>
        <w:t xml:space="preserve"> at times</w:t>
      </w:r>
      <w:r w:rsidR="00E656AF">
        <w:rPr>
          <w:rFonts w:ascii="Arial" w:eastAsia="Times New Roman" w:hAnsi="Arial" w:cs="Arial"/>
          <w:sz w:val="20"/>
          <w:szCs w:val="20"/>
        </w:rPr>
        <w:t xml:space="preserve"> be </w:t>
      </w:r>
      <w:r w:rsidR="00755433">
        <w:rPr>
          <w:rFonts w:ascii="Arial" w:eastAsia="Times New Roman" w:hAnsi="Arial" w:cs="Arial"/>
          <w:sz w:val="20"/>
          <w:szCs w:val="20"/>
        </w:rPr>
        <w:t xml:space="preserve">compensatory, making physical interpretation </w:t>
      </w:r>
      <w:r w:rsidR="00F647C9">
        <w:rPr>
          <w:rFonts w:ascii="Arial" w:eastAsia="Times New Roman" w:hAnsi="Arial" w:cs="Arial"/>
          <w:sz w:val="20"/>
          <w:szCs w:val="20"/>
        </w:rPr>
        <w:t>challenging</w:t>
      </w:r>
      <w:r w:rsidR="00755433">
        <w:rPr>
          <w:rFonts w:ascii="Arial" w:eastAsia="Times New Roman" w:hAnsi="Arial" w:cs="Arial"/>
          <w:sz w:val="20"/>
          <w:szCs w:val="20"/>
        </w:rPr>
        <w:t xml:space="preserve">.  </w:t>
      </w:r>
      <w:proofErr w:type="gramStart"/>
      <w:r w:rsidR="008E32BB">
        <w:rPr>
          <w:rFonts w:ascii="Arial" w:eastAsia="Times New Roman" w:hAnsi="Arial" w:cs="Arial"/>
          <w:sz w:val="20"/>
          <w:szCs w:val="20"/>
        </w:rPr>
        <w:t>In particular, caution</w:t>
      </w:r>
      <w:proofErr w:type="gramEnd"/>
      <w:r w:rsidR="008E32BB">
        <w:rPr>
          <w:rFonts w:ascii="Arial" w:eastAsia="Times New Roman" w:hAnsi="Arial" w:cs="Arial"/>
          <w:sz w:val="20"/>
          <w:szCs w:val="20"/>
        </w:rPr>
        <w:t xml:space="preserve"> should be exercised when evaluating </w:t>
      </w:r>
      <w:r w:rsidR="00475E40">
        <w:rPr>
          <w:rFonts w:ascii="Arial" w:eastAsia="Times New Roman" w:hAnsi="Arial" w:cs="Arial"/>
          <w:sz w:val="20"/>
          <w:szCs w:val="20"/>
        </w:rPr>
        <w:t xml:space="preserve">the quality of </w:t>
      </w:r>
      <w:r w:rsidR="008E32BB">
        <w:rPr>
          <w:rFonts w:ascii="Arial" w:eastAsia="Times New Roman" w:hAnsi="Arial" w:cs="Arial"/>
          <w:sz w:val="20"/>
          <w:szCs w:val="20"/>
        </w:rPr>
        <w:t xml:space="preserve">satellite-derived phenological metrics, </w:t>
      </w:r>
      <w:r w:rsidR="004D0939">
        <w:rPr>
          <w:rFonts w:ascii="Arial" w:eastAsia="Times New Roman" w:hAnsi="Arial" w:cs="Arial"/>
          <w:sz w:val="20"/>
          <w:szCs w:val="20"/>
        </w:rPr>
        <w:t>as the underlying vegetation indices are</w:t>
      </w:r>
      <w:r w:rsidR="008E32BB">
        <w:rPr>
          <w:rFonts w:ascii="Arial" w:eastAsia="Times New Roman" w:hAnsi="Arial" w:cs="Arial"/>
          <w:sz w:val="20"/>
          <w:szCs w:val="20"/>
        </w:rPr>
        <w:t xml:space="preserve"> typically most sensitive to </w:t>
      </w:r>
      <w:r w:rsidR="004D0939">
        <w:rPr>
          <w:rFonts w:ascii="Arial" w:eastAsia="Times New Roman" w:hAnsi="Arial" w:cs="Arial"/>
          <w:sz w:val="20"/>
          <w:szCs w:val="20"/>
        </w:rPr>
        <w:t>structural properties such as</w:t>
      </w:r>
      <w:r w:rsidR="008E32BB">
        <w:rPr>
          <w:rFonts w:ascii="Arial" w:eastAsia="Times New Roman" w:hAnsi="Arial" w:cs="Arial"/>
          <w:sz w:val="20"/>
          <w:szCs w:val="20"/>
        </w:rPr>
        <w:t xml:space="preserve"> LAI.  As </w:t>
      </w:r>
      <w:r w:rsidR="00611C1E">
        <w:rPr>
          <w:rFonts w:ascii="Arial" w:eastAsia="Times New Roman" w:hAnsi="Arial" w:cs="Arial"/>
          <w:sz w:val="20"/>
          <w:szCs w:val="20"/>
        </w:rPr>
        <w:t>such</w:t>
      </w:r>
      <w:r w:rsidR="008E32BB">
        <w:rPr>
          <w:rFonts w:ascii="Arial" w:eastAsia="Times New Roman" w:hAnsi="Arial" w:cs="Arial"/>
          <w:sz w:val="20"/>
          <w:szCs w:val="20"/>
        </w:rPr>
        <w:t xml:space="preserve">, substantial </w:t>
      </w:r>
      <w:r w:rsidR="00E73311">
        <w:rPr>
          <w:rFonts w:ascii="Arial" w:eastAsia="Times New Roman" w:hAnsi="Arial" w:cs="Arial"/>
          <w:sz w:val="20"/>
          <w:szCs w:val="20"/>
        </w:rPr>
        <w:t>discrepancies</w:t>
      </w:r>
      <w:r w:rsidR="008E32BB">
        <w:rPr>
          <w:rFonts w:ascii="Arial" w:eastAsia="Times New Roman" w:hAnsi="Arial" w:cs="Arial"/>
          <w:sz w:val="20"/>
          <w:szCs w:val="20"/>
        </w:rPr>
        <w:t xml:space="preserve"> may be observed</w:t>
      </w:r>
      <w:r w:rsidR="00475E40">
        <w:rPr>
          <w:rFonts w:ascii="Arial" w:eastAsia="Times New Roman" w:hAnsi="Arial" w:cs="Arial"/>
          <w:sz w:val="20"/>
          <w:szCs w:val="20"/>
        </w:rPr>
        <w:t>,</w:t>
      </w:r>
      <w:r w:rsidR="008E32BB">
        <w:rPr>
          <w:rFonts w:ascii="Arial" w:eastAsia="Times New Roman" w:hAnsi="Arial" w:cs="Arial"/>
          <w:sz w:val="20"/>
          <w:szCs w:val="20"/>
        </w:rPr>
        <w:t xml:space="preserve"> not</w:t>
      </w:r>
      <w:r w:rsidR="00475E40">
        <w:rPr>
          <w:rFonts w:ascii="Arial" w:eastAsia="Times New Roman" w:hAnsi="Arial" w:cs="Arial"/>
          <w:sz w:val="20"/>
          <w:szCs w:val="20"/>
        </w:rPr>
        <w:t xml:space="preserve"> necessarily</w:t>
      </w:r>
      <w:r w:rsidR="008E32BB">
        <w:rPr>
          <w:rFonts w:ascii="Arial" w:eastAsia="Times New Roman" w:hAnsi="Arial" w:cs="Arial"/>
          <w:sz w:val="20"/>
          <w:szCs w:val="20"/>
        </w:rPr>
        <w:t xml:space="preserve"> because of a deficiency in the satellite product</w:t>
      </w:r>
      <w:r w:rsidR="00E73311">
        <w:rPr>
          <w:rFonts w:ascii="Arial" w:eastAsia="Times New Roman" w:hAnsi="Arial" w:cs="Arial"/>
          <w:sz w:val="20"/>
          <w:szCs w:val="20"/>
        </w:rPr>
        <w:t xml:space="preserve"> itself</w:t>
      </w:r>
      <w:r w:rsidR="008E32BB">
        <w:rPr>
          <w:rFonts w:ascii="Arial" w:eastAsia="Times New Roman" w:hAnsi="Arial" w:cs="Arial"/>
          <w:sz w:val="20"/>
          <w:szCs w:val="20"/>
        </w:rPr>
        <w:t xml:space="preserve">, but </w:t>
      </w:r>
      <w:r w:rsidR="00E73311">
        <w:rPr>
          <w:rFonts w:ascii="Arial" w:eastAsia="Times New Roman" w:hAnsi="Arial" w:cs="Arial"/>
          <w:sz w:val="20"/>
          <w:szCs w:val="20"/>
        </w:rPr>
        <w:t xml:space="preserve">because of </w:t>
      </w:r>
      <w:r w:rsidR="008F62D4">
        <w:rPr>
          <w:rFonts w:ascii="Arial" w:eastAsia="Times New Roman" w:hAnsi="Arial" w:cs="Arial"/>
          <w:sz w:val="20"/>
          <w:szCs w:val="20"/>
        </w:rPr>
        <w:t xml:space="preserve">the </w:t>
      </w:r>
      <w:r w:rsidR="00E73311">
        <w:rPr>
          <w:rFonts w:ascii="Arial" w:eastAsia="Times New Roman" w:hAnsi="Arial" w:cs="Arial"/>
          <w:sz w:val="20"/>
          <w:szCs w:val="20"/>
        </w:rPr>
        <w:t xml:space="preserve">sensitivity </w:t>
      </w:r>
      <w:r w:rsidR="00815E17">
        <w:rPr>
          <w:rFonts w:ascii="Arial" w:eastAsia="Times New Roman" w:hAnsi="Arial" w:cs="Arial"/>
          <w:sz w:val="20"/>
          <w:szCs w:val="20"/>
        </w:rPr>
        <w:t xml:space="preserve">of </w:t>
      </w:r>
      <w:r w:rsidR="000545D6">
        <w:rPr>
          <w:rFonts w:ascii="Arial" w:eastAsia="Times New Roman" w:hAnsi="Arial" w:cs="Arial"/>
          <w:sz w:val="20"/>
          <w:szCs w:val="20"/>
        </w:rPr>
        <w:t xml:space="preserve">above-canopy </w:t>
      </w:r>
      <w:r w:rsidR="00815E17">
        <w:rPr>
          <w:rFonts w:ascii="Arial" w:eastAsia="Times New Roman" w:hAnsi="Arial" w:cs="Arial"/>
          <w:sz w:val="20"/>
          <w:szCs w:val="20"/>
        </w:rPr>
        <w:t xml:space="preserve">digital repeat photography </w:t>
      </w:r>
      <w:r w:rsidR="00E73311">
        <w:rPr>
          <w:rFonts w:ascii="Arial" w:eastAsia="Times New Roman" w:hAnsi="Arial" w:cs="Arial"/>
          <w:sz w:val="20"/>
          <w:szCs w:val="20"/>
        </w:rPr>
        <w:t>to different characteristics.</w:t>
      </w:r>
      <w:r w:rsidR="000545D6">
        <w:rPr>
          <w:rFonts w:ascii="Arial" w:eastAsia="Times New Roman" w:hAnsi="Arial" w:cs="Arial"/>
          <w:sz w:val="20"/>
          <w:szCs w:val="20"/>
        </w:rPr>
        <w:t xml:space="preserve">  </w:t>
      </w:r>
    </w:p>
    <w:p w14:paraId="1ED2FBDC" w14:textId="4D734DDB" w:rsidR="00543E4C" w:rsidRDefault="00B674A0" w:rsidP="00407C07">
      <w:pPr>
        <w:spacing w:line="480" w:lineRule="auto"/>
        <w:jc w:val="both"/>
        <w:rPr>
          <w:rFonts w:ascii="Arial" w:eastAsia="Times New Roman" w:hAnsi="Arial" w:cs="Arial"/>
          <w:sz w:val="20"/>
          <w:szCs w:val="20"/>
        </w:rPr>
      </w:pPr>
      <w:r>
        <w:rPr>
          <w:rFonts w:ascii="Arial" w:eastAsia="Times New Roman" w:hAnsi="Arial" w:cs="Arial"/>
          <w:sz w:val="20"/>
          <w:szCs w:val="20"/>
        </w:rPr>
        <w:t>As the greatest differences in phenological transition dates derived from the GCC and LAI were observed in case of the onset of senescence, it</w:t>
      </w:r>
      <w:r w:rsidR="000545D6">
        <w:rPr>
          <w:rFonts w:ascii="Arial" w:eastAsia="Times New Roman" w:hAnsi="Arial" w:cs="Arial"/>
          <w:sz w:val="20"/>
          <w:szCs w:val="20"/>
        </w:rPr>
        <w:t xml:space="preserve"> </w:t>
      </w:r>
      <w:r w:rsidR="00C2530B">
        <w:rPr>
          <w:rFonts w:ascii="Arial" w:eastAsia="Times New Roman" w:hAnsi="Arial" w:cs="Arial"/>
          <w:sz w:val="20"/>
          <w:szCs w:val="20"/>
        </w:rPr>
        <w:t>is worth noting</w:t>
      </w:r>
      <w:r w:rsidR="000545D6">
        <w:rPr>
          <w:rFonts w:ascii="Arial" w:eastAsia="Times New Roman" w:hAnsi="Arial" w:cs="Arial"/>
          <w:sz w:val="20"/>
          <w:szCs w:val="20"/>
        </w:rPr>
        <w:t xml:space="preserve"> that </w:t>
      </w:r>
      <w:r w:rsidR="002F4897">
        <w:rPr>
          <w:rFonts w:ascii="Arial" w:eastAsia="Times New Roman" w:hAnsi="Arial" w:cs="Arial"/>
          <w:sz w:val="20"/>
          <w:szCs w:val="20"/>
        </w:rPr>
        <w:t xml:space="preserve">other colour indices including the red chromatic coordinate (RCC) have been shown to provide more robust estimates of </w:t>
      </w:r>
      <w:r w:rsidR="00676930">
        <w:rPr>
          <w:rFonts w:ascii="Arial" w:eastAsia="Times New Roman" w:hAnsi="Arial" w:cs="Arial"/>
          <w:sz w:val="20"/>
          <w:szCs w:val="20"/>
        </w:rPr>
        <w:t>autumn phenology</w:t>
      </w:r>
      <w:r w:rsidR="00CB2680">
        <w:rPr>
          <w:rFonts w:ascii="Arial" w:eastAsia="Times New Roman" w:hAnsi="Arial" w:cs="Arial"/>
          <w:sz w:val="20"/>
          <w:szCs w:val="20"/>
        </w:rPr>
        <w:t xml:space="preserve"> than the GCC</w:t>
      </w:r>
      <w:r>
        <w:rPr>
          <w:rFonts w:ascii="Arial" w:eastAsia="Times New Roman" w:hAnsi="Arial" w:cs="Arial"/>
          <w:sz w:val="20"/>
          <w:szCs w:val="20"/>
        </w:rPr>
        <w:t xml:space="preserve"> </w:t>
      </w:r>
      <w:r>
        <w:rPr>
          <w:rFonts w:ascii="Arial" w:eastAsia="Times New Roman" w:hAnsi="Arial" w:cs="Arial"/>
          <w:sz w:val="20"/>
          <w:szCs w:val="20"/>
        </w:rPr>
        <w:fldChar w:fldCharType="begin" w:fldLock="1"/>
      </w:r>
      <w:r>
        <w:rPr>
          <w:rFonts w:ascii="Arial" w:eastAsia="Times New Roman" w:hAnsi="Arial" w:cs="Arial"/>
          <w:sz w:val="20"/>
          <w:szCs w:val="20"/>
        </w:rPr>
        <w:instrText>ADDIN CSL_CITATION {"citationItems":[{"id":"ITEM-1","itemData":{"DOI":"10.1016/j.agrformet.2011.09.009","ISBN":"0168-1923","ISSN":"01681923","abstract":"Digital repeat photography has the potential to become an important long-term data source for phenological research given its advantages in terms of logistics, continuity, consistency and objectivity over traditional assessments of vegetation status by human observers. Red-green-blue (RGB) color channel information from digital images can be separately extracted as digital numbers, and subsequently summarized through color indices such as excess green (ExG=2G-[R+B]) or through nonlinear transforms to chromatic coordinates or other color spaces. Previous studies have demonstrated the use of ExG and the green chromatic coordinate (gcc=G/[R+G+B]) from digital landscape image archives for tracking canopy development but several methodological questions remained unanswered. These include the effects of diurnal, seasonal and weather-related changes in scene illumination on ExG and gcc, and digital camera and image file format choice. We show that gcc is generally more effective than ExG in suppressing the effects of changes in scene illumination. To further reduce these effects we propose a moving window approach that assigns the 90th percentile of all daytime values within a three-day window to the center day (per90), resulting in three-day ExG and gcc. Using image archives from eleven forest sites in North America, we demonstrate that per90 is able to further reduce unwanted variability in ExG and gcc due to changes in scene illumination compared to previously used mean mid-day values of ExG and gcc.Comparison of eleven different digital cameras at Harvard Forest (autumn 2010) indicates that camera and image file format choice might be of secondary importance for phenological research: with the exception of inexpensive indoor webcams, autumn patterns of changes in gcc and ExG from images in common JPEG image file format were in good agreement, especially toward the end of senescence. Due to its greater effectiveness in suppressing changes in scene illumination, especially in combination with per90, we advocate the use of gcc for phenological research. Our results indicate that gcc from different digital cameras can be used for comparing the timing of key phenological events (e.g., complete leaf coloring) across sites. However, differences in how specific cameras \"see\" the forest canopy may obscure subtle phenological changes that could be detectable if a common protocol was implemented across sites. © 2011 Elsevier B.V.","author":[{"dropping-particle":"","family":"Sonnentag","given":"Oliver","non-dropping-particle":"","parse-names":false,"suffix":""},{"dropping-particle":"","family":"Hufkens","given":"Koen","non-dropping-particle":"","parse-names":false,"suffix":""},{"dropping-particle":"","family":"Teshera-Sterne","given":"Cory","non-dropping-particle":"","parse-names":false,"suffix":""},{"dropping-particle":"","family":"Young","given":"Adam M","non-dropping-particle":"","parse-names":false,"suffix":""},{"dropping-particle":"","family":"Friedl","given":"Mark","non-dropping-particle":"","parse-names":false,"suffix":""},{"dropping-particle":"","family":"Braswell","given":"Bobby H","non-dropping-particle":"","parse-names":false,"suffix":""},{"dropping-particle":"","family":"Milliman","given":"Thomas","non-dropping-particle":"","parse-names":false,"suffix":""},{"dropping-particle":"","family":"O’Keefe","given":"John","non-dropping-particle":"","parse-names":false,"suffix":""},{"dropping-particle":"","family":"Richardson","given":"Andrew D","non-dropping-particle":"","parse-names":false,"suffix":""}],"container-title":"Agricultural and Forest Meteorology","id":"ITEM-1","issue":"1","issued":{"date-parts":[["2012","1"]]},"page":"159-177","title":"Digital repeat photography for phenological research in forest ecosystems","type":"article-journal","volume":"152"},"uris":["http://www.mendeley.com/documents/?uuid=06f703aa-c580-305c-bd1e-d7d557fa7cab"]},{"id":"ITEM-2","itemData":{"DOI":"10.1002/2013JG002460","ISBN":"2169-8953","ISSN":"21698953","abstract":"Plant phenology, a sensitive indicator of climate change, influences vegetation-atmosphere interactions by changing the carbon and water cycles from local to global scales. Camera-based phenological observations of the color changes of the vegetation canopy throughout the growing season have become popular in recent years. However, the linkages between camera phenological metrics and leaf biochemical, biophysical, and spectral properties are elusive. We measured key leaf properties including chlorophyll concentration and leaf reflectance on a weekly basis from June to November 2011 in a white oak forest on the island of Martha's Vineyard, Massachusetts, USA. Concurrently, we used a digital camera to automatically acquire daily pictures of the tree canopies. We found that there was a mismatch between the camera-based phenological metric for the canopy greenness (green chromatic coordinate, gcc) and the total chlorophyll and carotenoids concentration and leaf mass per area during late spring/early summer. The seasonal peak of gcc is approximately 20 days earlier than the peak of the total chlorophyll concentration. During the fall, both canopy and leaf redness were significantly correlated with the vegetation index for anthocyanin concentration, opening a new window to quantify vegetation senescence remotely. Satellite- and camera-based vegetation indices agreed well, suggesting that camera-based observations can be used as the ground validation for satellites. Using the high-temporal resolution dataset of leaf biochemical, biophysical, and spectral properties, our results show the strengths and potential uncertainties to use canopy color as the proxy of ecosystem functioning.","author":[{"dropping-particle":"","family":"Yang","given":"Xi","non-dropping-particle":"","parse-names":false,"suffix":""},{"dropping-particle":"","family":"Tang","given":"Jianwu","non-dropping-particle":"","parse-names":false,"suffix":""},{"dropping-particle":"","family":"Mustard","given":"John F","non-dropping-particle":"","parse-names":false,"suffix":""}],"container-title":"Journal of Geophysical Research: Biogeosciences","id":"ITEM-2","issue":"3","issued":{"date-parts":[["2014","3"]]},"page":"181-191","title":"Beyond leaf color: Comparing camera-based phenological metrics with leaf biochemical, biophysical, and spectral properties throughout the growing season of a temperate deciduous forest","type":"article-journal","volume":"119"},"uris":["http://www.mendeley.com/documents/?uuid=3cb250b4-9976-34df-8e05-b00d5236c75a"]}],"mendeley":{"formattedCitation":"(Sonnentag et al., 2012; Yang et al., 2014)","plainTextFormattedCitation":"(Sonnentag et al., 2012; Yang et al., 2014)","previouslyFormattedCitation":"(Sonnentag et al., 2012)"},"properties":{"noteIndex":0},"schema":"https://github.com/citation-style-language/schema/raw/master/csl-citation.json"}</w:instrText>
      </w:r>
      <w:r>
        <w:rPr>
          <w:rFonts w:ascii="Arial" w:eastAsia="Times New Roman" w:hAnsi="Arial" w:cs="Arial"/>
          <w:sz w:val="20"/>
          <w:szCs w:val="20"/>
        </w:rPr>
        <w:fldChar w:fldCharType="separate"/>
      </w:r>
      <w:r w:rsidRPr="00B674A0">
        <w:rPr>
          <w:rFonts w:ascii="Arial" w:eastAsia="Times New Roman" w:hAnsi="Arial" w:cs="Arial"/>
          <w:noProof/>
          <w:sz w:val="20"/>
          <w:szCs w:val="20"/>
        </w:rPr>
        <w:t>(Sonnentag et al., 2012; Yang et al., 2014)</w:t>
      </w:r>
      <w:r>
        <w:rPr>
          <w:rFonts w:ascii="Arial" w:eastAsia="Times New Roman" w:hAnsi="Arial" w:cs="Arial"/>
          <w:sz w:val="20"/>
          <w:szCs w:val="20"/>
        </w:rPr>
        <w:fldChar w:fldCharType="end"/>
      </w:r>
      <w:r w:rsidR="002F4897">
        <w:rPr>
          <w:rFonts w:ascii="Arial" w:eastAsia="Times New Roman" w:hAnsi="Arial" w:cs="Arial"/>
          <w:sz w:val="20"/>
          <w:szCs w:val="20"/>
        </w:rPr>
        <w:t xml:space="preserve">.  Similarly, </w:t>
      </w:r>
      <w:r w:rsidR="000545D6">
        <w:rPr>
          <w:rFonts w:ascii="Arial" w:eastAsia="Times New Roman" w:hAnsi="Arial" w:cs="Arial"/>
          <w:sz w:val="20"/>
          <w:szCs w:val="20"/>
        </w:rPr>
        <w:t>the adoption of near-infrared enabled digital cameras</w:t>
      </w:r>
      <w:r w:rsidR="00943FE8">
        <w:rPr>
          <w:rFonts w:ascii="Arial" w:eastAsia="Times New Roman" w:hAnsi="Arial" w:cs="Arial"/>
          <w:sz w:val="20"/>
          <w:szCs w:val="20"/>
        </w:rPr>
        <w:t xml:space="preserve">, which are now installed at </w:t>
      </w:r>
      <w:r w:rsidR="00AD708A">
        <w:rPr>
          <w:rFonts w:ascii="Arial" w:eastAsia="Times New Roman" w:hAnsi="Arial" w:cs="Arial"/>
          <w:sz w:val="20"/>
          <w:szCs w:val="20"/>
        </w:rPr>
        <w:t xml:space="preserve">over 400 </w:t>
      </w:r>
      <w:proofErr w:type="spellStart"/>
      <w:r w:rsidR="00943FE8">
        <w:rPr>
          <w:rFonts w:ascii="Arial" w:eastAsia="Times New Roman" w:hAnsi="Arial" w:cs="Arial"/>
          <w:sz w:val="20"/>
          <w:szCs w:val="20"/>
        </w:rPr>
        <w:t>PhenoCam</w:t>
      </w:r>
      <w:proofErr w:type="spellEnd"/>
      <w:r w:rsidR="00943FE8">
        <w:rPr>
          <w:rFonts w:ascii="Arial" w:eastAsia="Times New Roman" w:hAnsi="Arial" w:cs="Arial"/>
          <w:sz w:val="20"/>
          <w:szCs w:val="20"/>
        </w:rPr>
        <w:t xml:space="preserve"> sites,</w:t>
      </w:r>
      <w:r w:rsidR="000545D6">
        <w:rPr>
          <w:rFonts w:ascii="Arial" w:eastAsia="Times New Roman" w:hAnsi="Arial" w:cs="Arial"/>
          <w:sz w:val="20"/>
          <w:szCs w:val="20"/>
        </w:rPr>
        <w:t xml:space="preserve"> may alleviate </w:t>
      </w:r>
      <w:r w:rsidR="009663C3">
        <w:rPr>
          <w:rFonts w:ascii="Arial" w:eastAsia="Times New Roman" w:hAnsi="Arial" w:cs="Arial"/>
          <w:sz w:val="20"/>
          <w:szCs w:val="20"/>
        </w:rPr>
        <w:t xml:space="preserve">the </w:t>
      </w:r>
      <w:r w:rsidR="000545D6">
        <w:rPr>
          <w:rFonts w:ascii="Arial" w:eastAsia="Times New Roman" w:hAnsi="Arial" w:cs="Arial"/>
          <w:sz w:val="20"/>
          <w:szCs w:val="20"/>
        </w:rPr>
        <w:t>issues</w:t>
      </w:r>
      <w:r w:rsidR="009663C3">
        <w:rPr>
          <w:rFonts w:ascii="Arial" w:eastAsia="Times New Roman" w:hAnsi="Arial" w:cs="Arial"/>
          <w:sz w:val="20"/>
          <w:szCs w:val="20"/>
        </w:rPr>
        <w:t xml:space="preserve"> associated with the GCC</w:t>
      </w:r>
      <w:r w:rsidR="000545D6">
        <w:rPr>
          <w:rFonts w:ascii="Arial" w:eastAsia="Times New Roman" w:hAnsi="Arial" w:cs="Arial"/>
          <w:sz w:val="20"/>
          <w:szCs w:val="20"/>
        </w:rPr>
        <w:t xml:space="preserve"> to some extent, enabling the calculation of vegetation indices more sensitive to canopy structure such as the normalised difference vegetation index (NDVI).  Indeed,</w:t>
      </w:r>
      <w:r w:rsidR="00E74C6F">
        <w:rPr>
          <w:rFonts w:ascii="Arial" w:eastAsia="Times New Roman" w:hAnsi="Arial" w:cs="Arial"/>
          <w:sz w:val="20"/>
          <w:szCs w:val="20"/>
        </w:rPr>
        <w:t xml:space="preserve"> </w:t>
      </w:r>
      <w:r w:rsidR="00E74C6F">
        <w:rPr>
          <w:rFonts w:ascii="Arial" w:eastAsia="Times New Roman" w:hAnsi="Arial" w:cs="Arial"/>
          <w:sz w:val="20"/>
          <w:szCs w:val="20"/>
        </w:rPr>
        <w:fldChar w:fldCharType="begin" w:fldLock="1"/>
      </w:r>
      <w:r w:rsidR="001B3154">
        <w:rPr>
          <w:rFonts w:ascii="Arial" w:eastAsia="Times New Roman" w:hAnsi="Arial" w:cs="Arial"/>
          <w:sz w:val="20"/>
          <w:szCs w:val="20"/>
        </w:rPr>
        <w:instrText>ADDIN CSL_CITATION {"citationItems":[{"id":"ITEM-1","itemData":{"DOI":"10.1016/j.agrformet.2014.05.008","ISSN":"01681923","abstract":"Sensor-based monitoring of vegetation phenology is being widely used to quantify phenological responses to climate variability and change. Digital repeat photography, in particular, can characterize the seasonality of canopy greenness. However, these data cannot be directly compared to satellite vegetation indices (e.g. NDVI, the normalized difference vegetation index) that require information about vegetation properties at near-infrared (NIR) wavelengths. Here, we develop a new method, using an inexpensive, NIR-enabled camera originally designed for security monitoring, to calculate a \"camera NDVI\" from sequential visible and visible. +. NIR photographs. We use a lab experiment for proof-of-concept, and then test the method using a year of data from an ongoing field campaign in a mixed temperate forest. Our analysis shows that the seasonal cycle of camera NDVI is almost identical to that of NDVI measured using narrow-band radiometric instruments, or as observed from space by the MODIS platform. This camera NDVI thus provides different information about the state of the canopy than can be obtained using only visible-wavelength imagery. In addition to phenological monitoring, our method should be useful for a variety of applications, including continuous monitoring of plant stress and quantifying vegetation responses to manipulative treatments in large field experiments. © 2014 Elsevier B.V.","author":[{"dropping-particle":"","family":"Petach","given":"Anika R.","non-dropping-particle":"","parse-names":false,"suffix":""},{"dropping-particle":"","family":"Toomey","given":"Michael","non-dropping-particle":"","parse-names":false,"suffix":""},{"dropping-particle":"","family":"Aubrecht","given":"Donald M.","non-dropping-particle":"","parse-names":false,"suffix":""},{"dropping-particle":"","family":"Richardson","given":"Andrew D.","non-dropping-particle":"","parse-names":false,"suffix":""}],"container-title":"Agricultural and Forest Meteorology","id":"ITEM-1","issued":{"date-parts":[["2014","9"]]},"page":"143-151","title":"Monitoring vegetation phenology using an infrared-enabled security camera","type":"article-journal","volume":"195-196"},"uris":["http://www.mendeley.com/documents/?uuid=e5f4bf43-cbf2-41fa-9977-edb69b14218f"]}],"mendeley":{"formattedCitation":"(Petach et al., 2014)","manualFormatting":"Petach et al. (2014)","plainTextFormattedCitation":"(Petach et al., 2014)","previouslyFormattedCitation":"(Petach et al., 2014)"},"properties":{"noteIndex":0},"schema":"https://github.com/citation-style-language/schema/raw/master/csl-citation.json"}</w:instrText>
      </w:r>
      <w:r w:rsidR="00E74C6F">
        <w:rPr>
          <w:rFonts w:ascii="Arial" w:eastAsia="Times New Roman" w:hAnsi="Arial" w:cs="Arial"/>
          <w:sz w:val="20"/>
          <w:szCs w:val="20"/>
        </w:rPr>
        <w:fldChar w:fldCharType="separate"/>
      </w:r>
      <w:r w:rsidR="00E74C6F" w:rsidRPr="00E74C6F">
        <w:rPr>
          <w:rFonts w:ascii="Arial" w:eastAsia="Times New Roman" w:hAnsi="Arial" w:cs="Arial"/>
          <w:noProof/>
          <w:sz w:val="20"/>
          <w:szCs w:val="20"/>
        </w:rPr>
        <w:t>Petach et al.</w:t>
      </w:r>
      <w:r w:rsidR="00E74C6F">
        <w:rPr>
          <w:rFonts w:ascii="Arial" w:eastAsia="Times New Roman" w:hAnsi="Arial" w:cs="Arial"/>
          <w:noProof/>
          <w:sz w:val="20"/>
          <w:szCs w:val="20"/>
        </w:rPr>
        <w:t xml:space="preserve"> (</w:t>
      </w:r>
      <w:r w:rsidR="00E74C6F" w:rsidRPr="00E74C6F">
        <w:rPr>
          <w:rFonts w:ascii="Arial" w:eastAsia="Times New Roman" w:hAnsi="Arial" w:cs="Arial"/>
          <w:noProof/>
          <w:sz w:val="20"/>
          <w:szCs w:val="20"/>
        </w:rPr>
        <w:t>2014)</w:t>
      </w:r>
      <w:r w:rsidR="00E74C6F">
        <w:rPr>
          <w:rFonts w:ascii="Arial" w:eastAsia="Times New Roman" w:hAnsi="Arial" w:cs="Arial"/>
          <w:sz w:val="20"/>
          <w:szCs w:val="20"/>
        </w:rPr>
        <w:fldChar w:fldCharType="end"/>
      </w:r>
      <w:r w:rsidR="00E74C6F">
        <w:rPr>
          <w:rFonts w:ascii="Arial" w:eastAsia="Times New Roman" w:hAnsi="Arial" w:cs="Arial"/>
          <w:sz w:val="20"/>
          <w:szCs w:val="20"/>
        </w:rPr>
        <w:t xml:space="preserve"> note such an approach provides different information </w:t>
      </w:r>
      <w:r w:rsidR="004E677D">
        <w:rPr>
          <w:rFonts w:ascii="Arial" w:eastAsia="Times New Roman" w:hAnsi="Arial" w:cs="Arial"/>
          <w:sz w:val="20"/>
          <w:szCs w:val="20"/>
        </w:rPr>
        <w:t xml:space="preserve">on canopy status when compared </w:t>
      </w:r>
      <w:r w:rsidR="00E74C6F">
        <w:rPr>
          <w:rFonts w:ascii="Arial" w:eastAsia="Times New Roman" w:hAnsi="Arial" w:cs="Arial"/>
          <w:sz w:val="20"/>
          <w:szCs w:val="20"/>
        </w:rPr>
        <w:t>to colour indices such as the GCC.  Nevertheless,</w:t>
      </w:r>
      <w:r w:rsidR="009220C7">
        <w:rPr>
          <w:rFonts w:ascii="Arial" w:eastAsia="Times New Roman" w:hAnsi="Arial" w:cs="Arial"/>
          <w:sz w:val="20"/>
          <w:szCs w:val="20"/>
        </w:rPr>
        <w:t xml:space="preserve"> the </w:t>
      </w:r>
      <w:r w:rsidR="004E677D">
        <w:rPr>
          <w:rFonts w:ascii="Arial" w:eastAsia="Times New Roman" w:hAnsi="Arial" w:cs="Arial"/>
          <w:sz w:val="20"/>
          <w:szCs w:val="20"/>
        </w:rPr>
        <w:t xml:space="preserve">radiometric quantities provided by the </w:t>
      </w:r>
      <w:r w:rsidR="009220C7">
        <w:rPr>
          <w:rFonts w:ascii="Arial" w:eastAsia="Times New Roman" w:hAnsi="Arial" w:cs="Arial"/>
          <w:sz w:val="20"/>
          <w:szCs w:val="20"/>
        </w:rPr>
        <w:t xml:space="preserve">technique </w:t>
      </w:r>
      <w:r w:rsidR="004E677D">
        <w:rPr>
          <w:rFonts w:ascii="Arial" w:eastAsia="Times New Roman" w:hAnsi="Arial" w:cs="Arial"/>
          <w:sz w:val="20"/>
          <w:szCs w:val="20"/>
        </w:rPr>
        <w:t>are relative</w:t>
      </w:r>
      <w:r w:rsidR="009220C7">
        <w:rPr>
          <w:rFonts w:ascii="Arial" w:eastAsia="Times New Roman" w:hAnsi="Arial" w:cs="Arial"/>
          <w:sz w:val="20"/>
          <w:szCs w:val="20"/>
        </w:rPr>
        <w:t>,</w:t>
      </w:r>
      <w:r w:rsidR="00CB0AD6">
        <w:rPr>
          <w:rFonts w:ascii="Arial" w:eastAsia="Times New Roman" w:hAnsi="Arial" w:cs="Arial"/>
          <w:sz w:val="20"/>
          <w:szCs w:val="20"/>
        </w:rPr>
        <w:t xml:space="preserve"> and</w:t>
      </w:r>
      <w:r w:rsidR="00943FE8">
        <w:rPr>
          <w:rFonts w:ascii="Arial" w:eastAsia="Times New Roman" w:hAnsi="Arial" w:cs="Arial"/>
          <w:sz w:val="20"/>
          <w:szCs w:val="20"/>
        </w:rPr>
        <w:t xml:space="preserve"> </w:t>
      </w:r>
      <w:r w:rsidR="00E74C6F">
        <w:rPr>
          <w:rFonts w:ascii="Arial" w:eastAsia="Times New Roman" w:hAnsi="Arial" w:cs="Arial"/>
          <w:sz w:val="20"/>
          <w:szCs w:val="20"/>
        </w:rPr>
        <w:fldChar w:fldCharType="begin" w:fldLock="1"/>
      </w:r>
      <w:r w:rsidR="00E74C6F">
        <w:rPr>
          <w:rFonts w:ascii="Arial" w:eastAsia="Times New Roman" w:hAnsi="Arial" w:cs="Arial"/>
          <w:sz w:val="20"/>
          <w:szCs w:val="20"/>
        </w:rPr>
        <w:instrText>ADDIN CSL_CITATION {"citationItems":[{"id":"ITEM-1","itemData":{"DOI":"10.1016/j.agrformet.2017.11.003","ISSN":"01681923","abstract":"Time series of vegetation indices (e.g. normalized difference vegetation index [NDVI]) and color indices (e.g. green chromatic coordinate [GCC]) based on radiometric measurements are now available at different spatial and temporal scales ranging from weekly satellite observations to sub-hourly in situ measurements by means of near-surface remote sensing (e.g. spectral sensors or digital cameras). In situ measurements are essential for providing validation data for satellite-derived vegetation indices. In this study we used a recently developed method to calculate NDVI from near-infrared (NIR) enabled digital cameras (NDVIC) at 17 sites (for a total of 74 year-sites) encompassing six plant functional types (PFT) from the PhenoCam network. The seasonality of NDVIC was comparable to both NDVI measured by ground spectral sensors and by the moderate resolution imaging spectroradiometer (MODIS). We calculated site- and PFT-specific scaling factors to correct NDVIC values and recommend the use of site-specific NDVI from MODIS in order to scale NDVIC. We also compared GCC extracted from red-green-blue images to NDVIC and found PFT-dependent systematic differences in their seasonalities. During senescence, NDVIC lags behind GCC in deciduous broad-leaf forests and grasslands, suggesting that GCC is more sensitive to changes in leaf color and NDVIC is more sensitive to changes in leaf area. In evergreen forests, NDVIC peaks later than GCC in spring, probably tracking the processes of shoot elongation and new needle formation. Both GCC and NDVIC can be used as validation tools for the MODIS Land Cover Dynamics Product (MCD12Q2) for deciduous broad-leaf spring phenology, whereas NDVIC is more comparable than GCC with autumn phenology derived from MODIS. For evergreen forests, we found a poor relationship between MCD12Q2 and camera-derived phenology, highlighting the need for more work to better characterize the seasonality of both canopy structure and leaf biochemistry in those ecosystems. Our results demonstrate that NDVIC is in excellent agreement with NDVI obtained from spectral measurements, and that NDVIC and GCC can complement each other in describing ecosystem phenology. Additionally, NDVIC allows the detection of structural changes in the canopy that cannot be detected by visible-wavelength imagery.","author":[{"dropping-particle":"","family":"Filippa","given":"Gianluca","non-dropping-particle":"","parse-names":false,"suffix":""},{"dropping-particle":"","family":"Cremonese","given":"Edoardo","non-dropping-particle":"","parse-names":false,"suffix":""},{"dropping-particle":"","family":"Migliavacca","given":"Mirco","non-dropping-particle":"","parse-names":false,"suffix":""},{"dropping-particle":"","family":"Galvagno","given":"Marta","non-dropping-particle":"","parse-names":false,"suffix":""},{"dropping-particle":"","family":"Sonnentag","given":"Oliver","non-dropping-particle":"","parse-names":false,"suffix":""},{"dropping-particle":"","family":"Humphreys","given":"Elyn","non-dropping-particle":"","parse-names":false,"suffix":""},{"dropping-particle":"","family":"Hufkens","given":"Koen","non-dropping-particle":"","parse-names":false,"suffix":""},{"dropping-particle":"","family":"Ryu","given":"Youngryel","non-dropping-particle":"","parse-names":false,"suffix":""},{"dropping-particle":"","family":"Verfaillie","given":"Joseph","non-dropping-particle":"","parse-names":false,"suffix":""},{"dropping-particle":"","family":"Morra di Cella","given":"Umberto","non-dropping-particle":"","parse-names":false,"suffix":""},{"dropping-particle":"","family":"Richardson","given":"Andrew D.","non-dropping-particle":"","parse-names":false,"suffix":""}],"container-title":"Agricultural and Forest Meteorology","id":"ITEM-1","issue":"August 2017","issued":{"date-parts":[["2018","2"]]},"page":"275-285","title":"NDVI derived from near-infrared-enabled digital cameras: Applicability across different plant functional types","type":"article-journal","volume":"249"},"uris":["http://www.mendeley.com/documents/?uuid=6df7633e-cfe7-4b40-a676-6ed277dac116"]}],"mendeley":{"formattedCitation":"(Filippa et al., 2018)","manualFormatting":"Filippa et al. (2018)","plainTextFormattedCitation":"(Filippa et al., 2018)","previouslyFormattedCitation":"(Filippa et al., 2018)"},"properties":{"noteIndex":0},"schema":"https://github.com/citation-style-language/schema/raw/master/csl-citation.json"}</w:instrText>
      </w:r>
      <w:r w:rsidR="00E74C6F">
        <w:rPr>
          <w:rFonts w:ascii="Arial" w:eastAsia="Times New Roman" w:hAnsi="Arial" w:cs="Arial"/>
          <w:sz w:val="20"/>
          <w:szCs w:val="20"/>
        </w:rPr>
        <w:fldChar w:fldCharType="separate"/>
      </w:r>
      <w:r w:rsidR="00E74C6F" w:rsidRPr="00E74C6F">
        <w:rPr>
          <w:rFonts w:ascii="Arial" w:eastAsia="Times New Roman" w:hAnsi="Arial" w:cs="Arial"/>
          <w:noProof/>
          <w:sz w:val="20"/>
          <w:szCs w:val="20"/>
        </w:rPr>
        <w:t xml:space="preserve">Filippa et al. </w:t>
      </w:r>
      <w:r w:rsidR="00E74C6F">
        <w:rPr>
          <w:rFonts w:ascii="Arial" w:eastAsia="Times New Roman" w:hAnsi="Arial" w:cs="Arial"/>
          <w:noProof/>
          <w:sz w:val="20"/>
          <w:szCs w:val="20"/>
        </w:rPr>
        <w:t>(</w:t>
      </w:r>
      <w:r w:rsidR="00E74C6F" w:rsidRPr="00E74C6F">
        <w:rPr>
          <w:rFonts w:ascii="Arial" w:eastAsia="Times New Roman" w:hAnsi="Arial" w:cs="Arial"/>
          <w:noProof/>
          <w:sz w:val="20"/>
          <w:szCs w:val="20"/>
        </w:rPr>
        <w:t>2018)</w:t>
      </w:r>
      <w:r w:rsidR="00E74C6F">
        <w:rPr>
          <w:rFonts w:ascii="Arial" w:eastAsia="Times New Roman" w:hAnsi="Arial" w:cs="Arial"/>
          <w:sz w:val="20"/>
          <w:szCs w:val="20"/>
        </w:rPr>
        <w:fldChar w:fldCharType="end"/>
      </w:r>
      <w:r w:rsidR="00E74C6F">
        <w:rPr>
          <w:rFonts w:ascii="Arial" w:eastAsia="Times New Roman" w:hAnsi="Arial" w:cs="Arial"/>
          <w:sz w:val="20"/>
          <w:szCs w:val="20"/>
        </w:rPr>
        <w:t xml:space="preserve"> demonstrate that </w:t>
      </w:r>
      <w:r w:rsidR="00943FE8">
        <w:rPr>
          <w:rFonts w:ascii="Arial" w:eastAsia="Times New Roman" w:hAnsi="Arial" w:cs="Arial"/>
          <w:sz w:val="20"/>
          <w:szCs w:val="20"/>
        </w:rPr>
        <w:t>site-specific scaling factors are required</w:t>
      </w:r>
      <w:r w:rsidR="009220C7" w:rsidRPr="009220C7">
        <w:rPr>
          <w:rFonts w:ascii="Arial" w:eastAsia="Times New Roman" w:hAnsi="Arial" w:cs="Arial"/>
          <w:sz w:val="20"/>
          <w:szCs w:val="20"/>
        </w:rPr>
        <w:t xml:space="preserve"> </w:t>
      </w:r>
      <w:r w:rsidR="009220C7">
        <w:rPr>
          <w:rFonts w:ascii="Arial" w:eastAsia="Times New Roman" w:hAnsi="Arial" w:cs="Arial"/>
          <w:sz w:val="20"/>
          <w:szCs w:val="20"/>
        </w:rPr>
        <w:t>to make data comparable to satellite-derived NDVI,</w:t>
      </w:r>
      <w:r w:rsidR="003C3CE4">
        <w:rPr>
          <w:rFonts w:ascii="Arial" w:eastAsia="Times New Roman" w:hAnsi="Arial" w:cs="Arial"/>
          <w:sz w:val="20"/>
          <w:szCs w:val="20"/>
        </w:rPr>
        <w:t xml:space="preserve"> reducing the universal applicability of the </w:t>
      </w:r>
      <w:r w:rsidR="004E677D">
        <w:rPr>
          <w:rFonts w:ascii="Arial" w:eastAsia="Times New Roman" w:hAnsi="Arial" w:cs="Arial"/>
          <w:sz w:val="20"/>
          <w:szCs w:val="20"/>
        </w:rPr>
        <w:t>approach</w:t>
      </w:r>
      <w:r w:rsidR="003C3CE4">
        <w:rPr>
          <w:rFonts w:ascii="Arial" w:eastAsia="Times New Roman" w:hAnsi="Arial" w:cs="Arial"/>
          <w:sz w:val="20"/>
          <w:szCs w:val="20"/>
        </w:rPr>
        <w:t>.</w:t>
      </w:r>
    </w:p>
    <w:p w14:paraId="7D91DD3C" w14:textId="70E75A10" w:rsidR="00661285" w:rsidRPr="00661285" w:rsidRDefault="00661285" w:rsidP="00407C07">
      <w:pPr>
        <w:spacing w:line="480" w:lineRule="auto"/>
        <w:jc w:val="both"/>
        <w:rPr>
          <w:rFonts w:ascii="Arial" w:eastAsia="Times New Roman" w:hAnsi="Arial" w:cs="Arial"/>
          <w:i/>
          <w:iCs/>
          <w:sz w:val="20"/>
          <w:szCs w:val="20"/>
        </w:rPr>
      </w:pPr>
      <w:r>
        <w:rPr>
          <w:rFonts w:ascii="Arial" w:eastAsia="Times New Roman" w:hAnsi="Arial" w:cs="Arial"/>
          <w:i/>
          <w:iCs/>
          <w:sz w:val="20"/>
          <w:szCs w:val="20"/>
        </w:rPr>
        <w:t xml:space="preserve">4.3. Potential of automated DHP in </w:t>
      </w:r>
      <w:r w:rsidR="006A68C9">
        <w:rPr>
          <w:rFonts w:ascii="Arial" w:eastAsia="Times New Roman" w:hAnsi="Arial" w:cs="Arial"/>
          <w:i/>
          <w:iCs/>
          <w:sz w:val="20"/>
          <w:szCs w:val="20"/>
        </w:rPr>
        <w:t>forest</w:t>
      </w:r>
      <w:r>
        <w:rPr>
          <w:rFonts w:ascii="Arial" w:eastAsia="Times New Roman" w:hAnsi="Arial" w:cs="Arial"/>
          <w:i/>
          <w:iCs/>
          <w:sz w:val="20"/>
          <w:szCs w:val="20"/>
        </w:rPr>
        <w:t xml:space="preserve"> research</w:t>
      </w:r>
    </w:p>
    <w:p w14:paraId="72D668F9" w14:textId="031F05C3" w:rsidR="008155EA" w:rsidRPr="004C394C" w:rsidRDefault="00EC182A" w:rsidP="00DC5064">
      <w:pPr>
        <w:spacing w:line="480" w:lineRule="auto"/>
        <w:jc w:val="both"/>
        <w:rPr>
          <w:rFonts w:ascii="Arial" w:eastAsia="Times New Roman" w:hAnsi="Arial" w:cs="Arial"/>
          <w:sz w:val="20"/>
          <w:szCs w:val="20"/>
        </w:rPr>
      </w:pPr>
      <w:r>
        <w:rPr>
          <w:rFonts w:ascii="Arial" w:eastAsia="Times New Roman" w:hAnsi="Arial" w:cs="Arial"/>
          <w:sz w:val="20"/>
          <w:szCs w:val="20"/>
        </w:rPr>
        <w:t>In contrast</w:t>
      </w:r>
      <w:r w:rsidR="00F83B47">
        <w:rPr>
          <w:rFonts w:ascii="Arial" w:eastAsia="Times New Roman" w:hAnsi="Arial" w:cs="Arial"/>
          <w:sz w:val="20"/>
          <w:szCs w:val="20"/>
        </w:rPr>
        <w:t xml:space="preserve"> to </w:t>
      </w:r>
      <w:r w:rsidR="000545D6">
        <w:rPr>
          <w:rFonts w:ascii="Arial" w:eastAsia="Times New Roman" w:hAnsi="Arial" w:cs="Arial"/>
          <w:sz w:val="20"/>
          <w:szCs w:val="20"/>
        </w:rPr>
        <w:t>above-canopy</w:t>
      </w:r>
      <w:r w:rsidR="00F83B47">
        <w:rPr>
          <w:rFonts w:ascii="Arial" w:eastAsia="Times New Roman" w:hAnsi="Arial" w:cs="Arial"/>
          <w:sz w:val="20"/>
          <w:szCs w:val="20"/>
        </w:rPr>
        <w:t xml:space="preserve"> digital repeat photography</w:t>
      </w:r>
      <w:r>
        <w:rPr>
          <w:rFonts w:ascii="Arial" w:eastAsia="Times New Roman" w:hAnsi="Arial" w:cs="Arial"/>
          <w:sz w:val="20"/>
          <w:szCs w:val="20"/>
        </w:rPr>
        <w:t>, the automated DHP approach</w:t>
      </w:r>
      <w:r w:rsidR="00572A3E">
        <w:rPr>
          <w:rFonts w:ascii="Arial" w:eastAsia="Times New Roman" w:hAnsi="Arial" w:cs="Arial"/>
          <w:sz w:val="20"/>
          <w:szCs w:val="20"/>
        </w:rPr>
        <w:t xml:space="preserve"> presented in this study</w:t>
      </w:r>
      <w:r>
        <w:rPr>
          <w:rFonts w:ascii="Arial" w:eastAsia="Times New Roman" w:hAnsi="Arial" w:cs="Arial"/>
          <w:sz w:val="20"/>
          <w:szCs w:val="20"/>
        </w:rPr>
        <w:t xml:space="preserve"> provides</w:t>
      </w:r>
      <w:r w:rsidR="00295E2F">
        <w:rPr>
          <w:rFonts w:ascii="Arial" w:eastAsia="Times New Roman" w:hAnsi="Arial" w:cs="Arial"/>
          <w:sz w:val="20"/>
          <w:szCs w:val="20"/>
        </w:rPr>
        <w:t xml:space="preserve"> time-series of</w:t>
      </w:r>
      <w:r>
        <w:rPr>
          <w:rFonts w:ascii="Arial" w:eastAsia="Times New Roman" w:hAnsi="Arial" w:cs="Arial"/>
          <w:sz w:val="20"/>
          <w:szCs w:val="20"/>
        </w:rPr>
        <w:t xml:space="preserve"> </w:t>
      </w:r>
      <w:r w:rsidR="00295E2F">
        <w:rPr>
          <w:rFonts w:ascii="Arial" w:eastAsia="Times New Roman" w:hAnsi="Arial" w:cs="Arial"/>
          <w:sz w:val="20"/>
          <w:szCs w:val="20"/>
        </w:rPr>
        <w:t>LAI,</w:t>
      </w:r>
      <w:r>
        <w:rPr>
          <w:rFonts w:ascii="Arial" w:eastAsia="Times New Roman" w:hAnsi="Arial" w:cs="Arial"/>
          <w:sz w:val="20"/>
          <w:szCs w:val="20"/>
        </w:rPr>
        <w:t xml:space="preserve"> whose physical interpretation is straightforward, </w:t>
      </w:r>
      <w:r w:rsidR="00572A3E">
        <w:rPr>
          <w:rFonts w:ascii="Arial" w:eastAsia="Times New Roman" w:hAnsi="Arial" w:cs="Arial"/>
          <w:sz w:val="20"/>
          <w:szCs w:val="20"/>
        </w:rPr>
        <w:t xml:space="preserve">and whose transition dates are comparatively insensitive to the choice of phenological function.  </w:t>
      </w:r>
      <w:r w:rsidR="00661285">
        <w:rPr>
          <w:rFonts w:ascii="Arial" w:eastAsia="Times New Roman" w:hAnsi="Arial" w:cs="Arial"/>
          <w:sz w:val="20"/>
          <w:szCs w:val="20"/>
        </w:rPr>
        <w:t xml:space="preserve">Whilst previous work has highlighted the increased measurement footprint associated with </w:t>
      </w:r>
      <w:r w:rsidR="000545D6">
        <w:rPr>
          <w:rFonts w:ascii="Arial" w:eastAsia="Times New Roman" w:hAnsi="Arial" w:cs="Arial"/>
          <w:sz w:val="20"/>
          <w:szCs w:val="20"/>
        </w:rPr>
        <w:t xml:space="preserve">above-canopy </w:t>
      </w:r>
      <w:r w:rsidR="00661285">
        <w:rPr>
          <w:rFonts w:ascii="Arial" w:eastAsia="Times New Roman" w:hAnsi="Arial" w:cs="Arial"/>
          <w:sz w:val="20"/>
          <w:szCs w:val="20"/>
        </w:rPr>
        <w:t xml:space="preserve">digital repeat photography </w:t>
      </w:r>
      <w:r w:rsidR="00661285">
        <w:rPr>
          <w:rFonts w:ascii="Arial" w:eastAsia="Times New Roman" w:hAnsi="Arial" w:cs="Arial"/>
          <w:sz w:val="20"/>
          <w:szCs w:val="20"/>
        </w:rPr>
        <w:fldChar w:fldCharType="begin" w:fldLock="1"/>
      </w:r>
      <w:r w:rsidR="00661285">
        <w:rPr>
          <w:rFonts w:ascii="Arial" w:eastAsia="Times New Roman" w:hAnsi="Arial" w:cs="Arial"/>
          <w:sz w:val="20"/>
          <w:szCs w:val="20"/>
        </w:rPr>
        <w:instrText>ADDIN CSL_CITATION {"citationItems":[{"id":"ITEM-1","itemData":{"DOI":"10.1007/s00442-006-0657-z","ISBN":"0029-8549","ISSN":"0029-8549","PMID":"17342508","abstract":"Understanding relationships between canopy structure and the seasonal dynamics of photosynthetic uptake of CO(2) by forest canopies requires improved knowledge of canopy phenology at eddy covariance flux tower sites. We investigated whether digital webcam images could be used to monitor the trajectory of spring green-up in a deciduous northern hardwood forest. A standard, commercially available webcam was mounted at the top of the eddy covariance tower at the Bartlett AmeriFlux site. Images were collected each day around midday. Red, green, and blue color channel brightness data for a 640 x 100-pixel region-of-interest were extracted from each image. We evaluated the green-up signal extracted from webcam images against changes in the fraction of incident photosynthetically active radiation that is absorbed by the canopy (f (APAR)), a broadband normalized difference vegetation index (NDVI), and the light-saturated rate of canopy photosynthesis (A(max)), inferred from eddy flux measurements. The relative brightness of the green channel (green %) was relatively stable through the winter months. A steady rising trend in green % began around day 120 and continued through day 160, at which point a stable plateau was reached. The relative brightness of the blue channel (blue %) also responded to spring green-up, although there was more day-to-day variation in the signal because blue % was more sensitive to changes in the quality (spectral distribution) of incident radiation. Seasonal changes in blue % were most similar to those in f (APAR) and broadband NDVI, whereas changes in green % proceeded more slowly, and were drawn out over a longer period of time. Changes in A(max) lagged green-up by at least a week. We conclude that webcams offer an inexpensive means by which phenological changes in the canopy state can be quantified. A network of cameras could offer a novel opportunity to implement a regional or national phenology monitoring program.","author":[{"dropping-particle":"","family":"Richardson","given":"Andrew D","non-dropping-particle":"","parse-names":false,"suffix":""},{"dropping-particle":"","family":"Jenkins","given":"Julian P","non-dropping-particle":"","parse-names":false,"suffix":""},{"dropping-particle":"","family":"Braswell","given":"Bobby H","non-dropping-particle":"","parse-names":false,"suffix":""},{"dropping-particle":"","family":"Hollinger","given":"David Y","non-dropping-particle":"","parse-names":false,"suffix":""},{"dropping-particle":"V","family":"Ollinger","given":"Scott","non-dropping-particle":"","parse-names":false,"suffix":""},{"dropping-particle":"","family":"Smith","given":"Marie-Louise","non-dropping-particle":"","parse-names":false,"suffix":""}],"container-title":"Oecologia","id":"ITEM-1","issue":"2","issued":{"date-parts":[["2007","5","3"]]},"page":"323-334","title":"Use of digital webcam images to track spring green-up in a deciduous broadleaf forest","type":"article-journal","volume":"152"},"uris":["http://www.mendeley.com/documents/?uuid=e9be935b-6af1-3aff-ba6e-12cb1c828092"]},{"id":"ITEM-2","itemData":{"DOI":"10.1890/08-2022.1","ISBN":"1051-0761","ISSN":"1051-0761","PMID":"19769091","abstract":"There is a need to document how plant phenology is responding to global change factors, particularly warming trends. \"Near-surface\" remote sensing, using radiometric instruments or imaging sensors, has great potential to improve phenological monitoring because automated observations can be made at high temporal frequency. Here we build on previous work and show how inexpensive, networked digital cameras (\"webcams\") can be used to document spatial and temporal variation in the spring and autumn phenology of forest canopies. We use two years of imagery from a deciduous, northern hardwood site, and one year of imagery from a coniferous, boreal transition site. A quantitative signal is obtained by splitting images into separate red, green, and blue color channels and calculating the relative brightness of each channel for \"regions of interest\" within each image. We put the observed phenological signal in context by relating it to seasonal patterns of gross primary productivity, inferred from eddy covariance measurements of surface-atmosphere CO2 exchange. We show that spring increases, and autumn decreases, in canopy greenness can be detected in both deciduous and coniferous stands. In deciduous stands, an autumn red peak is also observed. The timing and rate of spring development and autumn senescence varies across the canopy, with greater variability in autumn than spring. Interannual variation in phenology can be detected both visually and quantitatively; delayed spring onset in 2007 compared to 2006 is related to a prolonged cold spell from day 85 to day 110. This work lays the foundation for regional-to continental-scale camera-based monitoring of phenology at network observatory sites, e. g., National Ecological Observatory Network (NEON) or AmeriFlux.","author":[{"dropping-particle":"","family":"Richardson","given":"Andrew D.","non-dropping-particle":"","parse-names":false,"suffix":""},{"dropping-particle":"","family":"Braswell","given":"Bobby H.","non-dropping-particle":"","parse-names":false,"suffix":""},{"dropping-particle":"","family":"Hollinger","given":"David Y.","non-dropping-particle":"","parse-names":false,"suffix":""},{"dropping-particle":"","family":"Jenkins","given":"Julian P.","non-dropping-particle":"","parse-names":false,"suffix":""},{"dropping-particle":"V.","family":"Ollinger","given":"Scott","non-dropping-particle":"","parse-names":false,"suffix":""}],"container-title":"Ecological Applications","id":"ITEM-2","issue":"6","issued":{"date-parts":[["2009","9"]]},"page":"1417-1428","title":"Near-surface remote sensing of spatial and temporal variation in canopy phenology","type":"article-journal","volume":"19"},"uris":["http://www.mendeley.com/documents/?uuid=67966d5f-a13e-359f-9124-560a40f628b3"]},{"id":"ITEM-3","itemData":{"DOI":"10.1016/j.rse.2011.10.006","ISBN":"0034-4257","ISSN":"00344257","abstract":"Green leaf phenology is known to be sensitive to climate variation. Phenology is also important because it exerts significant control on terrestrial carbon cycling and sequestration. High-quality measurements of green leaf phenology are therefore increasingly important for understanding the effects of climate change on ecosystem function and biosphere-atmosphere interactions. In this paper, we compare \"near-surface\" and satellite remote sensing-based observations of vegetation phenology at four deciduous forest sites. Specifically, we addressed three questions related to how observations of plant phenology measured by red-green-blue (RGB) cameras mounted on towers above forest canopies are related to measurements of phenology acquired by moderate resolution sensors on satellites. First, how are estimated phenophase transition dates - or the observable stages in the life cycle of plants - influenced by the choice of vegetation index (VI) measured by remote sensing? Second, are VIs and phenological metrics derived from near-surface and satellite remote sensing comparable, and what is the nature and magnitude of covariation between near-surface and satellite-remote sensing-based estimates of phenology at seasonal and interannual time scales? Third, does near-surface remote sensing data provide a basis for validating satellite-derived land surface phenology products and what are the requirements for achieving this goal? Our study provides substantial support for future efforts linking satellite and near-surface remote sensing. We show significant agreement between phenological time series and metrics derived from these two data sources. However, issues of scale and representation strongly influence the relationship between near surface and satellite remote sensing measures of phenology. In particular, intra- and interannual correlation between time series from each source are dependent on how representative the camera FOV is of the regional landscape. Further, our results show that the specific VI used to monitor phenology exerts substantial influence on satellite VI derived phenological metrics, and by extension, how they compare to VI time series and metrics obtained from near-surface remote sensing. These results improve understanding of how near-surface and satellite remote sensing complement each other. However, more work is required to develop formal protocols for evaluating, calibrating and validating satellite remote sensing phenology products using…","author":[{"dropping-particle":"","family":"Hufkens","given":"Koen","non-dropping-particle":"","parse-names":false,"suffix":""},{"dropping-particle":"","family":"Friedl","given":"Mark","non-dropping-particle":"","parse-names":false,"suffix":""},{"dropping-particle":"","family":"Sonnentag","given":"Oliver","non-dropping-particle":"","parse-names":false,"suffix":""},{"dropping-particle":"","family":"Braswell","given":"Bobby H","non-dropping-particle":"","parse-names":false,"suffix":""},{"dropping-particle":"","family":"Milliman","given":"Thomas","non-dropping-particle":"","parse-names":false,"suffix":""},{"dropping-particle":"","family":"Richardson","given":"Andrew D","non-dropping-particle":"","parse-names":false,"suffix":""}],"container-title":"Remote Sensing of Environment","id":"ITEM-3","issued":{"date-parts":[["2012","2"]]},"page":"307-321","title":"Linking near-surface and satellite remote sensing measurements of deciduous broadleaf forest phenology","type":"article-journal","volume":"117"},"uris":["http://www.mendeley.com/documents/?uuid=777e765d-190f-342f-b9e0-c236c24ce2f4"]}],"mendeley":{"formattedCitation":"(Hufkens et al., 2012; Richardson et al., 2009, 2007)","plainTextFormattedCitation":"(Hufkens et al., 2012; Richardson et al., 2009, 2007)","previouslyFormattedCitation":"(Hufkens et al., 2012; Richardson et al., 2009, 2007)"},"properties":{"noteIndex":0},"schema":"https://github.com/citation-style-language/schema/raw/master/csl-citation.json"}</w:instrText>
      </w:r>
      <w:r w:rsidR="00661285">
        <w:rPr>
          <w:rFonts w:ascii="Arial" w:eastAsia="Times New Roman" w:hAnsi="Arial" w:cs="Arial"/>
          <w:sz w:val="20"/>
          <w:szCs w:val="20"/>
        </w:rPr>
        <w:fldChar w:fldCharType="separate"/>
      </w:r>
      <w:r w:rsidR="00661285" w:rsidRPr="00AD393D">
        <w:rPr>
          <w:rFonts w:ascii="Arial" w:eastAsia="Times New Roman" w:hAnsi="Arial" w:cs="Arial"/>
          <w:noProof/>
          <w:sz w:val="20"/>
          <w:szCs w:val="20"/>
        </w:rPr>
        <w:t>(Hufkens et al., 2012; Richardson et al., 2009, 2007)</w:t>
      </w:r>
      <w:r w:rsidR="00661285">
        <w:rPr>
          <w:rFonts w:ascii="Arial" w:eastAsia="Times New Roman" w:hAnsi="Arial" w:cs="Arial"/>
          <w:sz w:val="20"/>
          <w:szCs w:val="20"/>
        </w:rPr>
        <w:fldChar w:fldCharType="end"/>
      </w:r>
      <w:r w:rsidR="00661285">
        <w:rPr>
          <w:rFonts w:ascii="Arial" w:eastAsia="Times New Roman" w:hAnsi="Arial" w:cs="Arial"/>
          <w:sz w:val="20"/>
          <w:szCs w:val="20"/>
        </w:rPr>
        <w:t>, we suggest that a substantial measurement footprint can also be achieved using automated DHP</w:t>
      </w:r>
      <w:r w:rsidR="001B3154">
        <w:rPr>
          <w:rFonts w:ascii="Arial" w:eastAsia="Times New Roman" w:hAnsi="Arial" w:cs="Arial"/>
          <w:sz w:val="20"/>
          <w:szCs w:val="20"/>
        </w:rPr>
        <w:t>, particularly when compared to digital cover photography</w:t>
      </w:r>
      <w:r w:rsidR="00434464">
        <w:rPr>
          <w:rFonts w:ascii="Arial" w:eastAsia="Times New Roman" w:hAnsi="Arial" w:cs="Arial"/>
          <w:sz w:val="20"/>
          <w:szCs w:val="20"/>
        </w:rPr>
        <w:t xml:space="preserve"> (Table 3)</w:t>
      </w:r>
      <w:r w:rsidR="00661285">
        <w:rPr>
          <w:rFonts w:ascii="Arial" w:eastAsia="Times New Roman" w:hAnsi="Arial" w:cs="Arial"/>
          <w:sz w:val="20"/>
          <w:szCs w:val="20"/>
        </w:rPr>
        <w:t xml:space="preserve">.  </w:t>
      </w:r>
      <w:r w:rsidR="00510514">
        <w:rPr>
          <w:rFonts w:ascii="Arial" w:eastAsia="Times New Roman" w:hAnsi="Arial" w:cs="Arial"/>
          <w:sz w:val="20"/>
          <w:szCs w:val="20"/>
        </w:rPr>
        <w:t>In addition to providing data at a spatial scale useful to forest managers and ecologists, t</w:t>
      </w:r>
      <w:r w:rsidR="00661285">
        <w:rPr>
          <w:rFonts w:ascii="Arial" w:eastAsia="Times New Roman" w:hAnsi="Arial" w:cs="Arial"/>
          <w:sz w:val="20"/>
          <w:szCs w:val="20"/>
        </w:rPr>
        <w:t xml:space="preserve">his is particularly relevant </w:t>
      </w:r>
      <w:r w:rsidR="006F4867">
        <w:rPr>
          <w:rFonts w:ascii="Arial" w:eastAsia="Times New Roman" w:hAnsi="Arial" w:cs="Arial"/>
          <w:sz w:val="20"/>
          <w:szCs w:val="20"/>
        </w:rPr>
        <w:t>for applications in the validation of</w:t>
      </w:r>
      <w:r w:rsidR="00661285">
        <w:rPr>
          <w:rFonts w:ascii="Arial" w:eastAsia="Times New Roman" w:hAnsi="Arial" w:cs="Arial"/>
          <w:sz w:val="20"/>
          <w:szCs w:val="20"/>
        </w:rPr>
        <w:t xml:space="preserve"> decametric satellite-derived biophysical </w:t>
      </w:r>
      <w:r w:rsidR="00C53C57">
        <w:rPr>
          <w:rFonts w:ascii="Arial" w:eastAsia="Times New Roman" w:hAnsi="Arial" w:cs="Arial"/>
          <w:sz w:val="20"/>
          <w:szCs w:val="20"/>
        </w:rPr>
        <w:t xml:space="preserve">variables </w:t>
      </w:r>
      <w:r w:rsidR="00661285">
        <w:rPr>
          <w:rFonts w:ascii="Arial" w:eastAsia="Times New Roman" w:hAnsi="Arial" w:cs="Arial"/>
          <w:sz w:val="20"/>
          <w:szCs w:val="20"/>
        </w:rPr>
        <w:t>(such as those from the Sentinel-2 missions)</w:t>
      </w:r>
      <w:r w:rsidR="00D87D5D">
        <w:rPr>
          <w:rFonts w:ascii="Arial" w:eastAsia="Times New Roman" w:hAnsi="Arial" w:cs="Arial"/>
          <w:sz w:val="20"/>
          <w:szCs w:val="20"/>
        </w:rPr>
        <w:t xml:space="preserve"> </w:t>
      </w:r>
      <w:r w:rsidR="00D87D5D">
        <w:rPr>
          <w:rFonts w:ascii="Arial" w:eastAsia="Times New Roman" w:hAnsi="Arial" w:cs="Arial"/>
          <w:sz w:val="20"/>
          <w:szCs w:val="20"/>
        </w:rPr>
        <w:fldChar w:fldCharType="begin" w:fldLock="1"/>
      </w:r>
      <w:r w:rsidR="00755433">
        <w:rPr>
          <w:rFonts w:ascii="Arial" w:eastAsia="Times New Roman" w:hAnsi="Arial" w:cs="Arial"/>
          <w:sz w:val="20"/>
          <w:szCs w:val="20"/>
        </w:rPr>
        <w:instrText>ADDIN CSL_CITATION {"citationItems":[{"id":"ITEM-1","itemData":{"DOI":"10.3390/rs11151752","ISSN":"2072-4292","abstract":"Estimates of biophysical and biochemical variables such as leaf area index (LAI) and canopy chlorophyll content (CCC) are a fundamental requirement for effectively monitoring and managing forest environments. With its red-edge bands and high spatial resolution, the Multispectral Instrument (MSI) on board the Sentinel-2 missions is particularly well-suited to LAI and CCC retrieval. Using field data collected throughout the growing season at a deciduous broadleaf forest site in Southern England, we evaluated the performance of two hybrid retrieval algorithms for estimating LAI and CCC from MSI data: the Scattering by Arbitrarily Inclined Leaves (SAIL)-based L2B retrieval algorithm made available to users in the Sentinel Application Platform (SNAP), and an alternative retrieval algorithm optimised for forest environments, trained using the Invertible Forest Reflectance Model (INFORM). Moderate performance was associated with the SNAP L2B retrieval algorithm for both LAI (r2 = 0.54, RMSE = 1.55, NRMSE = 43%) and CCC (r2 = 0.52, RMSE = 0.79 g m−2, NRMSE = 45%), while improvements were obtained using the INFORM-based retrieval algorithm, particularly in the case of LAI (r2 = 0.79, RMSE = 0.47, NRMSE = 13%), but also in the case of CCC (r2 = 0.69, RMSE = 0.52 g m−2, NRMSE = 29%). Forward modelling experiments confirmed INFORM was better able to reproduce observed MSI spectra than SAIL. Based on our results, for forest-related applications using MSI data, we recommend users seek retrieval algorithms optimised for forest environments.","author":[{"dropping-particle":"","family":"Brown","given":"L.A.","non-dropping-particle":"","parse-names":false,"suffix":""},{"dropping-particle":"","family":"Ogutu","given":"B.O.","non-dropping-particle":"","parse-names":false,"suffix":""},{"dropping-particle":"","family":"Dash","given":"J","non-dropping-particle":"","parse-names":false,"suffix":""}],"container-title":"Remote Sensing","id":"ITEM-1","issue":"15","issued":{"date-parts":[["2019","7","25"]]},"page":"1752","title":"Estimating Forest Leaf Area Index and Canopy Chlorophyll Content with Sentinel-2: An Evaluation of Two Hybrid Retrieval Algorithms","type":"article-journal","volume":"11"},"uris":["http://www.mendeley.com/documents/?uuid=0cef3369-d5f5-4dd6-8c57-a0106de3464c"]}],"mendeley":{"formattedCitation":"(Brown et al., 2019)","plainTextFormattedCitation":"(Brown et al., 2019)","previouslyFormattedCitation":"(Brown et al., 2019)"},"properties":{"noteIndex":0},"schema":"https://github.com/citation-style-language/schema/raw/master/csl-citation.json"}</w:instrText>
      </w:r>
      <w:r w:rsidR="00D87D5D">
        <w:rPr>
          <w:rFonts w:ascii="Arial" w:eastAsia="Times New Roman" w:hAnsi="Arial" w:cs="Arial"/>
          <w:sz w:val="20"/>
          <w:szCs w:val="20"/>
        </w:rPr>
        <w:fldChar w:fldCharType="separate"/>
      </w:r>
      <w:r w:rsidR="00D87D5D" w:rsidRPr="00D87D5D">
        <w:rPr>
          <w:rFonts w:ascii="Arial" w:eastAsia="Times New Roman" w:hAnsi="Arial" w:cs="Arial"/>
          <w:noProof/>
          <w:sz w:val="20"/>
          <w:szCs w:val="20"/>
        </w:rPr>
        <w:t>(Brown et al., 2019)</w:t>
      </w:r>
      <w:r w:rsidR="00D87D5D">
        <w:rPr>
          <w:rFonts w:ascii="Arial" w:eastAsia="Times New Roman" w:hAnsi="Arial" w:cs="Arial"/>
          <w:sz w:val="20"/>
          <w:szCs w:val="20"/>
        </w:rPr>
        <w:fldChar w:fldCharType="end"/>
      </w:r>
      <w:r w:rsidR="00661285">
        <w:rPr>
          <w:rFonts w:ascii="Arial" w:eastAsia="Times New Roman" w:hAnsi="Arial" w:cs="Arial"/>
          <w:sz w:val="20"/>
          <w:szCs w:val="20"/>
        </w:rPr>
        <w:t xml:space="preserve">.  In this context, an additional advantage of automated DHP is the ability to derive other relevant </w:t>
      </w:r>
      <w:r w:rsidR="00661285">
        <w:rPr>
          <w:rFonts w:ascii="Arial" w:eastAsia="Times New Roman" w:hAnsi="Arial" w:cs="Arial"/>
          <w:sz w:val="20"/>
          <w:szCs w:val="20"/>
        </w:rPr>
        <w:lastRenderedPageBreak/>
        <w:t xml:space="preserve">biophysical parameters such at the fraction of intercepted photosynthetically active radiation (FIPAR) and the fraction of vegetation cover (FCOVER) </w:t>
      </w:r>
      <w:r w:rsidR="00661285">
        <w:rPr>
          <w:rFonts w:ascii="Arial" w:eastAsia="Times New Roman" w:hAnsi="Arial" w:cs="Arial"/>
          <w:sz w:val="20"/>
          <w:szCs w:val="20"/>
        </w:rPr>
        <w:fldChar w:fldCharType="begin" w:fldLock="1"/>
      </w:r>
      <w:r w:rsidR="00661285">
        <w:rPr>
          <w:rFonts w:ascii="Arial" w:eastAsia="Times New Roman" w:hAnsi="Arial" w:cs="Arial"/>
          <w:sz w:val="20"/>
          <w:szCs w:val="20"/>
        </w:rPr>
        <w:instrText>ADDIN CSL_CITATION {"citationItems":[{"id":"ITEM-1","itemData":{"DOI":"10.3390/rs6054190","ISBN":"2072-4292","ISSN":"2072-4292","abstract":"The OLIVE (On Line Interactive Validation Exercise) platform is dedicated to the validation of global biophysical products such as LAI (Leaf Area Index) and FAPAR (Fraction of Absorbed Photosynthetically Active Radiation). It was developed under the framework of the CEOS (Committee on Earth Observation Satellites) Land Product Validation (LPV) sub-group. OLIVE has three main objectives: (i) to provide a consistent and centralized information on the definition of the biophysical variables, as well as a description of the main available products and their performances (ii) to provide transparency and traceability by an online validation procedure compliant with the CEOS LPV and QA4EO (Quality Assurance for Earth Observation) recommendations (iii) and finally, to provide a tool to benchmark new products, update product validation results and host new ground measurement sites for accuracy assessment. The functionalities and algorithms of OLIVE are described to provide full transparency of its procedures to the community. The validation process and typical results are illustrated for three FAPAR products: GEOV1 (VEGETATION sensor), MGVIo (MERIS sensor) and MODIS collection 5 FPAR. OLIVE is available on the European Space Agency CAL/VAL portal), including full documentation, validation exercise results, and product extracts.","author":[{"dropping-particle":"","family":"Weiss","given":"Marie","non-dropping-particle":"","parse-names":false,"suffix":""},{"dropping-particle":"","family":"Baret","given":"Frédéric","non-dropping-particle":"","parse-names":false,"suffix":""},{"dropping-particle":"","family":"Block","given":"Tom","non-dropping-particle":"","parse-names":false,"suffix":""},{"dropping-particle":"","family":"Koetz","given":"Benjamin","non-dropping-particle":"","parse-names":false,"suffix":""},{"dropping-particle":"","family":"Burini","given":"Alessandro","non-dropping-particle":"","parse-names":false,"suffix":""},{"dropping-particle":"","family":"Scholze","given":"Bettina","non-dropping-particle":"","parse-names":false,"suffix":""},{"dropping-particle":"","family":"Lecharpentier","given":"Patrice","non-dropping-particle":"","parse-names":false,"suffix":""},{"dropping-particle":"","family":"Brockmann","given":"Carsten","non-dropping-particle":"","parse-names":false,"suffix":""},{"dropping-particle":"","family":"Fernandes","given":"Richard","non-dropping-particle":"","parse-names":false,"suffix":""},{"dropping-particle":"","family":"Plummer","given":"Stephen","non-dropping-particle":"","parse-names":false,"suffix":""},{"dropping-particle":"","family":"Myneni","given":"Ranga","non-dropping-particle":"","parse-names":false,"suffix":""},{"dropping-particle":"","family":"Gobron","given":"Nadine","non-dropping-particle":"","parse-names":false,"suffix":""},{"dropping-particle":"","family":"Nightingale","given":"Joanne","non-dropping-particle":"","parse-names":false,"suffix":""},{"dropping-particle":"","family":"Schaepman-Strub","given":"Gabriela","non-dropping-particle":"","parse-names":false,"suffix":""},{"dropping-particle":"","family":"Camacho","given":"Fernando","non-dropping-particle":"","parse-names":false,"suffix":""},{"dropping-particle":"","family":"Sanchez-Azofeifa","given":"Arturo","non-dropping-particle":"","parse-names":false,"suffix":""}],"container-title":"Remote Sensing","id":"ITEM-1","issue":"5","issued":{"date-parts":[["2014","5","5"]]},"page":"4190-4216","title":"On Line Validation Exercise (OLIVE): A Web Based Service for the Validation of Medium Resolution Land Products. Application to FAPAR Products","type":"article-journal","volume":"6"},"uris":["http://www.mendeley.com/documents/?uuid=05361408-570a-3ada-9ddc-4e8c1b329a11"]},{"id":"ITEM-2","itemData":{"DOI":"10.3390/rs71115494","ISSN":"2072-4292","author":[{"dropping-particle":"","family":"Li","given":"Wenjuan","non-dropping-particle":"","parse-names":false,"suffix":""},{"dropping-particle":"","family":"Weiss","given":"Marie","non-dropping-particle":"","parse-names":false,"suffix":""},{"dropping-particle":"","family":"Waldner","given":"Francois","non-dropping-particle":"","parse-names":false,"suffix":""},{"dropping-particle":"","family":"Defourny","given":"Pierre","non-dropping-particle":"","parse-names":false,"suffix":""},{"dropping-particle":"","family":"Demarez","given":"Valerie","non-dropping-particle":"","parse-names":false,"suffix":""},{"dropping-particle":"","family":"Morin","given":"David","non-dropping-particle":"","parse-names":false,"suffix":""},{"dropping-particle":"","family":"Hagolle","given":"Olivier","non-dropping-particle":"","parse-names":false,"suffix":""},{"dropping-particle":"","family":"Baret","given":"Frédéric","non-dropping-particle":"","parse-names":false,"suffix":""}],"container-title":"Remote Sensing","id":"ITEM-2","issue":"12","issued":{"date-parts":[["2015","11","18"]]},"page":"15494-15516","title":"A Generic Algorithm to Estimate LAI, FAPAR and FCOVER Variables from SPOT4_HRVIR and Landsat Sensors: Evaluation of the Consistency and Comparison with Ground Measurements","type":"article-journal","volume":"7"},"uris":["http://www.mendeley.com/documents/?uuid=98e03695-6136-49c3-8bfd-7db22b17e762"]}],"mendeley":{"formattedCitation":"(Li et al., 2015; Weiss et al., 2014)","plainTextFormattedCitation":"(Li et al., 2015; Weiss et al., 2014)","previouslyFormattedCitation":"(Li et al., 2015; Weiss et al., 2014)"},"properties":{"noteIndex":0},"schema":"https://github.com/citation-style-language/schema/raw/master/csl-citation.json"}</w:instrText>
      </w:r>
      <w:r w:rsidR="00661285">
        <w:rPr>
          <w:rFonts w:ascii="Arial" w:eastAsia="Times New Roman" w:hAnsi="Arial" w:cs="Arial"/>
          <w:sz w:val="20"/>
          <w:szCs w:val="20"/>
        </w:rPr>
        <w:fldChar w:fldCharType="separate"/>
      </w:r>
      <w:r w:rsidR="00661285" w:rsidRPr="0050706B">
        <w:rPr>
          <w:rFonts w:ascii="Arial" w:eastAsia="Times New Roman" w:hAnsi="Arial" w:cs="Arial"/>
          <w:noProof/>
          <w:sz w:val="20"/>
          <w:szCs w:val="20"/>
        </w:rPr>
        <w:t>(Li et al., 2015; Weiss et al., 2014)</w:t>
      </w:r>
      <w:r w:rsidR="00661285">
        <w:rPr>
          <w:rFonts w:ascii="Arial" w:eastAsia="Times New Roman" w:hAnsi="Arial" w:cs="Arial"/>
          <w:sz w:val="20"/>
          <w:szCs w:val="20"/>
        </w:rPr>
        <w:fldChar w:fldCharType="end"/>
      </w:r>
      <w:r w:rsidR="00661285">
        <w:rPr>
          <w:rFonts w:ascii="Arial" w:eastAsia="Times New Roman" w:hAnsi="Arial" w:cs="Arial"/>
          <w:sz w:val="20"/>
          <w:szCs w:val="20"/>
        </w:rPr>
        <w:t>.</w:t>
      </w:r>
      <w:r w:rsidR="001D2C42">
        <w:rPr>
          <w:rFonts w:ascii="Arial" w:eastAsia="Times New Roman" w:hAnsi="Arial" w:cs="Arial"/>
          <w:sz w:val="20"/>
          <w:szCs w:val="20"/>
        </w:rPr>
        <w:t xml:space="preserve">  </w:t>
      </w:r>
      <w:r w:rsidR="00E332D3">
        <w:rPr>
          <w:rFonts w:ascii="Arial" w:eastAsia="Times New Roman" w:hAnsi="Arial" w:cs="Arial"/>
          <w:sz w:val="20"/>
          <w:szCs w:val="20"/>
        </w:rPr>
        <w:t>F</w:t>
      </w:r>
      <w:r w:rsidR="00B37106">
        <w:rPr>
          <w:rFonts w:ascii="Arial" w:eastAsia="Times New Roman" w:hAnsi="Arial" w:cs="Arial"/>
          <w:sz w:val="20"/>
          <w:szCs w:val="20"/>
        </w:rPr>
        <w:t xml:space="preserve">uture work could </w:t>
      </w:r>
      <w:r w:rsidR="00E332D3">
        <w:rPr>
          <w:rFonts w:ascii="Arial" w:eastAsia="Times New Roman" w:hAnsi="Arial" w:cs="Arial"/>
          <w:sz w:val="20"/>
          <w:szCs w:val="20"/>
        </w:rPr>
        <w:t xml:space="preserve">also </w:t>
      </w:r>
      <w:r w:rsidR="00B37106">
        <w:rPr>
          <w:rFonts w:ascii="Arial" w:eastAsia="Times New Roman" w:hAnsi="Arial" w:cs="Arial"/>
          <w:sz w:val="20"/>
          <w:szCs w:val="20"/>
        </w:rPr>
        <w:t xml:space="preserve">investigate the feasibility of </w:t>
      </w:r>
      <w:r w:rsidR="00517380">
        <w:rPr>
          <w:rFonts w:ascii="Arial" w:eastAsia="Times New Roman" w:hAnsi="Arial" w:cs="Arial"/>
          <w:sz w:val="20"/>
          <w:szCs w:val="20"/>
        </w:rPr>
        <w:t>estimating green LAI,</w:t>
      </w:r>
      <w:r w:rsidR="00517380" w:rsidRPr="00517380">
        <w:rPr>
          <w:rFonts w:ascii="Arial" w:eastAsia="Times New Roman" w:hAnsi="Arial" w:cs="Arial"/>
          <w:sz w:val="20"/>
          <w:szCs w:val="20"/>
        </w:rPr>
        <w:t xml:space="preserve"> </w:t>
      </w:r>
      <w:r w:rsidR="00517380">
        <w:rPr>
          <w:rFonts w:ascii="Arial" w:eastAsia="Times New Roman" w:hAnsi="Arial" w:cs="Arial"/>
          <w:sz w:val="20"/>
          <w:szCs w:val="20"/>
        </w:rPr>
        <w:t xml:space="preserve">which is more directly related to canopy-scale photosynthesis </w:t>
      </w:r>
      <w:r w:rsidR="00517380">
        <w:rPr>
          <w:rFonts w:ascii="Arial" w:eastAsia="Times New Roman" w:hAnsi="Arial" w:cs="Arial"/>
          <w:sz w:val="20"/>
          <w:szCs w:val="20"/>
        </w:rPr>
        <w:fldChar w:fldCharType="begin" w:fldLock="1"/>
      </w:r>
      <w:r w:rsidR="002901BF">
        <w:rPr>
          <w:rFonts w:ascii="Arial" w:eastAsia="Times New Roman" w:hAnsi="Arial" w:cs="Arial"/>
          <w:sz w:val="20"/>
          <w:szCs w:val="20"/>
        </w:rPr>
        <w:instrText>ADDIN CSL_CITATION {"citationItems":[{"id":"ITEM-1","itemData":{"DOI":"10.1016/j.agrformet.2003.08.001","ISBN":"0168-1923","ISSN":"01681923","PMID":"15","abstract":"The theoretical background of modeling the gap fraction and the leaf inclination distribution is presented and the different techniques used to derive leaf area index (LAI) and leaf inclination angle from gap fraction measurements are reviewed. Their associated assumptions and limitations are discussed, i.e., the clumping effect and the distinction between green and non-green elements within the canopy. Based on LAI measurements in various canopies (various crops and forests), sampling strategy is also discussed. ?? 2003 Elsevier B.V. All rights reserved.","author":[{"dropping-particle":"","family":"Weiss","given":"M","non-dropping-particle":"","parse-names":false,"suffix":""},{"dropping-particle":"","family":"Baret","given":"F","non-dropping-particle":"","parse-names":false,"suffix":""},{"dropping-particle":"","family":"Smith","given":"G.J.","non-dropping-particle":"","parse-names":false,"suffix":""},{"dropping-particle":"","family":"Jonckheere","given":"I","non-dropping-particle":"","parse-names":false,"suffix":""},{"dropping-particle":"","family":"Coppin","given":"P","non-dropping-particle":"","parse-names":false,"suffix":""}],"container-title":"Agricultural and Forest Meteorology","id":"ITEM-1","issue":"1-2","issued":{"date-parts":[["2004","1"]]},"page":"37-53","title":"Review of methods for in situ leaf area index (LAI) determination Part II: Estimation of LAI, errors and sampling","type":"article-journal","volume":"121"},"uris":["http://www.mendeley.com/documents/?uuid=9cd2c067-d1fa-3a33-91b0-ad2b8e00c404"]},{"id":"ITEM-2","itemData":{"DOI":"10.1016/j.rse.2003.12.013","ISSN":"00344257","abstract":"A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Environment","id":"ITEM-2","issue":"3","issued":{"date-parts":[["2004","4","15"]]},"page":"337-352","title":"Hyperspectral vegetation indices and novel algorithms for predicting green LAI of crop canopies: Modeling and validation in the context of precision agriculture","type":"article-journal","volume":"90"},"uris":["http://www.mendeley.com/documents/?uuid=9c528f38-d64d-4d3c-894a-9546403542ca"]},{"id":"ITEM-3","itemData":{"DOI":"10.1016/j.jag.2014.10.001","ISSN":"03032434","abstract":"When crops senescence, leaves remain until they fall off or are harvested. Hence, leaf area index (LAI) stays high even when chlorophyll content degrades to zero. Current LAI approaches from remote sensing techniques are not optimized for estimating LAI of senescent vegetation. In this paper a two-step approach has been proposed to realize simultaneous LAI mapping over green and senescent croplands. The first step separates green from brown LAI by means of a newly proposed index, 'Green Brown Vegetation Index (GBVI)'. This index exploits two shortwave infrared (SWIR) spectral bands centred at 2100 and 2000 nm, which fall right in the dry matter absorption regions, thereby providing positive values for senescent vegetation and negative for green vegetation. The second step involves applying linear regression functions based on optimized vegetation indices to estimate green and brown LAI estimation respectively. While the green LAI index uses a band in the red and a band in the red-edge, the brown LAI index uses bands located in the same spectral region as GBVI, i.e. an absorption band located in the region of maximum absorption of cellulose and lignin at 2154 nm, and a reference band at 1635 nm where the absorption of both water and dry matter is low. The two-step approach was applied to a HyMap image acquired over an agroecosystem at the agricultural site Barrax, Spain.","author":[{"dropping-particle":"","family":"Delegido","given":"Jesús","non-dropping-particle":"","parse-names":false,"suffix":""},{"dropping-particle":"","family":"Verrelst","given":"Jochem","non-dropping-particle":"","parse-names":false,"suffix":""},{"dropping-particle":"","family":"Rivera","given":"Juan P.","non-dropping-particle":"","parse-names":false,"suffix":""},{"dropping-particle":"","family":"Ruiz-Verdú","given":"Antonio","non-dropping-particle":"","parse-names":false,"suffix":""},{"dropping-particle":"","family":"Moreno","given":"José","non-dropping-particle":"","parse-names":false,"suffix":""}],"container-title":"International Journal of Applied Earth Observation and Geoinformation","id":"ITEM-3","issue":"PB","issued":{"date-parts":[["2015","3"]]},"page":"350-358","title":"Brown and green LAI mapping through spectral indices","type":"article-journal","volume":"35"},"uris":["http://www.mendeley.com/documents/?uuid=c55c5a1e-8eb6-44c2-88f8-40109c06f3a7"]}],"mendeley":{"formattedCitation":"(Delegido et al., 2015; Haboudane et al., 2004; Weiss et al., 2004)","plainTextFormattedCitation":"(Delegido et al., 2015; Haboudane et al., 2004; Weiss et al., 2004)","previouslyFormattedCitation":"(Delegido et al., 2015; Haboudane et al., 2004; Weiss et al., 2004)"},"properties":{"noteIndex":0},"schema":"https://github.com/citation-style-language/schema/raw/master/csl-citation.json"}</w:instrText>
      </w:r>
      <w:r w:rsidR="00517380">
        <w:rPr>
          <w:rFonts w:ascii="Arial" w:eastAsia="Times New Roman" w:hAnsi="Arial" w:cs="Arial"/>
          <w:sz w:val="20"/>
          <w:szCs w:val="20"/>
        </w:rPr>
        <w:fldChar w:fldCharType="separate"/>
      </w:r>
      <w:r w:rsidR="00517380" w:rsidRPr="00816205">
        <w:rPr>
          <w:rFonts w:ascii="Arial" w:eastAsia="Times New Roman" w:hAnsi="Arial" w:cs="Arial"/>
          <w:noProof/>
          <w:sz w:val="20"/>
          <w:szCs w:val="20"/>
        </w:rPr>
        <w:t>(Delegido et al., 2015; Haboudane et al., 2004; Weiss et al., 2004)</w:t>
      </w:r>
      <w:r w:rsidR="00517380">
        <w:rPr>
          <w:rFonts w:ascii="Arial" w:eastAsia="Times New Roman" w:hAnsi="Arial" w:cs="Arial"/>
          <w:sz w:val="20"/>
          <w:szCs w:val="20"/>
        </w:rPr>
        <w:fldChar w:fldCharType="end"/>
      </w:r>
      <w:r w:rsidR="00517380">
        <w:rPr>
          <w:rFonts w:ascii="Arial" w:eastAsia="Times New Roman" w:hAnsi="Arial" w:cs="Arial"/>
          <w:sz w:val="20"/>
          <w:szCs w:val="20"/>
        </w:rPr>
        <w:t xml:space="preserve">, by </w:t>
      </w:r>
      <w:r w:rsidR="00B37106">
        <w:rPr>
          <w:rFonts w:ascii="Arial" w:eastAsia="Times New Roman" w:hAnsi="Arial" w:cs="Arial"/>
          <w:sz w:val="20"/>
          <w:szCs w:val="20"/>
        </w:rPr>
        <w:t>exploiting</w:t>
      </w:r>
      <w:r w:rsidR="00816205">
        <w:rPr>
          <w:rFonts w:ascii="Arial" w:eastAsia="Times New Roman" w:hAnsi="Arial" w:cs="Arial"/>
          <w:sz w:val="20"/>
          <w:szCs w:val="20"/>
        </w:rPr>
        <w:t xml:space="preserve"> the</w:t>
      </w:r>
      <w:r w:rsidR="00B37106">
        <w:rPr>
          <w:rFonts w:ascii="Arial" w:eastAsia="Times New Roman" w:hAnsi="Arial" w:cs="Arial"/>
          <w:sz w:val="20"/>
          <w:szCs w:val="20"/>
        </w:rPr>
        <w:t xml:space="preserve"> colour information from above-canopy digital repeat photography in synergy with automated DHP.</w:t>
      </w:r>
    </w:p>
    <w:p w14:paraId="19F40D01" w14:textId="3D8DDD5B" w:rsidR="00D430E7" w:rsidRPr="001B3154" w:rsidRDefault="00D430E7" w:rsidP="00D430E7">
      <w:pPr>
        <w:spacing w:line="240" w:lineRule="auto"/>
        <w:jc w:val="center"/>
        <w:rPr>
          <w:rFonts w:ascii="Arial" w:eastAsia="Times New Roman" w:hAnsi="Arial" w:cs="Arial"/>
          <w:sz w:val="18"/>
          <w:szCs w:val="18"/>
        </w:rPr>
      </w:pPr>
      <w:bookmarkStart w:id="18" w:name="_Hlk27662853"/>
      <w:r>
        <w:rPr>
          <w:rFonts w:ascii="Arial" w:eastAsia="Times New Roman" w:hAnsi="Arial" w:cs="Arial"/>
          <w:sz w:val="18"/>
          <w:szCs w:val="18"/>
        </w:rPr>
        <w:t>Table 3: Approximate measurement footprint achieved by automated DHP and digital cover photography for different canopy heights.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1820"/>
        <w:gridCol w:w="1613"/>
        <w:gridCol w:w="1809"/>
        <w:gridCol w:w="1695"/>
      </w:tblGrid>
      <w:tr w:rsidR="00D430E7" w14:paraId="7F663BB0" w14:textId="77777777" w:rsidTr="00B674A0">
        <w:tc>
          <w:tcPr>
            <w:tcW w:w="2079" w:type="dxa"/>
            <w:tcBorders>
              <w:top w:val="single" w:sz="4" w:space="0" w:color="auto"/>
              <w:bottom w:val="single" w:sz="4" w:space="0" w:color="auto"/>
            </w:tcBorders>
            <w:vAlign w:val="center"/>
          </w:tcPr>
          <w:p w14:paraId="42A38D85" w14:textId="77777777" w:rsidR="00D430E7" w:rsidRDefault="00D430E7" w:rsidP="00B674A0">
            <w:pPr>
              <w:jc w:val="center"/>
              <w:rPr>
                <w:rFonts w:ascii="Arial" w:hAnsi="Arial" w:cs="Arial"/>
                <w:sz w:val="18"/>
                <w:szCs w:val="18"/>
              </w:rPr>
            </w:pPr>
            <w:r>
              <w:rPr>
                <w:rFonts w:ascii="Arial" w:hAnsi="Arial" w:cs="Arial"/>
                <w:sz w:val="18"/>
                <w:szCs w:val="18"/>
              </w:rPr>
              <w:t>Technique</w:t>
            </w:r>
          </w:p>
        </w:tc>
        <w:tc>
          <w:tcPr>
            <w:tcW w:w="1820" w:type="dxa"/>
            <w:tcBorders>
              <w:top w:val="single" w:sz="4" w:space="0" w:color="auto"/>
              <w:bottom w:val="single" w:sz="4" w:space="0" w:color="auto"/>
            </w:tcBorders>
            <w:vAlign w:val="center"/>
          </w:tcPr>
          <w:p w14:paraId="1778FCF6" w14:textId="77777777" w:rsidR="00D430E7" w:rsidRDefault="00D430E7" w:rsidP="00B674A0">
            <w:pPr>
              <w:jc w:val="center"/>
              <w:rPr>
                <w:rFonts w:ascii="Arial" w:hAnsi="Arial" w:cs="Arial"/>
                <w:sz w:val="18"/>
                <w:szCs w:val="18"/>
              </w:rPr>
            </w:pPr>
            <w:r>
              <w:rPr>
                <w:rFonts w:ascii="Arial" w:hAnsi="Arial" w:cs="Arial"/>
                <w:sz w:val="18"/>
                <w:szCs w:val="18"/>
              </w:rPr>
              <w:t>Camera height (m)</w:t>
            </w:r>
          </w:p>
        </w:tc>
        <w:tc>
          <w:tcPr>
            <w:tcW w:w="1613" w:type="dxa"/>
            <w:tcBorders>
              <w:top w:val="single" w:sz="4" w:space="0" w:color="auto"/>
              <w:bottom w:val="single" w:sz="4" w:space="0" w:color="auto"/>
            </w:tcBorders>
            <w:vAlign w:val="center"/>
          </w:tcPr>
          <w:p w14:paraId="178D3473" w14:textId="77777777" w:rsidR="00D430E7" w:rsidRDefault="00D430E7" w:rsidP="00B674A0">
            <w:pPr>
              <w:jc w:val="center"/>
              <w:rPr>
                <w:rFonts w:ascii="Arial" w:hAnsi="Arial" w:cs="Arial"/>
                <w:sz w:val="18"/>
                <w:szCs w:val="18"/>
              </w:rPr>
            </w:pPr>
            <w:r>
              <w:rPr>
                <w:rFonts w:ascii="Arial" w:hAnsi="Arial" w:cs="Arial"/>
                <w:sz w:val="18"/>
                <w:szCs w:val="18"/>
              </w:rPr>
              <w:t>Effective FOV (°)</w:t>
            </w:r>
          </w:p>
        </w:tc>
        <w:tc>
          <w:tcPr>
            <w:tcW w:w="1809" w:type="dxa"/>
            <w:tcBorders>
              <w:top w:val="single" w:sz="4" w:space="0" w:color="auto"/>
              <w:bottom w:val="single" w:sz="4" w:space="0" w:color="auto"/>
            </w:tcBorders>
            <w:vAlign w:val="center"/>
          </w:tcPr>
          <w:p w14:paraId="1F21D368" w14:textId="77777777" w:rsidR="00D430E7" w:rsidRDefault="00D430E7" w:rsidP="00B674A0">
            <w:pPr>
              <w:jc w:val="center"/>
              <w:rPr>
                <w:rFonts w:ascii="Arial" w:hAnsi="Arial" w:cs="Arial"/>
                <w:sz w:val="18"/>
                <w:szCs w:val="18"/>
              </w:rPr>
            </w:pPr>
            <w:r>
              <w:rPr>
                <w:rFonts w:ascii="Arial" w:hAnsi="Arial" w:cs="Arial"/>
                <w:sz w:val="18"/>
                <w:szCs w:val="18"/>
              </w:rPr>
              <w:t>Canopy height (m)</w:t>
            </w:r>
          </w:p>
        </w:tc>
        <w:tc>
          <w:tcPr>
            <w:tcW w:w="1695" w:type="dxa"/>
            <w:tcBorders>
              <w:top w:val="single" w:sz="4" w:space="0" w:color="auto"/>
              <w:bottom w:val="single" w:sz="4" w:space="0" w:color="auto"/>
            </w:tcBorders>
            <w:vAlign w:val="center"/>
          </w:tcPr>
          <w:p w14:paraId="6FB7F606" w14:textId="77777777" w:rsidR="00D430E7" w:rsidRDefault="00D430E7" w:rsidP="00B674A0">
            <w:pPr>
              <w:jc w:val="center"/>
              <w:rPr>
                <w:rFonts w:ascii="Arial" w:hAnsi="Arial" w:cs="Arial"/>
                <w:sz w:val="18"/>
                <w:szCs w:val="18"/>
              </w:rPr>
            </w:pPr>
            <w:r>
              <w:rPr>
                <w:rFonts w:ascii="Arial" w:hAnsi="Arial" w:cs="Arial"/>
                <w:sz w:val="18"/>
                <w:szCs w:val="18"/>
              </w:rPr>
              <w:t>Footprint (m)</w:t>
            </w:r>
          </w:p>
        </w:tc>
      </w:tr>
      <w:tr w:rsidR="00D430E7" w14:paraId="5CE95E2C" w14:textId="77777777" w:rsidTr="00B674A0">
        <w:tc>
          <w:tcPr>
            <w:tcW w:w="2079" w:type="dxa"/>
            <w:vMerge w:val="restart"/>
            <w:tcBorders>
              <w:top w:val="single" w:sz="4" w:space="0" w:color="auto"/>
              <w:bottom w:val="nil"/>
            </w:tcBorders>
            <w:vAlign w:val="center"/>
          </w:tcPr>
          <w:p w14:paraId="100CC45A" w14:textId="77777777" w:rsidR="00D430E7" w:rsidRDefault="00D430E7" w:rsidP="00B674A0">
            <w:pPr>
              <w:jc w:val="center"/>
              <w:rPr>
                <w:rFonts w:ascii="Arial" w:hAnsi="Arial" w:cs="Arial"/>
                <w:sz w:val="18"/>
                <w:szCs w:val="18"/>
              </w:rPr>
            </w:pPr>
            <w:r>
              <w:rPr>
                <w:rFonts w:ascii="Arial" w:hAnsi="Arial" w:cs="Arial"/>
                <w:sz w:val="18"/>
                <w:szCs w:val="18"/>
              </w:rPr>
              <w:t>Automated DHP</w:t>
            </w:r>
          </w:p>
        </w:tc>
        <w:tc>
          <w:tcPr>
            <w:tcW w:w="1820" w:type="dxa"/>
            <w:vMerge w:val="restart"/>
            <w:tcBorders>
              <w:top w:val="single" w:sz="4" w:space="0" w:color="auto"/>
              <w:bottom w:val="nil"/>
            </w:tcBorders>
            <w:vAlign w:val="center"/>
          </w:tcPr>
          <w:p w14:paraId="54D57C72" w14:textId="77777777" w:rsidR="00D430E7" w:rsidRPr="00441AE1" w:rsidRDefault="00D430E7" w:rsidP="00B674A0">
            <w:pPr>
              <w:jc w:val="center"/>
              <w:rPr>
                <w:rFonts w:ascii="Arial" w:hAnsi="Arial" w:cs="Arial"/>
                <w:sz w:val="18"/>
                <w:szCs w:val="18"/>
                <w:vertAlign w:val="superscript"/>
              </w:rPr>
            </w:pPr>
            <w:r>
              <w:rPr>
                <w:rFonts w:ascii="Arial" w:hAnsi="Arial" w:cs="Arial"/>
                <w:sz w:val="18"/>
                <w:szCs w:val="18"/>
              </w:rPr>
              <w:t>2</w:t>
            </w:r>
            <w:r>
              <w:rPr>
                <w:rFonts w:ascii="Arial" w:hAnsi="Arial" w:cs="Arial"/>
                <w:sz w:val="18"/>
                <w:szCs w:val="18"/>
                <w:vertAlign w:val="superscript"/>
              </w:rPr>
              <w:t>a</w:t>
            </w:r>
          </w:p>
        </w:tc>
        <w:tc>
          <w:tcPr>
            <w:tcW w:w="1613" w:type="dxa"/>
            <w:vMerge w:val="restart"/>
            <w:tcBorders>
              <w:top w:val="single" w:sz="4" w:space="0" w:color="auto"/>
              <w:bottom w:val="nil"/>
            </w:tcBorders>
            <w:vAlign w:val="center"/>
          </w:tcPr>
          <w:p w14:paraId="1D1413C2" w14:textId="228507E0" w:rsidR="00D430E7" w:rsidRPr="00441AE1" w:rsidRDefault="00D430E7" w:rsidP="00B674A0">
            <w:pPr>
              <w:jc w:val="center"/>
              <w:rPr>
                <w:rFonts w:ascii="Arial" w:hAnsi="Arial" w:cs="Arial"/>
                <w:sz w:val="18"/>
                <w:szCs w:val="18"/>
                <w:vertAlign w:val="superscript"/>
              </w:rPr>
            </w:pPr>
            <w:r>
              <w:rPr>
                <w:rFonts w:ascii="Arial" w:hAnsi="Arial" w:cs="Arial"/>
                <w:sz w:val="18"/>
                <w:szCs w:val="18"/>
              </w:rPr>
              <w:t>120</w:t>
            </w:r>
            <w:r>
              <w:rPr>
                <w:rFonts w:ascii="Arial" w:hAnsi="Arial" w:cs="Arial"/>
                <w:sz w:val="18"/>
                <w:szCs w:val="18"/>
                <w:vertAlign w:val="superscript"/>
              </w:rPr>
              <w:t>a</w:t>
            </w:r>
          </w:p>
        </w:tc>
        <w:tc>
          <w:tcPr>
            <w:tcW w:w="1809" w:type="dxa"/>
            <w:tcBorders>
              <w:top w:val="single" w:sz="4" w:space="0" w:color="auto"/>
              <w:bottom w:val="nil"/>
            </w:tcBorders>
            <w:vAlign w:val="center"/>
          </w:tcPr>
          <w:p w14:paraId="2646B3FF" w14:textId="77777777" w:rsidR="00D430E7" w:rsidRDefault="00D430E7" w:rsidP="00B674A0">
            <w:pPr>
              <w:jc w:val="center"/>
              <w:rPr>
                <w:rFonts w:ascii="Arial" w:hAnsi="Arial" w:cs="Arial"/>
                <w:sz w:val="18"/>
                <w:szCs w:val="18"/>
              </w:rPr>
            </w:pPr>
            <w:r>
              <w:rPr>
                <w:rFonts w:ascii="Arial" w:hAnsi="Arial" w:cs="Arial"/>
                <w:sz w:val="18"/>
                <w:szCs w:val="18"/>
              </w:rPr>
              <w:t>10</w:t>
            </w:r>
          </w:p>
        </w:tc>
        <w:tc>
          <w:tcPr>
            <w:tcW w:w="1695" w:type="dxa"/>
            <w:tcBorders>
              <w:top w:val="single" w:sz="4" w:space="0" w:color="auto"/>
              <w:bottom w:val="nil"/>
            </w:tcBorders>
            <w:vAlign w:val="center"/>
          </w:tcPr>
          <w:p w14:paraId="01741229" w14:textId="77777777" w:rsidR="00D430E7" w:rsidRDefault="00D430E7" w:rsidP="00B674A0">
            <w:pPr>
              <w:jc w:val="center"/>
              <w:rPr>
                <w:rFonts w:ascii="Arial" w:hAnsi="Arial" w:cs="Arial"/>
                <w:sz w:val="18"/>
                <w:szCs w:val="18"/>
              </w:rPr>
            </w:pPr>
            <w:r>
              <w:rPr>
                <w:rFonts w:ascii="Arial" w:hAnsi="Arial" w:cs="Arial"/>
                <w:sz w:val="18"/>
                <w:szCs w:val="18"/>
              </w:rPr>
              <w:t>28</w:t>
            </w:r>
          </w:p>
        </w:tc>
      </w:tr>
      <w:tr w:rsidR="00D430E7" w14:paraId="3E1522BC" w14:textId="77777777" w:rsidTr="00B674A0">
        <w:tc>
          <w:tcPr>
            <w:tcW w:w="2079" w:type="dxa"/>
            <w:vMerge/>
            <w:tcBorders>
              <w:top w:val="nil"/>
              <w:bottom w:val="nil"/>
            </w:tcBorders>
            <w:vAlign w:val="center"/>
          </w:tcPr>
          <w:p w14:paraId="7FCEAF6C" w14:textId="77777777" w:rsidR="00D430E7" w:rsidRDefault="00D430E7" w:rsidP="00B674A0">
            <w:pPr>
              <w:jc w:val="center"/>
              <w:rPr>
                <w:rFonts w:ascii="Arial" w:hAnsi="Arial" w:cs="Arial"/>
                <w:sz w:val="18"/>
                <w:szCs w:val="18"/>
              </w:rPr>
            </w:pPr>
          </w:p>
        </w:tc>
        <w:tc>
          <w:tcPr>
            <w:tcW w:w="1820" w:type="dxa"/>
            <w:vMerge/>
            <w:tcBorders>
              <w:top w:val="nil"/>
              <w:bottom w:val="nil"/>
            </w:tcBorders>
            <w:vAlign w:val="center"/>
          </w:tcPr>
          <w:p w14:paraId="372CCE0D" w14:textId="77777777" w:rsidR="00D430E7" w:rsidRDefault="00D430E7" w:rsidP="00B674A0">
            <w:pPr>
              <w:jc w:val="center"/>
              <w:rPr>
                <w:rFonts w:ascii="Arial" w:hAnsi="Arial" w:cs="Arial"/>
                <w:sz w:val="18"/>
                <w:szCs w:val="18"/>
              </w:rPr>
            </w:pPr>
          </w:p>
        </w:tc>
        <w:tc>
          <w:tcPr>
            <w:tcW w:w="1613" w:type="dxa"/>
            <w:vMerge/>
            <w:tcBorders>
              <w:top w:val="nil"/>
              <w:bottom w:val="nil"/>
            </w:tcBorders>
            <w:vAlign w:val="center"/>
          </w:tcPr>
          <w:p w14:paraId="4CE9A077" w14:textId="77777777" w:rsidR="00D430E7" w:rsidRDefault="00D430E7" w:rsidP="00B674A0">
            <w:pPr>
              <w:jc w:val="center"/>
              <w:rPr>
                <w:rFonts w:ascii="Arial" w:hAnsi="Arial" w:cs="Arial"/>
                <w:sz w:val="18"/>
                <w:szCs w:val="18"/>
              </w:rPr>
            </w:pPr>
          </w:p>
        </w:tc>
        <w:tc>
          <w:tcPr>
            <w:tcW w:w="1809" w:type="dxa"/>
            <w:tcBorders>
              <w:top w:val="nil"/>
              <w:bottom w:val="nil"/>
            </w:tcBorders>
            <w:vAlign w:val="center"/>
          </w:tcPr>
          <w:p w14:paraId="39BDC39B" w14:textId="77777777" w:rsidR="00D430E7" w:rsidRDefault="00D430E7" w:rsidP="00B674A0">
            <w:pPr>
              <w:jc w:val="center"/>
              <w:rPr>
                <w:rFonts w:ascii="Arial" w:hAnsi="Arial" w:cs="Arial"/>
                <w:sz w:val="18"/>
                <w:szCs w:val="18"/>
              </w:rPr>
            </w:pPr>
            <w:r>
              <w:rPr>
                <w:rFonts w:ascii="Arial" w:hAnsi="Arial" w:cs="Arial"/>
                <w:sz w:val="18"/>
                <w:szCs w:val="18"/>
              </w:rPr>
              <w:t>15</w:t>
            </w:r>
          </w:p>
        </w:tc>
        <w:tc>
          <w:tcPr>
            <w:tcW w:w="1695" w:type="dxa"/>
            <w:tcBorders>
              <w:top w:val="nil"/>
              <w:bottom w:val="nil"/>
            </w:tcBorders>
            <w:vAlign w:val="center"/>
          </w:tcPr>
          <w:p w14:paraId="4005EB00" w14:textId="77777777" w:rsidR="00D430E7" w:rsidRDefault="00D430E7" w:rsidP="00B674A0">
            <w:pPr>
              <w:jc w:val="center"/>
              <w:rPr>
                <w:rFonts w:ascii="Arial" w:hAnsi="Arial" w:cs="Arial"/>
                <w:sz w:val="18"/>
                <w:szCs w:val="18"/>
              </w:rPr>
            </w:pPr>
            <w:r>
              <w:rPr>
                <w:rFonts w:ascii="Arial" w:hAnsi="Arial" w:cs="Arial"/>
                <w:sz w:val="18"/>
                <w:szCs w:val="18"/>
              </w:rPr>
              <w:t>45</w:t>
            </w:r>
          </w:p>
        </w:tc>
      </w:tr>
      <w:tr w:rsidR="00D430E7" w14:paraId="00DDD7AE" w14:textId="77777777" w:rsidTr="00B674A0">
        <w:tc>
          <w:tcPr>
            <w:tcW w:w="2079" w:type="dxa"/>
            <w:vMerge/>
            <w:tcBorders>
              <w:top w:val="nil"/>
              <w:bottom w:val="single" w:sz="4" w:space="0" w:color="auto"/>
            </w:tcBorders>
            <w:vAlign w:val="center"/>
          </w:tcPr>
          <w:p w14:paraId="4BE267EE" w14:textId="77777777" w:rsidR="00D430E7" w:rsidRDefault="00D430E7" w:rsidP="00B674A0">
            <w:pPr>
              <w:jc w:val="center"/>
              <w:rPr>
                <w:rFonts w:ascii="Arial" w:hAnsi="Arial" w:cs="Arial"/>
                <w:sz w:val="18"/>
                <w:szCs w:val="18"/>
              </w:rPr>
            </w:pPr>
          </w:p>
        </w:tc>
        <w:tc>
          <w:tcPr>
            <w:tcW w:w="1820" w:type="dxa"/>
            <w:vMerge/>
            <w:tcBorders>
              <w:top w:val="nil"/>
              <w:bottom w:val="single" w:sz="4" w:space="0" w:color="auto"/>
            </w:tcBorders>
            <w:vAlign w:val="center"/>
          </w:tcPr>
          <w:p w14:paraId="47B9E2F0" w14:textId="77777777" w:rsidR="00D430E7" w:rsidRDefault="00D430E7" w:rsidP="00B674A0">
            <w:pPr>
              <w:jc w:val="center"/>
              <w:rPr>
                <w:rFonts w:ascii="Arial" w:hAnsi="Arial" w:cs="Arial"/>
                <w:sz w:val="18"/>
                <w:szCs w:val="18"/>
              </w:rPr>
            </w:pPr>
          </w:p>
        </w:tc>
        <w:tc>
          <w:tcPr>
            <w:tcW w:w="1613" w:type="dxa"/>
            <w:vMerge/>
            <w:tcBorders>
              <w:top w:val="nil"/>
              <w:bottom w:val="single" w:sz="4" w:space="0" w:color="auto"/>
            </w:tcBorders>
            <w:vAlign w:val="center"/>
          </w:tcPr>
          <w:p w14:paraId="4143E3FC" w14:textId="77777777" w:rsidR="00D430E7" w:rsidRDefault="00D430E7" w:rsidP="00B674A0">
            <w:pPr>
              <w:jc w:val="center"/>
              <w:rPr>
                <w:rFonts w:ascii="Arial" w:hAnsi="Arial" w:cs="Arial"/>
                <w:sz w:val="18"/>
                <w:szCs w:val="18"/>
              </w:rPr>
            </w:pPr>
          </w:p>
        </w:tc>
        <w:tc>
          <w:tcPr>
            <w:tcW w:w="1809" w:type="dxa"/>
            <w:tcBorders>
              <w:top w:val="nil"/>
              <w:bottom w:val="single" w:sz="4" w:space="0" w:color="auto"/>
            </w:tcBorders>
            <w:vAlign w:val="center"/>
          </w:tcPr>
          <w:p w14:paraId="648E095F" w14:textId="77777777" w:rsidR="00D430E7" w:rsidRDefault="00D430E7" w:rsidP="00B674A0">
            <w:pPr>
              <w:jc w:val="center"/>
              <w:rPr>
                <w:rFonts w:ascii="Arial" w:hAnsi="Arial" w:cs="Arial"/>
                <w:sz w:val="18"/>
                <w:szCs w:val="18"/>
              </w:rPr>
            </w:pPr>
            <w:r>
              <w:rPr>
                <w:rFonts w:ascii="Arial" w:hAnsi="Arial" w:cs="Arial"/>
                <w:sz w:val="18"/>
                <w:szCs w:val="18"/>
              </w:rPr>
              <w:t>20</w:t>
            </w:r>
          </w:p>
        </w:tc>
        <w:tc>
          <w:tcPr>
            <w:tcW w:w="1695" w:type="dxa"/>
            <w:tcBorders>
              <w:top w:val="nil"/>
              <w:bottom w:val="single" w:sz="4" w:space="0" w:color="auto"/>
            </w:tcBorders>
            <w:vAlign w:val="center"/>
          </w:tcPr>
          <w:p w14:paraId="380A5EA6" w14:textId="77777777" w:rsidR="00D430E7" w:rsidRDefault="00D430E7" w:rsidP="00B674A0">
            <w:pPr>
              <w:jc w:val="center"/>
              <w:rPr>
                <w:rFonts w:ascii="Arial" w:hAnsi="Arial" w:cs="Arial"/>
                <w:sz w:val="18"/>
                <w:szCs w:val="18"/>
              </w:rPr>
            </w:pPr>
            <w:r>
              <w:rPr>
                <w:rFonts w:ascii="Arial" w:hAnsi="Arial" w:cs="Arial"/>
                <w:sz w:val="18"/>
                <w:szCs w:val="18"/>
              </w:rPr>
              <w:t>62</w:t>
            </w:r>
          </w:p>
        </w:tc>
      </w:tr>
      <w:tr w:rsidR="00D430E7" w14:paraId="1B48196E" w14:textId="77777777" w:rsidTr="00B674A0">
        <w:tc>
          <w:tcPr>
            <w:tcW w:w="2079" w:type="dxa"/>
            <w:vMerge w:val="restart"/>
            <w:tcBorders>
              <w:top w:val="single" w:sz="4" w:space="0" w:color="auto"/>
            </w:tcBorders>
            <w:vAlign w:val="center"/>
          </w:tcPr>
          <w:p w14:paraId="59A7EBBA" w14:textId="77777777" w:rsidR="00D430E7" w:rsidRDefault="00D430E7" w:rsidP="00B674A0">
            <w:pPr>
              <w:jc w:val="center"/>
              <w:rPr>
                <w:rFonts w:ascii="Arial" w:hAnsi="Arial" w:cs="Arial"/>
                <w:sz w:val="18"/>
                <w:szCs w:val="18"/>
              </w:rPr>
            </w:pPr>
            <w:r>
              <w:rPr>
                <w:rFonts w:ascii="Arial" w:hAnsi="Arial" w:cs="Arial"/>
                <w:sz w:val="18"/>
                <w:szCs w:val="18"/>
              </w:rPr>
              <w:t>Digital cover photography</w:t>
            </w:r>
          </w:p>
        </w:tc>
        <w:tc>
          <w:tcPr>
            <w:tcW w:w="1820" w:type="dxa"/>
            <w:vMerge w:val="restart"/>
            <w:tcBorders>
              <w:top w:val="single" w:sz="4" w:space="0" w:color="auto"/>
            </w:tcBorders>
            <w:vAlign w:val="center"/>
          </w:tcPr>
          <w:p w14:paraId="1A0B1D49" w14:textId="77777777" w:rsidR="00D430E7" w:rsidRPr="00441AE1" w:rsidRDefault="00D430E7" w:rsidP="00B674A0">
            <w:pPr>
              <w:jc w:val="center"/>
              <w:rPr>
                <w:rFonts w:ascii="Arial" w:hAnsi="Arial" w:cs="Arial"/>
                <w:sz w:val="18"/>
                <w:szCs w:val="18"/>
              </w:rPr>
            </w:pPr>
            <w:r>
              <w:rPr>
                <w:rFonts w:ascii="Arial" w:hAnsi="Arial" w:cs="Arial"/>
                <w:sz w:val="18"/>
                <w:szCs w:val="18"/>
              </w:rPr>
              <w:t>2</w:t>
            </w:r>
            <w:r>
              <w:rPr>
                <w:rFonts w:ascii="Arial" w:hAnsi="Arial" w:cs="Arial"/>
                <w:sz w:val="18"/>
                <w:szCs w:val="18"/>
                <w:vertAlign w:val="superscript"/>
              </w:rPr>
              <w:t>a</w:t>
            </w:r>
          </w:p>
        </w:tc>
        <w:tc>
          <w:tcPr>
            <w:tcW w:w="1613" w:type="dxa"/>
            <w:vMerge w:val="restart"/>
            <w:tcBorders>
              <w:top w:val="single" w:sz="4" w:space="0" w:color="auto"/>
            </w:tcBorders>
            <w:vAlign w:val="center"/>
          </w:tcPr>
          <w:p w14:paraId="376F28E0" w14:textId="648BE953" w:rsidR="00D430E7" w:rsidRPr="00441AE1" w:rsidRDefault="00D430E7" w:rsidP="00B674A0">
            <w:pPr>
              <w:jc w:val="center"/>
              <w:rPr>
                <w:rFonts w:ascii="Arial" w:hAnsi="Arial" w:cs="Arial"/>
                <w:sz w:val="18"/>
                <w:szCs w:val="18"/>
              </w:rPr>
            </w:pPr>
            <w:r>
              <w:rPr>
                <w:rFonts w:ascii="Arial" w:hAnsi="Arial" w:cs="Arial"/>
                <w:sz w:val="18"/>
                <w:szCs w:val="18"/>
              </w:rPr>
              <w:t>30</w:t>
            </w:r>
            <w:r>
              <w:rPr>
                <w:rFonts w:ascii="Arial" w:hAnsi="Arial" w:cs="Arial"/>
                <w:sz w:val="18"/>
                <w:szCs w:val="18"/>
                <w:vertAlign w:val="superscript"/>
              </w:rPr>
              <w:t>b</w:t>
            </w:r>
          </w:p>
        </w:tc>
        <w:tc>
          <w:tcPr>
            <w:tcW w:w="1809" w:type="dxa"/>
            <w:tcBorders>
              <w:top w:val="single" w:sz="4" w:space="0" w:color="auto"/>
              <w:bottom w:val="nil"/>
            </w:tcBorders>
            <w:vAlign w:val="center"/>
          </w:tcPr>
          <w:p w14:paraId="3E7FEB6C" w14:textId="77777777" w:rsidR="00D430E7" w:rsidRDefault="00D430E7" w:rsidP="00B674A0">
            <w:pPr>
              <w:jc w:val="center"/>
              <w:rPr>
                <w:rFonts w:ascii="Arial" w:hAnsi="Arial" w:cs="Arial"/>
                <w:sz w:val="18"/>
                <w:szCs w:val="18"/>
              </w:rPr>
            </w:pPr>
            <w:r>
              <w:rPr>
                <w:rFonts w:ascii="Arial" w:hAnsi="Arial" w:cs="Arial"/>
                <w:sz w:val="18"/>
                <w:szCs w:val="18"/>
              </w:rPr>
              <w:t>10</w:t>
            </w:r>
          </w:p>
        </w:tc>
        <w:tc>
          <w:tcPr>
            <w:tcW w:w="1695" w:type="dxa"/>
            <w:tcBorders>
              <w:top w:val="single" w:sz="4" w:space="0" w:color="auto"/>
              <w:bottom w:val="nil"/>
            </w:tcBorders>
            <w:vAlign w:val="center"/>
          </w:tcPr>
          <w:p w14:paraId="4C77641A" w14:textId="77777777" w:rsidR="00D430E7" w:rsidRDefault="00D430E7" w:rsidP="00B674A0">
            <w:pPr>
              <w:jc w:val="center"/>
              <w:rPr>
                <w:rFonts w:ascii="Arial" w:hAnsi="Arial" w:cs="Arial"/>
                <w:sz w:val="18"/>
                <w:szCs w:val="18"/>
              </w:rPr>
            </w:pPr>
            <w:r>
              <w:rPr>
                <w:rFonts w:ascii="Arial" w:hAnsi="Arial" w:cs="Arial"/>
                <w:sz w:val="18"/>
                <w:szCs w:val="18"/>
              </w:rPr>
              <w:t>4</w:t>
            </w:r>
          </w:p>
        </w:tc>
      </w:tr>
      <w:tr w:rsidR="00D430E7" w14:paraId="031AC70B" w14:textId="77777777" w:rsidTr="00B674A0">
        <w:tc>
          <w:tcPr>
            <w:tcW w:w="2079" w:type="dxa"/>
            <w:vMerge/>
            <w:vAlign w:val="center"/>
          </w:tcPr>
          <w:p w14:paraId="38045E96" w14:textId="77777777" w:rsidR="00D430E7" w:rsidRDefault="00D430E7" w:rsidP="00B674A0">
            <w:pPr>
              <w:jc w:val="center"/>
              <w:rPr>
                <w:rFonts w:ascii="Arial" w:hAnsi="Arial" w:cs="Arial"/>
                <w:sz w:val="18"/>
                <w:szCs w:val="18"/>
              </w:rPr>
            </w:pPr>
          </w:p>
        </w:tc>
        <w:tc>
          <w:tcPr>
            <w:tcW w:w="1820" w:type="dxa"/>
            <w:vMerge/>
            <w:vAlign w:val="center"/>
          </w:tcPr>
          <w:p w14:paraId="1AAD813A" w14:textId="77777777" w:rsidR="00D430E7" w:rsidRDefault="00D430E7" w:rsidP="00B674A0">
            <w:pPr>
              <w:jc w:val="center"/>
              <w:rPr>
                <w:rFonts w:ascii="Arial" w:hAnsi="Arial" w:cs="Arial"/>
                <w:sz w:val="18"/>
                <w:szCs w:val="18"/>
              </w:rPr>
            </w:pPr>
          </w:p>
        </w:tc>
        <w:tc>
          <w:tcPr>
            <w:tcW w:w="1613" w:type="dxa"/>
            <w:vMerge/>
            <w:vAlign w:val="center"/>
          </w:tcPr>
          <w:p w14:paraId="0D4354A8" w14:textId="77777777" w:rsidR="00D430E7" w:rsidRDefault="00D430E7" w:rsidP="00B674A0">
            <w:pPr>
              <w:jc w:val="center"/>
              <w:rPr>
                <w:rFonts w:ascii="Arial" w:hAnsi="Arial" w:cs="Arial"/>
                <w:sz w:val="18"/>
                <w:szCs w:val="18"/>
              </w:rPr>
            </w:pPr>
          </w:p>
        </w:tc>
        <w:tc>
          <w:tcPr>
            <w:tcW w:w="1809" w:type="dxa"/>
            <w:tcBorders>
              <w:top w:val="nil"/>
            </w:tcBorders>
            <w:vAlign w:val="center"/>
          </w:tcPr>
          <w:p w14:paraId="6B13688D" w14:textId="77777777" w:rsidR="00D430E7" w:rsidRDefault="00D430E7" w:rsidP="00B674A0">
            <w:pPr>
              <w:jc w:val="center"/>
              <w:rPr>
                <w:rFonts w:ascii="Arial" w:hAnsi="Arial" w:cs="Arial"/>
                <w:sz w:val="18"/>
                <w:szCs w:val="18"/>
              </w:rPr>
            </w:pPr>
            <w:r>
              <w:rPr>
                <w:rFonts w:ascii="Arial" w:hAnsi="Arial" w:cs="Arial"/>
                <w:sz w:val="18"/>
                <w:szCs w:val="18"/>
              </w:rPr>
              <w:t>15</w:t>
            </w:r>
          </w:p>
        </w:tc>
        <w:tc>
          <w:tcPr>
            <w:tcW w:w="1695" w:type="dxa"/>
            <w:tcBorders>
              <w:top w:val="nil"/>
            </w:tcBorders>
            <w:vAlign w:val="center"/>
          </w:tcPr>
          <w:p w14:paraId="629ED9EA" w14:textId="77777777" w:rsidR="00D430E7" w:rsidRDefault="00D430E7" w:rsidP="00B674A0">
            <w:pPr>
              <w:jc w:val="center"/>
              <w:rPr>
                <w:rFonts w:ascii="Arial" w:hAnsi="Arial" w:cs="Arial"/>
                <w:sz w:val="18"/>
                <w:szCs w:val="18"/>
              </w:rPr>
            </w:pPr>
            <w:r>
              <w:rPr>
                <w:rFonts w:ascii="Arial" w:hAnsi="Arial" w:cs="Arial"/>
                <w:sz w:val="18"/>
                <w:szCs w:val="18"/>
              </w:rPr>
              <w:t>7</w:t>
            </w:r>
          </w:p>
        </w:tc>
      </w:tr>
      <w:tr w:rsidR="00D430E7" w14:paraId="69595183" w14:textId="77777777" w:rsidTr="00B674A0">
        <w:tc>
          <w:tcPr>
            <w:tcW w:w="2079" w:type="dxa"/>
            <w:vMerge/>
            <w:vAlign w:val="center"/>
          </w:tcPr>
          <w:p w14:paraId="3552AD17" w14:textId="77777777" w:rsidR="00D430E7" w:rsidRDefault="00D430E7" w:rsidP="00B674A0">
            <w:pPr>
              <w:jc w:val="center"/>
              <w:rPr>
                <w:rFonts w:ascii="Arial" w:hAnsi="Arial" w:cs="Arial"/>
                <w:sz w:val="18"/>
                <w:szCs w:val="18"/>
              </w:rPr>
            </w:pPr>
          </w:p>
        </w:tc>
        <w:tc>
          <w:tcPr>
            <w:tcW w:w="1820" w:type="dxa"/>
            <w:vMerge/>
            <w:vAlign w:val="center"/>
          </w:tcPr>
          <w:p w14:paraId="3FC718C2" w14:textId="77777777" w:rsidR="00D430E7" w:rsidRDefault="00D430E7" w:rsidP="00B674A0">
            <w:pPr>
              <w:jc w:val="center"/>
              <w:rPr>
                <w:rFonts w:ascii="Arial" w:hAnsi="Arial" w:cs="Arial"/>
                <w:sz w:val="18"/>
                <w:szCs w:val="18"/>
              </w:rPr>
            </w:pPr>
          </w:p>
        </w:tc>
        <w:tc>
          <w:tcPr>
            <w:tcW w:w="1613" w:type="dxa"/>
            <w:vMerge/>
            <w:vAlign w:val="center"/>
          </w:tcPr>
          <w:p w14:paraId="540DAD4E" w14:textId="77777777" w:rsidR="00D430E7" w:rsidRDefault="00D430E7" w:rsidP="00B674A0">
            <w:pPr>
              <w:jc w:val="center"/>
              <w:rPr>
                <w:rFonts w:ascii="Arial" w:hAnsi="Arial" w:cs="Arial"/>
                <w:sz w:val="18"/>
                <w:szCs w:val="18"/>
              </w:rPr>
            </w:pPr>
          </w:p>
        </w:tc>
        <w:tc>
          <w:tcPr>
            <w:tcW w:w="1809" w:type="dxa"/>
            <w:vAlign w:val="center"/>
          </w:tcPr>
          <w:p w14:paraId="2BBE7995" w14:textId="77777777" w:rsidR="00D430E7" w:rsidRDefault="00D430E7" w:rsidP="00B674A0">
            <w:pPr>
              <w:jc w:val="center"/>
              <w:rPr>
                <w:rFonts w:ascii="Arial" w:hAnsi="Arial" w:cs="Arial"/>
                <w:sz w:val="18"/>
                <w:szCs w:val="18"/>
              </w:rPr>
            </w:pPr>
            <w:r>
              <w:rPr>
                <w:rFonts w:ascii="Arial" w:hAnsi="Arial" w:cs="Arial"/>
                <w:sz w:val="18"/>
                <w:szCs w:val="18"/>
              </w:rPr>
              <w:t>20</w:t>
            </w:r>
          </w:p>
        </w:tc>
        <w:tc>
          <w:tcPr>
            <w:tcW w:w="1695" w:type="dxa"/>
            <w:vAlign w:val="center"/>
          </w:tcPr>
          <w:p w14:paraId="454B005A" w14:textId="77777777" w:rsidR="00D430E7" w:rsidRDefault="00D430E7" w:rsidP="00B674A0">
            <w:pPr>
              <w:jc w:val="center"/>
              <w:rPr>
                <w:rFonts w:ascii="Arial" w:hAnsi="Arial" w:cs="Arial"/>
                <w:sz w:val="18"/>
                <w:szCs w:val="18"/>
              </w:rPr>
            </w:pPr>
            <w:r>
              <w:rPr>
                <w:rFonts w:ascii="Arial" w:hAnsi="Arial" w:cs="Arial"/>
                <w:sz w:val="18"/>
                <w:szCs w:val="18"/>
              </w:rPr>
              <w:t>10</w:t>
            </w:r>
          </w:p>
        </w:tc>
      </w:tr>
    </w:tbl>
    <w:p w14:paraId="795E9357" w14:textId="3BD5573D" w:rsidR="00D430E7" w:rsidRPr="00D430E7" w:rsidRDefault="00D430E7" w:rsidP="00D430E7">
      <w:pPr>
        <w:spacing w:line="240" w:lineRule="auto"/>
        <w:rPr>
          <w:rFonts w:ascii="Arial" w:eastAsia="Times New Roman" w:hAnsi="Arial" w:cs="Arial"/>
          <w:sz w:val="18"/>
          <w:szCs w:val="18"/>
        </w:rPr>
      </w:pPr>
      <w:proofErr w:type="spellStart"/>
      <w:r>
        <w:rPr>
          <w:rFonts w:ascii="Arial" w:eastAsia="Times New Roman" w:hAnsi="Arial" w:cs="Arial"/>
          <w:sz w:val="18"/>
          <w:szCs w:val="18"/>
          <w:vertAlign w:val="superscript"/>
        </w:rPr>
        <w:t>a</w:t>
      </w:r>
      <w:r>
        <w:rPr>
          <w:rFonts w:ascii="Arial" w:eastAsia="Times New Roman" w:hAnsi="Arial" w:cs="Arial"/>
          <w:sz w:val="18"/>
          <w:szCs w:val="18"/>
        </w:rPr>
        <w:t>This</w:t>
      </w:r>
      <w:proofErr w:type="spellEnd"/>
      <w:r>
        <w:rPr>
          <w:rFonts w:ascii="Arial" w:eastAsia="Times New Roman" w:hAnsi="Arial" w:cs="Arial"/>
          <w:sz w:val="18"/>
          <w:szCs w:val="18"/>
        </w:rPr>
        <w:t xml:space="preserve"> study</w:t>
      </w:r>
      <w:r>
        <w:rPr>
          <w:rFonts w:ascii="Arial" w:eastAsia="Times New Roman" w:hAnsi="Arial" w:cs="Arial"/>
          <w:sz w:val="18"/>
          <w:szCs w:val="18"/>
        </w:rPr>
        <w:br/>
      </w:r>
      <w:proofErr w:type="spellStart"/>
      <w:r>
        <w:rPr>
          <w:rFonts w:ascii="Arial" w:eastAsia="Times New Roman" w:hAnsi="Arial" w:cs="Arial"/>
          <w:sz w:val="18"/>
          <w:szCs w:val="18"/>
          <w:vertAlign w:val="superscript"/>
        </w:rPr>
        <w:t>b</w:t>
      </w:r>
      <w:r>
        <w:rPr>
          <w:rFonts w:ascii="Arial" w:eastAsia="Times New Roman" w:hAnsi="Arial" w:cs="Arial"/>
          <w:sz w:val="18"/>
          <w:szCs w:val="18"/>
          <w:vertAlign w:val="superscript"/>
        </w:rPr>
        <w:fldChar w:fldCharType="begin" w:fldLock="1"/>
      </w:r>
      <w:r>
        <w:rPr>
          <w:rFonts w:ascii="Arial" w:eastAsia="Times New Roman" w:hAnsi="Arial" w:cs="Arial"/>
          <w:sz w:val="18"/>
          <w:szCs w:val="18"/>
          <w:vertAlign w:val="superscript"/>
        </w:rPr>
        <w:instrText>ADDIN CSL_CITATION {"citationItems":[{"id":"ITEM-1","itemData":{"DOI":"10.1016/j.agrformet.2012.09.002","ISBN":"0168-1923","ISSN":"01681923","abstract":"Rapid, reliable and meaningful estimates of forest canopy are essential to the characterization of forest ecosystems. In this paper the accuracy of digital hemispherical (DHP) and cover (DCP) photography for the estimation of canopy properties in deciduous forests was evaluated. Leaf area index (LAI) estimated from both these photographic methods and from light transmittance data derived from DHP were compared with direct measurements obtained by litter traps (LAILT) and an AccuPAR ceptometer. Also, comparison with different gap fraction methods used to calculate LAI in DHP and LAI-2000 PCA were performed.We applied these methods in four forest stands of Quercus cerris, two stands of Castanea sativa and four stands of Fagus sylvatica, the most common deciduous species in Italy, where LAILT ranged from 3.9 to 7.3. Both photographic methods provided good indirect estimates of LAILT. The DCP method provided estimates of crown porosity, crown cover, foliage cover and the clumping index at the zenith, but required assumptions about the light extinction coefficient at the zenith (k), to accurately estimate LAI. Cover photography provided good indirect estimates of LAI assuming a spherical leaf angle distribution, even though k appeared to decrease as LAI increased, thus affecting the accuracy of LAI estimates in DCP. In contrast, the accuracy of LAI estimates in DHP appeared insensitive to LAILT values, but the method was sensitive to photographic exposure and more time-consuming than DCP.The studied stands were characterized by higher within-crown clumping than between-crowns clumping; only the segmented analysis of gap fraction for each ring of the fisheye images was found to provide reliable and useful clumping index in DHP. The 1-azimuth segment method employed in PCA poorly detected clumping in dense canopies.The correlation between transmittance estimates by DHP with values measured at noon with the AccuPAR ceptometer was linear and significant, although the variability observed in reference measures suggested that results obtained with the ceptometer should be treated with caution.We conclude both photographic methods are suitable for dense deciduous forests. Cover photography holds great promise as a means to quickly obtain inexpensive estimates of LAI over large areas. However, in situations where no direct reference measurements of . k are available, we recommend using both DHP and DCP, in order to cross-calibrate the two methods; DCP could then be …","author":[{"dropping-particle":"","family":"Chianucci","given":"Francesco","non-dropping-particle":"","parse-names":false,"suffix":""},{"dropping-particle":"","family":"Cutini","given":"Andrea","non-dropping-particle":"","parse-names":false,"suffix":""}],"container-title":"Agricultural and Forest Meteorology","id":"ITEM-1","issued":{"date-parts":[["2013"]]},"page":"130-139","title":"Estimation of canopy properties in deciduous forests with digital hemispherical and cover photography","type":"article-journal","volume":"168"},"uris":["http://www.mendeley.com/documents/?uuid=a3e96063-c545-4711-905e-13a79e7a5919"]},{"id":"ITEM-2","itemData":{"DOI":"10.3390/rs1041298","ISBN":"2072-4292","ISSN":"2072-4292","abstract":"Digital cover photography (DCP) is a high resolution, vertical field-of-view method for ground-based estimation of forest metrics, and has advantages over fisheye sensors owing to its ease of application and high accuracy. We conducted the first thorough technical appraisal of DCP using both single-lens-reflex (DSLR) and point-and-shoot cameras and concluded that differences result primarily from the better quality optics available for the DSLR camera. File compression, image size and ISO equivalence had little or no effect on estimates of forest metrics. We discuss the application of DCP for ground truthing of remotely sensed canopy metrics, and highlight its strengths over fisheye photography for testing and calibration of vertical field-of-view remote sensing.","author":[{"dropping-particle":"","family":"Pekin","given":"Burak","non-dropping-particle":"","parse-names":false,"suffix":""},{"dropping-particle":"","family":"Macfarlane","given":"Craig","non-dropping-particle":"","parse-names":false,"suffix":""}],"container-title":"Remote Sensing","id":"ITEM-2","issue":"4","issued":{"date-parts":[["2009","12","15"]]},"page":"1298-1320","title":"Measurement of Crown Cover and Leaf Area Index Using Digital Cover Photography and Its Application to Remote Sensing","type":"article-journal","volume":"1"},"uris":["http://www.mendeley.com/documents/?uuid=173177ea-7318-30de-8d8b-14fba637f12c"]}],"mendeley":{"formattedCitation":"(Chianucci and Cutini, 2013; Pekin and Macfarlane, 2009)","manualFormatting":"Chianucci and Cutini (2013); Pekin and Macfarlane (2009)","plainTextFormattedCitation":"(Chianucci and Cutini, 2013; Pekin and Macfarlane, 2009)","previouslyFormattedCitation":"(Chianucci and Cutini, 2013; Pekin and Macfarlane, 2009)"},"properties":{"noteIndex":0},"schema":"https://github.com/citation-style-language/schema/raw/master/csl-citation.json"}</w:instrText>
      </w:r>
      <w:r>
        <w:rPr>
          <w:rFonts w:ascii="Arial" w:eastAsia="Times New Roman" w:hAnsi="Arial" w:cs="Arial"/>
          <w:sz w:val="18"/>
          <w:szCs w:val="18"/>
          <w:vertAlign w:val="superscript"/>
        </w:rPr>
        <w:fldChar w:fldCharType="separate"/>
      </w:r>
      <w:r w:rsidRPr="00441AE1">
        <w:rPr>
          <w:rFonts w:ascii="Arial" w:eastAsia="Times New Roman" w:hAnsi="Arial" w:cs="Arial"/>
          <w:noProof/>
          <w:sz w:val="18"/>
          <w:szCs w:val="18"/>
        </w:rPr>
        <w:t>Chianucci</w:t>
      </w:r>
      <w:proofErr w:type="spellEnd"/>
      <w:r w:rsidRPr="00441AE1">
        <w:rPr>
          <w:rFonts w:ascii="Arial" w:eastAsia="Times New Roman" w:hAnsi="Arial" w:cs="Arial"/>
          <w:noProof/>
          <w:sz w:val="18"/>
          <w:szCs w:val="18"/>
        </w:rPr>
        <w:t xml:space="preserve"> and Cutini </w:t>
      </w:r>
      <w:r>
        <w:rPr>
          <w:rFonts w:ascii="Arial" w:eastAsia="Times New Roman" w:hAnsi="Arial" w:cs="Arial"/>
          <w:noProof/>
          <w:sz w:val="18"/>
          <w:szCs w:val="18"/>
        </w:rPr>
        <w:t>(</w:t>
      </w:r>
      <w:r w:rsidRPr="00441AE1">
        <w:rPr>
          <w:rFonts w:ascii="Arial" w:eastAsia="Times New Roman" w:hAnsi="Arial" w:cs="Arial"/>
          <w:noProof/>
          <w:sz w:val="18"/>
          <w:szCs w:val="18"/>
        </w:rPr>
        <w:t>2013</w:t>
      </w:r>
      <w:r>
        <w:rPr>
          <w:rFonts w:ascii="Arial" w:eastAsia="Times New Roman" w:hAnsi="Arial" w:cs="Arial"/>
          <w:noProof/>
          <w:sz w:val="18"/>
          <w:szCs w:val="18"/>
        </w:rPr>
        <w:t>)</w:t>
      </w:r>
      <w:r w:rsidRPr="00441AE1">
        <w:rPr>
          <w:rFonts w:ascii="Arial" w:eastAsia="Times New Roman" w:hAnsi="Arial" w:cs="Arial"/>
          <w:noProof/>
          <w:sz w:val="18"/>
          <w:szCs w:val="18"/>
        </w:rPr>
        <w:t>; Pekin and Macfarlane</w:t>
      </w:r>
      <w:r>
        <w:rPr>
          <w:rFonts w:ascii="Arial" w:eastAsia="Times New Roman" w:hAnsi="Arial" w:cs="Arial"/>
          <w:noProof/>
          <w:sz w:val="18"/>
          <w:szCs w:val="18"/>
        </w:rPr>
        <w:t xml:space="preserve"> (</w:t>
      </w:r>
      <w:r w:rsidRPr="00441AE1">
        <w:rPr>
          <w:rFonts w:ascii="Arial" w:eastAsia="Times New Roman" w:hAnsi="Arial" w:cs="Arial"/>
          <w:noProof/>
          <w:sz w:val="18"/>
          <w:szCs w:val="18"/>
        </w:rPr>
        <w:t>2009)</w:t>
      </w:r>
      <w:r>
        <w:rPr>
          <w:rFonts w:ascii="Arial" w:eastAsia="Times New Roman" w:hAnsi="Arial" w:cs="Arial"/>
          <w:sz w:val="18"/>
          <w:szCs w:val="18"/>
          <w:vertAlign w:val="superscript"/>
        </w:rPr>
        <w:fldChar w:fldCharType="end"/>
      </w:r>
      <w:bookmarkEnd w:id="18"/>
      <w:r>
        <w:rPr>
          <w:rFonts w:ascii="Arial" w:eastAsia="Times New Roman" w:hAnsi="Arial" w:cs="Arial"/>
          <w:sz w:val="18"/>
          <w:szCs w:val="18"/>
          <w:vertAlign w:val="superscript"/>
        </w:rPr>
        <w:br/>
      </w:r>
    </w:p>
    <w:p w14:paraId="2B13353F" w14:textId="3264E7BB" w:rsidR="0055437E" w:rsidRDefault="0055437E" w:rsidP="00407C07">
      <w:pPr>
        <w:spacing w:line="480" w:lineRule="auto"/>
        <w:jc w:val="both"/>
        <w:rPr>
          <w:rFonts w:ascii="Arial" w:eastAsia="Times New Roman" w:hAnsi="Arial" w:cs="Arial"/>
          <w:sz w:val="20"/>
          <w:szCs w:val="20"/>
        </w:rPr>
      </w:pPr>
      <w:r>
        <w:rPr>
          <w:rFonts w:ascii="Arial" w:eastAsia="Times New Roman" w:hAnsi="Arial" w:cs="Arial"/>
          <w:sz w:val="20"/>
          <w:szCs w:val="20"/>
        </w:rPr>
        <w:t xml:space="preserve">Notwithstanding its advantages, </w:t>
      </w:r>
      <w:r w:rsidR="00344D4C">
        <w:rPr>
          <w:rFonts w:ascii="Arial" w:eastAsia="Times New Roman" w:hAnsi="Arial" w:cs="Arial"/>
          <w:sz w:val="20"/>
          <w:szCs w:val="20"/>
        </w:rPr>
        <w:t xml:space="preserve">we acknowledge that </w:t>
      </w:r>
      <w:r>
        <w:rPr>
          <w:rFonts w:ascii="Arial" w:eastAsia="Times New Roman" w:hAnsi="Arial" w:cs="Arial"/>
          <w:sz w:val="20"/>
          <w:szCs w:val="20"/>
        </w:rPr>
        <w:t xml:space="preserve">the deployment of a below-canopy DHP system poses several practical </w:t>
      </w:r>
      <w:r w:rsidR="008155EA">
        <w:rPr>
          <w:rFonts w:ascii="Arial" w:eastAsia="Times New Roman" w:hAnsi="Arial" w:cs="Arial"/>
          <w:sz w:val="20"/>
          <w:szCs w:val="20"/>
        </w:rPr>
        <w:t>challenges.  At sites without a mains supply, power will typically be provided by a photovoltaic panel, necessitating</w:t>
      </w:r>
      <w:r w:rsidR="00DF2B78">
        <w:rPr>
          <w:rFonts w:ascii="Arial" w:eastAsia="Times New Roman" w:hAnsi="Arial" w:cs="Arial"/>
          <w:sz w:val="20"/>
          <w:szCs w:val="20"/>
        </w:rPr>
        <w:t xml:space="preserve"> either a)</w:t>
      </w:r>
      <w:r w:rsidR="008155EA">
        <w:rPr>
          <w:rFonts w:ascii="Arial" w:eastAsia="Times New Roman" w:hAnsi="Arial" w:cs="Arial"/>
          <w:sz w:val="20"/>
          <w:szCs w:val="20"/>
        </w:rPr>
        <w:t xml:space="preserve"> access to a </w:t>
      </w:r>
      <w:r w:rsidR="00DF2B78">
        <w:rPr>
          <w:rFonts w:ascii="Arial" w:eastAsia="Times New Roman" w:hAnsi="Arial" w:cs="Arial"/>
          <w:sz w:val="20"/>
          <w:szCs w:val="20"/>
        </w:rPr>
        <w:t xml:space="preserve">clearing or </w:t>
      </w:r>
      <w:r w:rsidR="008155EA">
        <w:rPr>
          <w:rFonts w:ascii="Arial" w:eastAsia="Times New Roman" w:hAnsi="Arial" w:cs="Arial"/>
          <w:sz w:val="20"/>
          <w:szCs w:val="20"/>
        </w:rPr>
        <w:t>tower</w:t>
      </w:r>
      <w:r w:rsidR="00DF2B78">
        <w:rPr>
          <w:rFonts w:ascii="Arial" w:eastAsia="Times New Roman" w:hAnsi="Arial" w:cs="Arial"/>
          <w:sz w:val="20"/>
          <w:szCs w:val="20"/>
        </w:rPr>
        <w:t>, or b) a large array of photovoltaic panels to make up for their reduced efficiency under shade</w:t>
      </w:r>
      <w:r w:rsidR="008155EA">
        <w:rPr>
          <w:rFonts w:ascii="Arial" w:eastAsia="Times New Roman" w:hAnsi="Arial" w:cs="Arial"/>
          <w:sz w:val="20"/>
          <w:szCs w:val="20"/>
        </w:rPr>
        <w:t>.</w:t>
      </w:r>
      <w:r w:rsidR="00F76AC7">
        <w:rPr>
          <w:rFonts w:ascii="Arial" w:eastAsia="Times New Roman" w:hAnsi="Arial" w:cs="Arial"/>
          <w:sz w:val="20"/>
          <w:szCs w:val="20"/>
        </w:rPr>
        <w:t xml:space="preserve">  </w:t>
      </w:r>
      <w:r w:rsidR="008155EA">
        <w:rPr>
          <w:rFonts w:ascii="Arial" w:eastAsia="Times New Roman" w:hAnsi="Arial" w:cs="Arial"/>
          <w:sz w:val="20"/>
          <w:szCs w:val="20"/>
        </w:rPr>
        <w:t>Additionally, any</w:t>
      </w:r>
      <w:r w:rsidR="00F76AC7">
        <w:rPr>
          <w:rFonts w:ascii="Arial" w:eastAsia="Times New Roman" w:hAnsi="Arial" w:cs="Arial"/>
          <w:sz w:val="20"/>
          <w:szCs w:val="20"/>
        </w:rPr>
        <w:t xml:space="preserve"> system installed below the canopy</w:t>
      </w:r>
      <w:r w:rsidR="00011276">
        <w:rPr>
          <w:rFonts w:ascii="Arial" w:eastAsia="Times New Roman" w:hAnsi="Arial" w:cs="Arial"/>
          <w:sz w:val="20"/>
          <w:szCs w:val="20"/>
        </w:rPr>
        <w:t xml:space="preserve"> (including radiometric sensors and digital cover photography systems)</w:t>
      </w:r>
      <w:r w:rsidR="008155EA">
        <w:rPr>
          <w:rFonts w:ascii="Arial" w:eastAsia="Times New Roman" w:hAnsi="Arial" w:cs="Arial"/>
          <w:sz w:val="20"/>
          <w:szCs w:val="20"/>
        </w:rPr>
        <w:t xml:space="preserve"> </w:t>
      </w:r>
      <w:r w:rsidR="00B95648">
        <w:rPr>
          <w:rFonts w:ascii="Arial" w:eastAsia="Times New Roman" w:hAnsi="Arial" w:cs="Arial"/>
          <w:sz w:val="20"/>
          <w:szCs w:val="20"/>
        </w:rPr>
        <w:t xml:space="preserve">may </w:t>
      </w:r>
      <w:r w:rsidR="00F76AC7">
        <w:rPr>
          <w:rFonts w:ascii="Arial" w:eastAsia="Times New Roman" w:hAnsi="Arial" w:cs="Arial"/>
          <w:sz w:val="20"/>
          <w:szCs w:val="20"/>
        </w:rPr>
        <w:t>be susceptibl</w:t>
      </w:r>
      <w:r w:rsidR="008155EA">
        <w:rPr>
          <w:rFonts w:ascii="Arial" w:eastAsia="Times New Roman" w:hAnsi="Arial" w:cs="Arial"/>
          <w:sz w:val="20"/>
          <w:szCs w:val="20"/>
        </w:rPr>
        <w:t>e to</w:t>
      </w:r>
      <w:r w:rsidR="00F76AC7">
        <w:rPr>
          <w:rFonts w:ascii="Arial" w:eastAsia="Times New Roman" w:hAnsi="Arial" w:cs="Arial"/>
          <w:sz w:val="20"/>
          <w:szCs w:val="20"/>
        </w:rPr>
        <w:t xml:space="preserve"> </w:t>
      </w:r>
      <w:r w:rsidR="008155EA">
        <w:rPr>
          <w:rFonts w:ascii="Arial" w:eastAsia="Times New Roman" w:hAnsi="Arial" w:cs="Arial"/>
          <w:sz w:val="20"/>
          <w:szCs w:val="20"/>
        </w:rPr>
        <w:t>the accumulation of debris.  In areas with cellular coverage, automated file transmission could be adopted</w:t>
      </w:r>
      <w:r w:rsidR="00011276">
        <w:rPr>
          <w:rFonts w:ascii="Arial" w:eastAsia="Times New Roman" w:hAnsi="Arial" w:cs="Arial"/>
          <w:sz w:val="20"/>
          <w:szCs w:val="20"/>
        </w:rPr>
        <w:t xml:space="preserve">, </w:t>
      </w:r>
      <w:r w:rsidR="008155EA">
        <w:rPr>
          <w:rFonts w:ascii="Arial" w:eastAsia="Times New Roman" w:hAnsi="Arial" w:cs="Arial"/>
          <w:sz w:val="20"/>
          <w:szCs w:val="20"/>
        </w:rPr>
        <w:t xml:space="preserve">as in this study, enabling the condition of the system to be </w:t>
      </w:r>
      <w:r w:rsidR="00263E85">
        <w:rPr>
          <w:rFonts w:ascii="Arial" w:eastAsia="Times New Roman" w:hAnsi="Arial" w:cs="Arial"/>
          <w:sz w:val="20"/>
          <w:szCs w:val="20"/>
        </w:rPr>
        <w:t>visually assessed remotely</w:t>
      </w:r>
      <w:r w:rsidR="00011276">
        <w:rPr>
          <w:rFonts w:ascii="Arial" w:eastAsia="Times New Roman" w:hAnsi="Arial" w:cs="Arial"/>
          <w:sz w:val="20"/>
          <w:szCs w:val="20"/>
        </w:rPr>
        <w:t>.  Such an approach</w:t>
      </w:r>
      <w:r w:rsidR="00160858">
        <w:rPr>
          <w:rFonts w:ascii="Arial" w:eastAsia="Times New Roman" w:hAnsi="Arial" w:cs="Arial"/>
          <w:sz w:val="20"/>
          <w:szCs w:val="20"/>
        </w:rPr>
        <w:t xml:space="preserve"> also enables </w:t>
      </w:r>
      <w:r w:rsidR="00263E85">
        <w:rPr>
          <w:rFonts w:ascii="Arial" w:eastAsia="Times New Roman" w:hAnsi="Arial" w:cs="Arial"/>
          <w:sz w:val="20"/>
          <w:szCs w:val="20"/>
        </w:rPr>
        <w:t>monitoring</w:t>
      </w:r>
      <w:r w:rsidR="00160858">
        <w:rPr>
          <w:rFonts w:ascii="Arial" w:eastAsia="Times New Roman" w:hAnsi="Arial" w:cs="Arial"/>
          <w:sz w:val="20"/>
          <w:szCs w:val="20"/>
        </w:rPr>
        <w:t xml:space="preserve"> of battery status, remaining storage capacity, and </w:t>
      </w:r>
      <w:r w:rsidR="00A8278A">
        <w:rPr>
          <w:rFonts w:ascii="Arial" w:eastAsia="Times New Roman" w:hAnsi="Arial" w:cs="Arial"/>
          <w:sz w:val="20"/>
          <w:szCs w:val="20"/>
        </w:rPr>
        <w:t>within-</w:t>
      </w:r>
      <w:r w:rsidR="00160858">
        <w:rPr>
          <w:rFonts w:ascii="Arial" w:eastAsia="Times New Roman" w:hAnsi="Arial" w:cs="Arial"/>
          <w:sz w:val="20"/>
          <w:szCs w:val="20"/>
        </w:rPr>
        <w:t xml:space="preserve">housing </w:t>
      </w:r>
      <w:r w:rsidR="0066697C">
        <w:rPr>
          <w:rFonts w:ascii="Arial" w:eastAsia="Times New Roman" w:hAnsi="Arial" w:cs="Arial"/>
          <w:sz w:val="20"/>
          <w:szCs w:val="20"/>
        </w:rPr>
        <w:t>humidity</w:t>
      </w:r>
      <w:r w:rsidR="00160858">
        <w:rPr>
          <w:rFonts w:ascii="Arial" w:eastAsia="Times New Roman" w:hAnsi="Arial" w:cs="Arial"/>
          <w:sz w:val="20"/>
          <w:szCs w:val="20"/>
        </w:rPr>
        <w:t>/temperature levels,</w:t>
      </w:r>
      <w:r w:rsidR="00011276">
        <w:rPr>
          <w:rFonts w:ascii="Arial" w:eastAsia="Times New Roman" w:hAnsi="Arial" w:cs="Arial"/>
          <w:sz w:val="20"/>
          <w:szCs w:val="20"/>
        </w:rPr>
        <w:t xml:space="preserve"> both reduc</w:t>
      </w:r>
      <w:r w:rsidR="00160858">
        <w:rPr>
          <w:rFonts w:ascii="Arial" w:eastAsia="Times New Roman" w:hAnsi="Arial" w:cs="Arial"/>
          <w:sz w:val="20"/>
          <w:szCs w:val="20"/>
        </w:rPr>
        <w:t>ing</w:t>
      </w:r>
      <w:r w:rsidR="00011276">
        <w:rPr>
          <w:rFonts w:ascii="Arial" w:eastAsia="Times New Roman" w:hAnsi="Arial" w:cs="Arial"/>
          <w:sz w:val="20"/>
          <w:szCs w:val="20"/>
        </w:rPr>
        <w:t xml:space="preserve"> the required frequency of maintenance visits, and enabl</w:t>
      </w:r>
      <w:r w:rsidR="00160858">
        <w:rPr>
          <w:rFonts w:ascii="Arial" w:eastAsia="Times New Roman" w:hAnsi="Arial" w:cs="Arial"/>
          <w:sz w:val="20"/>
          <w:szCs w:val="20"/>
        </w:rPr>
        <w:t>ing</w:t>
      </w:r>
      <w:r w:rsidR="00011276">
        <w:rPr>
          <w:rFonts w:ascii="Arial" w:eastAsia="Times New Roman" w:hAnsi="Arial" w:cs="Arial"/>
          <w:sz w:val="20"/>
          <w:szCs w:val="20"/>
        </w:rPr>
        <w:t xml:space="preserve"> system downtime to be minimised</w:t>
      </w:r>
      <w:r w:rsidR="008155EA">
        <w:rPr>
          <w:rFonts w:ascii="Arial" w:eastAsia="Times New Roman" w:hAnsi="Arial" w:cs="Arial"/>
          <w:sz w:val="20"/>
          <w:szCs w:val="20"/>
        </w:rPr>
        <w:t xml:space="preserve">.  </w:t>
      </w:r>
      <w:r w:rsidR="0069685F">
        <w:rPr>
          <w:rFonts w:ascii="Arial" w:eastAsia="Times New Roman" w:hAnsi="Arial" w:cs="Arial"/>
          <w:sz w:val="20"/>
          <w:szCs w:val="20"/>
        </w:rPr>
        <w:t>In addition to the desiccant used to prevent internal condensation in this study, the adoption</w:t>
      </w:r>
      <w:r w:rsidR="00F76AC7">
        <w:rPr>
          <w:rFonts w:ascii="Arial" w:eastAsia="Times New Roman" w:hAnsi="Arial" w:cs="Arial"/>
          <w:sz w:val="20"/>
          <w:szCs w:val="20"/>
        </w:rPr>
        <w:t xml:space="preserve"> of a low-wattage heating element to prevent lens fogging could also be envisaged, although the associated power requirements might restrict </w:t>
      </w:r>
      <w:r w:rsidR="00011276">
        <w:rPr>
          <w:rFonts w:ascii="Arial" w:eastAsia="Times New Roman" w:hAnsi="Arial" w:cs="Arial"/>
          <w:sz w:val="20"/>
          <w:szCs w:val="20"/>
        </w:rPr>
        <w:t>this</w:t>
      </w:r>
      <w:r w:rsidR="00F76AC7">
        <w:rPr>
          <w:rFonts w:ascii="Arial" w:eastAsia="Times New Roman" w:hAnsi="Arial" w:cs="Arial"/>
          <w:sz w:val="20"/>
          <w:szCs w:val="20"/>
        </w:rPr>
        <w:t xml:space="preserve"> solution to established sites with a mains supply</w:t>
      </w:r>
      <w:r w:rsidR="00011276">
        <w:rPr>
          <w:rFonts w:ascii="Arial" w:eastAsia="Times New Roman" w:hAnsi="Arial" w:cs="Arial"/>
          <w:sz w:val="20"/>
          <w:szCs w:val="20"/>
        </w:rPr>
        <w:t>.</w:t>
      </w:r>
    </w:p>
    <w:p w14:paraId="56C4FD90" w14:textId="601492B2" w:rsidR="00EC182A" w:rsidRDefault="0055437E" w:rsidP="008D6541">
      <w:pPr>
        <w:spacing w:before="240" w:line="480" w:lineRule="auto"/>
        <w:jc w:val="both"/>
        <w:rPr>
          <w:rFonts w:ascii="Arial" w:eastAsia="Times New Roman" w:hAnsi="Arial" w:cs="Arial"/>
          <w:sz w:val="20"/>
          <w:szCs w:val="20"/>
        </w:rPr>
      </w:pPr>
      <w:bookmarkStart w:id="19" w:name="_Hlk27317903"/>
      <w:r>
        <w:rPr>
          <w:rFonts w:ascii="Arial" w:eastAsia="Times New Roman" w:hAnsi="Arial" w:cs="Arial"/>
          <w:sz w:val="20"/>
          <w:szCs w:val="20"/>
        </w:rPr>
        <w:t xml:space="preserve">Since many of the practical considerations pertinent to automated DHP apply to </w:t>
      </w:r>
      <w:r w:rsidR="00011276">
        <w:rPr>
          <w:rFonts w:ascii="Arial" w:eastAsia="Times New Roman" w:hAnsi="Arial" w:cs="Arial"/>
          <w:sz w:val="20"/>
          <w:szCs w:val="20"/>
        </w:rPr>
        <w:t>other near-surface remote sensing techniques</w:t>
      </w:r>
      <w:r w:rsidR="00434464">
        <w:rPr>
          <w:rFonts w:ascii="Arial" w:eastAsia="Times New Roman" w:hAnsi="Arial" w:cs="Arial"/>
          <w:sz w:val="20"/>
          <w:szCs w:val="20"/>
        </w:rPr>
        <w:t>,</w:t>
      </w:r>
      <w:r w:rsidR="001D2C42">
        <w:rPr>
          <w:rFonts w:ascii="Arial" w:eastAsia="Times New Roman" w:hAnsi="Arial" w:cs="Arial"/>
          <w:sz w:val="20"/>
          <w:szCs w:val="20"/>
        </w:rPr>
        <w:t xml:space="preserve"> </w:t>
      </w:r>
      <w:r>
        <w:rPr>
          <w:rFonts w:ascii="Arial" w:eastAsia="Times New Roman" w:hAnsi="Arial" w:cs="Arial"/>
          <w:sz w:val="20"/>
          <w:szCs w:val="20"/>
        </w:rPr>
        <w:t xml:space="preserve">it </w:t>
      </w:r>
      <w:r w:rsidR="001D2C42">
        <w:rPr>
          <w:rFonts w:ascii="Arial" w:eastAsia="Times New Roman" w:hAnsi="Arial" w:cs="Arial"/>
          <w:sz w:val="20"/>
          <w:szCs w:val="20"/>
        </w:rPr>
        <w:t xml:space="preserve">is important to note that </w:t>
      </w:r>
      <w:r w:rsidR="00DA7DEA">
        <w:rPr>
          <w:rFonts w:ascii="Arial" w:eastAsia="Times New Roman" w:hAnsi="Arial" w:cs="Arial"/>
          <w:sz w:val="20"/>
          <w:szCs w:val="20"/>
        </w:rPr>
        <w:t>the cost of an automated DHP system is comparable to that of a standard digital time</w:t>
      </w:r>
      <w:r w:rsidR="00F84319">
        <w:rPr>
          <w:rFonts w:ascii="Arial" w:eastAsia="Times New Roman" w:hAnsi="Arial" w:cs="Arial"/>
          <w:sz w:val="20"/>
          <w:szCs w:val="20"/>
        </w:rPr>
        <w:t>-</w:t>
      </w:r>
      <w:r w:rsidR="00DA7DEA">
        <w:rPr>
          <w:rFonts w:ascii="Arial" w:eastAsia="Times New Roman" w:hAnsi="Arial" w:cs="Arial"/>
          <w:sz w:val="20"/>
          <w:szCs w:val="20"/>
        </w:rPr>
        <w:t>lapse camera</w:t>
      </w:r>
      <w:r>
        <w:rPr>
          <w:rFonts w:ascii="Arial" w:eastAsia="Times New Roman" w:hAnsi="Arial" w:cs="Arial"/>
          <w:sz w:val="20"/>
          <w:szCs w:val="20"/>
        </w:rPr>
        <w:t xml:space="preserve"> (</w:t>
      </w:r>
      <w:r w:rsidR="00E52EC3">
        <w:rPr>
          <w:rFonts w:ascii="Arial" w:eastAsia="Times New Roman" w:hAnsi="Arial" w:cs="Arial"/>
          <w:sz w:val="20"/>
          <w:szCs w:val="20"/>
        </w:rPr>
        <w:t>and substantially less expensive tha</w:t>
      </w:r>
      <w:r w:rsidR="004B1115">
        <w:rPr>
          <w:rFonts w:ascii="Arial" w:eastAsia="Times New Roman" w:hAnsi="Arial" w:cs="Arial"/>
          <w:sz w:val="20"/>
          <w:szCs w:val="20"/>
        </w:rPr>
        <w:t>n</w:t>
      </w:r>
      <w:r w:rsidR="00E52EC3">
        <w:rPr>
          <w:rFonts w:ascii="Arial" w:eastAsia="Times New Roman" w:hAnsi="Arial" w:cs="Arial"/>
          <w:sz w:val="20"/>
          <w:szCs w:val="20"/>
        </w:rPr>
        <w:t xml:space="preserve"> the man-hours and operator training required for manual DHP data </w:t>
      </w:r>
      <w:r w:rsidR="00434464">
        <w:rPr>
          <w:rFonts w:ascii="Arial" w:eastAsia="Times New Roman" w:hAnsi="Arial" w:cs="Arial"/>
          <w:sz w:val="20"/>
          <w:szCs w:val="20"/>
        </w:rPr>
        <w:t>collection</w:t>
      </w:r>
      <w:r>
        <w:rPr>
          <w:rFonts w:ascii="Arial" w:eastAsia="Times New Roman" w:hAnsi="Arial" w:cs="Arial"/>
          <w:sz w:val="20"/>
          <w:szCs w:val="20"/>
        </w:rPr>
        <w:t>)</w:t>
      </w:r>
      <w:r w:rsidR="00DA7DEA">
        <w:rPr>
          <w:rFonts w:ascii="Arial" w:eastAsia="Times New Roman" w:hAnsi="Arial" w:cs="Arial"/>
          <w:sz w:val="20"/>
          <w:szCs w:val="20"/>
        </w:rPr>
        <w:t xml:space="preserve">.  </w:t>
      </w:r>
      <w:r w:rsidR="00E52EC3">
        <w:rPr>
          <w:rFonts w:ascii="Arial" w:eastAsia="Times New Roman" w:hAnsi="Arial" w:cs="Arial"/>
          <w:sz w:val="20"/>
          <w:szCs w:val="20"/>
        </w:rPr>
        <w:t xml:space="preserve">Additionally, </w:t>
      </w:r>
      <w:r w:rsidR="000F793F">
        <w:rPr>
          <w:rFonts w:ascii="Arial" w:eastAsia="Times New Roman" w:hAnsi="Arial" w:cs="Arial"/>
          <w:sz w:val="20"/>
          <w:szCs w:val="20"/>
        </w:rPr>
        <w:t>less expensive</w:t>
      </w:r>
      <w:r w:rsidR="00E52EC3">
        <w:rPr>
          <w:rFonts w:ascii="Arial" w:eastAsia="Times New Roman" w:hAnsi="Arial" w:cs="Arial"/>
          <w:sz w:val="20"/>
          <w:szCs w:val="20"/>
        </w:rPr>
        <w:t xml:space="preserve"> hardware could be adopted</w:t>
      </w:r>
      <w:r w:rsidR="0069685F">
        <w:rPr>
          <w:rFonts w:ascii="Arial" w:eastAsia="Times New Roman" w:hAnsi="Arial" w:cs="Arial"/>
          <w:sz w:val="20"/>
          <w:szCs w:val="20"/>
        </w:rPr>
        <w:t xml:space="preserve"> in future work</w:t>
      </w:r>
      <w:r w:rsidR="00E52EC3">
        <w:rPr>
          <w:rFonts w:ascii="Arial" w:eastAsia="Times New Roman" w:hAnsi="Arial" w:cs="Arial"/>
          <w:sz w:val="20"/>
          <w:szCs w:val="20"/>
        </w:rPr>
        <w:t xml:space="preserve"> without necessarily compromising data quality, particularly </w:t>
      </w:r>
      <w:r w:rsidR="00E52EC3">
        <w:rPr>
          <w:rFonts w:ascii="Arial" w:eastAsia="Times New Roman" w:hAnsi="Arial" w:cs="Arial"/>
          <w:sz w:val="20"/>
          <w:szCs w:val="20"/>
        </w:rPr>
        <w:lastRenderedPageBreak/>
        <w:t>given the</w:t>
      </w:r>
      <w:r w:rsidR="00996B02">
        <w:rPr>
          <w:rFonts w:ascii="Arial" w:eastAsia="Times New Roman" w:hAnsi="Arial" w:cs="Arial"/>
          <w:sz w:val="20"/>
          <w:szCs w:val="20"/>
        </w:rPr>
        <w:t xml:space="preserve"> declining cost and</w:t>
      </w:r>
      <w:r w:rsidR="00E52EC3">
        <w:rPr>
          <w:rFonts w:ascii="Arial" w:eastAsia="Times New Roman" w:hAnsi="Arial" w:cs="Arial"/>
          <w:sz w:val="20"/>
          <w:szCs w:val="20"/>
        </w:rPr>
        <w:t xml:space="preserve"> continued increase in resolution of commercially available digital cameras.  For example,</w:t>
      </w:r>
      <w:r w:rsidR="008F3944">
        <w:rPr>
          <w:rFonts w:ascii="Arial" w:eastAsia="Times New Roman" w:hAnsi="Arial" w:cs="Arial"/>
          <w:sz w:val="20"/>
          <w:szCs w:val="20"/>
        </w:rPr>
        <w:t xml:space="preserve"> </w:t>
      </w:r>
      <w:r w:rsidR="00D51477">
        <w:rPr>
          <w:rFonts w:ascii="Arial" w:eastAsia="Times New Roman" w:hAnsi="Arial" w:cs="Arial"/>
          <w:sz w:val="20"/>
          <w:szCs w:val="20"/>
        </w:rPr>
        <w:fldChar w:fldCharType="begin" w:fldLock="1"/>
      </w:r>
      <w:r w:rsidR="007F215C">
        <w:rPr>
          <w:rFonts w:ascii="Arial" w:eastAsia="Times New Roman" w:hAnsi="Arial" w:cs="Arial"/>
          <w:sz w:val="20"/>
          <w:szCs w:val="20"/>
        </w:rPr>
        <w:instrText>ADDIN CSL_CITATION {"citationItems":[{"id":"ITEM-1","itemData":{"DOI":"10.1016/j.rse.2014.04.015","ISSN":"00344257","abstract":"Emerging near-surface remote sensing techniques have advanced our ability to monitor forest canopy phenology. Thus far, however, little effort has been made to monitor the phenologies of the various canopies of multi-layer forests separately, despite their importance in regulating forest biogeochemical cycles. Here we report phenological changes in multi-layer canopies of deciduous broadleaf and evergreen needleleaf forests in the Republic of Korea during the spring of 2013. We installed light-emitting diode (LED) sensors at four different canopy heights at two sites to measure the normalized difference vegetation index (NDVI) using red and near-infrared (NIR) spectral reflectance and to estimate leaf area index (LAI) using the blue band gap fraction. LED-sensors identified leaf-out dates of over- and understory canopies at both sites; leaves unfolded 8-11days earlier in the understory canopy than the overstory canopy. At the deciduous forest site, LED-NDVI failed to capture the leaf-out date in the overstory canopy, because all four LED-sensors started to see green-up from the understory canopy while the overstory canopy was leafless. LED-LAI identified different leaf-out dates for the over- and understory canopy, because the gap fraction was measured explicitly for each canopy layer. In the evergreen forest site, LED-NDVI signals between the top of the tower and beneath the overstory canopy were decoupled because of the dense evergreen overstory canopy. Both LED-NDVI and LED-LAI identified new needle expansion in the overstory canopy and understory canopy development. MODIS NDVI agreed well with LED-NDVI data (R2=0.96, RMSE=0.04) at the deciduous forest site, and we discovered that understory canopy development determined the onset of greenness based on MODIS NDVI data. LED-LAI data agreed well with independent estimates from the other instruments, indicating that LED-sensors could be used to monitor multi-layer canopy LAI. Continuous, in-situ observation of multi-layer canopy phenology will aid in the interpretation of satellite remote sensing phenology products and improve land surface models that adopt a multi-layer canopy model. © 2014 Elsevier Inc.","author":[{"dropping-particle":"","family":"Ryu","given":"Youngryel","non-dropping-particle":"","parse-names":false,"suffix":""},{"dropping-particle":"","family":"Lee","given":"Galam","non-dropping-particle":"","parse-names":false,"suffix":""},{"dropping-particle":"","family":"Jeon","given":"Soohyun","non-dropping-particle":"","parse-names":false,"suffix":""},{"dropping-particle":"","family":"Song","given":"Youngkeun","non-dropping-particle":"","parse-names":false,"suffix":""},{"dropping-particle":"","family":"Kimm","given":"Hyungsuk","non-dropping-particle":"","parse-names":false,"suffix":""}],"container-title":"Remote Sensing of Environment","id":"ITEM-1","issued":{"date-parts":[["2014","6"]]},"page":"227-238","title":"Monitoring multi-layer canopy spring phenology of temperate deciduous and evergreen forests using low-cost spectral sensors","type":"article-journal","volume":"149"},"uris":["http://www.mendeley.com/documents/?uuid=f517425a-12c7-4eca-adcb-b4376ccddfee"]},{"id":"ITEM-2","itemData":{"DOI":"10.1016/j.agrformet.2010.08.009","ISSN":"01681923","abstract":"We developed and tested the use of light emitting diodes (LEDs) to monitor vegetation reflectance in narrow spectral bands as a tool suitable for quantifying and monitoring ecosystem structure, function and metabolism. LEDs are appealing because they are inexpensive, small and reliable light sources that, when used in reverse mode, can measure spectrally selective radiation. We selected LEDs in red and near-infrared wavebands as they are used to calculate the normalized difference vegetation index (NDVI). The lab experiments revealed that the LEDs showed linear relation with a hyper-spectral spectroradiometer (R2&gt;0.94 and 0.99 for red and NIR, respectively) and marginal sensitivity to temperature. To test the efficacy of this novel sensor, we measured spectral reflectance with LEDs over an annual grassland in California over 3.5 years. The LED-sensor captured daily to interannual variation of the spectral reflectance at the two bands with reliable and stable performance. The spectral reflectance in the two bands and NDVI proved to be useful to identify the leaf-on and leaf-off dates (mean bias errors of 5.3 and 4.2 days, respectively) and to estimate canopy photosynthesis (R2=0.91). We suggest that this novel instrument can monitor other structural and functional (e.g. leaf area index, leaf nitrogen) variables by employing LEDs that have other specific wavelengths bands. Considering that off-the-shelf LEDs cover a wide range of wavebands from the ultraviolet to near-infrared regions, we believe that the research community could explore a range of similar instruments across a range of bands for a variety of ecological applications. © 2010 Elsevier B.V.","author":[{"dropping-particle":"","family":"Ryu","given":"Youngryel","non-dropping-particle":"","parse-names":false,"suffix":""},{"dropping-particle":"","family":"Baldocchi","given":"Dennis D.","non-dropping-particle":"","parse-names":false,"suffix":""},{"dropping-particle":"","family":"Verfaillie","given":"Joseph","non-dropping-particle":"","parse-names":false,"suffix":""},{"dropping-particle":"","family":"Ma","given":"Siyan","non-dropping-particle":"","parse-names":false,"suffix":""},{"dropping-particle":"","family":"Falk","given":"Matthias","non-dropping-particle":"","parse-names":false,"suffix":""},{"dropping-particle":"","family":"Ruiz-Mercado","given":"Ilse","non-dropping-particle":"","parse-names":false,"suffix":""},{"dropping-particle":"","family":"Hehn","given":"Ted","non-dropping-particle":"","parse-names":false,"suffix":""},{"dropping-particle":"","family":"Sonnentag","given":"Oliver","non-dropping-particle":"","parse-names":false,"suffix":""}],"container-title":"Agricultural and Forest Meteorology","id":"ITEM-2","issue":"12","issued":{"date-parts":[["2010","12","15"]]},"page":"1597-1606","publisher":"Elsevier B.V.","title":"Testing the performance of a novel spectral reflectance sensor, built with light emitting diodes (LEDs), to monitor ecosystem metabolism, structure and function","type":"article-journal","volume":"150"},"uris":["http://www.mendeley.com/documents/?uuid=b8435a3c-fb3b-4d5a-9262-0c46339bc2a0"]}],"mendeley":{"formattedCitation":"(Ryu et al., 2014, 2010a)","manualFormatting":"Ryu et al. (2014, 2010a)","plainTextFormattedCitation":"(Ryu et al., 2014, 2010a)","previouslyFormattedCitation":"(Ryu et al., 2014, 2010a)"},"properties":{"noteIndex":0},"schema":"https://github.com/citation-style-language/schema/raw/master/csl-citation.json"}</w:instrText>
      </w:r>
      <w:r w:rsidR="00D51477">
        <w:rPr>
          <w:rFonts w:ascii="Arial" w:eastAsia="Times New Roman" w:hAnsi="Arial" w:cs="Arial"/>
          <w:sz w:val="20"/>
          <w:szCs w:val="20"/>
        </w:rPr>
        <w:fldChar w:fldCharType="separate"/>
      </w:r>
      <w:r w:rsidR="00D51477" w:rsidRPr="00D51477">
        <w:rPr>
          <w:rFonts w:ascii="Arial" w:eastAsia="Times New Roman" w:hAnsi="Arial" w:cs="Arial"/>
          <w:noProof/>
          <w:sz w:val="20"/>
          <w:szCs w:val="20"/>
        </w:rPr>
        <w:t xml:space="preserve">Ryu et al. </w:t>
      </w:r>
      <w:r w:rsidR="00D51477">
        <w:rPr>
          <w:rFonts w:ascii="Arial" w:eastAsia="Times New Roman" w:hAnsi="Arial" w:cs="Arial"/>
          <w:noProof/>
          <w:sz w:val="20"/>
          <w:szCs w:val="20"/>
        </w:rPr>
        <w:t>(</w:t>
      </w:r>
      <w:r w:rsidR="00D51477" w:rsidRPr="00D51477">
        <w:rPr>
          <w:rFonts w:ascii="Arial" w:eastAsia="Times New Roman" w:hAnsi="Arial" w:cs="Arial"/>
          <w:noProof/>
          <w:sz w:val="20"/>
          <w:szCs w:val="20"/>
        </w:rPr>
        <w:t>2014, 2010a)</w:t>
      </w:r>
      <w:r w:rsidR="00D51477">
        <w:rPr>
          <w:rFonts w:ascii="Arial" w:eastAsia="Times New Roman" w:hAnsi="Arial" w:cs="Arial"/>
          <w:sz w:val="20"/>
          <w:szCs w:val="20"/>
        </w:rPr>
        <w:fldChar w:fldCharType="end"/>
      </w:r>
      <w:r w:rsidR="00D51477">
        <w:rPr>
          <w:rFonts w:ascii="Arial" w:eastAsia="Times New Roman" w:hAnsi="Arial" w:cs="Arial"/>
          <w:sz w:val="20"/>
          <w:szCs w:val="20"/>
        </w:rPr>
        <w:t xml:space="preserve"> </w:t>
      </w:r>
      <w:r w:rsidR="000F793F">
        <w:rPr>
          <w:rFonts w:ascii="Arial" w:eastAsia="Times New Roman" w:hAnsi="Arial" w:cs="Arial"/>
          <w:sz w:val="20"/>
          <w:szCs w:val="20"/>
        </w:rPr>
        <w:t>and</w:t>
      </w:r>
      <w:r w:rsidR="00E52EC3">
        <w:rPr>
          <w:rFonts w:ascii="Arial" w:eastAsia="Times New Roman" w:hAnsi="Arial" w:cs="Arial"/>
          <w:sz w:val="20"/>
          <w:szCs w:val="20"/>
        </w:rPr>
        <w:t xml:space="preserve"> </w:t>
      </w:r>
      <w:r w:rsidR="00011276">
        <w:rPr>
          <w:rFonts w:ascii="Arial" w:eastAsia="Times New Roman" w:hAnsi="Arial" w:cs="Arial"/>
          <w:sz w:val="20"/>
          <w:szCs w:val="20"/>
        </w:rPr>
        <w:fldChar w:fldCharType="begin" w:fldLock="1"/>
      </w:r>
      <w:r w:rsidR="00011276">
        <w:rPr>
          <w:rFonts w:ascii="Arial" w:eastAsia="Times New Roman" w:hAnsi="Arial" w:cs="Arial"/>
          <w:sz w:val="20"/>
          <w:szCs w:val="20"/>
        </w:rPr>
        <w:instrText>ADDIN CSL_CITATION {"citationItems":[{"id":"ITEM-1","itemData":{"DOI":"10.1016/j.agrformet.2018.09.014","ISSN":"01681923","author":[{"dropping-particle":"","family":"Kim","given":"Jongmin","non-dropping-particle":"","parse-names":false,"suffix":""},{"dropping-particle":"","family":"Ryu","given":"Youngryel","non-dropping-particle":"","parse-names":false,"suffix":""},{"dropping-particle":"","family":"Jiang","given":"Chongya","non-dropping-particle":"","parse-names":false,"suffix":""},{"dropping-particle":"","family":"Hwang","given":"Yorum","non-dropping-particle":"","parse-names":false,"suffix":""}],"container-title":"Agricultural and Forest Meteorology","id":"ITEM-1","issue":"October 2018","issued":{"date-parts":[["2019"]]},"page":"164-177","publisher":"Elsevier","title":"Continuous observation of vegetation canopy dynamics using an integrated low-cost, near-surface remote sensing system","type":"article-journal","volume":"264"},"uris":["http://www.mendeley.com/documents/?uuid=24a921fa-2afd-4daa-9a94-f4cdaac68c17"]}],"mendeley":{"formattedCitation":"(Kim et al., 2019)","manualFormatting":"Kim et al. (2019)","plainTextFormattedCitation":"(Kim et al., 2019)","previouslyFormattedCitation":"(Kim et al., 2019)"},"properties":{"noteIndex":0},"schema":"https://github.com/citation-style-language/schema/raw/master/csl-citation.json"}</w:instrText>
      </w:r>
      <w:r w:rsidR="00011276">
        <w:rPr>
          <w:rFonts w:ascii="Arial" w:eastAsia="Times New Roman" w:hAnsi="Arial" w:cs="Arial"/>
          <w:sz w:val="20"/>
          <w:szCs w:val="20"/>
        </w:rPr>
        <w:fldChar w:fldCharType="separate"/>
      </w:r>
      <w:r w:rsidR="00011276" w:rsidRPr="003F1F90">
        <w:rPr>
          <w:rFonts w:ascii="Arial" w:eastAsia="Times New Roman" w:hAnsi="Arial" w:cs="Arial"/>
          <w:noProof/>
          <w:sz w:val="20"/>
          <w:szCs w:val="20"/>
        </w:rPr>
        <w:t xml:space="preserve">Kim et al. </w:t>
      </w:r>
      <w:r w:rsidR="00011276">
        <w:rPr>
          <w:rFonts w:ascii="Arial" w:eastAsia="Times New Roman" w:hAnsi="Arial" w:cs="Arial"/>
          <w:noProof/>
          <w:sz w:val="20"/>
          <w:szCs w:val="20"/>
        </w:rPr>
        <w:t>(</w:t>
      </w:r>
      <w:r w:rsidR="00011276" w:rsidRPr="003F1F90">
        <w:rPr>
          <w:rFonts w:ascii="Arial" w:eastAsia="Times New Roman" w:hAnsi="Arial" w:cs="Arial"/>
          <w:noProof/>
          <w:sz w:val="20"/>
          <w:szCs w:val="20"/>
        </w:rPr>
        <w:t>2019)</w:t>
      </w:r>
      <w:r w:rsidR="00011276">
        <w:rPr>
          <w:rFonts w:ascii="Arial" w:eastAsia="Times New Roman" w:hAnsi="Arial" w:cs="Arial"/>
          <w:sz w:val="20"/>
          <w:szCs w:val="20"/>
        </w:rPr>
        <w:fldChar w:fldCharType="end"/>
      </w:r>
      <w:r w:rsidR="00011276">
        <w:rPr>
          <w:rFonts w:ascii="Arial" w:eastAsia="Times New Roman" w:hAnsi="Arial" w:cs="Arial"/>
          <w:sz w:val="20"/>
          <w:szCs w:val="20"/>
        </w:rPr>
        <w:t xml:space="preserve"> </w:t>
      </w:r>
      <w:r w:rsidR="00E52EC3">
        <w:rPr>
          <w:rFonts w:ascii="Arial" w:eastAsia="Times New Roman" w:hAnsi="Arial" w:cs="Arial"/>
          <w:sz w:val="20"/>
          <w:szCs w:val="20"/>
        </w:rPr>
        <w:t>describe near-surface remote sensing system</w:t>
      </w:r>
      <w:r w:rsidR="000F793F">
        <w:rPr>
          <w:rFonts w:ascii="Arial" w:eastAsia="Times New Roman" w:hAnsi="Arial" w:cs="Arial"/>
          <w:sz w:val="20"/>
          <w:szCs w:val="20"/>
        </w:rPr>
        <w:t>s</w:t>
      </w:r>
      <w:r w:rsidR="00E52EC3">
        <w:rPr>
          <w:rFonts w:ascii="Arial" w:eastAsia="Times New Roman" w:hAnsi="Arial" w:cs="Arial"/>
          <w:sz w:val="20"/>
          <w:szCs w:val="20"/>
        </w:rPr>
        <w:t xml:space="preserve"> developed using commodity hardware, and </w:t>
      </w:r>
      <w:r w:rsidR="00996B02">
        <w:rPr>
          <w:rFonts w:ascii="Arial" w:eastAsia="Times New Roman" w:hAnsi="Arial" w:cs="Arial"/>
          <w:sz w:val="20"/>
          <w:szCs w:val="20"/>
        </w:rPr>
        <w:t>it is foreseeable that a similar</w:t>
      </w:r>
      <w:r w:rsidR="00E52EC3">
        <w:rPr>
          <w:rFonts w:ascii="Arial" w:eastAsia="Times New Roman" w:hAnsi="Arial" w:cs="Arial"/>
          <w:sz w:val="20"/>
          <w:szCs w:val="20"/>
        </w:rPr>
        <w:t xml:space="preserve"> approach could be applied to develop a</w:t>
      </w:r>
      <w:r w:rsidR="00996B02">
        <w:rPr>
          <w:rFonts w:ascii="Arial" w:eastAsia="Times New Roman" w:hAnsi="Arial" w:cs="Arial"/>
          <w:sz w:val="20"/>
          <w:szCs w:val="20"/>
        </w:rPr>
        <w:t>n</w:t>
      </w:r>
      <w:r w:rsidR="00E52EC3">
        <w:rPr>
          <w:rFonts w:ascii="Arial" w:eastAsia="Times New Roman" w:hAnsi="Arial" w:cs="Arial"/>
          <w:sz w:val="20"/>
          <w:szCs w:val="20"/>
        </w:rPr>
        <w:t xml:space="preserve"> automated DHP system</w:t>
      </w:r>
      <w:r w:rsidR="00996B02">
        <w:rPr>
          <w:rFonts w:ascii="Arial" w:eastAsia="Times New Roman" w:hAnsi="Arial" w:cs="Arial"/>
          <w:sz w:val="20"/>
          <w:szCs w:val="20"/>
        </w:rPr>
        <w:t xml:space="preserve"> at lower</w:t>
      </w:r>
      <w:r w:rsidR="002E70F1">
        <w:rPr>
          <w:rFonts w:ascii="Arial" w:eastAsia="Times New Roman" w:hAnsi="Arial" w:cs="Arial"/>
          <w:sz w:val="20"/>
          <w:szCs w:val="20"/>
        </w:rPr>
        <w:t xml:space="preserve"> </w:t>
      </w:r>
      <w:r w:rsidR="00996B02">
        <w:rPr>
          <w:rFonts w:ascii="Arial" w:eastAsia="Times New Roman" w:hAnsi="Arial" w:cs="Arial"/>
          <w:sz w:val="20"/>
          <w:szCs w:val="20"/>
        </w:rPr>
        <w:t>cost</w:t>
      </w:r>
      <w:bookmarkEnd w:id="19"/>
      <w:r w:rsidR="00E52EC3">
        <w:rPr>
          <w:rFonts w:ascii="Arial" w:eastAsia="Times New Roman" w:hAnsi="Arial" w:cs="Arial"/>
          <w:sz w:val="20"/>
          <w:szCs w:val="20"/>
        </w:rPr>
        <w:t>.</w:t>
      </w:r>
      <w:r w:rsidR="00775FB8">
        <w:rPr>
          <w:rFonts w:ascii="Arial" w:eastAsia="Times New Roman" w:hAnsi="Arial" w:cs="Arial"/>
          <w:sz w:val="20"/>
          <w:szCs w:val="20"/>
        </w:rPr>
        <w:t xml:space="preserve">  </w:t>
      </w:r>
      <w:proofErr w:type="gramStart"/>
      <w:r w:rsidR="00E52EC3">
        <w:rPr>
          <w:rFonts w:ascii="Arial" w:eastAsia="Times New Roman" w:hAnsi="Arial" w:cs="Arial"/>
          <w:sz w:val="20"/>
          <w:szCs w:val="20"/>
        </w:rPr>
        <w:t xml:space="preserve">In light </w:t>
      </w:r>
      <w:r w:rsidR="00011276">
        <w:rPr>
          <w:rFonts w:ascii="Arial" w:eastAsia="Times New Roman" w:hAnsi="Arial" w:cs="Arial"/>
          <w:sz w:val="20"/>
          <w:szCs w:val="20"/>
        </w:rPr>
        <w:t>of</w:t>
      </w:r>
      <w:proofErr w:type="gramEnd"/>
      <w:r w:rsidR="00011276">
        <w:rPr>
          <w:rFonts w:ascii="Arial" w:eastAsia="Times New Roman" w:hAnsi="Arial" w:cs="Arial"/>
          <w:sz w:val="20"/>
          <w:szCs w:val="20"/>
        </w:rPr>
        <w:t xml:space="preserve"> its advantages</w:t>
      </w:r>
      <w:r w:rsidR="00510514">
        <w:rPr>
          <w:rFonts w:ascii="Arial" w:eastAsia="Times New Roman" w:hAnsi="Arial" w:cs="Arial"/>
          <w:sz w:val="20"/>
          <w:szCs w:val="20"/>
        </w:rPr>
        <w:t>,</w:t>
      </w:r>
      <w:r w:rsidR="00EC182A">
        <w:rPr>
          <w:rFonts w:ascii="Arial" w:eastAsia="Times New Roman" w:hAnsi="Arial" w:cs="Arial"/>
          <w:sz w:val="20"/>
          <w:szCs w:val="20"/>
        </w:rPr>
        <w:t xml:space="preserve"> we recommend </w:t>
      </w:r>
      <w:r w:rsidR="00E52EC3">
        <w:rPr>
          <w:rFonts w:ascii="Arial" w:eastAsia="Times New Roman" w:hAnsi="Arial" w:cs="Arial"/>
          <w:sz w:val="20"/>
          <w:szCs w:val="20"/>
        </w:rPr>
        <w:t xml:space="preserve">further investigation of </w:t>
      </w:r>
      <w:r w:rsidR="00460455">
        <w:rPr>
          <w:rFonts w:ascii="Arial" w:eastAsia="Times New Roman" w:hAnsi="Arial" w:cs="Arial"/>
          <w:sz w:val="20"/>
          <w:szCs w:val="20"/>
        </w:rPr>
        <w:t xml:space="preserve">automated DHP </w:t>
      </w:r>
      <w:r w:rsidR="00EC182A">
        <w:rPr>
          <w:rFonts w:ascii="Arial" w:eastAsia="Times New Roman" w:hAnsi="Arial" w:cs="Arial"/>
          <w:sz w:val="20"/>
          <w:szCs w:val="20"/>
        </w:rPr>
        <w:t xml:space="preserve">as an alternative to </w:t>
      </w:r>
      <w:r w:rsidR="000545D6">
        <w:rPr>
          <w:rFonts w:ascii="Arial" w:eastAsia="Times New Roman" w:hAnsi="Arial" w:cs="Arial"/>
          <w:sz w:val="20"/>
          <w:szCs w:val="20"/>
        </w:rPr>
        <w:t>above-canopy</w:t>
      </w:r>
      <w:r w:rsidR="00EC182A">
        <w:rPr>
          <w:rFonts w:ascii="Arial" w:eastAsia="Times New Roman" w:hAnsi="Arial" w:cs="Arial"/>
          <w:sz w:val="20"/>
          <w:szCs w:val="20"/>
        </w:rPr>
        <w:t xml:space="preserve"> digital repeat photography</w:t>
      </w:r>
      <w:r w:rsidR="006A68C9">
        <w:rPr>
          <w:rFonts w:ascii="Arial" w:eastAsia="Times New Roman" w:hAnsi="Arial" w:cs="Arial"/>
          <w:sz w:val="20"/>
          <w:szCs w:val="20"/>
        </w:rPr>
        <w:t xml:space="preserve"> in forest research</w:t>
      </w:r>
      <w:r w:rsidR="00F83B47">
        <w:rPr>
          <w:rFonts w:ascii="Arial" w:eastAsia="Times New Roman" w:hAnsi="Arial" w:cs="Arial"/>
          <w:sz w:val="20"/>
          <w:szCs w:val="20"/>
        </w:rPr>
        <w:t xml:space="preserve">.  Having tested the approach at a deciduous broadleaf forest site, there is now a need to confirm its applicability to other forest types that present </w:t>
      </w:r>
      <w:r w:rsidR="00DA7DEA">
        <w:rPr>
          <w:rFonts w:ascii="Arial" w:eastAsia="Times New Roman" w:hAnsi="Arial" w:cs="Arial"/>
          <w:sz w:val="20"/>
          <w:szCs w:val="20"/>
        </w:rPr>
        <w:t>additional measurement</w:t>
      </w:r>
      <w:r w:rsidR="00F83B47">
        <w:rPr>
          <w:rFonts w:ascii="Arial" w:eastAsia="Times New Roman" w:hAnsi="Arial" w:cs="Arial"/>
          <w:sz w:val="20"/>
          <w:szCs w:val="20"/>
        </w:rPr>
        <w:t xml:space="preserve"> challenges</w:t>
      </w:r>
      <w:r w:rsidR="00866E1D">
        <w:rPr>
          <w:rFonts w:ascii="Arial" w:eastAsia="Times New Roman" w:hAnsi="Arial" w:cs="Arial"/>
          <w:sz w:val="20"/>
          <w:szCs w:val="20"/>
        </w:rPr>
        <w:t>.</w:t>
      </w:r>
    </w:p>
    <w:p w14:paraId="65578186" w14:textId="77777777" w:rsidR="00BA6FA4" w:rsidRPr="00407C07" w:rsidRDefault="00BA6FA4" w:rsidP="00407C07">
      <w:pPr>
        <w:spacing w:line="480" w:lineRule="auto"/>
        <w:jc w:val="both"/>
        <w:rPr>
          <w:rFonts w:ascii="Arial" w:eastAsia="Times New Roman" w:hAnsi="Arial" w:cs="Arial"/>
          <w:sz w:val="20"/>
          <w:szCs w:val="20"/>
        </w:rPr>
        <w:sectPr w:rsidR="00BA6FA4" w:rsidRPr="00407C07" w:rsidSect="00C660FC">
          <w:pgSz w:w="11907" w:h="16839" w:code="9"/>
          <w:pgMar w:top="1440" w:right="1440" w:bottom="1440" w:left="1440" w:header="708" w:footer="708" w:gutter="0"/>
          <w:lnNumType w:countBy="1" w:restart="continuous"/>
          <w:cols w:space="708"/>
          <w:docGrid w:linePitch="360"/>
        </w:sectPr>
      </w:pPr>
    </w:p>
    <w:p w14:paraId="7AC44809" w14:textId="77777777" w:rsidR="00181D0E" w:rsidRDefault="00D9391F" w:rsidP="00181D0E">
      <w:pPr>
        <w:tabs>
          <w:tab w:val="center" w:pos="4513"/>
        </w:tabs>
        <w:spacing w:line="480" w:lineRule="auto"/>
        <w:jc w:val="both"/>
        <w:rPr>
          <w:rFonts w:ascii="Arial" w:eastAsia="Times New Roman" w:hAnsi="Arial" w:cs="Arial"/>
          <w:b/>
          <w:bCs/>
          <w:sz w:val="20"/>
          <w:szCs w:val="20"/>
        </w:rPr>
      </w:pPr>
      <w:r w:rsidRPr="00D9391F">
        <w:rPr>
          <w:rFonts w:ascii="Arial" w:eastAsia="Times New Roman" w:hAnsi="Arial" w:cs="Arial"/>
          <w:b/>
          <w:bCs/>
          <w:sz w:val="20"/>
          <w:szCs w:val="20"/>
        </w:rPr>
        <w:lastRenderedPageBreak/>
        <w:t>5. Conclusions</w:t>
      </w:r>
    </w:p>
    <w:p w14:paraId="374FC13F" w14:textId="1DBBE0D6" w:rsidR="007B6FF1" w:rsidRDefault="00137B91" w:rsidP="00181D0E">
      <w:pPr>
        <w:tabs>
          <w:tab w:val="center" w:pos="4513"/>
        </w:tabs>
        <w:spacing w:line="480" w:lineRule="auto"/>
        <w:jc w:val="both"/>
        <w:rPr>
          <w:rFonts w:ascii="Arial" w:eastAsia="Times New Roman" w:hAnsi="Arial" w:cs="Arial"/>
          <w:sz w:val="20"/>
          <w:szCs w:val="20"/>
        </w:rPr>
      </w:pPr>
      <w:r>
        <w:rPr>
          <w:rFonts w:ascii="Arial" w:eastAsia="Times New Roman" w:hAnsi="Arial" w:cs="Arial"/>
          <w:sz w:val="20"/>
          <w:szCs w:val="20"/>
        </w:rPr>
        <w:t>Although techniques such as the use of radiometric sensors and digital cover photography have been used for the continuous monitoring of forest</w:t>
      </w:r>
      <w:r w:rsidR="00B24A5F">
        <w:rPr>
          <w:rFonts w:ascii="Arial" w:eastAsia="Times New Roman" w:hAnsi="Arial" w:cs="Arial"/>
          <w:sz w:val="20"/>
          <w:szCs w:val="20"/>
        </w:rPr>
        <w:t xml:space="preserve"> biophysical properties such as LAI</w:t>
      </w:r>
      <w:r>
        <w:rPr>
          <w:rFonts w:ascii="Arial" w:eastAsia="Times New Roman" w:hAnsi="Arial" w:cs="Arial"/>
          <w:sz w:val="20"/>
          <w:szCs w:val="20"/>
        </w:rPr>
        <w:t xml:space="preserve">, several challenges </w:t>
      </w:r>
      <w:r w:rsidR="002131D2">
        <w:rPr>
          <w:rFonts w:ascii="Arial" w:eastAsia="Times New Roman" w:hAnsi="Arial" w:cs="Arial"/>
          <w:sz w:val="20"/>
          <w:szCs w:val="20"/>
        </w:rPr>
        <w:t xml:space="preserve">are </w:t>
      </w:r>
      <w:r>
        <w:rPr>
          <w:rFonts w:ascii="Arial" w:eastAsia="Times New Roman" w:hAnsi="Arial" w:cs="Arial"/>
          <w:sz w:val="20"/>
          <w:szCs w:val="20"/>
        </w:rPr>
        <w:t xml:space="preserve">yet to be </w:t>
      </w:r>
      <w:r w:rsidR="002131D2">
        <w:rPr>
          <w:rFonts w:ascii="Arial" w:eastAsia="Times New Roman" w:hAnsi="Arial" w:cs="Arial"/>
          <w:sz w:val="20"/>
          <w:szCs w:val="20"/>
        </w:rPr>
        <w:t>resolved</w:t>
      </w:r>
      <w:r>
        <w:rPr>
          <w:rFonts w:ascii="Arial" w:eastAsia="Times New Roman" w:hAnsi="Arial" w:cs="Arial"/>
          <w:sz w:val="20"/>
          <w:szCs w:val="20"/>
        </w:rPr>
        <w:t xml:space="preserve">.  In this study, we investigated the use of automated DHP to overcome these challenges.  Our results indicate that automated DHP can accurately track forest LAI at a daily temporal resolution, and that simple data screening approaches can successfully supress noise without </w:t>
      </w:r>
      <w:r w:rsidR="006C5D46">
        <w:rPr>
          <w:rFonts w:ascii="Arial" w:eastAsia="Times New Roman" w:hAnsi="Arial" w:cs="Arial"/>
          <w:sz w:val="20"/>
          <w:szCs w:val="20"/>
        </w:rPr>
        <w:t>manual inspection</w:t>
      </w:r>
      <w:r>
        <w:rPr>
          <w:rFonts w:ascii="Arial" w:eastAsia="Times New Roman" w:hAnsi="Arial" w:cs="Arial"/>
          <w:sz w:val="20"/>
          <w:szCs w:val="20"/>
        </w:rPr>
        <w:t>.</w:t>
      </w:r>
      <w:r w:rsidR="00010E51">
        <w:rPr>
          <w:rFonts w:ascii="Arial" w:eastAsia="Times New Roman" w:hAnsi="Arial" w:cs="Arial"/>
          <w:sz w:val="20"/>
          <w:szCs w:val="20"/>
        </w:rPr>
        <w:t xml:space="preserve"> </w:t>
      </w:r>
      <w:r w:rsidR="00995C62">
        <w:rPr>
          <w:rFonts w:ascii="Arial" w:eastAsia="Times New Roman" w:hAnsi="Arial" w:cs="Arial"/>
          <w:sz w:val="20"/>
          <w:szCs w:val="20"/>
        </w:rPr>
        <w:t xml:space="preserve"> </w:t>
      </w:r>
      <w:r>
        <w:rPr>
          <w:rFonts w:ascii="Arial" w:eastAsia="Times New Roman" w:hAnsi="Arial" w:cs="Arial"/>
          <w:sz w:val="20"/>
          <w:szCs w:val="20"/>
        </w:rPr>
        <w:t xml:space="preserve">When compared to colour indices derived from </w:t>
      </w:r>
      <w:r w:rsidR="00011276">
        <w:rPr>
          <w:rFonts w:ascii="Arial" w:eastAsia="Times New Roman" w:hAnsi="Arial" w:cs="Arial"/>
          <w:sz w:val="20"/>
          <w:szCs w:val="20"/>
        </w:rPr>
        <w:t xml:space="preserve">above-canopy </w:t>
      </w:r>
      <w:r>
        <w:rPr>
          <w:rFonts w:ascii="Arial" w:eastAsia="Times New Roman" w:hAnsi="Arial" w:cs="Arial"/>
          <w:sz w:val="20"/>
          <w:szCs w:val="20"/>
        </w:rPr>
        <w:t xml:space="preserve">digital repeat photography, automated DHP is advantageous in that it provides time-series of LAI itself, making physical interpretation straightforward, whilst also offering a substantial </w:t>
      </w:r>
      <w:r w:rsidR="00C23315">
        <w:rPr>
          <w:rFonts w:ascii="Arial" w:eastAsia="Times New Roman" w:hAnsi="Arial" w:cs="Arial"/>
          <w:sz w:val="20"/>
          <w:szCs w:val="20"/>
        </w:rPr>
        <w:t>measurement footprint</w:t>
      </w:r>
      <w:r>
        <w:rPr>
          <w:rFonts w:ascii="Arial" w:eastAsia="Times New Roman" w:hAnsi="Arial" w:cs="Arial"/>
          <w:sz w:val="20"/>
          <w:szCs w:val="20"/>
        </w:rPr>
        <w:t xml:space="preserve">.  </w:t>
      </w:r>
      <w:r w:rsidR="00B86109">
        <w:rPr>
          <w:rFonts w:ascii="Arial" w:eastAsia="Times New Roman" w:hAnsi="Arial" w:cs="Arial"/>
          <w:sz w:val="20"/>
          <w:szCs w:val="20"/>
        </w:rPr>
        <w:t>Additionally, u</w:t>
      </w:r>
      <w:r w:rsidR="007B6FF1">
        <w:rPr>
          <w:rFonts w:ascii="Arial" w:eastAsia="Times New Roman" w:hAnsi="Arial" w:cs="Arial"/>
          <w:sz w:val="20"/>
          <w:szCs w:val="20"/>
        </w:rPr>
        <w:t>nlike radiometric sensors and digital cover photography</w:t>
      </w:r>
      <w:r>
        <w:rPr>
          <w:rFonts w:ascii="Arial" w:eastAsia="Times New Roman" w:hAnsi="Arial" w:cs="Arial"/>
          <w:sz w:val="20"/>
          <w:szCs w:val="20"/>
        </w:rPr>
        <w:t xml:space="preserve">, above-canopy sensors or </w:t>
      </w:r>
      <w:r w:rsidR="0099349F">
        <w:rPr>
          <w:rFonts w:ascii="Arial" w:eastAsia="Times New Roman" w:hAnsi="Arial" w:cs="Arial"/>
          <w:sz w:val="20"/>
          <w:szCs w:val="20"/>
        </w:rPr>
        <w:t xml:space="preserve">ancillary data </w:t>
      </w:r>
      <w:r>
        <w:rPr>
          <w:rFonts w:ascii="Arial" w:eastAsia="Times New Roman" w:hAnsi="Arial" w:cs="Arial"/>
          <w:sz w:val="20"/>
          <w:szCs w:val="20"/>
        </w:rPr>
        <w:t>on canopy leaf angle distribution are</w:t>
      </w:r>
      <w:r w:rsidR="00B86109">
        <w:rPr>
          <w:rFonts w:ascii="Arial" w:eastAsia="Times New Roman" w:hAnsi="Arial" w:cs="Arial"/>
          <w:sz w:val="20"/>
          <w:szCs w:val="20"/>
        </w:rPr>
        <w:t xml:space="preserve"> not</w:t>
      </w:r>
      <w:r>
        <w:rPr>
          <w:rFonts w:ascii="Arial" w:eastAsia="Times New Roman" w:hAnsi="Arial" w:cs="Arial"/>
          <w:sz w:val="20"/>
          <w:szCs w:val="20"/>
        </w:rPr>
        <w:t xml:space="preserve"> required</w:t>
      </w:r>
      <w:r w:rsidR="007B6FF1">
        <w:rPr>
          <w:rFonts w:ascii="Arial" w:eastAsia="Times New Roman" w:hAnsi="Arial" w:cs="Arial"/>
          <w:sz w:val="20"/>
          <w:szCs w:val="20"/>
        </w:rPr>
        <w:t>.</w:t>
      </w:r>
      <w:r w:rsidR="00010E51">
        <w:rPr>
          <w:rFonts w:ascii="Arial" w:eastAsia="Times New Roman" w:hAnsi="Arial" w:cs="Arial"/>
          <w:sz w:val="20"/>
          <w:szCs w:val="20"/>
        </w:rPr>
        <w:t xml:space="preserve"> </w:t>
      </w:r>
      <w:r w:rsidR="009B743A">
        <w:rPr>
          <w:rFonts w:ascii="Arial" w:eastAsia="Times New Roman" w:hAnsi="Arial" w:cs="Arial"/>
          <w:sz w:val="20"/>
          <w:szCs w:val="20"/>
        </w:rPr>
        <w:t xml:space="preserve"> </w:t>
      </w:r>
      <w:r w:rsidR="007B6FF1">
        <w:rPr>
          <w:rFonts w:ascii="Arial" w:eastAsia="Times New Roman" w:hAnsi="Arial" w:cs="Arial"/>
          <w:sz w:val="20"/>
          <w:szCs w:val="20"/>
        </w:rPr>
        <w:t xml:space="preserve">Using our automated DHP system, we were able to investigate the relationship between colour indices derived from </w:t>
      </w:r>
      <w:r w:rsidR="00011276">
        <w:rPr>
          <w:rFonts w:ascii="Arial" w:eastAsia="Times New Roman" w:hAnsi="Arial" w:cs="Arial"/>
          <w:sz w:val="20"/>
          <w:szCs w:val="20"/>
        </w:rPr>
        <w:t xml:space="preserve">above-canopy </w:t>
      </w:r>
      <w:r w:rsidR="007B6FF1">
        <w:rPr>
          <w:rFonts w:ascii="Arial" w:eastAsia="Times New Roman" w:hAnsi="Arial" w:cs="Arial"/>
          <w:sz w:val="20"/>
          <w:szCs w:val="20"/>
        </w:rPr>
        <w:t xml:space="preserve">digital repeat photography and LAI in greater detail than previously possible.  </w:t>
      </w:r>
      <w:r w:rsidR="007B6FF1" w:rsidRPr="007B6FF1">
        <w:rPr>
          <w:rFonts w:ascii="Arial" w:eastAsia="Times New Roman" w:hAnsi="Arial" w:cs="Arial"/>
          <w:sz w:val="20"/>
          <w:szCs w:val="20"/>
        </w:rPr>
        <w:t xml:space="preserve">Our results </w:t>
      </w:r>
      <w:r w:rsidR="007B6FF1">
        <w:rPr>
          <w:rFonts w:ascii="Arial" w:eastAsia="Times New Roman" w:hAnsi="Arial" w:cs="Arial"/>
          <w:sz w:val="20"/>
          <w:szCs w:val="20"/>
        </w:rPr>
        <w:t xml:space="preserve">reveal that this </w:t>
      </w:r>
      <w:r w:rsidR="007B6FF1" w:rsidRPr="007B6FF1">
        <w:rPr>
          <w:rFonts w:ascii="Arial" w:eastAsia="Times New Roman" w:hAnsi="Arial" w:cs="Arial"/>
          <w:sz w:val="20"/>
          <w:szCs w:val="20"/>
        </w:rPr>
        <w:t>relationship is characterised by</w:t>
      </w:r>
      <w:r w:rsidR="00B86109">
        <w:rPr>
          <w:rFonts w:ascii="Arial" w:eastAsia="Times New Roman" w:hAnsi="Arial" w:cs="Arial"/>
          <w:sz w:val="20"/>
          <w:szCs w:val="20"/>
        </w:rPr>
        <w:t xml:space="preserve"> hysteresis effects</w:t>
      </w:r>
      <w:r w:rsidR="007B6FF1" w:rsidRPr="007B6FF1">
        <w:rPr>
          <w:rFonts w:ascii="Arial" w:eastAsia="Times New Roman" w:hAnsi="Arial" w:cs="Arial"/>
          <w:sz w:val="20"/>
          <w:szCs w:val="20"/>
        </w:rPr>
        <w:t xml:space="preserve"> and</w:t>
      </w:r>
      <w:r w:rsidR="00B86109">
        <w:rPr>
          <w:rFonts w:ascii="Arial" w:eastAsia="Times New Roman" w:hAnsi="Arial" w:cs="Arial"/>
          <w:sz w:val="20"/>
          <w:szCs w:val="20"/>
        </w:rPr>
        <w:t xml:space="preserve"> is highly </w:t>
      </w:r>
      <w:r w:rsidR="007B6FF1">
        <w:rPr>
          <w:rFonts w:ascii="Arial" w:eastAsia="Times New Roman" w:hAnsi="Arial" w:cs="Arial"/>
          <w:sz w:val="20"/>
          <w:szCs w:val="20"/>
        </w:rPr>
        <w:t>d</w:t>
      </w:r>
      <w:r w:rsidR="00B86109">
        <w:rPr>
          <w:rFonts w:ascii="Arial" w:eastAsia="Times New Roman" w:hAnsi="Arial" w:cs="Arial"/>
          <w:sz w:val="20"/>
          <w:szCs w:val="20"/>
        </w:rPr>
        <w:t>ependent</w:t>
      </w:r>
      <w:r w:rsidR="007B6FF1">
        <w:rPr>
          <w:rFonts w:ascii="Arial" w:eastAsia="Times New Roman" w:hAnsi="Arial" w:cs="Arial"/>
          <w:sz w:val="20"/>
          <w:szCs w:val="20"/>
        </w:rPr>
        <w:t xml:space="preserve"> on</w:t>
      </w:r>
      <w:r w:rsidR="007B6FF1" w:rsidRPr="007B6FF1">
        <w:rPr>
          <w:rFonts w:ascii="Arial" w:eastAsia="Times New Roman" w:hAnsi="Arial" w:cs="Arial"/>
          <w:sz w:val="20"/>
          <w:szCs w:val="20"/>
        </w:rPr>
        <w:t xml:space="preserve"> phenological stage</w:t>
      </w:r>
      <w:r w:rsidR="007B6FF1">
        <w:rPr>
          <w:rFonts w:ascii="Arial" w:eastAsia="Times New Roman" w:hAnsi="Arial" w:cs="Arial"/>
          <w:sz w:val="20"/>
          <w:szCs w:val="20"/>
        </w:rPr>
        <w:t xml:space="preserve">.  </w:t>
      </w:r>
      <w:r w:rsidR="00B86109">
        <w:rPr>
          <w:rFonts w:ascii="Arial" w:eastAsia="Times New Roman" w:hAnsi="Arial" w:cs="Arial"/>
          <w:sz w:val="20"/>
          <w:szCs w:val="20"/>
        </w:rPr>
        <w:t>The complexity of this relationship makes it</w:t>
      </w:r>
      <w:r w:rsidR="007B6FF1">
        <w:rPr>
          <w:rFonts w:ascii="Arial" w:eastAsia="Times New Roman" w:hAnsi="Arial" w:cs="Arial"/>
          <w:sz w:val="20"/>
          <w:szCs w:val="20"/>
        </w:rPr>
        <w:t xml:space="preserve"> challenging to link transition dates derived from colour indices to any one </w:t>
      </w:r>
      <w:r w:rsidR="00011276">
        <w:rPr>
          <w:rFonts w:ascii="Arial" w:eastAsia="Times New Roman" w:hAnsi="Arial" w:cs="Arial"/>
          <w:sz w:val="20"/>
          <w:szCs w:val="20"/>
        </w:rPr>
        <w:t>biophysical property</w:t>
      </w:r>
      <w:r w:rsidR="007B6FF1">
        <w:rPr>
          <w:rFonts w:ascii="Arial" w:eastAsia="Times New Roman" w:hAnsi="Arial" w:cs="Arial"/>
          <w:sz w:val="20"/>
          <w:szCs w:val="20"/>
        </w:rPr>
        <w:t xml:space="preserve">.  </w:t>
      </w:r>
      <w:r w:rsidR="00A86492">
        <w:rPr>
          <w:rFonts w:ascii="Arial" w:eastAsia="Times New Roman" w:hAnsi="Arial" w:cs="Arial"/>
          <w:sz w:val="20"/>
          <w:szCs w:val="20"/>
        </w:rPr>
        <w:t>Given its advantages and comparable cost</w:t>
      </w:r>
      <w:r w:rsidR="00B86109">
        <w:rPr>
          <w:rFonts w:ascii="Arial" w:eastAsia="Times New Roman" w:hAnsi="Arial" w:cs="Arial"/>
          <w:sz w:val="20"/>
          <w:szCs w:val="20"/>
        </w:rPr>
        <w:t>, we</w:t>
      </w:r>
      <w:r w:rsidR="007B6FF1">
        <w:rPr>
          <w:rFonts w:ascii="Arial" w:eastAsia="Times New Roman" w:hAnsi="Arial" w:cs="Arial"/>
          <w:sz w:val="20"/>
          <w:szCs w:val="20"/>
        </w:rPr>
        <w:t xml:space="preserve"> </w:t>
      </w:r>
      <w:r w:rsidR="007B6FF1" w:rsidRPr="007B6FF1">
        <w:rPr>
          <w:rFonts w:ascii="Arial" w:eastAsia="Times New Roman" w:hAnsi="Arial" w:cs="Arial"/>
          <w:sz w:val="20"/>
          <w:szCs w:val="20"/>
        </w:rPr>
        <w:t>recomm</w:t>
      </w:r>
      <w:r w:rsidR="00B86109">
        <w:rPr>
          <w:rFonts w:ascii="Arial" w:eastAsia="Times New Roman" w:hAnsi="Arial" w:cs="Arial"/>
          <w:sz w:val="20"/>
          <w:szCs w:val="20"/>
        </w:rPr>
        <w:t>end the automated DHP approach</w:t>
      </w:r>
      <w:r w:rsidR="003F1F90">
        <w:rPr>
          <w:rFonts w:ascii="Arial" w:eastAsia="Times New Roman" w:hAnsi="Arial" w:cs="Arial"/>
          <w:sz w:val="20"/>
          <w:szCs w:val="20"/>
        </w:rPr>
        <w:t xml:space="preserve"> is further investigated</w:t>
      </w:r>
      <w:r w:rsidR="00B86109">
        <w:rPr>
          <w:rFonts w:ascii="Arial" w:eastAsia="Times New Roman" w:hAnsi="Arial" w:cs="Arial"/>
          <w:sz w:val="20"/>
          <w:szCs w:val="20"/>
        </w:rPr>
        <w:t xml:space="preserve"> </w:t>
      </w:r>
      <w:r w:rsidR="007B6FF1" w:rsidRPr="007B6FF1">
        <w:rPr>
          <w:rFonts w:ascii="Arial" w:eastAsia="Times New Roman" w:hAnsi="Arial" w:cs="Arial"/>
          <w:sz w:val="20"/>
          <w:szCs w:val="20"/>
        </w:rPr>
        <w:t xml:space="preserve">as an alternative to </w:t>
      </w:r>
      <w:r w:rsidR="00011276">
        <w:rPr>
          <w:rFonts w:ascii="Arial" w:eastAsia="Times New Roman" w:hAnsi="Arial" w:cs="Arial"/>
          <w:sz w:val="20"/>
          <w:szCs w:val="20"/>
        </w:rPr>
        <w:t>above-canopy</w:t>
      </w:r>
      <w:r w:rsidR="00011276" w:rsidRPr="007B6FF1">
        <w:rPr>
          <w:rFonts w:ascii="Arial" w:eastAsia="Times New Roman" w:hAnsi="Arial" w:cs="Arial"/>
          <w:sz w:val="20"/>
          <w:szCs w:val="20"/>
        </w:rPr>
        <w:t xml:space="preserve"> </w:t>
      </w:r>
      <w:r w:rsidR="007B6FF1" w:rsidRPr="007B6FF1">
        <w:rPr>
          <w:rFonts w:ascii="Arial" w:eastAsia="Times New Roman" w:hAnsi="Arial" w:cs="Arial"/>
          <w:sz w:val="20"/>
          <w:szCs w:val="20"/>
        </w:rPr>
        <w:t>digital repeat photography</w:t>
      </w:r>
      <w:r w:rsidR="00A86492">
        <w:rPr>
          <w:rFonts w:ascii="Arial" w:eastAsia="Times New Roman" w:hAnsi="Arial" w:cs="Arial"/>
          <w:sz w:val="20"/>
          <w:szCs w:val="20"/>
        </w:rPr>
        <w:t xml:space="preserve"> in forest research</w:t>
      </w:r>
      <w:r w:rsidR="00570253">
        <w:rPr>
          <w:rFonts w:ascii="Arial" w:eastAsia="Times New Roman" w:hAnsi="Arial" w:cs="Arial"/>
          <w:sz w:val="20"/>
          <w:szCs w:val="20"/>
        </w:rPr>
        <w:t>.</w:t>
      </w:r>
    </w:p>
    <w:p w14:paraId="18F76C77" w14:textId="0AD62A07" w:rsidR="007B6FF1" w:rsidRDefault="007B6FF1" w:rsidP="00181D0E">
      <w:pPr>
        <w:tabs>
          <w:tab w:val="center" w:pos="4513"/>
        </w:tabs>
        <w:spacing w:line="480" w:lineRule="auto"/>
        <w:jc w:val="both"/>
        <w:rPr>
          <w:rFonts w:ascii="Arial" w:eastAsia="Times New Roman" w:hAnsi="Arial" w:cs="Arial"/>
          <w:sz w:val="20"/>
          <w:szCs w:val="20"/>
        </w:rPr>
      </w:pPr>
    </w:p>
    <w:p w14:paraId="5516F3B5" w14:textId="77777777" w:rsidR="007B6FF1" w:rsidRPr="00137B91" w:rsidRDefault="007B6FF1" w:rsidP="00181D0E">
      <w:pPr>
        <w:tabs>
          <w:tab w:val="center" w:pos="4513"/>
        </w:tabs>
        <w:spacing w:line="480" w:lineRule="auto"/>
        <w:jc w:val="both"/>
        <w:rPr>
          <w:rFonts w:ascii="Arial" w:eastAsia="Times New Roman" w:hAnsi="Arial" w:cs="Arial"/>
          <w:sz w:val="20"/>
          <w:szCs w:val="20"/>
        </w:rPr>
        <w:sectPr w:rsidR="007B6FF1" w:rsidRPr="00137B91" w:rsidSect="00C660FC">
          <w:pgSz w:w="11907" w:h="16839" w:code="9"/>
          <w:pgMar w:top="1440" w:right="1440" w:bottom="1440" w:left="1440" w:header="708" w:footer="708" w:gutter="0"/>
          <w:lnNumType w:countBy="1" w:restart="continuous"/>
          <w:cols w:space="708"/>
          <w:docGrid w:linePitch="360"/>
        </w:sectPr>
      </w:pPr>
    </w:p>
    <w:p w14:paraId="4F52B56C" w14:textId="79AC3705" w:rsidR="003F1F90" w:rsidRDefault="003F1F90" w:rsidP="002F0A6F">
      <w:pPr>
        <w:spacing w:after="0" w:line="480" w:lineRule="auto"/>
        <w:jc w:val="both"/>
        <w:rPr>
          <w:rFonts w:ascii="Arial" w:eastAsia="Times New Roman" w:hAnsi="Arial" w:cs="Arial"/>
          <w:b/>
          <w:sz w:val="20"/>
          <w:szCs w:val="20"/>
        </w:rPr>
      </w:pPr>
      <w:bookmarkStart w:id="20" w:name="_Hlk27316401"/>
      <w:r>
        <w:rPr>
          <w:rFonts w:ascii="Arial" w:eastAsia="Times New Roman" w:hAnsi="Arial" w:cs="Arial"/>
          <w:b/>
          <w:sz w:val="20"/>
          <w:szCs w:val="20"/>
        </w:rPr>
        <w:lastRenderedPageBreak/>
        <w:t>Appendix A</w:t>
      </w:r>
    </w:p>
    <w:p w14:paraId="5EC7BC5E" w14:textId="1CE2EDC2" w:rsidR="004F6F05" w:rsidRDefault="004F6F05" w:rsidP="002F0A6F">
      <w:pPr>
        <w:spacing w:after="0" w:line="480" w:lineRule="auto"/>
        <w:jc w:val="both"/>
        <w:rPr>
          <w:rFonts w:ascii="Arial" w:eastAsia="Times New Roman" w:hAnsi="Arial" w:cs="Arial"/>
          <w:bCs/>
          <w:sz w:val="20"/>
          <w:szCs w:val="20"/>
        </w:rPr>
      </w:pPr>
      <w:r>
        <w:rPr>
          <w:rFonts w:ascii="Arial" w:eastAsia="Times New Roman" w:hAnsi="Arial" w:cs="Arial"/>
          <w:bCs/>
          <w:sz w:val="20"/>
          <w:szCs w:val="20"/>
        </w:rPr>
        <w:t xml:space="preserve">To </w:t>
      </w:r>
      <w:r w:rsidR="00470F8F">
        <w:rPr>
          <w:rFonts w:ascii="Arial" w:eastAsia="Times New Roman" w:hAnsi="Arial" w:cs="Arial"/>
          <w:bCs/>
          <w:sz w:val="20"/>
          <w:szCs w:val="20"/>
        </w:rPr>
        <w:t>verify the adopted DHP processing method</w:t>
      </w:r>
      <w:r>
        <w:rPr>
          <w:rFonts w:ascii="Arial" w:eastAsia="Times New Roman" w:hAnsi="Arial" w:cs="Arial"/>
          <w:bCs/>
          <w:sz w:val="20"/>
          <w:szCs w:val="20"/>
        </w:rPr>
        <w:t>,</w:t>
      </w:r>
      <w:r w:rsidR="0062625A">
        <w:rPr>
          <w:rFonts w:ascii="Arial" w:eastAsia="Times New Roman" w:hAnsi="Arial" w:cs="Arial"/>
          <w:bCs/>
          <w:sz w:val="20"/>
          <w:szCs w:val="20"/>
        </w:rPr>
        <w:t xml:space="preserve"> we compared</w:t>
      </w:r>
      <w:r>
        <w:rPr>
          <w:rFonts w:ascii="Arial" w:eastAsia="Times New Roman" w:hAnsi="Arial" w:cs="Arial"/>
          <w:bCs/>
          <w:sz w:val="20"/>
          <w:szCs w:val="20"/>
        </w:rPr>
        <w:t xml:space="preserve"> estimates of PAI derived from manually acquired DHP images according </w:t>
      </w:r>
      <w:r w:rsidRPr="004F6F05">
        <w:rPr>
          <w:rFonts w:ascii="Arial" w:eastAsia="Times New Roman" w:hAnsi="Arial" w:cs="Arial"/>
          <w:bCs/>
          <w:sz w:val="20"/>
          <w:szCs w:val="20"/>
        </w:rPr>
        <w:t xml:space="preserve">to </w:t>
      </w:r>
      <w:r w:rsidRPr="004F6F05">
        <w:rPr>
          <w:rFonts w:ascii="Arial" w:eastAsia="Times New Roman" w:hAnsi="Arial" w:cs="Arial"/>
          <w:bCs/>
          <w:sz w:val="20"/>
          <w:szCs w:val="20"/>
        </w:rPr>
        <w:fldChar w:fldCharType="begin" w:fldLock="1"/>
      </w:r>
      <w:r w:rsidR="00E74C6F">
        <w:rPr>
          <w:rFonts w:ascii="Arial" w:eastAsia="Times New Roman" w:hAnsi="Arial" w:cs="Arial"/>
          <w:bCs/>
          <w:sz w:val="20"/>
          <w:szCs w:val="20"/>
        </w:rPr>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density","type":"article-journal","volume":"15"},"uris":["http://www.mendeley.com/documents/?uuid=d7a934a3-df7a-424f-b72b-e5628956ec7e"]}],"mendeley":{"formattedCitation":"(Miller, 1967)","manualFormatting":"Miller (1967)","plainTextFormattedCitation":"(Miller, 1967)","previouslyFormattedCitation":"(Miller, 1967)"},"properties":{"noteIndex":0},"schema":"https://github.com/citation-style-language/schema/raw/master/csl-citation.json"}</w:instrText>
      </w:r>
      <w:r w:rsidRPr="004F6F05">
        <w:rPr>
          <w:rFonts w:ascii="Arial" w:eastAsia="Times New Roman" w:hAnsi="Arial" w:cs="Arial"/>
          <w:bCs/>
          <w:sz w:val="20"/>
          <w:szCs w:val="20"/>
        </w:rPr>
        <w:fldChar w:fldCharType="separate"/>
      </w:r>
      <w:r w:rsidRPr="004F6F05">
        <w:rPr>
          <w:rFonts w:ascii="Arial" w:eastAsia="Times New Roman" w:hAnsi="Arial" w:cs="Arial"/>
          <w:bCs/>
          <w:noProof/>
          <w:sz w:val="20"/>
          <w:szCs w:val="20"/>
        </w:rPr>
        <w:t>Miller (1967)</w:t>
      </w:r>
      <w:r w:rsidRPr="004F6F05">
        <w:rPr>
          <w:rFonts w:ascii="Arial" w:eastAsia="Times New Roman" w:hAnsi="Arial" w:cs="Arial"/>
          <w:bCs/>
          <w:sz w:val="20"/>
          <w:szCs w:val="20"/>
        </w:rPr>
        <w:fldChar w:fldCharType="end"/>
      </w:r>
      <w:r w:rsidR="00AD708A">
        <w:rPr>
          <w:rFonts w:ascii="Arial" w:eastAsia="Times New Roman" w:hAnsi="Arial" w:cs="Arial"/>
          <w:bCs/>
          <w:sz w:val="20"/>
          <w:szCs w:val="20"/>
        </w:rPr>
        <w:t xml:space="preserve"> (as described in Section 2.3)</w:t>
      </w:r>
      <w:r>
        <w:rPr>
          <w:rFonts w:ascii="Arial" w:eastAsia="Times New Roman" w:hAnsi="Arial" w:cs="Arial"/>
          <w:bCs/>
          <w:sz w:val="20"/>
          <w:szCs w:val="20"/>
        </w:rPr>
        <w:t xml:space="preserve"> with those derived according to </w:t>
      </w:r>
      <w:r w:rsidRPr="004F6F05">
        <w:rPr>
          <w:rFonts w:ascii="Arial" w:eastAsia="Times New Roman" w:hAnsi="Arial" w:cs="Arial"/>
          <w:bCs/>
          <w:sz w:val="20"/>
          <w:szCs w:val="20"/>
        </w:rPr>
        <w:fldChar w:fldCharType="begin" w:fldLock="1"/>
      </w:r>
      <w:r w:rsidR="00E74C6F">
        <w:rPr>
          <w:rFonts w:ascii="Arial" w:eastAsia="Times New Roman" w:hAnsi="Arial" w:cs="Arial"/>
          <w:bCs/>
          <w:sz w:val="20"/>
          <w:szCs w:val="20"/>
        </w:rPr>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quadrats","type":"article-journal","volume":"11"},"uris":["http://www.mendeley.com/documents/?uuid=64c33ae6-5785-463b-be22-59ff4e4a9c5d"]}],"mendeley":{"formattedCitation":"(Warren-Wilson, 1963)","manualFormatting":"Warren-Wilson (1963)","plainTextFormattedCitation":"(Warren-Wilson, 1963)","previouslyFormattedCitation":"(Warren-Wilson, 1963)"},"properties":{"noteIndex":0},"schema":"https://github.com/citation-style-language/schema/raw/master/csl-citation.json"}</w:instrText>
      </w:r>
      <w:r w:rsidRPr="004F6F05">
        <w:rPr>
          <w:rFonts w:ascii="Arial" w:eastAsia="Times New Roman" w:hAnsi="Arial" w:cs="Arial"/>
          <w:bCs/>
          <w:sz w:val="20"/>
          <w:szCs w:val="20"/>
        </w:rPr>
        <w:fldChar w:fldCharType="separate"/>
      </w:r>
      <w:r w:rsidRPr="004F6F05">
        <w:rPr>
          <w:rFonts w:ascii="Arial" w:eastAsia="Times New Roman" w:hAnsi="Arial" w:cs="Arial"/>
          <w:bCs/>
          <w:noProof/>
          <w:sz w:val="20"/>
          <w:szCs w:val="20"/>
        </w:rPr>
        <w:t>Warren-Wilson (1963)</w:t>
      </w:r>
      <w:r w:rsidRPr="004F6F05">
        <w:rPr>
          <w:rFonts w:ascii="Arial" w:eastAsia="Times New Roman" w:hAnsi="Arial" w:cs="Arial"/>
          <w:bCs/>
          <w:sz w:val="20"/>
          <w:szCs w:val="20"/>
        </w:rPr>
        <w:fldChar w:fldCharType="end"/>
      </w:r>
      <w:r>
        <w:rPr>
          <w:rFonts w:ascii="Arial" w:eastAsia="Times New Roman" w:hAnsi="Arial" w:cs="Arial"/>
          <w:bCs/>
          <w:sz w:val="20"/>
          <w:szCs w:val="20"/>
        </w:rPr>
        <w:t xml:space="preserve"> (i.e. making use of the gap fraction in the hinge region surrounding 57.5° only).</w:t>
      </w:r>
      <w:r w:rsidR="00470F8F">
        <w:rPr>
          <w:rFonts w:ascii="Arial" w:eastAsia="Times New Roman" w:hAnsi="Arial" w:cs="Arial"/>
          <w:bCs/>
          <w:sz w:val="20"/>
          <w:szCs w:val="20"/>
        </w:rPr>
        <w:t xml:space="preserve">  </w:t>
      </w:r>
      <w:r w:rsidR="00470F8F">
        <w:rPr>
          <w:rFonts w:ascii="Arial" w:eastAsia="Times New Roman" w:hAnsi="Arial" w:cs="Arial"/>
          <w:sz w:val="20"/>
          <w:szCs w:val="20"/>
        </w:rPr>
        <w:t>When model assumptions are met, the two estimates</w:t>
      </w:r>
      <w:r w:rsidR="0055437E">
        <w:rPr>
          <w:rFonts w:ascii="Arial" w:eastAsia="Times New Roman" w:hAnsi="Arial" w:cs="Arial"/>
          <w:sz w:val="20"/>
          <w:szCs w:val="20"/>
        </w:rPr>
        <w:t xml:space="preserve">, which are based on nearly independent </w:t>
      </w:r>
      <w:r w:rsidR="00E90F6F">
        <w:rPr>
          <w:rFonts w:ascii="Arial" w:eastAsia="Times New Roman" w:hAnsi="Arial" w:cs="Arial"/>
          <w:sz w:val="20"/>
          <w:szCs w:val="20"/>
        </w:rPr>
        <w:t>angular sampling</w:t>
      </w:r>
      <w:r w:rsidR="0055437E">
        <w:rPr>
          <w:rFonts w:ascii="Arial" w:eastAsia="Times New Roman" w:hAnsi="Arial" w:cs="Arial"/>
          <w:sz w:val="20"/>
          <w:szCs w:val="20"/>
        </w:rPr>
        <w:t>,</w:t>
      </w:r>
      <w:r w:rsidR="00470F8F">
        <w:rPr>
          <w:rFonts w:ascii="Arial" w:eastAsia="Times New Roman" w:hAnsi="Arial" w:cs="Arial"/>
          <w:sz w:val="20"/>
          <w:szCs w:val="20"/>
        </w:rPr>
        <w:t xml:space="preserve"> should demonstrate close agreement </w:t>
      </w:r>
      <w:r w:rsidR="00470F8F">
        <w:rPr>
          <w:rFonts w:ascii="Arial" w:eastAsia="Times New Roman" w:hAnsi="Arial" w:cs="Arial"/>
          <w:sz w:val="20"/>
          <w:szCs w:val="20"/>
        </w:rPr>
        <w:fldChar w:fldCharType="begin" w:fldLock="1"/>
      </w:r>
      <w:r w:rsidR="00470F8F">
        <w:rPr>
          <w:rFonts w:ascii="Arial" w:eastAsia="Times New Roman" w:hAnsi="Arial" w:cs="Arial"/>
          <w:sz w:val="20"/>
          <w:szCs w:val="20"/>
        </w:rPr>
        <w:instrText>ADDIN CSL_CITATION {"citationItems":[{"id":"ITEM-1","itemData":{"DOI":"10.1016/S0168-1923(01)00284-2","ISSN":"01681923","abstract":"Accurate and fast non-destructive measurements of leaf area index (LAI) of plant canopies are essential to environmental applications such as water and carbon cycle modelling. A commonly used technique to acquire LAI in situ is based on measurements of radiation transmittance through the canopy with optical instruments. The LAI-2000, that obtains measurements of effective LAI (Le: LAI retrieved assuming random foliage distribution) based on gap fraction at five view angles, is designed to work under diffuse light conditions. The LAI-2000 makes use of blue light to minimise the effect of light scattering in the canopy on LAI measurements. However, actual field LAI measurements are still routinely done under a range of illumination conditions, including direct sunlight. The LAI values measured under conditions of either partial or full direct light are generally smaller than the ones obtained under diffuse conditions. Although this error source is prevailing in many field LAI measurements, hitherto the problem has not been tackled rigorously. To better understand and improve the LAI-2000 measurements taken under non-ideal conditions, measurements were taken in two deciduous and two coniferous forest sites at different times of cloudless days to study how the scattering of the blue light by plant canopies affects LAI measurements. The sites are located in Larose forest near Ottawa, Canada. It is shown through these measurements and modelling with the canopy radiative transfer model Five-scale [Remote Sens. Rev. 19 (2000) 293-305] that the blue light scattering causes underestimation of effective LAI by up to 20% when measured under direct sunlight. A correction for the scattering effect, as a function of solar zenith angle and the effective LAI measured under the sunlit condition, is found through an empirical fit to the measured data in a limited range as well as model-simulated data in the full possible range possible. It is also found that the LAI-2000 fourth ring (47-58° from zenith) gives a more consistent correction than the other rings and that this ring used alone is also suitable for effective LAI retrieval under diffuse conditions. The correction scheme can reduce the error in effective LAI measurements to within 2%. It is therefore suggested that in field programs with logistic constraints, the LAI-2000 time of operation during sunny days can be extended beyond the diffuse illumination conditions near sunrise and sunset since the influence of th…","author":[{"dropping-particle":"","family":"Leblanc","given":"Sylvain G.","non-dropping-particle":"","parse-names":false,"suffix":""},{"dropping-particle":"","family":"Chen","given":"Jing M.","non-dropping-particle":"","parse-names":false,"suffix":""}],"container-title":"Agricultural and Forest Meteorology","id":"ITEM-1","issue":"2","issued":{"date-parts":[["2001","12"]]},"page":"125-139","title":"A practical scheme for correcting multiple scattering effects on optical LAI measurements","type":"article-journal","volume":"110"},"uris":["http://www.mendeley.com/documents/?uuid=592f102d-693e-4ee9-9ae8-bc9e062c7157"]},{"id":"ITEM-2","itemData":{"DOI":"10.1016/j.rse.2009.12.010","ISBN":"0034-4257","ISSN":"00344257","abstract":"Leaf area index (LAI) is a commonly required parameter when modelling land surface fluxes. Satellite based imagers, such as the 300 m full resolution (FR) Medium Spectral Resolution Imaging Spectrometer (MERIS), offer the potential for timely LAI mapping. The availability of multiple MERIS LAI algorithms prompts the need for an evaluation of their performance, especially over a range of land use conditions. Four current methods for deriving LAI from MERIS FR data were compared to estimates from in-situ measurements over a 3 km ?? 3 km region near Ottawa, Canada. The LAI of deciduous dominant forest stands and corn, soybean and pasture fields was measured in-situ using digital hemispherical photography and processed using the CANEYE software. MERIS LAI estimates were derived using the MERIS Top of Atmosphere (TOA) algorithm, MERIS Top of Canopy (TOC) algorithm, the Canada Centre for Remote Sensing (CCRS) Empirical algorithm and the University of Toronto (UofT) GLOBCARBON algorithm. Results show that TOA and TOC LAI estimates were nearly identical (R2 &gt; 0.98) with underestimation of LAI when it is larger than 4 and overestimation when smaller than 2 over the study region. The UofT and CCRS LAI estimates had root mean square errors over 1.4 units with large (??? 25%) relative residuals over forests and consistent underestimates over corn fields. Both algorithms were correlated (R2 &gt; 0.8) possibly due to their use of the same spectral bands derived vegetation index for retrieving LAI. LAI time series from TOA, TOC and CCRS algorithms showed smooth growth trajectories however similar errors were found when the values were compared with the in-situ LAI. In summary, none of the MERIS LAI algorithms currently meet performance requirements from the Global Climate Observing System. Crown Copyright ?? 2009.","author":[{"dropping-particle":"","family":"Canisius","given":"Francis","non-dropping-particle":"","parse-names":false,"suffix":""},{"dropping-particle":"","family":"Fernandes","given":"Richard","non-dropping-particle":"","parse-names":false,"suffix":""},{"dropping-particle":"","family":"Chen","given":"Jing","non-dropping-particle":"","parse-names":false,"suffix":""}],"container-title":"Remote Sensing of Environment","id":"ITEM-2","issue":"5","issued":{"date-parts":[["2010","5"]]},"page":"950-960","title":"Comparison and evaluation of Medium Resolution Imaging Spectrometer leaf area index products across a range of land use","type":"article-journal","volume":"114"},"uris":["http://www.mendeley.com/documents/?uuid=4bcfb2fd-7f64-49f7-b652-15d0665fa532"]}],"mendeley":{"formattedCitation":"(Canisius et al., 2010; Leblanc and Chen, 2001)","plainTextFormattedCitation":"(Canisius et al., 2010; Leblanc and Chen, 2001)","previouslyFormattedCitation":"(Canisius et al., 2010; Leblanc and Chen, 2001)"},"properties":{"noteIndex":0},"schema":"https://github.com/citation-style-language/schema/raw/master/csl-citation.json"}</w:instrText>
      </w:r>
      <w:r w:rsidR="00470F8F">
        <w:rPr>
          <w:rFonts w:ascii="Arial" w:eastAsia="Times New Roman" w:hAnsi="Arial" w:cs="Arial"/>
          <w:sz w:val="20"/>
          <w:szCs w:val="20"/>
        </w:rPr>
        <w:fldChar w:fldCharType="separate"/>
      </w:r>
      <w:r w:rsidR="00470F8F" w:rsidRPr="00F67A25">
        <w:rPr>
          <w:rFonts w:ascii="Arial" w:eastAsia="Times New Roman" w:hAnsi="Arial" w:cs="Arial"/>
          <w:noProof/>
          <w:sz w:val="20"/>
          <w:szCs w:val="20"/>
        </w:rPr>
        <w:t>(Canisius et al., 2010; Leblanc and Chen, 2001)</w:t>
      </w:r>
      <w:r w:rsidR="00470F8F">
        <w:rPr>
          <w:rFonts w:ascii="Arial" w:eastAsia="Times New Roman" w:hAnsi="Arial" w:cs="Arial"/>
          <w:sz w:val="20"/>
          <w:szCs w:val="20"/>
        </w:rPr>
        <w:fldChar w:fldCharType="end"/>
      </w:r>
      <w:r w:rsidR="00470F8F">
        <w:rPr>
          <w:rFonts w:ascii="Arial" w:eastAsia="Times New Roman" w:hAnsi="Arial" w:cs="Arial"/>
          <w:sz w:val="20"/>
          <w:szCs w:val="20"/>
        </w:rPr>
        <w:t xml:space="preserve">.  </w:t>
      </w:r>
      <w:r>
        <w:rPr>
          <w:rFonts w:ascii="Arial" w:eastAsia="Times New Roman" w:hAnsi="Arial" w:cs="Arial"/>
          <w:bCs/>
          <w:sz w:val="20"/>
          <w:szCs w:val="20"/>
        </w:rPr>
        <w:t xml:space="preserve">PAI was derived according to </w:t>
      </w:r>
      <w:r w:rsidRPr="004F6F05">
        <w:rPr>
          <w:rFonts w:ascii="Arial" w:eastAsia="Times New Roman" w:hAnsi="Arial" w:cs="Arial"/>
          <w:bCs/>
          <w:sz w:val="20"/>
          <w:szCs w:val="20"/>
        </w:rPr>
        <w:fldChar w:fldCharType="begin" w:fldLock="1"/>
      </w:r>
      <w:r w:rsidR="00E74C6F">
        <w:rPr>
          <w:rFonts w:ascii="Arial" w:eastAsia="Times New Roman" w:hAnsi="Arial" w:cs="Arial"/>
          <w:bCs/>
          <w:sz w:val="20"/>
          <w:szCs w:val="20"/>
        </w:rPr>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quadrats","type":"article-journal","volume":"11"},"uris":["http://www.mendeley.com/documents/?uuid=64c33ae6-5785-463b-be22-59ff4e4a9c5d"]}],"mendeley":{"formattedCitation":"(Warren-Wilson, 1963)","manualFormatting":"Warren-Wilson (1963)","plainTextFormattedCitation":"(Warren-Wilson, 1963)","previouslyFormattedCitation":"(Warren-Wilson, 1963)"},"properties":{"noteIndex":0},"schema":"https://github.com/citation-style-language/schema/raw/master/csl-citation.json"}</w:instrText>
      </w:r>
      <w:r w:rsidRPr="004F6F05">
        <w:rPr>
          <w:rFonts w:ascii="Arial" w:eastAsia="Times New Roman" w:hAnsi="Arial" w:cs="Arial"/>
          <w:bCs/>
          <w:sz w:val="20"/>
          <w:szCs w:val="20"/>
        </w:rPr>
        <w:fldChar w:fldCharType="separate"/>
      </w:r>
      <w:r w:rsidRPr="004F6F05">
        <w:rPr>
          <w:rFonts w:ascii="Arial" w:eastAsia="Times New Roman" w:hAnsi="Arial" w:cs="Arial"/>
          <w:bCs/>
          <w:noProof/>
          <w:sz w:val="20"/>
          <w:szCs w:val="20"/>
        </w:rPr>
        <w:t>Warren-Wilson (1963)</w:t>
      </w:r>
      <w:r w:rsidRPr="004F6F05">
        <w:rPr>
          <w:rFonts w:ascii="Arial" w:eastAsia="Times New Roman" w:hAnsi="Arial" w:cs="Arial"/>
          <w:bCs/>
          <w:sz w:val="20"/>
          <w:szCs w:val="20"/>
        </w:rPr>
        <w:fldChar w:fldCharType="end"/>
      </w:r>
      <w:r>
        <w:rPr>
          <w:rFonts w:ascii="Arial" w:eastAsia="Times New Roman" w:hAnsi="Arial" w:cs="Arial"/>
          <w:bCs/>
          <w:sz w:val="20"/>
          <w:szCs w:val="20"/>
        </w:rPr>
        <w:t xml:space="preserve"> as</w:t>
      </w:r>
    </w:p>
    <w:p w14:paraId="488A75A1" w14:textId="19F16B2E" w:rsidR="004F6F05" w:rsidRPr="004F6F05" w:rsidRDefault="00DD6B39" w:rsidP="002F0A6F">
      <w:pPr>
        <w:spacing w:after="0" w:line="480" w:lineRule="auto"/>
        <w:jc w:val="both"/>
        <w:rPr>
          <w:rFonts w:ascii="Arial" w:eastAsia="Times New Roman" w:hAnsi="Arial" w:cs="Arial"/>
          <w:bCs/>
          <w:sz w:val="20"/>
          <w:szCs w:val="20"/>
        </w:rPr>
      </w:pPr>
      <m:oMathPara>
        <m:oMath>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PAI</m:t>
              </m:r>
            </m:e>
            <m:sub>
              <m:r>
                <w:rPr>
                  <w:rFonts w:ascii="Cambria Math" w:eastAsia="Times New Roman" w:hAnsi="Cambria Math" w:cs="Arial"/>
                  <w:sz w:val="20"/>
                  <w:szCs w:val="20"/>
                </w:rPr>
                <m:t>57.5°</m:t>
              </m:r>
            </m:sub>
          </m:sSub>
          <m:r>
            <w:rPr>
              <w:rFonts w:ascii="Cambria Math" w:eastAsia="Times New Roman" w:hAnsi="Cambria Math" w:cs="Arial"/>
              <w:sz w:val="20"/>
              <w:szCs w:val="20"/>
            </w:rPr>
            <m:t>=</m:t>
          </m:r>
          <m:f>
            <m:fPr>
              <m:ctrlPr>
                <w:rPr>
                  <w:rFonts w:ascii="Cambria Math" w:eastAsia="Times New Roman" w:hAnsi="Cambria Math" w:cs="Arial"/>
                  <w:bCs/>
                  <w:i/>
                  <w:sz w:val="20"/>
                  <w:szCs w:val="20"/>
                </w:rPr>
              </m:ctrlPr>
            </m:fPr>
            <m:num>
              <m:r>
                <w:rPr>
                  <w:rFonts w:ascii="Cambria Math" w:eastAsia="Times New Roman" w:hAnsi="Cambria Math" w:cs="Arial"/>
                  <w:sz w:val="20"/>
                  <w:szCs w:val="20"/>
                </w:rPr>
                <m:t>-</m:t>
              </m:r>
              <m:bar>
                <m:barPr>
                  <m:pos m:val="top"/>
                  <m:ctrlPr>
                    <w:rPr>
                      <w:rFonts w:ascii="Cambria Math" w:eastAsia="Times New Roman" w:hAnsi="Cambria Math" w:cs="Arial"/>
                      <w:bCs/>
                      <w:i/>
                      <w:sz w:val="20"/>
                      <w:szCs w:val="20"/>
                    </w:rPr>
                  </m:ctrlPr>
                </m:barPr>
                <m:e>
                  <m:func>
                    <m:funcPr>
                      <m:ctrlPr>
                        <w:rPr>
                          <w:rFonts w:ascii="Cambria Math" w:eastAsia="Times New Roman" w:hAnsi="Cambria Math" w:cs="Arial"/>
                          <w:bCs/>
                          <w:i/>
                          <w:sz w:val="20"/>
                          <w:szCs w:val="20"/>
                        </w:rPr>
                      </m:ctrlPr>
                    </m:funcPr>
                    <m:fName>
                      <m:r>
                        <m:rPr>
                          <m:sty m:val="p"/>
                        </m:rPr>
                        <w:rPr>
                          <w:rFonts w:ascii="Cambria Math" w:eastAsia="Times New Roman" w:hAnsi="Cambria Math" w:cs="Arial"/>
                          <w:sz w:val="20"/>
                          <w:szCs w:val="20"/>
                        </w:rPr>
                        <m:t>ln</m:t>
                      </m:r>
                    </m:fName>
                    <m:e>
                      <m:r>
                        <w:rPr>
                          <w:rFonts w:ascii="Cambria Math" w:eastAsia="Times New Roman" w:hAnsi="Cambria Math" w:cs="Arial"/>
                          <w:sz w:val="20"/>
                          <w:szCs w:val="20"/>
                        </w:rPr>
                        <m:t>P(</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θ</m:t>
                          </m:r>
                        </m:e>
                        <m:sub>
                          <m:r>
                            <w:rPr>
                              <w:rFonts w:ascii="Cambria Math" w:eastAsia="Times New Roman" w:hAnsi="Cambria Math" w:cs="Arial"/>
                              <w:sz w:val="20"/>
                              <w:szCs w:val="20"/>
                            </w:rPr>
                            <m:t>57.5°</m:t>
                          </m:r>
                        </m:sub>
                      </m:sSub>
                      <m:r>
                        <w:rPr>
                          <w:rFonts w:ascii="Cambria Math" w:eastAsia="Times New Roman" w:hAnsi="Cambria Math" w:cs="Arial"/>
                          <w:sz w:val="20"/>
                          <w:szCs w:val="20"/>
                        </w:rPr>
                        <m:t>)</m:t>
                      </m:r>
                    </m:e>
                  </m:func>
                </m:e>
              </m:bar>
            </m:num>
            <m:den>
              <m:r>
                <w:rPr>
                  <w:rFonts w:ascii="Cambria Math" w:eastAsia="Times New Roman" w:hAnsi="Cambria Math" w:cs="Arial"/>
                  <w:sz w:val="20"/>
                  <w:szCs w:val="20"/>
                </w:rPr>
                <m:t>0.93</m:t>
              </m:r>
            </m:den>
          </m:f>
        </m:oMath>
      </m:oMathPara>
    </w:p>
    <w:p w14:paraId="19A284BC" w14:textId="2F857C24" w:rsidR="004F6F05" w:rsidRPr="004F6F05" w:rsidRDefault="004F6F05" w:rsidP="002F0A6F">
      <w:pPr>
        <w:spacing w:after="0" w:line="480" w:lineRule="auto"/>
        <w:jc w:val="both"/>
        <w:rPr>
          <w:rFonts w:ascii="Arial" w:eastAsia="Times New Roman" w:hAnsi="Arial" w:cs="Arial"/>
          <w:bCs/>
          <w:sz w:val="20"/>
          <w:szCs w:val="20"/>
        </w:rPr>
      </w:pPr>
      <w:r>
        <w:rPr>
          <w:rFonts w:ascii="Arial" w:eastAsia="Times New Roman" w:hAnsi="Arial" w:cs="Arial"/>
          <w:bCs/>
          <w:sz w:val="20"/>
          <w:szCs w:val="20"/>
        </w:rPr>
        <w:t xml:space="preserve">where </w:t>
      </w:r>
      <m:oMath>
        <m:r>
          <w:rPr>
            <w:rFonts w:ascii="Cambria Math" w:eastAsia="Times New Roman" w:hAnsi="Cambria Math" w:cs="Arial"/>
            <w:sz w:val="20"/>
            <w:szCs w:val="20"/>
          </w:rPr>
          <m:t>P(</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θ</m:t>
            </m:r>
          </m:e>
          <m:sub>
            <m:r>
              <w:rPr>
                <w:rFonts w:ascii="Cambria Math" w:eastAsia="Times New Roman" w:hAnsi="Cambria Math" w:cs="Arial"/>
                <w:sz w:val="20"/>
                <w:szCs w:val="20"/>
              </w:rPr>
              <m:t>57.5°</m:t>
            </m:r>
          </m:sub>
        </m:sSub>
        <m:r>
          <w:rPr>
            <w:rFonts w:ascii="Cambria Math" w:eastAsia="Times New Roman" w:hAnsi="Cambria Math" w:cs="Arial"/>
            <w:sz w:val="20"/>
            <w:szCs w:val="20"/>
          </w:rPr>
          <m:t>)</m:t>
        </m:r>
      </m:oMath>
      <w:r>
        <w:rPr>
          <w:rFonts w:ascii="Arial" w:eastAsia="Times New Roman" w:hAnsi="Arial" w:cs="Arial"/>
          <w:bCs/>
          <w:sz w:val="20"/>
          <w:szCs w:val="20"/>
        </w:rPr>
        <w:t xml:space="preserve"> is the gap fraction in a zenith ring centred on 57.5° (± 5°)</w:t>
      </w:r>
      <w:r w:rsidR="00CF3773">
        <w:rPr>
          <w:rFonts w:ascii="Arial" w:eastAsia="Times New Roman" w:hAnsi="Arial" w:cs="Arial"/>
          <w:bCs/>
          <w:sz w:val="20"/>
          <w:szCs w:val="20"/>
        </w:rPr>
        <w:t xml:space="preserve">, </w:t>
      </w:r>
      <w:r w:rsidR="00CF3773">
        <w:rPr>
          <w:rFonts w:ascii="Arial" w:hAnsi="Arial" w:cs="Arial"/>
          <w:sz w:val="20"/>
          <w:szCs w:val="20"/>
        </w:rPr>
        <w:t xml:space="preserve">accounting for the effects of foliage clumping using the method of </w:t>
      </w:r>
      <w:r w:rsidR="00CF3773">
        <w:rPr>
          <w:rFonts w:ascii="Arial" w:hAnsi="Arial" w:cs="Arial"/>
          <w:sz w:val="20"/>
          <w:szCs w:val="20"/>
        </w:rPr>
        <w:fldChar w:fldCharType="begin" w:fldLock="1"/>
      </w:r>
      <w:r w:rsidR="00CF3773">
        <w:rPr>
          <w:rFonts w:ascii="Arial" w:hAnsi="Arial" w:cs="Arial"/>
          <w:sz w:val="20"/>
          <w:szCs w:val="20"/>
        </w:rPr>
        <w:instrText>ADDIN CSL_CITATION {"citationItems":[{"id":"ITEM-1","itemData":{"DOI":"10.1016/0168-1923(86)90033-X","ISBN":"0168-1923","ISSN":"01681923","PMID":"346","abstract":"We have shown previously that the leaf area index of uniform crops can be determined by using the sun's beam as a probe. Here, we show theoretically and empirically that the leaf area index of vegetation with large gaps can be measured by suitably averaging the local gap frequency, as detected by the transmission of the direct beam of the sun. The recommended procedure is to average the transmission linearly over a horizontal path ten times the characteristic width of a leaf and take the logarithm of this mean. The average of logarithms for many such paths is shown to be linearly related to the leaf area index. The estimate of leaf area index obtained by this procedure is more accurate than that obtained by averaging the transmission once over the full path. The analysis has been confirmed with measurements of crops of sorghum and wheat. The method is simple and appears most appropriate for forests. ?? 1986.","author":[{"dropping-particle":"","family":"Lang","given":"A. R G","non-dropping-particle":"","parse-names":false,"suffix":""},{"dropping-particle":"","family":"Yueqin","given":"Xiang","non-dropping-particle":"","parse-names":false,"suffix":""}],"container-title":"Agricultural and Forest Meteorology","id":"ITEM-1","issue":"3","issued":{"date-parts":[["1986","8"]]},"page":"229-243","title":"Estimation of leaf area index from transmission of direct sunlight in discontinuous canopies","type":"article-journal","volume":"37"},"uris":["http://www.mendeley.com/documents/?uuid=06ac3ead-c6af-4c6c-bc49-216a32ab703c"]}],"mendeley":{"formattedCitation":"(Lang and Yueqin, 1986)","manualFormatting":"Lang and Yueqin (1986)","plainTextFormattedCitation":"(Lang and Yueqin, 1986)","previouslyFormattedCitation":"(Lang and Yueqin, 1986)"},"properties":{"noteIndex":0},"schema":"https://github.com/citation-style-language/schema/raw/master/csl-citation.json"}</w:instrText>
      </w:r>
      <w:r w:rsidR="00CF3773">
        <w:rPr>
          <w:rFonts w:ascii="Arial" w:hAnsi="Arial" w:cs="Arial"/>
          <w:sz w:val="20"/>
          <w:szCs w:val="20"/>
        </w:rPr>
        <w:fldChar w:fldCharType="separate"/>
      </w:r>
      <w:r w:rsidR="00CF3773" w:rsidRPr="00084483">
        <w:rPr>
          <w:rFonts w:ascii="Arial" w:hAnsi="Arial" w:cs="Arial"/>
          <w:noProof/>
          <w:sz w:val="20"/>
          <w:szCs w:val="20"/>
        </w:rPr>
        <w:t xml:space="preserve">Lang and Yueqin </w:t>
      </w:r>
      <w:r w:rsidR="00CF3773">
        <w:rPr>
          <w:rFonts w:ascii="Arial" w:hAnsi="Arial" w:cs="Arial"/>
          <w:noProof/>
          <w:sz w:val="20"/>
          <w:szCs w:val="20"/>
        </w:rPr>
        <w:t>(</w:t>
      </w:r>
      <w:r w:rsidR="00CF3773" w:rsidRPr="00084483">
        <w:rPr>
          <w:rFonts w:ascii="Arial" w:hAnsi="Arial" w:cs="Arial"/>
          <w:noProof/>
          <w:sz w:val="20"/>
          <w:szCs w:val="20"/>
        </w:rPr>
        <w:t>1986)</w:t>
      </w:r>
      <w:r w:rsidR="00CF3773">
        <w:rPr>
          <w:rFonts w:ascii="Arial" w:hAnsi="Arial" w:cs="Arial"/>
          <w:sz w:val="20"/>
          <w:szCs w:val="20"/>
        </w:rPr>
        <w:fldChar w:fldCharType="end"/>
      </w:r>
      <w:r>
        <w:rPr>
          <w:rFonts w:ascii="Arial" w:eastAsia="Times New Roman" w:hAnsi="Arial" w:cs="Arial"/>
          <w:bCs/>
          <w:sz w:val="20"/>
          <w:szCs w:val="20"/>
        </w:rPr>
        <w:t>.  A strong relationship, (</w:t>
      </w:r>
      <w:r>
        <w:rPr>
          <w:rFonts w:ascii="Arial" w:eastAsia="Times New Roman" w:hAnsi="Arial" w:cs="Arial"/>
          <w:bCs/>
          <w:i/>
          <w:iCs/>
          <w:sz w:val="20"/>
          <w:szCs w:val="20"/>
        </w:rPr>
        <w:t>r</w:t>
      </w:r>
      <w:r>
        <w:rPr>
          <w:rFonts w:ascii="Arial" w:eastAsia="Times New Roman" w:hAnsi="Arial" w:cs="Arial"/>
          <w:bCs/>
          <w:sz w:val="20"/>
          <w:szCs w:val="20"/>
          <w:vertAlign w:val="superscript"/>
        </w:rPr>
        <w:t>2</w:t>
      </w:r>
      <w:r>
        <w:rPr>
          <w:rFonts w:ascii="Arial" w:eastAsia="Times New Roman" w:hAnsi="Arial" w:cs="Arial"/>
          <w:bCs/>
          <w:sz w:val="20"/>
          <w:szCs w:val="20"/>
        </w:rPr>
        <w:t xml:space="preserve"> = 0.97), high accuracy (RMSE = 0.31, NRMSE = 11%), low bias (0.15) and high precision (0.29) was observed (Figure A1).</w:t>
      </w:r>
    </w:p>
    <w:p w14:paraId="429F993E" w14:textId="5941CCA5" w:rsidR="003F1F90" w:rsidRDefault="006C39B5" w:rsidP="003F1F90">
      <w:pPr>
        <w:spacing w:after="0" w:line="240" w:lineRule="auto"/>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BB1D7E5" wp14:editId="3D342C83">
            <wp:extent cx="2145600" cy="214560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600" cy="2145600"/>
                    </a:xfrm>
                    <a:prstGeom prst="rect">
                      <a:avLst/>
                    </a:prstGeom>
                    <a:noFill/>
                    <a:ln>
                      <a:noFill/>
                    </a:ln>
                  </pic:spPr>
                </pic:pic>
              </a:graphicData>
            </a:graphic>
          </wp:inline>
        </w:drawing>
      </w:r>
    </w:p>
    <w:p w14:paraId="1FF4A7D3" w14:textId="6D6B999A" w:rsidR="003F1F90" w:rsidRPr="003F1F90" w:rsidRDefault="003F1F90" w:rsidP="003F1F90">
      <w:pPr>
        <w:spacing w:after="0" w:line="240" w:lineRule="auto"/>
        <w:jc w:val="center"/>
        <w:rPr>
          <w:rFonts w:ascii="Arial" w:eastAsia="Times New Roman" w:hAnsi="Arial" w:cs="Arial"/>
          <w:bCs/>
          <w:sz w:val="18"/>
          <w:szCs w:val="18"/>
        </w:rPr>
        <w:sectPr w:rsidR="003F1F90" w:rsidRPr="003F1F90" w:rsidSect="00C660FC">
          <w:pgSz w:w="11907" w:h="16839" w:code="9"/>
          <w:pgMar w:top="1440" w:right="1440" w:bottom="1440" w:left="1440" w:header="708" w:footer="708" w:gutter="0"/>
          <w:lnNumType w:countBy="1" w:restart="continuous"/>
          <w:cols w:space="708"/>
          <w:docGrid w:linePitch="360"/>
        </w:sectPr>
      </w:pPr>
      <w:r w:rsidRPr="003F1F90">
        <w:rPr>
          <w:rFonts w:ascii="Arial" w:eastAsia="Times New Roman" w:hAnsi="Arial" w:cs="Arial"/>
          <w:bCs/>
          <w:sz w:val="18"/>
          <w:szCs w:val="18"/>
        </w:rPr>
        <w:t>Figure A1</w:t>
      </w:r>
      <w:r>
        <w:rPr>
          <w:rFonts w:ascii="Arial" w:eastAsia="Times New Roman" w:hAnsi="Arial" w:cs="Arial"/>
          <w:bCs/>
          <w:sz w:val="18"/>
          <w:szCs w:val="18"/>
        </w:rPr>
        <w:t>: Comparison of</w:t>
      </w:r>
      <w:r w:rsidR="004F6F05">
        <w:rPr>
          <w:rFonts w:ascii="Arial" w:eastAsia="Times New Roman" w:hAnsi="Arial" w:cs="Arial"/>
          <w:bCs/>
          <w:sz w:val="18"/>
          <w:szCs w:val="18"/>
        </w:rPr>
        <w:t xml:space="preserve"> </w:t>
      </w:r>
      <w:r>
        <w:rPr>
          <w:rFonts w:ascii="Arial" w:eastAsia="Times New Roman" w:hAnsi="Arial" w:cs="Arial"/>
          <w:bCs/>
          <w:sz w:val="18"/>
          <w:szCs w:val="18"/>
        </w:rPr>
        <w:t>PAI values derived</w:t>
      </w:r>
      <w:r w:rsidR="004F6F05">
        <w:rPr>
          <w:rFonts w:ascii="Arial" w:eastAsia="Times New Roman" w:hAnsi="Arial" w:cs="Arial"/>
          <w:bCs/>
          <w:sz w:val="18"/>
          <w:szCs w:val="18"/>
        </w:rPr>
        <w:t xml:space="preserve"> from manually acquired DHP images</w:t>
      </w:r>
      <w:r>
        <w:rPr>
          <w:rFonts w:ascii="Arial" w:eastAsia="Times New Roman" w:hAnsi="Arial" w:cs="Arial"/>
          <w:bCs/>
          <w:sz w:val="18"/>
          <w:szCs w:val="18"/>
        </w:rPr>
        <w:t xml:space="preserve"> according to </w:t>
      </w:r>
      <w:r>
        <w:rPr>
          <w:rFonts w:ascii="Arial" w:eastAsia="Times New Roman" w:hAnsi="Arial" w:cs="Arial"/>
          <w:bCs/>
          <w:sz w:val="18"/>
          <w:szCs w:val="18"/>
        </w:rPr>
        <w:fldChar w:fldCharType="begin" w:fldLock="1"/>
      </w:r>
      <w:r w:rsidR="00E74C6F">
        <w:rPr>
          <w:rFonts w:ascii="Arial" w:eastAsia="Times New Roman" w:hAnsi="Arial" w:cs="Arial"/>
          <w:bCs/>
          <w:sz w:val="18"/>
          <w:szCs w:val="18"/>
        </w:rPr>
        <w:instrText>ADDIN CSL_CITATION {"citationItems":[{"id":"ITEM-1","itemData":{"DOI":"10.1071/BT9670141","ISSN":"0067-1924","abstract":"Point quadrat readings, taken to assess density of foliage in a plant, determine a contact frequency function f. A formulais given expressing the average foliage density of the plant in terms of f. This is compared with the work of Philip, who determined from f using a foliage angle density function g and an approximate Fourier analysis.","author":[{"dropping-particle":"","family":"Miller","given":"JB","non-dropping-particle":"","parse-names":false,"suffix":""}],"container-title":"Australian Journal of Botany","id":"ITEM-1","issue":"1","issued":{"date-parts":[["1967","4","1"]]},"page":"141-144","title":"A formula for average foliage density","type":"article-journal","volume":"15"},"uris":["http://www.mendeley.com/documents/?uuid=d7a934a3-df7a-424f-b72b-e5628956ec7e"]}],"mendeley":{"formattedCitation":"(Miller, 1967)","manualFormatting":"Miller (1967)","plainTextFormattedCitation":"(Miller, 1967)","previouslyFormattedCitation":"(Miller, 1967)"},"properties":{"noteIndex":0},"schema":"https://github.com/citation-style-language/schema/raw/master/csl-citation.json"}</w:instrText>
      </w:r>
      <w:r>
        <w:rPr>
          <w:rFonts w:ascii="Arial" w:eastAsia="Times New Roman" w:hAnsi="Arial" w:cs="Arial"/>
          <w:bCs/>
          <w:sz w:val="18"/>
          <w:szCs w:val="18"/>
        </w:rPr>
        <w:fldChar w:fldCharType="separate"/>
      </w:r>
      <w:r w:rsidRPr="003F1F90">
        <w:rPr>
          <w:rFonts w:ascii="Arial" w:eastAsia="Times New Roman" w:hAnsi="Arial" w:cs="Arial"/>
          <w:bCs/>
          <w:noProof/>
          <w:sz w:val="18"/>
          <w:szCs w:val="18"/>
        </w:rPr>
        <w:t xml:space="preserve">Miller </w:t>
      </w:r>
      <w:r>
        <w:rPr>
          <w:rFonts w:ascii="Arial" w:eastAsia="Times New Roman" w:hAnsi="Arial" w:cs="Arial"/>
          <w:bCs/>
          <w:noProof/>
          <w:sz w:val="18"/>
          <w:szCs w:val="18"/>
        </w:rPr>
        <w:t>(</w:t>
      </w:r>
      <w:r w:rsidRPr="003F1F90">
        <w:rPr>
          <w:rFonts w:ascii="Arial" w:eastAsia="Times New Roman" w:hAnsi="Arial" w:cs="Arial"/>
          <w:bCs/>
          <w:noProof/>
          <w:sz w:val="18"/>
          <w:szCs w:val="18"/>
        </w:rPr>
        <w:t>1967)</w:t>
      </w:r>
      <w:r>
        <w:rPr>
          <w:rFonts w:ascii="Arial" w:eastAsia="Times New Roman" w:hAnsi="Arial" w:cs="Arial"/>
          <w:bCs/>
          <w:sz w:val="18"/>
          <w:szCs w:val="18"/>
        </w:rPr>
        <w:fldChar w:fldCharType="end"/>
      </w:r>
      <w:r>
        <w:rPr>
          <w:rFonts w:ascii="Arial" w:eastAsia="Times New Roman" w:hAnsi="Arial" w:cs="Arial"/>
          <w:bCs/>
          <w:sz w:val="18"/>
          <w:szCs w:val="18"/>
        </w:rPr>
        <w:t xml:space="preserve"> and </w:t>
      </w:r>
      <w:bookmarkStart w:id="21" w:name="_Hlk26893728"/>
      <w:r>
        <w:rPr>
          <w:rFonts w:ascii="Arial" w:eastAsia="Times New Roman" w:hAnsi="Arial" w:cs="Arial"/>
          <w:bCs/>
          <w:sz w:val="18"/>
          <w:szCs w:val="18"/>
        </w:rPr>
        <w:fldChar w:fldCharType="begin" w:fldLock="1"/>
      </w:r>
      <w:r w:rsidR="00E74C6F">
        <w:rPr>
          <w:rFonts w:ascii="Arial" w:eastAsia="Times New Roman" w:hAnsi="Arial" w:cs="Arial"/>
          <w:bCs/>
          <w:sz w:val="18"/>
          <w:szCs w:val="18"/>
        </w:rPr>
        <w:instrText>ADDIN CSL_CITATION {"citationItems":[{"id":"ITEM-1","itemData":{"author":[{"dropping-particle":"","family":"Warren-Wilson","given":"J.","non-dropping-particle":"","parse-names":false,"suffix":""}],"container-title":"Australian Journal of Botany","id":"ITEM-1","issue":"1","issued":{"date-parts":[["1963"]]},"page":"95-105","title":"Estimation of foliage denseness and foliage angle by inclined point quadrats","type":"article-journal","volume":"11"},"uris":["http://www.mendeley.com/documents/?uuid=64c33ae6-5785-463b-be22-59ff4e4a9c5d"]}],"mendeley":{"formattedCitation":"(Warren-Wilson, 1963)","manualFormatting":"Warren-Wilson (1963)","plainTextFormattedCitation":"(Warren-Wilson, 1963)","previouslyFormattedCitation":"(Warren-Wilson, 1963)"},"properties":{"noteIndex":0},"schema":"https://github.com/citation-style-language/schema/raw/master/csl-citation.json"}</w:instrText>
      </w:r>
      <w:r>
        <w:rPr>
          <w:rFonts w:ascii="Arial" w:eastAsia="Times New Roman" w:hAnsi="Arial" w:cs="Arial"/>
          <w:bCs/>
          <w:sz w:val="18"/>
          <w:szCs w:val="18"/>
        </w:rPr>
        <w:fldChar w:fldCharType="separate"/>
      </w:r>
      <w:r w:rsidRPr="003F1F90">
        <w:rPr>
          <w:rFonts w:ascii="Arial" w:eastAsia="Times New Roman" w:hAnsi="Arial" w:cs="Arial"/>
          <w:bCs/>
          <w:noProof/>
          <w:sz w:val="18"/>
          <w:szCs w:val="18"/>
        </w:rPr>
        <w:t xml:space="preserve">Warren-Wilson </w:t>
      </w:r>
      <w:r>
        <w:rPr>
          <w:rFonts w:ascii="Arial" w:eastAsia="Times New Roman" w:hAnsi="Arial" w:cs="Arial"/>
          <w:bCs/>
          <w:noProof/>
          <w:sz w:val="18"/>
          <w:szCs w:val="18"/>
        </w:rPr>
        <w:t>(</w:t>
      </w:r>
      <w:r w:rsidRPr="003F1F90">
        <w:rPr>
          <w:rFonts w:ascii="Arial" w:eastAsia="Times New Roman" w:hAnsi="Arial" w:cs="Arial"/>
          <w:bCs/>
          <w:noProof/>
          <w:sz w:val="18"/>
          <w:szCs w:val="18"/>
        </w:rPr>
        <w:t>1963)</w:t>
      </w:r>
      <w:r>
        <w:rPr>
          <w:rFonts w:ascii="Arial" w:eastAsia="Times New Roman" w:hAnsi="Arial" w:cs="Arial"/>
          <w:bCs/>
          <w:sz w:val="18"/>
          <w:szCs w:val="18"/>
        </w:rPr>
        <w:fldChar w:fldCharType="end"/>
      </w:r>
      <w:bookmarkEnd w:id="21"/>
      <w:r>
        <w:rPr>
          <w:rFonts w:ascii="Arial" w:eastAsia="Times New Roman" w:hAnsi="Arial" w:cs="Arial"/>
          <w:bCs/>
          <w:sz w:val="18"/>
          <w:szCs w:val="18"/>
        </w:rPr>
        <w:t>.</w:t>
      </w:r>
    </w:p>
    <w:bookmarkEnd w:id="20"/>
    <w:p w14:paraId="0BE51C77" w14:textId="23A8DB60" w:rsidR="00203D5C" w:rsidRDefault="006F4891" w:rsidP="002F0A6F">
      <w:pPr>
        <w:spacing w:after="0" w:line="480" w:lineRule="auto"/>
        <w:jc w:val="both"/>
        <w:rPr>
          <w:rFonts w:ascii="Arial" w:eastAsia="Times New Roman" w:hAnsi="Arial" w:cs="Arial"/>
          <w:b/>
          <w:sz w:val="20"/>
          <w:szCs w:val="20"/>
        </w:rPr>
      </w:pPr>
      <w:r w:rsidRPr="006F4891">
        <w:rPr>
          <w:rFonts w:ascii="Arial" w:eastAsia="Times New Roman" w:hAnsi="Arial" w:cs="Arial"/>
          <w:b/>
          <w:sz w:val="20"/>
          <w:szCs w:val="20"/>
        </w:rPr>
        <w:lastRenderedPageBreak/>
        <w:t>Acknowledgements</w:t>
      </w:r>
    </w:p>
    <w:p w14:paraId="6F81A56B" w14:textId="765C9C33" w:rsidR="00A72FF4" w:rsidRDefault="006F4891" w:rsidP="006F4891">
      <w:pPr>
        <w:spacing w:after="0" w:line="480" w:lineRule="auto"/>
        <w:jc w:val="both"/>
        <w:rPr>
          <w:rFonts w:ascii="Arial" w:hAnsi="Arial" w:cs="Arial"/>
          <w:sz w:val="20"/>
        </w:rPr>
      </w:pPr>
      <w:r w:rsidRPr="00B876B0">
        <w:rPr>
          <w:rFonts w:ascii="Arial" w:hAnsi="Arial" w:cs="Arial"/>
          <w:sz w:val="20"/>
          <w:szCs w:val="20"/>
        </w:rPr>
        <w:t xml:space="preserve">This work was supported by </w:t>
      </w:r>
      <w:r w:rsidR="00214280">
        <w:rPr>
          <w:rFonts w:ascii="Arial" w:hAnsi="Arial" w:cs="Arial"/>
          <w:sz w:val="20"/>
          <w:szCs w:val="20"/>
        </w:rPr>
        <w:t>the European Space Agency</w:t>
      </w:r>
      <w:r w:rsidRPr="00B876B0">
        <w:rPr>
          <w:rFonts w:ascii="Arial" w:hAnsi="Arial" w:cs="Arial"/>
          <w:sz w:val="20"/>
          <w:szCs w:val="20"/>
        </w:rPr>
        <w:t xml:space="preserve"> and a University of Southampton Vice Chancellor’s Scholarship</w:t>
      </w:r>
      <w:r>
        <w:rPr>
          <w:rFonts w:ascii="Arial" w:eastAsia="Times New Roman" w:hAnsi="Arial" w:cs="Arial"/>
          <w:sz w:val="20"/>
          <w:szCs w:val="20"/>
        </w:rPr>
        <w:t>.  The authors are</w:t>
      </w:r>
      <w:r w:rsidR="00F40322">
        <w:rPr>
          <w:rFonts w:ascii="Arial" w:eastAsia="Times New Roman" w:hAnsi="Arial" w:cs="Arial"/>
          <w:sz w:val="20"/>
          <w:szCs w:val="20"/>
        </w:rPr>
        <w:t xml:space="preserve"> </w:t>
      </w:r>
      <w:r>
        <w:rPr>
          <w:rFonts w:ascii="Arial" w:eastAsia="Times New Roman" w:hAnsi="Arial" w:cs="Arial"/>
          <w:sz w:val="20"/>
          <w:szCs w:val="20"/>
        </w:rPr>
        <w:t>grateful to</w:t>
      </w:r>
      <w:r w:rsidR="00407782">
        <w:rPr>
          <w:rFonts w:ascii="Arial" w:eastAsia="Times New Roman" w:hAnsi="Arial" w:cs="Arial"/>
          <w:sz w:val="20"/>
          <w:szCs w:val="20"/>
        </w:rPr>
        <w:t xml:space="preserve"> </w:t>
      </w:r>
      <w:proofErr w:type="spellStart"/>
      <w:r w:rsidR="00407782">
        <w:rPr>
          <w:rFonts w:ascii="Arial" w:eastAsia="Times New Roman" w:hAnsi="Arial" w:cs="Arial"/>
          <w:sz w:val="20"/>
          <w:szCs w:val="20"/>
        </w:rPr>
        <w:t>Yadvinder</w:t>
      </w:r>
      <w:proofErr w:type="spellEnd"/>
      <w:r w:rsidR="00407782">
        <w:rPr>
          <w:rFonts w:ascii="Arial" w:eastAsia="Times New Roman" w:hAnsi="Arial" w:cs="Arial"/>
          <w:sz w:val="20"/>
          <w:szCs w:val="20"/>
        </w:rPr>
        <w:t xml:space="preserve"> </w:t>
      </w:r>
      <w:proofErr w:type="spellStart"/>
      <w:r w:rsidR="00407782">
        <w:rPr>
          <w:rFonts w:ascii="Arial" w:eastAsia="Times New Roman" w:hAnsi="Arial" w:cs="Arial"/>
          <w:sz w:val="20"/>
          <w:szCs w:val="20"/>
        </w:rPr>
        <w:t>Mahli</w:t>
      </w:r>
      <w:proofErr w:type="spellEnd"/>
      <w:r w:rsidR="00407782">
        <w:rPr>
          <w:rFonts w:ascii="Arial" w:eastAsia="Times New Roman" w:hAnsi="Arial" w:cs="Arial"/>
          <w:sz w:val="20"/>
          <w:szCs w:val="20"/>
        </w:rPr>
        <w:t>, Nigel Fisher, and the</w:t>
      </w:r>
      <w:r w:rsidR="00E93B16">
        <w:rPr>
          <w:rFonts w:ascii="Arial" w:eastAsia="Times New Roman" w:hAnsi="Arial" w:cs="Arial"/>
          <w:sz w:val="20"/>
          <w:szCs w:val="20"/>
        </w:rPr>
        <w:t xml:space="preserve"> University of Oxford </w:t>
      </w:r>
      <w:r w:rsidR="00FE5582">
        <w:rPr>
          <w:rFonts w:ascii="Arial" w:eastAsia="Times New Roman" w:hAnsi="Arial" w:cs="Arial"/>
          <w:sz w:val="20"/>
          <w:szCs w:val="20"/>
        </w:rPr>
        <w:t xml:space="preserve">for facilitating </w:t>
      </w:r>
      <w:r w:rsidR="00214280">
        <w:rPr>
          <w:rFonts w:ascii="Arial" w:eastAsia="Times New Roman" w:hAnsi="Arial" w:cs="Arial"/>
          <w:sz w:val="20"/>
          <w:szCs w:val="20"/>
        </w:rPr>
        <w:t xml:space="preserve">access to </w:t>
      </w:r>
      <w:proofErr w:type="spellStart"/>
      <w:r w:rsidR="00214280">
        <w:rPr>
          <w:rFonts w:ascii="Arial" w:eastAsia="Times New Roman" w:hAnsi="Arial" w:cs="Arial"/>
          <w:sz w:val="20"/>
          <w:szCs w:val="20"/>
        </w:rPr>
        <w:t>Wytham</w:t>
      </w:r>
      <w:proofErr w:type="spellEnd"/>
      <w:r w:rsidR="00214280">
        <w:rPr>
          <w:rFonts w:ascii="Arial" w:eastAsia="Times New Roman" w:hAnsi="Arial" w:cs="Arial"/>
          <w:sz w:val="20"/>
          <w:szCs w:val="20"/>
        </w:rPr>
        <w:t xml:space="preserve"> Woods, </w:t>
      </w:r>
      <w:proofErr w:type="gramStart"/>
      <w:r w:rsidR="00214280">
        <w:rPr>
          <w:rFonts w:ascii="Arial" w:eastAsia="Times New Roman" w:hAnsi="Arial" w:cs="Arial"/>
          <w:sz w:val="20"/>
          <w:szCs w:val="20"/>
        </w:rPr>
        <w:t>and</w:t>
      </w:r>
      <w:r w:rsidR="00135FC7">
        <w:rPr>
          <w:rFonts w:ascii="Arial" w:eastAsia="Times New Roman" w:hAnsi="Arial" w:cs="Arial"/>
          <w:sz w:val="20"/>
          <w:szCs w:val="20"/>
        </w:rPr>
        <w:t xml:space="preserve"> also</w:t>
      </w:r>
      <w:proofErr w:type="gramEnd"/>
      <w:r w:rsidR="00214280">
        <w:rPr>
          <w:rFonts w:ascii="Arial" w:eastAsia="Times New Roman" w:hAnsi="Arial" w:cs="Arial"/>
          <w:sz w:val="20"/>
          <w:szCs w:val="20"/>
        </w:rPr>
        <w:t xml:space="preserve"> extend thanks to </w:t>
      </w:r>
      <w:r w:rsidR="00154882">
        <w:rPr>
          <w:rFonts w:ascii="Arial" w:eastAsia="Times New Roman" w:hAnsi="Arial" w:cs="Arial"/>
          <w:sz w:val="20"/>
          <w:szCs w:val="20"/>
        </w:rPr>
        <w:t xml:space="preserve">Charles George, </w:t>
      </w:r>
      <w:r w:rsidR="00214280">
        <w:rPr>
          <w:rFonts w:ascii="Arial" w:eastAsia="Times New Roman" w:hAnsi="Arial" w:cs="Arial"/>
          <w:sz w:val="20"/>
          <w:szCs w:val="20"/>
        </w:rPr>
        <w:t>Harry Morris and Julio Pastor-Guzman for assistance with</w:t>
      </w:r>
      <w:r w:rsidR="00154882">
        <w:rPr>
          <w:rFonts w:ascii="Arial" w:eastAsia="Times New Roman" w:hAnsi="Arial" w:cs="Arial"/>
          <w:sz w:val="20"/>
          <w:szCs w:val="20"/>
        </w:rPr>
        <w:t xml:space="preserve"> instrument deployment and</w:t>
      </w:r>
      <w:r w:rsidR="00214280">
        <w:rPr>
          <w:rFonts w:ascii="Arial" w:eastAsia="Times New Roman" w:hAnsi="Arial" w:cs="Arial"/>
          <w:sz w:val="20"/>
          <w:szCs w:val="20"/>
        </w:rPr>
        <w:t xml:space="preserve"> </w:t>
      </w:r>
      <w:r w:rsidR="00154882">
        <w:rPr>
          <w:rFonts w:ascii="Arial" w:eastAsia="Times New Roman" w:hAnsi="Arial" w:cs="Arial"/>
          <w:sz w:val="20"/>
          <w:szCs w:val="20"/>
        </w:rPr>
        <w:t>the collection of field data.</w:t>
      </w:r>
      <w:r w:rsidR="002441BC">
        <w:rPr>
          <w:rFonts w:ascii="Arial" w:eastAsia="Times New Roman" w:hAnsi="Arial" w:cs="Arial"/>
          <w:sz w:val="20"/>
          <w:szCs w:val="20"/>
        </w:rPr>
        <w:t xml:space="preserve">  </w:t>
      </w:r>
      <w:r w:rsidR="00032B7A">
        <w:rPr>
          <w:rFonts w:ascii="Arial" w:eastAsia="Times New Roman" w:hAnsi="Arial" w:cs="Arial"/>
          <w:sz w:val="20"/>
          <w:szCs w:val="20"/>
        </w:rPr>
        <w:t xml:space="preserve">Gratitude is extended to Mark Roberts and the </w:t>
      </w:r>
      <w:proofErr w:type="spellStart"/>
      <w:r w:rsidR="00032B7A">
        <w:rPr>
          <w:rFonts w:ascii="Arial" w:eastAsia="Times New Roman" w:hAnsi="Arial" w:cs="Arial"/>
          <w:sz w:val="20"/>
          <w:szCs w:val="20"/>
        </w:rPr>
        <w:t>Habortronics</w:t>
      </w:r>
      <w:proofErr w:type="spellEnd"/>
      <w:r w:rsidR="00032B7A">
        <w:rPr>
          <w:rFonts w:ascii="Arial" w:eastAsia="Times New Roman" w:hAnsi="Arial" w:cs="Arial"/>
          <w:sz w:val="20"/>
          <w:szCs w:val="20"/>
        </w:rPr>
        <w:t xml:space="preserve"> team for their willingness to perform modifications to the standard </w:t>
      </w:r>
      <w:proofErr w:type="spellStart"/>
      <w:r w:rsidR="00032B7A">
        <w:rPr>
          <w:rFonts w:ascii="Arial" w:eastAsia="Times New Roman" w:hAnsi="Arial" w:cs="Arial"/>
          <w:sz w:val="20"/>
          <w:szCs w:val="20"/>
        </w:rPr>
        <w:t>Cyclapse</w:t>
      </w:r>
      <w:proofErr w:type="spellEnd"/>
      <w:r w:rsidR="00032B7A">
        <w:rPr>
          <w:rFonts w:ascii="Arial" w:eastAsia="Times New Roman" w:hAnsi="Arial" w:cs="Arial"/>
          <w:sz w:val="20"/>
          <w:szCs w:val="20"/>
        </w:rPr>
        <w:t xml:space="preserve"> housing and for their support in troubleshooting the </w:t>
      </w:r>
      <w:proofErr w:type="spellStart"/>
      <w:r w:rsidR="00032B7A">
        <w:rPr>
          <w:rFonts w:ascii="Arial" w:eastAsia="Times New Roman" w:hAnsi="Arial" w:cs="Arial"/>
          <w:sz w:val="20"/>
          <w:szCs w:val="20"/>
        </w:rPr>
        <w:t>DigiSnap</w:t>
      </w:r>
      <w:proofErr w:type="spellEnd"/>
      <w:r w:rsidR="00032B7A">
        <w:rPr>
          <w:rFonts w:ascii="Arial" w:eastAsia="Times New Roman" w:hAnsi="Arial" w:cs="Arial"/>
          <w:sz w:val="20"/>
          <w:szCs w:val="20"/>
        </w:rPr>
        <w:t xml:space="preserve"> Pro intervalometer.  Finally, t</w:t>
      </w:r>
      <w:r w:rsidR="002441BC">
        <w:rPr>
          <w:rFonts w:ascii="Arial" w:eastAsia="Times New Roman" w:hAnsi="Arial" w:cs="Arial"/>
          <w:sz w:val="20"/>
          <w:szCs w:val="20"/>
        </w:rPr>
        <w:t>he authors thank the two anonymous reviewers for their constructive comments, which helped to substantially improve the manuscript.</w:t>
      </w:r>
    </w:p>
    <w:p w14:paraId="5BB3EFCF" w14:textId="77777777" w:rsidR="00A72FF4" w:rsidRDefault="00A72FF4">
      <w:pPr>
        <w:rPr>
          <w:rFonts w:ascii="Arial" w:hAnsi="Arial" w:cs="Arial"/>
          <w:sz w:val="20"/>
        </w:rPr>
      </w:pPr>
      <w:r>
        <w:rPr>
          <w:rFonts w:ascii="Arial" w:hAnsi="Arial" w:cs="Arial"/>
          <w:sz w:val="20"/>
        </w:rPr>
        <w:br w:type="page"/>
      </w:r>
    </w:p>
    <w:p w14:paraId="2103AE72" w14:textId="77777777" w:rsidR="006F4891" w:rsidRDefault="00A72FF4" w:rsidP="00E7117E">
      <w:pPr>
        <w:spacing w:after="0" w:line="480" w:lineRule="auto"/>
        <w:jc w:val="both"/>
        <w:rPr>
          <w:rFonts w:ascii="Arial" w:eastAsia="Times New Roman" w:hAnsi="Arial" w:cs="Arial"/>
          <w:sz w:val="20"/>
          <w:szCs w:val="20"/>
        </w:rPr>
      </w:pPr>
      <w:r>
        <w:rPr>
          <w:rFonts w:ascii="Arial" w:eastAsia="Times New Roman" w:hAnsi="Arial" w:cs="Arial"/>
          <w:b/>
          <w:sz w:val="20"/>
          <w:szCs w:val="20"/>
        </w:rPr>
        <w:lastRenderedPageBreak/>
        <w:t>References</w:t>
      </w:r>
    </w:p>
    <w:p w14:paraId="430A84A0" w14:textId="14D0E60D" w:rsidR="00B674A0" w:rsidRPr="00B674A0" w:rsidRDefault="008747E1" w:rsidP="00B674A0">
      <w:pPr>
        <w:widowControl w:val="0"/>
        <w:autoSpaceDE w:val="0"/>
        <w:autoSpaceDN w:val="0"/>
        <w:adjustRightInd w:val="0"/>
        <w:spacing w:line="480" w:lineRule="auto"/>
        <w:ind w:left="480" w:hanging="480"/>
        <w:rPr>
          <w:rFonts w:ascii="Arial" w:hAnsi="Arial" w:cs="Arial"/>
          <w:noProof/>
          <w:sz w:val="20"/>
          <w:szCs w:val="24"/>
        </w:rPr>
      </w:pPr>
      <w:r>
        <w:rPr>
          <w:rFonts w:ascii="Arial" w:eastAsia="Times New Roman" w:hAnsi="Arial" w:cs="Arial"/>
          <w:sz w:val="20"/>
          <w:szCs w:val="20"/>
        </w:rPr>
        <w:fldChar w:fldCharType="begin" w:fldLock="1"/>
      </w:r>
      <w:r>
        <w:rPr>
          <w:rFonts w:ascii="Arial" w:eastAsia="Times New Roman" w:hAnsi="Arial" w:cs="Arial"/>
          <w:sz w:val="20"/>
          <w:szCs w:val="20"/>
        </w:rPr>
        <w:instrText xml:space="preserve">ADDIN Mendeley Bibliography CSL_BIBLIOGRAPHY </w:instrText>
      </w:r>
      <w:r>
        <w:rPr>
          <w:rFonts w:ascii="Arial" w:eastAsia="Times New Roman" w:hAnsi="Arial" w:cs="Arial"/>
          <w:sz w:val="20"/>
          <w:szCs w:val="20"/>
        </w:rPr>
        <w:fldChar w:fldCharType="separate"/>
      </w:r>
      <w:r w:rsidR="00B674A0" w:rsidRPr="00B674A0">
        <w:rPr>
          <w:rFonts w:ascii="Arial" w:hAnsi="Arial" w:cs="Arial"/>
          <w:noProof/>
          <w:sz w:val="20"/>
          <w:szCs w:val="24"/>
        </w:rPr>
        <w:t>Albert, L.P., Restrepo</w:t>
      </w:r>
      <w:r w:rsidR="00B674A0" w:rsidRPr="00B674A0">
        <w:rPr>
          <w:rFonts w:ascii="Cambria Math" w:hAnsi="Cambria Math" w:cs="Cambria Math"/>
          <w:noProof/>
          <w:sz w:val="20"/>
          <w:szCs w:val="24"/>
        </w:rPr>
        <w:t>‐</w:t>
      </w:r>
      <w:r w:rsidR="00B674A0" w:rsidRPr="00B674A0">
        <w:rPr>
          <w:rFonts w:ascii="Arial" w:hAnsi="Arial" w:cs="Arial"/>
          <w:noProof/>
          <w:sz w:val="20"/>
          <w:szCs w:val="24"/>
        </w:rPr>
        <w:t>Coupe, N., Smith, M.N., Wu, J., Chavana</w:t>
      </w:r>
      <w:r w:rsidR="00B674A0" w:rsidRPr="00B674A0">
        <w:rPr>
          <w:rFonts w:ascii="Cambria Math" w:hAnsi="Cambria Math" w:cs="Cambria Math"/>
          <w:noProof/>
          <w:sz w:val="20"/>
          <w:szCs w:val="24"/>
        </w:rPr>
        <w:t>‐</w:t>
      </w:r>
      <w:r w:rsidR="00B674A0" w:rsidRPr="00B674A0">
        <w:rPr>
          <w:rFonts w:ascii="Arial" w:hAnsi="Arial" w:cs="Arial"/>
          <w:noProof/>
          <w:sz w:val="20"/>
          <w:szCs w:val="24"/>
        </w:rPr>
        <w:t>Bryant, C., Prohaska, N., Taylor, T.C., Martins, G.A., Ciais, P., Mao, J., Arain, M.A., Li, W., Shi, X., Ricciuto, D.M., Huxman, T.E., McMahon, S.M., Saleska, S.R., 2019. Cryptic phenology in plants: Case studies, implications, and recommendations. Glob. Chang. Biol. 25, 3591–3608. https://doi.org/10.1111/gcb.14759</w:t>
      </w:r>
    </w:p>
    <w:p w14:paraId="058ECC2A"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Atkinson, P.M., Jeganathan, C., Dash, J., Atzberger, C., 2012. Inter-comparison of four models for smoothing satellite sensor time-series data to estimate vegetation phenology. Remote Sens. Environ. 123, 400–417. https://doi.org/10.1016/j.rse.2012.04.001</w:t>
      </w:r>
    </w:p>
    <w:p w14:paraId="523B1929"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Baret, F., Weiss, M., Allard, D., Garrigues, S., Leroy, M., Jeanjean, H., Fernandes, R., Myneni, R., Privette, J., Morisette, J., Bohbot, H., 2005. VALERI : a network of sites and a methodology for the validation of medium spatial resolution land satellite products. Institut National de la Recherche Agronomique, Avignon, France.</w:t>
      </w:r>
    </w:p>
    <w:p w14:paraId="404112A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Bater, C.W., Coops, N.C., Wulder, M.A., Hilker, T., Nielsen, S.E., McDermid, G., Stenhouse, G.B., 2011. Using digital time-lapse cameras to monitor species-specific understorey and overstorey phenology in support of wildlife habitat assessment. Environ. Monit. Assess. 180, 1–13. https://doi.org/10.1007/s10661-010-1768-x</w:t>
      </w:r>
    </w:p>
    <w:p w14:paraId="1B76A6C8"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Baumann, M., Ozdogan, M., Richardson, A.D., Radeloff, V.C., 2017. Phenology from Landsat when data is scarce: Using MODIS and Dynamic Time-Warping to combine multi-year Landsat imagery to derive annual phenology curves. Int. J. Appl. Earth Obs. Geoinf. 54, 72–83. https://doi.org/10.1016/j.jag.2016.09.005</w:t>
      </w:r>
    </w:p>
    <w:p w14:paraId="31E90D0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Beck, P.S.A., Atzberger, C., Høgda, K.A., Johansen, B., Skidmore, A.K., 2006. Improved monitoring of vegetation dynamics at very high latitudes: A new method using MODIS NDVI. Remote Sens. Environ. 100, 321–334. https://doi.org/10.1016/j.rse.2005.10.021</w:t>
      </w:r>
    </w:p>
    <w:p w14:paraId="54A51B6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 xml:space="preserve">Beer, C., Reichstein, M., Tomelleri, E., Ciais, P., Jung, M., Carvalhais, N., Rodenbeck, C., Arain, M.A., Baldocchi, D., Bonan, G.B., Bondeau, A., Cescatti, A., Lasslop, G., Lindroth, A., Lomas, M., Luyssaert, S., Margolis, H., Oleson, K.W., Roupsard, O., Veenendaal, E., Viovy, N., Williams, C., Woodward, F.I., Papale, D., 2010. Terrestrial Gross Carbon Dioxide Uptake: Global Distribution and Covariation with Climate. Science (80-. ). 329, 834–838. </w:t>
      </w:r>
      <w:r w:rsidRPr="00B674A0">
        <w:rPr>
          <w:rFonts w:ascii="Arial" w:hAnsi="Arial" w:cs="Arial"/>
          <w:noProof/>
          <w:sz w:val="20"/>
          <w:szCs w:val="24"/>
        </w:rPr>
        <w:lastRenderedPageBreak/>
        <w:t>https://doi.org/10.1126/science.1184984</w:t>
      </w:r>
    </w:p>
    <w:p w14:paraId="5D1A480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Bréda, N.J.J., 2003. Ground-based measurements of leaf area index: a review of methods, instruments and current controversies. J. Exp. Bot. 54, 2403–2417. https://doi.org/10.1093/jxb/erg263</w:t>
      </w:r>
    </w:p>
    <w:p w14:paraId="5449A15C"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Brede, B., Gastellu-Etchegorry, J.-P., Lauret, N., Baret, F., Clevers, J., Verbesselt, J., Herold, M., 2018. Monitoring Forest Phenology and Leaf Area Index with the Autonomous, Low-Cost Transmittance Sensor PASTiS-57. Remote Sens. 10, 1032. https://doi.org/10.3390/rs10071032</w:t>
      </w:r>
    </w:p>
    <w:p w14:paraId="27C03372"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Brown, L.A., Dash, J., Ogutu, B.O., Richardson, A.D., 2017. On the relationship between continuous measures of canopy greenness derived using near-surface remote sensing and satellite-derived vegetation products. Agric. For. Meteorol. 247, 280–292. https://doi.org/10.1016/j.agrformet.2017.08.012</w:t>
      </w:r>
    </w:p>
    <w:p w14:paraId="13825AE8"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Brown, L.A., Ogutu, B.O., Dash, J., 2019. Estimating Forest Leaf Area Index and Canopy Chlorophyll Content with Sentinel-2: An Evaluation of Two Hybrid Retrieval Algorithms. Remote Sens. 11, 1752. https://doi.org/10.3390/rs11151752</w:t>
      </w:r>
    </w:p>
    <w:p w14:paraId="0AE63C7E"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Calders, K., Origo, N., Burt, A., Disney, M., Nightingale, J., Raumonen, P., Åkerblom, M., Malhi, Y., Lewis, P., 2018a. Realistic Forest Stand Reconstruction from Terrestrial LiDAR for Radiative Transfer Modelling. Remote Sens. 10, 933. https://doi.org/10.3390/rs10060933</w:t>
      </w:r>
    </w:p>
    <w:p w14:paraId="3DAB68D1"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Calders, K., Origo, N., Disney, M., Nightingale, J., Woodgate, W., Armston, J., Lewis, P., 2018b. Variability and bias in active and passive ground-based measurements of effective plant, wood and leaf area index. Agric. For. Meteorol. 252, 231–240. https://doi.org/10.1016/j.agrformet.2018.01.029</w:t>
      </w:r>
    </w:p>
    <w:p w14:paraId="73E0F8DB"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Canisius, F., Fernandes, R., Chen, J., 2010. Comparison and evaluation of Medium Resolution Imaging Spectrometer leaf area index products across a range of land use. Remote Sens. Environ. 114, 950–960. https://doi.org/10.1016/j.rse.2009.12.010</w:t>
      </w:r>
    </w:p>
    <w:p w14:paraId="18B7EF15"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Chianucci, F., Cutini, A., 2013. Estimation of canopy properties in deciduous forests with digital hemispherical and cover photography. Agric. For. Meteorol. 168, 130–139. https://doi.org/10.1016/j.agrformet.2012.09.002</w:t>
      </w:r>
    </w:p>
    <w:p w14:paraId="635BC67A"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lastRenderedPageBreak/>
        <w:t>Chianucci, F., Cutini, A., 2012. Digital hemispherical photography for estimating forest canopy properties: current controversies and opportunities. iForest - Biogeosciences For. 5, 290–295. https://doi.org/10.3832/ifor0775-005</w:t>
      </w:r>
    </w:p>
    <w:p w14:paraId="52DA2BF5"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Coops, N.C., Hilker, T., Bater, C.W., Wulder, M.A., Nielsen, S.E., McDermid, G., Stenhouse, G., 2012. Linking ground-based to satellite-derived phenological metrics in support of habitat assessment. Remote Sens. Lett. 3, 191–200. https://doi.org/10.1080/01431161.2010.550330</w:t>
      </w:r>
    </w:p>
    <w:p w14:paraId="16D53697"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Delegido, J., Verrelst, J., Rivera, J.P., Ruiz-Verdú, A., Moreno, J., 2015. Brown and green LAI mapping through spectral indices. Int. J. Appl. Earth Obs. Geoinf. 35, 350–358. https://doi.org/10.1016/j.jag.2014.10.001</w:t>
      </w:r>
    </w:p>
    <w:p w14:paraId="0C9BF781"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Elmore, A.J., Guinn, S.M., Minsley, B.J., Richardson, A.D., 2012. Landscape controls on the timing of spring, autumn, and growing season length in mid-Atlantic forests. Glob. Chang. Biol. 18, 656–674. https://doi.org/10.1111/j.1365-2486.2011.02521.x</w:t>
      </w:r>
    </w:p>
    <w:p w14:paraId="5672CFA0"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Fang, H., Ye, Y., Liu, W., Wei, S., Ma, L., 2018. Continuous estimation of canopy leaf area index (LAI) and clumping index over broadleaf crop fields: An investigation of the PASTIS-57 instrument and smartphone applications. Agric. For. Meteorol. 253–254, 48–61. https://doi.org/10.1016/j.agrformet.2018.02.003</w:t>
      </w:r>
    </w:p>
    <w:p w14:paraId="0D941D12"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FAO, 2015. Global Forest Resources Assessment 2015. Food and Agriculture Organizaion of the United Nations, Rome, Italy.</w:t>
      </w:r>
    </w:p>
    <w:p w14:paraId="062BFD41"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Filippa, G., Cremonese, E., Migliavacca, M., Galvagno, M., Sonnentag, O., Humphreys, E., Hufkens, K., Ryu, Y., Verfaillie, J., Morra di Cella, U., Richardson, A.D., 2018. NDVI derived from near-infrared-enabled digital cameras: Applicability across different plant functional types. Agric. For. Meteorol. 249, 275–285. https://doi.org/10.1016/j.agrformet.2017.11.003</w:t>
      </w:r>
    </w:p>
    <w:p w14:paraId="609F658D"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Garrigues, S., Shabanov, N.V., Swanson, K., Morisette, J.T., Baret, F., Myneni, R.B., 2008. Intercomparison and sensitivity analysis of Leaf Area Index retrievals from LAI-2000, AccuPAR, and digital hemispherical photography over croplands. Agric. For. Meteorol. 148, 1193–1209. https://doi.org/10.1016/j.agrformet.2008.02.014</w:t>
      </w:r>
    </w:p>
    <w:p w14:paraId="5E07C23D"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 xml:space="preserve">Haboudane, D., Miller, J.R., Pattey, E., Zarco-Tejada, P.J., Strachan, I.B., 2004. Hyperspectral vegetation indices and novel algorithms for predicting green LAI of crop canopies: Modeling and </w:t>
      </w:r>
      <w:r w:rsidRPr="00B674A0">
        <w:rPr>
          <w:rFonts w:ascii="Arial" w:hAnsi="Arial" w:cs="Arial"/>
          <w:noProof/>
          <w:sz w:val="20"/>
          <w:szCs w:val="24"/>
        </w:rPr>
        <w:lastRenderedPageBreak/>
        <w:t>validation in the context of precision agriculture. Remote Sens. Environ. 90, 337–352. https://doi.org/10.1016/j.rse.2003.12.013</w:t>
      </w:r>
    </w:p>
    <w:p w14:paraId="6AB38D3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Hufkens, K., Friedl, M., Sonnentag, O., Braswell, B.H., Milliman, T., Richardson, A.D., 2012. Linking near-surface and satellite remote sensing measurements of deciduous broadleaf forest phenology. Remote Sens. Environ. 117, 307–321. https://doi.org/10.1016/j.rse.2011.10.006</w:t>
      </w:r>
    </w:p>
    <w:p w14:paraId="053CE51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Jonckheere, I., Fleck, S., Nackaerts, K., Muys, B., Coppin, P., Weiss, M., Baret, F., 2004. Review of methods for in situ leaf area index determination. Agric. For. Meteorol. 121, 19–35. https://doi.org/10.1016/j.agrformet.2003.08.027</w:t>
      </w:r>
    </w:p>
    <w:p w14:paraId="0C2CD3E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Jonckheere, I., Nackaerts, K., Muys, B., Coppin, P., 2005. Assessment of automatic gap fraction estimation of forests from digital hemispherical photography. Agric. For. Meteorol. 132, 96–114. https://doi.org/10.1016/j.agrformet.2005.06.003</w:t>
      </w:r>
    </w:p>
    <w:p w14:paraId="2ECB3CFC"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Keenan, T.F., Darby, B., Felts, E., Sonnentag, O., Friedl, M.A., Hufkens, K., O’Keefe, J., Klosterman, S., Munger, J.W., Toomey, M., Richardson, A.D., 2014. Tracking forest phenology and seasonal physiology using digital repeat photography: a critical assessment. Ecol. Appl. 24, 1478–1489. https://doi.org/10.1890/13-0652.1</w:t>
      </w:r>
    </w:p>
    <w:p w14:paraId="45EF5C20"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Kim, J., Ryu, Y., Jiang, C., Hwang, Y., 2019. Continuous observation of vegetation canopy dynamics using an integrated low-cost, near-surface remote sensing system. Agric. For. Meteorol. 264, 164–177. https://doi.org/10.1016/j.agrformet.2018.09.014</w:t>
      </w:r>
    </w:p>
    <w:p w14:paraId="0AAE0388"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Klosterman, S.T., Hufkens, K., Gray, J.M., Melaas, E., Sonnentag, O., Lavine, I., Mitchell, L., Norman, R., Friedl, M.A., Richardson, A.D., 2014. Evaluating remote sensing of deciduous forest phenology at multiple spatial scales using PhenoCam imagery. Biogeosciences 11, 4305–4320. https://doi.org/10.5194/bg-11-4305-2014</w:t>
      </w:r>
    </w:p>
    <w:p w14:paraId="50CA2BF5"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Lang, A.R.G., Yueqin, X., 1986. Estimation of leaf area index from transmission of direct sunlight in discontinuous canopies. Agric. For. Meteorol. 37, 229–243. https://doi.org/10.1016/0168-1923(86)90033-X</w:t>
      </w:r>
    </w:p>
    <w:p w14:paraId="77052EA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Leblanc, S.G., Chen, J.M., 2001. A practical scheme for correcting multiple scattering effects on optical LAI measurements. Agric. For. Meteorol. 110, 125–139. https://doi.org/10.1016/S0168-1923(01)00284-2</w:t>
      </w:r>
    </w:p>
    <w:p w14:paraId="1CDB4536"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lastRenderedPageBreak/>
        <w:t>Leblanc, S.G., Chen, J.M., Fernandes, R., Deering, D.W., Conley, A., 2005. Methodology comparison for canopy structure parameters extraction from digital hemispherical photography in boreal forests. Agric. For. Meteorol. 129, 187–207. https://doi.org/10.1016/j.agrformet.2004.09.006</w:t>
      </w:r>
    </w:p>
    <w:p w14:paraId="22FAF75E"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LI-COR, 2013. LAI-2200C Plant Canopy Analyser Instruction Manual. LI-COR, Lincoln, Nebraska, United States.</w:t>
      </w:r>
    </w:p>
    <w:p w14:paraId="10F0A752"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Li, W., Weiss, M., Waldner, F., Defourny, P., Demarez, V., Morin, D., Hagolle, O., Baret, F., 2015. A Generic Algorithm to Estimate LAI, FAPAR and FCOVER Variables from SPOT4_HRVIR and Landsat Sensors: Evaluation of the Consistency and Comparison with Ground Measurements. Remote Sens. 7, 15494–15516. https://doi.org/10.3390/rs71115494</w:t>
      </w:r>
    </w:p>
    <w:p w14:paraId="7B4FA3EA"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Liu, Y., Hill, M.J., Zhang, X., Wang, Z., Richardson, A.D., Hufkens, K., Filippa, G., Baldocchi, D.D., Ma, S., Verfaillie, J., Schaaf, C.B., 2017. Using data from Landsat, MODIS, VIIRS and PhenoCams to monitor the phenology of California oak/grass savanna and open grassland across spatial scales. Agric. For. Meteorol. 237–238, 311–325. https://doi.org/10.1016/j.agrformet.2017.02.026</w:t>
      </w:r>
    </w:p>
    <w:p w14:paraId="395051E0"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Macfarlane, C., Grigg, A., Evangelista, C., 2007a. Estimating forest leaf area using cover and fullframe fisheye photography: Thinking inside the circle. Agric. For. Meteorol. 146, 1–12. https://doi.org/10.1016/j.agrformet.2007.05.001</w:t>
      </w:r>
    </w:p>
    <w:p w14:paraId="5961E09B"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Macfarlane, C., Hoffman, M., Eamus, D., Kerp, N., Higginson, S., McMurtrie, R., Adams, M., 2007b. Estimation of leaf area index in eucalypt forest using digital photography. Agric. For. Meteorol. 143, 176–188. https://doi.org/10.1016/j.agrformet.2006.10.013</w:t>
      </w:r>
    </w:p>
    <w:p w14:paraId="1AF2792C"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Macfarlane, C., Ryu, Y., Ogden, G.N., Sonnentag, O., 2014. Digital canopy photography: Exposed and in the raw. Agric. For. Meteorol. 197, 244–253. https://doi.org/10.1016/j.agrformet.2014.05.014</w:t>
      </w:r>
    </w:p>
    <w:p w14:paraId="631F3EC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Majasalmi, T., Rautiainen, M., Stenberg, P., Rita, H., 2012. Optimizing the sampling scheme for LAI-2000 measurements in a boreal forest. Agric. For. Meteorol. 154–155, 38–43. https://doi.org/10.1016/j.agrformet.2011.10.002</w:t>
      </w:r>
    </w:p>
    <w:p w14:paraId="40B98362"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 xml:space="preserve">Melaas, E.K., Sulla-Menashe, D., Gray, J.M., Black, T.A., Morin, T.H., Richardson, A.D., Friedl, M.A., 2016. Multisite analysis of land surface phenology in North American temperate and boreal </w:t>
      </w:r>
      <w:r w:rsidRPr="00B674A0">
        <w:rPr>
          <w:rFonts w:ascii="Arial" w:hAnsi="Arial" w:cs="Arial"/>
          <w:noProof/>
          <w:sz w:val="20"/>
          <w:szCs w:val="24"/>
        </w:rPr>
        <w:lastRenderedPageBreak/>
        <w:t>deciduous forests from Landsat. Remote Sens. Environ. 186, 452–464. https://doi.org/10.1016/j.rse.2016.09.014</w:t>
      </w:r>
    </w:p>
    <w:p w14:paraId="27F22DEE"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Miller, J., 1967. A formula for average foliage density. Aust. J. Bot. 15, 141–144. https://doi.org/10.1071/BT9670141</w:t>
      </w:r>
    </w:p>
    <w:p w14:paraId="10D8C972"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Nagai, S., Akitsu, T., Saitoh, T.M., Busey, R.C., Fukuzawa, K., Honda, Y., Ichie, T., Ide, R., Ikawa, H., Iwasaki, A., Iwao, K., Kajiwara, K., Kang, S., Kim, Y., Khoon, K.L., Kononov, A. V., Kosugi, Y., Maeda, T., Mamiya, W., Matsuoka, M., Maximov, T.C., Menzel, A., Miura, T., Mizunuma, T., Morozumi, T., Motohka, T., Muraoka, H., Nagano, H., Nakai, T., Nakaji, T., Oguma, H., Ohta, T., Ono, K., Pungga, R.A.S., Petrov, R.E., Sakai, R., Schunk, C., Sekikawa, S., Shakhmatov, R., Son, Y., Sugimoto, A., Suzuki, R., Takagi, K., Takanashi, S., Tei, S., Tsuchida, S., Yamamoto, H., Yamasaki, E., Yamashita, M., Yoon, T.K., Yoshida, T., Yoshimura, M., Yoshitake, S., Wilkinson, M., Wingate, L., Nasahara, K.N., 2018. 8 million phenological and sky images from 29 ecosystems from the Arctic to the tropics: the Phenological Eyes Network. Ecol. Res. 33, 1091–1092. https://doi.org/10.1007/s11284-018-1633-x</w:t>
      </w:r>
    </w:p>
    <w:p w14:paraId="67B4E6EA"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Nijland, W., Bolton, D.K., Coops, N.C., Stenhouse, G., 2016. Imaging phenology; scaling from camera plots to landscapes. Remote Sens. Environ. 177, 13–20. https://doi.org/10.1016/j.rse.2016.02.018</w:t>
      </w:r>
    </w:p>
    <w:p w14:paraId="220B8A4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Origo, N., Calders, K., Nightingale, J., Disney, M., 2017. Influence of levelling technique on the retrieval of canopy structural parameters from digital hemispherical photography. Agric. For. Meteorol. 237–238, 143–149. https://doi.org/10.1016/j.agrformet.2017.02.004</w:t>
      </w:r>
    </w:p>
    <w:p w14:paraId="2FC5B05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Pekin, B., Macfarlane, C., 2009. Measurement of Crown Cover and Leaf Area Index Using Digital Cover Photography and Its Application to Remote Sensing. Remote Sens. 1, 1298–1320. https://doi.org/10.3390/rs1041298</w:t>
      </w:r>
    </w:p>
    <w:p w14:paraId="4E0C04C7"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Petach, A.R., Toomey, M., Aubrecht, D.M., Richardson, A.D., 2014. Monitoring vegetation phenology using an infrared-enabled security camera. Agric. For. Meteorol. 195–196, 143–151. https://doi.org/10.1016/j.agrformet.2014.05.008</w:t>
      </w:r>
    </w:p>
    <w:p w14:paraId="3E201F15"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 xml:space="preserve">Pisek, J., Sonnentag, O., Richardson, A.D., Mõttus, M., 2013. Is the spherical leaf inclination angle distribution a valid assumption for temperate and boreal broadleaf tree species? Agric. For. </w:t>
      </w:r>
      <w:r w:rsidRPr="00B674A0">
        <w:rPr>
          <w:rFonts w:ascii="Arial" w:hAnsi="Arial" w:cs="Arial"/>
          <w:noProof/>
          <w:sz w:val="20"/>
          <w:szCs w:val="24"/>
        </w:rPr>
        <w:lastRenderedPageBreak/>
        <w:t>Meteorol. 169, 186–194. https://doi.org/10.1016/j.agrformet.2012.10.011</w:t>
      </w:r>
    </w:p>
    <w:p w14:paraId="71554BD5"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Pueschel, P., Buddenbaum, H., Hill, J., 2012. An efficient approach to standardizing the processing of hemispherical images for the estimation of forest structural attributes. Agric. For. Meteorol. 160, 1–13. https://doi.org/10.1016/j.agrformet.2012.02.007</w:t>
      </w:r>
    </w:p>
    <w:p w14:paraId="704B1719"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Qu, Y., Han, W., Fu, L., Li, C., Song, J., Zhou, H., Bo, Y., Wang, J., 2014. LAINet – A wireless sensor network for coniferous forest leaf area index measurement: Design, algorithm and validation. Comput. Electron. Agric. 108, 200–208. https://doi.org/10.1016/j.compag.2014.08.003</w:t>
      </w:r>
    </w:p>
    <w:p w14:paraId="0BC20981"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Richardson, A.D., Braswell, B.H., Hollinger, D.Y., Jenkins, J.P., Ollinger, S. V., 2009. Near-surface remote sensing of spatial and temporal variation in canopy phenology. Ecol. Appl. 19, 1417–1428. https://doi.org/10.1890/08-2022.1</w:t>
      </w:r>
    </w:p>
    <w:p w14:paraId="2DF3513D"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Richardson, A.D., Hufkens, K., Milliman, T., Aubrecht, D.M., Chen, M., Gray, J.M., Johnston, M.R., Keenan, T.F., Klosterman, S.T., Kosmala, M., Melaas, E.K., Friedl, M.A., Frolking, S., 2018a. Tracking vegetation phenology across diverse North American biomes using PhenoCam imagery. Sci. Data 5, 180028. https://doi.org/10.1038/sdata.2018.28</w:t>
      </w:r>
    </w:p>
    <w:p w14:paraId="6A804D8D"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Richardson, A.D., Hufkens, K., Milliman, T., Frolking, S., 2018b. Intercomparison of phenological transition dates derived from the PhenoCam Dataset V1.0 and MODIS satellite remote sensing. Sci. Rep. 8, 5679. https://doi.org/10.1038/s41598-018-23804-6</w:t>
      </w:r>
    </w:p>
    <w:p w14:paraId="572C037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Richardson, A.D., Jenkins, J.P., Braswell, B.H., Hollinger, D.Y., Ollinger, S. V, Smith, M.-L., 2007. Use of digital webcam images to track spring green-up in a deciduous broadleaf forest. Oecologia 152, 323–334. https://doi.org/10.1007/s00442-006-0657-z</w:t>
      </w:r>
    </w:p>
    <w:p w14:paraId="4E8F00D8"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Richardson, A.D., Keenan, T.F., Migliavacca, M., Ryu, Y., Sonnentag, O., Toomey, M., 2013. Climate change, phenology, and phenological control of vegetation feedbacks to the climate system. Agric. For. Meteorol. 169, 156–173. https://doi.org/10.1016/j.agrformet.2012.09.012</w:t>
      </w:r>
    </w:p>
    <w:p w14:paraId="5F2032E9"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Ridler, T.W., Calvard, S., 1978. Picture Thresholding Using an Iterative Selection Method. IEEE Trans. Syst. Man. Cybern. 8, 630–632. https://doi.org/10.1109/TSMC.1978.4310039</w:t>
      </w:r>
    </w:p>
    <w:p w14:paraId="714E09AE"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 xml:space="preserve">Ryu, Y., Baldocchi, D.D., Verfaillie, J., Ma, S., Falk, M., Ruiz-Mercado, I., Hehn, T., Sonnentag, O., 2010a. Testing the performance of a novel spectral reflectance sensor, built with light emitting </w:t>
      </w:r>
      <w:r w:rsidRPr="00B674A0">
        <w:rPr>
          <w:rFonts w:ascii="Arial" w:hAnsi="Arial" w:cs="Arial"/>
          <w:noProof/>
          <w:sz w:val="20"/>
          <w:szCs w:val="24"/>
        </w:rPr>
        <w:lastRenderedPageBreak/>
        <w:t>diodes (LEDs), to monitor ecosystem metabolism, structure and function. Agric. For. Meteorol. 150, 1597–1606. https://doi.org/10.1016/j.agrformet.2010.08.009</w:t>
      </w:r>
    </w:p>
    <w:p w14:paraId="59D64DC6"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Ryu, Y., Lee, G., Jeon, S., Song, Y., Kimm, H., 2014. Monitoring multi-layer canopy spring phenology of temperate deciduous and evergreen forests using low-cost spectral sensors. Remote Sens. Environ. 149, 227–238. https://doi.org/10.1016/j.rse.2014.04.015</w:t>
      </w:r>
    </w:p>
    <w:p w14:paraId="0D727E9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Ryu, Y., Sonnentag, O., Nilson, T., Vargas, R., Kobayashi, H., Wenk, R., Baldocchi, D.D., 2010b. How to quantify tree leaf area index in an open savanna ecosystem: A multi-instrument and multi-model approach. Agric. For. Meteorol. 150, 63–76. https://doi.org/10.1016/j.agrformet.2009.08.007</w:t>
      </w:r>
    </w:p>
    <w:p w14:paraId="7C705D7E"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Ryu, Y., Verfaillie, J., Macfarlane, C., Kobayashi, H., Sonnentag, O., Vargas, R., Ma, S., Baldocchi, D.D., 2012. Continuous observation of tree leaf area index at ecosystem scale using upward-pointing digital cameras. Remote Sens. Environ. 126, 116–125. https://doi.org/10.1016/j.rse.2012.08.027</w:t>
      </w:r>
    </w:p>
    <w:p w14:paraId="7DBFB2C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Sellers, P.J., Dickinson, R.E., Randall, D.A., Betts, A.K., Hall, F.G., Berry, J.A., Collatz, G.J., Denning, A.S., Mooney, H.A., Nobre, C.A., Sato, N., Field, C.B., Henderson-Sellers, A., 1997. Modeling the Exchanges of Energy, Water, and Carbon Between Continents and the Atmosphere. Science (80-. ). 275, 502–9. https://doi.org/10.1126/science.275.5299.502</w:t>
      </w:r>
    </w:p>
    <w:p w14:paraId="3E39FD1E"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Sonnentag, O., Hufkens, K., Teshera-Sterne, C., Young, A.M., Friedl, M., Braswell, B.H., Milliman, T., O’Keefe, J., Richardson, A.D., 2012. Digital repeat photography for phenological research in forest ecosystems. Agric. For. Meteorol. 152, 159–177. https://doi.org/10.1016/j.agrformet.2011.09.009</w:t>
      </w:r>
    </w:p>
    <w:p w14:paraId="51B041BD"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Toda, M., Richardson, A.D., 2017. Estimation of plant area index and phenological transition dates from digital repeat photography and radiometric approaches in a hardwood forest in the Northeastern United States. Agric. For. Meteorol. 1–10. https://doi.org/10.1016/j.agrformet.2017.09.004</w:t>
      </w:r>
    </w:p>
    <w:p w14:paraId="71D6C15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 xml:space="preserve">Toomey, M., Friedl, M.A., Frolking, S., Hufkens, K., Klosterman, S., Sonnentag, O., Baldocchi, D.D., Bernacchi, C.J., Biraud, S.C., Bohrer, G., Brzostek, E., Burns, S.P., Coursolle, C., Hollinger, D.Y., Margolis, H.A., McCaughey, H., Monson, R.K., Munger, J.W., Pallardy, S., Phillips, R.P., </w:t>
      </w:r>
      <w:r w:rsidRPr="00B674A0">
        <w:rPr>
          <w:rFonts w:ascii="Arial" w:hAnsi="Arial" w:cs="Arial"/>
          <w:noProof/>
          <w:sz w:val="20"/>
          <w:szCs w:val="24"/>
        </w:rPr>
        <w:lastRenderedPageBreak/>
        <w:t>Torn, M.S., Wharton, S., Zeri, M., Richardson, A.D., 2015. Greenness indices from digital cameras predict the timing and seasonal dynamics of canopy-scale photosynthesis. Ecol. Appl. 25, 99–115. https://doi.org/10.1890/14-0005.1</w:t>
      </w:r>
    </w:p>
    <w:p w14:paraId="56C3B344"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Warren-Wilson, J., 1963. Estimation of foliage denseness and foliage angle by inclined point quadrats. Aust. J. Bot. 11, 95–105.</w:t>
      </w:r>
    </w:p>
    <w:p w14:paraId="2CC12C5E"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Weiss, M., Baret, F., 2017. CAN-EYE V6.4.91 User Manual. Institut National de la Recherche Agronomique, Avignon, France.</w:t>
      </w:r>
    </w:p>
    <w:p w14:paraId="09CFE4D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Weiss, M., Baret, F., Block, T., Koetz, B., Burini, A., Scholze, B., Lecharpentier, P., Brockmann, C., Fernandes, R., Plummer, S., Myneni, R., Gobron, N., Nightingale, J., Schaepman-Strub, G., Camacho, F., Sanchez-Azofeifa, A., 2014. On Line Validation Exercise (OLIVE): A Web Based Service for the Validation of Medium Resolution Land Products. Application to FAPAR Products. Remote Sens. 6, 4190–4216. https://doi.org/10.3390/rs6054190</w:t>
      </w:r>
    </w:p>
    <w:p w14:paraId="078C06DF"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Weiss, M., Baret, F., Smith, G.J., Jonckheere, I., Coppin, P., 2004. Review of methods for in situ leaf area index (LAI) determination Part II: Estimation of LAI, errors and sampling. Agric. For. Meteorol. 121, 37–53. https://doi.org/10.1016/j.agrformet.2003.08.001</w:t>
      </w:r>
    </w:p>
    <w:p w14:paraId="21F053E8"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Welles, J.M., Norman, J.M., 1991. Instrument for Indirect Measurement of Canopy Architecture. Agron. J. 83, 818–825. https://doi.org/10.2134/agronj1991.00021962008300050009x</w:t>
      </w:r>
    </w:p>
    <w:p w14:paraId="1BCFBC48"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Wingate, L., Ogée, J., Cremonese, E., Filippa, G., Mizunuma, T., Migliavacca, M., Moisy, C., Wilkinson, M., Moureaux, C., Wohlfahrt, G., Hammerle, A., Hörtnagl, L., Gimeno, C., Porcar-Castell, A., Galvagno, M., Nakaji, T., Morison, J., Kolle, O., Knohl, A., Kutsch, W., Kolari, P., Nikinmaa, E., Ibrom, A., Gielen, B., Eugster, W., Balzarolo, M., Papale, D., Klumpp, K., Köstner, B., Grünwald, T., Joffre, R., Ourcival, J.-M., Hellstrom, M., Lindroth, A., George, C., Longdoz, B., Genty, B., Levula, J., Heinesch, B., Sprintsin, M., Yakir, D., Manise, T., Guyon, D., Ahrends, H., Plaza-Aguilar, A., Guan, J.H., Grace, J., 2015. Interpreting canopy development and physiology using a European phenology camera network at flux sites. Biogeosciences 12, 5995–6015. https://doi.org/10.5194/bg-12-5995-2015</w:t>
      </w:r>
    </w:p>
    <w:p w14:paraId="0B76D733"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 xml:space="preserve">Yang, X., Tang, J., Mustard, J.F., 2014. Beyond leaf color: Comparing camera-based phenological metrics with leaf biochemical, biophysical, and spectral properties throughout the growing </w:t>
      </w:r>
      <w:r w:rsidRPr="00B674A0">
        <w:rPr>
          <w:rFonts w:ascii="Arial" w:hAnsi="Arial" w:cs="Arial"/>
          <w:noProof/>
          <w:sz w:val="20"/>
          <w:szCs w:val="24"/>
        </w:rPr>
        <w:lastRenderedPageBreak/>
        <w:t>season of a temperate deciduous forest. J. Geophys. Res. Biogeosciences 119, 181–191. https://doi.org/10.1002/2013JG002460</w:t>
      </w:r>
    </w:p>
    <w:p w14:paraId="692A661D"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Zhang, X., Friedl, M.A., Schaaf, C.B., Strahler, A.H., Hodges, J.C.F., Gao, F., Reed, B.C., Huete, A., 2003. Monitoring vegetation phenology using MODIS. Remote Sens. Environ. 84, 471–475. https://doi.org/10.1016/S0034-4257(02)00135-9</w:t>
      </w:r>
    </w:p>
    <w:p w14:paraId="1A9C5548"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szCs w:val="24"/>
        </w:rPr>
      </w:pPr>
      <w:r w:rsidRPr="00B674A0">
        <w:rPr>
          <w:rFonts w:ascii="Arial" w:hAnsi="Arial" w:cs="Arial"/>
          <w:noProof/>
          <w:sz w:val="20"/>
          <w:szCs w:val="24"/>
        </w:rPr>
        <w:t>Zhang, X., Jayavelu, S., Liu, L., Friedl, M.A., Henebry, G.M., Liu, Y., Schaaf, C.B., Richardson, A.D., Gray, J., 2018. Evaluation of land surface phenology from VIIRS data using time series of PhenoCam imagery. Agric. For. Meteorol. 256–257, 137–149. https://doi.org/10.1016/j.agrformet.2018.03.003</w:t>
      </w:r>
    </w:p>
    <w:p w14:paraId="7A807076" w14:textId="77777777" w:rsidR="00B674A0" w:rsidRPr="00B674A0" w:rsidRDefault="00B674A0" w:rsidP="00B674A0">
      <w:pPr>
        <w:widowControl w:val="0"/>
        <w:autoSpaceDE w:val="0"/>
        <w:autoSpaceDN w:val="0"/>
        <w:adjustRightInd w:val="0"/>
        <w:spacing w:line="480" w:lineRule="auto"/>
        <w:ind w:left="480" w:hanging="480"/>
        <w:rPr>
          <w:rFonts w:ascii="Arial" w:hAnsi="Arial" w:cs="Arial"/>
          <w:noProof/>
          <w:sz w:val="20"/>
        </w:rPr>
      </w:pPr>
      <w:r w:rsidRPr="00B674A0">
        <w:rPr>
          <w:rFonts w:ascii="Arial" w:hAnsi="Arial" w:cs="Arial"/>
          <w:noProof/>
          <w:sz w:val="20"/>
          <w:szCs w:val="24"/>
        </w:rPr>
        <w:t>Zhang, Y., Chen, J.M., Miller, J.R., 2005. Determining digital hemispherical photograph exposure for leaf area index estimation. Agric. For. Meteorol. 133, 166–181. https://doi.org/10.1016/j.agrformet.2005.09.009</w:t>
      </w:r>
    </w:p>
    <w:p w14:paraId="3FF97882" w14:textId="7F37EF5B" w:rsidR="00D9391F" w:rsidRDefault="008747E1" w:rsidP="00FA66D0">
      <w:pPr>
        <w:spacing w:line="480" w:lineRule="auto"/>
        <w:jc w:val="both"/>
        <w:rPr>
          <w:rFonts w:ascii="Arial" w:eastAsia="Times New Roman" w:hAnsi="Arial" w:cs="Arial"/>
          <w:sz w:val="20"/>
          <w:szCs w:val="20"/>
        </w:rPr>
      </w:pPr>
      <w:r>
        <w:rPr>
          <w:rFonts w:ascii="Arial" w:eastAsia="Times New Roman" w:hAnsi="Arial" w:cs="Arial"/>
          <w:sz w:val="20"/>
          <w:szCs w:val="20"/>
        </w:rPr>
        <w:fldChar w:fldCharType="end"/>
      </w:r>
    </w:p>
    <w:sectPr w:rsidR="00D9391F" w:rsidSect="00C660FC">
      <w:pgSz w:w="11907" w:h="16839" w:code="9"/>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E109B" w14:textId="77777777" w:rsidR="0016637F" w:rsidRDefault="0016637F" w:rsidP="005C2DF4">
      <w:pPr>
        <w:spacing w:after="0" w:line="240" w:lineRule="auto"/>
      </w:pPr>
      <w:r>
        <w:separator/>
      </w:r>
    </w:p>
  </w:endnote>
  <w:endnote w:type="continuationSeparator" w:id="0">
    <w:p w14:paraId="0A9509A9" w14:textId="77777777" w:rsidR="0016637F" w:rsidRDefault="0016637F" w:rsidP="005C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629080582"/>
      <w:docPartObj>
        <w:docPartGallery w:val="Page Numbers (Bottom of Page)"/>
        <w:docPartUnique/>
      </w:docPartObj>
    </w:sdtPr>
    <w:sdtEndPr>
      <w:rPr>
        <w:noProof/>
      </w:rPr>
    </w:sdtEndPr>
    <w:sdtContent>
      <w:p w14:paraId="518636CC" w14:textId="6DDE6765" w:rsidR="00D651E6" w:rsidRPr="00F1170F" w:rsidRDefault="00D651E6">
        <w:pPr>
          <w:pStyle w:val="Footer"/>
          <w:jc w:val="right"/>
          <w:rPr>
            <w:rFonts w:ascii="Arial" w:hAnsi="Arial" w:cs="Arial"/>
            <w:sz w:val="20"/>
            <w:szCs w:val="20"/>
          </w:rPr>
        </w:pPr>
        <w:r w:rsidRPr="00F1170F">
          <w:rPr>
            <w:rFonts w:ascii="Arial" w:hAnsi="Arial" w:cs="Arial"/>
            <w:sz w:val="20"/>
            <w:szCs w:val="20"/>
          </w:rPr>
          <w:fldChar w:fldCharType="begin"/>
        </w:r>
        <w:r w:rsidRPr="00F1170F">
          <w:rPr>
            <w:rFonts w:ascii="Arial" w:hAnsi="Arial" w:cs="Arial"/>
            <w:sz w:val="20"/>
            <w:szCs w:val="20"/>
          </w:rPr>
          <w:instrText xml:space="preserve"> PAGE   \* MERGEFORMAT </w:instrText>
        </w:r>
        <w:r w:rsidRPr="00F1170F">
          <w:rPr>
            <w:rFonts w:ascii="Arial" w:hAnsi="Arial" w:cs="Arial"/>
            <w:sz w:val="20"/>
            <w:szCs w:val="20"/>
          </w:rPr>
          <w:fldChar w:fldCharType="separate"/>
        </w:r>
        <w:r w:rsidR="00647DE2">
          <w:rPr>
            <w:rFonts w:ascii="Arial" w:hAnsi="Arial" w:cs="Arial"/>
            <w:noProof/>
            <w:sz w:val="20"/>
            <w:szCs w:val="20"/>
          </w:rPr>
          <w:t>3</w:t>
        </w:r>
        <w:r w:rsidRPr="00F1170F">
          <w:rPr>
            <w:rFonts w:ascii="Arial" w:hAnsi="Arial" w:cs="Arial"/>
            <w:noProof/>
            <w:sz w:val="20"/>
            <w:szCs w:val="20"/>
          </w:rPr>
          <w:fldChar w:fldCharType="end"/>
        </w:r>
      </w:p>
    </w:sdtContent>
  </w:sdt>
  <w:p w14:paraId="24F11F9B" w14:textId="77777777" w:rsidR="00D651E6" w:rsidRDefault="00D65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9B4B7" w14:textId="77777777" w:rsidR="0016637F" w:rsidRDefault="0016637F" w:rsidP="005C2DF4">
      <w:pPr>
        <w:spacing w:after="0" w:line="240" w:lineRule="auto"/>
      </w:pPr>
      <w:r>
        <w:separator/>
      </w:r>
    </w:p>
  </w:footnote>
  <w:footnote w:type="continuationSeparator" w:id="0">
    <w:p w14:paraId="52F1E6C6" w14:textId="77777777" w:rsidR="0016637F" w:rsidRDefault="0016637F" w:rsidP="005C2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1A844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66DED"/>
    <w:multiLevelType w:val="hybridMultilevel"/>
    <w:tmpl w:val="E11EE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6300A3"/>
    <w:multiLevelType w:val="hybridMultilevel"/>
    <w:tmpl w:val="551A2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425738"/>
    <w:multiLevelType w:val="hybridMultilevel"/>
    <w:tmpl w:val="82B4C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486821"/>
    <w:multiLevelType w:val="hybridMultilevel"/>
    <w:tmpl w:val="19401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E200BB"/>
    <w:multiLevelType w:val="hybridMultilevel"/>
    <w:tmpl w:val="41000D26"/>
    <w:lvl w:ilvl="0" w:tplc="E3AE1104">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874D61"/>
    <w:multiLevelType w:val="hybridMultilevel"/>
    <w:tmpl w:val="8EE0CDA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141EE"/>
    <w:multiLevelType w:val="hybridMultilevel"/>
    <w:tmpl w:val="1E9A5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CE57AB"/>
    <w:multiLevelType w:val="hybridMultilevel"/>
    <w:tmpl w:val="1D6C2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601844"/>
    <w:multiLevelType w:val="hybridMultilevel"/>
    <w:tmpl w:val="19C64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037EB9"/>
    <w:multiLevelType w:val="hybridMultilevel"/>
    <w:tmpl w:val="98B24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2491206"/>
    <w:multiLevelType w:val="hybridMultilevel"/>
    <w:tmpl w:val="3A0A2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79350F"/>
    <w:multiLevelType w:val="multilevel"/>
    <w:tmpl w:val="9620C0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1F0224"/>
    <w:multiLevelType w:val="hybridMultilevel"/>
    <w:tmpl w:val="86EA1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D6B6B1A"/>
    <w:multiLevelType w:val="hybridMultilevel"/>
    <w:tmpl w:val="8E1E7968"/>
    <w:lvl w:ilvl="0" w:tplc="B2727622">
      <w:numFmt w:val="bullet"/>
      <w:lvlText w:val="•"/>
      <w:lvlJc w:val="left"/>
      <w:pPr>
        <w:ind w:left="1080" w:hanging="72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655EE5"/>
    <w:multiLevelType w:val="hybridMultilevel"/>
    <w:tmpl w:val="72EAF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1"/>
  </w:num>
  <w:num w:numId="4">
    <w:abstractNumId w:val="11"/>
  </w:num>
  <w:num w:numId="5">
    <w:abstractNumId w:val="13"/>
  </w:num>
  <w:num w:numId="6">
    <w:abstractNumId w:val="10"/>
  </w:num>
  <w:num w:numId="7">
    <w:abstractNumId w:val="9"/>
  </w:num>
  <w:num w:numId="8">
    <w:abstractNumId w:val="15"/>
  </w:num>
  <w:num w:numId="9">
    <w:abstractNumId w:val="14"/>
  </w:num>
  <w:num w:numId="10">
    <w:abstractNumId w:val="0"/>
  </w:num>
  <w:num w:numId="11">
    <w:abstractNumId w:val="3"/>
  </w:num>
  <w:num w:numId="12">
    <w:abstractNumId w:val="2"/>
  </w:num>
  <w:num w:numId="13">
    <w:abstractNumId w:val="8"/>
  </w:num>
  <w:num w:numId="14">
    <w:abstractNumId w:val="7"/>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DF4"/>
    <w:rsid w:val="00001095"/>
    <w:rsid w:val="000025DA"/>
    <w:rsid w:val="000031F3"/>
    <w:rsid w:val="00003E6E"/>
    <w:rsid w:val="00005244"/>
    <w:rsid w:val="00005456"/>
    <w:rsid w:val="000056B3"/>
    <w:rsid w:val="000069B5"/>
    <w:rsid w:val="000070A1"/>
    <w:rsid w:val="00007519"/>
    <w:rsid w:val="00010646"/>
    <w:rsid w:val="00010E51"/>
    <w:rsid w:val="00011276"/>
    <w:rsid w:val="000117F1"/>
    <w:rsid w:val="00011C58"/>
    <w:rsid w:val="00012383"/>
    <w:rsid w:val="0001258C"/>
    <w:rsid w:val="000133EC"/>
    <w:rsid w:val="000138D0"/>
    <w:rsid w:val="00013EA8"/>
    <w:rsid w:val="000142E9"/>
    <w:rsid w:val="000153DD"/>
    <w:rsid w:val="000170A9"/>
    <w:rsid w:val="000203E8"/>
    <w:rsid w:val="00021AD9"/>
    <w:rsid w:val="00022391"/>
    <w:rsid w:val="00023CDD"/>
    <w:rsid w:val="000246DF"/>
    <w:rsid w:val="000252FB"/>
    <w:rsid w:val="000253C8"/>
    <w:rsid w:val="00025700"/>
    <w:rsid w:val="00025D6B"/>
    <w:rsid w:val="000262F7"/>
    <w:rsid w:val="00026460"/>
    <w:rsid w:val="00026BC7"/>
    <w:rsid w:val="00027A9E"/>
    <w:rsid w:val="00027AF1"/>
    <w:rsid w:val="00027BB5"/>
    <w:rsid w:val="00031CE9"/>
    <w:rsid w:val="000320AC"/>
    <w:rsid w:val="00032476"/>
    <w:rsid w:val="00032B7A"/>
    <w:rsid w:val="000330DD"/>
    <w:rsid w:val="00033658"/>
    <w:rsid w:val="00034A49"/>
    <w:rsid w:val="0003574E"/>
    <w:rsid w:val="000365C7"/>
    <w:rsid w:val="00037C13"/>
    <w:rsid w:val="00040204"/>
    <w:rsid w:val="0004171A"/>
    <w:rsid w:val="0004187D"/>
    <w:rsid w:val="000419D0"/>
    <w:rsid w:val="000423E6"/>
    <w:rsid w:val="0004331B"/>
    <w:rsid w:val="00044251"/>
    <w:rsid w:val="00044D4A"/>
    <w:rsid w:val="00044E3C"/>
    <w:rsid w:val="0004538F"/>
    <w:rsid w:val="000453BF"/>
    <w:rsid w:val="000457FC"/>
    <w:rsid w:val="0004590C"/>
    <w:rsid w:val="000460C5"/>
    <w:rsid w:val="00046256"/>
    <w:rsid w:val="00047CAC"/>
    <w:rsid w:val="00047D0B"/>
    <w:rsid w:val="00050759"/>
    <w:rsid w:val="000511B0"/>
    <w:rsid w:val="00052407"/>
    <w:rsid w:val="00053719"/>
    <w:rsid w:val="00053B94"/>
    <w:rsid w:val="000545D6"/>
    <w:rsid w:val="000545EF"/>
    <w:rsid w:val="0005472A"/>
    <w:rsid w:val="00055137"/>
    <w:rsid w:val="00055456"/>
    <w:rsid w:val="000554F1"/>
    <w:rsid w:val="0005585D"/>
    <w:rsid w:val="000566BF"/>
    <w:rsid w:val="00056B99"/>
    <w:rsid w:val="00057AE6"/>
    <w:rsid w:val="00057D91"/>
    <w:rsid w:val="0006020D"/>
    <w:rsid w:val="000608B8"/>
    <w:rsid w:val="00060981"/>
    <w:rsid w:val="00060EA0"/>
    <w:rsid w:val="00061B3B"/>
    <w:rsid w:val="000621D3"/>
    <w:rsid w:val="00062508"/>
    <w:rsid w:val="00062C1C"/>
    <w:rsid w:val="00063223"/>
    <w:rsid w:val="00063301"/>
    <w:rsid w:val="00063B10"/>
    <w:rsid w:val="00067669"/>
    <w:rsid w:val="00067A09"/>
    <w:rsid w:val="00067A82"/>
    <w:rsid w:val="00072A72"/>
    <w:rsid w:val="0007319D"/>
    <w:rsid w:val="00073548"/>
    <w:rsid w:val="0007406F"/>
    <w:rsid w:val="00076C09"/>
    <w:rsid w:val="00077306"/>
    <w:rsid w:val="00077921"/>
    <w:rsid w:val="00077DFF"/>
    <w:rsid w:val="00081EB2"/>
    <w:rsid w:val="0008224A"/>
    <w:rsid w:val="0008245D"/>
    <w:rsid w:val="000828AD"/>
    <w:rsid w:val="00083C90"/>
    <w:rsid w:val="00084483"/>
    <w:rsid w:val="0008568D"/>
    <w:rsid w:val="00085827"/>
    <w:rsid w:val="00085905"/>
    <w:rsid w:val="0008604F"/>
    <w:rsid w:val="00086ABA"/>
    <w:rsid w:val="00086B58"/>
    <w:rsid w:val="00086DA7"/>
    <w:rsid w:val="00087008"/>
    <w:rsid w:val="00091144"/>
    <w:rsid w:val="000912E8"/>
    <w:rsid w:val="00091D95"/>
    <w:rsid w:val="00091FB1"/>
    <w:rsid w:val="0009281B"/>
    <w:rsid w:val="00092BC2"/>
    <w:rsid w:val="00093546"/>
    <w:rsid w:val="00093989"/>
    <w:rsid w:val="00094416"/>
    <w:rsid w:val="00094EF9"/>
    <w:rsid w:val="0009502E"/>
    <w:rsid w:val="0009515E"/>
    <w:rsid w:val="000951C3"/>
    <w:rsid w:val="000954F1"/>
    <w:rsid w:val="00095A0E"/>
    <w:rsid w:val="00096C4E"/>
    <w:rsid w:val="000A0FEC"/>
    <w:rsid w:val="000A22FB"/>
    <w:rsid w:val="000A2427"/>
    <w:rsid w:val="000A41E3"/>
    <w:rsid w:val="000A4707"/>
    <w:rsid w:val="000A4918"/>
    <w:rsid w:val="000A64EA"/>
    <w:rsid w:val="000B1B8B"/>
    <w:rsid w:val="000B25D6"/>
    <w:rsid w:val="000B2C46"/>
    <w:rsid w:val="000B3060"/>
    <w:rsid w:val="000B3967"/>
    <w:rsid w:val="000B3E93"/>
    <w:rsid w:val="000B44EB"/>
    <w:rsid w:val="000B455D"/>
    <w:rsid w:val="000B498B"/>
    <w:rsid w:val="000B58A2"/>
    <w:rsid w:val="000B7333"/>
    <w:rsid w:val="000C0A7A"/>
    <w:rsid w:val="000C0EA0"/>
    <w:rsid w:val="000C0F54"/>
    <w:rsid w:val="000C12BA"/>
    <w:rsid w:val="000C25EF"/>
    <w:rsid w:val="000C2FDC"/>
    <w:rsid w:val="000C58D1"/>
    <w:rsid w:val="000D0EAF"/>
    <w:rsid w:val="000D190A"/>
    <w:rsid w:val="000D1C5A"/>
    <w:rsid w:val="000D2A9B"/>
    <w:rsid w:val="000D38BC"/>
    <w:rsid w:val="000D3977"/>
    <w:rsid w:val="000D412C"/>
    <w:rsid w:val="000D49E6"/>
    <w:rsid w:val="000D4B1B"/>
    <w:rsid w:val="000D4CA6"/>
    <w:rsid w:val="000D58B7"/>
    <w:rsid w:val="000D72F0"/>
    <w:rsid w:val="000D7763"/>
    <w:rsid w:val="000D7B85"/>
    <w:rsid w:val="000E0771"/>
    <w:rsid w:val="000E0D7C"/>
    <w:rsid w:val="000E1C67"/>
    <w:rsid w:val="000E201B"/>
    <w:rsid w:val="000E2272"/>
    <w:rsid w:val="000E351F"/>
    <w:rsid w:val="000E3BDC"/>
    <w:rsid w:val="000E5A0F"/>
    <w:rsid w:val="000E5F0D"/>
    <w:rsid w:val="000E6B34"/>
    <w:rsid w:val="000E7DF9"/>
    <w:rsid w:val="000F0DFB"/>
    <w:rsid w:val="000F1311"/>
    <w:rsid w:val="000F14C0"/>
    <w:rsid w:val="000F154C"/>
    <w:rsid w:val="000F1EC2"/>
    <w:rsid w:val="000F3496"/>
    <w:rsid w:val="000F4C4A"/>
    <w:rsid w:val="000F5841"/>
    <w:rsid w:val="000F63CC"/>
    <w:rsid w:val="000F67BF"/>
    <w:rsid w:val="000F6FB2"/>
    <w:rsid w:val="000F793F"/>
    <w:rsid w:val="000F7A1D"/>
    <w:rsid w:val="00100898"/>
    <w:rsid w:val="00100D1A"/>
    <w:rsid w:val="001010DF"/>
    <w:rsid w:val="001023A9"/>
    <w:rsid w:val="00104226"/>
    <w:rsid w:val="00105479"/>
    <w:rsid w:val="0010607A"/>
    <w:rsid w:val="00106B3C"/>
    <w:rsid w:val="0010726F"/>
    <w:rsid w:val="001100AF"/>
    <w:rsid w:val="00110406"/>
    <w:rsid w:val="00111500"/>
    <w:rsid w:val="0011150B"/>
    <w:rsid w:val="00112AB4"/>
    <w:rsid w:val="00112BF2"/>
    <w:rsid w:val="00113574"/>
    <w:rsid w:val="00114649"/>
    <w:rsid w:val="00115004"/>
    <w:rsid w:val="00115127"/>
    <w:rsid w:val="001158AE"/>
    <w:rsid w:val="00115AEA"/>
    <w:rsid w:val="00115C15"/>
    <w:rsid w:val="00116BCB"/>
    <w:rsid w:val="0011799F"/>
    <w:rsid w:val="0012059B"/>
    <w:rsid w:val="001209C6"/>
    <w:rsid w:val="001211A4"/>
    <w:rsid w:val="0012191D"/>
    <w:rsid w:val="00121E74"/>
    <w:rsid w:val="00122BFB"/>
    <w:rsid w:val="00123336"/>
    <w:rsid w:val="00123345"/>
    <w:rsid w:val="0012397B"/>
    <w:rsid w:val="00123C94"/>
    <w:rsid w:val="00124150"/>
    <w:rsid w:val="00124D18"/>
    <w:rsid w:val="00124D2E"/>
    <w:rsid w:val="001266BE"/>
    <w:rsid w:val="0013021D"/>
    <w:rsid w:val="00133291"/>
    <w:rsid w:val="001349E9"/>
    <w:rsid w:val="00135020"/>
    <w:rsid w:val="00135B6D"/>
    <w:rsid w:val="00135FC7"/>
    <w:rsid w:val="0013666B"/>
    <w:rsid w:val="00136A67"/>
    <w:rsid w:val="001375CC"/>
    <w:rsid w:val="00137B91"/>
    <w:rsid w:val="0014052F"/>
    <w:rsid w:val="0014239C"/>
    <w:rsid w:val="00142A28"/>
    <w:rsid w:val="00143567"/>
    <w:rsid w:val="0014378B"/>
    <w:rsid w:val="00143B95"/>
    <w:rsid w:val="00143BBE"/>
    <w:rsid w:val="00143F20"/>
    <w:rsid w:val="00145992"/>
    <w:rsid w:val="00145D01"/>
    <w:rsid w:val="0014690C"/>
    <w:rsid w:val="0014770B"/>
    <w:rsid w:val="00150B18"/>
    <w:rsid w:val="0015102D"/>
    <w:rsid w:val="001511A3"/>
    <w:rsid w:val="00152953"/>
    <w:rsid w:val="00152E65"/>
    <w:rsid w:val="001533FD"/>
    <w:rsid w:val="00154882"/>
    <w:rsid w:val="0015553F"/>
    <w:rsid w:val="001557F7"/>
    <w:rsid w:val="00155919"/>
    <w:rsid w:val="00156400"/>
    <w:rsid w:val="001569AF"/>
    <w:rsid w:val="00157021"/>
    <w:rsid w:val="0015712E"/>
    <w:rsid w:val="00157C01"/>
    <w:rsid w:val="0016062F"/>
    <w:rsid w:val="00160730"/>
    <w:rsid w:val="00160858"/>
    <w:rsid w:val="00161934"/>
    <w:rsid w:val="001638B7"/>
    <w:rsid w:val="00164123"/>
    <w:rsid w:val="0016637F"/>
    <w:rsid w:val="00166718"/>
    <w:rsid w:val="001667A5"/>
    <w:rsid w:val="00166814"/>
    <w:rsid w:val="001668FE"/>
    <w:rsid w:val="0016704E"/>
    <w:rsid w:val="00167BBE"/>
    <w:rsid w:val="0017125D"/>
    <w:rsid w:val="001716E0"/>
    <w:rsid w:val="00173D48"/>
    <w:rsid w:val="001757CE"/>
    <w:rsid w:val="0017617A"/>
    <w:rsid w:val="0018010D"/>
    <w:rsid w:val="00180966"/>
    <w:rsid w:val="001809E5"/>
    <w:rsid w:val="00180BDC"/>
    <w:rsid w:val="001815A0"/>
    <w:rsid w:val="001816AB"/>
    <w:rsid w:val="00181859"/>
    <w:rsid w:val="001818F2"/>
    <w:rsid w:val="00181ABD"/>
    <w:rsid w:val="00181D0E"/>
    <w:rsid w:val="00182042"/>
    <w:rsid w:val="00183F58"/>
    <w:rsid w:val="00185844"/>
    <w:rsid w:val="00185E8B"/>
    <w:rsid w:val="00186455"/>
    <w:rsid w:val="00191A59"/>
    <w:rsid w:val="00191AA9"/>
    <w:rsid w:val="00191B95"/>
    <w:rsid w:val="00191F1E"/>
    <w:rsid w:val="0019215C"/>
    <w:rsid w:val="00192186"/>
    <w:rsid w:val="0019276E"/>
    <w:rsid w:val="00192CCA"/>
    <w:rsid w:val="00192E6A"/>
    <w:rsid w:val="001932FB"/>
    <w:rsid w:val="001935D3"/>
    <w:rsid w:val="00194DA7"/>
    <w:rsid w:val="00195A07"/>
    <w:rsid w:val="00196C3D"/>
    <w:rsid w:val="00196F10"/>
    <w:rsid w:val="001972FD"/>
    <w:rsid w:val="00197B8D"/>
    <w:rsid w:val="00197C26"/>
    <w:rsid w:val="00197C69"/>
    <w:rsid w:val="001A0F17"/>
    <w:rsid w:val="001A0FC0"/>
    <w:rsid w:val="001A1B2E"/>
    <w:rsid w:val="001A1B80"/>
    <w:rsid w:val="001A2454"/>
    <w:rsid w:val="001A2B9A"/>
    <w:rsid w:val="001A2C48"/>
    <w:rsid w:val="001A3086"/>
    <w:rsid w:val="001A4065"/>
    <w:rsid w:val="001A4D96"/>
    <w:rsid w:val="001A4E23"/>
    <w:rsid w:val="001A5ED2"/>
    <w:rsid w:val="001A5FCB"/>
    <w:rsid w:val="001A61C4"/>
    <w:rsid w:val="001A62B5"/>
    <w:rsid w:val="001B2C87"/>
    <w:rsid w:val="001B2CC4"/>
    <w:rsid w:val="001B3154"/>
    <w:rsid w:val="001B3356"/>
    <w:rsid w:val="001B359B"/>
    <w:rsid w:val="001B35AE"/>
    <w:rsid w:val="001B4629"/>
    <w:rsid w:val="001B469D"/>
    <w:rsid w:val="001B4EE8"/>
    <w:rsid w:val="001B5ABF"/>
    <w:rsid w:val="001B5DEF"/>
    <w:rsid w:val="001B60AD"/>
    <w:rsid w:val="001B6CC8"/>
    <w:rsid w:val="001B7858"/>
    <w:rsid w:val="001B7FCF"/>
    <w:rsid w:val="001C06F1"/>
    <w:rsid w:val="001C073A"/>
    <w:rsid w:val="001C0A3F"/>
    <w:rsid w:val="001C1A30"/>
    <w:rsid w:val="001C36D5"/>
    <w:rsid w:val="001C38CB"/>
    <w:rsid w:val="001C54DB"/>
    <w:rsid w:val="001C694C"/>
    <w:rsid w:val="001C6A70"/>
    <w:rsid w:val="001D23F2"/>
    <w:rsid w:val="001D2725"/>
    <w:rsid w:val="001D2C42"/>
    <w:rsid w:val="001D312A"/>
    <w:rsid w:val="001D3252"/>
    <w:rsid w:val="001D3877"/>
    <w:rsid w:val="001D48AF"/>
    <w:rsid w:val="001D542B"/>
    <w:rsid w:val="001D5BCB"/>
    <w:rsid w:val="001D635E"/>
    <w:rsid w:val="001D6511"/>
    <w:rsid w:val="001D65B7"/>
    <w:rsid w:val="001D6DF2"/>
    <w:rsid w:val="001D73CE"/>
    <w:rsid w:val="001D7476"/>
    <w:rsid w:val="001D75B7"/>
    <w:rsid w:val="001E1272"/>
    <w:rsid w:val="001E1D48"/>
    <w:rsid w:val="001E4068"/>
    <w:rsid w:val="001E476C"/>
    <w:rsid w:val="001E4F3E"/>
    <w:rsid w:val="001E5302"/>
    <w:rsid w:val="001E64E9"/>
    <w:rsid w:val="001E6D6B"/>
    <w:rsid w:val="001E701C"/>
    <w:rsid w:val="001E7EBF"/>
    <w:rsid w:val="001F03E4"/>
    <w:rsid w:val="001F14A2"/>
    <w:rsid w:val="001F169B"/>
    <w:rsid w:val="001F18D6"/>
    <w:rsid w:val="001F3342"/>
    <w:rsid w:val="001F4F18"/>
    <w:rsid w:val="001F79C6"/>
    <w:rsid w:val="0020165F"/>
    <w:rsid w:val="00201977"/>
    <w:rsid w:val="0020241D"/>
    <w:rsid w:val="002025F7"/>
    <w:rsid w:val="00203682"/>
    <w:rsid w:val="00203A1A"/>
    <w:rsid w:val="00203D4E"/>
    <w:rsid w:val="00203D5C"/>
    <w:rsid w:val="00204341"/>
    <w:rsid w:val="00204914"/>
    <w:rsid w:val="00204A31"/>
    <w:rsid w:val="00204BB5"/>
    <w:rsid w:val="00206B57"/>
    <w:rsid w:val="00207009"/>
    <w:rsid w:val="00211540"/>
    <w:rsid w:val="002125F7"/>
    <w:rsid w:val="00213188"/>
    <w:rsid w:val="002131D2"/>
    <w:rsid w:val="00213738"/>
    <w:rsid w:val="00214280"/>
    <w:rsid w:val="00215741"/>
    <w:rsid w:val="002162D4"/>
    <w:rsid w:val="00216B18"/>
    <w:rsid w:val="00217C01"/>
    <w:rsid w:val="00220A26"/>
    <w:rsid w:val="0022290B"/>
    <w:rsid w:val="00222A69"/>
    <w:rsid w:val="00222B89"/>
    <w:rsid w:val="00222D5C"/>
    <w:rsid w:val="00223020"/>
    <w:rsid w:val="0022455A"/>
    <w:rsid w:val="002246BC"/>
    <w:rsid w:val="002249CF"/>
    <w:rsid w:val="002250FA"/>
    <w:rsid w:val="00225DDC"/>
    <w:rsid w:val="002265BA"/>
    <w:rsid w:val="00226F33"/>
    <w:rsid w:val="002302A0"/>
    <w:rsid w:val="00230746"/>
    <w:rsid w:val="0023157F"/>
    <w:rsid w:val="0023261C"/>
    <w:rsid w:val="00240FFB"/>
    <w:rsid w:val="002419FD"/>
    <w:rsid w:val="00241B7F"/>
    <w:rsid w:val="00241EDD"/>
    <w:rsid w:val="00242C45"/>
    <w:rsid w:val="00243327"/>
    <w:rsid w:val="00243A5C"/>
    <w:rsid w:val="002441BC"/>
    <w:rsid w:val="002451FF"/>
    <w:rsid w:val="00245693"/>
    <w:rsid w:val="00245A5F"/>
    <w:rsid w:val="00247646"/>
    <w:rsid w:val="002476D8"/>
    <w:rsid w:val="00247A2C"/>
    <w:rsid w:val="00247A69"/>
    <w:rsid w:val="0025251F"/>
    <w:rsid w:val="00252748"/>
    <w:rsid w:val="00253361"/>
    <w:rsid w:val="00253CE7"/>
    <w:rsid w:val="00253FB7"/>
    <w:rsid w:val="002548DB"/>
    <w:rsid w:val="00254DAD"/>
    <w:rsid w:val="00255799"/>
    <w:rsid w:val="00256053"/>
    <w:rsid w:val="0025655E"/>
    <w:rsid w:val="00256F77"/>
    <w:rsid w:val="00257DF8"/>
    <w:rsid w:val="00260FB6"/>
    <w:rsid w:val="002621B0"/>
    <w:rsid w:val="00262230"/>
    <w:rsid w:val="00262D39"/>
    <w:rsid w:val="0026399E"/>
    <w:rsid w:val="00263E85"/>
    <w:rsid w:val="00264068"/>
    <w:rsid w:val="0026460E"/>
    <w:rsid w:val="002646E0"/>
    <w:rsid w:val="002666EC"/>
    <w:rsid w:val="00267899"/>
    <w:rsid w:val="002703E8"/>
    <w:rsid w:val="00270BA1"/>
    <w:rsid w:val="002710D8"/>
    <w:rsid w:val="0027172B"/>
    <w:rsid w:val="00272495"/>
    <w:rsid w:val="00272F5B"/>
    <w:rsid w:val="0027308A"/>
    <w:rsid w:val="00273A72"/>
    <w:rsid w:val="0027402C"/>
    <w:rsid w:val="00274288"/>
    <w:rsid w:val="00275614"/>
    <w:rsid w:val="00277BD0"/>
    <w:rsid w:val="00277E8E"/>
    <w:rsid w:val="0028000E"/>
    <w:rsid w:val="002809C0"/>
    <w:rsid w:val="00280BF6"/>
    <w:rsid w:val="00280C1F"/>
    <w:rsid w:val="00281D57"/>
    <w:rsid w:val="00281F0A"/>
    <w:rsid w:val="00283326"/>
    <w:rsid w:val="0028529B"/>
    <w:rsid w:val="00285549"/>
    <w:rsid w:val="0028627A"/>
    <w:rsid w:val="002901BF"/>
    <w:rsid w:val="00291F28"/>
    <w:rsid w:val="00292C52"/>
    <w:rsid w:val="002949C4"/>
    <w:rsid w:val="0029553A"/>
    <w:rsid w:val="00295E2F"/>
    <w:rsid w:val="0029639D"/>
    <w:rsid w:val="0029714B"/>
    <w:rsid w:val="002A03B0"/>
    <w:rsid w:val="002A06CB"/>
    <w:rsid w:val="002A14F6"/>
    <w:rsid w:val="002A1A92"/>
    <w:rsid w:val="002A3D38"/>
    <w:rsid w:val="002A40F0"/>
    <w:rsid w:val="002A45C8"/>
    <w:rsid w:val="002A474F"/>
    <w:rsid w:val="002A525F"/>
    <w:rsid w:val="002A584F"/>
    <w:rsid w:val="002A5883"/>
    <w:rsid w:val="002A58C7"/>
    <w:rsid w:val="002A59EB"/>
    <w:rsid w:val="002A751B"/>
    <w:rsid w:val="002A78FB"/>
    <w:rsid w:val="002A7E79"/>
    <w:rsid w:val="002B00B2"/>
    <w:rsid w:val="002B07CA"/>
    <w:rsid w:val="002B1154"/>
    <w:rsid w:val="002B13C6"/>
    <w:rsid w:val="002B2128"/>
    <w:rsid w:val="002B3892"/>
    <w:rsid w:val="002B3F8E"/>
    <w:rsid w:val="002B464D"/>
    <w:rsid w:val="002B505F"/>
    <w:rsid w:val="002B54CE"/>
    <w:rsid w:val="002B6472"/>
    <w:rsid w:val="002B7EA1"/>
    <w:rsid w:val="002B7F96"/>
    <w:rsid w:val="002C03D2"/>
    <w:rsid w:val="002C0613"/>
    <w:rsid w:val="002C1564"/>
    <w:rsid w:val="002C19FD"/>
    <w:rsid w:val="002C3436"/>
    <w:rsid w:val="002C4855"/>
    <w:rsid w:val="002C4E57"/>
    <w:rsid w:val="002C6235"/>
    <w:rsid w:val="002C6C45"/>
    <w:rsid w:val="002C74C4"/>
    <w:rsid w:val="002D0231"/>
    <w:rsid w:val="002D0643"/>
    <w:rsid w:val="002D08E6"/>
    <w:rsid w:val="002D13E7"/>
    <w:rsid w:val="002D1549"/>
    <w:rsid w:val="002D16FF"/>
    <w:rsid w:val="002D28B7"/>
    <w:rsid w:val="002D2D40"/>
    <w:rsid w:val="002D3EFD"/>
    <w:rsid w:val="002D4665"/>
    <w:rsid w:val="002D4FB7"/>
    <w:rsid w:val="002D6483"/>
    <w:rsid w:val="002D6C0E"/>
    <w:rsid w:val="002E05F9"/>
    <w:rsid w:val="002E06C6"/>
    <w:rsid w:val="002E156E"/>
    <w:rsid w:val="002E306F"/>
    <w:rsid w:val="002E3156"/>
    <w:rsid w:val="002E3A97"/>
    <w:rsid w:val="002E4F13"/>
    <w:rsid w:val="002E510E"/>
    <w:rsid w:val="002E5664"/>
    <w:rsid w:val="002E60FE"/>
    <w:rsid w:val="002E68A7"/>
    <w:rsid w:val="002E70F1"/>
    <w:rsid w:val="002F02C5"/>
    <w:rsid w:val="002F05E5"/>
    <w:rsid w:val="002F0A6F"/>
    <w:rsid w:val="002F1E46"/>
    <w:rsid w:val="002F2AE3"/>
    <w:rsid w:val="002F3126"/>
    <w:rsid w:val="002F3AB9"/>
    <w:rsid w:val="002F3C4F"/>
    <w:rsid w:val="002F4377"/>
    <w:rsid w:val="002F4897"/>
    <w:rsid w:val="002F4D21"/>
    <w:rsid w:val="002F55B8"/>
    <w:rsid w:val="002F5D11"/>
    <w:rsid w:val="002F73BE"/>
    <w:rsid w:val="002F743C"/>
    <w:rsid w:val="002F7C35"/>
    <w:rsid w:val="002F7E6A"/>
    <w:rsid w:val="00302D9A"/>
    <w:rsid w:val="00303A33"/>
    <w:rsid w:val="003064CF"/>
    <w:rsid w:val="00306628"/>
    <w:rsid w:val="003073C0"/>
    <w:rsid w:val="00307A53"/>
    <w:rsid w:val="00307E9C"/>
    <w:rsid w:val="003114DD"/>
    <w:rsid w:val="003117C3"/>
    <w:rsid w:val="003128A0"/>
    <w:rsid w:val="00312B4C"/>
    <w:rsid w:val="00314317"/>
    <w:rsid w:val="00314B1D"/>
    <w:rsid w:val="003200CB"/>
    <w:rsid w:val="00320FEB"/>
    <w:rsid w:val="0032116A"/>
    <w:rsid w:val="00321197"/>
    <w:rsid w:val="00321E10"/>
    <w:rsid w:val="003221D0"/>
    <w:rsid w:val="00322533"/>
    <w:rsid w:val="003225D6"/>
    <w:rsid w:val="00324110"/>
    <w:rsid w:val="00327C17"/>
    <w:rsid w:val="003318B7"/>
    <w:rsid w:val="0033521C"/>
    <w:rsid w:val="0033584F"/>
    <w:rsid w:val="0033590A"/>
    <w:rsid w:val="00337F0E"/>
    <w:rsid w:val="0034122F"/>
    <w:rsid w:val="00341621"/>
    <w:rsid w:val="00342154"/>
    <w:rsid w:val="0034293B"/>
    <w:rsid w:val="0034307B"/>
    <w:rsid w:val="00343FAA"/>
    <w:rsid w:val="00344D4C"/>
    <w:rsid w:val="00345358"/>
    <w:rsid w:val="003456E0"/>
    <w:rsid w:val="00345902"/>
    <w:rsid w:val="00346E25"/>
    <w:rsid w:val="0034741E"/>
    <w:rsid w:val="0034782B"/>
    <w:rsid w:val="0035059E"/>
    <w:rsid w:val="00350938"/>
    <w:rsid w:val="003516E2"/>
    <w:rsid w:val="00352801"/>
    <w:rsid w:val="003531FD"/>
    <w:rsid w:val="003532E3"/>
    <w:rsid w:val="00355077"/>
    <w:rsid w:val="003551F3"/>
    <w:rsid w:val="00355F62"/>
    <w:rsid w:val="003562FC"/>
    <w:rsid w:val="00360AF9"/>
    <w:rsid w:val="0036186C"/>
    <w:rsid w:val="003618FD"/>
    <w:rsid w:val="00362016"/>
    <w:rsid w:val="00362439"/>
    <w:rsid w:val="00364878"/>
    <w:rsid w:val="00364CB9"/>
    <w:rsid w:val="00365C95"/>
    <w:rsid w:val="003664CE"/>
    <w:rsid w:val="00367A50"/>
    <w:rsid w:val="00367C2E"/>
    <w:rsid w:val="00367CE5"/>
    <w:rsid w:val="00367DAE"/>
    <w:rsid w:val="00370604"/>
    <w:rsid w:val="00373499"/>
    <w:rsid w:val="0037531E"/>
    <w:rsid w:val="00375683"/>
    <w:rsid w:val="00375B8A"/>
    <w:rsid w:val="003760F0"/>
    <w:rsid w:val="00377A54"/>
    <w:rsid w:val="003809B6"/>
    <w:rsid w:val="003820BC"/>
    <w:rsid w:val="003823A5"/>
    <w:rsid w:val="00383561"/>
    <w:rsid w:val="00383D79"/>
    <w:rsid w:val="0038498F"/>
    <w:rsid w:val="0038536F"/>
    <w:rsid w:val="00385998"/>
    <w:rsid w:val="00385CD9"/>
    <w:rsid w:val="00387213"/>
    <w:rsid w:val="00387802"/>
    <w:rsid w:val="00387C60"/>
    <w:rsid w:val="00391C24"/>
    <w:rsid w:val="00392DEE"/>
    <w:rsid w:val="00393557"/>
    <w:rsid w:val="00394C98"/>
    <w:rsid w:val="0039689C"/>
    <w:rsid w:val="00397C6E"/>
    <w:rsid w:val="003A0295"/>
    <w:rsid w:val="003A0861"/>
    <w:rsid w:val="003A0ADD"/>
    <w:rsid w:val="003A0FF8"/>
    <w:rsid w:val="003A15C0"/>
    <w:rsid w:val="003A1F16"/>
    <w:rsid w:val="003A2D18"/>
    <w:rsid w:val="003A3CEA"/>
    <w:rsid w:val="003A3FEF"/>
    <w:rsid w:val="003A5AC1"/>
    <w:rsid w:val="003A5E4A"/>
    <w:rsid w:val="003A64CD"/>
    <w:rsid w:val="003A6564"/>
    <w:rsid w:val="003A6685"/>
    <w:rsid w:val="003A68F3"/>
    <w:rsid w:val="003A6EDC"/>
    <w:rsid w:val="003A743D"/>
    <w:rsid w:val="003B0096"/>
    <w:rsid w:val="003B04DD"/>
    <w:rsid w:val="003B1272"/>
    <w:rsid w:val="003B2399"/>
    <w:rsid w:val="003B2ACC"/>
    <w:rsid w:val="003B41BF"/>
    <w:rsid w:val="003B4629"/>
    <w:rsid w:val="003B4DDF"/>
    <w:rsid w:val="003B5CBA"/>
    <w:rsid w:val="003B5E6C"/>
    <w:rsid w:val="003B68AA"/>
    <w:rsid w:val="003C0D07"/>
    <w:rsid w:val="003C1CAF"/>
    <w:rsid w:val="003C31E7"/>
    <w:rsid w:val="003C32A2"/>
    <w:rsid w:val="003C365C"/>
    <w:rsid w:val="003C3864"/>
    <w:rsid w:val="003C3CE4"/>
    <w:rsid w:val="003C4183"/>
    <w:rsid w:val="003C4E55"/>
    <w:rsid w:val="003C5DCC"/>
    <w:rsid w:val="003C6AD6"/>
    <w:rsid w:val="003C6DA0"/>
    <w:rsid w:val="003C7A98"/>
    <w:rsid w:val="003D04D5"/>
    <w:rsid w:val="003D0929"/>
    <w:rsid w:val="003D0B61"/>
    <w:rsid w:val="003D18AF"/>
    <w:rsid w:val="003D1CFF"/>
    <w:rsid w:val="003D3722"/>
    <w:rsid w:val="003D3F91"/>
    <w:rsid w:val="003D48D4"/>
    <w:rsid w:val="003D64CF"/>
    <w:rsid w:val="003D7759"/>
    <w:rsid w:val="003E0C75"/>
    <w:rsid w:val="003E12D4"/>
    <w:rsid w:val="003E2531"/>
    <w:rsid w:val="003E3243"/>
    <w:rsid w:val="003E3881"/>
    <w:rsid w:val="003E3FB4"/>
    <w:rsid w:val="003E4DC7"/>
    <w:rsid w:val="003E4DEA"/>
    <w:rsid w:val="003E4EBC"/>
    <w:rsid w:val="003E50A3"/>
    <w:rsid w:val="003E693B"/>
    <w:rsid w:val="003E7AEA"/>
    <w:rsid w:val="003E7B59"/>
    <w:rsid w:val="003F061A"/>
    <w:rsid w:val="003F1980"/>
    <w:rsid w:val="003F1F90"/>
    <w:rsid w:val="003F25A0"/>
    <w:rsid w:val="003F3AF9"/>
    <w:rsid w:val="003F3DCC"/>
    <w:rsid w:val="003F53F1"/>
    <w:rsid w:val="003F5530"/>
    <w:rsid w:val="003F5B19"/>
    <w:rsid w:val="003F6004"/>
    <w:rsid w:val="003F6339"/>
    <w:rsid w:val="003F6FC1"/>
    <w:rsid w:val="003F7528"/>
    <w:rsid w:val="003F7730"/>
    <w:rsid w:val="003F7D05"/>
    <w:rsid w:val="0040021B"/>
    <w:rsid w:val="00400E8B"/>
    <w:rsid w:val="00401D7A"/>
    <w:rsid w:val="0040298A"/>
    <w:rsid w:val="00403385"/>
    <w:rsid w:val="004039A5"/>
    <w:rsid w:val="00403DBB"/>
    <w:rsid w:val="004041A3"/>
    <w:rsid w:val="004045EA"/>
    <w:rsid w:val="00404EA4"/>
    <w:rsid w:val="00405871"/>
    <w:rsid w:val="00407324"/>
    <w:rsid w:val="00407782"/>
    <w:rsid w:val="00407C07"/>
    <w:rsid w:val="004100EE"/>
    <w:rsid w:val="00410445"/>
    <w:rsid w:val="004108F0"/>
    <w:rsid w:val="004109B2"/>
    <w:rsid w:val="0041149E"/>
    <w:rsid w:val="004122AB"/>
    <w:rsid w:val="00412555"/>
    <w:rsid w:val="0041363A"/>
    <w:rsid w:val="0041530B"/>
    <w:rsid w:val="004158BD"/>
    <w:rsid w:val="0041632C"/>
    <w:rsid w:val="0042114D"/>
    <w:rsid w:val="00421565"/>
    <w:rsid w:val="0042241C"/>
    <w:rsid w:val="0042306E"/>
    <w:rsid w:val="00423255"/>
    <w:rsid w:val="004236F5"/>
    <w:rsid w:val="004245C9"/>
    <w:rsid w:val="00425945"/>
    <w:rsid w:val="004259A6"/>
    <w:rsid w:val="00425EFB"/>
    <w:rsid w:val="00427700"/>
    <w:rsid w:val="0043006B"/>
    <w:rsid w:val="004301C8"/>
    <w:rsid w:val="00431692"/>
    <w:rsid w:val="004317DC"/>
    <w:rsid w:val="00431C4A"/>
    <w:rsid w:val="00431D07"/>
    <w:rsid w:val="00431ECA"/>
    <w:rsid w:val="00434464"/>
    <w:rsid w:val="0043522A"/>
    <w:rsid w:val="004368E6"/>
    <w:rsid w:val="00437C63"/>
    <w:rsid w:val="0044138D"/>
    <w:rsid w:val="00441AE1"/>
    <w:rsid w:val="00442873"/>
    <w:rsid w:val="00442B41"/>
    <w:rsid w:val="00442D27"/>
    <w:rsid w:val="00442E1E"/>
    <w:rsid w:val="004431D8"/>
    <w:rsid w:val="00447259"/>
    <w:rsid w:val="004501F4"/>
    <w:rsid w:val="00450770"/>
    <w:rsid w:val="00452268"/>
    <w:rsid w:val="00452402"/>
    <w:rsid w:val="00453525"/>
    <w:rsid w:val="00454C7B"/>
    <w:rsid w:val="0045516E"/>
    <w:rsid w:val="00455457"/>
    <w:rsid w:val="00455921"/>
    <w:rsid w:val="00455ADF"/>
    <w:rsid w:val="00456334"/>
    <w:rsid w:val="00457FFD"/>
    <w:rsid w:val="00460455"/>
    <w:rsid w:val="00461CA0"/>
    <w:rsid w:val="004626D0"/>
    <w:rsid w:val="00464D1D"/>
    <w:rsid w:val="00464E4E"/>
    <w:rsid w:val="00467C1A"/>
    <w:rsid w:val="00470118"/>
    <w:rsid w:val="00470F8F"/>
    <w:rsid w:val="00471CA4"/>
    <w:rsid w:val="00472A67"/>
    <w:rsid w:val="00472E12"/>
    <w:rsid w:val="004735AA"/>
    <w:rsid w:val="0047395F"/>
    <w:rsid w:val="004741A5"/>
    <w:rsid w:val="00474756"/>
    <w:rsid w:val="00474862"/>
    <w:rsid w:val="00475E40"/>
    <w:rsid w:val="004763AA"/>
    <w:rsid w:val="00477414"/>
    <w:rsid w:val="00477611"/>
    <w:rsid w:val="0048093D"/>
    <w:rsid w:val="00480CC4"/>
    <w:rsid w:val="00481506"/>
    <w:rsid w:val="004816DA"/>
    <w:rsid w:val="004817E9"/>
    <w:rsid w:val="00481AFD"/>
    <w:rsid w:val="00481B5F"/>
    <w:rsid w:val="00481EA8"/>
    <w:rsid w:val="0048290C"/>
    <w:rsid w:val="00483A2A"/>
    <w:rsid w:val="00483F87"/>
    <w:rsid w:val="0048407E"/>
    <w:rsid w:val="00485A62"/>
    <w:rsid w:val="00485F1C"/>
    <w:rsid w:val="00485FDF"/>
    <w:rsid w:val="00487EC5"/>
    <w:rsid w:val="00490F8C"/>
    <w:rsid w:val="00491E46"/>
    <w:rsid w:val="00491F39"/>
    <w:rsid w:val="0049342E"/>
    <w:rsid w:val="00494BB2"/>
    <w:rsid w:val="00496528"/>
    <w:rsid w:val="0049685F"/>
    <w:rsid w:val="00496B17"/>
    <w:rsid w:val="004979CE"/>
    <w:rsid w:val="00497F66"/>
    <w:rsid w:val="004A0308"/>
    <w:rsid w:val="004A091F"/>
    <w:rsid w:val="004A0ADF"/>
    <w:rsid w:val="004A0ED6"/>
    <w:rsid w:val="004A1054"/>
    <w:rsid w:val="004A15EE"/>
    <w:rsid w:val="004A323B"/>
    <w:rsid w:val="004A3A8A"/>
    <w:rsid w:val="004A49D8"/>
    <w:rsid w:val="004A4AF4"/>
    <w:rsid w:val="004A4B78"/>
    <w:rsid w:val="004A58DE"/>
    <w:rsid w:val="004A6051"/>
    <w:rsid w:val="004A680F"/>
    <w:rsid w:val="004A6BF8"/>
    <w:rsid w:val="004A6C4B"/>
    <w:rsid w:val="004B04E8"/>
    <w:rsid w:val="004B1115"/>
    <w:rsid w:val="004B4AED"/>
    <w:rsid w:val="004B4B76"/>
    <w:rsid w:val="004B54F4"/>
    <w:rsid w:val="004B5680"/>
    <w:rsid w:val="004B62F3"/>
    <w:rsid w:val="004B753F"/>
    <w:rsid w:val="004B7923"/>
    <w:rsid w:val="004C0C1D"/>
    <w:rsid w:val="004C0E53"/>
    <w:rsid w:val="004C1055"/>
    <w:rsid w:val="004C1489"/>
    <w:rsid w:val="004C19FC"/>
    <w:rsid w:val="004C26A5"/>
    <w:rsid w:val="004C2D40"/>
    <w:rsid w:val="004C2FCF"/>
    <w:rsid w:val="004C394C"/>
    <w:rsid w:val="004C42A0"/>
    <w:rsid w:val="004C55FC"/>
    <w:rsid w:val="004C615D"/>
    <w:rsid w:val="004C616C"/>
    <w:rsid w:val="004C70BD"/>
    <w:rsid w:val="004C712D"/>
    <w:rsid w:val="004C78F9"/>
    <w:rsid w:val="004D01B1"/>
    <w:rsid w:val="004D05FF"/>
    <w:rsid w:val="004D090C"/>
    <w:rsid w:val="004D0939"/>
    <w:rsid w:val="004D172F"/>
    <w:rsid w:val="004D2ADD"/>
    <w:rsid w:val="004D32D8"/>
    <w:rsid w:val="004D41B6"/>
    <w:rsid w:val="004D468D"/>
    <w:rsid w:val="004D48F4"/>
    <w:rsid w:val="004D6D9C"/>
    <w:rsid w:val="004D7BB3"/>
    <w:rsid w:val="004D7C78"/>
    <w:rsid w:val="004E0B95"/>
    <w:rsid w:val="004E4AF3"/>
    <w:rsid w:val="004E4E37"/>
    <w:rsid w:val="004E51A5"/>
    <w:rsid w:val="004E61D6"/>
    <w:rsid w:val="004E6320"/>
    <w:rsid w:val="004E677D"/>
    <w:rsid w:val="004F03E6"/>
    <w:rsid w:val="004F03F9"/>
    <w:rsid w:val="004F0E09"/>
    <w:rsid w:val="004F139E"/>
    <w:rsid w:val="004F1973"/>
    <w:rsid w:val="004F3A16"/>
    <w:rsid w:val="004F5667"/>
    <w:rsid w:val="004F59BD"/>
    <w:rsid w:val="004F6714"/>
    <w:rsid w:val="004F6F05"/>
    <w:rsid w:val="004F7572"/>
    <w:rsid w:val="00500F9F"/>
    <w:rsid w:val="00501306"/>
    <w:rsid w:val="005017D6"/>
    <w:rsid w:val="005019EB"/>
    <w:rsid w:val="00501A32"/>
    <w:rsid w:val="005025B8"/>
    <w:rsid w:val="00502B4D"/>
    <w:rsid w:val="005035A6"/>
    <w:rsid w:val="00503BF4"/>
    <w:rsid w:val="00504179"/>
    <w:rsid w:val="00504870"/>
    <w:rsid w:val="00504CC7"/>
    <w:rsid w:val="00504F86"/>
    <w:rsid w:val="00505546"/>
    <w:rsid w:val="0050607F"/>
    <w:rsid w:val="0050706B"/>
    <w:rsid w:val="0050755A"/>
    <w:rsid w:val="0050766C"/>
    <w:rsid w:val="00510259"/>
    <w:rsid w:val="00510514"/>
    <w:rsid w:val="00510A83"/>
    <w:rsid w:val="00510AB1"/>
    <w:rsid w:val="0051156C"/>
    <w:rsid w:val="00511741"/>
    <w:rsid w:val="00512CBE"/>
    <w:rsid w:val="0051484D"/>
    <w:rsid w:val="00515F47"/>
    <w:rsid w:val="005160F6"/>
    <w:rsid w:val="005172C8"/>
    <w:rsid w:val="00517380"/>
    <w:rsid w:val="00520012"/>
    <w:rsid w:val="00521303"/>
    <w:rsid w:val="00521618"/>
    <w:rsid w:val="00521D39"/>
    <w:rsid w:val="00521D64"/>
    <w:rsid w:val="00522308"/>
    <w:rsid w:val="00522657"/>
    <w:rsid w:val="00522848"/>
    <w:rsid w:val="00523248"/>
    <w:rsid w:val="005240A1"/>
    <w:rsid w:val="00524C69"/>
    <w:rsid w:val="0052511F"/>
    <w:rsid w:val="0052592D"/>
    <w:rsid w:val="00525DF6"/>
    <w:rsid w:val="005271D5"/>
    <w:rsid w:val="00530017"/>
    <w:rsid w:val="0053008E"/>
    <w:rsid w:val="00531057"/>
    <w:rsid w:val="00531655"/>
    <w:rsid w:val="005335DE"/>
    <w:rsid w:val="00534AC2"/>
    <w:rsid w:val="00535760"/>
    <w:rsid w:val="005364CB"/>
    <w:rsid w:val="00536A63"/>
    <w:rsid w:val="00536E6C"/>
    <w:rsid w:val="005405E2"/>
    <w:rsid w:val="0054090F"/>
    <w:rsid w:val="005414C5"/>
    <w:rsid w:val="00543E4C"/>
    <w:rsid w:val="00543ED3"/>
    <w:rsid w:val="0054472F"/>
    <w:rsid w:val="0054487C"/>
    <w:rsid w:val="00544F44"/>
    <w:rsid w:val="00546076"/>
    <w:rsid w:val="00546FE1"/>
    <w:rsid w:val="00547CE3"/>
    <w:rsid w:val="00551650"/>
    <w:rsid w:val="00551958"/>
    <w:rsid w:val="005523D6"/>
    <w:rsid w:val="00552CC7"/>
    <w:rsid w:val="00553361"/>
    <w:rsid w:val="005534C6"/>
    <w:rsid w:val="00553A6E"/>
    <w:rsid w:val="00553B01"/>
    <w:rsid w:val="0055437E"/>
    <w:rsid w:val="00554781"/>
    <w:rsid w:val="00554DB3"/>
    <w:rsid w:val="005553C8"/>
    <w:rsid w:val="005556FB"/>
    <w:rsid w:val="00556E90"/>
    <w:rsid w:val="00557270"/>
    <w:rsid w:val="0056081B"/>
    <w:rsid w:val="00560CF4"/>
    <w:rsid w:val="00561010"/>
    <w:rsid w:val="00561BA7"/>
    <w:rsid w:val="0056231D"/>
    <w:rsid w:val="00562BC8"/>
    <w:rsid w:val="00562C9D"/>
    <w:rsid w:val="00562F94"/>
    <w:rsid w:val="00564406"/>
    <w:rsid w:val="005647D1"/>
    <w:rsid w:val="00564C0C"/>
    <w:rsid w:val="0056513D"/>
    <w:rsid w:val="00565E24"/>
    <w:rsid w:val="00570090"/>
    <w:rsid w:val="00570253"/>
    <w:rsid w:val="00570ABE"/>
    <w:rsid w:val="00571743"/>
    <w:rsid w:val="00572A3E"/>
    <w:rsid w:val="00572DFC"/>
    <w:rsid w:val="00573440"/>
    <w:rsid w:val="00574DB6"/>
    <w:rsid w:val="00574E80"/>
    <w:rsid w:val="00575A53"/>
    <w:rsid w:val="005765BC"/>
    <w:rsid w:val="00576E7D"/>
    <w:rsid w:val="0057708E"/>
    <w:rsid w:val="00577295"/>
    <w:rsid w:val="00577579"/>
    <w:rsid w:val="00577723"/>
    <w:rsid w:val="00580302"/>
    <w:rsid w:val="0058066A"/>
    <w:rsid w:val="00582010"/>
    <w:rsid w:val="0058288B"/>
    <w:rsid w:val="005829FD"/>
    <w:rsid w:val="00582B3D"/>
    <w:rsid w:val="00583C65"/>
    <w:rsid w:val="00584668"/>
    <w:rsid w:val="00584D6D"/>
    <w:rsid w:val="005874BE"/>
    <w:rsid w:val="00587CF1"/>
    <w:rsid w:val="00590A03"/>
    <w:rsid w:val="005913F4"/>
    <w:rsid w:val="00591B91"/>
    <w:rsid w:val="00592645"/>
    <w:rsid w:val="00593756"/>
    <w:rsid w:val="00594E75"/>
    <w:rsid w:val="00594E95"/>
    <w:rsid w:val="00595015"/>
    <w:rsid w:val="00596404"/>
    <w:rsid w:val="00596DE6"/>
    <w:rsid w:val="0059707C"/>
    <w:rsid w:val="0059717E"/>
    <w:rsid w:val="00597240"/>
    <w:rsid w:val="00597394"/>
    <w:rsid w:val="00597B82"/>
    <w:rsid w:val="005A004A"/>
    <w:rsid w:val="005A05D6"/>
    <w:rsid w:val="005A2848"/>
    <w:rsid w:val="005A2BDD"/>
    <w:rsid w:val="005A34CA"/>
    <w:rsid w:val="005A3853"/>
    <w:rsid w:val="005A4B77"/>
    <w:rsid w:val="005A5899"/>
    <w:rsid w:val="005A6A26"/>
    <w:rsid w:val="005A6C28"/>
    <w:rsid w:val="005A725F"/>
    <w:rsid w:val="005A7951"/>
    <w:rsid w:val="005B27F2"/>
    <w:rsid w:val="005B2AB8"/>
    <w:rsid w:val="005B2E57"/>
    <w:rsid w:val="005B3F1B"/>
    <w:rsid w:val="005B6423"/>
    <w:rsid w:val="005B720F"/>
    <w:rsid w:val="005B7269"/>
    <w:rsid w:val="005B7467"/>
    <w:rsid w:val="005B7A2F"/>
    <w:rsid w:val="005B7BB9"/>
    <w:rsid w:val="005C0C1F"/>
    <w:rsid w:val="005C19E7"/>
    <w:rsid w:val="005C1A77"/>
    <w:rsid w:val="005C1C27"/>
    <w:rsid w:val="005C294D"/>
    <w:rsid w:val="005C2DF4"/>
    <w:rsid w:val="005C5E4D"/>
    <w:rsid w:val="005C67B3"/>
    <w:rsid w:val="005C67BD"/>
    <w:rsid w:val="005C6F09"/>
    <w:rsid w:val="005D0672"/>
    <w:rsid w:val="005D0AA6"/>
    <w:rsid w:val="005D131A"/>
    <w:rsid w:val="005D14F4"/>
    <w:rsid w:val="005D1565"/>
    <w:rsid w:val="005D2A78"/>
    <w:rsid w:val="005D2AFE"/>
    <w:rsid w:val="005D3663"/>
    <w:rsid w:val="005D4521"/>
    <w:rsid w:val="005D4D2D"/>
    <w:rsid w:val="005D6389"/>
    <w:rsid w:val="005D688E"/>
    <w:rsid w:val="005D6E54"/>
    <w:rsid w:val="005D6EE9"/>
    <w:rsid w:val="005D7283"/>
    <w:rsid w:val="005D7C14"/>
    <w:rsid w:val="005E09E2"/>
    <w:rsid w:val="005E0A2B"/>
    <w:rsid w:val="005E0D4B"/>
    <w:rsid w:val="005E1F13"/>
    <w:rsid w:val="005E24AE"/>
    <w:rsid w:val="005E2869"/>
    <w:rsid w:val="005E3928"/>
    <w:rsid w:val="005E3CAF"/>
    <w:rsid w:val="005E3E6C"/>
    <w:rsid w:val="005E4047"/>
    <w:rsid w:val="005E4059"/>
    <w:rsid w:val="005E41E8"/>
    <w:rsid w:val="005E4B4F"/>
    <w:rsid w:val="005E5BB8"/>
    <w:rsid w:val="005E6091"/>
    <w:rsid w:val="005E61E5"/>
    <w:rsid w:val="005E725F"/>
    <w:rsid w:val="005E73F3"/>
    <w:rsid w:val="005E7680"/>
    <w:rsid w:val="005F107E"/>
    <w:rsid w:val="005F1235"/>
    <w:rsid w:val="005F1532"/>
    <w:rsid w:val="005F1A08"/>
    <w:rsid w:val="005F3B8C"/>
    <w:rsid w:val="005F419B"/>
    <w:rsid w:val="005F4A9A"/>
    <w:rsid w:val="005F4DBC"/>
    <w:rsid w:val="005F76BA"/>
    <w:rsid w:val="006009AF"/>
    <w:rsid w:val="00600D2E"/>
    <w:rsid w:val="00601881"/>
    <w:rsid w:val="00601AEE"/>
    <w:rsid w:val="00601B9D"/>
    <w:rsid w:val="00602D72"/>
    <w:rsid w:val="006052DC"/>
    <w:rsid w:val="00605D48"/>
    <w:rsid w:val="006065B3"/>
    <w:rsid w:val="006066FB"/>
    <w:rsid w:val="006072A7"/>
    <w:rsid w:val="0061053D"/>
    <w:rsid w:val="00611C1E"/>
    <w:rsid w:val="00611F8C"/>
    <w:rsid w:val="00612119"/>
    <w:rsid w:val="00612276"/>
    <w:rsid w:val="00613219"/>
    <w:rsid w:val="006157A0"/>
    <w:rsid w:val="00615B59"/>
    <w:rsid w:val="00615F4E"/>
    <w:rsid w:val="00616D20"/>
    <w:rsid w:val="0061735D"/>
    <w:rsid w:val="00617737"/>
    <w:rsid w:val="00620BB3"/>
    <w:rsid w:val="00621D8D"/>
    <w:rsid w:val="00621E6F"/>
    <w:rsid w:val="00622EC9"/>
    <w:rsid w:val="0062393F"/>
    <w:rsid w:val="0062416E"/>
    <w:rsid w:val="00624AC1"/>
    <w:rsid w:val="006256C9"/>
    <w:rsid w:val="0062625A"/>
    <w:rsid w:val="00626784"/>
    <w:rsid w:val="0062683E"/>
    <w:rsid w:val="00627FD4"/>
    <w:rsid w:val="00630916"/>
    <w:rsid w:val="00630CBD"/>
    <w:rsid w:val="00630E95"/>
    <w:rsid w:val="00631EDB"/>
    <w:rsid w:val="0063318A"/>
    <w:rsid w:val="006337FA"/>
    <w:rsid w:val="00633C3D"/>
    <w:rsid w:val="006347B5"/>
    <w:rsid w:val="00634A5F"/>
    <w:rsid w:val="00634B10"/>
    <w:rsid w:val="00634F91"/>
    <w:rsid w:val="00635794"/>
    <w:rsid w:val="00635A3A"/>
    <w:rsid w:val="00636143"/>
    <w:rsid w:val="00636437"/>
    <w:rsid w:val="0063747D"/>
    <w:rsid w:val="00637A07"/>
    <w:rsid w:val="0064107E"/>
    <w:rsid w:val="006412AA"/>
    <w:rsid w:val="006415D0"/>
    <w:rsid w:val="0064245C"/>
    <w:rsid w:val="006424A1"/>
    <w:rsid w:val="006424D5"/>
    <w:rsid w:val="006425F4"/>
    <w:rsid w:val="006426D0"/>
    <w:rsid w:val="00642A39"/>
    <w:rsid w:val="0064339F"/>
    <w:rsid w:val="00643BC9"/>
    <w:rsid w:val="00643D0B"/>
    <w:rsid w:val="00643DC7"/>
    <w:rsid w:val="0064499E"/>
    <w:rsid w:val="00646CC8"/>
    <w:rsid w:val="00647D3A"/>
    <w:rsid w:val="00647DE2"/>
    <w:rsid w:val="006502DE"/>
    <w:rsid w:val="0065120F"/>
    <w:rsid w:val="00651C84"/>
    <w:rsid w:val="00653159"/>
    <w:rsid w:val="006539CF"/>
    <w:rsid w:val="00654071"/>
    <w:rsid w:val="00654A37"/>
    <w:rsid w:val="006600CC"/>
    <w:rsid w:val="00661285"/>
    <w:rsid w:val="006622E9"/>
    <w:rsid w:val="006630FB"/>
    <w:rsid w:val="00663C67"/>
    <w:rsid w:val="006640A5"/>
    <w:rsid w:val="0066534D"/>
    <w:rsid w:val="00665BEA"/>
    <w:rsid w:val="0066697C"/>
    <w:rsid w:val="00666AAE"/>
    <w:rsid w:val="00667309"/>
    <w:rsid w:val="006679EE"/>
    <w:rsid w:val="00670B63"/>
    <w:rsid w:val="00670CEB"/>
    <w:rsid w:val="00670E79"/>
    <w:rsid w:val="00671ACB"/>
    <w:rsid w:val="00672759"/>
    <w:rsid w:val="006729C7"/>
    <w:rsid w:val="00672ABE"/>
    <w:rsid w:val="00673443"/>
    <w:rsid w:val="00673455"/>
    <w:rsid w:val="00673684"/>
    <w:rsid w:val="0067398B"/>
    <w:rsid w:val="00673CD4"/>
    <w:rsid w:val="00674C1F"/>
    <w:rsid w:val="0067626B"/>
    <w:rsid w:val="00676930"/>
    <w:rsid w:val="00676DAE"/>
    <w:rsid w:val="0068018E"/>
    <w:rsid w:val="00680AD6"/>
    <w:rsid w:val="00680C64"/>
    <w:rsid w:val="006838F3"/>
    <w:rsid w:val="00687484"/>
    <w:rsid w:val="0069091C"/>
    <w:rsid w:val="00692CAC"/>
    <w:rsid w:val="00693105"/>
    <w:rsid w:val="006940E9"/>
    <w:rsid w:val="006958D6"/>
    <w:rsid w:val="0069685F"/>
    <w:rsid w:val="006978D9"/>
    <w:rsid w:val="006A1037"/>
    <w:rsid w:val="006A1B57"/>
    <w:rsid w:val="006A2251"/>
    <w:rsid w:val="006A3237"/>
    <w:rsid w:val="006A3CBD"/>
    <w:rsid w:val="006A3D79"/>
    <w:rsid w:val="006A3FDE"/>
    <w:rsid w:val="006A43D3"/>
    <w:rsid w:val="006A4EE0"/>
    <w:rsid w:val="006A5945"/>
    <w:rsid w:val="006A5BAE"/>
    <w:rsid w:val="006A5D0B"/>
    <w:rsid w:val="006A68C9"/>
    <w:rsid w:val="006A6F3B"/>
    <w:rsid w:val="006B0291"/>
    <w:rsid w:val="006B0B07"/>
    <w:rsid w:val="006B1192"/>
    <w:rsid w:val="006B327A"/>
    <w:rsid w:val="006B7C9D"/>
    <w:rsid w:val="006C043B"/>
    <w:rsid w:val="006C07FE"/>
    <w:rsid w:val="006C0A1D"/>
    <w:rsid w:val="006C174D"/>
    <w:rsid w:val="006C1BB2"/>
    <w:rsid w:val="006C2422"/>
    <w:rsid w:val="006C39B5"/>
    <w:rsid w:val="006C3E0F"/>
    <w:rsid w:val="006C5265"/>
    <w:rsid w:val="006C5D46"/>
    <w:rsid w:val="006C693E"/>
    <w:rsid w:val="006C7F79"/>
    <w:rsid w:val="006D2615"/>
    <w:rsid w:val="006D2835"/>
    <w:rsid w:val="006D3470"/>
    <w:rsid w:val="006D34E3"/>
    <w:rsid w:val="006D4084"/>
    <w:rsid w:val="006D49A7"/>
    <w:rsid w:val="006D4AA7"/>
    <w:rsid w:val="006D637A"/>
    <w:rsid w:val="006D72D6"/>
    <w:rsid w:val="006D793D"/>
    <w:rsid w:val="006D7A6E"/>
    <w:rsid w:val="006E02D2"/>
    <w:rsid w:val="006E1D3A"/>
    <w:rsid w:val="006E1FF7"/>
    <w:rsid w:val="006E3453"/>
    <w:rsid w:val="006E440E"/>
    <w:rsid w:val="006E488A"/>
    <w:rsid w:val="006E5DC0"/>
    <w:rsid w:val="006E5FF0"/>
    <w:rsid w:val="006E7005"/>
    <w:rsid w:val="006E75E2"/>
    <w:rsid w:val="006F08E4"/>
    <w:rsid w:val="006F0942"/>
    <w:rsid w:val="006F0C5D"/>
    <w:rsid w:val="006F2102"/>
    <w:rsid w:val="006F225B"/>
    <w:rsid w:val="006F227F"/>
    <w:rsid w:val="006F2DED"/>
    <w:rsid w:val="006F309A"/>
    <w:rsid w:val="006F3318"/>
    <w:rsid w:val="006F3451"/>
    <w:rsid w:val="006F3B7C"/>
    <w:rsid w:val="006F426F"/>
    <w:rsid w:val="006F44C0"/>
    <w:rsid w:val="006F4867"/>
    <w:rsid w:val="006F4891"/>
    <w:rsid w:val="006F4FDC"/>
    <w:rsid w:val="006F51F8"/>
    <w:rsid w:val="006F5210"/>
    <w:rsid w:val="006F79CE"/>
    <w:rsid w:val="00700283"/>
    <w:rsid w:val="00700B1B"/>
    <w:rsid w:val="0070384F"/>
    <w:rsid w:val="00704B4E"/>
    <w:rsid w:val="00704FF3"/>
    <w:rsid w:val="007060DF"/>
    <w:rsid w:val="00712210"/>
    <w:rsid w:val="00712257"/>
    <w:rsid w:val="0071294F"/>
    <w:rsid w:val="007140EA"/>
    <w:rsid w:val="0071438C"/>
    <w:rsid w:val="00715842"/>
    <w:rsid w:val="00715FDE"/>
    <w:rsid w:val="00716395"/>
    <w:rsid w:val="007164F3"/>
    <w:rsid w:val="00716A6E"/>
    <w:rsid w:val="00720CCC"/>
    <w:rsid w:val="00720D58"/>
    <w:rsid w:val="0072143F"/>
    <w:rsid w:val="007218D0"/>
    <w:rsid w:val="00721940"/>
    <w:rsid w:val="007219C2"/>
    <w:rsid w:val="00722605"/>
    <w:rsid w:val="00722B8D"/>
    <w:rsid w:val="007238DA"/>
    <w:rsid w:val="00724062"/>
    <w:rsid w:val="00725755"/>
    <w:rsid w:val="00725F64"/>
    <w:rsid w:val="0072679F"/>
    <w:rsid w:val="0072690F"/>
    <w:rsid w:val="00726EEA"/>
    <w:rsid w:val="00727009"/>
    <w:rsid w:val="0072726C"/>
    <w:rsid w:val="00727845"/>
    <w:rsid w:val="00731022"/>
    <w:rsid w:val="00731036"/>
    <w:rsid w:val="00732547"/>
    <w:rsid w:val="00732DAB"/>
    <w:rsid w:val="00733A22"/>
    <w:rsid w:val="00733A36"/>
    <w:rsid w:val="00734146"/>
    <w:rsid w:val="0073440E"/>
    <w:rsid w:val="00736B86"/>
    <w:rsid w:val="00736EEB"/>
    <w:rsid w:val="007403A5"/>
    <w:rsid w:val="007406EC"/>
    <w:rsid w:val="00740B72"/>
    <w:rsid w:val="007415EA"/>
    <w:rsid w:val="007425E6"/>
    <w:rsid w:val="00742C27"/>
    <w:rsid w:val="00743467"/>
    <w:rsid w:val="00743927"/>
    <w:rsid w:val="00743CA9"/>
    <w:rsid w:val="00744508"/>
    <w:rsid w:val="007452A2"/>
    <w:rsid w:val="00745B93"/>
    <w:rsid w:val="007469B8"/>
    <w:rsid w:val="007512D7"/>
    <w:rsid w:val="007514E9"/>
    <w:rsid w:val="0075237F"/>
    <w:rsid w:val="007528E1"/>
    <w:rsid w:val="00752AF9"/>
    <w:rsid w:val="00753051"/>
    <w:rsid w:val="0075337A"/>
    <w:rsid w:val="00753D2E"/>
    <w:rsid w:val="00753FE3"/>
    <w:rsid w:val="0075456C"/>
    <w:rsid w:val="00754909"/>
    <w:rsid w:val="0075537F"/>
    <w:rsid w:val="00755433"/>
    <w:rsid w:val="00755D1E"/>
    <w:rsid w:val="007577CF"/>
    <w:rsid w:val="00760732"/>
    <w:rsid w:val="007611EA"/>
    <w:rsid w:val="00761CB0"/>
    <w:rsid w:val="00762E95"/>
    <w:rsid w:val="00763918"/>
    <w:rsid w:val="007649DD"/>
    <w:rsid w:val="0076514C"/>
    <w:rsid w:val="00766DFA"/>
    <w:rsid w:val="0077141A"/>
    <w:rsid w:val="00773C3C"/>
    <w:rsid w:val="00775D78"/>
    <w:rsid w:val="00775FB8"/>
    <w:rsid w:val="00777A34"/>
    <w:rsid w:val="00777E99"/>
    <w:rsid w:val="00777F12"/>
    <w:rsid w:val="007811AF"/>
    <w:rsid w:val="00781A2D"/>
    <w:rsid w:val="00782578"/>
    <w:rsid w:val="00782737"/>
    <w:rsid w:val="007827AC"/>
    <w:rsid w:val="00783195"/>
    <w:rsid w:val="00783AE3"/>
    <w:rsid w:val="00783EA2"/>
    <w:rsid w:val="00784767"/>
    <w:rsid w:val="00785271"/>
    <w:rsid w:val="00786369"/>
    <w:rsid w:val="00786727"/>
    <w:rsid w:val="0078680A"/>
    <w:rsid w:val="007909CA"/>
    <w:rsid w:val="00790BE5"/>
    <w:rsid w:val="00790FE9"/>
    <w:rsid w:val="0079236B"/>
    <w:rsid w:val="00793555"/>
    <w:rsid w:val="00794269"/>
    <w:rsid w:val="007947C0"/>
    <w:rsid w:val="00794B7C"/>
    <w:rsid w:val="007952BB"/>
    <w:rsid w:val="007956D8"/>
    <w:rsid w:val="00796090"/>
    <w:rsid w:val="00797947"/>
    <w:rsid w:val="00797D34"/>
    <w:rsid w:val="00797E14"/>
    <w:rsid w:val="007A14D3"/>
    <w:rsid w:val="007A173D"/>
    <w:rsid w:val="007A22BE"/>
    <w:rsid w:val="007A3119"/>
    <w:rsid w:val="007A3446"/>
    <w:rsid w:val="007A34AE"/>
    <w:rsid w:val="007A45F6"/>
    <w:rsid w:val="007A4C38"/>
    <w:rsid w:val="007A5061"/>
    <w:rsid w:val="007A5174"/>
    <w:rsid w:val="007A556A"/>
    <w:rsid w:val="007A5961"/>
    <w:rsid w:val="007A5E94"/>
    <w:rsid w:val="007A5EF3"/>
    <w:rsid w:val="007A62B1"/>
    <w:rsid w:val="007A63ED"/>
    <w:rsid w:val="007A6B80"/>
    <w:rsid w:val="007A76C9"/>
    <w:rsid w:val="007B04F1"/>
    <w:rsid w:val="007B0D46"/>
    <w:rsid w:val="007B2D51"/>
    <w:rsid w:val="007B3247"/>
    <w:rsid w:val="007B3A55"/>
    <w:rsid w:val="007B41A4"/>
    <w:rsid w:val="007B4226"/>
    <w:rsid w:val="007B4A97"/>
    <w:rsid w:val="007B5666"/>
    <w:rsid w:val="007B5FEF"/>
    <w:rsid w:val="007B63CF"/>
    <w:rsid w:val="007B686E"/>
    <w:rsid w:val="007B6AAC"/>
    <w:rsid w:val="007B6B41"/>
    <w:rsid w:val="007B6FF1"/>
    <w:rsid w:val="007C0780"/>
    <w:rsid w:val="007C0E93"/>
    <w:rsid w:val="007C1282"/>
    <w:rsid w:val="007C1659"/>
    <w:rsid w:val="007C20ED"/>
    <w:rsid w:val="007C33D9"/>
    <w:rsid w:val="007C3959"/>
    <w:rsid w:val="007C3C3C"/>
    <w:rsid w:val="007C3E9C"/>
    <w:rsid w:val="007C4250"/>
    <w:rsid w:val="007C4D00"/>
    <w:rsid w:val="007C4DBE"/>
    <w:rsid w:val="007C538F"/>
    <w:rsid w:val="007C53D3"/>
    <w:rsid w:val="007C5403"/>
    <w:rsid w:val="007C557C"/>
    <w:rsid w:val="007C64D4"/>
    <w:rsid w:val="007C7202"/>
    <w:rsid w:val="007C7564"/>
    <w:rsid w:val="007C7726"/>
    <w:rsid w:val="007D0724"/>
    <w:rsid w:val="007D08B7"/>
    <w:rsid w:val="007D0AD9"/>
    <w:rsid w:val="007D14FB"/>
    <w:rsid w:val="007D17AA"/>
    <w:rsid w:val="007D2626"/>
    <w:rsid w:val="007D3AFF"/>
    <w:rsid w:val="007D4451"/>
    <w:rsid w:val="007D4DB9"/>
    <w:rsid w:val="007D5159"/>
    <w:rsid w:val="007D54A9"/>
    <w:rsid w:val="007D5A0D"/>
    <w:rsid w:val="007D5EC0"/>
    <w:rsid w:val="007E06CD"/>
    <w:rsid w:val="007E0C57"/>
    <w:rsid w:val="007E10B7"/>
    <w:rsid w:val="007E11CD"/>
    <w:rsid w:val="007E1599"/>
    <w:rsid w:val="007E1C96"/>
    <w:rsid w:val="007E2F0A"/>
    <w:rsid w:val="007E5113"/>
    <w:rsid w:val="007E5621"/>
    <w:rsid w:val="007E6167"/>
    <w:rsid w:val="007E61F3"/>
    <w:rsid w:val="007E794F"/>
    <w:rsid w:val="007E7991"/>
    <w:rsid w:val="007E7A08"/>
    <w:rsid w:val="007F0C73"/>
    <w:rsid w:val="007F18D6"/>
    <w:rsid w:val="007F1B02"/>
    <w:rsid w:val="007F215C"/>
    <w:rsid w:val="007F23A6"/>
    <w:rsid w:val="007F29DB"/>
    <w:rsid w:val="007F3E0D"/>
    <w:rsid w:val="007F6F75"/>
    <w:rsid w:val="007F72BA"/>
    <w:rsid w:val="007F7B30"/>
    <w:rsid w:val="008016C7"/>
    <w:rsid w:val="00801742"/>
    <w:rsid w:val="0080336A"/>
    <w:rsid w:val="00803F69"/>
    <w:rsid w:val="008043BC"/>
    <w:rsid w:val="008048DE"/>
    <w:rsid w:val="00804B66"/>
    <w:rsid w:val="00804CE2"/>
    <w:rsid w:val="00805013"/>
    <w:rsid w:val="00806137"/>
    <w:rsid w:val="00806CE2"/>
    <w:rsid w:val="008075D7"/>
    <w:rsid w:val="008078DC"/>
    <w:rsid w:val="00807FF0"/>
    <w:rsid w:val="00810D97"/>
    <w:rsid w:val="00811A2E"/>
    <w:rsid w:val="00812B55"/>
    <w:rsid w:val="0081483A"/>
    <w:rsid w:val="008155EA"/>
    <w:rsid w:val="00815B27"/>
    <w:rsid w:val="00815E17"/>
    <w:rsid w:val="00815E59"/>
    <w:rsid w:val="00816193"/>
    <w:rsid w:val="00816205"/>
    <w:rsid w:val="00816673"/>
    <w:rsid w:val="00816A15"/>
    <w:rsid w:val="00817179"/>
    <w:rsid w:val="00817D68"/>
    <w:rsid w:val="008202D0"/>
    <w:rsid w:val="008204E9"/>
    <w:rsid w:val="00820BEB"/>
    <w:rsid w:val="0082179D"/>
    <w:rsid w:val="008222E8"/>
    <w:rsid w:val="008225B6"/>
    <w:rsid w:val="00824F91"/>
    <w:rsid w:val="00825794"/>
    <w:rsid w:val="00825A66"/>
    <w:rsid w:val="00827519"/>
    <w:rsid w:val="00827CE8"/>
    <w:rsid w:val="0083016A"/>
    <w:rsid w:val="0083274E"/>
    <w:rsid w:val="008346E6"/>
    <w:rsid w:val="008348C6"/>
    <w:rsid w:val="00835BCA"/>
    <w:rsid w:val="00836FE5"/>
    <w:rsid w:val="008402C4"/>
    <w:rsid w:val="00842067"/>
    <w:rsid w:val="0084417B"/>
    <w:rsid w:val="00844AA5"/>
    <w:rsid w:val="00844AF6"/>
    <w:rsid w:val="008450D5"/>
    <w:rsid w:val="0084554C"/>
    <w:rsid w:val="00846860"/>
    <w:rsid w:val="00851A68"/>
    <w:rsid w:val="00854955"/>
    <w:rsid w:val="00855A6A"/>
    <w:rsid w:val="0085715E"/>
    <w:rsid w:val="00861112"/>
    <w:rsid w:val="008612C2"/>
    <w:rsid w:val="00862319"/>
    <w:rsid w:val="00862577"/>
    <w:rsid w:val="00862DA8"/>
    <w:rsid w:val="0086345D"/>
    <w:rsid w:val="00863C28"/>
    <w:rsid w:val="0086466D"/>
    <w:rsid w:val="00864A35"/>
    <w:rsid w:val="0086599E"/>
    <w:rsid w:val="008663B0"/>
    <w:rsid w:val="008663E1"/>
    <w:rsid w:val="00866E1D"/>
    <w:rsid w:val="00867BB6"/>
    <w:rsid w:val="00867FAC"/>
    <w:rsid w:val="0087179D"/>
    <w:rsid w:val="008718CC"/>
    <w:rsid w:val="00872273"/>
    <w:rsid w:val="00872FDF"/>
    <w:rsid w:val="00873433"/>
    <w:rsid w:val="00873789"/>
    <w:rsid w:val="008747E1"/>
    <w:rsid w:val="00874D4B"/>
    <w:rsid w:val="00874DD0"/>
    <w:rsid w:val="008752C9"/>
    <w:rsid w:val="0087705D"/>
    <w:rsid w:val="008803A7"/>
    <w:rsid w:val="008807E8"/>
    <w:rsid w:val="00880AB9"/>
    <w:rsid w:val="00881602"/>
    <w:rsid w:val="00881BBB"/>
    <w:rsid w:val="008822FD"/>
    <w:rsid w:val="00885F34"/>
    <w:rsid w:val="008871CE"/>
    <w:rsid w:val="008875AE"/>
    <w:rsid w:val="00887D68"/>
    <w:rsid w:val="00891393"/>
    <w:rsid w:val="0089305F"/>
    <w:rsid w:val="00893673"/>
    <w:rsid w:val="00894F03"/>
    <w:rsid w:val="00895531"/>
    <w:rsid w:val="00895B18"/>
    <w:rsid w:val="008964C7"/>
    <w:rsid w:val="008966D1"/>
    <w:rsid w:val="008977F0"/>
    <w:rsid w:val="00897BA4"/>
    <w:rsid w:val="00897BCA"/>
    <w:rsid w:val="008A03D8"/>
    <w:rsid w:val="008A0B0D"/>
    <w:rsid w:val="008A162A"/>
    <w:rsid w:val="008A240A"/>
    <w:rsid w:val="008A285C"/>
    <w:rsid w:val="008A2AA9"/>
    <w:rsid w:val="008A3AB0"/>
    <w:rsid w:val="008A3FEC"/>
    <w:rsid w:val="008A4B0B"/>
    <w:rsid w:val="008A5691"/>
    <w:rsid w:val="008A6AFD"/>
    <w:rsid w:val="008A7B7F"/>
    <w:rsid w:val="008B035D"/>
    <w:rsid w:val="008B0E5B"/>
    <w:rsid w:val="008B13BE"/>
    <w:rsid w:val="008B26FC"/>
    <w:rsid w:val="008B275E"/>
    <w:rsid w:val="008B2790"/>
    <w:rsid w:val="008B3637"/>
    <w:rsid w:val="008B4B7F"/>
    <w:rsid w:val="008B4E98"/>
    <w:rsid w:val="008B5C6A"/>
    <w:rsid w:val="008B5CB9"/>
    <w:rsid w:val="008B5CD0"/>
    <w:rsid w:val="008B6045"/>
    <w:rsid w:val="008B7105"/>
    <w:rsid w:val="008B7C80"/>
    <w:rsid w:val="008C084D"/>
    <w:rsid w:val="008C163A"/>
    <w:rsid w:val="008C16F7"/>
    <w:rsid w:val="008C1FD2"/>
    <w:rsid w:val="008C24B5"/>
    <w:rsid w:val="008C2D0E"/>
    <w:rsid w:val="008C320A"/>
    <w:rsid w:val="008C323B"/>
    <w:rsid w:val="008C382C"/>
    <w:rsid w:val="008C3DEC"/>
    <w:rsid w:val="008C4AC8"/>
    <w:rsid w:val="008C521B"/>
    <w:rsid w:val="008C7985"/>
    <w:rsid w:val="008C7DC3"/>
    <w:rsid w:val="008D0638"/>
    <w:rsid w:val="008D1CD2"/>
    <w:rsid w:val="008D2488"/>
    <w:rsid w:val="008D4847"/>
    <w:rsid w:val="008D5D1B"/>
    <w:rsid w:val="008D644F"/>
    <w:rsid w:val="008D6541"/>
    <w:rsid w:val="008D698F"/>
    <w:rsid w:val="008D7BA9"/>
    <w:rsid w:val="008E1EE9"/>
    <w:rsid w:val="008E32BB"/>
    <w:rsid w:val="008E3A7D"/>
    <w:rsid w:val="008E4478"/>
    <w:rsid w:val="008E481B"/>
    <w:rsid w:val="008E49E2"/>
    <w:rsid w:val="008E4ED7"/>
    <w:rsid w:val="008E54FC"/>
    <w:rsid w:val="008E7326"/>
    <w:rsid w:val="008F1826"/>
    <w:rsid w:val="008F3877"/>
    <w:rsid w:val="008F3944"/>
    <w:rsid w:val="008F44BF"/>
    <w:rsid w:val="008F5295"/>
    <w:rsid w:val="008F59D8"/>
    <w:rsid w:val="008F62D4"/>
    <w:rsid w:val="008F6671"/>
    <w:rsid w:val="008F75D6"/>
    <w:rsid w:val="008F7ED8"/>
    <w:rsid w:val="0090064B"/>
    <w:rsid w:val="00902592"/>
    <w:rsid w:val="00902ED8"/>
    <w:rsid w:val="00903C63"/>
    <w:rsid w:val="00903EF2"/>
    <w:rsid w:val="00906206"/>
    <w:rsid w:val="009062BC"/>
    <w:rsid w:val="00906A81"/>
    <w:rsid w:val="009070D2"/>
    <w:rsid w:val="009072DB"/>
    <w:rsid w:val="009076E6"/>
    <w:rsid w:val="00907768"/>
    <w:rsid w:val="00911B0C"/>
    <w:rsid w:val="009121A4"/>
    <w:rsid w:val="00912C07"/>
    <w:rsid w:val="00913A8C"/>
    <w:rsid w:val="00913AC2"/>
    <w:rsid w:val="009145C9"/>
    <w:rsid w:val="009145E9"/>
    <w:rsid w:val="009148F3"/>
    <w:rsid w:val="00915086"/>
    <w:rsid w:val="00915772"/>
    <w:rsid w:val="00915D51"/>
    <w:rsid w:val="009162C5"/>
    <w:rsid w:val="0091648C"/>
    <w:rsid w:val="00916C16"/>
    <w:rsid w:val="009170B5"/>
    <w:rsid w:val="00917615"/>
    <w:rsid w:val="0092090B"/>
    <w:rsid w:val="00920CDF"/>
    <w:rsid w:val="0092156E"/>
    <w:rsid w:val="00921661"/>
    <w:rsid w:val="00921B11"/>
    <w:rsid w:val="009220C7"/>
    <w:rsid w:val="0092283A"/>
    <w:rsid w:val="00925DDD"/>
    <w:rsid w:val="00926C25"/>
    <w:rsid w:val="00927299"/>
    <w:rsid w:val="009274B1"/>
    <w:rsid w:val="009302D7"/>
    <w:rsid w:val="009304AD"/>
    <w:rsid w:val="00930C82"/>
    <w:rsid w:val="00931351"/>
    <w:rsid w:val="009315CF"/>
    <w:rsid w:val="00931D2D"/>
    <w:rsid w:val="00931EC0"/>
    <w:rsid w:val="00931EF7"/>
    <w:rsid w:val="00932880"/>
    <w:rsid w:val="00933808"/>
    <w:rsid w:val="0093452C"/>
    <w:rsid w:val="00934E2D"/>
    <w:rsid w:val="00935D1D"/>
    <w:rsid w:val="0093701C"/>
    <w:rsid w:val="00937288"/>
    <w:rsid w:val="009407ED"/>
    <w:rsid w:val="00940853"/>
    <w:rsid w:val="00940B48"/>
    <w:rsid w:val="00940D59"/>
    <w:rsid w:val="009419CF"/>
    <w:rsid w:val="00941C5D"/>
    <w:rsid w:val="00942317"/>
    <w:rsid w:val="009424DA"/>
    <w:rsid w:val="00942C40"/>
    <w:rsid w:val="00942C4E"/>
    <w:rsid w:val="00943B0C"/>
    <w:rsid w:val="00943DC4"/>
    <w:rsid w:val="00943FE8"/>
    <w:rsid w:val="00944624"/>
    <w:rsid w:val="009450DC"/>
    <w:rsid w:val="009454BF"/>
    <w:rsid w:val="00945DE9"/>
    <w:rsid w:val="00945E10"/>
    <w:rsid w:val="00946414"/>
    <w:rsid w:val="00946A72"/>
    <w:rsid w:val="009472AE"/>
    <w:rsid w:val="009472E1"/>
    <w:rsid w:val="00950B8D"/>
    <w:rsid w:val="00950D19"/>
    <w:rsid w:val="009527D5"/>
    <w:rsid w:val="009534EA"/>
    <w:rsid w:val="00954E11"/>
    <w:rsid w:val="009551C4"/>
    <w:rsid w:val="00956166"/>
    <w:rsid w:val="00956B61"/>
    <w:rsid w:val="00956C3A"/>
    <w:rsid w:val="00956D13"/>
    <w:rsid w:val="00960622"/>
    <w:rsid w:val="00961608"/>
    <w:rsid w:val="00961847"/>
    <w:rsid w:val="00962A65"/>
    <w:rsid w:val="00963B3B"/>
    <w:rsid w:val="00964A0C"/>
    <w:rsid w:val="00964CB8"/>
    <w:rsid w:val="00964EFF"/>
    <w:rsid w:val="00965C1B"/>
    <w:rsid w:val="00965C1D"/>
    <w:rsid w:val="009663C3"/>
    <w:rsid w:val="00966A7E"/>
    <w:rsid w:val="00967C96"/>
    <w:rsid w:val="0097010B"/>
    <w:rsid w:val="009709D7"/>
    <w:rsid w:val="00971078"/>
    <w:rsid w:val="009729DE"/>
    <w:rsid w:val="009732F2"/>
    <w:rsid w:val="0097343B"/>
    <w:rsid w:val="0097389B"/>
    <w:rsid w:val="009754DC"/>
    <w:rsid w:val="0097559F"/>
    <w:rsid w:val="009756D2"/>
    <w:rsid w:val="00975995"/>
    <w:rsid w:val="00975A0E"/>
    <w:rsid w:val="00975BB3"/>
    <w:rsid w:val="00975E1E"/>
    <w:rsid w:val="00977376"/>
    <w:rsid w:val="00977BDE"/>
    <w:rsid w:val="00980385"/>
    <w:rsid w:val="009809A7"/>
    <w:rsid w:val="00981118"/>
    <w:rsid w:val="00982784"/>
    <w:rsid w:val="0098296D"/>
    <w:rsid w:val="00982EA4"/>
    <w:rsid w:val="00983391"/>
    <w:rsid w:val="009835A3"/>
    <w:rsid w:val="00983932"/>
    <w:rsid w:val="00983F41"/>
    <w:rsid w:val="00983FF7"/>
    <w:rsid w:val="00986EDE"/>
    <w:rsid w:val="00987AD1"/>
    <w:rsid w:val="00990EAB"/>
    <w:rsid w:val="0099168F"/>
    <w:rsid w:val="00991BBA"/>
    <w:rsid w:val="00992350"/>
    <w:rsid w:val="009924F8"/>
    <w:rsid w:val="00992AA7"/>
    <w:rsid w:val="0099349F"/>
    <w:rsid w:val="0099557C"/>
    <w:rsid w:val="00995668"/>
    <w:rsid w:val="00995A92"/>
    <w:rsid w:val="00995C62"/>
    <w:rsid w:val="00995F84"/>
    <w:rsid w:val="009964A7"/>
    <w:rsid w:val="00996B02"/>
    <w:rsid w:val="009970AA"/>
    <w:rsid w:val="009A0139"/>
    <w:rsid w:val="009A0F15"/>
    <w:rsid w:val="009A1793"/>
    <w:rsid w:val="009A19E8"/>
    <w:rsid w:val="009A1F19"/>
    <w:rsid w:val="009A1FAB"/>
    <w:rsid w:val="009A2768"/>
    <w:rsid w:val="009A305E"/>
    <w:rsid w:val="009A3628"/>
    <w:rsid w:val="009A4369"/>
    <w:rsid w:val="009A4C1D"/>
    <w:rsid w:val="009A7073"/>
    <w:rsid w:val="009A7651"/>
    <w:rsid w:val="009B0120"/>
    <w:rsid w:val="009B0FD2"/>
    <w:rsid w:val="009B1343"/>
    <w:rsid w:val="009B1717"/>
    <w:rsid w:val="009B1CC5"/>
    <w:rsid w:val="009B2371"/>
    <w:rsid w:val="009B276F"/>
    <w:rsid w:val="009B34A4"/>
    <w:rsid w:val="009B37C7"/>
    <w:rsid w:val="009B3949"/>
    <w:rsid w:val="009B4244"/>
    <w:rsid w:val="009B51DB"/>
    <w:rsid w:val="009B5445"/>
    <w:rsid w:val="009B5491"/>
    <w:rsid w:val="009B6A7C"/>
    <w:rsid w:val="009B743A"/>
    <w:rsid w:val="009B7F96"/>
    <w:rsid w:val="009C02F8"/>
    <w:rsid w:val="009C0C30"/>
    <w:rsid w:val="009C0F2F"/>
    <w:rsid w:val="009C2D81"/>
    <w:rsid w:val="009C331D"/>
    <w:rsid w:val="009C3991"/>
    <w:rsid w:val="009C401F"/>
    <w:rsid w:val="009C4E13"/>
    <w:rsid w:val="009C67B0"/>
    <w:rsid w:val="009D1130"/>
    <w:rsid w:val="009D22DE"/>
    <w:rsid w:val="009D242F"/>
    <w:rsid w:val="009D320B"/>
    <w:rsid w:val="009D46DE"/>
    <w:rsid w:val="009D5286"/>
    <w:rsid w:val="009D556A"/>
    <w:rsid w:val="009D55D9"/>
    <w:rsid w:val="009D5887"/>
    <w:rsid w:val="009D6948"/>
    <w:rsid w:val="009D6B2C"/>
    <w:rsid w:val="009D7701"/>
    <w:rsid w:val="009D7DCD"/>
    <w:rsid w:val="009E0317"/>
    <w:rsid w:val="009E11A6"/>
    <w:rsid w:val="009E2398"/>
    <w:rsid w:val="009E2BD9"/>
    <w:rsid w:val="009E3405"/>
    <w:rsid w:val="009E382D"/>
    <w:rsid w:val="009E5BEA"/>
    <w:rsid w:val="009E6069"/>
    <w:rsid w:val="009E6103"/>
    <w:rsid w:val="009E6463"/>
    <w:rsid w:val="009E74EE"/>
    <w:rsid w:val="009E7ED9"/>
    <w:rsid w:val="009F02BE"/>
    <w:rsid w:val="009F0A40"/>
    <w:rsid w:val="009F2127"/>
    <w:rsid w:val="009F2C75"/>
    <w:rsid w:val="009F3BA1"/>
    <w:rsid w:val="009F4A55"/>
    <w:rsid w:val="009F6B61"/>
    <w:rsid w:val="009F7DE9"/>
    <w:rsid w:val="00A001BC"/>
    <w:rsid w:val="00A012B1"/>
    <w:rsid w:val="00A015CC"/>
    <w:rsid w:val="00A024F2"/>
    <w:rsid w:val="00A03718"/>
    <w:rsid w:val="00A03BB7"/>
    <w:rsid w:val="00A03C6C"/>
    <w:rsid w:val="00A03E1B"/>
    <w:rsid w:val="00A0471A"/>
    <w:rsid w:val="00A05EAE"/>
    <w:rsid w:val="00A06E42"/>
    <w:rsid w:val="00A07BD8"/>
    <w:rsid w:val="00A108DE"/>
    <w:rsid w:val="00A10D78"/>
    <w:rsid w:val="00A1215F"/>
    <w:rsid w:val="00A13F77"/>
    <w:rsid w:val="00A142E7"/>
    <w:rsid w:val="00A1431F"/>
    <w:rsid w:val="00A15BA7"/>
    <w:rsid w:val="00A16B3A"/>
    <w:rsid w:val="00A17699"/>
    <w:rsid w:val="00A1791F"/>
    <w:rsid w:val="00A20E1C"/>
    <w:rsid w:val="00A21AA2"/>
    <w:rsid w:val="00A21B48"/>
    <w:rsid w:val="00A22005"/>
    <w:rsid w:val="00A22114"/>
    <w:rsid w:val="00A241A1"/>
    <w:rsid w:val="00A24304"/>
    <w:rsid w:val="00A2618C"/>
    <w:rsid w:val="00A26742"/>
    <w:rsid w:val="00A2696A"/>
    <w:rsid w:val="00A271AB"/>
    <w:rsid w:val="00A30AC6"/>
    <w:rsid w:val="00A31BF2"/>
    <w:rsid w:val="00A35911"/>
    <w:rsid w:val="00A35C02"/>
    <w:rsid w:val="00A369D8"/>
    <w:rsid w:val="00A379A0"/>
    <w:rsid w:val="00A41440"/>
    <w:rsid w:val="00A425AE"/>
    <w:rsid w:val="00A44EDA"/>
    <w:rsid w:val="00A46908"/>
    <w:rsid w:val="00A46FDA"/>
    <w:rsid w:val="00A47203"/>
    <w:rsid w:val="00A472A5"/>
    <w:rsid w:val="00A47EC0"/>
    <w:rsid w:val="00A51CCE"/>
    <w:rsid w:val="00A52C99"/>
    <w:rsid w:val="00A5381D"/>
    <w:rsid w:val="00A53E09"/>
    <w:rsid w:val="00A540F3"/>
    <w:rsid w:val="00A54523"/>
    <w:rsid w:val="00A551A9"/>
    <w:rsid w:val="00A563A1"/>
    <w:rsid w:val="00A56A2A"/>
    <w:rsid w:val="00A56A82"/>
    <w:rsid w:val="00A56AD1"/>
    <w:rsid w:val="00A56CB6"/>
    <w:rsid w:val="00A57C56"/>
    <w:rsid w:val="00A60A14"/>
    <w:rsid w:val="00A61603"/>
    <w:rsid w:val="00A61B6F"/>
    <w:rsid w:val="00A61F0B"/>
    <w:rsid w:val="00A637ED"/>
    <w:rsid w:val="00A639B5"/>
    <w:rsid w:val="00A63FD7"/>
    <w:rsid w:val="00A640B0"/>
    <w:rsid w:val="00A640B4"/>
    <w:rsid w:val="00A655B9"/>
    <w:rsid w:val="00A65C29"/>
    <w:rsid w:val="00A6673E"/>
    <w:rsid w:val="00A672B6"/>
    <w:rsid w:val="00A7022C"/>
    <w:rsid w:val="00A71ADF"/>
    <w:rsid w:val="00A7250A"/>
    <w:rsid w:val="00A725C6"/>
    <w:rsid w:val="00A7275C"/>
    <w:rsid w:val="00A72A8E"/>
    <w:rsid w:val="00A72FCB"/>
    <w:rsid w:val="00A72FF4"/>
    <w:rsid w:val="00A73BDC"/>
    <w:rsid w:val="00A743CA"/>
    <w:rsid w:val="00A74794"/>
    <w:rsid w:val="00A74AA7"/>
    <w:rsid w:val="00A74C3B"/>
    <w:rsid w:val="00A75982"/>
    <w:rsid w:val="00A76148"/>
    <w:rsid w:val="00A7635D"/>
    <w:rsid w:val="00A76D4E"/>
    <w:rsid w:val="00A774B8"/>
    <w:rsid w:val="00A77C8B"/>
    <w:rsid w:val="00A8004B"/>
    <w:rsid w:val="00A8063C"/>
    <w:rsid w:val="00A808A8"/>
    <w:rsid w:val="00A81C3D"/>
    <w:rsid w:val="00A82643"/>
    <w:rsid w:val="00A8278A"/>
    <w:rsid w:val="00A828B7"/>
    <w:rsid w:val="00A8299A"/>
    <w:rsid w:val="00A83837"/>
    <w:rsid w:val="00A86492"/>
    <w:rsid w:val="00A901CA"/>
    <w:rsid w:val="00A91D67"/>
    <w:rsid w:val="00A921D1"/>
    <w:rsid w:val="00A9233C"/>
    <w:rsid w:val="00A92B92"/>
    <w:rsid w:val="00A936E7"/>
    <w:rsid w:val="00A939AA"/>
    <w:rsid w:val="00A93B05"/>
    <w:rsid w:val="00A9469C"/>
    <w:rsid w:val="00A9606E"/>
    <w:rsid w:val="00A96103"/>
    <w:rsid w:val="00A96161"/>
    <w:rsid w:val="00A96424"/>
    <w:rsid w:val="00AA1582"/>
    <w:rsid w:val="00AA176B"/>
    <w:rsid w:val="00AA3E44"/>
    <w:rsid w:val="00AA4001"/>
    <w:rsid w:val="00AA4A91"/>
    <w:rsid w:val="00AA5D4B"/>
    <w:rsid w:val="00AA5FDD"/>
    <w:rsid w:val="00AA657B"/>
    <w:rsid w:val="00AA6904"/>
    <w:rsid w:val="00AA7515"/>
    <w:rsid w:val="00AA75D2"/>
    <w:rsid w:val="00AB031F"/>
    <w:rsid w:val="00AB03E0"/>
    <w:rsid w:val="00AB0FB2"/>
    <w:rsid w:val="00AB1415"/>
    <w:rsid w:val="00AB1726"/>
    <w:rsid w:val="00AB3BBD"/>
    <w:rsid w:val="00AB56DD"/>
    <w:rsid w:val="00AB6206"/>
    <w:rsid w:val="00AB64F4"/>
    <w:rsid w:val="00AB6759"/>
    <w:rsid w:val="00AB6A75"/>
    <w:rsid w:val="00AB76E0"/>
    <w:rsid w:val="00AC040F"/>
    <w:rsid w:val="00AC0CAB"/>
    <w:rsid w:val="00AC216D"/>
    <w:rsid w:val="00AC21DD"/>
    <w:rsid w:val="00AC2B5C"/>
    <w:rsid w:val="00AC2B77"/>
    <w:rsid w:val="00AC4236"/>
    <w:rsid w:val="00AC44CF"/>
    <w:rsid w:val="00AC4BD0"/>
    <w:rsid w:val="00AC54C4"/>
    <w:rsid w:val="00AC5749"/>
    <w:rsid w:val="00AC596E"/>
    <w:rsid w:val="00AC5C14"/>
    <w:rsid w:val="00AC609E"/>
    <w:rsid w:val="00AC6783"/>
    <w:rsid w:val="00AC6838"/>
    <w:rsid w:val="00AC6932"/>
    <w:rsid w:val="00AC7019"/>
    <w:rsid w:val="00AD0D68"/>
    <w:rsid w:val="00AD393D"/>
    <w:rsid w:val="00AD565C"/>
    <w:rsid w:val="00AD579B"/>
    <w:rsid w:val="00AD6613"/>
    <w:rsid w:val="00AD67E6"/>
    <w:rsid w:val="00AD6B31"/>
    <w:rsid w:val="00AD6C0A"/>
    <w:rsid w:val="00AD708A"/>
    <w:rsid w:val="00AD70DF"/>
    <w:rsid w:val="00AE0D8A"/>
    <w:rsid w:val="00AE0D99"/>
    <w:rsid w:val="00AE227C"/>
    <w:rsid w:val="00AE2BCD"/>
    <w:rsid w:val="00AE404C"/>
    <w:rsid w:val="00AE4381"/>
    <w:rsid w:val="00AE48B6"/>
    <w:rsid w:val="00AE4C63"/>
    <w:rsid w:val="00AE5375"/>
    <w:rsid w:val="00AE66D5"/>
    <w:rsid w:val="00AE6F20"/>
    <w:rsid w:val="00AE71CA"/>
    <w:rsid w:val="00AE7EA4"/>
    <w:rsid w:val="00AF0377"/>
    <w:rsid w:val="00AF114B"/>
    <w:rsid w:val="00AF2309"/>
    <w:rsid w:val="00AF338B"/>
    <w:rsid w:val="00AF610E"/>
    <w:rsid w:val="00AF76A5"/>
    <w:rsid w:val="00AF7F3F"/>
    <w:rsid w:val="00B00B99"/>
    <w:rsid w:val="00B00C2E"/>
    <w:rsid w:val="00B01584"/>
    <w:rsid w:val="00B01C73"/>
    <w:rsid w:val="00B02DA2"/>
    <w:rsid w:val="00B0694D"/>
    <w:rsid w:val="00B07266"/>
    <w:rsid w:val="00B07AE3"/>
    <w:rsid w:val="00B07F49"/>
    <w:rsid w:val="00B10531"/>
    <w:rsid w:val="00B116B5"/>
    <w:rsid w:val="00B14A91"/>
    <w:rsid w:val="00B151D4"/>
    <w:rsid w:val="00B15AB0"/>
    <w:rsid w:val="00B20487"/>
    <w:rsid w:val="00B2110F"/>
    <w:rsid w:val="00B21127"/>
    <w:rsid w:val="00B21603"/>
    <w:rsid w:val="00B2286E"/>
    <w:rsid w:val="00B22DD5"/>
    <w:rsid w:val="00B2361B"/>
    <w:rsid w:val="00B24317"/>
    <w:rsid w:val="00B24393"/>
    <w:rsid w:val="00B24A5F"/>
    <w:rsid w:val="00B2505F"/>
    <w:rsid w:val="00B25FB5"/>
    <w:rsid w:val="00B273FF"/>
    <w:rsid w:val="00B31FA0"/>
    <w:rsid w:val="00B326F0"/>
    <w:rsid w:val="00B327B9"/>
    <w:rsid w:val="00B32DE4"/>
    <w:rsid w:val="00B33196"/>
    <w:rsid w:val="00B332BF"/>
    <w:rsid w:val="00B34149"/>
    <w:rsid w:val="00B3524B"/>
    <w:rsid w:val="00B35345"/>
    <w:rsid w:val="00B3650F"/>
    <w:rsid w:val="00B37106"/>
    <w:rsid w:val="00B3712B"/>
    <w:rsid w:val="00B40656"/>
    <w:rsid w:val="00B40F4E"/>
    <w:rsid w:val="00B41D44"/>
    <w:rsid w:val="00B42250"/>
    <w:rsid w:val="00B435A7"/>
    <w:rsid w:val="00B456AC"/>
    <w:rsid w:val="00B4582A"/>
    <w:rsid w:val="00B46B40"/>
    <w:rsid w:val="00B500CC"/>
    <w:rsid w:val="00B513C5"/>
    <w:rsid w:val="00B51921"/>
    <w:rsid w:val="00B52540"/>
    <w:rsid w:val="00B5265C"/>
    <w:rsid w:val="00B53453"/>
    <w:rsid w:val="00B548DD"/>
    <w:rsid w:val="00B54C64"/>
    <w:rsid w:val="00B56F60"/>
    <w:rsid w:val="00B57481"/>
    <w:rsid w:val="00B57AC9"/>
    <w:rsid w:val="00B607FC"/>
    <w:rsid w:val="00B61985"/>
    <w:rsid w:val="00B623AB"/>
    <w:rsid w:val="00B62643"/>
    <w:rsid w:val="00B632FF"/>
    <w:rsid w:val="00B633E1"/>
    <w:rsid w:val="00B633ED"/>
    <w:rsid w:val="00B63554"/>
    <w:rsid w:val="00B642AD"/>
    <w:rsid w:val="00B64583"/>
    <w:rsid w:val="00B64644"/>
    <w:rsid w:val="00B64DFE"/>
    <w:rsid w:val="00B667B7"/>
    <w:rsid w:val="00B667B9"/>
    <w:rsid w:val="00B674A0"/>
    <w:rsid w:val="00B719E7"/>
    <w:rsid w:val="00B7286F"/>
    <w:rsid w:val="00B72ADC"/>
    <w:rsid w:val="00B730A6"/>
    <w:rsid w:val="00B7324D"/>
    <w:rsid w:val="00B735FC"/>
    <w:rsid w:val="00B740F1"/>
    <w:rsid w:val="00B748EA"/>
    <w:rsid w:val="00B75005"/>
    <w:rsid w:val="00B76E45"/>
    <w:rsid w:val="00B77424"/>
    <w:rsid w:val="00B775D4"/>
    <w:rsid w:val="00B7768D"/>
    <w:rsid w:val="00B800C2"/>
    <w:rsid w:val="00B800F0"/>
    <w:rsid w:val="00B808FF"/>
    <w:rsid w:val="00B80905"/>
    <w:rsid w:val="00B80F8C"/>
    <w:rsid w:val="00B82E6F"/>
    <w:rsid w:val="00B82FA3"/>
    <w:rsid w:val="00B835F0"/>
    <w:rsid w:val="00B84D41"/>
    <w:rsid w:val="00B84E2C"/>
    <w:rsid w:val="00B858A5"/>
    <w:rsid w:val="00B86109"/>
    <w:rsid w:val="00B872D5"/>
    <w:rsid w:val="00B87D3C"/>
    <w:rsid w:val="00B9051A"/>
    <w:rsid w:val="00B91948"/>
    <w:rsid w:val="00B91C2B"/>
    <w:rsid w:val="00B947A1"/>
    <w:rsid w:val="00B94964"/>
    <w:rsid w:val="00B95648"/>
    <w:rsid w:val="00B95A14"/>
    <w:rsid w:val="00B95CBA"/>
    <w:rsid w:val="00B95D4D"/>
    <w:rsid w:val="00B95F2A"/>
    <w:rsid w:val="00B960B0"/>
    <w:rsid w:val="00B9762E"/>
    <w:rsid w:val="00B97A76"/>
    <w:rsid w:val="00BA1F0F"/>
    <w:rsid w:val="00BA283B"/>
    <w:rsid w:val="00BA2B3B"/>
    <w:rsid w:val="00BA3350"/>
    <w:rsid w:val="00BA6FA4"/>
    <w:rsid w:val="00BA7030"/>
    <w:rsid w:val="00BA76AD"/>
    <w:rsid w:val="00BA7CBD"/>
    <w:rsid w:val="00BA7F31"/>
    <w:rsid w:val="00BB18E8"/>
    <w:rsid w:val="00BB28DA"/>
    <w:rsid w:val="00BB3E43"/>
    <w:rsid w:val="00BB4D84"/>
    <w:rsid w:val="00BB6589"/>
    <w:rsid w:val="00BC0557"/>
    <w:rsid w:val="00BC1713"/>
    <w:rsid w:val="00BC259A"/>
    <w:rsid w:val="00BC2818"/>
    <w:rsid w:val="00BC2910"/>
    <w:rsid w:val="00BC2C1C"/>
    <w:rsid w:val="00BC2D01"/>
    <w:rsid w:val="00BC2E71"/>
    <w:rsid w:val="00BC4BA6"/>
    <w:rsid w:val="00BC4BAF"/>
    <w:rsid w:val="00BC7120"/>
    <w:rsid w:val="00BC7B06"/>
    <w:rsid w:val="00BC7F2D"/>
    <w:rsid w:val="00BD01F0"/>
    <w:rsid w:val="00BD2EA1"/>
    <w:rsid w:val="00BD3FBD"/>
    <w:rsid w:val="00BD4021"/>
    <w:rsid w:val="00BD4638"/>
    <w:rsid w:val="00BD5872"/>
    <w:rsid w:val="00BD65A4"/>
    <w:rsid w:val="00BD6C7F"/>
    <w:rsid w:val="00BD7948"/>
    <w:rsid w:val="00BD7A7B"/>
    <w:rsid w:val="00BD7AF7"/>
    <w:rsid w:val="00BD7F04"/>
    <w:rsid w:val="00BE0D7D"/>
    <w:rsid w:val="00BE0E14"/>
    <w:rsid w:val="00BE108E"/>
    <w:rsid w:val="00BE177D"/>
    <w:rsid w:val="00BE1870"/>
    <w:rsid w:val="00BE223A"/>
    <w:rsid w:val="00BE2FD9"/>
    <w:rsid w:val="00BE3D0C"/>
    <w:rsid w:val="00BE48C8"/>
    <w:rsid w:val="00BE4DFF"/>
    <w:rsid w:val="00BE5028"/>
    <w:rsid w:val="00BE551D"/>
    <w:rsid w:val="00BE5C83"/>
    <w:rsid w:val="00BE5EB8"/>
    <w:rsid w:val="00BE7141"/>
    <w:rsid w:val="00BE7B82"/>
    <w:rsid w:val="00BF1121"/>
    <w:rsid w:val="00BF1129"/>
    <w:rsid w:val="00BF15E2"/>
    <w:rsid w:val="00BF1DE7"/>
    <w:rsid w:val="00BF2482"/>
    <w:rsid w:val="00BF448E"/>
    <w:rsid w:val="00BF56AA"/>
    <w:rsid w:val="00BF5918"/>
    <w:rsid w:val="00BF61CF"/>
    <w:rsid w:val="00C001BE"/>
    <w:rsid w:val="00C0060D"/>
    <w:rsid w:val="00C009B7"/>
    <w:rsid w:val="00C0104E"/>
    <w:rsid w:val="00C01BC3"/>
    <w:rsid w:val="00C01E20"/>
    <w:rsid w:val="00C02440"/>
    <w:rsid w:val="00C0318E"/>
    <w:rsid w:val="00C03C4B"/>
    <w:rsid w:val="00C04349"/>
    <w:rsid w:val="00C04B0F"/>
    <w:rsid w:val="00C052B2"/>
    <w:rsid w:val="00C06097"/>
    <w:rsid w:val="00C066DE"/>
    <w:rsid w:val="00C072A0"/>
    <w:rsid w:val="00C07730"/>
    <w:rsid w:val="00C11FF3"/>
    <w:rsid w:val="00C14200"/>
    <w:rsid w:val="00C14406"/>
    <w:rsid w:val="00C14451"/>
    <w:rsid w:val="00C164C3"/>
    <w:rsid w:val="00C1674E"/>
    <w:rsid w:val="00C16950"/>
    <w:rsid w:val="00C1780D"/>
    <w:rsid w:val="00C200E9"/>
    <w:rsid w:val="00C211B1"/>
    <w:rsid w:val="00C21719"/>
    <w:rsid w:val="00C21E5A"/>
    <w:rsid w:val="00C2261D"/>
    <w:rsid w:val="00C23011"/>
    <w:rsid w:val="00C23315"/>
    <w:rsid w:val="00C240E2"/>
    <w:rsid w:val="00C247D3"/>
    <w:rsid w:val="00C2530B"/>
    <w:rsid w:val="00C26006"/>
    <w:rsid w:val="00C26353"/>
    <w:rsid w:val="00C3057D"/>
    <w:rsid w:val="00C30EB6"/>
    <w:rsid w:val="00C313DE"/>
    <w:rsid w:val="00C323E7"/>
    <w:rsid w:val="00C332D0"/>
    <w:rsid w:val="00C3447C"/>
    <w:rsid w:val="00C34B61"/>
    <w:rsid w:val="00C34F39"/>
    <w:rsid w:val="00C3656C"/>
    <w:rsid w:val="00C36CFE"/>
    <w:rsid w:val="00C37C18"/>
    <w:rsid w:val="00C422C4"/>
    <w:rsid w:val="00C4232F"/>
    <w:rsid w:val="00C431E8"/>
    <w:rsid w:val="00C4388E"/>
    <w:rsid w:val="00C43B4B"/>
    <w:rsid w:val="00C44068"/>
    <w:rsid w:val="00C44F52"/>
    <w:rsid w:val="00C450B5"/>
    <w:rsid w:val="00C450B7"/>
    <w:rsid w:val="00C467A9"/>
    <w:rsid w:val="00C46801"/>
    <w:rsid w:val="00C46871"/>
    <w:rsid w:val="00C46B1F"/>
    <w:rsid w:val="00C46BA7"/>
    <w:rsid w:val="00C4709F"/>
    <w:rsid w:val="00C50A4A"/>
    <w:rsid w:val="00C51E1F"/>
    <w:rsid w:val="00C52FAB"/>
    <w:rsid w:val="00C537E7"/>
    <w:rsid w:val="00C53AA6"/>
    <w:rsid w:val="00C53C57"/>
    <w:rsid w:val="00C53C65"/>
    <w:rsid w:val="00C55C6F"/>
    <w:rsid w:val="00C61B34"/>
    <w:rsid w:val="00C626CE"/>
    <w:rsid w:val="00C6319B"/>
    <w:rsid w:val="00C6395C"/>
    <w:rsid w:val="00C63D16"/>
    <w:rsid w:val="00C63FE7"/>
    <w:rsid w:val="00C64708"/>
    <w:rsid w:val="00C64D10"/>
    <w:rsid w:val="00C653DF"/>
    <w:rsid w:val="00C6548A"/>
    <w:rsid w:val="00C660FC"/>
    <w:rsid w:val="00C6624E"/>
    <w:rsid w:val="00C66776"/>
    <w:rsid w:val="00C66E13"/>
    <w:rsid w:val="00C67F5E"/>
    <w:rsid w:val="00C70730"/>
    <w:rsid w:val="00C70827"/>
    <w:rsid w:val="00C71354"/>
    <w:rsid w:val="00C71B25"/>
    <w:rsid w:val="00C7227A"/>
    <w:rsid w:val="00C72607"/>
    <w:rsid w:val="00C72D3F"/>
    <w:rsid w:val="00C73683"/>
    <w:rsid w:val="00C7397C"/>
    <w:rsid w:val="00C73A58"/>
    <w:rsid w:val="00C74A24"/>
    <w:rsid w:val="00C75126"/>
    <w:rsid w:val="00C7521A"/>
    <w:rsid w:val="00C77990"/>
    <w:rsid w:val="00C8020A"/>
    <w:rsid w:val="00C806FF"/>
    <w:rsid w:val="00C80813"/>
    <w:rsid w:val="00C80A31"/>
    <w:rsid w:val="00C80C23"/>
    <w:rsid w:val="00C80F00"/>
    <w:rsid w:val="00C812EF"/>
    <w:rsid w:val="00C81844"/>
    <w:rsid w:val="00C81EBB"/>
    <w:rsid w:val="00C81F8E"/>
    <w:rsid w:val="00C83E7D"/>
    <w:rsid w:val="00C83E90"/>
    <w:rsid w:val="00C84429"/>
    <w:rsid w:val="00C84F2D"/>
    <w:rsid w:val="00C85074"/>
    <w:rsid w:val="00C86353"/>
    <w:rsid w:val="00C86C4A"/>
    <w:rsid w:val="00C87378"/>
    <w:rsid w:val="00C91428"/>
    <w:rsid w:val="00C92622"/>
    <w:rsid w:val="00C92645"/>
    <w:rsid w:val="00C9285D"/>
    <w:rsid w:val="00C9317E"/>
    <w:rsid w:val="00C93D3A"/>
    <w:rsid w:val="00C944C2"/>
    <w:rsid w:val="00C948C9"/>
    <w:rsid w:val="00C948E2"/>
    <w:rsid w:val="00C94FD3"/>
    <w:rsid w:val="00C9654A"/>
    <w:rsid w:val="00C9768A"/>
    <w:rsid w:val="00C97911"/>
    <w:rsid w:val="00CA185F"/>
    <w:rsid w:val="00CA1D29"/>
    <w:rsid w:val="00CA2AAF"/>
    <w:rsid w:val="00CA3F5F"/>
    <w:rsid w:val="00CA46E7"/>
    <w:rsid w:val="00CA5050"/>
    <w:rsid w:val="00CA5A61"/>
    <w:rsid w:val="00CA5BF8"/>
    <w:rsid w:val="00CA618B"/>
    <w:rsid w:val="00CA6F3B"/>
    <w:rsid w:val="00CB0AD6"/>
    <w:rsid w:val="00CB23E2"/>
    <w:rsid w:val="00CB2680"/>
    <w:rsid w:val="00CB4909"/>
    <w:rsid w:val="00CB5068"/>
    <w:rsid w:val="00CB52E2"/>
    <w:rsid w:val="00CB6232"/>
    <w:rsid w:val="00CB634C"/>
    <w:rsid w:val="00CB6958"/>
    <w:rsid w:val="00CB6B40"/>
    <w:rsid w:val="00CB6BFF"/>
    <w:rsid w:val="00CB6CF3"/>
    <w:rsid w:val="00CB6D00"/>
    <w:rsid w:val="00CB7183"/>
    <w:rsid w:val="00CB7934"/>
    <w:rsid w:val="00CB7BF8"/>
    <w:rsid w:val="00CB7E01"/>
    <w:rsid w:val="00CC0448"/>
    <w:rsid w:val="00CC0713"/>
    <w:rsid w:val="00CC210F"/>
    <w:rsid w:val="00CC2497"/>
    <w:rsid w:val="00CC2AE0"/>
    <w:rsid w:val="00CC2CD1"/>
    <w:rsid w:val="00CC2D0E"/>
    <w:rsid w:val="00CC325D"/>
    <w:rsid w:val="00CC3C13"/>
    <w:rsid w:val="00CC435F"/>
    <w:rsid w:val="00CC49A4"/>
    <w:rsid w:val="00CC4E2A"/>
    <w:rsid w:val="00CC510E"/>
    <w:rsid w:val="00CC6556"/>
    <w:rsid w:val="00CC66A9"/>
    <w:rsid w:val="00CC762E"/>
    <w:rsid w:val="00CC7BDB"/>
    <w:rsid w:val="00CC7D28"/>
    <w:rsid w:val="00CD0237"/>
    <w:rsid w:val="00CD0982"/>
    <w:rsid w:val="00CD169E"/>
    <w:rsid w:val="00CD1EDD"/>
    <w:rsid w:val="00CD233A"/>
    <w:rsid w:val="00CD31D1"/>
    <w:rsid w:val="00CD35A7"/>
    <w:rsid w:val="00CD399A"/>
    <w:rsid w:val="00CD3A2B"/>
    <w:rsid w:val="00CD3E10"/>
    <w:rsid w:val="00CD4668"/>
    <w:rsid w:val="00CD65EB"/>
    <w:rsid w:val="00CD7AA7"/>
    <w:rsid w:val="00CD7F79"/>
    <w:rsid w:val="00CE01D7"/>
    <w:rsid w:val="00CE163A"/>
    <w:rsid w:val="00CE1D5D"/>
    <w:rsid w:val="00CE2A22"/>
    <w:rsid w:val="00CE2C47"/>
    <w:rsid w:val="00CE2F09"/>
    <w:rsid w:val="00CE300C"/>
    <w:rsid w:val="00CE3064"/>
    <w:rsid w:val="00CE38C5"/>
    <w:rsid w:val="00CE3A02"/>
    <w:rsid w:val="00CE411C"/>
    <w:rsid w:val="00CE5D47"/>
    <w:rsid w:val="00CE69EF"/>
    <w:rsid w:val="00CE6D6A"/>
    <w:rsid w:val="00CE7104"/>
    <w:rsid w:val="00CE7849"/>
    <w:rsid w:val="00CF157B"/>
    <w:rsid w:val="00CF23AB"/>
    <w:rsid w:val="00CF2507"/>
    <w:rsid w:val="00CF2F62"/>
    <w:rsid w:val="00CF3773"/>
    <w:rsid w:val="00CF3D5B"/>
    <w:rsid w:val="00CF408C"/>
    <w:rsid w:val="00CF4E9C"/>
    <w:rsid w:val="00CF53F0"/>
    <w:rsid w:val="00CF5BC0"/>
    <w:rsid w:val="00CF6610"/>
    <w:rsid w:val="00CF757C"/>
    <w:rsid w:val="00D00D84"/>
    <w:rsid w:val="00D01543"/>
    <w:rsid w:val="00D016BC"/>
    <w:rsid w:val="00D02E09"/>
    <w:rsid w:val="00D0307E"/>
    <w:rsid w:val="00D03319"/>
    <w:rsid w:val="00D03EE4"/>
    <w:rsid w:val="00D040DA"/>
    <w:rsid w:val="00D05E50"/>
    <w:rsid w:val="00D05EA4"/>
    <w:rsid w:val="00D06D13"/>
    <w:rsid w:val="00D0708C"/>
    <w:rsid w:val="00D0778A"/>
    <w:rsid w:val="00D07E6A"/>
    <w:rsid w:val="00D10442"/>
    <w:rsid w:val="00D10E32"/>
    <w:rsid w:val="00D1154B"/>
    <w:rsid w:val="00D116A9"/>
    <w:rsid w:val="00D11B93"/>
    <w:rsid w:val="00D12BBF"/>
    <w:rsid w:val="00D16657"/>
    <w:rsid w:val="00D16D2A"/>
    <w:rsid w:val="00D17DE3"/>
    <w:rsid w:val="00D203AE"/>
    <w:rsid w:val="00D21254"/>
    <w:rsid w:val="00D21859"/>
    <w:rsid w:val="00D21E83"/>
    <w:rsid w:val="00D2223C"/>
    <w:rsid w:val="00D2289A"/>
    <w:rsid w:val="00D239CF"/>
    <w:rsid w:val="00D25830"/>
    <w:rsid w:val="00D25CFF"/>
    <w:rsid w:val="00D25E12"/>
    <w:rsid w:val="00D26692"/>
    <w:rsid w:val="00D269F8"/>
    <w:rsid w:val="00D27838"/>
    <w:rsid w:val="00D27969"/>
    <w:rsid w:val="00D3059C"/>
    <w:rsid w:val="00D30918"/>
    <w:rsid w:val="00D30F7E"/>
    <w:rsid w:val="00D31574"/>
    <w:rsid w:val="00D3180E"/>
    <w:rsid w:val="00D330F0"/>
    <w:rsid w:val="00D3318C"/>
    <w:rsid w:val="00D33A94"/>
    <w:rsid w:val="00D3424A"/>
    <w:rsid w:val="00D34C3A"/>
    <w:rsid w:val="00D35715"/>
    <w:rsid w:val="00D36A55"/>
    <w:rsid w:val="00D410DD"/>
    <w:rsid w:val="00D41A07"/>
    <w:rsid w:val="00D41B13"/>
    <w:rsid w:val="00D41C4E"/>
    <w:rsid w:val="00D41DBE"/>
    <w:rsid w:val="00D42754"/>
    <w:rsid w:val="00D430E7"/>
    <w:rsid w:val="00D44223"/>
    <w:rsid w:val="00D44493"/>
    <w:rsid w:val="00D44CB3"/>
    <w:rsid w:val="00D45663"/>
    <w:rsid w:val="00D45A46"/>
    <w:rsid w:val="00D45CB3"/>
    <w:rsid w:val="00D4600D"/>
    <w:rsid w:val="00D46E5B"/>
    <w:rsid w:val="00D47A4A"/>
    <w:rsid w:val="00D50B0D"/>
    <w:rsid w:val="00D5107D"/>
    <w:rsid w:val="00D512E4"/>
    <w:rsid w:val="00D51477"/>
    <w:rsid w:val="00D51762"/>
    <w:rsid w:val="00D52424"/>
    <w:rsid w:val="00D52BCD"/>
    <w:rsid w:val="00D532B1"/>
    <w:rsid w:val="00D53A11"/>
    <w:rsid w:val="00D54191"/>
    <w:rsid w:val="00D55C01"/>
    <w:rsid w:val="00D57893"/>
    <w:rsid w:val="00D62ADC"/>
    <w:rsid w:val="00D62F9A"/>
    <w:rsid w:val="00D651E6"/>
    <w:rsid w:val="00D65D39"/>
    <w:rsid w:val="00D6687F"/>
    <w:rsid w:val="00D66B77"/>
    <w:rsid w:val="00D66EDF"/>
    <w:rsid w:val="00D66EF5"/>
    <w:rsid w:val="00D67234"/>
    <w:rsid w:val="00D67510"/>
    <w:rsid w:val="00D70139"/>
    <w:rsid w:val="00D702AA"/>
    <w:rsid w:val="00D713AB"/>
    <w:rsid w:val="00D71E71"/>
    <w:rsid w:val="00D72AC5"/>
    <w:rsid w:val="00D72E72"/>
    <w:rsid w:val="00D737C3"/>
    <w:rsid w:val="00D7392B"/>
    <w:rsid w:val="00D73C44"/>
    <w:rsid w:val="00D758D6"/>
    <w:rsid w:val="00D7663C"/>
    <w:rsid w:val="00D83C29"/>
    <w:rsid w:val="00D83F01"/>
    <w:rsid w:val="00D841EC"/>
    <w:rsid w:val="00D85C61"/>
    <w:rsid w:val="00D868DC"/>
    <w:rsid w:val="00D87D5D"/>
    <w:rsid w:val="00D901E4"/>
    <w:rsid w:val="00D90876"/>
    <w:rsid w:val="00D9150D"/>
    <w:rsid w:val="00D916FE"/>
    <w:rsid w:val="00D9249D"/>
    <w:rsid w:val="00D9391F"/>
    <w:rsid w:val="00D940DE"/>
    <w:rsid w:val="00D941C7"/>
    <w:rsid w:val="00D9522F"/>
    <w:rsid w:val="00D959C3"/>
    <w:rsid w:val="00D963F8"/>
    <w:rsid w:val="00D96C75"/>
    <w:rsid w:val="00D97A10"/>
    <w:rsid w:val="00D97F91"/>
    <w:rsid w:val="00DA0223"/>
    <w:rsid w:val="00DA03A7"/>
    <w:rsid w:val="00DA054E"/>
    <w:rsid w:val="00DA0A74"/>
    <w:rsid w:val="00DA1C58"/>
    <w:rsid w:val="00DA3E23"/>
    <w:rsid w:val="00DA3FFB"/>
    <w:rsid w:val="00DA460A"/>
    <w:rsid w:val="00DA5401"/>
    <w:rsid w:val="00DA59B7"/>
    <w:rsid w:val="00DA5DF1"/>
    <w:rsid w:val="00DA7439"/>
    <w:rsid w:val="00DA7DEA"/>
    <w:rsid w:val="00DA7E9F"/>
    <w:rsid w:val="00DB03C8"/>
    <w:rsid w:val="00DB0E0C"/>
    <w:rsid w:val="00DB13D3"/>
    <w:rsid w:val="00DB27CC"/>
    <w:rsid w:val="00DB2B20"/>
    <w:rsid w:val="00DB2CB6"/>
    <w:rsid w:val="00DB3098"/>
    <w:rsid w:val="00DB31F3"/>
    <w:rsid w:val="00DB3A4F"/>
    <w:rsid w:val="00DB3E8E"/>
    <w:rsid w:val="00DB41BF"/>
    <w:rsid w:val="00DB687E"/>
    <w:rsid w:val="00DB6D27"/>
    <w:rsid w:val="00DB7D8B"/>
    <w:rsid w:val="00DB7F32"/>
    <w:rsid w:val="00DC0275"/>
    <w:rsid w:val="00DC045F"/>
    <w:rsid w:val="00DC076D"/>
    <w:rsid w:val="00DC0F78"/>
    <w:rsid w:val="00DC1062"/>
    <w:rsid w:val="00DC1F0A"/>
    <w:rsid w:val="00DC20A7"/>
    <w:rsid w:val="00DC21F2"/>
    <w:rsid w:val="00DC28F2"/>
    <w:rsid w:val="00DC2C4A"/>
    <w:rsid w:val="00DC33AF"/>
    <w:rsid w:val="00DC3522"/>
    <w:rsid w:val="00DC40B0"/>
    <w:rsid w:val="00DC5064"/>
    <w:rsid w:val="00DC62D0"/>
    <w:rsid w:val="00DC7092"/>
    <w:rsid w:val="00DC76CA"/>
    <w:rsid w:val="00DC7EA7"/>
    <w:rsid w:val="00DD0B1C"/>
    <w:rsid w:val="00DD0E04"/>
    <w:rsid w:val="00DD11B8"/>
    <w:rsid w:val="00DD14E1"/>
    <w:rsid w:val="00DD1D1A"/>
    <w:rsid w:val="00DD211F"/>
    <w:rsid w:val="00DD325D"/>
    <w:rsid w:val="00DD3493"/>
    <w:rsid w:val="00DD4112"/>
    <w:rsid w:val="00DD494B"/>
    <w:rsid w:val="00DD4F73"/>
    <w:rsid w:val="00DD55C9"/>
    <w:rsid w:val="00DD5ACD"/>
    <w:rsid w:val="00DD5C0B"/>
    <w:rsid w:val="00DD5DD2"/>
    <w:rsid w:val="00DD6A00"/>
    <w:rsid w:val="00DD6ADF"/>
    <w:rsid w:val="00DD6B39"/>
    <w:rsid w:val="00DD6B6F"/>
    <w:rsid w:val="00DD73EC"/>
    <w:rsid w:val="00DE0205"/>
    <w:rsid w:val="00DE12A9"/>
    <w:rsid w:val="00DE152E"/>
    <w:rsid w:val="00DE1B54"/>
    <w:rsid w:val="00DE1BAF"/>
    <w:rsid w:val="00DE1D2E"/>
    <w:rsid w:val="00DE3BC6"/>
    <w:rsid w:val="00DE40C9"/>
    <w:rsid w:val="00DE4F44"/>
    <w:rsid w:val="00DE525B"/>
    <w:rsid w:val="00DE6FFE"/>
    <w:rsid w:val="00DE78B8"/>
    <w:rsid w:val="00DF021A"/>
    <w:rsid w:val="00DF0313"/>
    <w:rsid w:val="00DF060F"/>
    <w:rsid w:val="00DF2B78"/>
    <w:rsid w:val="00DF365F"/>
    <w:rsid w:val="00DF4906"/>
    <w:rsid w:val="00DF4CED"/>
    <w:rsid w:val="00DF6340"/>
    <w:rsid w:val="00E003E2"/>
    <w:rsid w:val="00E0056E"/>
    <w:rsid w:val="00E021BE"/>
    <w:rsid w:val="00E02971"/>
    <w:rsid w:val="00E02BF3"/>
    <w:rsid w:val="00E039EB"/>
    <w:rsid w:val="00E03E92"/>
    <w:rsid w:val="00E049F1"/>
    <w:rsid w:val="00E04E61"/>
    <w:rsid w:val="00E04EA6"/>
    <w:rsid w:val="00E061D2"/>
    <w:rsid w:val="00E06227"/>
    <w:rsid w:val="00E062A9"/>
    <w:rsid w:val="00E0713A"/>
    <w:rsid w:val="00E10B29"/>
    <w:rsid w:val="00E117BB"/>
    <w:rsid w:val="00E11E11"/>
    <w:rsid w:val="00E1243F"/>
    <w:rsid w:val="00E127D5"/>
    <w:rsid w:val="00E1386E"/>
    <w:rsid w:val="00E14367"/>
    <w:rsid w:val="00E1531E"/>
    <w:rsid w:val="00E16F8A"/>
    <w:rsid w:val="00E20135"/>
    <w:rsid w:val="00E20AF1"/>
    <w:rsid w:val="00E214F6"/>
    <w:rsid w:val="00E21A15"/>
    <w:rsid w:val="00E2206D"/>
    <w:rsid w:val="00E227ED"/>
    <w:rsid w:val="00E22E60"/>
    <w:rsid w:val="00E24465"/>
    <w:rsid w:val="00E247C8"/>
    <w:rsid w:val="00E26A0C"/>
    <w:rsid w:val="00E27353"/>
    <w:rsid w:val="00E27B12"/>
    <w:rsid w:val="00E30B85"/>
    <w:rsid w:val="00E30F7F"/>
    <w:rsid w:val="00E31E4C"/>
    <w:rsid w:val="00E332D3"/>
    <w:rsid w:val="00E33707"/>
    <w:rsid w:val="00E34ECE"/>
    <w:rsid w:val="00E35E78"/>
    <w:rsid w:val="00E35FE1"/>
    <w:rsid w:val="00E3624A"/>
    <w:rsid w:val="00E36A17"/>
    <w:rsid w:val="00E36FBD"/>
    <w:rsid w:val="00E37452"/>
    <w:rsid w:val="00E404DC"/>
    <w:rsid w:val="00E4209F"/>
    <w:rsid w:val="00E42447"/>
    <w:rsid w:val="00E42879"/>
    <w:rsid w:val="00E42EA7"/>
    <w:rsid w:val="00E4352C"/>
    <w:rsid w:val="00E439D2"/>
    <w:rsid w:val="00E43F44"/>
    <w:rsid w:val="00E441F8"/>
    <w:rsid w:val="00E5054C"/>
    <w:rsid w:val="00E50A98"/>
    <w:rsid w:val="00E510FE"/>
    <w:rsid w:val="00E51A79"/>
    <w:rsid w:val="00E51D20"/>
    <w:rsid w:val="00E520E3"/>
    <w:rsid w:val="00E52EC3"/>
    <w:rsid w:val="00E53039"/>
    <w:rsid w:val="00E5410A"/>
    <w:rsid w:val="00E54335"/>
    <w:rsid w:val="00E57B00"/>
    <w:rsid w:val="00E57D5D"/>
    <w:rsid w:val="00E6016C"/>
    <w:rsid w:val="00E6170C"/>
    <w:rsid w:val="00E6174C"/>
    <w:rsid w:val="00E620DD"/>
    <w:rsid w:val="00E63B94"/>
    <w:rsid w:val="00E63BD3"/>
    <w:rsid w:val="00E656AF"/>
    <w:rsid w:val="00E659AE"/>
    <w:rsid w:val="00E65BA2"/>
    <w:rsid w:val="00E65C4C"/>
    <w:rsid w:val="00E70DDE"/>
    <w:rsid w:val="00E7117E"/>
    <w:rsid w:val="00E7160E"/>
    <w:rsid w:val="00E71998"/>
    <w:rsid w:val="00E71AB6"/>
    <w:rsid w:val="00E71C7D"/>
    <w:rsid w:val="00E72F56"/>
    <w:rsid w:val="00E73311"/>
    <w:rsid w:val="00E73345"/>
    <w:rsid w:val="00E73417"/>
    <w:rsid w:val="00E74612"/>
    <w:rsid w:val="00E74B06"/>
    <w:rsid w:val="00E74C6F"/>
    <w:rsid w:val="00E754BA"/>
    <w:rsid w:val="00E756F5"/>
    <w:rsid w:val="00E75963"/>
    <w:rsid w:val="00E75DC5"/>
    <w:rsid w:val="00E75E66"/>
    <w:rsid w:val="00E76917"/>
    <w:rsid w:val="00E81B74"/>
    <w:rsid w:val="00E82745"/>
    <w:rsid w:val="00E827F3"/>
    <w:rsid w:val="00E82F67"/>
    <w:rsid w:val="00E82FD9"/>
    <w:rsid w:val="00E834D3"/>
    <w:rsid w:val="00E84547"/>
    <w:rsid w:val="00E846F5"/>
    <w:rsid w:val="00E85F59"/>
    <w:rsid w:val="00E86E59"/>
    <w:rsid w:val="00E900A3"/>
    <w:rsid w:val="00E903F4"/>
    <w:rsid w:val="00E90774"/>
    <w:rsid w:val="00E90F6F"/>
    <w:rsid w:val="00E9143D"/>
    <w:rsid w:val="00E91866"/>
    <w:rsid w:val="00E91B1F"/>
    <w:rsid w:val="00E91F4B"/>
    <w:rsid w:val="00E92051"/>
    <w:rsid w:val="00E920F3"/>
    <w:rsid w:val="00E924E9"/>
    <w:rsid w:val="00E93B16"/>
    <w:rsid w:val="00E93B6D"/>
    <w:rsid w:val="00E93F52"/>
    <w:rsid w:val="00E95A54"/>
    <w:rsid w:val="00E95CF7"/>
    <w:rsid w:val="00E961D4"/>
    <w:rsid w:val="00E96FAE"/>
    <w:rsid w:val="00E970E8"/>
    <w:rsid w:val="00E976FD"/>
    <w:rsid w:val="00E97B1F"/>
    <w:rsid w:val="00E97E79"/>
    <w:rsid w:val="00EA0EEE"/>
    <w:rsid w:val="00EA27CE"/>
    <w:rsid w:val="00EA3716"/>
    <w:rsid w:val="00EA3DD2"/>
    <w:rsid w:val="00EA409D"/>
    <w:rsid w:val="00EA490F"/>
    <w:rsid w:val="00EA5953"/>
    <w:rsid w:val="00EA5A99"/>
    <w:rsid w:val="00EA5E70"/>
    <w:rsid w:val="00EA5F6C"/>
    <w:rsid w:val="00EA620A"/>
    <w:rsid w:val="00EA6953"/>
    <w:rsid w:val="00EA6F0C"/>
    <w:rsid w:val="00EB0291"/>
    <w:rsid w:val="00EB1554"/>
    <w:rsid w:val="00EB1D8F"/>
    <w:rsid w:val="00EB49B7"/>
    <w:rsid w:val="00EB4A2C"/>
    <w:rsid w:val="00EB57FA"/>
    <w:rsid w:val="00EB768B"/>
    <w:rsid w:val="00EB7728"/>
    <w:rsid w:val="00EC0108"/>
    <w:rsid w:val="00EC02C5"/>
    <w:rsid w:val="00EC0BE2"/>
    <w:rsid w:val="00EC0F39"/>
    <w:rsid w:val="00EC13CF"/>
    <w:rsid w:val="00EC1421"/>
    <w:rsid w:val="00EC182A"/>
    <w:rsid w:val="00EC2C80"/>
    <w:rsid w:val="00EC3610"/>
    <w:rsid w:val="00EC447D"/>
    <w:rsid w:val="00EC60F4"/>
    <w:rsid w:val="00EC6B89"/>
    <w:rsid w:val="00EC728A"/>
    <w:rsid w:val="00EC763D"/>
    <w:rsid w:val="00EC7B31"/>
    <w:rsid w:val="00ED195E"/>
    <w:rsid w:val="00ED1B3B"/>
    <w:rsid w:val="00ED2189"/>
    <w:rsid w:val="00ED23FC"/>
    <w:rsid w:val="00ED2A49"/>
    <w:rsid w:val="00ED2C37"/>
    <w:rsid w:val="00ED3432"/>
    <w:rsid w:val="00ED3459"/>
    <w:rsid w:val="00ED419F"/>
    <w:rsid w:val="00ED5829"/>
    <w:rsid w:val="00EE0B3E"/>
    <w:rsid w:val="00EE42A7"/>
    <w:rsid w:val="00EE4E75"/>
    <w:rsid w:val="00EE6B05"/>
    <w:rsid w:val="00EE72D9"/>
    <w:rsid w:val="00EE7CEB"/>
    <w:rsid w:val="00EE7CEC"/>
    <w:rsid w:val="00EE7D18"/>
    <w:rsid w:val="00EF00CA"/>
    <w:rsid w:val="00EF2B9C"/>
    <w:rsid w:val="00EF2BE9"/>
    <w:rsid w:val="00EF32B7"/>
    <w:rsid w:val="00EF43F5"/>
    <w:rsid w:val="00EF4838"/>
    <w:rsid w:val="00EF5005"/>
    <w:rsid w:val="00EF553B"/>
    <w:rsid w:val="00EF5DE0"/>
    <w:rsid w:val="00EF6006"/>
    <w:rsid w:val="00F004A7"/>
    <w:rsid w:val="00F00B66"/>
    <w:rsid w:val="00F01095"/>
    <w:rsid w:val="00F01B70"/>
    <w:rsid w:val="00F01F63"/>
    <w:rsid w:val="00F02174"/>
    <w:rsid w:val="00F03378"/>
    <w:rsid w:val="00F03837"/>
    <w:rsid w:val="00F03F95"/>
    <w:rsid w:val="00F054C4"/>
    <w:rsid w:val="00F06CF6"/>
    <w:rsid w:val="00F10120"/>
    <w:rsid w:val="00F11DB4"/>
    <w:rsid w:val="00F1245A"/>
    <w:rsid w:val="00F12FD6"/>
    <w:rsid w:val="00F133A9"/>
    <w:rsid w:val="00F141DF"/>
    <w:rsid w:val="00F14A48"/>
    <w:rsid w:val="00F15935"/>
    <w:rsid w:val="00F1646F"/>
    <w:rsid w:val="00F17127"/>
    <w:rsid w:val="00F17812"/>
    <w:rsid w:val="00F20B32"/>
    <w:rsid w:val="00F20E37"/>
    <w:rsid w:val="00F21B51"/>
    <w:rsid w:val="00F22648"/>
    <w:rsid w:val="00F2409A"/>
    <w:rsid w:val="00F2458C"/>
    <w:rsid w:val="00F24760"/>
    <w:rsid w:val="00F24DC9"/>
    <w:rsid w:val="00F26658"/>
    <w:rsid w:val="00F27161"/>
    <w:rsid w:val="00F27A77"/>
    <w:rsid w:val="00F27AE9"/>
    <w:rsid w:val="00F300F5"/>
    <w:rsid w:val="00F3050A"/>
    <w:rsid w:val="00F3155D"/>
    <w:rsid w:val="00F32119"/>
    <w:rsid w:val="00F324CF"/>
    <w:rsid w:val="00F329FA"/>
    <w:rsid w:val="00F3308A"/>
    <w:rsid w:val="00F33F97"/>
    <w:rsid w:val="00F346BC"/>
    <w:rsid w:val="00F349A9"/>
    <w:rsid w:val="00F34D65"/>
    <w:rsid w:val="00F34ECA"/>
    <w:rsid w:val="00F369D8"/>
    <w:rsid w:val="00F40322"/>
    <w:rsid w:val="00F40344"/>
    <w:rsid w:val="00F40594"/>
    <w:rsid w:val="00F40A3B"/>
    <w:rsid w:val="00F40C2F"/>
    <w:rsid w:val="00F43856"/>
    <w:rsid w:val="00F43BEF"/>
    <w:rsid w:val="00F442EF"/>
    <w:rsid w:val="00F45A41"/>
    <w:rsid w:val="00F45AFE"/>
    <w:rsid w:val="00F45FE6"/>
    <w:rsid w:val="00F461DB"/>
    <w:rsid w:val="00F46FE0"/>
    <w:rsid w:val="00F50122"/>
    <w:rsid w:val="00F50514"/>
    <w:rsid w:val="00F51D49"/>
    <w:rsid w:val="00F52B45"/>
    <w:rsid w:val="00F52C4D"/>
    <w:rsid w:val="00F52D8B"/>
    <w:rsid w:val="00F534F5"/>
    <w:rsid w:val="00F5473D"/>
    <w:rsid w:val="00F554D5"/>
    <w:rsid w:val="00F5587F"/>
    <w:rsid w:val="00F567A8"/>
    <w:rsid w:val="00F60223"/>
    <w:rsid w:val="00F60361"/>
    <w:rsid w:val="00F60797"/>
    <w:rsid w:val="00F60F95"/>
    <w:rsid w:val="00F647C9"/>
    <w:rsid w:val="00F66381"/>
    <w:rsid w:val="00F66731"/>
    <w:rsid w:val="00F66990"/>
    <w:rsid w:val="00F67A25"/>
    <w:rsid w:val="00F67F4A"/>
    <w:rsid w:val="00F71355"/>
    <w:rsid w:val="00F7155C"/>
    <w:rsid w:val="00F7223F"/>
    <w:rsid w:val="00F724E7"/>
    <w:rsid w:val="00F727B6"/>
    <w:rsid w:val="00F736DB"/>
    <w:rsid w:val="00F74550"/>
    <w:rsid w:val="00F74A0B"/>
    <w:rsid w:val="00F74F3F"/>
    <w:rsid w:val="00F76AC7"/>
    <w:rsid w:val="00F7735F"/>
    <w:rsid w:val="00F80644"/>
    <w:rsid w:val="00F80D7A"/>
    <w:rsid w:val="00F82154"/>
    <w:rsid w:val="00F825FC"/>
    <w:rsid w:val="00F83B47"/>
    <w:rsid w:val="00F841B7"/>
    <w:rsid w:val="00F84319"/>
    <w:rsid w:val="00F845CA"/>
    <w:rsid w:val="00F86847"/>
    <w:rsid w:val="00F86C05"/>
    <w:rsid w:val="00F87915"/>
    <w:rsid w:val="00F8795E"/>
    <w:rsid w:val="00F87BCC"/>
    <w:rsid w:val="00F91285"/>
    <w:rsid w:val="00F918AA"/>
    <w:rsid w:val="00F919C8"/>
    <w:rsid w:val="00F91C63"/>
    <w:rsid w:val="00F929D7"/>
    <w:rsid w:val="00F933DF"/>
    <w:rsid w:val="00F934BB"/>
    <w:rsid w:val="00F940A2"/>
    <w:rsid w:val="00F940BE"/>
    <w:rsid w:val="00F94B3F"/>
    <w:rsid w:val="00F95A67"/>
    <w:rsid w:val="00F962CD"/>
    <w:rsid w:val="00F975CC"/>
    <w:rsid w:val="00F97945"/>
    <w:rsid w:val="00FA044C"/>
    <w:rsid w:val="00FA077D"/>
    <w:rsid w:val="00FA110C"/>
    <w:rsid w:val="00FA1328"/>
    <w:rsid w:val="00FA2D57"/>
    <w:rsid w:val="00FA39C2"/>
    <w:rsid w:val="00FA5902"/>
    <w:rsid w:val="00FA66D0"/>
    <w:rsid w:val="00FA69E2"/>
    <w:rsid w:val="00FB0C6E"/>
    <w:rsid w:val="00FB117B"/>
    <w:rsid w:val="00FB11C6"/>
    <w:rsid w:val="00FB1C7F"/>
    <w:rsid w:val="00FB2A95"/>
    <w:rsid w:val="00FB3368"/>
    <w:rsid w:val="00FB3454"/>
    <w:rsid w:val="00FB473E"/>
    <w:rsid w:val="00FB4BAC"/>
    <w:rsid w:val="00FB6264"/>
    <w:rsid w:val="00FC07A9"/>
    <w:rsid w:val="00FC089F"/>
    <w:rsid w:val="00FC24DF"/>
    <w:rsid w:val="00FC2CD9"/>
    <w:rsid w:val="00FC3291"/>
    <w:rsid w:val="00FC357D"/>
    <w:rsid w:val="00FC4579"/>
    <w:rsid w:val="00FC51B8"/>
    <w:rsid w:val="00FC532B"/>
    <w:rsid w:val="00FC5D4C"/>
    <w:rsid w:val="00FC6BB2"/>
    <w:rsid w:val="00FC6E8A"/>
    <w:rsid w:val="00FC6EB0"/>
    <w:rsid w:val="00FD0229"/>
    <w:rsid w:val="00FD036D"/>
    <w:rsid w:val="00FD03D3"/>
    <w:rsid w:val="00FD0630"/>
    <w:rsid w:val="00FD0DCF"/>
    <w:rsid w:val="00FD1B7E"/>
    <w:rsid w:val="00FD26D7"/>
    <w:rsid w:val="00FD27E2"/>
    <w:rsid w:val="00FD49E5"/>
    <w:rsid w:val="00FD5401"/>
    <w:rsid w:val="00FD679B"/>
    <w:rsid w:val="00FD6A1B"/>
    <w:rsid w:val="00FD6E92"/>
    <w:rsid w:val="00FE0CAE"/>
    <w:rsid w:val="00FE1311"/>
    <w:rsid w:val="00FE2E1E"/>
    <w:rsid w:val="00FE3B32"/>
    <w:rsid w:val="00FE3BCA"/>
    <w:rsid w:val="00FE4138"/>
    <w:rsid w:val="00FE48DA"/>
    <w:rsid w:val="00FE4ABD"/>
    <w:rsid w:val="00FE5582"/>
    <w:rsid w:val="00FE5912"/>
    <w:rsid w:val="00FE6F1D"/>
    <w:rsid w:val="00FE7247"/>
    <w:rsid w:val="00FF1AD8"/>
    <w:rsid w:val="00FF3522"/>
    <w:rsid w:val="00FF4EE5"/>
    <w:rsid w:val="00FF5527"/>
    <w:rsid w:val="00FF5E0E"/>
    <w:rsid w:val="00FF6D5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6F06CD"/>
  <w15:chartTrackingRefBased/>
  <w15:docId w15:val="{B2591D6B-9849-41FF-9E26-12BAAE6B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DF4"/>
    <w:pPr>
      <w:ind w:left="720"/>
      <w:contextualSpacing/>
    </w:pPr>
    <w:rPr>
      <w:rFonts w:eastAsiaTheme="minorEastAsia"/>
      <w:lang w:eastAsia="zh-CN"/>
    </w:rPr>
  </w:style>
  <w:style w:type="table" w:styleId="TableGrid">
    <w:name w:val="Table Grid"/>
    <w:basedOn w:val="TableNormal"/>
    <w:uiPriority w:val="39"/>
    <w:rsid w:val="005C2DF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C2DF4"/>
  </w:style>
  <w:style w:type="paragraph" w:styleId="Header">
    <w:name w:val="header"/>
    <w:basedOn w:val="Normal"/>
    <w:link w:val="HeaderChar"/>
    <w:uiPriority w:val="99"/>
    <w:unhideWhenUsed/>
    <w:rsid w:val="005C2DF4"/>
    <w:pPr>
      <w:tabs>
        <w:tab w:val="center" w:pos="4513"/>
        <w:tab w:val="right" w:pos="9026"/>
      </w:tabs>
      <w:spacing w:after="0" w:line="240" w:lineRule="auto"/>
    </w:pPr>
    <w:rPr>
      <w:rFonts w:eastAsiaTheme="minorEastAsia"/>
      <w:lang w:eastAsia="zh-CN"/>
    </w:rPr>
  </w:style>
  <w:style w:type="character" w:customStyle="1" w:styleId="HeaderChar">
    <w:name w:val="Header Char"/>
    <w:basedOn w:val="DefaultParagraphFont"/>
    <w:link w:val="Header"/>
    <w:uiPriority w:val="99"/>
    <w:rsid w:val="005C2DF4"/>
    <w:rPr>
      <w:rFonts w:eastAsiaTheme="minorEastAsia"/>
      <w:lang w:eastAsia="zh-CN"/>
    </w:rPr>
  </w:style>
  <w:style w:type="paragraph" w:styleId="Footer">
    <w:name w:val="footer"/>
    <w:basedOn w:val="Normal"/>
    <w:link w:val="FooterChar"/>
    <w:uiPriority w:val="99"/>
    <w:unhideWhenUsed/>
    <w:rsid w:val="005C2DF4"/>
    <w:pPr>
      <w:tabs>
        <w:tab w:val="center" w:pos="4513"/>
        <w:tab w:val="right" w:pos="9026"/>
      </w:tabs>
      <w:spacing w:after="0" w:line="240" w:lineRule="auto"/>
    </w:pPr>
    <w:rPr>
      <w:rFonts w:eastAsiaTheme="minorEastAsia"/>
      <w:lang w:eastAsia="zh-CN"/>
    </w:rPr>
  </w:style>
  <w:style w:type="character" w:customStyle="1" w:styleId="FooterChar">
    <w:name w:val="Footer Char"/>
    <w:basedOn w:val="DefaultParagraphFont"/>
    <w:link w:val="Footer"/>
    <w:uiPriority w:val="99"/>
    <w:rsid w:val="005C2DF4"/>
    <w:rPr>
      <w:rFonts w:eastAsiaTheme="minorEastAsia"/>
      <w:lang w:eastAsia="zh-CN"/>
    </w:rPr>
  </w:style>
  <w:style w:type="paragraph" w:styleId="BalloonText">
    <w:name w:val="Balloon Text"/>
    <w:basedOn w:val="Normal"/>
    <w:link w:val="BalloonTextChar"/>
    <w:uiPriority w:val="99"/>
    <w:semiHidden/>
    <w:unhideWhenUsed/>
    <w:rsid w:val="005C2DF4"/>
    <w:pPr>
      <w:spacing w:after="0" w:line="240" w:lineRule="auto"/>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5C2DF4"/>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5C2DF4"/>
    <w:rPr>
      <w:sz w:val="16"/>
      <w:szCs w:val="16"/>
    </w:rPr>
  </w:style>
  <w:style w:type="paragraph" w:styleId="CommentText">
    <w:name w:val="annotation text"/>
    <w:basedOn w:val="Normal"/>
    <w:link w:val="CommentTextChar"/>
    <w:uiPriority w:val="99"/>
    <w:semiHidden/>
    <w:unhideWhenUsed/>
    <w:rsid w:val="005C2DF4"/>
    <w:pPr>
      <w:spacing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5C2DF4"/>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5C2DF4"/>
    <w:rPr>
      <w:b/>
      <w:bCs/>
    </w:rPr>
  </w:style>
  <w:style w:type="character" w:customStyle="1" w:styleId="CommentSubjectChar">
    <w:name w:val="Comment Subject Char"/>
    <w:basedOn w:val="CommentTextChar"/>
    <w:link w:val="CommentSubject"/>
    <w:uiPriority w:val="99"/>
    <w:semiHidden/>
    <w:rsid w:val="005C2DF4"/>
    <w:rPr>
      <w:rFonts w:eastAsiaTheme="minorEastAsia"/>
      <w:b/>
      <w:bCs/>
      <w:sz w:val="20"/>
      <w:szCs w:val="20"/>
      <w:lang w:eastAsia="zh-CN"/>
    </w:rPr>
  </w:style>
  <w:style w:type="character" w:styleId="Hyperlink">
    <w:name w:val="Hyperlink"/>
    <w:basedOn w:val="DefaultParagraphFont"/>
    <w:uiPriority w:val="99"/>
    <w:unhideWhenUsed/>
    <w:rsid w:val="005C2DF4"/>
    <w:rPr>
      <w:color w:val="0563C1" w:themeColor="hyperlink"/>
      <w:u w:val="single"/>
    </w:rPr>
  </w:style>
  <w:style w:type="character" w:styleId="FollowedHyperlink">
    <w:name w:val="FollowedHyperlink"/>
    <w:basedOn w:val="DefaultParagraphFont"/>
    <w:uiPriority w:val="99"/>
    <w:semiHidden/>
    <w:unhideWhenUsed/>
    <w:rsid w:val="005C2DF4"/>
    <w:rPr>
      <w:color w:val="954F72" w:themeColor="followedHyperlink"/>
      <w:u w:val="single"/>
    </w:rPr>
  </w:style>
  <w:style w:type="table" w:customStyle="1" w:styleId="TableGrid1">
    <w:name w:val="Table Grid1"/>
    <w:basedOn w:val="TableNormal"/>
    <w:next w:val="TableGrid"/>
    <w:uiPriority w:val="39"/>
    <w:rsid w:val="00D6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90774"/>
    <w:rPr>
      <w:color w:val="808080"/>
    </w:rPr>
  </w:style>
  <w:style w:type="paragraph" w:styleId="ListBullet">
    <w:name w:val="List Bullet"/>
    <w:basedOn w:val="Normal"/>
    <w:uiPriority w:val="99"/>
    <w:unhideWhenUsed/>
    <w:rsid w:val="00CF2F62"/>
    <w:pPr>
      <w:numPr>
        <w:numId w:val="10"/>
      </w:numPr>
      <w:contextualSpacing/>
    </w:pPr>
  </w:style>
  <w:style w:type="character" w:customStyle="1" w:styleId="st">
    <w:name w:val="st"/>
    <w:basedOn w:val="DefaultParagraphFont"/>
    <w:rsid w:val="00874D4B"/>
  </w:style>
  <w:style w:type="paragraph" w:styleId="Revision">
    <w:name w:val="Revision"/>
    <w:hidden/>
    <w:uiPriority w:val="99"/>
    <w:semiHidden/>
    <w:rsid w:val="00DC2C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0991">
      <w:bodyDiv w:val="1"/>
      <w:marLeft w:val="0"/>
      <w:marRight w:val="0"/>
      <w:marTop w:val="0"/>
      <w:marBottom w:val="0"/>
      <w:divBdr>
        <w:top w:val="none" w:sz="0" w:space="0" w:color="auto"/>
        <w:left w:val="none" w:sz="0" w:space="0" w:color="auto"/>
        <w:bottom w:val="none" w:sz="0" w:space="0" w:color="auto"/>
        <w:right w:val="none" w:sz="0" w:space="0" w:color="auto"/>
      </w:divBdr>
    </w:div>
    <w:div w:id="347412294">
      <w:bodyDiv w:val="1"/>
      <w:marLeft w:val="0"/>
      <w:marRight w:val="0"/>
      <w:marTop w:val="0"/>
      <w:marBottom w:val="0"/>
      <w:divBdr>
        <w:top w:val="none" w:sz="0" w:space="0" w:color="auto"/>
        <w:left w:val="none" w:sz="0" w:space="0" w:color="auto"/>
        <w:bottom w:val="none" w:sz="0" w:space="0" w:color="auto"/>
        <w:right w:val="none" w:sz="0" w:space="0" w:color="auto"/>
      </w:divBdr>
    </w:div>
    <w:div w:id="441653716">
      <w:bodyDiv w:val="1"/>
      <w:marLeft w:val="0"/>
      <w:marRight w:val="0"/>
      <w:marTop w:val="0"/>
      <w:marBottom w:val="0"/>
      <w:divBdr>
        <w:top w:val="none" w:sz="0" w:space="0" w:color="auto"/>
        <w:left w:val="none" w:sz="0" w:space="0" w:color="auto"/>
        <w:bottom w:val="none" w:sz="0" w:space="0" w:color="auto"/>
        <w:right w:val="none" w:sz="0" w:space="0" w:color="auto"/>
      </w:divBdr>
    </w:div>
    <w:div w:id="562717718">
      <w:bodyDiv w:val="1"/>
      <w:marLeft w:val="0"/>
      <w:marRight w:val="0"/>
      <w:marTop w:val="0"/>
      <w:marBottom w:val="0"/>
      <w:divBdr>
        <w:top w:val="none" w:sz="0" w:space="0" w:color="auto"/>
        <w:left w:val="none" w:sz="0" w:space="0" w:color="auto"/>
        <w:bottom w:val="none" w:sz="0" w:space="0" w:color="auto"/>
        <w:right w:val="none" w:sz="0" w:space="0" w:color="auto"/>
      </w:divBdr>
    </w:div>
    <w:div w:id="685325865">
      <w:bodyDiv w:val="1"/>
      <w:marLeft w:val="0"/>
      <w:marRight w:val="0"/>
      <w:marTop w:val="0"/>
      <w:marBottom w:val="0"/>
      <w:divBdr>
        <w:top w:val="none" w:sz="0" w:space="0" w:color="auto"/>
        <w:left w:val="none" w:sz="0" w:space="0" w:color="auto"/>
        <w:bottom w:val="none" w:sz="0" w:space="0" w:color="auto"/>
        <w:right w:val="none" w:sz="0" w:space="0" w:color="auto"/>
      </w:divBdr>
    </w:div>
    <w:div w:id="776405949">
      <w:bodyDiv w:val="1"/>
      <w:marLeft w:val="0"/>
      <w:marRight w:val="0"/>
      <w:marTop w:val="0"/>
      <w:marBottom w:val="0"/>
      <w:divBdr>
        <w:top w:val="none" w:sz="0" w:space="0" w:color="auto"/>
        <w:left w:val="none" w:sz="0" w:space="0" w:color="auto"/>
        <w:bottom w:val="none" w:sz="0" w:space="0" w:color="auto"/>
        <w:right w:val="none" w:sz="0" w:space="0" w:color="auto"/>
      </w:divBdr>
    </w:div>
    <w:div w:id="840924821">
      <w:bodyDiv w:val="1"/>
      <w:marLeft w:val="0"/>
      <w:marRight w:val="0"/>
      <w:marTop w:val="0"/>
      <w:marBottom w:val="0"/>
      <w:divBdr>
        <w:top w:val="none" w:sz="0" w:space="0" w:color="auto"/>
        <w:left w:val="none" w:sz="0" w:space="0" w:color="auto"/>
        <w:bottom w:val="none" w:sz="0" w:space="0" w:color="auto"/>
        <w:right w:val="none" w:sz="0" w:space="0" w:color="auto"/>
      </w:divBdr>
    </w:div>
    <w:div w:id="1728145008">
      <w:bodyDiv w:val="1"/>
      <w:marLeft w:val="0"/>
      <w:marRight w:val="0"/>
      <w:marTop w:val="0"/>
      <w:marBottom w:val="0"/>
      <w:divBdr>
        <w:top w:val="none" w:sz="0" w:space="0" w:color="auto"/>
        <w:left w:val="none" w:sz="0" w:space="0" w:color="auto"/>
        <w:bottom w:val="none" w:sz="0" w:space="0" w:color="auto"/>
        <w:right w:val="none" w:sz="0" w:space="0" w:color="auto"/>
      </w:divBdr>
    </w:div>
    <w:div w:id="18011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71361-DD05-4426-BABF-056703AE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78047</Words>
  <Characters>444873</Characters>
  <Application>Microsoft Office Word</Application>
  <DocSecurity>4</DocSecurity>
  <Lines>3707</Lines>
  <Paragraphs>1043</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521877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dc:creator>
  <cp:keywords/>
  <dc:description/>
  <cp:lastModifiedBy>Whalley T.</cp:lastModifiedBy>
  <cp:revision>2</cp:revision>
  <cp:lastPrinted>2019-10-02T07:35:00Z</cp:lastPrinted>
  <dcterms:created xsi:type="dcterms:W3CDTF">2020-03-30T13:03:00Z</dcterms:created>
  <dcterms:modified xsi:type="dcterms:W3CDTF">2020-03-30T13:03:00Z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1e82b55a-7a0a-364c-97c1-2b558126b23e</vt:lpwstr>
  </property>
  <property fmtid="{D5CDD505-2E9C-101B-9397-08002B2CF9AE}" pid="4" name="Mendeley Citation Style_1">
    <vt:lpwstr>http://www.zotero.org/styles/agricultural-and-forest-meteorology</vt:lpwstr>
  </property>
  <property fmtid="{D5CDD505-2E9C-101B-9397-08002B2CF9AE}" pid="5" name="Mendeley Recent Style Id 0_1">
    <vt:lpwstr>http://www.zotero.org/styles/agricultural-and-forest-meteorology</vt:lpwstr>
  </property>
  <property fmtid="{D5CDD505-2E9C-101B-9397-08002B2CF9AE}" pid="6" name="Mendeley Recent Style Name 0_1">
    <vt:lpwstr>Agricultural and Forest Meteorology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http://www.zotero.org/styles/remote-sensing</vt:lpwstr>
  </property>
  <property fmtid="{D5CDD505-2E9C-101B-9397-08002B2CF9AE}" pid="22" name="Mendeley Recent Style Name 8_1">
    <vt:lpwstr>Remote Sensing</vt:lpwstr>
  </property>
  <property fmtid="{D5CDD505-2E9C-101B-9397-08002B2CF9AE}" pid="23" name="Mendeley Recent Style Id 9_1">
    <vt:lpwstr>http://www.zotero.org/styles/remote-sensing-of-environment</vt:lpwstr>
  </property>
  <property fmtid="{D5CDD505-2E9C-101B-9397-08002B2CF9AE}" pid="24" name="Mendeley Recent Style Name 9_1">
    <vt:lpwstr>Remote Sensing of Environment</vt:lpwstr>
  </property>
</Properties>
</file>