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911D0" w14:textId="060FE95E" w:rsidR="00C14A24" w:rsidRPr="00B51235" w:rsidRDefault="00CD560B">
      <w:pPr>
        <w:rPr>
          <w:rFonts w:ascii="Times New Roman" w:hAnsi="Times New Roman" w:cs="Times New Roman"/>
          <w:b/>
        </w:rPr>
      </w:pPr>
      <w:bookmarkStart w:id="0" w:name="_GoBack"/>
      <w:bookmarkEnd w:id="0"/>
      <w:r>
        <w:rPr>
          <w:rFonts w:ascii="Times New Roman" w:hAnsi="Times New Roman" w:cs="Times New Roman"/>
          <w:b/>
        </w:rPr>
        <w:t>L</w:t>
      </w:r>
      <w:r w:rsidR="00C23F7A" w:rsidRPr="00B51235">
        <w:rPr>
          <w:rFonts w:ascii="Times New Roman" w:hAnsi="Times New Roman" w:cs="Times New Roman"/>
          <w:b/>
        </w:rPr>
        <w:t>iens on cargo</w:t>
      </w:r>
      <w:r w:rsidR="00097AAE">
        <w:rPr>
          <w:rFonts w:ascii="Times New Roman" w:hAnsi="Times New Roman" w:cs="Times New Roman"/>
          <w:b/>
        </w:rPr>
        <w:t xml:space="preserve"> and sub-freight</w:t>
      </w:r>
      <w:r>
        <w:rPr>
          <w:rFonts w:ascii="Times New Roman" w:hAnsi="Times New Roman" w:cs="Times New Roman"/>
          <w:b/>
        </w:rPr>
        <w:t>: recent developments and commercial context</w:t>
      </w:r>
    </w:p>
    <w:p w14:paraId="30BE5DA4" w14:textId="6256751F" w:rsidR="00C14A24" w:rsidRDefault="00C14A24">
      <w:pPr>
        <w:rPr>
          <w:rFonts w:ascii="Times New Roman" w:hAnsi="Times New Roman" w:cs="Times New Roman"/>
        </w:rPr>
      </w:pPr>
    </w:p>
    <w:p w14:paraId="29D8208C" w14:textId="59C8AB38" w:rsidR="008726A0" w:rsidRDefault="008726A0">
      <w:pPr>
        <w:rPr>
          <w:rFonts w:ascii="Times New Roman" w:hAnsi="Times New Roman" w:cs="Times New Roman"/>
        </w:rPr>
      </w:pPr>
      <w:r>
        <w:rPr>
          <w:rFonts w:ascii="Times New Roman" w:hAnsi="Times New Roman" w:cs="Times New Roman"/>
        </w:rPr>
        <w:t>By: Dr Johanna Hjalmarsson, Institute of Maritime Law, Southampton Law School, University of Southampton</w:t>
      </w:r>
    </w:p>
    <w:p w14:paraId="42FEEDF2" w14:textId="48FB33E8" w:rsidR="008726A0" w:rsidRDefault="008726A0">
      <w:pPr>
        <w:rPr>
          <w:rFonts w:ascii="Times New Roman" w:hAnsi="Times New Roman" w:cs="Times New Roman"/>
        </w:rPr>
      </w:pPr>
    </w:p>
    <w:p w14:paraId="680320B3" w14:textId="77777777" w:rsidR="008726A0" w:rsidRPr="00B51235" w:rsidRDefault="008726A0">
      <w:pPr>
        <w:rPr>
          <w:rFonts w:ascii="Times New Roman" w:hAnsi="Times New Roman" w:cs="Times New Roman"/>
        </w:rPr>
      </w:pPr>
    </w:p>
    <w:p w14:paraId="39004530" w14:textId="2A0F9FBF" w:rsidR="00C74271" w:rsidRPr="00B51235" w:rsidRDefault="00C74271">
      <w:pPr>
        <w:rPr>
          <w:rFonts w:ascii="Times New Roman" w:hAnsi="Times New Roman" w:cs="Times New Roman"/>
        </w:rPr>
      </w:pPr>
      <w:r w:rsidRPr="00B51235">
        <w:rPr>
          <w:rFonts w:ascii="Times New Roman" w:hAnsi="Times New Roman" w:cs="Times New Roman"/>
        </w:rPr>
        <w:t xml:space="preserve">No literary quote is more apposite to liens than this, from Lewis Carroll's </w:t>
      </w:r>
      <w:r w:rsidRPr="00B51235">
        <w:rPr>
          <w:rFonts w:ascii="Times New Roman" w:hAnsi="Times New Roman" w:cs="Times New Roman"/>
          <w:i/>
        </w:rPr>
        <w:t>Through the Looking-Glass</w:t>
      </w:r>
      <w:r w:rsidRPr="00B51235">
        <w:rPr>
          <w:rFonts w:ascii="Times New Roman" w:hAnsi="Times New Roman" w:cs="Times New Roman"/>
        </w:rPr>
        <w:t>:</w:t>
      </w:r>
      <w:r w:rsidR="00DE538F" w:rsidRPr="00B51235">
        <w:rPr>
          <w:rStyle w:val="FootnoteReference"/>
          <w:rFonts w:ascii="Times New Roman" w:hAnsi="Times New Roman" w:cs="Times New Roman"/>
        </w:rPr>
        <w:footnoteReference w:id="1"/>
      </w:r>
    </w:p>
    <w:p w14:paraId="59D82516" w14:textId="09264503" w:rsidR="00C74271" w:rsidRPr="00B51235" w:rsidRDefault="00C74271">
      <w:pPr>
        <w:rPr>
          <w:rFonts w:ascii="Times New Roman" w:hAnsi="Times New Roman" w:cs="Times New Roman"/>
        </w:rPr>
      </w:pPr>
    </w:p>
    <w:p w14:paraId="78290A15" w14:textId="77777777" w:rsidR="00C74271" w:rsidRPr="00B51235" w:rsidRDefault="00C74271" w:rsidP="00C74271">
      <w:pPr>
        <w:rPr>
          <w:rFonts w:ascii="Times New Roman" w:hAnsi="Times New Roman" w:cs="Times New Roman"/>
        </w:rPr>
      </w:pPr>
      <w:r w:rsidRPr="00B51235">
        <w:rPr>
          <w:rFonts w:ascii="Times New Roman" w:hAnsi="Times New Roman" w:cs="Times New Roman"/>
        </w:rPr>
        <w:t>"When I use a word," Humpty Dumpty said, in rather a scornful tone, "it means just what I choose it to mean—neither more nor less."</w:t>
      </w:r>
    </w:p>
    <w:p w14:paraId="5974B373" w14:textId="4F85F5F2" w:rsidR="00C74271" w:rsidRPr="00B51235" w:rsidRDefault="00C74271" w:rsidP="00C74271">
      <w:pPr>
        <w:rPr>
          <w:rFonts w:ascii="Times New Roman" w:hAnsi="Times New Roman" w:cs="Times New Roman"/>
        </w:rPr>
      </w:pPr>
      <w:r w:rsidRPr="00B51235">
        <w:rPr>
          <w:rFonts w:ascii="Times New Roman" w:hAnsi="Times New Roman" w:cs="Times New Roman"/>
        </w:rPr>
        <w:t>"The question is," said Alice, "whether you can make words mean so many different things."</w:t>
      </w:r>
    </w:p>
    <w:p w14:paraId="1C322C7B" w14:textId="6B2C3D67" w:rsidR="00C74271" w:rsidRPr="00B51235" w:rsidRDefault="00C74271" w:rsidP="00C74271">
      <w:pPr>
        <w:rPr>
          <w:rFonts w:ascii="Times New Roman" w:hAnsi="Times New Roman" w:cs="Times New Roman"/>
        </w:rPr>
      </w:pPr>
      <w:r w:rsidRPr="00B51235">
        <w:rPr>
          <w:rFonts w:ascii="Times New Roman" w:hAnsi="Times New Roman" w:cs="Times New Roman"/>
        </w:rPr>
        <w:t xml:space="preserve"> "The question is," said Humpty Dumpty, "which is to be master—that's all."</w:t>
      </w:r>
    </w:p>
    <w:p w14:paraId="15C202E8" w14:textId="77777777" w:rsidR="00C74271" w:rsidRPr="00B51235" w:rsidRDefault="00C74271">
      <w:pPr>
        <w:rPr>
          <w:rFonts w:ascii="Times New Roman" w:hAnsi="Times New Roman" w:cs="Times New Roman"/>
        </w:rPr>
      </w:pPr>
    </w:p>
    <w:p w14:paraId="3C16F591" w14:textId="35D02131" w:rsidR="00C14A24" w:rsidRPr="00B51235" w:rsidRDefault="00C74271" w:rsidP="00C14A24">
      <w:pPr>
        <w:rPr>
          <w:rFonts w:ascii="Times New Roman" w:hAnsi="Times New Roman" w:cs="Times New Roman"/>
        </w:rPr>
      </w:pPr>
      <w:r w:rsidRPr="00B51235">
        <w:rPr>
          <w:rFonts w:ascii="Times New Roman" w:hAnsi="Times New Roman" w:cs="Times New Roman"/>
        </w:rPr>
        <w:t xml:space="preserve">The word lien is a verbal tent housing </w:t>
      </w:r>
      <w:r w:rsidR="005B5D05">
        <w:rPr>
          <w:rFonts w:ascii="Times New Roman" w:hAnsi="Times New Roman" w:cs="Times New Roman"/>
        </w:rPr>
        <w:t xml:space="preserve">a </w:t>
      </w:r>
      <w:r w:rsidRPr="00B51235">
        <w:rPr>
          <w:rFonts w:ascii="Times New Roman" w:hAnsi="Times New Roman" w:cs="Times New Roman"/>
        </w:rPr>
        <w:t xml:space="preserve">variety of different legal figures which </w:t>
      </w:r>
      <w:proofErr w:type="gramStart"/>
      <w:r w:rsidR="00BB34BD" w:rsidRPr="00B51235">
        <w:rPr>
          <w:rFonts w:ascii="Times New Roman" w:hAnsi="Times New Roman" w:cs="Times New Roman"/>
        </w:rPr>
        <w:t>in reality</w:t>
      </w:r>
      <w:r w:rsidRPr="00B51235">
        <w:rPr>
          <w:rFonts w:ascii="Times New Roman" w:hAnsi="Times New Roman" w:cs="Times New Roman"/>
        </w:rPr>
        <w:t xml:space="preserve"> have</w:t>
      </w:r>
      <w:proofErr w:type="gramEnd"/>
      <w:r w:rsidRPr="00B51235">
        <w:rPr>
          <w:rFonts w:ascii="Times New Roman" w:hAnsi="Times New Roman" w:cs="Times New Roman"/>
        </w:rPr>
        <w:t xml:space="preserve"> very little in common. </w:t>
      </w:r>
      <w:r w:rsidR="00C14A24" w:rsidRPr="00B51235">
        <w:rPr>
          <w:rFonts w:ascii="Times New Roman" w:hAnsi="Times New Roman" w:cs="Times New Roman"/>
        </w:rPr>
        <w:t xml:space="preserve">It has been said that it </w:t>
      </w:r>
      <w:r w:rsidR="00BB34BD" w:rsidRPr="00B51235">
        <w:rPr>
          <w:rFonts w:ascii="Times New Roman" w:hAnsi="Times New Roman" w:cs="Times New Roman"/>
        </w:rPr>
        <w:t>‘</w:t>
      </w:r>
      <w:r w:rsidR="0033480D" w:rsidRPr="0033480D">
        <w:rPr>
          <w:rFonts w:ascii="Times New Roman" w:hAnsi="Times New Roman" w:cs="Times New Roman"/>
        </w:rPr>
        <w:t>serves often to conceal the varieties of benefit which flow from it as between and within different legal systems</w:t>
      </w:r>
      <w:r w:rsidR="00BB34BD" w:rsidRPr="00B51235">
        <w:rPr>
          <w:rFonts w:ascii="Times New Roman" w:hAnsi="Times New Roman" w:cs="Times New Roman"/>
        </w:rPr>
        <w:t>’</w:t>
      </w:r>
      <w:r w:rsidR="00C14A24" w:rsidRPr="00B51235">
        <w:rPr>
          <w:rFonts w:ascii="Times New Roman" w:hAnsi="Times New Roman" w:cs="Times New Roman"/>
        </w:rPr>
        <w:t>.</w:t>
      </w:r>
      <w:r w:rsidR="00C14A24" w:rsidRPr="00B51235">
        <w:rPr>
          <w:rStyle w:val="FootnoteReference"/>
          <w:rFonts w:ascii="Times New Roman" w:hAnsi="Times New Roman" w:cs="Times New Roman"/>
        </w:rPr>
        <w:footnoteReference w:id="2"/>
      </w:r>
      <w:r w:rsidR="00C14A24" w:rsidRPr="00B51235">
        <w:rPr>
          <w:rFonts w:ascii="Times New Roman" w:hAnsi="Times New Roman" w:cs="Times New Roman"/>
        </w:rPr>
        <w:t xml:space="preserve"> There are different types of liens in different subjects.</w:t>
      </w:r>
      <w:r w:rsidR="00C14A24" w:rsidRPr="00B51235">
        <w:rPr>
          <w:rStyle w:val="FootnoteReference"/>
          <w:rFonts w:ascii="Times New Roman" w:hAnsi="Times New Roman" w:cs="Times New Roman"/>
        </w:rPr>
        <w:footnoteReference w:id="3"/>
      </w:r>
      <w:r w:rsidR="00C14A24" w:rsidRPr="00B51235">
        <w:rPr>
          <w:rFonts w:ascii="Times New Roman" w:hAnsi="Times New Roman" w:cs="Times New Roman"/>
        </w:rPr>
        <w:t xml:space="preserve"> Not only do they operate differently, the various liens have different legal roots and operate in completely different ways</w:t>
      </w:r>
      <w:r w:rsidR="00DE538F" w:rsidRPr="00B51235">
        <w:rPr>
          <w:rFonts w:ascii="Times New Roman" w:hAnsi="Times New Roman" w:cs="Times New Roman"/>
        </w:rPr>
        <w:t>, whether by c</w:t>
      </w:r>
      <w:r w:rsidR="00C14A24" w:rsidRPr="00B51235">
        <w:rPr>
          <w:rFonts w:ascii="Times New Roman" w:hAnsi="Times New Roman" w:cs="Times New Roman"/>
        </w:rPr>
        <w:t>ontract, equity</w:t>
      </w:r>
      <w:r w:rsidR="00DE538F" w:rsidRPr="00B51235">
        <w:rPr>
          <w:rFonts w:ascii="Times New Roman" w:hAnsi="Times New Roman" w:cs="Times New Roman"/>
        </w:rPr>
        <w:t xml:space="preserve"> or </w:t>
      </w:r>
      <w:r w:rsidR="0025179F">
        <w:rPr>
          <w:rFonts w:ascii="Times New Roman" w:hAnsi="Times New Roman" w:cs="Times New Roman"/>
        </w:rPr>
        <w:t xml:space="preserve">as </w:t>
      </w:r>
      <w:r w:rsidR="00DE538F" w:rsidRPr="00B51235">
        <w:rPr>
          <w:rFonts w:ascii="Times New Roman" w:hAnsi="Times New Roman" w:cs="Times New Roman"/>
        </w:rPr>
        <w:t>rights arising from</w:t>
      </w:r>
      <w:r w:rsidR="00C14A24" w:rsidRPr="00B51235">
        <w:rPr>
          <w:rFonts w:ascii="Times New Roman" w:hAnsi="Times New Roman" w:cs="Times New Roman"/>
        </w:rPr>
        <w:t xml:space="preserve"> possession.</w:t>
      </w:r>
      <w:r w:rsidR="00C14A24" w:rsidRPr="00B51235">
        <w:rPr>
          <w:rStyle w:val="FootnoteReference"/>
          <w:rFonts w:ascii="Times New Roman" w:hAnsi="Times New Roman" w:cs="Times New Roman"/>
        </w:rPr>
        <w:footnoteReference w:id="4"/>
      </w:r>
      <w:r w:rsidR="00C14A24" w:rsidRPr="00B51235">
        <w:rPr>
          <w:rFonts w:ascii="Times New Roman" w:hAnsi="Times New Roman" w:cs="Times New Roman"/>
        </w:rPr>
        <w:t xml:space="preserve"> </w:t>
      </w:r>
      <w:r w:rsidR="00C14A24" w:rsidRPr="00B51235">
        <w:rPr>
          <w:rFonts w:ascii="Times New Roman" w:hAnsi="Times New Roman" w:cs="Times New Roman"/>
          <w:lang w:val="en-US"/>
        </w:rPr>
        <w:t>The nature of the lien depends on the subject and on the contractual measure at issue.</w:t>
      </w:r>
      <w:r w:rsidR="00C14A24" w:rsidRPr="00B51235">
        <w:rPr>
          <w:rStyle w:val="FootnoteReference"/>
          <w:rFonts w:ascii="Times New Roman" w:hAnsi="Times New Roman" w:cs="Times New Roman"/>
          <w:lang w:val="en-US"/>
        </w:rPr>
        <w:footnoteReference w:id="5"/>
      </w:r>
      <w:r w:rsidR="00C14A24" w:rsidRPr="00B51235">
        <w:rPr>
          <w:rFonts w:ascii="Times New Roman" w:hAnsi="Times New Roman" w:cs="Times New Roman"/>
        </w:rPr>
        <w:t xml:space="preserve"> </w:t>
      </w:r>
      <w:r w:rsidRPr="00B51235">
        <w:rPr>
          <w:rFonts w:ascii="Times New Roman" w:hAnsi="Times New Roman" w:cs="Times New Roman"/>
        </w:rPr>
        <w:t>T</w:t>
      </w:r>
      <w:r w:rsidR="00BF1B9D" w:rsidRPr="00B51235">
        <w:rPr>
          <w:rFonts w:ascii="Times New Roman" w:hAnsi="Times New Roman" w:cs="Times New Roman"/>
        </w:rPr>
        <w:t xml:space="preserve">he most well-known </w:t>
      </w:r>
      <w:r w:rsidRPr="00B51235">
        <w:rPr>
          <w:rFonts w:ascii="Times New Roman" w:hAnsi="Times New Roman" w:cs="Times New Roman"/>
        </w:rPr>
        <w:t xml:space="preserve">and discussed </w:t>
      </w:r>
      <w:r w:rsidR="00BF1B9D" w:rsidRPr="00B51235">
        <w:rPr>
          <w:rFonts w:ascii="Times New Roman" w:hAnsi="Times New Roman" w:cs="Times New Roman"/>
        </w:rPr>
        <w:t xml:space="preserve">maritime liens are </w:t>
      </w:r>
      <w:r w:rsidRPr="00B51235">
        <w:rPr>
          <w:rFonts w:ascii="Times New Roman" w:hAnsi="Times New Roman" w:cs="Times New Roman"/>
        </w:rPr>
        <w:t xml:space="preserve">undoubtedly </w:t>
      </w:r>
      <w:r w:rsidR="00BF1B9D" w:rsidRPr="00B51235">
        <w:rPr>
          <w:rFonts w:ascii="Times New Roman" w:hAnsi="Times New Roman" w:cs="Times New Roman"/>
        </w:rPr>
        <w:t>maritime and statutory liens,</w:t>
      </w:r>
      <w:r w:rsidR="005B5D05">
        <w:rPr>
          <w:rStyle w:val="FootnoteReference"/>
          <w:rFonts w:ascii="Times New Roman" w:hAnsi="Times New Roman" w:cs="Times New Roman"/>
        </w:rPr>
        <w:footnoteReference w:id="6"/>
      </w:r>
      <w:r w:rsidR="00BF1B9D" w:rsidRPr="00B51235">
        <w:rPr>
          <w:rFonts w:ascii="Times New Roman" w:hAnsi="Times New Roman" w:cs="Times New Roman"/>
        </w:rPr>
        <w:t xml:space="preserve"> which enable the enforcement of debts against a ship through the admiralty centrepiece of judicial sale, </w:t>
      </w:r>
      <w:r w:rsidRPr="00B51235">
        <w:rPr>
          <w:rFonts w:ascii="Times New Roman" w:hAnsi="Times New Roman" w:cs="Times New Roman"/>
        </w:rPr>
        <w:t xml:space="preserve">but </w:t>
      </w:r>
      <w:r w:rsidR="00BF1B9D" w:rsidRPr="00B51235">
        <w:rPr>
          <w:rFonts w:ascii="Times New Roman" w:hAnsi="Times New Roman" w:cs="Times New Roman"/>
        </w:rPr>
        <w:t xml:space="preserve">there are a number of other liens in shipping that are arguably both more </w:t>
      </w:r>
      <w:r w:rsidR="00A13097" w:rsidRPr="00B51235">
        <w:rPr>
          <w:rFonts w:ascii="Times New Roman" w:hAnsi="Times New Roman" w:cs="Times New Roman"/>
        </w:rPr>
        <w:t>impact</w:t>
      </w:r>
      <w:r w:rsidR="00BF1B9D" w:rsidRPr="00B51235">
        <w:rPr>
          <w:rFonts w:ascii="Times New Roman" w:hAnsi="Times New Roman" w:cs="Times New Roman"/>
        </w:rPr>
        <w:t>ful and less studied</w:t>
      </w:r>
      <w:r w:rsidR="00D17FEE">
        <w:rPr>
          <w:rFonts w:ascii="Times New Roman" w:hAnsi="Times New Roman" w:cs="Times New Roman"/>
        </w:rPr>
        <w:t xml:space="preserve">. This includes </w:t>
      </w:r>
      <w:r w:rsidR="00DD3C83">
        <w:rPr>
          <w:rFonts w:ascii="Times New Roman" w:hAnsi="Times New Roman" w:cs="Times New Roman"/>
        </w:rPr>
        <w:t>including liens on sub-freight, a fertile ground for litigation of late</w:t>
      </w:r>
      <w:r w:rsidR="00D17FEE">
        <w:rPr>
          <w:rFonts w:ascii="Times New Roman" w:hAnsi="Times New Roman" w:cs="Times New Roman"/>
        </w:rPr>
        <w:t xml:space="preserve">, </w:t>
      </w:r>
      <w:proofErr w:type="gramStart"/>
      <w:r w:rsidR="00D17FEE">
        <w:rPr>
          <w:rFonts w:ascii="Times New Roman" w:hAnsi="Times New Roman" w:cs="Times New Roman"/>
        </w:rPr>
        <w:t xml:space="preserve">and </w:t>
      </w:r>
      <w:r w:rsidR="005E335F">
        <w:rPr>
          <w:rFonts w:ascii="Times New Roman" w:hAnsi="Times New Roman" w:cs="Times New Roman"/>
        </w:rPr>
        <w:t xml:space="preserve"> </w:t>
      </w:r>
      <w:r w:rsidRPr="00B51235">
        <w:rPr>
          <w:rFonts w:ascii="Times New Roman" w:hAnsi="Times New Roman" w:cs="Times New Roman"/>
        </w:rPr>
        <w:t>lien</w:t>
      </w:r>
      <w:r w:rsidR="00A13097" w:rsidRPr="00B51235">
        <w:rPr>
          <w:rFonts w:ascii="Times New Roman" w:hAnsi="Times New Roman" w:cs="Times New Roman"/>
        </w:rPr>
        <w:t>s</w:t>
      </w:r>
      <w:proofErr w:type="gramEnd"/>
      <w:r w:rsidRPr="00B51235">
        <w:rPr>
          <w:rFonts w:ascii="Times New Roman" w:hAnsi="Times New Roman" w:cs="Times New Roman"/>
        </w:rPr>
        <w:t xml:space="preserve"> on </w:t>
      </w:r>
      <w:r w:rsidR="00A13097" w:rsidRPr="00B51235">
        <w:rPr>
          <w:rFonts w:ascii="Times New Roman" w:hAnsi="Times New Roman" w:cs="Times New Roman"/>
        </w:rPr>
        <w:t>cargo</w:t>
      </w:r>
      <w:r w:rsidR="00D17FEE">
        <w:rPr>
          <w:rFonts w:ascii="Times New Roman" w:hAnsi="Times New Roman" w:cs="Times New Roman"/>
        </w:rPr>
        <w:t>, t</w:t>
      </w:r>
      <w:r w:rsidR="00D17FEE" w:rsidRPr="00B51235">
        <w:rPr>
          <w:rFonts w:ascii="Times New Roman" w:hAnsi="Times New Roman" w:cs="Times New Roman"/>
        </w:rPr>
        <w:t>h</w:t>
      </w:r>
      <w:r w:rsidR="00D17FEE">
        <w:rPr>
          <w:rFonts w:ascii="Times New Roman" w:hAnsi="Times New Roman" w:cs="Times New Roman"/>
        </w:rPr>
        <w:t>e subjects of th</w:t>
      </w:r>
      <w:r w:rsidR="00D17FEE" w:rsidRPr="00B51235">
        <w:rPr>
          <w:rFonts w:ascii="Times New Roman" w:hAnsi="Times New Roman" w:cs="Times New Roman"/>
        </w:rPr>
        <w:t>is article</w:t>
      </w:r>
      <w:r w:rsidR="00DD3C83">
        <w:rPr>
          <w:rFonts w:ascii="Times New Roman" w:hAnsi="Times New Roman" w:cs="Times New Roman"/>
        </w:rPr>
        <w:t>.</w:t>
      </w:r>
      <w:r w:rsidR="00A13097" w:rsidRPr="00B51235">
        <w:rPr>
          <w:rFonts w:ascii="Times New Roman" w:hAnsi="Times New Roman" w:cs="Times New Roman"/>
        </w:rPr>
        <w:t xml:space="preserve"> </w:t>
      </w:r>
      <w:r w:rsidR="005E335F">
        <w:rPr>
          <w:rFonts w:ascii="Times New Roman" w:hAnsi="Times New Roman" w:cs="Times New Roman"/>
        </w:rPr>
        <w:t xml:space="preserve">In the following </w:t>
      </w:r>
      <w:r w:rsidR="002E682D">
        <w:rPr>
          <w:rFonts w:ascii="Times New Roman" w:hAnsi="Times New Roman" w:cs="Times New Roman"/>
        </w:rPr>
        <w:t xml:space="preserve">their genesis and role and function in commerce </w:t>
      </w:r>
      <w:r w:rsidR="005E335F">
        <w:rPr>
          <w:rFonts w:ascii="Times New Roman" w:hAnsi="Times New Roman" w:cs="Times New Roman"/>
        </w:rPr>
        <w:t>will be considered</w:t>
      </w:r>
      <w:r w:rsidR="00DE538F" w:rsidRPr="00B51235">
        <w:rPr>
          <w:rFonts w:ascii="Times New Roman" w:hAnsi="Times New Roman" w:cs="Times New Roman"/>
        </w:rPr>
        <w:t xml:space="preserve">, </w:t>
      </w:r>
      <w:r w:rsidR="0033480D">
        <w:rPr>
          <w:rFonts w:ascii="Times New Roman" w:hAnsi="Times New Roman" w:cs="Times New Roman"/>
        </w:rPr>
        <w:t xml:space="preserve">against the background of several </w:t>
      </w:r>
      <w:r w:rsidR="005E335F">
        <w:rPr>
          <w:rFonts w:ascii="Times New Roman" w:hAnsi="Times New Roman" w:cs="Times New Roman"/>
        </w:rPr>
        <w:t xml:space="preserve">recent cases. It </w:t>
      </w:r>
      <w:r w:rsidR="0033480D">
        <w:rPr>
          <w:rFonts w:ascii="Times New Roman" w:hAnsi="Times New Roman" w:cs="Times New Roman"/>
        </w:rPr>
        <w:t xml:space="preserve">will be shown that although they are technically no different to analogous liens in a non-shipping context, </w:t>
      </w:r>
      <w:r w:rsidR="0025179F">
        <w:rPr>
          <w:rFonts w:ascii="Times New Roman" w:hAnsi="Times New Roman" w:cs="Times New Roman"/>
        </w:rPr>
        <w:t xml:space="preserve">it is asserted that they should be taken to be </w:t>
      </w:r>
      <w:r w:rsidR="0033480D">
        <w:rPr>
          <w:rFonts w:ascii="Times New Roman" w:hAnsi="Times New Roman" w:cs="Times New Roman"/>
        </w:rPr>
        <w:t xml:space="preserve">idiosyncratic </w:t>
      </w:r>
      <w:r w:rsidR="00A13097" w:rsidRPr="00B51235">
        <w:rPr>
          <w:rFonts w:ascii="Times New Roman" w:hAnsi="Times New Roman" w:cs="Times New Roman"/>
        </w:rPr>
        <w:t>to the shipping context</w:t>
      </w:r>
      <w:r w:rsidR="00DE538F" w:rsidRPr="00B51235">
        <w:rPr>
          <w:rFonts w:ascii="Times New Roman" w:hAnsi="Times New Roman" w:cs="Times New Roman"/>
        </w:rPr>
        <w:t>.</w:t>
      </w:r>
      <w:r w:rsidR="006478E8">
        <w:rPr>
          <w:rFonts w:ascii="Times New Roman" w:hAnsi="Times New Roman" w:cs="Times New Roman"/>
        </w:rPr>
        <w:t xml:space="preserve"> </w:t>
      </w:r>
      <w:r w:rsidR="0033480D">
        <w:rPr>
          <w:rFonts w:ascii="Times New Roman" w:hAnsi="Times New Roman" w:cs="Times New Roman"/>
        </w:rPr>
        <w:t>I</w:t>
      </w:r>
      <w:r w:rsidR="008726A0">
        <w:rPr>
          <w:rFonts w:ascii="Times New Roman" w:hAnsi="Times New Roman" w:cs="Times New Roman"/>
        </w:rPr>
        <w:t>t</w:t>
      </w:r>
      <w:r w:rsidR="006478E8">
        <w:rPr>
          <w:rFonts w:ascii="Times New Roman" w:hAnsi="Times New Roman" w:cs="Times New Roman"/>
        </w:rPr>
        <w:t xml:space="preserve"> will be argued</w:t>
      </w:r>
      <w:r w:rsidR="008726A0">
        <w:rPr>
          <w:rFonts w:ascii="Times New Roman" w:hAnsi="Times New Roman" w:cs="Times New Roman"/>
        </w:rPr>
        <w:t xml:space="preserve"> that</w:t>
      </w:r>
      <w:r w:rsidR="006478E8">
        <w:rPr>
          <w:rFonts w:ascii="Times New Roman" w:hAnsi="Times New Roman" w:cs="Times New Roman"/>
        </w:rPr>
        <w:t xml:space="preserve"> a coherent legal framework will only emerge as a result of some </w:t>
      </w:r>
      <w:r w:rsidR="005E335F">
        <w:rPr>
          <w:rFonts w:ascii="Times New Roman" w:hAnsi="Times New Roman" w:cs="Times New Roman"/>
        </w:rPr>
        <w:t xml:space="preserve">proactive </w:t>
      </w:r>
      <w:r w:rsidR="006478E8">
        <w:rPr>
          <w:rFonts w:ascii="Times New Roman" w:hAnsi="Times New Roman" w:cs="Times New Roman"/>
        </w:rPr>
        <w:t>judicial attention.</w:t>
      </w:r>
    </w:p>
    <w:p w14:paraId="0FBA7223" w14:textId="377BAB65" w:rsidR="00C14A24" w:rsidRDefault="00C14A24" w:rsidP="00C14A24">
      <w:pPr>
        <w:rPr>
          <w:rFonts w:ascii="Times New Roman" w:hAnsi="Times New Roman" w:cs="Times New Roman"/>
        </w:rPr>
      </w:pPr>
    </w:p>
    <w:p w14:paraId="1E6B1DA1" w14:textId="77777777" w:rsidR="0004597A" w:rsidRPr="00B51235" w:rsidRDefault="0004597A" w:rsidP="00C14A24">
      <w:pPr>
        <w:rPr>
          <w:rFonts w:ascii="Times New Roman" w:hAnsi="Times New Roman" w:cs="Times New Roman"/>
        </w:rPr>
      </w:pPr>
    </w:p>
    <w:p w14:paraId="579AA1B1" w14:textId="52624B84" w:rsidR="00DE538F" w:rsidRPr="00B51235" w:rsidRDefault="000033A4" w:rsidP="00C14A24">
      <w:pPr>
        <w:rPr>
          <w:rFonts w:ascii="Times New Roman" w:hAnsi="Times New Roman" w:cs="Times New Roman"/>
          <w:b/>
        </w:rPr>
      </w:pPr>
      <w:r w:rsidRPr="00B51235">
        <w:rPr>
          <w:rFonts w:ascii="Times New Roman" w:hAnsi="Times New Roman" w:cs="Times New Roman"/>
          <w:b/>
        </w:rPr>
        <w:t>Introduction</w:t>
      </w:r>
    </w:p>
    <w:p w14:paraId="5FDA2BC7" w14:textId="77777777" w:rsidR="00DE538F" w:rsidRPr="00B51235" w:rsidRDefault="00DE538F" w:rsidP="00C14A24">
      <w:pPr>
        <w:rPr>
          <w:rFonts w:ascii="Times New Roman" w:hAnsi="Times New Roman" w:cs="Times New Roman"/>
        </w:rPr>
      </w:pPr>
    </w:p>
    <w:p w14:paraId="2A947467" w14:textId="7EC8283C" w:rsidR="00A13097" w:rsidRDefault="00A13097" w:rsidP="002F3F5D">
      <w:pPr>
        <w:rPr>
          <w:rFonts w:ascii="Times New Roman" w:hAnsi="Times New Roman" w:cs="Times New Roman"/>
        </w:rPr>
      </w:pPr>
      <w:r w:rsidRPr="00B51235">
        <w:rPr>
          <w:rFonts w:ascii="Times New Roman" w:hAnsi="Times New Roman" w:cs="Times New Roman"/>
        </w:rPr>
        <w:t xml:space="preserve">Commercial parties </w:t>
      </w:r>
      <w:proofErr w:type="gramStart"/>
      <w:r w:rsidRPr="00B51235">
        <w:rPr>
          <w:rFonts w:ascii="Times New Roman" w:hAnsi="Times New Roman" w:cs="Times New Roman"/>
        </w:rPr>
        <w:t>have to</w:t>
      </w:r>
      <w:proofErr w:type="gramEnd"/>
      <w:r w:rsidRPr="00B51235">
        <w:rPr>
          <w:rFonts w:ascii="Times New Roman" w:hAnsi="Times New Roman" w:cs="Times New Roman"/>
        </w:rPr>
        <w:t xml:space="preserve"> be certain of one thing: getting paid for their goods and services. </w:t>
      </w:r>
      <w:r w:rsidR="002F3F5D" w:rsidRPr="00B51235">
        <w:rPr>
          <w:rFonts w:ascii="Times New Roman" w:hAnsi="Times New Roman" w:cs="Times New Roman"/>
        </w:rPr>
        <w:t>Because maritime trade is fast</w:t>
      </w:r>
      <w:r w:rsidRPr="00B51235">
        <w:rPr>
          <w:rFonts w:ascii="Times New Roman" w:hAnsi="Times New Roman" w:cs="Times New Roman"/>
        </w:rPr>
        <w:t>,</w:t>
      </w:r>
      <w:r w:rsidR="002F3F5D" w:rsidRPr="00B51235">
        <w:rPr>
          <w:rFonts w:ascii="Times New Roman" w:hAnsi="Times New Roman" w:cs="Times New Roman"/>
        </w:rPr>
        <w:t xml:space="preserve"> mobile and organised in </w:t>
      </w:r>
      <w:r w:rsidR="006478E8">
        <w:rPr>
          <w:rFonts w:ascii="Times New Roman" w:hAnsi="Times New Roman" w:cs="Times New Roman"/>
        </w:rPr>
        <w:t>special purpose vehicles</w:t>
      </w:r>
      <w:r w:rsidRPr="00B51235">
        <w:rPr>
          <w:rFonts w:ascii="Times New Roman" w:hAnsi="Times New Roman" w:cs="Times New Roman"/>
        </w:rPr>
        <w:t>, t</w:t>
      </w:r>
      <w:r w:rsidR="002F3F5D" w:rsidRPr="00B51235">
        <w:rPr>
          <w:rFonts w:ascii="Times New Roman" w:hAnsi="Times New Roman" w:cs="Times New Roman"/>
        </w:rPr>
        <w:t>here is little available in terms of fixed, real security</w:t>
      </w:r>
      <w:r w:rsidRPr="00B51235">
        <w:rPr>
          <w:rFonts w:ascii="Times New Roman" w:hAnsi="Times New Roman" w:cs="Times New Roman"/>
        </w:rPr>
        <w:t xml:space="preserve"> to provide such certainty</w:t>
      </w:r>
      <w:r w:rsidR="002F3F5D" w:rsidRPr="00B51235">
        <w:rPr>
          <w:rFonts w:ascii="Times New Roman" w:hAnsi="Times New Roman" w:cs="Times New Roman"/>
        </w:rPr>
        <w:t xml:space="preserve">. </w:t>
      </w:r>
      <w:r w:rsidR="006478E8">
        <w:rPr>
          <w:rFonts w:ascii="Times New Roman" w:hAnsi="Times New Roman" w:cs="Times New Roman"/>
        </w:rPr>
        <w:t>Meanwhile, insolvencies and even trade fraud are not uncommon occurrences</w:t>
      </w:r>
      <w:r w:rsidR="007B4537">
        <w:rPr>
          <w:rFonts w:ascii="Times New Roman" w:hAnsi="Times New Roman" w:cs="Times New Roman"/>
        </w:rPr>
        <w:t xml:space="preserve">, limiting creditors’ options </w:t>
      </w:r>
      <w:r w:rsidR="007B4537">
        <w:rPr>
          <w:rFonts w:ascii="Times New Roman" w:hAnsi="Times New Roman" w:cs="Times New Roman"/>
        </w:rPr>
        <w:lastRenderedPageBreak/>
        <w:t>to seek payment</w:t>
      </w:r>
      <w:r w:rsidR="006478E8">
        <w:rPr>
          <w:rFonts w:ascii="Times New Roman" w:hAnsi="Times New Roman" w:cs="Times New Roman"/>
        </w:rPr>
        <w:t xml:space="preserve">. </w:t>
      </w:r>
      <w:r w:rsidR="002F3F5D" w:rsidRPr="00B51235">
        <w:rPr>
          <w:rFonts w:ascii="Times New Roman" w:hAnsi="Times New Roman" w:cs="Times New Roman"/>
        </w:rPr>
        <w:t xml:space="preserve">Liens </w:t>
      </w:r>
      <w:r w:rsidRPr="00B51235">
        <w:rPr>
          <w:rFonts w:ascii="Times New Roman" w:hAnsi="Times New Roman" w:cs="Times New Roman"/>
        </w:rPr>
        <w:t>provide some</w:t>
      </w:r>
      <w:r w:rsidR="002F3F5D" w:rsidRPr="00B51235">
        <w:rPr>
          <w:rFonts w:ascii="Times New Roman" w:hAnsi="Times New Roman" w:cs="Times New Roman"/>
        </w:rPr>
        <w:t xml:space="preserve"> reassurance by being a security in something</w:t>
      </w:r>
      <w:r w:rsidRPr="00B51235">
        <w:rPr>
          <w:rFonts w:ascii="Times New Roman" w:hAnsi="Times New Roman" w:cs="Times New Roman"/>
        </w:rPr>
        <w:t xml:space="preserve"> or other – whether tangible or as a matter of right</w:t>
      </w:r>
      <w:r w:rsidR="002F3F5D" w:rsidRPr="00B51235">
        <w:rPr>
          <w:rFonts w:ascii="Times New Roman" w:hAnsi="Times New Roman" w:cs="Times New Roman"/>
        </w:rPr>
        <w:t>.</w:t>
      </w:r>
      <w:r w:rsidR="001777C4" w:rsidRPr="00B51235">
        <w:rPr>
          <w:rStyle w:val="FootnoteReference"/>
          <w:rFonts w:ascii="Times New Roman" w:hAnsi="Times New Roman" w:cs="Times New Roman"/>
        </w:rPr>
        <w:footnoteReference w:id="7"/>
      </w:r>
      <w:r w:rsidR="002F3F5D" w:rsidRPr="00B51235">
        <w:rPr>
          <w:rFonts w:ascii="Times New Roman" w:hAnsi="Times New Roman" w:cs="Times New Roman"/>
        </w:rPr>
        <w:t xml:space="preserve"> </w:t>
      </w:r>
      <w:r w:rsidRPr="00B51235">
        <w:rPr>
          <w:rFonts w:ascii="Times New Roman" w:hAnsi="Times New Roman" w:cs="Times New Roman"/>
        </w:rPr>
        <w:t>The availability of that security can be relied upon to condition delivery upon payment, extract payment from an unwilling party, or in appropriate circumstances to compensate for a complete absence of payment, for example if the debtor has become insolvent.</w:t>
      </w:r>
    </w:p>
    <w:p w14:paraId="5517225A" w14:textId="77777777" w:rsidR="00A13097" w:rsidRPr="00B51235" w:rsidRDefault="00A13097" w:rsidP="002F3F5D">
      <w:pPr>
        <w:rPr>
          <w:rFonts w:ascii="Times New Roman" w:hAnsi="Times New Roman" w:cs="Times New Roman"/>
        </w:rPr>
      </w:pPr>
    </w:p>
    <w:p w14:paraId="16B85B4A" w14:textId="5FBC7E81" w:rsidR="002F3F5D" w:rsidRPr="00B51235" w:rsidRDefault="00A13097" w:rsidP="002F3F5D">
      <w:pPr>
        <w:rPr>
          <w:rFonts w:ascii="Times New Roman" w:hAnsi="Times New Roman" w:cs="Times New Roman"/>
        </w:rPr>
      </w:pPr>
      <w:r w:rsidRPr="00B51235">
        <w:rPr>
          <w:rFonts w:ascii="Times New Roman" w:hAnsi="Times New Roman" w:cs="Times New Roman"/>
        </w:rPr>
        <w:t xml:space="preserve">To operate as security, liens must be valid, one way or another, </w:t>
      </w:r>
      <w:r w:rsidR="002F3F5D" w:rsidRPr="00B51235">
        <w:rPr>
          <w:rFonts w:ascii="Times New Roman" w:hAnsi="Times New Roman" w:cs="Times New Roman"/>
        </w:rPr>
        <w:t xml:space="preserve">against third parties. </w:t>
      </w:r>
      <w:r w:rsidRPr="00B51235">
        <w:rPr>
          <w:rFonts w:ascii="Times New Roman" w:hAnsi="Times New Roman" w:cs="Times New Roman"/>
        </w:rPr>
        <w:t xml:space="preserve">A purely contractual right can be enforced against the counterpart, but the real usefulness </w:t>
      </w:r>
      <w:r w:rsidR="006478E8">
        <w:rPr>
          <w:rFonts w:ascii="Times New Roman" w:hAnsi="Times New Roman" w:cs="Times New Roman"/>
        </w:rPr>
        <w:t>of</w:t>
      </w:r>
      <w:r w:rsidRPr="00B51235">
        <w:rPr>
          <w:rFonts w:ascii="Times New Roman" w:hAnsi="Times New Roman" w:cs="Times New Roman"/>
        </w:rPr>
        <w:t xml:space="preserve"> liens lies in being valid </w:t>
      </w:r>
      <w:r w:rsidR="006478E8">
        <w:rPr>
          <w:rFonts w:ascii="Times New Roman" w:hAnsi="Times New Roman" w:cs="Times New Roman"/>
        </w:rPr>
        <w:t xml:space="preserve">and enforceable </w:t>
      </w:r>
      <w:r w:rsidRPr="00B51235">
        <w:rPr>
          <w:rFonts w:ascii="Times New Roman" w:hAnsi="Times New Roman" w:cs="Times New Roman"/>
        </w:rPr>
        <w:t xml:space="preserve">against the world-at-large. </w:t>
      </w:r>
      <w:r w:rsidR="002F3F5D" w:rsidRPr="00B51235">
        <w:rPr>
          <w:rFonts w:ascii="Times New Roman" w:hAnsi="Times New Roman" w:cs="Times New Roman"/>
        </w:rPr>
        <w:t>The entitled party will have better rights in the subject matter, that it can defend against third parties.</w:t>
      </w:r>
      <w:r w:rsidRPr="00B51235">
        <w:rPr>
          <w:rFonts w:ascii="Times New Roman" w:hAnsi="Times New Roman" w:cs="Times New Roman"/>
        </w:rPr>
        <w:t xml:space="preserve"> In this, t</w:t>
      </w:r>
      <w:r w:rsidR="002F3F5D" w:rsidRPr="00B51235">
        <w:rPr>
          <w:rFonts w:ascii="Times New Roman" w:hAnsi="Times New Roman" w:cs="Times New Roman"/>
        </w:rPr>
        <w:t>here is an inherent contradiction here</w:t>
      </w:r>
      <w:r w:rsidR="006478E8">
        <w:rPr>
          <w:rFonts w:ascii="Times New Roman" w:hAnsi="Times New Roman" w:cs="Times New Roman"/>
        </w:rPr>
        <w:t>. While maritime and statutory liens have the backing of law and arise automatically from defined contexts,</w:t>
      </w:r>
      <w:r w:rsidR="002F3F5D" w:rsidRPr="00B51235">
        <w:rPr>
          <w:rFonts w:ascii="Times New Roman" w:hAnsi="Times New Roman" w:cs="Times New Roman"/>
        </w:rPr>
        <w:t xml:space="preserve"> </w:t>
      </w:r>
      <w:r w:rsidRPr="00B51235">
        <w:rPr>
          <w:rFonts w:ascii="Times New Roman" w:hAnsi="Times New Roman" w:cs="Times New Roman"/>
        </w:rPr>
        <w:t xml:space="preserve">in the commercial context, </w:t>
      </w:r>
      <w:r w:rsidR="002F3F5D" w:rsidRPr="00B51235">
        <w:rPr>
          <w:rFonts w:ascii="Times New Roman" w:hAnsi="Times New Roman" w:cs="Times New Roman"/>
        </w:rPr>
        <w:t>lien</w:t>
      </w:r>
      <w:r w:rsidR="006478E8">
        <w:rPr>
          <w:rFonts w:ascii="Times New Roman" w:hAnsi="Times New Roman" w:cs="Times New Roman"/>
        </w:rPr>
        <w:t>s</w:t>
      </w:r>
      <w:r w:rsidR="002F3F5D" w:rsidRPr="00B51235">
        <w:rPr>
          <w:rFonts w:ascii="Times New Roman" w:hAnsi="Times New Roman" w:cs="Times New Roman"/>
        </w:rPr>
        <w:t xml:space="preserve"> </w:t>
      </w:r>
      <w:r w:rsidRPr="00B51235">
        <w:rPr>
          <w:rFonts w:ascii="Times New Roman" w:hAnsi="Times New Roman" w:cs="Times New Roman"/>
        </w:rPr>
        <w:t xml:space="preserve">usually </w:t>
      </w:r>
      <w:r w:rsidR="002F3F5D" w:rsidRPr="00B51235">
        <w:rPr>
          <w:rFonts w:ascii="Times New Roman" w:hAnsi="Times New Roman" w:cs="Times New Roman"/>
        </w:rPr>
        <w:t xml:space="preserve">arise from a contract between the parties, but </w:t>
      </w:r>
      <w:r w:rsidR="006478E8">
        <w:rPr>
          <w:rFonts w:ascii="Times New Roman" w:hAnsi="Times New Roman" w:cs="Times New Roman"/>
        </w:rPr>
        <w:t>must somehow become</w:t>
      </w:r>
      <w:r w:rsidR="002F3F5D" w:rsidRPr="00B51235">
        <w:rPr>
          <w:rFonts w:ascii="Times New Roman" w:hAnsi="Times New Roman" w:cs="Times New Roman"/>
        </w:rPr>
        <w:t xml:space="preserve"> enforceable against third parties.</w:t>
      </w:r>
      <w:r w:rsidRPr="00B51235">
        <w:rPr>
          <w:rFonts w:ascii="Times New Roman" w:hAnsi="Times New Roman" w:cs="Times New Roman"/>
        </w:rPr>
        <w:t xml:space="preserve"> Nevertheless, a l</w:t>
      </w:r>
      <w:r w:rsidR="002F3F5D" w:rsidRPr="00B51235">
        <w:rPr>
          <w:rFonts w:ascii="Times New Roman" w:hAnsi="Times New Roman" w:cs="Times New Roman"/>
        </w:rPr>
        <w:t>ien means a security interest recognised by the law.</w:t>
      </w:r>
      <w:r w:rsidR="000033A4" w:rsidRPr="00B51235">
        <w:rPr>
          <w:rFonts w:ascii="Times New Roman" w:hAnsi="Times New Roman" w:cs="Times New Roman"/>
        </w:rPr>
        <w:t xml:space="preserve"> The first question here is therefore what contractual security interests in shipping contracts have been recognised by the law.</w:t>
      </w:r>
    </w:p>
    <w:p w14:paraId="3992F35C" w14:textId="77777777" w:rsidR="002F3F5D" w:rsidRPr="00B51235" w:rsidRDefault="002F3F5D" w:rsidP="002F3F5D">
      <w:pPr>
        <w:rPr>
          <w:rFonts w:ascii="Times New Roman" w:hAnsi="Times New Roman" w:cs="Times New Roman"/>
        </w:rPr>
      </w:pPr>
    </w:p>
    <w:p w14:paraId="099A81D8" w14:textId="72AC2605" w:rsidR="000033A4" w:rsidRPr="00B51235" w:rsidRDefault="006478E8" w:rsidP="002F3F5D">
      <w:pPr>
        <w:rPr>
          <w:rFonts w:ascii="Times New Roman" w:hAnsi="Times New Roman" w:cs="Times New Roman"/>
        </w:rPr>
      </w:pPr>
      <w:r>
        <w:rPr>
          <w:rFonts w:ascii="Times New Roman" w:hAnsi="Times New Roman" w:cs="Times New Roman"/>
        </w:rPr>
        <w:t>The contractual context o</w:t>
      </w:r>
      <w:r w:rsidR="007B4537">
        <w:rPr>
          <w:rFonts w:ascii="Times New Roman" w:hAnsi="Times New Roman" w:cs="Times New Roman"/>
        </w:rPr>
        <w:t>f</w:t>
      </w:r>
      <w:r>
        <w:rPr>
          <w:rFonts w:ascii="Times New Roman" w:hAnsi="Times New Roman" w:cs="Times New Roman"/>
        </w:rPr>
        <w:t xml:space="preserve"> the liens at issue here </w:t>
      </w:r>
      <w:r w:rsidR="002F3F5D" w:rsidRPr="00B51235">
        <w:rPr>
          <w:rFonts w:ascii="Times New Roman" w:hAnsi="Times New Roman" w:cs="Times New Roman"/>
        </w:rPr>
        <w:t xml:space="preserve">mean that </w:t>
      </w:r>
      <w:r>
        <w:rPr>
          <w:rFonts w:ascii="Times New Roman" w:hAnsi="Times New Roman" w:cs="Times New Roman"/>
        </w:rPr>
        <w:t xml:space="preserve">analogous liens may </w:t>
      </w:r>
      <w:r w:rsidR="002F3F5D" w:rsidRPr="00B51235">
        <w:rPr>
          <w:rFonts w:ascii="Times New Roman" w:hAnsi="Times New Roman" w:cs="Times New Roman"/>
        </w:rPr>
        <w:t xml:space="preserve">also exist outside </w:t>
      </w:r>
      <w:r w:rsidR="000033A4" w:rsidRPr="00B51235">
        <w:rPr>
          <w:rFonts w:ascii="Times New Roman" w:hAnsi="Times New Roman" w:cs="Times New Roman"/>
        </w:rPr>
        <w:t>shipping</w:t>
      </w:r>
      <w:r w:rsidR="002F3F5D" w:rsidRPr="00B51235">
        <w:rPr>
          <w:rFonts w:ascii="Times New Roman" w:hAnsi="Times New Roman" w:cs="Times New Roman"/>
        </w:rPr>
        <w:t xml:space="preserve"> law</w:t>
      </w:r>
      <w:r w:rsidR="000033A4" w:rsidRPr="00B51235">
        <w:rPr>
          <w:rFonts w:ascii="Times New Roman" w:hAnsi="Times New Roman" w:cs="Times New Roman"/>
        </w:rPr>
        <w:t xml:space="preserve">, </w:t>
      </w:r>
      <w:r>
        <w:rPr>
          <w:rFonts w:ascii="Times New Roman" w:hAnsi="Times New Roman" w:cs="Times New Roman"/>
        </w:rPr>
        <w:t xml:space="preserve">arising from similar transactions and </w:t>
      </w:r>
      <w:r w:rsidR="000033A4" w:rsidRPr="00B51235">
        <w:rPr>
          <w:rFonts w:ascii="Times New Roman" w:hAnsi="Times New Roman" w:cs="Times New Roman"/>
        </w:rPr>
        <w:t>circumstances</w:t>
      </w:r>
      <w:r w:rsidR="002F3F5D" w:rsidRPr="00B51235">
        <w:rPr>
          <w:rFonts w:ascii="Times New Roman" w:hAnsi="Times New Roman" w:cs="Times New Roman"/>
        </w:rPr>
        <w:t>.</w:t>
      </w:r>
      <w:r w:rsidR="000033A4" w:rsidRPr="00B51235">
        <w:rPr>
          <w:rStyle w:val="FootnoteReference"/>
          <w:rFonts w:ascii="Times New Roman" w:hAnsi="Times New Roman" w:cs="Times New Roman"/>
        </w:rPr>
        <w:footnoteReference w:id="8"/>
      </w:r>
      <w:r w:rsidR="002F3F5D" w:rsidRPr="00B51235">
        <w:rPr>
          <w:rFonts w:ascii="Times New Roman" w:hAnsi="Times New Roman" w:cs="Times New Roman"/>
        </w:rPr>
        <w:t xml:space="preserve"> </w:t>
      </w:r>
      <w:r w:rsidR="000033A4" w:rsidRPr="00B51235">
        <w:rPr>
          <w:rFonts w:ascii="Times New Roman" w:hAnsi="Times New Roman" w:cs="Times New Roman"/>
        </w:rPr>
        <w:t xml:space="preserve">One would expect </w:t>
      </w:r>
      <w:r>
        <w:rPr>
          <w:rFonts w:ascii="Times New Roman" w:hAnsi="Times New Roman" w:cs="Times New Roman"/>
        </w:rPr>
        <w:t>uniformity</w:t>
      </w:r>
      <w:r w:rsidR="000033A4" w:rsidRPr="00B51235">
        <w:rPr>
          <w:rFonts w:ascii="Times New Roman" w:hAnsi="Times New Roman" w:cs="Times New Roman"/>
        </w:rPr>
        <w:t xml:space="preserve"> in principle across sectors,</w:t>
      </w:r>
      <w:r w:rsidR="002F3F5D" w:rsidRPr="00B51235">
        <w:rPr>
          <w:rFonts w:ascii="Times New Roman" w:hAnsi="Times New Roman" w:cs="Times New Roman"/>
        </w:rPr>
        <w:t xml:space="preserve"> </w:t>
      </w:r>
      <w:r w:rsidR="00372B6D">
        <w:rPr>
          <w:rFonts w:ascii="Times New Roman" w:hAnsi="Times New Roman" w:cs="Times New Roman"/>
        </w:rPr>
        <w:t xml:space="preserve">simply </w:t>
      </w:r>
      <w:r w:rsidR="000033A4" w:rsidRPr="00B51235">
        <w:rPr>
          <w:rFonts w:ascii="Times New Roman" w:hAnsi="Times New Roman" w:cs="Times New Roman"/>
        </w:rPr>
        <w:t xml:space="preserve">for </w:t>
      </w:r>
      <w:r w:rsidR="00372B6D">
        <w:rPr>
          <w:rFonts w:ascii="Times New Roman" w:hAnsi="Times New Roman" w:cs="Times New Roman"/>
        </w:rPr>
        <w:t xml:space="preserve">the sake of </w:t>
      </w:r>
      <w:r w:rsidR="00190BCC">
        <w:rPr>
          <w:rFonts w:ascii="Times New Roman" w:hAnsi="Times New Roman" w:cs="Times New Roman"/>
        </w:rPr>
        <w:t>principle</w:t>
      </w:r>
      <w:r w:rsidR="00372B6D">
        <w:rPr>
          <w:rFonts w:ascii="Times New Roman" w:hAnsi="Times New Roman" w:cs="Times New Roman"/>
        </w:rPr>
        <w:t xml:space="preserve"> and consistency</w:t>
      </w:r>
      <w:r w:rsidR="000033A4" w:rsidRPr="00B51235">
        <w:rPr>
          <w:rFonts w:ascii="Times New Roman" w:hAnsi="Times New Roman" w:cs="Times New Roman"/>
        </w:rPr>
        <w:t>. However, shipping liens part company with the general law in significant ways. In the following, a small number of recent cases will be discussed to identify in what ways the liens in shipping contracts differ from the norm.</w:t>
      </w:r>
    </w:p>
    <w:p w14:paraId="594FE546" w14:textId="4F907AEF" w:rsidR="000033A4" w:rsidRDefault="000033A4" w:rsidP="002F3F5D">
      <w:pPr>
        <w:rPr>
          <w:rFonts w:ascii="Times New Roman" w:hAnsi="Times New Roman" w:cs="Times New Roman"/>
        </w:rPr>
      </w:pPr>
    </w:p>
    <w:p w14:paraId="74C8FE15" w14:textId="513B92F7" w:rsidR="00640799" w:rsidRDefault="00640799" w:rsidP="002F3F5D">
      <w:pPr>
        <w:rPr>
          <w:rFonts w:ascii="Times New Roman" w:hAnsi="Times New Roman" w:cs="Times New Roman"/>
        </w:rPr>
      </w:pPr>
    </w:p>
    <w:p w14:paraId="571B5B75" w14:textId="691E972D" w:rsidR="00640799" w:rsidRPr="00640799" w:rsidRDefault="00372B6D" w:rsidP="00640799">
      <w:pPr>
        <w:rPr>
          <w:rFonts w:ascii="Times New Roman" w:hAnsi="Times New Roman" w:cs="Times New Roman"/>
          <w:b/>
        </w:rPr>
      </w:pPr>
      <w:r w:rsidRPr="00372B6D">
        <w:rPr>
          <w:rFonts w:ascii="Times New Roman" w:hAnsi="Times New Roman" w:cs="Times New Roman"/>
          <w:b/>
        </w:rPr>
        <w:t>Liens on cargo</w:t>
      </w:r>
      <w:r>
        <w:rPr>
          <w:rFonts w:ascii="Times New Roman" w:hAnsi="Times New Roman" w:cs="Times New Roman"/>
          <w:b/>
        </w:rPr>
        <w:t>: p</w:t>
      </w:r>
      <w:r w:rsidR="00640799">
        <w:rPr>
          <w:rFonts w:ascii="Times New Roman" w:hAnsi="Times New Roman" w:cs="Times New Roman"/>
          <w:b/>
        </w:rPr>
        <w:t>ossession and t</w:t>
      </w:r>
      <w:r w:rsidR="00640799" w:rsidRPr="00640799">
        <w:rPr>
          <w:rFonts w:ascii="Times New Roman" w:hAnsi="Times New Roman" w:cs="Times New Roman"/>
          <w:b/>
        </w:rPr>
        <w:t>hird parties</w:t>
      </w:r>
    </w:p>
    <w:p w14:paraId="4B9EC5D5" w14:textId="25186222" w:rsidR="00640799" w:rsidRDefault="00640799" w:rsidP="002F3F5D">
      <w:pPr>
        <w:rPr>
          <w:rFonts w:ascii="Times New Roman" w:hAnsi="Times New Roman" w:cs="Times New Roman"/>
        </w:rPr>
      </w:pPr>
    </w:p>
    <w:p w14:paraId="4F9FE400" w14:textId="77777777" w:rsidR="007B4537" w:rsidRDefault="000033A4" w:rsidP="00640799">
      <w:pPr>
        <w:rPr>
          <w:rFonts w:ascii="Times New Roman" w:hAnsi="Times New Roman" w:cs="Times New Roman"/>
        </w:rPr>
      </w:pPr>
      <w:r w:rsidRPr="00B51235">
        <w:rPr>
          <w:rFonts w:ascii="Times New Roman" w:hAnsi="Times New Roman" w:cs="Times New Roman"/>
        </w:rPr>
        <w:t>The s</w:t>
      </w:r>
      <w:r w:rsidR="002F3F5D" w:rsidRPr="00B51235">
        <w:rPr>
          <w:rFonts w:ascii="Times New Roman" w:hAnsi="Times New Roman" w:cs="Times New Roman"/>
        </w:rPr>
        <w:t>implest</w:t>
      </w:r>
      <w:r w:rsidRPr="00B51235">
        <w:rPr>
          <w:rFonts w:ascii="Times New Roman" w:hAnsi="Times New Roman" w:cs="Times New Roman"/>
        </w:rPr>
        <w:t xml:space="preserve"> lien is the</w:t>
      </w:r>
      <w:r w:rsidR="002F3F5D" w:rsidRPr="00B51235">
        <w:rPr>
          <w:rFonts w:ascii="Times New Roman" w:hAnsi="Times New Roman" w:cs="Times New Roman"/>
        </w:rPr>
        <w:t xml:space="preserve"> possessory lien</w:t>
      </w:r>
      <w:r w:rsidRPr="00B51235">
        <w:rPr>
          <w:rFonts w:ascii="Times New Roman" w:hAnsi="Times New Roman" w:cs="Times New Roman"/>
        </w:rPr>
        <w:t xml:space="preserve"> employed to give effect to the carrier’s claim for freight under a contract of carriage. </w:t>
      </w:r>
      <w:r w:rsidR="002F3F5D" w:rsidRPr="00B51235">
        <w:rPr>
          <w:rFonts w:ascii="Times New Roman" w:hAnsi="Times New Roman" w:cs="Times New Roman"/>
        </w:rPr>
        <w:t xml:space="preserve">This arises from contract or is implied in certain transactions. The basis </w:t>
      </w:r>
      <w:r w:rsidRPr="00B51235">
        <w:rPr>
          <w:rFonts w:ascii="Times New Roman" w:hAnsi="Times New Roman" w:cs="Times New Roman"/>
        </w:rPr>
        <w:t xml:space="preserve">for the lien is </w:t>
      </w:r>
      <w:r w:rsidR="002F3F5D" w:rsidRPr="00B51235">
        <w:rPr>
          <w:rFonts w:ascii="Times New Roman" w:hAnsi="Times New Roman" w:cs="Times New Roman"/>
          <w:i/>
        </w:rPr>
        <w:t>possession</w:t>
      </w:r>
      <w:r w:rsidR="002F3F5D" w:rsidRPr="00B51235">
        <w:rPr>
          <w:rFonts w:ascii="Times New Roman" w:hAnsi="Times New Roman" w:cs="Times New Roman"/>
        </w:rPr>
        <w:t>: if a party has possession of the goods, certain rights follow. For example</w:t>
      </w:r>
      <w:r w:rsidRPr="00B51235">
        <w:rPr>
          <w:rFonts w:ascii="Times New Roman" w:hAnsi="Times New Roman" w:cs="Times New Roman"/>
        </w:rPr>
        <w:t>,</w:t>
      </w:r>
      <w:r w:rsidR="002F3F5D" w:rsidRPr="00B51235">
        <w:rPr>
          <w:rFonts w:ascii="Times New Roman" w:hAnsi="Times New Roman" w:cs="Times New Roman"/>
        </w:rPr>
        <w:t xml:space="preserve"> a tradesman who has repaired a gadget and still has it in his possession will have a right to retain the goods until he is paid by the customer.</w:t>
      </w:r>
      <w:r w:rsidRPr="00B51235">
        <w:rPr>
          <w:rStyle w:val="FootnoteReference"/>
          <w:rFonts w:ascii="Times New Roman" w:hAnsi="Times New Roman" w:cs="Times New Roman"/>
        </w:rPr>
        <w:footnoteReference w:id="9"/>
      </w:r>
      <w:r w:rsidR="002F3F5D" w:rsidRPr="00B51235">
        <w:rPr>
          <w:rFonts w:ascii="Times New Roman" w:hAnsi="Times New Roman" w:cs="Times New Roman"/>
        </w:rPr>
        <w:t xml:space="preserve"> Normally, if someone keeps hold of another’s property, the other person has a right to </w:t>
      </w:r>
      <w:proofErr w:type="gramStart"/>
      <w:r w:rsidRPr="00B51235">
        <w:rPr>
          <w:rFonts w:ascii="Times New Roman" w:hAnsi="Times New Roman" w:cs="Times New Roman"/>
        </w:rPr>
        <w:t>take action</w:t>
      </w:r>
      <w:proofErr w:type="gramEnd"/>
      <w:r w:rsidRPr="00B51235">
        <w:rPr>
          <w:rFonts w:ascii="Times New Roman" w:hAnsi="Times New Roman" w:cs="Times New Roman"/>
        </w:rPr>
        <w:t xml:space="preserve"> to retrieve the property</w:t>
      </w:r>
      <w:r w:rsidR="002F3F5D" w:rsidRPr="00B51235">
        <w:rPr>
          <w:rFonts w:ascii="Times New Roman" w:hAnsi="Times New Roman" w:cs="Times New Roman"/>
        </w:rPr>
        <w:t>. Here, because the tradesman has possession, it has a right to keep the object</w:t>
      </w:r>
      <w:r w:rsidRPr="00B51235">
        <w:rPr>
          <w:rFonts w:ascii="Times New Roman" w:hAnsi="Times New Roman" w:cs="Times New Roman"/>
        </w:rPr>
        <w:t xml:space="preserve"> where it might otherwise be liable in contract or for the tort of conversion</w:t>
      </w:r>
      <w:r w:rsidR="002F3F5D" w:rsidRPr="00B51235">
        <w:rPr>
          <w:rFonts w:ascii="Times New Roman" w:hAnsi="Times New Roman" w:cs="Times New Roman"/>
        </w:rPr>
        <w:t>.</w:t>
      </w:r>
      <w:r w:rsidRPr="00B51235">
        <w:rPr>
          <w:rFonts w:ascii="Times New Roman" w:hAnsi="Times New Roman" w:cs="Times New Roman"/>
        </w:rPr>
        <w:t xml:space="preserve"> </w:t>
      </w:r>
      <w:r w:rsidR="002F3F5D" w:rsidRPr="00B51235">
        <w:rPr>
          <w:rFonts w:ascii="Times New Roman" w:hAnsi="Times New Roman" w:cs="Times New Roman"/>
        </w:rPr>
        <w:t>This right applies to the carrier’s right to keep hold of cargo before releasing it to the bill of lading holder</w:t>
      </w:r>
      <w:r w:rsidRPr="00B51235">
        <w:rPr>
          <w:rFonts w:ascii="Times New Roman" w:hAnsi="Times New Roman" w:cs="Times New Roman"/>
        </w:rPr>
        <w:t xml:space="preserve"> or other party entitled to receive the goods</w:t>
      </w:r>
      <w:r w:rsidR="002F3F5D" w:rsidRPr="00B51235">
        <w:rPr>
          <w:rFonts w:ascii="Times New Roman" w:hAnsi="Times New Roman" w:cs="Times New Roman"/>
        </w:rPr>
        <w:t>.</w:t>
      </w:r>
      <w:r w:rsidR="00AE1900" w:rsidRPr="00AE1900">
        <w:rPr>
          <w:rFonts w:ascii="Times New Roman" w:hAnsi="Times New Roman" w:cs="Times New Roman"/>
        </w:rPr>
        <w:t xml:space="preserve"> </w:t>
      </w:r>
      <w:r w:rsidR="00AE1900">
        <w:rPr>
          <w:rFonts w:ascii="Times New Roman" w:hAnsi="Times New Roman" w:cs="Times New Roman"/>
        </w:rPr>
        <w:t>Possession is what makes the right effective against third parties: the carrier is not obliged to release the cargo to any party, including one that does not owe freight.</w:t>
      </w:r>
      <w:r w:rsidR="00640799">
        <w:rPr>
          <w:rFonts w:ascii="Times New Roman" w:hAnsi="Times New Roman" w:cs="Times New Roman"/>
        </w:rPr>
        <w:t xml:space="preserve"> </w:t>
      </w:r>
    </w:p>
    <w:p w14:paraId="046751B6" w14:textId="77777777" w:rsidR="007B4537" w:rsidRDefault="007B4537" w:rsidP="00640799">
      <w:pPr>
        <w:rPr>
          <w:rFonts w:ascii="Times New Roman" w:hAnsi="Times New Roman" w:cs="Times New Roman"/>
        </w:rPr>
      </w:pPr>
    </w:p>
    <w:p w14:paraId="11E34C56" w14:textId="53E5E208" w:rsidR="00640799" w:rsidRDefault="00FF5106" w:rsidP="00640799">
      <w:pPr>
        <w:rPr>
          <w:rFonts w:ascii="Times New Roman" w:hAnsi="Times New Roman" w:cs="Times New Roman"/>
          <w:lang w:val="en-US"/>
        </w:rPr>
      </w:pPr>
      <w:r w:rsidRPr="00B23EB6">
        <w:rPr>
          <w:rFonts w:ascii="Times New Roman" w:hAnsi="Times New Roman" w:cs="Times New Roman"/>
        </w:rPr>
        <w:lastRenderedPageBreak/>
        <w:t xml:space="preserve">The lien </w:t>
      </w:r>
      <w:r>
        <w:rPr>
          <w:rFonts w:ascii="Times New Roman" w:hAnsi="Times New Roman" w:cs="Times New Roman"/>
        </w:rPr>
        <w:t xml:space="preserve">on cargo </w:t>
      </w:r>
      <w:r w:rsidRPr="00B23EB6">
        <w:rPr>
          <w:rFonts w:ascii="Times New Roman" w:hAnsi="Times New Roman" w:cs="Times New Roman"/>
        </w:rPr>
        <w:t xml:space="preserve">is </w:t>
      </w:r>
      <w:proofErr w:type="gramStart"/>
      <w:r w:rsidRPr="00B23EB6">
        <w:rPr>
          <w:rFonts w:ascii="Times New Roman" w:hAnsi="Times New Roman" w:cs="Times New Roman"/>
          <w:lang w:val="en-US"/>
        </w:rPr>
        <w:t>particular as</w:t>
      </w:r>
      <w:proofErr w:type="gramEnd"/>
      <w:r w:rsidRPr="00B23EB6">
        <w:rPr>
          <w:rFonts w:ascii="Times New Roman" w:hAnsi="Times New Roman" w:cs="Times New Roman"/>
          <w:lang w:val="en-US"/>
        </w:rPr>
        <w:t xml:space="preserve"> opposed to general. A general lien would lie against </w:t>
      </w:r>
      <w:proofErr w:type="gramStart"/>
      <w:r w:rsidRPr="00B23EB6">
        <w:rPr>
          <w:rFonts w:ascii="Times New Roman" w:hAnsi="Times New Roman" w:cs="Times New Roman"/>
          <w:lang w:val="en-US"/>
        </w:rPr>
        <w:t>all of</w:t>
      </w:r>
      <w:proofErr w:type="gramEnd"/>
      <w:r w:rsidRPr="00B23EB6">
        <w:rPr>
          <w:rFonts w:ascii="Times New Roman" w:hAnsi="Times New Roman" w:cs="Times New Roman"/>
          <w:lang w:val="en-US"/>
        </w:rPr>
        <w:t xml:space="preserve"> the party’s property in possession.</w:t>
      </w:r>
      <w:r w:rsidR="008C0DEA">
        <w:rPr>
          <w:rStyle w:val="FootnoteReference"/>
          <w:rFonts w:ascii="Times New Roman" w:hAnsi="Times New Roman" w:cs="Times New Roman"/>
          <w:lang w:val="en-US"/>
        </w:rPr>
        <w:footnoteReference w:id="10"/>
      </w:r>
      <w:r w:rsidRPr="00B23EB6">
        <w:rPr>
          <w:rFonts w:ascii="Times New Roman" w:hAnsi="Times New Roman" w:cs="Times New Roman"/>
          <w:lang w:val="en-US"/>
        </w:rPr>
        <w:t xml:space="preserve"> In the context of shipping, that would mean for example all of the property on board any of the shipowner’s vessels. Instead, the lien on cargo is only on the property under that </w:t>
      </w:r>
      <w:proofErr w:type="gramStart"/>
      <w:r w:rsidRPr="00B23EB6">
        <w:rPr>
          <w:rFonts w:ascii="Times New Roman" w:hAnsi="Times New Roman" w:cs="Times New Roman"/>
          <w:lang w:val="en-US"/>
        </w:rPr>
        <w:t>particular bill</w:t>
      </w:r>
      <w:proofErr w:type="gramEnd"/>
      <w:r w:rsidRPr="00B23EB6">
        <w:rPr>
          <w:rFonts w:ascii="Times New Roman" w:hAnsi="Times New Roman" w:cs="Times New Roman"/>
          <w:lang w:val="en-US"/>
        </w:rPr>
        <w:t xml:space="preserve"> of lading or possibly also other bills of lading on the same ship at the same time. </w:t>
      </w:r>
      <w:r w:rsidR="00640799">
        <w:rPr>
          <w:rFonts w:ascii="Times New Roman" w:hAnsi="Times New Roman" w:cs="Times New Roman"/>
          <w:lang w:val="en-US"/>
        </w:rPr>
        <w:t xml:space="preserve">The roots in possession make the lien on cargo </w:t>
      </w:r>
      <w:proofErr w:type="gramStart"/>
      <w:r w:rsidR="00640799">
        <w:rPr>
          <w:rFonts w:ascii="Times New Roman" w:hAnsi="Times New Roman" w:cs="Times New Roman"/>
          <w:lang w:val="en-US"/>
        </w:rPr>
        <w:t>similar to</w:t>
      </w:r>
      <w:proofErr w:type="gramEnd"/>
      <w:r w:rsidR="00640799">
        <w:rPr>
          <w:rFonts w:ascii="Times New Roman" w:hAnsi="Times New Roman" w:cs="Times New Roman"/>
          <w:lang w:val="en-US"/>
        </w:rPr>
        <w:t xml:space="preserve"> other liens; the tradesman’s lien noted above and liens in connection with storage.</w:t>
      </w:r>
      <w:r w:rsidR="00640799">
        <w:rPr>
          <w:rStyle w:val="FootnoteReference"/>
          <w:rFonts w:ascii="Times New Roman" w:hAnsi="Times New Roman" w:cs="Times New Roman"/>
          <w:bCs/>
        </w:rPr>
        <w:footnoteReference w:id="11"/>
      </w:r>
      <w:r w:rsidR="00640799">
        <w:rPr>
          <w:rFonts w:ascii="Times New Roman" w:hAnsi="Times New Roman" w:cs="Times New Roman"/>
          <w:lang w:val="en-US"/>
        </w:rPr>
        <w:t xml:space="preserve"> However legitimate</w:t>
      </w:r>
      <w:r w:rsidR="007B4537">
        <w:rPr>
          <w:rFonts w:ascii="Times New Roman" w:hAnsi="Times New Roman" w:cs="Times New Roman"/>
          <w:lang w:val="en-US"/>
        </w:rPr>
        <w:t>ly agreed</w:t>
      </w:r>
      <w:r w:rsidR="00640799">
        <w:rPr>
          <w:rFonts w:ascii="Times New Roman" w:hAnsi="Times New Roman" w:cs="Times New Roman"/>
          <w:lang w:val="en-US"/>
        </w:rPr>
        <w:t xml:space="preserve"> possession of another person’s property is hardly unique to shipping. The contractual context provides the precise terms upon which the possession is exercised and what rights it gives the possessor.</w:t>
      </w:r>
    </w:p>
    <w:p w14:paraId="4EB209DC" w14:textId="77777777" w:rsidR="00640799" w:rsidRDefault="00640799" w:rsidP="00640799">
      <w:pPr>
        <w:rPr>
          <w:rFonts w:ascii="Times New Roman" w:hAnsi="Times New Roman" w:cs="Times New Roman"/>
        </w:rPr>
      </w:pPr>
    </w:p>
    <w:p w14:paraId="39F5407F" w14:textId="77777777" w:rsidR="00640799" w:rsidRDefault="00640799" w:rsidP="00640799">
      <w:pPr>
        <w:rPr>
          <w:rFonts w:ascii="Times New Roman" w:hAnsi="Times New Roman" w:cs="Times New Roman"/>
        </w:rPr>
      </w:pPr>
    </w:p>
    <w:p w14:paraId="7F1F71FA" w14:textId="02CD0CF1" w:rsidR="00640799" w:rsidRPr="00640799" w:rsidRDefault="00640799" w:rsidP="00640799">
      <w:pPr>
        <w:rPr>
          <w:rFonts w:ascii="Times New Roman" w:hAnsi="Times New Roman" w:cs="Times New Roman"/>
          <w:b/>
        </w:rPr>
      </w:pPr>
      <w:r w:rsidRPr="00640799">
        <w:rPr>
          <w:rFonts w:ascii="Times New Roman" w:hAnsi="Times New Roman" w:cs="Times New Roman"/>
          <w:b/>
        </w:rPr>
        <w:t>Contract terms</w:t>
      </w:r>
    </w:p>
    <w:p w14:paraId="4ED36FCE" w14:textId="77777777" w:rsidR="00640799" w:rsidRDefault="00640799" w:rsidP="00640799">
      <w:pPr>
        <w:rPr>
          <w:rFonts w:ascii="Times New Roman" w:hAnsi="Times New Roman" w:cs="Times New Roman"/>
        </w:rPr>
      </w:pPr>
    </w:p>
    <w:p w14:paraId="67E8D6FF" w14:textId="50DB2834" w:rsidR="00FF5106" w:rsidRPr="00B23EB6" w:rsidRDefault="00FF5106" w:rsidP="00FF5106">
      <w:pPr>
        <w:rPr>
          <w:rFonts w:ascii="Times New Roman" w:hAnsi="Times New Roman" w:cs="Times New Roman"/>
        </w:rPr>
      </w:pPr>
      <w:r w:rsidRPr="00B23EB6">
        <w:rPr>
          <w:rFonts w:ascii="Times New Roman" w:hAnsi="Times New Roman" w:cs="Times New Roman"/>
        </w:rPr>
        <w:t xml:space="preserve">Although possession is what gives rise to the lien and the opportunity to exercise it, it flows from the common law and usage, but is today usually modified by contract – a </w:t>
      </w:r>
      <w:proofErr w:type="spellStart"/>
      <w:r w:rsidRPr="00B23EB6">
        <w:rPr>
          <w:rFonts w:ascii="Times New Roman" w:hAnsi="Times New Roman" w:cs="Times New Roman"/>
        </w:rPr>
        <w:t>charterparty</w:t>
      </w:r>
      <w:proofErr w:type="spellEnd"/>
      <w:r w:rsidRPr="00B23EB6">
        <w:rPr>
          <w:rFonts w:ascii="Times New Roman" w:hAnsi="Times New Roman" w:cs="Times New Roman"/>
        </w:rPr>
        <w:t>, contract of affreightment or bill of lading. However, although the lien is determined by the contract, the contract relies on the law for enforcement.</w:t>
      </w:r>
      <w:r>
        <w:rPr>
          <w:rFonts w:ascii="Times New Roman" w:hAnsi="Times New Roman" w:cs="Times New Roman"/>
        </w:rPr>
        <w:t xml:space="preserve"> As will be seen, the courts have focused on </w:t>
      </w:r>
      <w:r w:rsidR="007B4537">
        <w:rPr>
          <w:rFonts w:ascii="Times New Roman" w:hAnsi="Times New Roman" w:cs="Times New Roman"/>
        </w:rPr>
        <w:t xml:space="preserve">the </w:t>
      </w:r>
      <w:r>
        <w:rPr>
          <w:rFonts w:ascii="Times New Roman" w:hAnsi="Times New Roman" w:cs="Times New Roman"/>
        </w:rPr>
        <w:t>specificity of the shipping context in resolving cases</w:t>
      </w:r>
      <w:r w:rsidRPr="00B51235">
        <w:rPr>
          <w:rFonts w:ascii="Times New Roman" w:hAnsi="Times New Roman" w:cs="Times New Roman"/>
        </w:rPr>
        <w:t xml:space="preserve"> –</w:t>
      </w:r>
      <w:r>
        <w:rPr>
          <w:rFonts w:ascii="Times New Roman" w:hAnsi="Times New Roman" w:cs="Times New Roman"/>
        </w:rPr>
        <w:t xml:space="preserve"> </w:t>
      </w:r>
      <w:r w:rsidRPr="00B51235">
        <w:rPr>
          <w:rFonts w:ascii="Times New Roman" w:hAnsi="Times New Roman" w:cs="Times New Roman"/>
        </w:rPr>
        <w:t>the terms of th</w:t>
      </w:r>
      <w:r>
        <w:rPr>
          <w:rFonts w:ascii="Times New Roman" w:hAnsi="Times New Roman" w:cs="Times New Roman"/>
        </w:rPr>
        <w:t>e</w:t>
      </w:r>
      <w:r w:rsidRPr="00B51235">
        <w:rPr>
          <w:rFonts w:ascii="Times New Roman" w:hAnsi="Times New Roman" w:cs="Times New Roman"/>
        </w:rPr>
        <w:t xml:space="preserve"> right are idiosyncratic to carriage</w:t>
      </w:r>
      <w:r>
        <w:rPr>
          <w:rFonts w:ascii="Times New Roman" w:hAnsi="Times New Roman" w:cs="Times New Roman"/>
        </w:rPr>
        <w:t>.</w:t>
      </w:r>
    </w:p>
    <w:p w14:paraId="2F2635C0" w14:textId="567ED54C" w:rsidR="00FF5106" w:rsidRDefault="00FF5106" w:rsidP="002F3F5D">
      <w:pPr>
        <w:rPr>
          <w:rFonts w:ascii="Times New Roman" w:hAnsi="Times New Roman" w:cs="Times New Roman"/>
        </w:rPr>
      </w:pPr>
    </w:p>
    <w:p w14:paraId="30A3A7BC" w14:textId="77777777" w:rsidR="007B4537" w:rsidRDefault="00C43EC9" w:rsidP="002F3F5D">
      <w:pPr>
        <w:rPr>
          <w:rFonts w:ascii="Times New Roman" w:hAnsi="Times New Roman" w:cs="Times New Roman"/>
        </w:rPr>
      </w:pPr>
      <w:r>
        <w:rPr>
          <w:rFonts w:ascii="Times New Roman" w:hAnsi="Times New Roman" w:cs="Times New Roman"/>
        </w:rPr>
        <w:t>The contractual effect of the lien means that it can most straightforwardly be exercised between the carrier and the cargo interest, where the carrier is the issuer of the bill of lading and the cargo interest is the holder</w:t>
      </w:r>
      <w:r w:rsidR="00E86C71">
        <w:rPr>
          <w:rFonts w:ascii="Times New Roman" w:hAnsi="Times New Roman" w:cs="Times New Roman"/>
        </w:rPr>
        <w:t xml:space="preserve">. </w:t>
      </w:r>
      <w:r w:rsidR="003B5153">
        <w:rPr>
          <w:rFonts w:ascii="Times New Roman" w:hAnsi="Times New Roman" w:cs="Times New Roman"/>
        </w:rPr>
        <w:t xml:space="preserve">The importance of the carrier is that it is the entity in physical possession of the cargo. </w:t>
      </w:r>
      <w:r w:rsidR="00D1713B">
        <w:rPr>
          <w:rFonts w:ascii="Times New Roman" w:hAnsi="Times New Roman" w:cs="Times New Roman"/>
        </w:rPr>
        <w:t>However, other entities are relevant and a variety of constellations of parties may arise</w:t>
      </w:r>
      <w:r w:rsidR="007B4537">
        <w:rPr>
          <w:rFonts w:ascii="Times New Roman" w:hAnsi="Times New Roman" w:cs="Times New Roman"/>
        </w:rPr>
        <w:t xml:space="preserve"> in the event of a dispute. T</w:t>
      </w:r>
      <w:r w:rsidR="00FE3E8A">
        <w:rPr>
          <w:rFonts w:ascii="Times New Roman" w:hAnsi="Times New Roman" w:cs="Times New Roman"/>
        </w:rPr>
        <w:t xml:space="preserve">he outcome will depend on the </w:t>
      </w:r>
      <w:r w:rsidR="007B4537">
        <w:rPr>
          <w:rFonts w:ascii="Times New Roman" w:hAnsi="Times New Roman" w:cs="Times New Roman"/>
        </w:rPr>
        <w:t xml:space="preserve">relevant </w:t>
      </w:r>
      <w:r w:rsidR="00FE3E8A">
        <w:rPr>
          <w:rFonts w:ascii="Times New Roman" w:hAnsi="Times New Roman" w:cs="Times New Roman"/>
        </w:rPr>
        <w:t>contracts</w:t>
      </w:r>
      <w:r w:rsidR="00D1713B">
        <w:rPr>
          <w:rFonts w:ascii="Times New Roman" w:hAnsi="Times New Roman" w:cs="Times New Roman"/>
        </w:rPr>
        <w:t xml:space="preserve">. </w:t>
      </w:r>
      <w:r w:rsidR="003541E2" w:rsidRPr="00C60DDB">
        <w:rPr>
          <w:rFonts w:ascii="Times New Roman" w:hAnsi="Times New Roman" w:cs="Times New Roman"/>
        </w:rPr>
        <w:t xml:space="preserve">In </w:t>
      </w:r>
      <w:r w:rsidR="003541E2" w:rsidRPr="00C60DDB">
        <w:rPr>
          <w:rFonts w:ascii="Times New Roman" w:hAnsi="Times New Roman" w:cs="Times New Roman"/>
          <w:i/>
        </w:rPr>
        <w:t xml:space="preserve">Five Oceans v </w:t>
      </w:r>
      <w:proofErr w:type="spellStart"/>
      <w:r w:rsidR="003541E2" w:rsidRPr="00C60DDB">
        <w:rPr>
          <w:rFonts w:ascii="Times New Roman" w:hAnsi="Times New Roman" w:cs="Times New Roman"/>
          <w:i/>
        </w:rPr>
        <w:t>Cingler</w:t>
      </w:r>
      <w:proofErr w:type="spellEnd"/>
      <w:r w:rsidR="003541E2" w:rsidRPr="00C60DDB">
        <w:rPr>
          <w:rFonts w:ascii="Times New Roman" w:hAnsi="Times New Roman" w:cs="Times New Roman"/>
        </w:rPr>
        <w:t>,</w:t>
      </w:r>
      <w:r w:rsidR="00C60DDB">
        <w:rPr>
          <w:rStyle w:val="FootnoteReference"/>
          <w:rFonts w:ascii="Times New Roman" w:hAnsi="Times New Roman" w:cs="Times New Roman"/>
        </w:rPr>
        <w:footnoteReference w:id="12"/>
      </w:r>
      <w:r w:rsidR="003541E2" w:rsidRPr="00C60DDB">
        <w:rPr>
          <w:rFonts w:ascii="Times New Roman" w:hAnsi="Times New Roman" w:cs="Times New Roman"/>
          <w:i/>
        </w:rPr>
        <w:t xml:space="preserve"> </w:t>
      </w:r>
      <w:r w:rsidR="003541E2">
        <w:rPr>
          <w:rFonts w:ascii="Times New Roman" w:hAnsi="Times New Roman" w:cs="Times New Roman"/>
        </w:rPr>
        <w:t xml:space="preserve">the </w:t>
      </w:r>
      <w:r w:rsidR="00C60DDB">
        <w:rPr>
          <w:rFonts w:ascii="Times New Roman" w:hAnsi="Times New Roman" w:cs="Times New Roman"/>
        </w:rPr>
        <w:t xml:space="preserve">time charterer sued its voyage charterer seeking to exercise a contractual lien for freight and detention costs over cargo belonging to a sub-voyage charterer with whom it had no contract, and who was also the shipper and bill of lading holder. </w:t>
      </w:r>
      <w:r w:rsidR="00593B97">
        <w:rPr>
          <w:rFonts w:ascii="Times New Roman" w:hAnsi="Times New Roman" w:cs="Times New Roman"/>
        </w:rPr>
        <w:t xml:space="preserve">The bills of lading had been issued by the Master for the shipowner. </w:t>
      </w:r>
      <w:r w:rsidR="00C60DDB">
        <w:rPr>
          <w:rFonts w:ascii="Times New Roman" w:hAnsi="Times New Roman" w:cs="Times New Roman"/>
        </w:rPr>
        <w:t xml:space="preserve">The sub-voyage charterer intervened in proceedings to assert that the bill of lading incorporated the time </w:t>
      </w:r>
      <w:proofErr w:type="spellStart"/>
      <w:r w:rsidR="00C60DDB">
        <w:rPr>
          <w:rFonts w:ascii="Times New Roman" w:hAnsi="Times New Roman" w:cs="Times New Roman"/>
        </w:rPr>
        <w:t>charterparty</w:t>
      </w:r>
      <w:proofErr w:type="spellEnd"/>
      <w:r w:rsidR="00C60DDB">
        <w:rPr>
          <w:rFonts w:ascii="Times New Roman" w:hAnsi="Times New Roman" w:cs="Times New Roman"/>
        </w:rPr>
        <w:t xml:space="preserve"> and that the time charterer therefore did not have any </w:t>
      </w:r>
      <w:r w:rsidR="00593B97">
        <w:rPr>
          <w:rFonts w:ascii="Times New Roman" w:hAnsi="Times New Roman" w:cs="Times New Roman"/>
        </w:rPr>
        <w:t>lien over the cargo</w:t>
      </w:r>
      <w:r w:rsidR="00C60DDB">
        <w:rPr>
          <w:rFonts w:ascii="Times New Roman" w:hAnsi="Times New Roman" w:cs="Times New Roman"/>
        </w:rPr>
        <w:t xml:space="preserve">. </w:t>
      </w:r>
      <w:r w:rsidR="00593B97">
        <w:rPr>
          <w:rFonts w:ascii="Times New Roman" w:hAnsi="Times New Roman" w:cs="Times New Roman"/>
        </w:rPr>
        <w:t xml:space="preserve">Although the position is usually that the head voyage charter is incorporated into the bills of lading, the bill of lading holder did have some evidence for its </w:t>
      </w:r>
      <w:r w:rsidR="007B4537">
        <w:rPr>
          <w:rFonts w:ascii="Times New Roman" w:hAnsi="Times New Roman" w:cs="Times New Roman"/>
        </w:rPr>
        <w:t xml:space="preserve">asserted </w:t>
      </w:r>
      <w:r w:rsidR="00593B97">
        <w:rPr>
          <w:rFonts w:ascii="Times New Roman" w:hAnsi="Times New Roman" w:cs="Times New Roman"/>
        </w:rPr>
        <w:t xml:space="preserve">position that it was the time </w:t>
      </w:r>
      <w:proofErr w:type="spellStart"/>
      <w:r w:rsidR="00593B97">
        <w:rPr>
          <w:rFonts w:ascii="Times New Roman" w:hAnsi="Times New Roman" w:cs="Times New Roman"/>
        </w:rPr>
        <w:t>charterparty</w:t>
      </w:r>
      <w:proofErr w:type="spellEnd"/>
      <w:r w:rsidR="00593B97">
        <w:rPr>
          <w:rFonts w:ascii="Times New Roman" w:hAnsi="Times New Roman" w:cs="Times New Roman"/>
        </w:rPr>
        <w:t xml:space="preserve"> in this case. </w:t>
      </w:r>
      <w:r w:rsidR="00C60DDB">
        <w:rPr>
          <w:rFonts w:ascii="Times New Roman" w:hAnsi="Times New Roman" w:cs="Times New Roman"/>
        </w:rPr>
        <w:t xml:space="preserve">The question became one of legal machinery – which of the </w:t>
      </w:r>
      <w:proofErr w:type="spellStart"/>
      <w:r w:rsidR="00C60DDB">
        <w:rPr>
          <w:rFonts w:ascii="Times New Roman" w:hAnsi="Times New Roman" w:cs="Times New Roman"/>
        </w:rPr>
        <w:t>charterparties</w:t>
      </w:r>
      <w:proofErr w:type="spellEnd"/>
      <w:r w:rsidR="00C60DDB">
        <w:rPr>
          <w:rFonts w:ascii="Times New Roman" w:hAnsi="Times New Roman" w:cs="Times New Roman"/>
        </w:rPr>
        <w:t xml:space="preserve"> had the parties incorporated into the bill of lading representing the cargo? </w:t>
      </w:r>
      <w:r w:rsidR="003A671E">
        <w:rPr>
          <w:rFonts w:ascii="Times New Roman" w:hAnsi="Times New Roman" w:cs="Times New Roman"/>
        </w:rPr>
        <w:t xml:space="preserve">If it was the head voyage </w:t>
      </w:r>
      <w:proofErr w:type="spellStart"/>
      <w:r w:rsidR="003A671E">
        <w:rPr>
          <w:rFonts w:ascii="Times New Roman" w:hAnsi="Times New Roman" w:cs="Times New Roman"/>
        </w:rPr>
        <w:t>charterparty</w:t>
      </w:r>
      <w:proofErr w:type="spellEnd"/>
      <w:r w:rsidR="003A671E">
        <w:rPr>
          <w:rFonts w:ascii="Times New Roman" w:hAnsi="Times New Roman" w:cs="Times New Roman"/>
        </w:rPr>
        <w:t xml:space="preserve">, the lien clause in that </w:t>
      </w:r>
      <w:proofErr w:type="spellStart"/>
      <w:r w:rsidR="003A671E">
        <w:rPr>
          <w:rFonts w:ascii="Times New Roman" w:hAnsi="Times New Roman" w:cs="Times New Roman"/>
        </w:rPr>
        <w:t>charterparty</w:t>
      </w:r>
      <w:proofErr w:type="spellEnd"/>
      <w:r w:rsidR="003A671E">
        <w:rPr>
          <w:rFonts w:ascii="Times New Roman" w:hAnsi="Times New Roman" w:cs="Times New Roman"/>
        </w:rPr>
        <w:t xml:space="preserve"> would be a term of the bill of lading.</w:t>
      </w:r>
      <w:r w:rsidR="005E4458">
        <w:rPr>
          <w:rFonts w:ascii="Times New Roman" w:hAnsi="Times New Roman" w:cs="Times New Roman"/>
        </w:rPr>
        <w:t xml:space="preserve"> </w:t>
      </w:r>
    </w:p>
    <w:p w14:paraId="2972F6BC" w14:textId="77777777" w:rsidR="007B4537" w:rsidRDefault="007B4537" w:rsidP="002F3F5D">
      <w:pPr>
        <w:rPr>
          <w:rFonts w:ascii="Times New Roman" w:hAnsi="Times New Roman" w:cs="Times New Roman"/>
        </w:rPr>
      </w:pPr>
    </w:p>
    <w:p w14:paraId="6EFE7662" w14:textId="3E026CBF" w:rsidR="00C60DDB" w:rsidRDefault="005E4458" w:rsidP="002F3F5D">
      <w:pPr>
        <w:rPr>
          <w:rFonts w:ascii="Times New Roman" w:hAnsi="Times New Roman" w:cs="Times New Roman"/>
        </w:rPr>
      </w:pPr>
      <w:r>
        <w:rPr>
          <w:rFonts w:ascii="Times New Roman" w:hAnsi="Times New Roman" w:cs="Times New Roman"/>
        </w:rPr>
        <w:t xml:space="preserve">The judge held that it was. The shipowner had in the time </w:t>
      </w:r>
      <w:proofErr w:type="spellStart"/>
      <w:r>
        <w:rPr>
          <w:rFonts w:ascii="Times New Roman" w:hAnsi="Times New Roman" w:cs="Times New Roman"/>
        </w:rPr>
        <w:t>charterparty</w:t>
      </w:r>
      <w:proofErr w:type="spellEnd"/>
      <w:r>
        <w:rPr>
          <w:rFonts w:ascii="Times New Roman" w:hAnsi="Times New Roman" w:cs="Times New Roman"/>
        </w:rPr>
        <w:t xml:space="preserve"> committed the Master to si</w:t>
      </w:r>
      <w:r w:rsidR="007B4537">
        <w:rPr>
          <w:rFonts w:ascii="Times New Roman" w:hAnsi="Times New Roman" w:cs="Times New Roman"/>
        </w:rPr>
        <w:t>gn</w:t>
      </w:r>
      <w:r>
        <w:rPr>
          <w:rFonts w:ascii="Times New Roman" w:hAnsi="Times New Roman" w:cs="Times New Roman"/>
        </w:rPr>
        <w:t xml:space="preserve">ing only bills of lading on the </w:t>
      </w:r>
      <w:proofErr w:type="spellStart"/>
      <w:r>
        <w:rPr>
          <w:rFonts w:ascii="Times New Roman" w:hAnsi="Times New Roman" w:cs="Times New Roman"/>
        </w:rPr>
        <w:t>Congenbill</w:t>
      </w:r>
      <w:proofErr w:type="spellEnd"/>
      <w:r>
        <w:rPr>
          <w:rFonts w:ascii="Times New Roman" w:hAnsi="Times New Roman" w:cs="Times New Roman"/>
        </w:rPr>
        <w:t xml:space="preserve"> 1994 form, which must mean that the time </w:t>
      </w:r>
      <w:proofErr w:type="spellStart"/>
      <w:r>
        <w:rPr>
          <w:rFonts w:ascii="Times New Roman" w:hAnsi="Times New Roman" w:cs="Times New Roman"/>
        </w:rPr>
        <w:t>charterparty</w:t>
      </w:r>
      <w:proofErr w:type="spellEnd"/>
      <w:r>
        <w:rPr>
          <w:rFonts w:ascii="Times New Roman" w:hAnsi="Times New Roman" w:cs="Times New Roman"/>
        </w:rPr>
        <w:t xml:space="preserve"> contemplated the existence of a </w:t>
      </w:r>
      <w:proofErr w:type="spellStart"/>
      <w:r>
        <w:rPr>
          <w:rFonts w:ascii="Times New Roman" w:hAnsi="Times New Roman" w:cs="Times New Roman"/>
        </w:rPr>
        <w:t>Gencon</w:t>
      </w:r>
      <w:proofErr w:type="spellEnd"/>
      <w:r>
        <w:rPr>
          <w:rFonts w:ascii="Times New Roman" w:hAnsi="Times New Roman" w:cs="Times New Roman"/>
        </w:rPr>
        <w:t xml:space="preserve"> form </w:t>
      </w:r>
      <w:proofErr w:type="spellStart"/>
      <w:r>
        <w:rPr>
          <w:rFonts w:ascii="Times New Roman" w:hAnsi="Times New Roman" w:cs="Times New Roman"/>
        </w:rPr>
        <w:t>charterparty</w:t>
      </w:r>
      <w:proofErr w:type="spellEnd"/>
      <w:r>
        <w:rPr>
          <w:rFonts w:ascii="Times New Roman" w:hAnsi="Times New Roman" w:cs="Times New Roman"/>
        </w:rPr>
        <w:t xml:space="preserve"> capable of incorporation in the bills of lading</w:t>
      </w:r>
      <w:r w:rsidR="00502CC6">
        <w:rPr>
          <w:rFonts w:ascii="Times New Roman" w:hAnsi="Times New Roman" w:cs="Times New Roman"/>
        </w:rPr>
        <w:t xml:space="preserve"> and being the subject of their reference to ‘freight’</w:t>
      </w:r>
      <w:r>
        <w:rPr>
          <w:rFonts w:ascii="Times New Roman" w:hAnsi="Times New Roman" w:cs="Times New Roman"/>
        </w:rPr>
        <w:t>.</w:t>
      </w:r>
      <w:r w:rsidR="009051BE">
        <w:rPr>
          <w:rStyle w:val="FootnoteReference"/>
          <w:rFonts w:ascii="Times New Roman" w:hAnsi="Times New Roman" w:cs="Times New Roman"/>
        </w:rPr>
        <w:footnoteReference w:id="13"/>
      </w:r>
      <w:r w:rsidR="00FE3E8A">
        <w:rPr>
          <w:rFonts w:ascii="Times New Roman" w:hAnsi="Times New Roman" w:cs="Times New Roman"/>
        </w:rPr>
        <w:t xml:space="preserve"> </w:t>
      </w:r>
      <w:r w:rsidR="000A6AAB">
        <w:rPr>
          <w:rFonts w:ascii="Times New Roman" w:hAnsi="Times New Roman" w:cs="Times New Roman"/>
        </w:rPr>
        <w:lastRenderedPageBreak/>
        <w:t xml:space="preserve">Accordingly, the </w:t>
      </w:r>
      <w:proofErr w:type="spellStart"/>
      <w:r w:rsidR="000A6AAB">
        <w:rPr>
          <w:rFonts w:ascii="Times New Roman" w:hAnsi="Times New Roman" w:cs="Times New Roman"/>
        </w:rPr>
        <w:t>Gencon</w:t>
      </w:r>
      <w:proofErr w:type="spellEnd"/>
      <w:r w:rsidR="000A6AAB">
        <w:rPr>
          <w:rFonts w:ascii="Times New Roman" w:hAnsi="Times New Roman" w:cs="Times New Roman"/>
        </w:rPr>
        <w:t xml:space="preserve">-based voyage </w:t>
      </w:r>
      <w:proofErr w:type="spellStart"/>
      <w:r w:rsidR="000A6AAB">
        <w:rPr>
          <w:rFonts w:ascii="Times New Roman" w:hAnsi="Times New Roman" w:cs="Times New Roman"/>
        </w:rPr>
        <w:t>charterparty</w:t>
      </w:r>
      <w:proofErr w:type="spellEnd"/>
      <w:r w:rsidR="000A6AAB">
        <w:rPr>
          <w:rFonts w:ascii="Times New Roman" w:hAnsi="Times New Roman" w:cs="Times New Roman"/>
        </w:rPr>
        <w:t xml:space="preserve"> was incorporated and the carrier had a lien over the cargo. However, although this was what the time charterer had argued for, its position was not helped. The judge went on to note that the ship owner is still the entity in possession of the cargo, so that the most the time charterer could do</w:t>
      </w:r>
      <w:r w:rsidR="00EF05BD">
        <w:rPr>
          <w:rStyle w:val="FootnoteReference"/>
          <w:rFonts w:ascii="Times New Roman" w:hAnsi="Times New Roman" w:cs="Times New Roman"/>
        </w:rPr>
        <w:footnoteReference w:id="14"/>
      </w:r>
      <w:r w:rsidR="000A6AAB">
        <w:rPr>
          <w:rFonts w:ascii="Times New Roman" w:hAnsi="Times New Roman" w:cs="Times New Roman"/>
        </w:rPr>
        <w:t xml:space="preserve"> was to instruct the owner not to discharge the cargo. This did not amount to a lien</w:t>
      </w:r>
      <w:r w:rsidR="007E3765">
        <w:rPr>
          <w:rFonts w:ascii="Times New Roman" w:hAnsi="Times New Roman" w:cs="Times New Roman"/>
        </w:rPr>
        <w:t>;</w:t>
      </w:r>
      <w:r w:rsidR="00AC6ACF">
        <w:rPr>
          <w:rStyle w:val="FootnoteReference"/>
          <w:rFonts w:ascii="Times New Roman" w:hAnsi="Times New Roman" w:cs="Times New Roman"/>
        </w:rPr>
        <w:footnoteReference w:id="15"/>
      </w:r>
      <w:r w:rsidR="000A6AAB">
        <w:rPr>
          <w:rFonts w:ascii="Times New Roman" w:hAnsi="Times New Roman" w:cs="Times New Roman"/>
        </w:rPr>
        <w:t xml:space="preserve"> </w:t>
      </w:r>
      <w:r w:rsidR="007E3765">
        <w:rPr>
          <w:rFonts w:ascii="Times New Roman" w:hAnsi="Times New Roman" w:cs="Times New Roman"/>
        </w:rPr>
        <w:t>nor did it presuppose that the shipowner was in fact owed any sums.</w:t>
      </w:r>
      <w:r w:rsidR="007E3765">
        <w:rPr>
          <w:rStyle w:val="FootnoteReference"/>
          <w:rFonts w:ascii="Times New Roman" w:hAnsi="Times New Roman" w:cs="Times New Roman"/>
        </w:rPr>
        <w:footnoteReference w:id="16"/>
      </w:r>
      <w:r w:rsidR="007E3765">
        <w:rPr>
          <w:rFonts w:ascii="Times New Roman" w:hAnsi="Times New Roman" w:cs="Times New Roman"/>
        </w:rPr>
        <w:t xml:space="preserve"> </w:t>
      </w:r>
      <w:r w:rsidR="002E7C08">
        <w:rPr>
          <w:rFonts w:ascii="Times New Roman" w:hAnsi="Times New Roman" w:cs="Times New Roman"/>
        </w:rPr>
        <w:t xml:space="preserve">It would </w:t>
      </w:r>
      <w:r w:rsidR="00F73FCA">
        <w:rPr>
          <w:rFonts w:ascii="Times New Roman" w:hAnsi="Times New Roman" w:cs="Times New Roman"/>
        </w:rPr>
        <w:t xml:space="preserve">exercise the rights as trustee of the time charterer and the time charterer would be vested with </w:t>
      </w:r>
      <w:r w:rsidR="00F73FCA" w:rsidRPr="00F73FCA">
        <w:rPr>
          <w:rFonts w:ascii="Times New Roman" w:hAnsi="Times New Roman" w:cs="Times New Roman"/>
        </w:rPr>
        <w:t xml:space="preserve">an equitable right in the benefit of the security in the </w:t>
      </w:r>
      <w:r w:rsidR="00F73FCA">
        <w:rPr>
          <w:rFonts w:ascii="Times New Roman" w:hAnsi="Times New Roman" w:cs="Times New Roman"/>
        </w:rPr>
        <w:t>c</w:t>
      </w:r>
      <w:r w:rsidR="00F73FCA" w:rsidRPr="00F73FCA">
        <w:rPr>
          <w:rFonts w:ascii="Times New Roman" w:hAnsi="Times New Roman" w:cs="Times New Roman"/>
        </w:rPr>
        <w:t>argo</w:t>
      </w:r>
      <w:r w:rsidR="00F73FCA">
        <w:rPr>
          <w:rFonts w:ascii="Times New Roman" w:hAnsi="Times New Roman" w:cs="Times New Roman"/>
        </w:rPr>
        <w:t>.</w:t>
      </w:r>
      <w:r w:rsidR="00F73FCA">
        <w:rPr>
          <w:rStyle w:val="FootnoteReference"/>
          <w:rFonts w:ascii="Times New Roman" w:hAnsi="Times New Roman" w:cs="Times New Roman"/>
        </w:rPr>
        <w:footnoteReference w:id="17"/>
      </w:r>
      <w:r w:rsidR="00F73FCA">
        <w:rPr>
          <w:rFonts w:ascii="Times New Roman" w:hAnsi="Times New Roman" w:cs="Times New Roman"/>
        </w:rPr>
        <w:t xml:space="preserve"> </w:t>
      </w:r>
      <w:r w:rsidR="000A6AAB">
        <w:rPr>
          <w:rFonts w:ascii="Times New Roman" w:hAnsi="Times New Roman" w:cs="Times New Roman"/>
        </w:rPr>
        <w:t>Presumably, where a time charterer has issued the bills, the effect is the same.</w:t>
      </w:r>
    </w:p>
    <w:p w14:paraId="559E7621" w14:textId="77777777" w:rsidR="00C43EC9" w:rsidRPr="00B51235" w:rsidRDefault="00C43EC9" w:rsidP="002F3F5D">
      <w:pPr>
        <w:rPr>
          <w:rFonts w:ascii="Times New Roman" w:hAnsi="Times New Roman" w:cs="Times New Roman"/>
        </w:rPr>
      </w:pPr>
    </w:p>
    <w:p w14:paraId="14745D27" w14:textId="77777777" w:rsidR="007B4537" w:rsidRDefault="00FB577F" w:rsidP="001E527B">
      <w:pPr>
        <w:rPr>
          <w:rFonts w:ascii="Times New Roman" w:hAnsi="Times New Roman" w:cs="Times New Roman"/>
        </w:rPr>
      </w:pPr>
      <w:r>
        <w:rPr>
          <w:rFonts w:ascii="Times New Roman" w:hAnsi="Times New Roman" w:cs="Times New Roman"/>
        </w:rPr>
        <w:t>As can be seen, t</w:t>
      </w:r>
      <w:r w:rsidR="00B919EA" w:rsidRPr="00B51235">
        <w:rPr>
          <w:rFonts w:ascii="Times New Roman" w:hAnsi="Times New Roman" w:cs="Times New Roman"/>
        </w:rPr>
        <w:t>he u</w:t>
      </w:r>
      <w:r w:rsidR="002F3F5D" w:rsidRPr="00B51235">
        <w:rPr>
          <w:rFonts w:ascii="Times New Roman" w:hAnsi="Times New Roman" w:cs="Times New Roman"/>
        </w:rPr>
        <w:t xml:space="preserve">sefulness of </w:t>
      </w:r>
      <w:r w:rsidR="00B919EA" w:rsidRPr="00B51235">
        <w:rPr>
          <w:rFonts w:ascii="Times New Roman" w:hAnsi="Times New Roman" w:cs="Times New Roman"/>
        </w:rPr>
        <w:t xml:space="preserve">a </w:t>
      </w:r>
      <w:r w:rsidR="002F3F5D" w:rsidRPr="00B51235">
        <w:rPr>
          <w:rFonts w:ascii="Times New Roman" w:hAnsi="Times New Roman" w:cs="Times New Roman"/>
        </w:rPr>
        <w:t xml:space="preserve">possessory lien depends </w:t>
      </w:r>
      <w:r w:rsidR="007B4537">
        <w:rPr>
          <w:rFonts w:ascii="Times New Roman" w:hAnsi="Times New Roman" w:cs="Times New Roman"/>
        </w:rPr>
        <w:t xml:space="preserve">almost entirely </w:t>
      </w:r>
      <w:r w:rsidR="002F3F5D" w:rsidRPr="00B51235">
        <w:rPr>
          <w:rFonts w:ascii="Times New Roman" w:hAnsi="Times New Roman" w:cs="Times New Roman"/>
        </w:rPr>
        <w:t xml:space="preserve">on having </w:t>
      </w:r>
      <w:r w:rsidR="00B919EA" w:rsidRPr="00B51235">
        <w:rPr>
          <w:rFonts w:ascii="Times New Roman" w:hAnsi="Times New Roman" w:cs="Times New Roman"/>
        </w:rPr>
        <w:t xml:space="preserve">possession of the </w:t>
      </w:r>
      <w:proofErr w:type="gramStart"/>
      <w:r w:rsidR="00B919EA" w:rsidRPr="00B51235">
        <w:rPr>
          <w:rFonts w:ascii="Times New Roman" w:hAnsi="Times New Roman" w:cs="Times New Roman"/>
        </w:rPr>
        <w:t>object</w:t>
      </w:r>
      <w:r w:rsidR="007B4537">
        <w:rPr>
          <w:rFonts w:ascii="Times New Roman" w:hAnsi="Times New Roman" w:cs="Times New Roman"/>
        </w:rPr>
        <w:t>, or</w:t>
      </w:r>
      <w:proofErr w:type="gramEnd"/>
      <w:r w:rsidR="007B4537">
        <w:rPr>
          <w:rFonts w:ascii="Times New Roman" w:hAnsi="Times New Roman" w:cs="Times New Roman"/>
        </w:rPr>
        <w:t xml:space="preserve"> having the ear of the entity that does</w:t>
      </w:r>
      <w:r>
        <w:rPr>
          <w:rFonts w:ascii="Times New Roman" w:hAnsi="Times New Roman" w:cs="Times New Roman"/>
        </w:rPr>
        <w:t xml:space="preserve">. It follows that </w:t>
      </w:r>
      <w:r w:rsidR="002F3F5D" w:rsidRPr="00B51235">
        <w:rPr>
          <w:rFonts w:ascii="Times New Roman" w:hAnsi="Times New Roman" w:cs="Times New Roman"/>
        </w:rPr>
        <w:t xml:space="preserve">there is no right to retake possession of something that’s been released, and if the object is without value to the owner or </w:t>
      </w:r>
      <w:r w:rsidR="00B919EA" w:rsidRPr="00B51235">
        <w:rPr>
          <w:rFonts w:ascii="Times New Roman" w:hAnsi="Times New Roman" w:cs="Times New Roman"/>
        </w:rPr>
        <w:t xml:space="preserve">lacks a resale value in the marketplace, </w:t>
      </w:r>
      <w:r w:rsidR="002F3F5D" w:rsidRPr="00B51235">
        <w:rPr>
          <w:rFonts w:ascii="Times New Roman" w:hAnsi="Times New Roman" w:cs="Times New Roman"/>
        </w:rPr>
        <w:t>the lien is not useful.</w:t>
      </w:r>
      <w:r w:rsidR="001E527B">
        <w:rPr>
          <w:rFonts w:ascii="Times New Roman" w:hAnsi="Times New Roman" w:cs="Times New Roman"/>
        </w:rPr>
        <w:t xml:space="preserve"> </w:t>
      </w:r>
      <w:r w:rsidR="00D85E20">
        <w:rPr>
          <w:rFonts w:ascii="Times New Roman" w:hAnsi="Times New Roman" w:cs="Times New Roman"/>
        </w:rPr>
        <w:t>Release of the object is particularly important in the shipping context: w</w:t>
      </w:r>
      <w:r w:rsidR="001E527B" w:rsidRPr="00B51235">
        <w:rPr>
          <w:rFonts w:ascii="Times New Roman" w:hAnsi="Times New Roman" w:cs="Times New Roman"/>
        </w:rPr>
        <w:t xml:space="preserve">here the parties have the same port agent, does release to that agent mean that the carrier has given up possession for the purpose of the lien on freight? </w:t>
      </w:r>
      <w:r w:rsidR="001E527B">
        <w:rPr>
          <w:rFonts w:ascii="Times New Roman" w:hAnsi="Times New Roman" w:cs="Times New Roman"/>
        </w:rPr>
        <w:t>I</w:t>
      </w:r>
      <w:r w:rsidR="001E527B" w:rsidRPr="00B51235">
        <w:rPr>
          <w:rFonts w:ascii="Times New Roman" w:hAnsi="Times New Roman" w:cs="Times New Roman"/>
        </w:rPr>
        <w:t xml:space="preserve">t almost certainly does, </w:t>
      </w:r>
      <w:r w:rsidR="001E527B">
        <w:rPr>
          <w:rFonts w:ascii="Times New Roman" w:hAnsi="Times New Roman" w:cs="Times New Roman"/>
        </w:rPr>
        <w:t xml:space="preserve">with the result that </w:t>
      </w:r>
      <w:r w:rsidR="001E527B" w:rsidRPr="00B51235">
        <w:rPr>
          <w:rFonts w:ascii="Times New Roman" w:hAnsi="Times New Roman" w:cs="Times New Roman"/>
        </w:rPr>
        <w:t xml:space="preserve">the carrier </w:t>
      </w:r>
      <w:r w:rsidR="001E527B">
        <w:rPr>
          <w:rFonts w:ascii="Times New Roman" w:hAnsi="Times New Roman" w:cs="Times New Roman"/>
        </w:rPr>
        <w:t xml:space="preserve">henceforth </w:t>
      </w:r>
      <w:r w:rsidR="001E527B" w:rsidRPr="00B51235">
        <w:rPr>
          <w:rFonts w:ascii="Times New Roman" w:hAnsi="Times New Roman" w:cs="Times New Roman"/>
        </w:rPr>
        <w:t>cannot recover freight or even storage</w:t>
      </w:r>
      <w:r w:rsidR="00BB1B38">
        <w:rPr>
          <w:rFonts w:ascii="Times New Roman" w:hAnsi="Times New Roman" w:cs="Times New Roman"/>
        </w:rPr>
        <w:t xml:space="preserve"> costs</w:t>
      </w:r>
      <w:r w:rsidR="00D85E20">
        <w:rPr>
          <w:rFonts w:ascii="Times New Roman" w:hAnsi="Times New Roman" w:cs="Times New Roman"/>
        </w:rPr>
        <w:t xml:space="preserve"> through use of the lien</w:t>
      </w:r>
      <w:r w:rsidR="001E527B" w:rsidRPr="00B51235">
        <w:rPr>
          <w:rFonts w:ascii="Times New Roman" w:hAnsi="Times New Roman" w:cs="Times New Roman"/>
        </w:rPr>
        <w:t>.</w:t>
      </w:r>
      <w:r w:rsidR="001E527B">
        <w:rPr>
          <w:rFonts w:ascii="Times New Roman" w:hAnsi="Times New Roman" w:cs="Times New Roman"/>
        </w:rPr>
        <w:t xml:space="preserve"> </w:t>
      </w:r>
      <w:r w:rsidR="00BB1B38">
        <w:rPr>
          <w:rFonts w:ascii="Times New Roman" w:hAnsi="Times New Roman" w:cs="Times New Roman"/>
        </w:rPr>
        <w:t>In such cases, a</w:t>
      </w:r>
      <w:r w:rsidR="001E527B">
        <w:rPr>
          <w:rFonts w:ascii="Times New Roman" w:hAnsi="Times New Roman" w:cs="Times New Roman"/>
        </w:rPr>
        <w:t xml:space="preserve"> letter of indemnity </w:t>
      </w:r>
      <w:r w:rsidR="00D85E20">
        <w:rPr>
          <w:rFonts w:ascii="Times New Roman" w:hAnsi="Times New Roman" w:cs="Times New Roman"/>
        </w:rPr>
        <w:t xml:space="preserve">will </w:t>
      </w:r>
      <w:r w:rsidR="001E527B">
        <w:rPr>
          <w:rFonts w:ascii="Times New Roman" w:hAnsi="Times New Roman" w:cs="Times New Roman"/>
        </w:rPr>
        <w:t xml:space="preserve">shield the carrier against the risk of </w:t>
      </w:r>
      <w:proofErr w:type="spellStart"/>
      <w:r w:rsidR="001E527B">
        <w:rPr>
          <w:rFonts w:ascii="Times New Roman" w:hAnsi="Times New Roman" w:cs="Times New Roman"/>
        </w:rPr>
        <w:t>misdelivery</w:t>
      </w:r>
      <w:proofErr w:type="spellEnd"/>
      <w:r w:rsidR="001E527B">
        <w:rPr>
          <w:rFonts w:ascii="Times New Roman" w:hAnsi="Times New Roman" w:cs="Times New Roman"/>
        </w:rPr>
        <w:t xml:space="preserve"> of the cargo </w:t>
      </w:r>
      <w:proofErr w:type="gramStart"/>
      <w:r w:rsidR="001E527B">
        <w:rPr>
          <w:rFonts w:ascii="Times New Roman" w:hAnsi="Times New Roman" w:cs="Times New Roman"/>
        </w:rPr>
        <w:t>itself, but</w:t>
      </w:r>
      <w:proofErr w:type="gramEnd"/>
      <w:r w:rsidR="001E527B">
        <w:rPr>
          <w:rFonts w:ascii="Times New Roman" w:hAnsi="Times New Roman" w:cs="Times New Roman"/>
        </w:rPr>
        <w:t xml:space="preserve"> provides no guarantee that unpaid freight will be paid. In </w:t>
      </w:r>
      <w:proofErr w:type="gramStart"/>
      <w:r w:rsidR="001E527B" w:rsidRPr="000B0CB6">
        <w:rPr>
          <w:rFonts w:ascii="Times New Roman" w:hAnsi="Times New Roman" w:cs="Times New Roman"/>
          <w:i/>
        </w:rPr>
        <w:t>The</w:t>
      </w:r>
      <w:proofErr w:type="gramEnd"/>
      <w:r w:rsidR="001E527B" w:rsidRPr="000B0CB6">
        <w:rPr>
          <w:rFonts w:ascii="Times New Roman" w:hAnsi="Times New Roman" w:cs="Times New Roman"/>
          <w:i/>
        </w:rPr>
        <w:t xml:space="preserve"> Zagora</w:t>
      </w:r>
      <w:r w:rsidR="001E527B">
        <w:rPr>
          <w:rFonts w:ascii="Times New Roman" w:hAnsi="Times New Roman" w:cs="Times New Roman"/>
        </w:rPr>
        <w:t>,</w:t>
      </w:r>
      <w:r w:rsidR="001E527B">
        <w:rPr>
          <w:rStyle w:val="FootnoteReference"/>
          <w:rFonts w:ascii="Times New Roman" w:hAnsi="Times New Roman" w:cs="Times New Roman"/>
        </w:rPr>
        <w:footnoteReference w:id="18"/>
      </w:r>
      <w:r w:rsidR="001E527B">
        <w:rPr>
          <w:rFonts w:ascii="Times New Roman" w:hAnsi="Times New Roman" w:cs="Times New Roman"/>
        </w:rPr>
        <w:t xml:space="preserve"> the carrier and an intermediate buyer of the cargo had used the same port agents, who duly forwarded the cargo to its destination with the result that sellers went unpaid. T</w:t>
      </w:r>
      <w:r w:rsidR="001E527B" w:rsidRPr="005567B5">
        <w:rPr>
          <w:rFonts w:ascii="Times New Roman" w:hAnsi="Times New Roman" w:cs="Times New Roman"/>
        </w:rPr>
        <w:t>he judge observed that delivery to the agent as agent for the carrier would have served no purpose</w:t>
      </w:r>
      <w:r w:rsidR="007B4537">
        <w:rPr>
          <w:rFonts w:ascii="Times New Roman" w:hAnsi="Times New Roman" w:cs="Times New Roman"/>
        </w:rPr>
        <w:t xml:space="preserve">. </w:t>
      </w:r>
    </w:p>
    <w:p w14:paraId="0BB55930" w14:textId="77777777" w:rsidR="007B4537" w:rsidRDefault="007B4537" w:rsidP="001E527B">
      <w:pPr>
        <w:rPr>
          <w:rFonts w:ascii="Times New Roman" w:hAnsi="Times New Roman" w:cs="Times New Roman"/>
        </w:rPr>
      </w:pPr>
    </w:p>
    <w:p w14:paraId="1DFA4842" w14:textId="25E42A27" w:rsidR="001E527B" w:rsidRPr="00B51235" w:rsidRDefault="007B4537" w:rsidP="001E527B">
      <w:pPr>
        <w:rPr>
          <w:rFonts w:ascii="Times New Roman" w:hAnsi="Times New Roman" w:cs="Times New Roman"/>
        </w:rPr>
      </w:pPr>
      <w:r>
        <w:rPr>
          <w:rFonts w:ascii="Times New Roman" w:hAnsi="Times New Roman" w:cs="Times New Roman"/>
        </w:rPr>
        <w:t xml:space="preserve">This is </w:t>
      </w:r>
      <w:r w:rsidR="001E527B" w:rsidRPr="005567B5">
        <w:rPr>
          <w:rFonts w:ascii="Times New Roman" w:hAnsi="Times New Roman" w:cs="Times New Roman"/>
        </w:rPr>
        <w:t xml:space="preserve">an observation which is true in a context where </w:t>
      </w:r>
      <w:r w:rsidR="001E527B">
        <w:rPr>
          <w:rFonts w:ascii="Times New Roman" w:hAnsi="Times New Roman" w:cs="Times New Roman"/>
        </w:rPr>
        <w:t xml:space="preserve">– as here – </w:t>
      </w:r>
      <w:r w:rsidR="001E527B" w:rsidRPr="005567B5">
        <w:rPr>
          <w:rFonts w:ascii="Times New Roman" w:hAnsi="Times New Roman" w:cs="Times New Roman"/>
        </w:rPr>
        <w:t>a letter of indemnity had been provided</w:t>
      </w:r>
      <w:r w:rsidR="001E527B">
        <w:rPr>
          <w:rFonts w:ascii="Times New Roman" w:hAnsi="Times New Roman" w:cs="Times New Roman"/>
        </w:rPr>
        <w:t>, but which ignores that the carrier may wish to exercise its lien on cargo in respect of freight</w:t>
      </w:r>
      <w:r w:rsidR="001E527B" w:rsidRPr="005567B5">
        <w:rPr>
          <w:rFonts w:ascii="Times New Roman" w:hAnsi="Times New Roman" w:cs="Times New Roman"/>
        </w:rPr>
        <w:t>.</w:t>
      </w:r>
      <w:r w:rsidR="00106691">
        <w:rPr>
          <w:rFonts w:ascii="Times New Roman" w:hAnsi="Times New Roman" w:cs="Times New Roman"/>
        </w:rPr>
        <w:t xml:space="preserve"> Relinquishing possession has decisive, negative effects for the carrier who can no longer use the cargo as security for freight.</w:t>
      </w:r>
    </w:p>
    <w:p w14:paraId="536A6AB4" w14:textId="5868939C" w:rsidR="002F3F5D" w:rsidRDefault="002F3F5D" w:rsidP="002F3F5D">
      <w:pPr>
        <w:rPr>
          <w:rFonts w:ascii="Times New Roman" w:hAnsi="Times New Roman" w:cs="Times New Roman"/>
        </w:rPr>
      </w:pPr>
    </w:p>
    <w:p w14:paraId="6513D447" w14:textId="045E5022" w:rsidR="00986C91" w:rsidRPr="00B51235" w:rsidRDefault="00986C91" w:rsidP="00986C91">
      <w:pPr>
        <w:rPr>
          <w:rFonts w:ascii="Times New Roman" w:hAnsi="Times New Roman" w:cs="Times New Roman"/>
        </w:rPr>
      </w:pPr>
      <w:r w:rsidRPr="00B51235">
        <w:rPr>
          <w:rFonts w:ascii="Times New Roman" w:hAnsi="Times New Roman" w:cs="Times New Roman"/>
        </w:rPr>
        <w:t xml:space="preserve">A </w:t>
      </w:r>
      <w:r>
        <w:rPr>
          <w:rFonts w:ascii="Times New Roman" w:hAnsi="Times New Roman" w:cs="Times New Roman"/>
        </w:rPr>
        <w:t>further issue is what sums may be recovered through use of the lien. It is designed for freight, but may costs be recovered too? Should the shipowner elect to discharge the cargo into safe storage, can those costs be recovered</w:t>
      </w:r>
      <w:r w:rsidR="00CF1AD3">
        <w:rPr>
          <w:rFonts w:ascii="Times New Roman" w:hAnsi="Times New Roman" w:cs="Times New Roman"/>
        </w:rPr>
        <w:t xml:space="preserve"> along with the freight</w:t>
      </w:r>
      <w:r>
        <w:rPr>
          <w:rFonts w:ascii="Times New Roman" w:hAnsi="Times New Roman" w:cs="Times New Roman"/>
        </w:rPr>
        <w:t xml:space="preserve">? </w:t>
      </w:r>
      <w:r w:rsidRPr="00B51235">
        <w:rPr>
          <w:rFonts w:ascii="Times New Roman" w:hAnsi="Times New Roman" w:cs="Times New Roman"/>
        </w:rPr>
        <w:t xml:space="preserve">In </w:t>
      </w:r>
      <w:proofErr w:type="spellStart"/>
      <w:r w:rsidRPr="00B51235">
        <w:rPr>
          <w:rFonts w:ascii="Times New Roman" w:hAnsi="Times New Roman" w:cs="Times New Roman"/>
          <w:i/>
        </w:rPr>
        <w:t>Metall</w:t>
      </w:r>
      <w:proofErr w:type="spellEnd"/>
      <w:r w:rsidRPr="00B51235">
        <w:rPr>
          <w:rFonts w:ascii="Times New Roman" w:hAnsi="Times New Roman" w:cs="Times New Roman"/>
          <w:i/>
        </w:rPr>
        <w:t xml:space="preserve"> Market OOO v </w:t>
      </w:r>
      <w:proofErr w:type="spellStart"/>
      <w:r w:rsidRPr="00B51235">
        <w:rPr>
          <w:rFonts w:ascii="Times New Roman" w:hAnsi="Times New Roman" w:cs="Times New Roman"/>
          <w:i/>
        </w:rPr>
        <w:t>Vitorio</w:t>
      </w:r>
      <w:proofErr w:type="spellEnd"/>
      <w:r w:rsidRPr="00B51235">
        <w:rPr>
          <w:rFonts w:ascii="Times New Roman" w:hAnsi="Times New Roman" w:cs="Times New Roman"/>
          <w:i/>
        </w:rPr>
        <w:t xml:space="preserve"> Shipping Co Ltd (The ‘Lehmann Timber’)</w:t>
      </w:r>
      <w:r w:rsidRPr="00B51235">
        <w:rPr>
          <w:rFonts w:ascii="Times New Roman" w:hAnsi="Times New Roman" w:cs="Times New Roman"/>
        </w:rPr>
        <w:t>,</w:t>
      </w:r>
      <w:r w:rsidRPr="00B51235">
        <w:rPr>
          <w:rStyle w:val="FootnoteReference"/>
          <w:rFonts w:ascii="Times New Roman" w:hAnsi="Times New Roman" w:cs="Times New Roman"/>
        </w:rPr>
        <w:footnoteReference w:id="19"/>
      </w:r>
      <w:r w:rsidRPr="00B51235">
        <w:rPr>
          <w:rFonts w:ascii="Times New Roman" w:hAnsi="Times New Roman" w:cs="Times New Roman"/>
        </w:rPr>
        <w:t xml:space="preserve"> the Court of Appeal rejected application of the most basic form of lien in favour of one idiosyncratic to carriage contracts.</w:t>
      </w:r>
      <w:r>
        <w:rPr>
          <w:rFonts w:ascii="Times New Roman" w:hAnsi="Times New Roman" w:cs="Times New Roman"/>
        </w:rPr>
        <w:t xml:space="preserve"> </w:t>
      </w:r>
      <w:r w:rsidRPr="00B51235">
        <w:rPr>
          <w:rFonts w:ascii="Times New Roman" w:hAnsi="Times New Roman" w:cs="Times New Roman"/>
          <w:lang w:val="en-US"/>
        </w:rPr>
        <w:t>The facts were that following seizure by pirates of</w:t>
      </w:r>
      <w:r>
        <w:rPr>
          <w:rFonts w:ascii="Times New Roman" w:hAnsi="Times New Roman" w:cs="Times New Roman"/>
          <w:lang w:val="en-US"/>
        </w:rPr>
        <w:t xml:space="preserve"> the vessel</w:t>
      </w:r>
      <w:r w:rsidRPr="00B51235">
        <w:rPr>
          <w:rFonts w:ascii="Times New Roman" w:hAnsi="Times New Roman" w:cs="Times New Roman"/>
          <w:lang w:val="en-US"/>
        </w:rPr>
        <w:t xml:space="preserve"> </w:t>
      </w:r>
      <w:r w:rsidRPr="00B51235">
        <w:rPr>
          <w:rFonts w:ascii="Times New Roman" w:hAnsi="Times New Roman" w:cs="Times New Roman"/>
          <w:i/>
          <w:lang w:val="en-US"/>
        </w:rPr>
        <w:t>Lehmann Timber</w:t>
      </w:r>
      <w:r w:rsidRPr="00B51235">
        <w:rPr>
          <w:rFonts w:ascii="Times New Roman" w:hAnsi="Times New Roman" w:cs="Times New Roman"/>
          <w:lang w:val="en-US"/>
        </w:rPr>
        <w:t xml:space="preserve">, the carrier sought a general average bond </w:t>
      </w:r>
      <w:r w:rsidRPr="00B23EB6">
        <w:rPr>
          <w:rFonts w:ascii="Times New Roman" w:hAnsi="Times New Roman" w:cs="Times New Roman"/>
          <w:lang w:val="en-US"/>
        </w:rPr>
        <w:t>and</w:t>
      </w:r>
      <w:r w:rsidRPr="00B51235">
        <w:rPr>
          <w:rFonts w:ascii="Times New Roman" w:hAnsi="Times New Roman" w:cs="Times New Roman"/>
          <w:lang w:val="en-US"/>
        </w:rPr>
        <w:t xml:space="preserve"> an insurance guarantee </w:t>
      </w:r>
      <w:r w:rsidR="00B61F64">
        <w:rPr>
          <w:rFonts w:ascii="Times New Roman" w:hAnsi="Times New Roman" w:cs="Times New Roman"/>
          <w:lang w:val="en-US"/>
        </w:rPr>
        <w:t>from cargo interests</w:t>
      </w:r>
      <w:r w:rsidRPr="00B51235">
        <w:rPr>
          <w:rFonts w:ascii="Times New Roman" w:hAnsi="Times New Roman" w:cs="Times New Roman"/>
          <w:lang w:val="en-US"/>
        </w:rPr>
        <w:t>. The cargo was discharged into a warehouse. This gave rise to storage costs, which the carrier sought to recover from the cargo owner. At first instance,</w:t>
      </w:r>
      <w:r w:rsidRPr="00B51235">
        <w:rPr>
          <w:rStyle w:val="FootnoteReference"/>
          <w:rFonts w:ascii="Times New Roman" w:hAnsi="Times New Roman" w:cs="Times New Roman"/>
          <w:lang w:val="en-US"/>
        </w:rPr>
        <w:footnoteReference w:id="20"/>
      </w:r>
      <w:r w:rsidRPr="00B51235">
        <w:rPr>
          <w:rFonts w:ascii="Times New Roman" w:hAnsi="Times New Roman" w:cs="Times New Roman"/>
          <w:lang w:val="en-US"/>
        </w:rPr>
        <w:t xml:space="preserve"> </w:t>
      </w:r>
      <w:proofErr w:type="spellStart"/>
      <w:r w:rsidRPr="00B51235">
        <w:rPr>
          <w:rFonts w:ascii="Times New Roman" w:hAnsi="Times New Roman" w:cs="Times New Roman"/>
          <w:lang w:val="en-US"/>
        </w:rPr>
        <w:t>Popplewell</w:t>
      </w:r>
      <w:proofErr w:type="spellEnd"/>
      <w:r w:rsidRPr="00B51235">
        <w:rPr>
          <w:rFonts w:ascii="Times New Roman" w:hAnsi="Times New Roman" w:cs="Times New Roman"/>
          <w:lang w:val="en-US"/>
        </w:rPr>
        <w:t xml:space="preserve"> J held that the lien over the </w:t>
      </w:r>
      <w:r w:rsidRPr="00B51235">
        <w:rPr>
          <w:rFonts w:ascii="Times New Roman" w:hAnsi="Times New Roman" w:cs="Times New Roman"/>
          <w:lang w:val="en-US"/>
        </w:rPr>
        <w:lastRenderedPageBreak/>
        <w:t xml:space="preserve">cargo had not been discharged by the guarantee supplied by insurers. He also held that based on common law, the carrier could not recover storage costs under the lien </w:t>
      </w:r>
      <w:r w:rsidR="00B61F64">
        <w:rPr>
          <w:rFonts w:ascii="Times New Roman" w:hAnsi="Times New Roman" w:cs="Times New Roman"/>
          <w:lang w:val="en-US"/>
        </w:rPr>
        <w:t>o</w:t>
      </w:r>
      <w:r w:rsidRPr="00B51235">
        <w:rPr>
          <w:rFonts w:ascii="Times New Roman" w:hAnsi="Times New Roman" w:cs="Times New Roman"/>
          <w:lang w:val="en-US"/>
        </w:rPr>
        <w:t>n the cargo itself</w:t>
      </w:r>
      <w:r w:rsidR="00B61F64">
        <w:rPr>
          <w:rFonts w:ascii="Times New Roman" w:hAnsi="Times New Roman" w:cs="Times New Roman"/>
          <w:lang w:val="en-US"/>
        </w:rPr>
        <w:t>, as the exercise of the lien was essentially a self-help remedy</w:t>
      </w:r>
      <w:r w:rsidRPr="00B51235">
        <w:rPr>
          <w:rFonts w:ascii="Times New Roman" w:hAnsi="Times New Roman" w:cs="Times New Roman"/>
          <w:lang w:val="en-US"/>
        </w:rPr>
        <w:t>.</w:t>
      </w:r>
      <w:r w:rsidRPr="00B51235">
        <w:rPr>
          <w:rStyle w:val="FootnoteReference"/>
          <w:rFonts w:ascii="Times New Roman" w:hAnsi="Times New Roman" w:cs="Times New Roman"/>
          <w:lang w:val="en-US"/>
        </w:rPr>
        <w:footnoteReference w:id="21"/>
      </w:r>
    </w:p>
    <w:p w14:paraId="44C3823B" w14:textId="77777777" w:rsidR="00986C91" w:rsidRPr="00B51235" w:rsidRDefault="00986C91" w:rsidP="00986C91">
      <w:pPr>
        <w:rPr>
          <w:rFonts w:ascii="Times New Roman" w:hAnsi="Times New Roman" w:cs="Times New Roman"/>
          <w:lang w:val="en-US"/>
        </w:rPr>
      </w:pPr>
    </w:p>
    <w:p w14:paraId="1B67F47E" w14:textId="56BBEED3" w:rsidR="00986C91" w:rsidRPr="00B51235" w:rsidRDefault="00986C91" w:rsidP="00986C91">
      <w:pPr>
        <w:rPr>
          <w:rFonts w:ascii="Times New Roman" w:hAnsi="Times New Roman" w:cs="Times New Roman"/>
          <w:lang w:val="en-US"/>
        </w:rPr>
      </w:pPr>
      <w:r w:rsidRPr="00B51235">
        <w:rPr>
          <w:rFonts w:ascii="Times New Roman" w:hAnsi="Times New Roman" w:cs="Times New Roman"/>
          <w:lang w:val="en-US"/>
        </w:rPr>
        <w:t xml:space="preserve">While upholding the judge’s decision </w:t>
      </w:r>
      <w:r w:rsidR="00CF1AD3">
        <w:rPr>
          <w:rFonts w:ascii="Times New Roman" w:hAnsi="Times New Roman" w:cs="Times New Roman"/>
          <w:lang w:val="en-US"/>
        </w:rPr>
        <w:t xml:space="preserve">that </w:t>
      </w:r>
      <w:r w:rsidRPr="00B51235">
        <w:rPr>
          <w:rFonts w:ascii="Times New Roman" w:hAnsi="Times New Roman" w:cs="Times New Roman"/>
          <w:lang w:val="en-US"/>
        </w:rPr>
        <w:t xml:space="preserve">the lien had </w:t>
      </w:r>
      <w:r w:rsidR="00CF1AD3">
        <w:rPr>
          <w:rFonts w:ascii="Times New Roman" w:hAnsi="Times New Roman" w:cs="Times New Roman"/>
          <w:lang w:val="en-US"/>
        </w:rPr>
        <w:t xml:space="preserve">not </w:t>
      </w:r>
      <w:r w:rsidRPr="00B51235">
        <w:rPr>
          <w:rFonts w:ascii="Times New Roman" w:hAnsi="Times New Roman" w:cs="Times New Roman"/>
          <w:lang w:val="en-US"/>
        </w:rPr>
        <w:t xml:space="preserve">been discharged by the provision of alternate security (the insurance guarantee), the Court of Appeal reversed the judge’s decision on the second issue. Their Lordships opined that the common law ‘artificer’s lien’ was not applicable to the present situation. The leading case for that principle was </w:t>
      </w:r>
      <w:proofErr w:type="spellStart"/>
      <w:r w:rsidRPr="00B51235">
        <w:rPr>
          <w:rFonts w:ascii="Times New Roman" w:hAnsi="Times New Roman" w:cs="Times New Roman"/>
          <w:i/>
          <w:lang w:val="en-US"/>
        </w:rPr>
        <w:t>Somes</w:t>
      </w:r>
      <w:proofErr w:type="spellEnd"/>
      <w:r w:rsidRPr="00B51235">
        <w:rPr>
          <w:rFonts w:ascii="Times New Roman" w:hAnsi="Times New Roman" w:cs="Times New Roman"/>
          <w:lang w:val="en-US"/>
        </w:rPr>
        <w:t>, a House of Lords case from 1869.</w:t>
      </w:r>
      <w:r w:rsidR="00B61F64">
        <w:rPr>
          <w:rStyle w:val="FootnoteReference"/>
          <w:rFonts w:ascii="Times New Roman" w:hAnsi="Times New Roman" w:cs="Times New Roman"/>
          <w:lang w:val="en-US"/>
        </w:rPr>
        <w:footnoteReference w:id="22"/>
      </w:r>
      <w:r w:rsidRPr="00B51235">
        <w:rPr>
          <w:rFonts w:ascii="Times New Roman" w:hAnsi="Times New Roman" w:cs="Times New Roman"/>
          <w:lang w:val="en-US"/>
        </w:rPr>
        <w:t xml:space="preserve"> It revolved around a ship placed for repairs in a shipyard. The owner disputed costs, and the shipyard exercised its common law lien to retain the ship. On top of repair costs, the shipyard also claimed dock dues pertaining to the time period of retention. The House of Lords said on that occasion that</w:t>
      </w:r>
      <w:r w:rsidR="00CF1AD3">
        <w:rPr>
          <w:rFonts w:ascii="Times New Roman" w:hAnsi="Times New Roman" w:cs="Times New Roman"/>
          <w:lang w:val="en-US"/>
        </w:rPr>
        <w:t xml:space="preserve"> given that</w:t>
      </w:r>
      <w:r w:rsidRPr="00B51235">
        <w:rPr>
          <w:rFonts w:ascii="Times New Roman" w:hAnsi="Times New Roman" w:cs="Times New Roman"/>
          <w:lang w:val="en-US"/>
        </w:rPr>
        <w:t xml:space="preserve"> this was an ‘artificer’s lien’, that is, a lien by a tradesman who has agreed to carry out work, the shipyard ha</w:t>
      </w:r>
      <w:r w:rsidR="00FF5106">
        <w:rPr>
          <w:rFonts w:ascii="Times New Roman" w:hAnsi="Times New Roman" w:cs="Times New Roman"/>
          <w:lang w:val="en-US"/>
        </w:rPr>
        <w:t>d</w:t>
      </w:r>
      <w:r w:rsidRPr="00B51235">
        <w:rPr>
          <w:rFonts w:ascii="Times New Roman" w:hAnsi="Times New Roman" w:cs="Times New Roman"/>
          <w:lang w:val="en-US"/>
        </w:rPr>
        <w:t xml:space="preserve"> a lien for the price of their work and nothing more. It had </w:t>
      </w:r>
      <w:r w:rsidR="00CF1AD3">
        <w:rPr>
          <w:rFonts w:ascii="Times New Roman" w:hAnsi="Times New Roman" w:cs="Times New Roman"/>
          <w:lang w:val="en-US"/>
        </w:rPr>
        <w:t xml:space="preserve">previously </w:t>
      </w:r>
      <w:r w:rsidRPr="00B51235">
        <w:rPr>
          <w:rFonts w:ascii="Times New Roman" w:hAnsi="Times New Roman" w:cs="Times New Roman"/>
          <w:lang w:val="en-US"/>
        </w:rPr>
        <w:t>been thought that this principle applied without more to the carrier’s lien on cargo: if it chose to retain the cargo in its possession and place it in a warehouse, it must bear the costs of that action itself.</w:t>
      </w:r>
    </w:p>
    <w:p w14:paraId="7E1B3E31" w14:textId="77777777" w:rsidR="00986C91" w:rsidRPr="00B51235" w:rsidRDefault="00986C91" w:rsidP="00986C91">
      <w:pPr>
        <w:rPr>
          <w:rFonts w:ascii="Times New Roman" w:hAnsi="Times New Roman" w:cs="Times New Roman"/>
          <w:lang w:val="en-US"/>
        </w:rPr>
      </w:pPr>
    </w:p>
    <w:p w14:paraId="762DD562" w14:textId="0372B5C8" w:rsidR="00986C91" w:rsidRPr="00B51235" w:rsidRDefault="00986C91" w:rsidP="00986C91">
      <w:pPr>
        <w:rPr>
          <w:rFonts w:ascii="Times New Roman" w:hAnsi="Times New Roman" w:cs="Times New Roman"/>
        </w:rPr>
      </w:pPr>
      <w:r w:rsidRPr="00B51235">
        <w:rPr>
          <w:rFonts w:ascii="Times New Roman" w:hAnsi="Times New Roman" w:cs="Times New Roman"/>
          <w:lang w:val="en-US"/>
        </w:rPr>
        <w:t xml:space="preserve">The common law principle at issue provided that a lien did not give a cause of action for costs incurred in exercising the rights arising from the lien. </w:t>
      </w:r>
      <w:r w:rsidRPr="00B51235">
        <w:rPr>
          <w:rFonts w:ascii="Times New Roman" w:hAnsi="Times New Roman" w:cs="Times New Roman"/>
        </w:rPr>
        <w:t xml:space="preserve">However, in the </w:t>
      </w:r>
      <w:r w:rsidRPr="00B51235">
        <w:rPr>
          <w:rFonts w:ascii="Times New Roman" w:hAnsi="Times New Roman" w:cs="Times New Roman"/>
          <w:lang w:val="en-US"/>
        </w:rPr>
        <w:t xml:space="preserve">context of carriage of goods by sea, different considerations were at stake. The Court of Appeal held in </w:t>
      </w:r>
      <w:r w:rsidRPr="00B51235">
        <w:rPr>
          <w:rFonts w:ascii="Times New Roman" w:hAnsi="Times New Roman" w:cs="Times New Roman"/>
          <w:i/>
          <w:lang w:val="en-US"/>
        </w:rPr>
        <w:t>The Lehmann Timber</w:t>
      </w:r>
      <w:r w:rsidRPr="00B51235">
        <w:rPr>
          <w:rFonts w:ascii="Times New Roman" w:hAnsi="Times New Roman" w:cs="Times New Roman"/>
          <w:lang w:val="en-US"/>
        </w:rPr>
        <w:t xml:space="preserve"> that the artificer’s lien was not the same as a contract of carriage. In the latter situation, there was a contract to carry the goods which also involved caring for them. As the Court of Appeal put it: “</w:t>
      </w:r>
      <w:r w:rsidR="00CF1AD3" w:rsidRPr="00CF1AD3">
        <w:rPr>
          <w:rFonts w:ascii="Times New Roman" w:hAnsi="Times New Roman" w:cs="Times New Roman"/>
          <w:lang w:val="en-US"/>
        </w:rPr>
        <w:t>Shipping is performed on the basis that time is money and that a ship is a floating and travelling warehouse for which cargo must pay either in the form of agreed freight or hire, or by way of damages for any breach of contract.</w:t>
      </w:r>
      <w:r w:rsidRPr="00B51235">
        <w:rPr>
          <w:rFonts w:ascii="Times New Roman" w:hAnsi="Times New Roman" w:cs="Times New Roman"/>
          <w:lang w:val="en-US"/>
        </w:rPr>
        <w:t>”</w:t>
      </w:r>
      <w:r w:rsidRPr="00B51235">
        <w:rPr>
          <w:rStyle w:val="FootnoteReference"/>
          <w:rFonts w:ascii="Times New Roman" w:hAnsi="Times New Roman" w:cs="Times New Roman"/>
          <w:lang w:val="en-US"/>
        </w:rPr>
        <w:footnoteReference w:id="23"/>
      </w:r>
      <w:r w:rsidRPr="00B51235">
        <w:rPr>
          <w:rFonts w:ascii="Times New Roman" w:hAnsi="Times New Roman" w:cs="Times New Roman"/>
          <w:lang w:val="en-US"/>
        </w:rPr>
        <w:t xml:space="preserve"> </w:t>
      </w:r>
      <w:r w:rsidR="00CF1AD3">
        <w:rPr>
          <w:rFonts w:ascii="Times New Roman" w:hAnsi="Times New Roman" w:cs="Times New Roman"/>
          <w:lang w:val="en-US"/>
        </w:rPr>
        <w:t xml:space="preserve">The Court went on to </w:t>
      </w:r>
      <w:r w:rsidR="0009395D">
        <w:rPr>
          <w:rFonts w:ascii="Times New Roman" w:hAnsi="Times New Roman" w:cs="Times New Roman"/>
          <w:lang w:val="en-US"/>
        </w:rPr>
        <w:t>say that “</w:t>
      </w:r>
      <w:r w:rsidR="0009395D" w:rsidRPr="0009395D">
        <w:rPr>
          <w:rFonts w:ascii="Times New Roman" w:hAnsi="Times New Roman" w:cs="Times New Roman"/>
          <w:lang w:val="en-US"/>
        </w:rPr>
        <w:t>the benefits are mixed: the shipowner preserves his lien in his own interest, but the cargo interest is also benefited by the continuing care of his cargo.</w:t>
      </w:r>
      <w:r w:rsidR="0009395D">
        <w:rPr>
          <w:rFonts w:ascii="Times New Roman" w:hAnsi="Times New Roman" w:cs="Times New Roman"/>
          <w:lang w:val="en-US"/>
        </w:rPr>
        <w:t>”</w:t>
      </w:r>
      <w:r w:rsidR="0009395D">
        <w:rPr>
          <w:rStyle w:val="FootnoteReference"/>
          <w:rFonts w:ascii="Times New Roman" w:hAnsi="Times New Roman" w:cs="Times New Roman"/>
          <w:lang w:val="en-US"/>
        </w:rPr>
        <w:footnoteReference w:id="24"/>
      </w:r>
      <w:r w:rsidR="0009395D">
        <w:rPr>
          <w:rFonts w:ascii="Times New Roman" w:hAnsi="Times New Roman" w:cs="Times New Roman"/>
          <w:lang w:val="en-US"/>
        </w:rPr>
        <w:t xml:space="preserve"> </w:t>
      </w:r>
      <w:r w:rsidRPr="00B51235">
        <w:rPr>
          <w:rFonts w:ascii="Times New Roman" w:hAnsi="Times New Roman" w:cs="Times New Roman"/>
          <w:lang w:val="en-US"/>
        </w:rPr>
        <w:t>As a result, the carrier was entitled to recover storage costs.</w:t>
      </w:r>
    </w:p>
    <w:p w14:paraId="57600CE8" w14:textId="77777777" w:rsidR="00986C91" w:rsidRPr="00B51235" w:rsidRDefault="00986C91" w:rsidP="00986C91">
      <w:pPr>
        <w:rPr>
          <w:rFonts w:ascii="Times New Roman" w:hAnsi="Times New Roman" w:cs="Times New Roman"/>
          <w:lang w:val="en-US"/>
        </w:rPr>
      </w:pPr>
    </w:p>
    <w:p w14:paraId="756B5096" w14:textId="77777777" w:rsidR="0009395D" w:rsidRDefault="00986C91" w:rsidP="00986C91">
      <w:pPr>
        <w:rPr>
          <w:rFonts w:ascii="Times New Roman" w:hAnsi="Times New Roman" w:cs="Times New Roman"/>
          <w:lang w:val="en-US"/>
        </w:rPr>
      </w:pPr>
      <w:r w:rsidRPr="00B51235">
        <w:rPr>
          <w:rFonts w:ascii="Times New Roman" w:hAnsi="Times New Roman" w:cs="Times New Roman"/>
          <w:lang w:val="en-US"/>
        </w:rPr>
        <w:t xml:space="preserve">There are good </w:t>
      </w:r>
      <w:r w:rsidR="0009395D">
        <w:rPr>
          <w:rFonts w:ascii="Times New Roman" w:hAnsi="Times New Roman" w:cs="Times New Roman"/>
          <w:lang w:val="en-US"/>
        </w:rPr>
        <w:t>pragmatical</w:t>
      </w:r>
      <w:r w:rsidRPr="00B51235">
        <w:rPr>
          <w:rFonts w:ascii="Times New Roman" w:hAnsi="Times New Roman" w:cs="Times New Roman"/>
          <w:lang w:val="en-US"/>
        </w:rPr>
        <w:t xml:space="preserve"> reasons for why non-recovery of storage costs renders a lien void of its value. </w:t>
      </w:r>
      <w:r w:rsidR="0009395D">
        <w:rPr>
          <w:rFonts w:ascii="Times New Roman" w:hAnsi="Times New Roman" w:cs="Times New Roman"/>
          <w:lang w:val="en-US"/>
        </w:rPr>
        <w:t xml:space="preserve">As the Court of Appeal put it, </w:t>
      </w:r>
    </w:p>
    <w:p w14:paraId="56AC5E15" w14:textId="4B9D9CDD" w:rsidR="0009395D" w:rsidRDefault="0009395D" w:rsidP="0009395D">
      <w:pPr>
        <w:ind w:left="720"/>
        <w:rPr>
          <w:rFonts w:ascii="Times New Roman" w:hAnsi="Times New Roman" w:cs="Times New Roman"/>
          <w:lang w:val="en-US"/>
        </w:rPr>
      </w:pPr>
      <w:r>
        <w:rPr>
          <w:rFonts w:ascii="Times New Roman" w:hAnsi="Times New Roman" w:cs="Times New Roman"/>
          <w:lang w:val="en-US"/>
        </w:rPr>
        <w:t>“</w:t>
      </w:r>
      <w:r w:rsidRPr="0009395D">
        <w:rPr>
          <w:rFonts w:ascii="Times New Roman" w:hAnsi="Times New Roman" w:cs="Times New Roman"/>
          <w:lang w:val="en-US"/>
        </w:rPr>
        <w:t>A shipowner should not be required to abandon his lien because the only other choices facing him were the disastrous ones of turning his ship into a floating warehouse for an indefinite period, or throwing the cargo into the sea, or storing them on land at his own expense.</w:t>
      </w:r>
      <w:r>
        <w:rPr>
          <w:rFonts w:ascii="Times New Roman" w:hAnsi="Times New Roman" w:cs="Times New Roman"/>
          <w:lang w:val="en-US"/>
        </w:rPr>
        <w:t>”</w:t>
      </w:r>
      <w:r>
        <w:rPr>
          <w:rStyle w:val="FootnoteReference"/>
          <w:rFonts w:ascii="Times New Roman" w:hAnsi="Times New Roman" w:cs="Times New Roman"/>
          <w:lang w:val="en-US"/>
        </w:rPr>
        <w:footnoteReference w:id="25"/>
      </w:r>
    </w:p>
    <w:p w14:paraId="41E00E9E" w14:textId="77777777" w:rsidR="0009395D" w:rsidRDefault="0009395D" w:rsidP="0009395D">
      <w:pPr>
        <w:rPr>
          <w:rFonts w:ascii="Times New Roman" w:hAnsi="Times New Roman" w:cs="Times New Roman"/>
          <w:lang w:val="en-US"/>
        </w:rPr>
      </w:pPr>
    </w:p>
    <w:p w14:paraId="1ADC074F" w14:textId="2DA22E89" w:rsidR="00986C91" w:rsidRPr="00B51235" w:rsidRDefault="00986C91" w:rsidP="0009395D">
      <w:pPr>
        <w:rPr>
          <w:rFonts w:ascii="Times New Roman" w:hAnsi="Times New Roman" w:cs="Times New Roman"/>
          <w:lang w:val="en-US"/>
        </w:rPr>
      </w:pPr>
      <w:r w:rsidRPr="00B51235">
        <w:rPr>
          <w:rFonts w:ascii="Times New Roman" w:hAnsi="Times New Roman" w:cs="Times New Roman"/>
          <w:lang w:val="en-US"/>
        </w:rPr>
        <w:t xml:space="preserve">Any refrigerated cargo, any high-value cargo or indeed </w:t>
      </w:r>
      <w:r w:rsidR="00FF5106">
        <w:rPr>
          <w:rFonts w:ascii="Times New Roman" w:hAnsi="Times New Roman" w:cs="Times New Roman"/>
          <w:lang w:val="en-US"/>
        </w:rPr>
        <w:t xml:space="preserve">almost </w:t>
      </w:r>
      <w:r w:rsidRPr="00B51235">
        <w:rPr>
          <w:rFonts w:ascii="Times New Roman" w:hAnsi="Times New Roman" w:cs="Times New Roman"/>
          <w:lang w:val="en-US"/>
        </w:rPr>
        <w:t>any form of liquid cargo will be worth the investment in proper storage, whereas the lack of such facilities will render the cargo – and therefore the lien – immediately useless to the carrier as well as the intended or any other cargo recipient. Where the cargo – for example food or medicines – was refrigerated on board, refrigeration must continue throughout the transport. Storage costs are simply a fact of shipping. The Court of Appeal’s decision was certainly a pragmatically correct one, but the legal basis leaves a little to be desired.</w:t>
      </w:r>
    </w:p>
    <w:p w14:paraId="0611322D" w14:textId="77777777" w:rsidR="00986C91" w:rsidRPr="00B51235" w:rsidRDefault="00986C91" w:rsidP="00986C91">
      <w:pPr>
        <w:rPr>
          <w:rFonts w:ascii="Times New Roman" w:hAnsi="Times New Roman" w:cs="Times New Roman"/>
        </w:rPr>
      </w:pPr>
    </w:p>
    <w:p w14:paraId="5CBE9EF8" w14:textId="78979F7A" w:rsidR="00986C91" w:rsidRPr="00B51235" w:rsidRDefault="00986C91" w:rsidP="00986C91">
      <w:pPr>
        <w:rPr>
          <w:rFonts w:ascii="Times New Roman" w:hAnsi="Times New Roman" w:cs="Times New Roman"/>
        </w:rPr>
      </w:pPr>
      <w:r w:rsidRPr="00B51235">
        <w:rPr>
          <w:rFonts w:ascii="Times New Roman" w:hAnsi="Times New Roman" w:cs="Times New Roman"/>
        </w:rPr>
        <w:lastRenderedPageBreak/>
        <w:t xml:space="preserve">Here, although the lien on cargo was recognised as a legal instrument applicable to the situation, it was also held that it was a rule of its own, which did not follow more widely applicable principles. It is important to note how the Court of Appeal described the context surrounding the lien: it was not merely a contract, but a contract of carriage. If the Court of Appeal had referred to ‘a contract’, this could have been read as a reference to general contract law and the lien arising from possession being modified by the contract terms. However, the Court of Appeal went further: it described the contract as one </w:t>
      </w:r>
      <w:r w:rsidRPr="00B51235">
        <w:rPr>
          <w:rFonts w:ascii="Times New Roman" w:hAnsi="Times New Roman" w:cs="Times New Roman"/>
          <w:i/>
        </w:rPr>
        <w:t>of carriage</w:t>
      </w:r>
      <w:r w:rsidRPr="00B51235">
        <w:rPr>
          <w:rFonts w:ascii="Times New Roman" w:hAnsi="Times New Roman" w:cs="Times New Roman"/>
        </w:rPr>
        <w:t>,</w:t>
      </w:r>
      <w:r w:rsidR="0009395D">
        <w:rPr>
          <w:rStyle w:val="FootnoteReference"/>
          <w:rFonts w:ascii="Times New Roman" w:hAnsi="Times New Roman" w:cs="Times New Roman"/>
        </w:rPr>
        <w:footnoteReference w:id="26"/>
      </w:r>
      <w:r w:rsidRPr="00B51235">
        <w:rPr>
          <w:rFonts w:ascii="Times New Roman" w:hAnsi="Times New Roman" w:cs="Times New Roman"/>
        </w:rPr>
        <w:t xml:space="preserve"> under which the shipowner undertakes to carry and care for the goods. It thereby arguably imported the entire equilibrium of commercial liabilities and realities into the lien on cargo.</w:t>
      </w:r>
      <w:r w:rsidRPr="00B51235">
        <w:rPr>
          <w:rStyle w:val="FootnoteReference"/>
          <w:rFonts w:ascii="Times New Roman" w:hAnsi="Times New Roman" w:cs="Times New Roman"/>
        </w:rPr>
        <w:footnoteReference w:id="27"/>
      </w:r>
    </w:p>
    <w:p w14:paraId="17E579E5" w14:textId="0C9635D6" w:rsidR="00986C91" w:rsidRDefault="00986C91" w:rsidP="00986C91">
      <w:pPr>
        <w:rPr>
          <w:rFonts w:ascii="Times New Roman" w:hAnsi="Times New Roman" w:cs="Times New Roman"/>
        </w:rPr>
      </w:pPr>
    </w:p>
    <w:p w14:paraId="799C0ED5" w14:textId="72F1F524" w:rsidR="00D17FEE" w:rsidRDefault="00D17FEE" w:rsidP="00986C91">
      <w:pPr>
        <w:rPr>
          <w:rFonts w:ascii="Times New Roman" w:hAnsi="Times New Roman" w:cs="Times New Roman"/>
        </w:rPr>
      </w:pPr>
    </w:p>
    <w:p w14:paraId="47565858" w14:textId="739EFF45" w:rsidR="00D17FEE" w:rsidRPr="00D17FEE" w:rsidRDefault="00D17FEE" w:rsidP="00986C91">
      <w:pPr>
        <w:rPr>
          <w:rFonts w:ascii="Times New Roman" w:hAnsi="Times New Roman" w:cs="Times New Roman"/>
          <w:b/>
        </w:rPr>
      </w:pPr>
      <w:r w:rsidRPr="00D17FEE">
        <w:rPr>
          <w:rFonts w:ascii="Times New Roman" w:hAnsi="Times New Roman" w:cs="Times New Roman"/>
          <w:b/>
        </w:rPr>
        <w:t>Liens on sub-freight</w:t>
      </w:r>
      <w:r>
        <w:rPr>
          <w:rFonts w:ascii="Times New Roman" w:hAnsi="Times New Roman" w:cs="Times New Roman"/>
          <w:b/>
        </w:rPr>
        <w:t xml:space="preserve"> – and </w:t>
      </w:r>
      <w:proofErr w:type="spellStart"/>
      <w:r>
        <w:rPr>
          <w:rFonts w:ascii="Times New Roman" w:hAnsi="Times New Roman" w:cs="Times New Roman"/>
          <w:b/>
        </w:rPr>
        <w:t>subhire</w:t>
      </w:r>
      <w:proofErr w:type="spellEnd"/>
    </w:p>
    <w:p w14:paraId="3ABDDE84" w14:textId="77777777" w:rsidR="00D17FEE" w:rsidRPr="000973C1" w:rsidRDefault="00D17FEE" w:rsidP="00D17FEE">
      <w:pPr>
        <w:rPr>
          <w:rFonts w:ascii="Times New Roman" w:hAnsi="Times New Roman" w:cs="Times New Roman"/>
        </w:rPr>
      </w:pPr>
    </w:p>
    <w:p w14:paraId="1ABB4BDA" w14:textId="2DC4E639" w:rsidR="00D17FEE" w:rsidRDefault="000B51B6" w:rsidP="00D17FEE">
      <w:pPr>
        <w:rPr>
          <w:rFonts w:ascii="Times New Roman" w:hAnsi="Times New Roman" w:cs="Times New Roman"/>
        </w:rPr>
      </w:pPr>
      <w:r>
        <w:rPr>
          <w:rFonts w:ascii="Times New Roman" w:hAnsi="Times New Roman" w:cs="Times New Roman"/>
        </w:rPr>
        <w:t>Liens on sub-freight</w:t>
      </w:r>
      <w:r w:rsidR="00BF3D6E">
        <w:rPr>
          <w:rStyle w:val="FootnoteReference"/>
          <w:rFonts w:ascii="Times New Roman" w:hAnsi="Times New Roman" w:cs="Times New Roman"/>
        </w:rPr>
        <w:footnoteReference w:id="28"/>
      </w:r>
      <w:r>
        <w:rPr>
          <w:rFonts w:ascii="Times New Roman" w:hAnsi="Times New Roman" w:cs="Times New Roman"/>
        </w:rPr>
        <w:t xml:space="preserve"> are entirely different from liens on cargo in both genesis and function. </w:t>
      </w:r>
      <w:r w:rsidR="00E56DC9">
        <w:rPr>
          <w:rFonts w:ascii="Times New Roman" w:hAnsi="Times New Roman" w:cs="Times New Roman"/>
        </w:rPr>
        <w:t xml:space="preserve">An effective lien on sub-freights gives the shipowner a course of action to pursue in the event it is not being paid hire. If so, the </w:t>
      </w:r>
      <w:proofErr w:type="spellStart"/>
      <w:r w:rsidR="00E56DC9">
        <w:rPr>
          <w:rFonts w:ascii="Times New Roman" w:hAnsi="Times New Roman" w:cs="Times New Roman"/>
        </w:rPr>
        <w:t>charterparty</w:t>
      </w:r>
      <w:proofErr w:type="spellEnd"/>
      <w:r w:rsidR="00E56DC9">
        <w:rPr>
          <w:rFonts w:ascii="Times New Roman" w:hAnsi="Times New Roman" w:cs="Times New Roman"/>
        </w:rPr>
        <w:t xml:space="preserve"> lien clause may stipulate that the shipowner is entitled to give notice to other parties who owe sums to the charterer and request that they must be paid to the shipowner instead. This happens under the contract between the shipowner and the head charterer, usually a time charterer. How can the provisions of that contract be made to apply to further parties, who are not parties to that contract? </w:t>
      </w:r>
      <w:r w:rsidR="00D17FEE">
        <w:rPr>
          <w:rFonts w:ascii="Times New Roman" w:hAnsi="Times New Roman" w:cs="Times New Roman"/>
        </w:rPr>
        <w:t>The genesis of liens on sub-freight is quite different from that of liens on cargo. In fact, they have no basis in common law. They arise entirely from contract, as a result of which their enforcement against third parties, a precondition for their function as security, is the pivotal issue.</w:t>
      </w:r>
      <w:r w:rsidR="00E56DC9">
        <w:rPr>
          <w:rFonts w:ascii="Times New Roman" w:hAnsi="Times New Roman" w:cs="Times New Roman"/>
        </w:rPr>
        <w:t xml:space="preserve"> Lien clauses have evolved over the years. Their interpretation is key to what sums can be recovered.</w:t>
      </w:r>
    </w:p>
    <w:p w14:paraId="7152C683" w14:textId="7F3CC727" w:rsidR="00D17FEE" w:rsidRDefault="00D17FEE" w:rsidP="00D17FEE">
      <w:pPr>
        <w:rPr>
          <w:rFonts w:ascii="Times New Roman" w:hAnsi="Times New Roman" w:cs="Times New Roman"/>
        </w:rPr>
      </w:pPr>
    </w:p>
    <w:p w14:paraId="59B11F66" w14:textId="43525DA4" w:rsidR="00BF3D6E" w:rsidRDefault="00BF3D6E" w:rsidP="00D17FEE">
      <w:pPr>
        <w:rPr>
          <w:rFonts w:ascii="Times New Roman" w:hAnsi="Times New Roman" w:cs="Times New Roman"/>
        </w:rPr>
      </w:pPr>
    </w:p>
    <w:p w14:paraId="49DF31EC" w14:textId="1D9EE307" w:rsidR="00BF3D6E" w:rsidRPr="00BF3D6E" w:rsidRDefault="00BF3D6E" w:rsidP="00D17FEE">
      <w:pPr>
        <w:rPr>
          <w:rFonts w:ascii="Times New Roman" w:hAnsi="Times New Roman" w:cs="Times New Roman"/>
          <w:b/>
        </w:rPr>
      </w:pPr>
      <w:r w:rsidRPr="00BF3D6E">
        <w:rPr>
          <w:rFonts w:ascii="Times New Roman" w:hAnsi="Times New Roman" w:cs="Times New Roman"/>
          <w:b/>
        </w:rPr>
        <w:t>Legal background</w:t>
      </w:r>
    </w:p>
    <w:p w14:paraId="735948FF" w14:textId="77777777" w:rsidR="00BF3D6E" w:rsidRDefault="00BF3D6E" w:rsidP="00D17FEE">
      <w:pPr>
        <w:rPr>
          <w:rFonts w:ascii="Times New Roman" w:hAnsi="Times New Roman" w:cs="Times New Roman"/>
        </w:rPr>
      </w:pPr>
    </w:p>
    <w:p w14:paraId="241B65F9" w14:textId="3E5B58BE" w:rsidR="007D44B6" w:rsidRDefault="00D46614" w:rsidP="005A1269">
      <w:pPr>
        <w:rPr>
          <w:rFonts w:ascii="Times New Roman" w:hAnsi="Times New Roman" w:cs="Times New Roman"/>
        </w:rPr>
      </w:pPr>
      <w:r>
        <w:rPr>
          <w:rFonts w:ascii="Times New Roman" w:hAnsi="Times New Roman" w:cs="Times New Roman"/>
        </w:rPr>
        <w:t>The lien on sub-freight is said to have evolved from the shipowner’s lien on cargo and to be a creature of neither common law nor equity, but of maritime law.</w:t>
      </w:r>
      <w:r>
        <w:rPr>
          <w:rStyle w:val="FootnoteReference"/>
          <w:rFonts w:ascii="Times New Roman" w:hAnsi="Times New Roman" w:cs="Times New Roman"/>
        </w:rPr>
        <w:footnoteReference w:id="29"/>
      </w:r>
      <w:r>
        <w:rPr>
          <w:rFonts w:ascii="Times New Roman" w:hAnsi="Times New Roman" w:cs="Times New Roman"/>
        </w:rPr>
        <w:t xml:space="preserve"> </w:t>
      </w:r>
      <w:r w:rsidR="00D17FEE">
        <w:rPr>
          <w:rFonts w:ascii="Times New Roman" w:hAnsi="Times New Roman" w:cs="Times New Roman"/>
        </w:rPr>
        <w:t xml:space="preserve">Legally, there are two theories as to how liens on sub-freight arise, because they do not fit neatly into any </w:t>
      </w:r>
      <w:r w:rsidR="00EC22B1">
        <w:rPr>
          <w:rFonts w:ascii="Times New Roman" w:hAnsi="Times New Roman" w:cs="Times New Roman"/>
        </w:rPr>
        <w:t xml:space="preserve">standard legal </w:t>
      </w:r>
      <w:r w:rsidR="00D17FEE">
        <w:rPr>
          <w:rFonts w:ascii="Times New Roman" w:hAnsi="Times New Roman" w:cs="Times New Roman"/>
        </w:rPr>
        <w:t xml:space="preserve">model. </w:t>
      </w:r>
      <w:r w:rsidR="00EC22B1">
        <w:rPr>
          <w:rFonts w:ascii="Times New Roman" w:hAnsi="Times New Roman" w:cs="Times New Roman"/>
        </w:rPr>
        <w:t>T</w:t>
      </w:r>
      <w:r w:rsidR="00D17FEE">
        <w:rPr>
          <w:rFonts w:ascii="Times New Roman" w:hAnsi="Times New Roman" w:cs="Times New Roman"/>
        </w:rPr>
        <w:t xml:space="preserve">he winning theory </w:t>
      </w:r>
      <w:r w:rsidR="00EC22B1">
        <w:rPr>
          <w:rFonts w:ascii="Times New Roman" w:hAnsi="Times New Roman" w:cs="Times New Roman"/>
        </w:rPr>
        <w:t xml:space="preserve">in recent times </w:t>
      </w:r>
      <w:r w:rsidR="00D17FEE">
        <w:rPr>
          <w:rFonts w:ascii="Times New Roman" w:hAnsi="Times New Roman" w:cs="Times New Roman"/>
        </w:rPr>
        <w:t>appears to be that the lien on sub-freights is an equitable assignment for security.</w:t>
      </w:r>
      <w:r w:rsidR="00D17FEE">
        <w:rPr>
          <w:rStyle w:val="FootnoteReference"/>
          <w:rFonts w:ascii="Times New Roman" w:hAnsi="Times New Roman" w:cs="Times New Roman"/>
        </w:rPr>
        <w:footnoteReference w:id="30"/>
      </w:r>
      <w:r w:rsidR="00D17FEE">
        <w:rPr>
          <w:rFonts w:ascii="Times New Roman" w:hAnsi="Times New Roman" w:cs="Times New Roman"/>
        </w:rPr>
        <w:t xml:space="preserve"> However, another theory has</w:t>
      </w:r>
      <w:r w:rsidR="00EC22B1">
        <w:rPr>
          <w:rFonts w:ascii="Times New Roman" w:hAnsi="Times New Roman" w:cs="Times New Roman"/>
        </w:rPr>
        <w:t xml:space="preserve"> at times</w:t>
      </w:r>
      <w:r w:rsidR="00D17FEE">
        <w:rPr>
          <w:rFonts w:ascii="Times New Roman" w:hAnsi="Times New Roman" w:cs="Times New Roman"/>
        </w:rPr>
        <w:t xml:space="preserve"> been in play to the extent that it was recognised in the Privy Council case </w:t>
      </w:r>
      <w:r w:rsidR="00D17FEE" w:rsidRPr="00815C50">
        <w:rPr>
          <w:rFonts w:ascii="Times New Roman" w:hAnsi="Times New Roman" w:cs="Times New Roman"/>
          <w:i/>
        </w:rPr>
        <w:t xml:space="preserve">Re </w:t>
      </w:r>
      <w:proofErr w:type="spellStart"/>
      <w:r w:rsidR="00D17FEE" w:rsidRPr="00815C50">
        <w:rPr>
          <w:rFonts w:ascii="Times New Roman" w:hAnsi="Times New Roman" w:cs="Times New Roman"/>
          <w:i/>
        </w:rPr>
        <w:t>Brumark</w:t>
      </w:r>
      <w:proofErr w:type="spellEnd"/>
      <w:r w:rsidR="00D17FEE" w:rsidRPr="00815C50">
        <w:rPr>
          <w:rFonts w:ascii="Times New Roman" w:hAnsi="Times New Roman" w:cs="Times New Roman"/>
          <w:i/>
        </w:rPr>
        <w:t xml:space="preserve"> Investments</w:t>
      </w:r>
      <w:r w:rsidR="00D17FEE">
        <w:rPr>
          <w:rFonts w:ascii="Times New Roman" w:hAnsi="Times New Roman" w:cs="Times New Roman"/>
        </w:rPr>
        <w:t>,</w:t>
      </w:r>
      <w:r w:rsidR="00D17FEE">
        <w:rPr>
          <w:rStyle w:val="FootnoteReference"/>
          <w:rFonts w:ascii="Times New Roman" w:hAnsi="Times New Roman" w:cs="Times New Roman"/>
        </w:rPr>
        <w:footnoteReference w:id="31"/>
      </w:r>
      <w:r w:rsidR="00D17FEE">
        <w:rPr>
          <w:rFonts w:ascii="Times New Roman" w:hAnsi="Times New Roman" w:cs="Times New Roman"/>
        </w:rPr>
        <w:t xml:space="preserve"> where it was referred to as “a contractual non-possessory right of a kind which is </w:t>
      </w:r>
      <w:r w:rsidR="00D17FEE" w:rsidRPr="00815C50">
        <w:rPr>
          <w:rFonts w:ascii="Times New Roman" w:hAnsi="Times New Roman" w:cs="Times New Roman"/>
          <w:i/>
        </w:rPr>
        <w:t>sui generis</w:t>
      </w:r>
      <w:r w:rsidR="00D17FEE">
        <w:rPr>
          <w:rFonts w:ascii="Times New Roman" w:hAnsi="Times New Roman" w:cs="Times New Roman"/>
        </w:rPr>
        <w:t>”.</w:t>
      </w:r>
      <w:r w:rsidR="00D17FEE">
        <w:rPr>
          <w:rStyle w:val="FootnoteReference"/>
          <w:rFonts w:ascii="Times New Roman" w:hAnsi="Times New Roman" w:cs="Times New Roman"/>
        </w:rPr>
        <w:footnoteReference w:id="32"/>
      </w:r>
      <w:r w:rsidR="00D17FEE">
        <w:rPr>
          <w:rFonts w:ascii="Times New Roman" w:hAnsi="Times New Roman" w:cs="Times New Roman"/>
        </w:rPr>
        <w:t xml:space="preserve"> </w:t>
      </w:r>
      <w:r w:rsidR="00056983">
        <w:rPr>
          <w:rFonts w:ascii="Times New Roman" w:hAnsi="Times New Roman" w:cs="Times New Roman"/>
        </w:rPr>
        <w:lastRenderedPageBreak/>
        <w:t xml:space="preserve">Each </w:t>
      </w:r>
      <w:r w:rsidR="00EC22B1">
        <w:rPr>
          <w:rFonts w:ascii="Times New Roman" w:hAnsi="Times New Roman" w:cs="Times New Roman"/>
        </w:rPr>
        <w:t xml:space="preserve">of the two </w:t>
      </w:r>
      <w:r w:rsidR="00056983">
        <w:rPr>
          <w:rFonts w:ascii="Times New Roman" w:hAnsi="Times New Roman" w:cs="Times New Roman"/>
        </w:rPr>
        <w:t>theor</w:t>
      </w:r>
      <w:r w:rsidR="00EC22B1">
        <w:rPr>
          <w:rFonts w:ascii="Times New Roman" w:hAnsi="Times New Roman" w:cs="Times New Roman"/>
        </w:rPr>
        <w:t>ies</w:t>
      </w:r>
      <w:r w:rsidR="00056983">
        <w:rPr>
          <w:rFonts w:ascii="Times New Roman" w:hAnsi="Times New Roman" w:cs="Times New Roman"/>
        </w:rPr>
        <w:t xml:space="preserve"> solves problems</w:t>
      </w:r>
      <w:r w:rsidR="00EC22B1">
        <w:rPr>
          <w:rFonts w:ascii="Times New Roman" w:hAnsi="Times New Roman" w:cs="Times New Roman"/>
        </w:rPr>
        <w:t>;</w:t>
      </w:r>
      <w:r w:rsidR="00056983">
        <w:rPr>
          <w:rFonts w:ascii="Times New Roman" w:hAnsi="Times New Roman" w:cs="Times New Roman"/>
        </w:rPr>
        <w:t xml:space="preserve"> but </w:t>
      </w:r>
      <w:r w:rsidR="00EC22B1">
        <w:rPr>
          <w:rFonts w:ascii="Times New Roman" w:hAnsi="Times New Roman" w:cs="Times New Roman"/>
        </w:rPr>
        <w:t xml:space="preserve">each </w:t>
      </w:r>
      <w:r w:rsidR="00056983">
        <w:rPr>
          <w:rFonts w:ascii="Times New Roman" w:hAnsi="Times New Roman" w:cs="Times New Roman"/>
        </w:rPr>
        <w:t>also leaves some unresolved. I</w:t>
      </w:r>
      <w:r w:rsidR="00D17FEE">
        <w:rPr>
          <w:rFonts w:ascii="Times New Roman" w:hAnsi="Times New Roman" w:cs="Times New Roman"/>
        </w:rPr>
        <w:t>f the lien is an equitable charge</w:t>
      </w:r>
      <w:r w:rsidR="00056983">
        <w:rPr>
          <w:rFonts w:ascii="Times New Roman" w:hAnsi="Times New Roman" w:cs="Times New Roman"/>
        </w:rPr>
        <w:t>, the problem that arises i</w:t>
      </w:r>
      <w:r w:rsidR="00D17FEE">
        <w:rPr>
          <w:rFonts w:ascii="Times New Roman" w:hAnsi="Times New Roman" w:cs="Times New Roman"/>
        </w:rPr>
        <w:t>s that such charges normally need to be registered to have validity</w:t>
      </w:r>
      <w:r w:rsidR="00EC22B1">
        <w:rPr>
          <w:rFonts w:ascii="Times New Roman" w:hAnsi="Times New Roman" w:cs="Times New Roman"/>
        </w:rPr>
        <w:t xml:space="preserve"> against third parties</w:t>
      </w:r>
      <w:r w:rsidR="00D17FEE">
        <w:rPr>
          <w:rFonts w:ascii="Times New Roman" w:hAnsi="Times New Roman" w:cs="Times New Roman"/>
        </w:rPr>
        <w:t xml:space="preserve">. </w:t>
      </w:r>
      <w:r w:rsidR="00EC22B1">
        <w:rPr>
          <w:rFonts w:ascii="Times New Roman" w:hAnsi="Times New Roman" w:cs="Times New Roman"/>
        </w:rPr>
        <w:t>Registration gives rise to a floating charge on the asset which crystallises with notice. Registration</w:t>
      </w:r>
      <w:r w:rsidR="00D17FEE">
        <w:rPr>
          <w:rFonts w:ascii="Times New Roman" w:hAnsi="Times New Roman" w:cs="Times New Roman"/>
        </w:rPr>
        <w:t xml:space="preserve"> </w:t>
      </w:r>
      <w:r w:rsidR="00EC22B1">
        <w:rPr>
          <w:rFonts w:ascii="Times New Roman" w:hAnsi="Times New Roman" w:cs="Times New Roman"/>
        </w:rPr>
        <w:t xml:space="preserve">of liens on sub-freight </w:t>
      </w:r>
      <w:r w:rsidR="00D17FEE">
        <w:rPr>
          <w:rFonts w:ascii="Times New Roman" w:hAnsi="Times New Roman" w:cs="Times New Roman"/>
        </w:rPr>
        <w:t xml:space="preserve">is not in keeping with the shipping business model and is not </w:t>
      </w:r>
      <w:r w:rsidR="00056983">
        <w:rPr>
          <w:rFonts w:ascii="Times New Roman" w:hAnsi="Times New Roman" w:cs="Times New Roman"/>
        </w:rPr>
        <w:t xml:space="preserve">generally </w:t>
      </w:r>
      <w:r w:rsidR="00D17FEE">
        <w:rPr>
          <w:rFonts w:ascii="Times New Roman" w:hAnsi="Times New Roman" w:cs="Times New Roman"/>
        </w:rPr>
        <w:t xml:space="preserve">done. If </w:t>
      </w:r>
      <w:r w:rsidR="00056983">
        <w:rPr>
          <w:rFonts w:ascii="Times New Roman" w:hAnsi="Times New Roman" w:cs="Times New Roman"/>
        </w:rPr>
        <w:t xml:space="preserve">on the other hand </w:t>
      </w:r>
      <w:r w:rsidR="00D17FEE">
        <w:rPr>
          <w:rFonts w:ascii="Times New Roman" w:hAnsi="Times New Roman" w:cs="Times New Roman"/>
        </w:rPr>
        <w:t xml:space="preserve">the lien is </w:t>
      </w:r>
      <w:r w:rsidR="00056983">
        <w:rPr>
          <w:rFonts w:ascii="Times New Roman" w:hAnsi="Times New Roman" w:cs="Times New Roman"/>
        </w:rPr>
        <w:t xml:space="preserve">a </w:t>
      </w:r>
      <w:r w:rsidR="00D17FEE" w:rsidRPr="00056983">
        <w:rPr>
          <w:rFonts w:ascii="Times New Roman" w:hAnsi="Times New Roman" w:cs="Times New Roman"/>
          <w:i/>
        </w:rPr>
        <w:t>sui generis</w:t>
      </w:r>
      <w:r w:rsidR="00056983">
        <w:rPr>
          <w:rFonts w:ascii="Times New Roman" w:hAnsi="Times New Roman" w:cs="Times New Roman"/>
        </w:rPr>
        <w:t xml:space="preserve"> contractual non-possessory right</w:t>
      </w:r>
      <w:r w:rsidR="00D17FEE">
        <w:rPr>
          <w:rFonts w:ascii="Times New Roman" w:hAnsi="Times New Roman" w:cs="Times New Roman"/>
        </w:rPr>
        <w:t xml:space="preserve">, it does not need to be registered to have validity and priority. However, uncertainty </w:t>
      </w:r>
      <w:r w:rsidR="00EC22B1">
        <w:rPr>
          <w:rFonts w:ascii="Times New Roman" w:hAnsi="Times New Roman" w:cs="Times New Roman"/>
        </w:rPr>
        <w:t>will</w:t>
      </w:r>
      <w:r w:rsidR="00D17FEE">
        <w:rPr>
          <w:rFonts w:ascii="Times New Roman" w:hAnsi="Times New Roman" w:cs="Times New Roman"/>
        </w:rPr>
        <w:t xml:space="preserve"> arise as to the precise scope of the rights enjoyed by the shipowner</w:t>
      </w:r>
      <w:r w:rsidR="00254C21">
        <w:rPr>
          <w:rFonts w:ascii="Times New Roman" w:hAnsi="Times New Roman" w:cs="Times New Roman"/>
        </w:rPr>
        <w:t xml:space="preserve"> and the foundation for their exercise against third parties</w:t>
      </w:r>
      <w:r w:rsidR="00D17FEE">
        <w:rPr>
          <w:rFonts w:ascii="Times New Roman" w:hAnsi="Times New Roman" w:cs="Times New Roman"/>
        </w:rPr>
        <w:t>.</w:t>
      </w:r>
      <w:r>
        <w:rPr>
          <w:rFonts w:ascii="Times New Roman" w:hAnsi="Times New Roman" w:cs="Times New Roman"/>
        </w:rPr>
        <w:t xml:space="preserve"> For English law,</w:t>
      </w:r>
      <w:r w:rsidR="002F0D58">
        <w:rPr>
          <w:rFonts w:ascii="Times New Roman" w:hAnsi="Times New Roman" w:cs="Times New Roman"/>
        </w:rPr>
        <w:t xml:space="preserve"> Christopher Clarke J in</w:t>
      </w:r>
      <w:r>
        <w:rPr>
          <w:rFonts w:ascii="Times New Roman" w:hAnsi="Times New Roman" w:cs="Times New Roman"/>
        </w:rPr>
        <w:t xml:space="preserve"> </w:t>
      </w:r>
      <w:r w:rsidRPr="00D46614">
        <w:rPr>
          <w:rFonts w:ascii="Times New Roman" w:hAnsi="Times New Roman" w:cs="Times New Roman"/>
          <w:i/>
        </w:rPr>
        <w:t>The Western Moscow</w:t>
      </w:r>
      <w:r w:rsidR="009E193F">
        <w:rPr>
          <w:rStyle w:val="FootnoteReference"/>
          <w:rFonts w:ascii="Times New Roman" w:hAnsi="Times New Roman" w:cs="Times New Roman"/>
        </w:rPr>
        <w:footnoteReference w:id="33"/>
      </w:r>
      <w:r w:rsidRPr="009E193F">
        <w:rPr>
          <w:rFonts w:ascii="Times New Roman" w:hAnsi="Times New Roman" w:cs="Times New Roman"/>
          <w:i/>
        </w:rPr>
        <w:t xml:space="preserve"> </w:t>
      </w:r>
      <w:r>
        <w:rPr>
          <w:rFonts w:ascii="Times New Roman" w:hAnsi="Times New Roman" w:cs="Times New Roman"/>
        </w:rPr>
        <w:t>adopted the theory of the ‘equitable assignment by way of a floating charge’</w:t>
      </w:r>
      <w:r>
        <w:rPr>
          <w:rStyle w:val="FootnoteReference"/>
          <w:rFonts w:ascii="Times New Roman" w:hAnsi="Times New Roman" w:cs="Times New Roman"/>
        </w:rPr>
        <w:footnoteReference w:id="34"/>
      </w:r>
      <w:r>
        <w:rPr>
          <w:rFonts w:ascii="Times New Roman" w:hAnsi="Times New Roman" w:cs="Times New Roman"/>
        </w:rPr>
        <w:t xml:space="preserve"> theory.</w:t>
      </w:r>
      <w:r w:rsidR="002F0D58">
        <w:rPr>
          <w:rFonts w:ascii="Times New Roman" w:hAnsi="Times New Roman" w:cs="Times New Roman"/>
        </w:rPr>
        <w:t xml:space="preserve"> This required disregarding the Privy Council authority in favour of the earlier </w:t>
      </w:r>
      <w:r w:rsidR="0029368D">
        <w:rPr>
          <w:rFonts w:ascii="Times New Roman" w:hAnsi="Times New Roman" w:cs="Times New Roman"/>
        </w:rPr>
        <w:t xml:space="preserve">first instance </w:t>
      </w:r>
      <w:r w:rsidR="002F0D58">
        <w:rPr>
          <w:rFonts w:ascii="Times New Roman" w:hAnsi="Times New Roman" w:cs="Times New Roman"/>
        </w:rPr>
        <w:t xml:space="preserve">case </w:t>
      </w:r>
      <w:r w:rsidR="0029368D" w:rsidRPr="0029368D">
        <w:rPr>
          <w:rFonts w:ascii="Times New Roman" w:hAnsi="Times New Roman" w:cs="Times New Roman"/>
          <w:i/>
        </w:rPr>
        <w:t>Care Shipping Corporation v. Latin American Shipping Corp (The Cebu) (No 1)</w:t>
      </w:r>
      <w:r w:rsidR="0029368D">
        <w:rPr>
          <w:rFonts w:ascii="Times New Roman" w:hAnsi="Times New Roman" w:cs="Times New Roman"/>
        </w:rPr>
        <w:t>,</w:t>
      </w:r>
      <w:r w:rsidR="0029368D">
        <w:rPr>
          <w:rStyle w:val="FootnoteReference"/>
          <w:rFonts w:ascii="Times New Roman" w:hAnsi="Times New Roman" w:cs="Times New Roman"/>
        </w:rPr>
        <w:footnoteReference w:id="35"/>
      </w:r>
      <w:r w:rsidR="0029368D">
        <w:rPr>
          <w:rFonts w:ascii="Times New Roman" w:hAnsi="Times New Roman" w:cs="Times New Roman"/>
        </w:rPr>
        <w:t xml:space="preserve"> and the judge relied on specialised shipping authors to do so.</w:t>
      </w:r>
      <w:r w:rsidR="0029368D">
        <w:rPr>
          <w:rStyle w:val="FootnoteReference"/>
          <w:rFonts w:ascii="Times New Roman" w:hAnsi="Times New Roman" w:cs="Times New Roman"/>
        </w:rPr>
        <w:footnoteReference w:id="36"/>
      </w:r>
      <w:r w:rsidR="0029368D">
        <w:rPr>
          <w:rFonts w:ascii="Times New Roman" w:hAnsi="Times New Roman" w:cs="Times New Roman"/>
        </w:rPr>
        <w:t xml:space="preserve"> </w:t>
      </w:r>
      <w:r w:rsidR="00FB4188">
        <w:rPr>
          <w:rFonts w:ascii="Times New Roman" w:hAnsi="Times New Roman" w:cs="Times New Roman"/>
        </w:rPr>
        <w:t>Th</w:t>
      </w:r>
      <w:r w:rsidR="0029368D">
        <w:rPr>
          <w:rFonts w:ascii="Times New Roman" w:hAnsi="Times New Roman" w:cs="Times New Roman"/>
        </w:rPr>
        <w:t xml:space="preserve">e same position was adopted </w:t>
      </w:r>
      <w:r w:rsidR="00FB4188">
        <w:rPr>
          <w:rFonts w:ascii="Times New Roman" w:hAnsi="Times New Roman" w:cs="Times New Roman"/>
        </w:rPr>
        <w:t>by the Singapore Court of Appeal</w:t>
      </w:r>
      <w:r w:rsidR="0029368D">
        <w:rPr>
          <w:rFonts w:ascii="Times New Roman" w:hAnsi="Times New Roman" w:cs="Times New Roman"/>
        </w:rPr>
        <w:t xml:space="preserve"> when the opportunity arose</w:t>
      </w:r>
      <w:r w:rsidR="00FB4188">
        <w:rPr>
          <w:rFonts w:ascii="Times New Roman" w:hAnsi="Times New Roman" w:cs="Times New Roman"/>
        </w:rPr>
        <w:t xml:space="preserve"> in </w:t>
      </w:r>
      <w:r w:rsidR="00FB4188" w:rsidRPr="009619F6">
        <w:rPr>
          <w:rFonts w:ascii="Times New Roman" w:hAnsi="Times New Roman" w:cs="Times New Roman"/>
          <w:i/>
        </w:rPr>
        <w:t>Diablo Fortune Inc v Duncan, Cameron Lindsay and another</w:t>
      </w:r>
      <w:r w:rsidR="00FB4188">
        <w:rPr>
          <w:rFonts w:ascii="Times New Roman" w:hAnsi="Times New Roman" w:cs="Times New Roman"/>
        </w:rPr>
        <w:t>.</w:t>
      </w:r>
      <w:r w:rsidR="00FB4188">
        <w:rPr>
          <w:rStyle w:val="FootnoteReference"/>
          <w:rFonts w:ascii="Times New Roman" w:hAnsi="Times New Roman" w:cs="Times New Roman"/>
        </w:rPr>
        <w:footnoteReference w:id="37"/>
      </w:r>
      <w:r w:rsidR="00FB4188">
        <w:rPr>
          <w:rFonts w:ascii="Times New Roman" w:hAnsi="Times New Roman" w:cs="Times New Roman"/>
        </w:rPr>
        <w:t xml:space="preserve"> The Singapore Court of Appeal accepted that the lien is an equitable assignment by way of a floating charge</w:t>
      </w:r>
      <w:r w:rsidR="009E193F">
        <w:rPr>
          <w:rFonts w:ascii="Times New Roman" w:hAnsi="Times New Roman" w:cs="Times New Roman"/>
        </w:rPr>
        <w:t>, referring also to Hong Kong authority to the same effect</w:t>
      </w:r>
      <w:r w:rsidR="00FB4188">
        <w:rPr>
          <w:rFonts w:ascii="Times New Roman" w:hAnsi="Times New Roman" w:cs="Times New Roman"/>
        </w:rPr>
        <w:t xml:space="preserve">. </w:t>
      </w:r>
      <w:r w:rsidR="005A1269">
        <w:rPr>
          <w:rFonts w:ascii="Times New Roman" w:hAnsi="Times New Roman" w:cs="Times New Roman"/>
        </w:rPr>
        <w:t>The logical next problem, that such charges usually require registration to be effective</w:t>
      </w:r>
      <w:r w:rsidR="00865869">
        <w:rPr>
          <w:rFonts w:ascii="Times New Roman" w:hAnsi="Times New Roman" w:cs="Times New Roman"/>
        </w:rPr>
        <w:t xml:space="preserve"> against third parties</w:t>
      </w:r>
      <w:r w:rsidR="005A1269">
        <w:rPr>
          <w:rFonts w:ascii="Times New Roman" w:hAnsi="Times New Roman" w:cs="Times New Roman"/>
        </w:rPr>
        <w:t xml:space="preserve">, was </w:t>
      </w:r>
      <w:r w:rsidR="007E02DA">
        <w:rPr>
          <w:rFonts w:ascii="Times New Roman" w:hAnsi="Times New Roman" w:cs="Times New Roman"/>
        </w:rPr>
        <w:t>approached by recommending legislative change to provide that these liens were a carve-out from that rule</w:t>
      </w:r>
      <w:r w:rsidR="00F20255">
        <w:rPr>
          <w:rFonts w:ascii="Times New Roman" w:hAnsi="Times New Roman" w:cs="Times New Roman"/>
        </w:rPr>
        <w:t xml:space="preserve">, as had been </w:t>
      </w:r>
      <w:r w:rsidR="009C2763">
        <w:rPr>
          <w:rFonts w:ascii="Times New Roman" w:hAnsi="Times New Roman" w:cs="Times New Roman"/>
        </w:rPr>
        <w:t>enacted in Hong Kong</w:t>
      </w:r>
      <w:r w:rsidR="007E02DA">
        <w:rPr>
          <w:rFonts w:ascii="Times New Roman" w:hAnsi="Times New Roman" w:cs="Times New Roman"/>
        </w:rPr>
        <w:t>.</w:t>
      </w:r>
      <w:r w:rsidR="007E02DA">
        <w:rPr>
          <w:rStyle w:val="FootnoteReference"/>
          <w:rFonts w:ascii="Times New Roman" w:hAnsi="Times New Roman" w:cs="Times New Roman"/>
        </w:rPr>
        <w:footnoteReference w:id="38"/>
      </w:r>
    </w:p>
    <w:p w14:paraId="516857E6" w14:textId="2B00FB75" w:rsidR="007D44B6" w:rsidRDefault="007D44B6" w:rsidP="005A1269">
      <w:pPr>
        <w:rPr>
          <w:rFonts w:ascii="Times New Roman" w:hAnsi="Times New Roman" w:cs="Times New Roman"/>
        </w:rPr>
      </w:pPr>
    </w:p>
    <w:p w14:paraId="069B0954" w14:textId="5D78FA19" w:rsidR="007D44B6" w:rsidRPr="00B51235" w:rsidRDefault="007D44B6" w:rsidP="007D44B6">
      <w:pPr>
        <w:rPr>
          <w:rFonts w:ascii="Times New Roman" w:hAnsi="Times New Roman" w:cs="Times New Roman"/>
        </w:rPr>
      </w:pPr>
      <w:r w:rsidRPr="00B51235">
        <w:rPr>
          <w:rFonts w:ascii="Times New Roman" w:hAnsi="Times New Roman" w:cs="Times New Roman"/>
        </w:rPr>
        <w:t>I</w:t>
      </w:r>
      <w:r>
        <w:rPr>
          <w:rFonts w:ascii="Times New Roman" w:hAnsi="Times New Roman" w:cs="Times New Roman"/>
        </w:rPr>
        <w:t>t is worth noting</w:t>
      </w:r>
      <w:r w:rsidRPr="00B51235">
        <w:rPr>
          <w:rFonts w:ascii="Times New Roman" w:hAnsi="Times New Roman" w:cs="Times New Roman"/>
        </w:rPr>
        <w:t xml:space="preserve"> </w:t>
      </w:r>
      <w:r w:rsidRPr="00B51235">
        <w:rPr>
          <w:rFonts w:ascii="Times New Roman" w:hAnsi="Times New Roman" w:cs="Times New Roman"/>
          <w:i/>
        </w:rPr>
        <w:t xml:space="preserve">Motor Yacht Sales Australia Pty Limited v </w:t>
      </w:r>
      <w:proofErr w:type="spellStart"/>
      <w:r w:rsidRPr="00B51235">
        <w:rPr>
          <w:rFonts w:ascii="Times New Roman" w:hAnsi="Times New Roman" w:cs="Times New Roman"/>
          <w:i/>
        </w:rPr>
        <w:t>Megisti</w:t>
      </w:r>
      <w:proofErr w:type="spellEnd"/>
      <w:r w:rsidRPr="00B51235">
        <w:rPr>
          <w:rFonts w:ascii="Times New Roman" w:hAnsi="Times New Roman" w:cs="Times New Roman"/>
          <w:i/>
        </w:rPr>
        <w:t xml:space="preserve"> Yacht Charters Limited</w:t>
      </w:r>
      <w:r w:rsidRPr="00B51235">
        <w:rPr>
          <w:rFonts w:ascii="Times New Roman" w:hAnsi="Times New Roman" w:cs="Times New Roman"/>
        </w:rPr>
        <w:t>,</w:t>
      </w:r>
      <w:r w:rsidRPr="00B51235">
        <w:rPr>
          <w:rStyle w:val="FootnoteReference"/>
          <w:rFonts w:ascii="Times New Roman" w:hAnsi="Times New Roman" w:cs="Times New Roman"/>
        </w:rPr>
        <w:footnoteReference w:id="39"/>
      </w:r>
      <w:r w:rsidRPr="00B51235">
        <w:rPr>
          <w:rFonts w:ascii="Times New Roman" w:hAnsi="Times New Roman" w:cs="Times New Roman"/>
        </w:rPr>
        <w:t xml:space="preserve"> </w:t>
      </w:r>
      <w:r>
        <w:rPr>
          <w:rFonts w:ascii="Times New Roman" w:hAnsi="Times New Roman" w:cs="Times New Roman"/>
        </w:rPr>
        <w:t xml:space="preserve">a case concerning a vessel rather than </w:t>
      </w:r>
      <w:proofErr w:type="spellStart"/>
      <w:r>
        <w:rPr>
          <w:rFonts w:ascii="Times New Roman" w:hAnsi="Times New Roman" w:cs="Times New Roman"/>
        </w:rPr>
        <w:t>subfreight</w:t>
      </w:r>
      <w:proofErr w:type="spellEnd"/>
      <w:r>
        <w:rPr>
          <w:rFonts w:ascii="Times New Roman" w:hAnsi="Times New Roman" w:cs="Times New Roman"/>
        </w:rPr>
        <w:t xml:space="preserve"> (or cargo), where </w:t>
      </w:r>
      <w:r w:rsidRPr="00B51235">
        <w:rPr>
          <w:rFonts w:ascii="Times New Roman" w:hAnsi="Times New Roman" w:cs="Times New Roman"/>
        </w:rPr>
        <w:t xml:space="preserve">the respondents sought to justify a caveat entered on the shipping register with a number of arguments, one of which was that they had previously owned the motor yacht </w:t>
      </w:r>
      <w:r w:rsidRPr="00B51235">
        <w:rPr>
          <w:rFonts w:ascii="Times New Roman" w:hAnsi="Times New Roman" w:cs="Times New Roman"/>
          <w:i/>
        </w:rPr>
        <w:t>Hunter</w:t>
      </w:r>
      <w:r w:rsidRPr="00B51235">
        <w:rPr>
          <w:rFonts w:ascii="Times New Roman" w:hAnsi="Times New Roman" w:cs="Times New Roman"/>
        </w:rPr>
        <w:t xml:space="preserve"> in trust for the applicant and that they had an equitable lien over </w:t>
      </w:r>
      <w:r w:rsidRPr="00B51235">
        <w:rPr>
          <w:rFonts w:ascii="Times New Roman" w:hAnsi="Times New Roman" w:cs="Times New Roman"/>
          <w:i/>
        </w:rPr>
        <w:t>Hunter</w:t>
      </w:r>
      <w:r w:rsidRPr="00B51235">
        <w:rPr>
          <w:rFonts w:ascii="Times New Roman" w:hAnsi="Times New Roman" w:cs="Times New Roman"/>
        </w:rPr>
        <w:t xml:space="preserve"> in respect of liabilities and expenses incurred by them as trustees.</w:t>
      </w:r>
      <w:r w:rsidRPr="00B51235">
        <w:rPr>
          <w:rStyle w:val="FootnoteReference"/>
          <w:rFonts w:ascii="Times New Roman" w:hAnsi="Times New Roman" w:cs="Times New Roman"/>
        </w:rPr>
        <w:footnoteReference w:id="40"/>
      </w:r>
      <w:r>
        <w:rPr>
          <w:rFonts w:ascii="Times New Roman" w:hAnsi="Times New Roman" w:cs="Times New Roman"/>
        </w:rPr>
        <w:t xml:space="preserve"> </w:t>
      </w:r>
      <w:r w:rsidRPr="00B51235">
        <w:rPr>
          <w:rFonts w:ascii="Times New Roman" w:hAnsi="Times New Roman" w:cs="Times New Roman"/>
        </w:rPr>
        <w:t xml:space="preserve">The case concerned maritime and statutory liens, whose potential existence was said to prevent transfer of unencumbered title as per the ship sale agreement. The judge held that precisely </w:t>
      </w:r>
      <w:r w:rsidRPr="00B51235">
        <w:rPr>
          <w:rFonts w:ascii="Times New Roman" w:hAnsi="Times New Roman" w:cs="Times New Roman"/>
          <w:i/>
        </w:rPr>
        <w:t>because</w:t>
      </w:r>
      <w:r w:rsidRPr="00B51235">
        <w:rPr>
          <w:rFonts w:ascii="Times New Roman" w:hAnsi="Times New Roman" w:cs="Times New Roman"/>
        </w:rPr>
        <w:t xml:space="preserve"> the potential liens were undiscoverable, there was no justification for a construction that the definition of completion required transfer of unencumbered title.</w:t>
      </w:r>
      <w:r w:rsidRPr="00B51235">
        <w:rPr>
          <w:rStyle w:val="FootnoteReference"/>
          <w:rFonts w:ascii="Times New Roman" w:hAnsi="Times New Roman" w:cs="Times New Roman"/>
        </w:rPr>
        <w:footnoteReference w:id="41"/>
      </w:r>
    </w:p>
    <w:p w14:paraId="04C182B5" w14:textId="77777777" w:rsidR="007D44B6" w:rsidRPr="00B51235" w:rsidRDefault="007D44B6" w:rsidP="007D44B6">
      <w:pPr>
        <w:rPr>
          <w:rFonts w:ascii="Times New Roman" w:hAnsi="Times New Roman" w:cs="Times New Roman"/>
        </w:rPr>
      </w:pPr>
    </w:p>
    <w:p w14:paraId="0EC00D28" w14:textId="09781E3D" w:rsidR="007D44B6" w:rsidRPr="00B51235" w:rsidRDefault="007D44B6" w:rsidP="007D44B6">
      <w:pPr>
        <w:rPr>
          <w:rFonts w:ascii="Times New Roman" w:hAnsi="Times New Roman" w:cs="Times New Roman"/>
        </w:rPr>
      </w:pPr>
      <w:r w:rsidRPr="00B51235">
        <w:rPr>
          <w:rFonts w:ascii="Times New Roman" w:hAnsi="Times New Roman" w:cs="Times New Roman"/>
        </w:rPr>
        <w:t>The reasoning translates to liens on freight: they are not discoverable as a result of the judicially indicated lack of a requirement to register them.</w:t>
      </w:r>
      <w:r w:rsidRPr="007D44B6">
        <w:rPr>
          <w:rFonts w:ascii="Times New Roman" w:hAnsi="Times New Roman" w:cs="Times New Roman"/>
        </w:rPr>
        <w:t xml:space="preserve"> </w:t>
      </w:r>
      <w:r w:rsidRPr="00B51235">
        <w:rPr>
          <w:rFonts w:ascii="Times New Roman" w:hAnsi="Times New Roman" w:cs="Times New Roman"/>
        </w:rPr>
        <w:t xml:space="preserve">For a competing creditor possessing a properly registered floating charge over the sums, the lien is undiscoverable. As a result, pledges of monies subject to a lien are </w:t>
      </w:r>
      <w:r>
        <w:rPr>
          <w:rFonts w:ascii="Times New Roman" w:hAnsi="Times New Roman" w:cs="Times New Roman"/>
        </w:rPr>
        <w:t xml:space="preserve">arguably </w:t>
      </w:r>
      <w:r w:rsidRPr="00B51235">
        <w:rPr>
          <w:rFonts w:ascii="Times New Roman" w:hAnsi="Times New Roman" w:cs="Times New Roman"/>
        </w:rPr>
        <w:t xml:space="preserve">not capable of standing in the way of competing transactions, for example to more than one charterer, or to other creditors. The best course of action for such a creditor is to discount entirely the hire </w:t>
      </w:r>
      <w:r w:rsidR="004E57E3">
        <w:rPr>
          <w:rFonts w:ascii="Times New Roman" w:hAnsi="Times New Roman" w:cs="Times New Roman"/>
        </w:rPr>
        <w:t xml:space="preserve">and freight </w:t>
      </w:r>
      <w:r w:rsidRPr="00B51235">
        <w:rPr>
          <w:rFonts w:ascii="Times New Roman" w:hAnsi="Times New Roman" w:cs="Times New Roman"/>
        </w:rPr>
        <w:t xml:space="preserve">from the </w:t>
      </w:r>
      <w:r w:rsidRPr="00B51235">
        <w:rPr>
          <w:rFonts w:ascii="Times New Roman" w:hAnsi="Times New Roman" w:cs="Times New Roman"/>
        </w:rPr>
        <w:lastRenderedPageBreak/>
        <w:t xml:space="preserve">value of the floating charge, on an assumption that it will be consumed by a </w:t>
      </w:r>
      <w:proofErr w:type="spellStart"/>
      <w:r w:rsidRPr="00B51235">
        <w:rPr>
          <w:rFonts w:ascii="Times New Roman" w:hAnsi="Times New Roman" w:cs="Times New Roman"/>
        </w:rPr>
        <w:t>disponent</w:t>
      </w:r>
      <w:proofErr w:type="spellEnd"/>
      <w:r w:rsidRPr="00B51235">
        <w:rPr>
          <w:rFonts w:ascii="Times New Roman" w:hAnsi="Times New Roman" w:cs="Times New Roman"/>
        </w:rPr>
        <w:t xml:space="preserve"> owner’s lien. This may reduce the attractiveness of the charterer as debtor.</w:t>
      </w:r>
      <w:r w:rsidRPr="00B51235">
        <w:rPr>
          <w:rStyle w:val="FootnoteReference"/>
          <w:rFonts w:ascii="Times New Roman" w:hAnsi="Times New Roman" w:cs="Times New Roman"/>
        </w:rPr>
        <w:footnoteReference w:id="42"/>
      </w:r>
    </w:p>
    <w:p w14:paraId="5FBB765E" w14:textId="77777777" w:rsidR="007D44B6" w:rsidRDefault="007D44B6" w:rsidP="005A1269">
      <w:pPr>
        <w:rPr>
          <w:rFonts w:ascii="Times New Roman" w:hAnsi="Times New Roman" w:cs="Times New Roman"/>
        </w:rPr>
      </w:pPr>
    </w:p>
    <w:p w14:paraId="519B338B" w14:textId="1920C282" w:rsidR="00FB4188" w:rsidRDefault="00FB4188" w:rsidP="00D17FEE">
      <w:pPr>
        <w:rPr>
          <w:rFonts w:ascii="Times New Roman" w:hAnsi="Times New Roman" w:cs="Times New Roman"/>
        </w:rPr>
      </w:pPr>
      <w:r>
        <w:rPr>
          <w:rFonts w:ascii="Times New Roman" w:hAnsi="Times New Roman" w:cs="Times New Roman"/>
        </w:rPr>
        <w:t>Th</w:t>
      </w:r>
      <w:r w:rsidR="007D44B6">
        <w:rPr>
          <w:rFonts w:ascii="Times New Roman" w:hAnsi="Times New Roman" w:cs="Times New Roman"/>
        </w:rPr>
        <w:t xml:space="preserve">at the lien is an equitable charge </w:t>
      </w:r>
      <w:r>
        <w:rPr>
          <w:rFonts w:ascii="Times New Roman" w:hAnsi="Times New Roman" w:cs="Times New Roman"/>
        </w:rPr>
        <w:t>appears to be the accepted position in common law jurisdictions – making these liens eccentric even by maritime law standards</w:t>
      </w:r>
      <w:r w:rsidR="009E193F">
        <w:rPr>
          <w:rFonts w:ascii="Times New Roman" w:hAnsi="Times New Roman" w:cs="Times New Roman"/>
        </w:rPr>
        <w:t>: arising from ‘maritime law’ and from the shipowner’s rights to retain possession of cargo for unpaid freight; but unconnected to possession and enforceable in the common law courts</w:t>
      </w:r>
      <w:r w:rsidR="00865869">
        <w:rPr>
          <w:rFonts w:ascii="Times New Roman" w:hAnsi="Times New Roman" w:cs="Times New Roman"/>
        </w:rPr>
        <w:t>; of a type usually requiring registration, but the courts landing heavily in favour of registration not being required</w:t>
      </w:r>
      <w:r w:rsidR="009E193F">
        <w:rPr>
          <w:rFonts w:ascii="Times New Roman" w:hAnsi="Times New Roman" w:cs="Times New Roman"/>
        </w:rPr>
        <w:t>.</w:t>
      </w:r>
    </w:p>
    <w:p w14:paraId="76A34A1E" w14:textId="6C0B7B69" w:rsidR="00D46614" w:rsidRDefault="00D46614" w:rsidP="00D17FEE">
      <w:pPr>
        <w:rPr>
          <w:rFonts w:ascii="Times New Roman" w:hAnsi="Times New Roman" w:cs="Times New Roman"/>
        </w:rPr>
      </w:pPr>
    </w:p>
    <w:p w14:paraId="70BF6AA3" w14:textId="77777777" w:rsidR="00D46614" w:rsidRDefault="00D46614" w:rsidP="00D46614">
      <w:pPr>
        <w:rPr>
          <w:rFonts w:ascii="Times New Roman" w:hAnsi="Times New Roman" w:cs="Times New Roman"/>
        </w:rPr>
      </w:pPr>
    </w:p>
    <w:p w14:paraId="31491112" w14:textId="0EB03BDD" w:rsidR="00D46614" w:rsidRPr="00D46614" w:rsidRDefault="00D46614" w:rsidP="00D17FEE">
      <w:pPr>
        <w:rPr>
          <w:rFonts w:ascii="Times New Roman" w:hAnsi="Times New Roman" w:cs="Times New Roman"/>
          <w:b/>
        </w:rPr>
      </w:pPr>
      <w:r w:rsidRPr="00D46614">
        <w:rPr>
          <w:rFonts w:ascii="Times New Roman" w:hAnsi="Times New Roman" w:cs="Times New Roman"/>
          <w:b/>
        </w:rPr>
        <w:t>Contracts</w:t>
      </w:r>
    </w:p>
    <w:p w14:paraId="18D904D2" w14:textId="77777777" w:rsidR="00056983" w:rsidRDefault="00056983" w:rsidP="00D17FEE">
      <w:pPr>
        <w:rPr>
          <w:rFonts w:ascii="Times New Roman" w:hAnsi="Times New Roman" w:cs="Times New Roman"/>
        </w:rPr>
      </w:pPr>
    </w:p>
    <w:p w14:paraId="3AF053E0" w14:textId="5B209B8E" w:rsidR="00D17FEE" w:rsidRDefault="00056983" w:rsidP="00D17FEE">
      <w:pPr>
        <w:rPr>
          <w:rFonts w:ascii="Times New Roman" w:hAnsi="Times New Roman" w:cs="Times New Roman"/>
        </w:rPr>
      </w:pPr>
      <w:r>
        <w:rPr>
          <w:rFonts w:ascii="Times New Roman" w:hAnsi="Times New Roman" w:cs="Times New Roman"/>
        </w:rPr>
        <w:t>T</w:t>
      </w:r>
      <w:r w:rsidR="00D17FEE">
        <w:rPr>
          <w:rFonts w:ascii="Times New Roman" w:hAnsi="Times New Roman" w:cs="Times New Roman"/>
        </w:rPr>
        <w:t xml:space="preserve">he </w:t>
      </w:r>
      <w:r w:rsidR="00D46614">
        <w:rPr>
          <w:rFonts w:ascii="Times New Roman" w:hAnsi="Times New Roman" w:cs="Times New Roman"/>
        </w:rPr>
        <w:t xml:space="preserve">effect that the </w:t>
      </w:r>
      <w:r>
        <w:rPr>
          <w:rFonts w:ascii="Times New Roman" w:hAnsi="Times New Roman" w:cs="Times New Roman"/>
        </w:rPr>
        <w:t>lien on sub-freights</w:t>
      </w:r>
      <w:r w:rsidR="00D17FEE">
        <w:rPr>
          <w:rFonts w:ascii="Times New Roman" w:hAnsi="Times New Roman" w:cs="Times New Roman"/>
        </w:rPr>
        <w:t xml:space="preserve"> has on third parties is through the contractual clauses. This means that the written agreements involved take centre-stage, and it is important to decide what contracts are relevant to the situation, between what parties </w:t>
      </w:r>
      <w:r>
        <w:rPr>
          <w:rFonts w:ascii="Times New Roman" w:hAnsi="Times New Roman" w:cs="Times New Roman"/>
        </w:rPr>
        <w:t>the</w:t>
      </w:r>
      <w:r w:rsidR="00D17FEE">
        <w:rPr>
          <w:rFonts w:ascii="Times New Roman" w:hAnsi="Times New Roman" w:cs="Times New Roman"/>
        </w:rPr>
        <w:t xml:space="preserve"> has effect and what clauses </w:t>
      </w:r>
      <w:r>
        <w:rPr>
          <w:rFonts w:ascii="Times New Roman" w:hAnsi="Times New Roman" w:cs="Times New Roman"/>
        </w:rPr>
        <w:t>are</w:t>
      </w:r>
      <w:r w:rsidR="00D17FEE">
        <w:rPr>
          <w:rFonts w:ascii="Times New Roman" w:hAnsi="Times New Roman" w:cs="Times New Roman"/>
        </w:rPr>
        <w:t xml:space="preserve"> incorporate</w:t>
      </w:r>
      <w:r>
        <w:rPr>
          <w:rFonts w:ascii="Times New Roman" w:hAnsi="Times New Roman" w:cs="Times New Roman"/>
        </w:rPr>
        <w:t>d</w:t>
      </w:r>
      <w:r w:rsidR="00D17FEE">
        <w:rPr>
          <w:rFonts w:ascii="Times New Roman" w:hAnsi="Times New Roman" w:cs="Times New Roman"/>
        </w:rPr>
        <w:t xml:space="preserve"> from other contracts</w:t>
      </w:r>
      <w:r>
        <w:rPr>
          <w:rFonts w:ascii="Times New Roman" w:hAnsi="Times New Roman" w:cs="Times New Roman"/>
        </w:rPr>
        <w:t>. Incorporation follows the rules</w:t>
      </w:r>
      <w:r w:rsidR="00E56DC9">
        <w:rPr>
          <w:rFonts w:ascii="Times New Roman" w:hAnsi="Times New Roman" w:cs="Times New Roman"/>
        </w:rPr>
        <w:t xml:space="preserve"> usual to shipping contracts</w:t>
      </w:r>
      <w:r>
        <w:rPr>
          <w:rFonts w:ascii="Times New Roman" w:hAnsi="Times New Roman" w:cs="Times New Roman"/>
        </w:rPr>
        <w:t>.</w:t>
      </w:r>
      <w:r>
        <w:rPr>
          <w:rStyle w:val="FootnoteReference"/>
          <w:rFonts w:ascii="Times New Roman" w:hAnsi="Times New Roman" w:cs="Times New Roman"/>
        </w:rPr>
        <w:footnoteReference w:id="43"/>
      </w:r>
      <w:r>
        <w:rPr>
          <w:rFonts w:ascii="Times New Roman" w:hAnsi="Times New Roman" w:cs="Times New Roman"/>
        </w:rPr>
        <w:t xml:space="preserve"> The scope of the </w:t>
      </w:r>
      <w:r w:rsidR="00D17FEE">
        <w:rPr>
          <w:rFonts w:ascii="Times New Roman" w:hAnsi="Times New Roman" w:cs="Times New Roman"/>
        </w:rPr>
        <w:t>lien clause – whether incorporated from other contracts or present in the contract itself</w:t>
      </w:r>
      <w:r>
        <w:rPr>
          <w:rFonts w:ascii="Times New Roman" w:hAnsi="Times New Roman" w:cs="Times New Roman"/>
        </w:rPr>
        <w:t xml:space="preserve"> is also crucial</w:t>
      </w:r>
      <w:r w:rsidR="00E56DC9">
        <w:rPr>
          <w:rFonts w:ascii="Times New Roman" w:hAnsi="Times New Roman" w:cs="Times New Roman"/>
        </w:rPr>
        <w:t xml:space="preserve"> and will be discussed in the following</w:t>
      </w:r>
      <w:r w:rsidR="00D17FEE">
        <w:rPr>
          <w:rFonts w:ascii="Times New Roman" w:hAnsi="Times New Roman" w:cs="Times New Roman"/>
        </w:rPr>
        <w:t>.</w:t>
      </w:r>
    </w:p>
    <w:p w14:paraId="780FAB08" w14:textId="77777777" w:rsidR="009619F6" w:rsidRDefault="009619F6" w:rsidP="00D17FEE">
      <w:pPr>
        <w:rPr>
          <w:rFonts w:ascii="Times New Roman" w:hAnsi="Times New Roman" w:cs="Times New Roman"/>
        </w:rPr>
      </w:pPr>
    </w:p>
    <w:p w14:paraId="6275C168" w14:textId="09750489" w:rsidR="00C51246" w:rsidRPr="00C51246" w:rsidRDefault="00D17FEE" w:rsidP="00C51246">
      <w:pPr>
        <w:rPr>
          <w:rFonts w:ascii="Times New Roman" w:hAnsi="Times New Roman" w:cs="Times New Roman"/>
        </w:rPr>
      </w:pPr>
      <w:r>
        <w:rPr>
          <w:rFonts w:ascii="Times New Roman" w:hAnsi="Times New Roman" w:cs="Times New Roman"/>
        </w:rPr>
        <w:t xml:space="preserve">For the third parties, whether they are voyage charterers or bill of lading holders, it may not matter much to whom they pay, </w:t>
      </w:r>
      <w:proofErr w:type="gramStart"/>
      <w:r>
        <w:rPr>
          <w:rFonts w:ascii="Times New Roman" w:hAnsi="Times New Roman" w:cs="Times New Roman"/>
        </w:rPr>
        <w:t>as long as</w:t>
      </w:r>
      <w:proofErr w:type="gramEnd"/>
      <w:r>
        <w:rPr>
          <w:rFonts w:ascii="Times New Roman" w:hAnsi="Times New Roman" w:cs="Times New Roman"/>
        </w:rPr>
        <w:t xml:space="preserve"> their payment is </w:t>
      </w:r>
      <w:r w:rsidR="00787CD4">
        <w:rPr>
          <w:rFonts w:ascii="Times New Roman" w:hAnsi="Times New Roman" w:cs="Times New Roman"/>
        </w:rPr>
        <w:t xml:space="preserve">legally </w:t>
      </w:r>
      <w:r>
        <w:rPr>
          <w:rFonts w:ascii="Times New Roman" w:hAnsi="Times New Roman" w:cs="Times New Roman"/>
        </w:rPr>
        <w:t>recognised</w:t>
      </w:r>
      <w:r w:rsidR="00056983">
        <w:rPr>
          <w:rFonts w:ascii="Times New Roman" w:hAnsi="Times New Roman" w:cs="Times New Roman"/>
        </w:rPr>
        <w:t xml:space="preserve"> as discharging their </w:t>
      </w:r>
      <w:r w:rsidR="00787CD4">
        <w:rPr>
          <w:rFonts w:ascii="Times New Roman" w:hAnsi="Times New Roman" w:cs="Times New Roman"/>
        </w:rPr>
        <w:t xml:space="preserve">contractual </w:t>
      </w:r>
      <w:r w:rsidR="00056983">
        <w:rPr>
          <w:rFonts w:ascii="Times New Roman" w:hAnsi="Times New Roman" w:cs="Times New Roman"/>
        </w:rPr>
        <w:t>obligations</w:t>
      </w:r>
      <w:r>
        <w:rPr>
          <w:rFonts w:ascii="Times New Roman" w:hAnsi="Times New Roman" w:cs="Times New Roman"/>
        </w:rPr>
        <w:t xml:space="preserve">. If they are uncertain as to whether the notice from the shipowner is the proper exercise of a right, they have the option of </w:t>
      </w:r>
      <w:r w:rsidR="000B51B6">
        <w:rPr>
          <w:rFonts w:ascii="Times New Roman" w:hAnsi="Times New Roman" w:cs="Times New Roman"/>
        </w:rPr>
        <w:t>setting the disputed sum aside with</w:t>
      </w:r>
      <w:r>
        <w:rPr>
          <w:rFonts w:ascii="Times New Roman" w:hAnsi="Times New Roman" w:cs="Times New Roman"/>
        </w:rPr>
        <w:t xml:space="preserve"> solicitors </w:t>
      </w:r>
      <w:r w:rsidR="00787CD4">
        <w:rPr>
          <w:rFonts w:ascii="Times New Roman" w:hAnsi="Times New Roman" w:cs="Times New Roman"/>
        </w:rPr>
        <w:t xml:space="preserve">or in court </w:t>
      </w:r>
      <w:r>
        <w:rPr>
          <w:rFonts w:ascii="Times New Roman" w:hAnsi="Times New Roman" w:cs="Times New Roman"/>
        </w:rPr>
        <w:t>until the matter is settled</w:t>
      </w:r>
      <w:r w:rsidR="000B51B6">
        <w:rPr>
          <w:rFonts w:ascii="Times New Roman" w:hAnsi="Times New Roman" w:cs="Times New Roman"/>
        </w:rPr>
        <w:t xml:space="preserve"> to avoid being drawn into litigation</w:t>
      </w:r>
      <w:r>
        <w:rPr>
          <w:rFonts w:ascii="Times New Roman" w:hAnsi="Times New Roman" w:cs="Times New Roman"/>
        </w:rPr>
        <w:t xml:space="preserve">. But they may well be happy to pay to the shipowner instead of their counterpart, </w:t>
      </w:r>
      <w:proofErr w:type="gramStart"/>
      <w:r>
        <w:rPr>
          <w:rFonts w:ascii="Times New Roman" w:hAnsi="Times New Roman" w:cs="Times New Roman"/>
        </w:rPr>
        <w:t>as long as</w:t>
      </w:r>
      <w:proofErr w:type="gramEnd"/>
      <w:r>
        <w:rPr>
          <w:rFonts w:ascii="Times New Roman" w:hAnsi="Times New Roman" w:cs="Times New Roman"/>
        </w:rPr>
        <w:t xml:space="preserve"> that payment </w:t>
      </w:r>
      <w:r w:rsidR="000B51B6">
        <w:rPr>
          <w:rFonts w:ascii="Times New Roman" w:hAnsi="Times New Roman" w:cs="Times New Roman"/>
        </w:rPr>
        <w:t>is in effective discharge of their obligations</w:t>
      </w:r>
      <w:r>
        <w:rPr>
          <w:rFonts w:ascii="Times New Roman" w:hAnsi="Times New Roman" w:cs="Times New Roman"/>
        </w:rPr>
        <w:t>.</w:t>
      </w:r>
      <w:r w:rsidR="000B51B6">
        <w:rPr>
          <w:rFonts w:ascii="Times New Roman" w:hAnsi="Times New Roman" w:cs="Times New Roman"/>
        </w:rPr>
        <w:t xml:space="preserve"> </w:t>
      </w:r>
      <w:r>
        <w:rPr>
          <w:rFonts w:ascii="Times New Roman" w:hAnsi="Times New Roman" w:cs="Times New Roman"/>
        </w:rPr>
        <w:t>Problems arise for the third party where either the shipowner or the charterer is insolvent (and the charterer may well not be paying precisely because it is havi</w:t>
      </w:r>
      <w:r w:rsidR="000B51B6">
        <w:rPr>
          <w:rFonts w:ascii="Times New Roman" w:hAnsi="Times New Roman" w:cs="Times New Roman"/>
        </w:rPr>
        <w:t>n</w:t>
      </w:r>
      <w:r>
        <w:rPr>
          <w:rFonts w:ascii="Times New Roman" w:hAnsi="Times New Roman" w:cs="Times New Roman"/>
        </w:rPr>
        <w:t xml:space="preserve">g liquidity issues). In such a case, the third party is at risk of paying freight twice if it </w:t>
      </w:r>
      <w:r w:rsidR="000B51B6">
        <w:rPr>
          <w:rFonts w:ascii="Times New Roman" w:hAnsi="Times New Roman" w:cs="Times New Roman"/>
        </w:rPr>
        <w:t xml:space="preserve">first </w:t>
      </w:r>
      <w:r>
        <w:rPr>
          <w:rFonts w:ascii="Times New Roman" w:hAnsi="Times New Roman" w:cs="Times New Roman"/>
        </w:rPr>
        <w:t>pays to the wrong party.</w:t>
      </w:r>
      <w:r w:rsidR="00C51246">
        <w:rPr>
          <w:rFonts w:ascii="Times New Roman" w:hAnsi="Times New Roman" w:cs="Times New Roman"/>
        </w:rPr>
        <w:t xml:space="preserve"> </w:t>
      </w:r>
      <w:r w:rsidR="00C51246" w:rsidRPr="00B51235">
        <w:rPr>
          <w:rFonts w:ascii="Times New Roman" w:hAnsi="Times New Roman" w:cs="Times New Roman"/>
          <w:lang w:val="en-US"/>
        </w:rPr>
        <w:t xml:space="preserve">In </w:t>
      </w:r>
      <w:r w:rsidR="00C51246" w:rsidRPr="00B51235">
        <w:rPr>
          <w:rFonts w:ascii="Times New Roman" w:hAnsi="Times New Roman" w:cs="Times New Roman"/>
          <w:i/>
          <w:lang w:val="en-US"/>
        </w:rPr>
        <w:t xml:space="preserve">Samsun Logix Corp v </w:t>
      </w:r>
      <w:proofErr w:type="spellStart"/>
      <w:r w:rsidR="00C51246" w:rsidRPr="00B51235">
        <w:rPr>
          <w:rFonts w:ascii="Times New Roman" w:hAnsi="Times New Roman" w:cs="Times New Roman"/>
          <w:i/>
          <w:lang w:val="en-US"/>
        </w:rPr>
        <w:t>Oceantrade</w:t>
      </w:r>
      <w:proofErr w:type="spellEnd"/>
      <w:r w:rsidR="00C51246" w:rsidRPr="00B51235">
        <w:rPr>
          <w:rFonts w:ascii="Times New Roman" w:hAnsi="Times New Roman" w:cs="Times New Roman"/>
          <w:i/>
          <w:lang w:val="en-US"/>
        </w:rPr>
        <w:t xml:space="preserve"> Corp</w:t>
      </w:r>
      <w:r w:rsidR="00C51246" w:rsidRPr="00B51235">
        <w:rPr>
          <w:rFonts w:ascii="Times New Roman" w:hAnsi="Times New Roman" w:cs="Times New Roman"/>
          <w:lang w:val="en-US"/>
        </w:rPr>
        <w:t>,</w:t>
      </w:r>
      <w:r w:rsidR="00C51246" w:rsidRPr="00B51235">
        <w:rPr>
          <w:rStyle w:val="FootnoteReference"/>
          <w:rFonts w:ascii="Times New Roman" w:hAnsi="Times New Roman" w:cs="Times New Roman"/>
          <w:lang w:val="en-US"/>
        </w:rPr>
        <w:footnoteReference w:id="44"/>
      </w:r>
      <w:r w:rsidR="00C51246" w:rsidRPr="00B51235">
        <w:rPr>
          <w:rFonts w:ascii="Times New Roman" w:hAnsi="Times New Roman" w:cs="Times New Roman"/>
          <w:lang w:val="en-US"/>
        </w:rPr>
        <w:t xml:space="preserve"> Samsun had taken out a freezing order on all assets of </w:t>
      </w:r>
      <w:proofErr w:type="spellStart"/>
      <w:r w:rsidR="00C51246" w:rsidRPr="00B51235">
        <w:rPr>
          <w:rFonts w:ascii="Times New Roman" w:hAnsi="Times New Roman" w:cs="Times New Roman"/>
          <w:lang w:val="en-US"/>
        </w:rPr>
        <w:t>Oceantrade</w:t>
      </w:r>
      <w:proofErr w:type="spellEnd"/>
      <w:r w:rsidR="00C51246" w:rsidRPr="00B51235">
        <w:rPr>
          <w:rFonts w:ascii="Times New Roman" w:hAnsi="Times New Roman" w:cs="Times New Roman"/>
          <w:lang w:val="en-US"/>
        </w:rPr>
        <w:t xml:space="preserve">, their time charterer for the vessel </w:t>
      </w:r>
      <w:r w:rsidR="00C51246" w:rsidRPr="00B51235">
        <w:rPr>
          <w:rFonts w:ascii="Times New Roman" w:hAnsi="Times New Roman" w:cs="Times New Roman"/>
          <w:i/>
          <w:lang w:val="en-US"/>
        </w:rPr>
        <w:t>Nord Monaco</w:t>
      </w:r>
      <w:r w:rsidR="00C51246" w:rsidRPr="00B51235">
        <w:rPr>
          <w:rFonts w:ascii="Times New Roman" w:hAnsi="Times New Roman" w:cs="Times New Roman"/>
          <w:lang w:val="en-US"/>
        </w:rPr>
        <w:t xml:space="preserve">. </w:t>
      </w:r>
      <w:proofErr w:type="spellStart"/>
      <w:r w:rsidR="00C51246" w:rsidRPr="00B51235">
        <w:rPr>
          <w:rFonts w:ascii="Times New Roman" w:hAnsi="Times New Roman" w:cs="Times New Roman"/>
          <w:lang w:val="en-US"/>
        </w:rPr>
        <w:t>Oceantrade</w:t>
      </w:r>
      <w:proofErr w:type="spellEnd"/>
      <w:r w:rsidR="00C51246" w:rsidRPr="00B51235">
        <w:rPr>
          <w:rFonts w:ascii="Times New Roman" w:hAnsi="Times New Roman" w:cs="Times New Roman"/>
          <w:lang w:val="en-US"/>
        </w:rPr>
        <w:t xml:space="preserve"> was at the time in Chapter 11 proceedings in US. The freezing order was later varied to permit payments by Helm, the voyage charterer of </w:t>
      </w:r>
      <w:proofErr w:type="spellStart"/>
      <w:r w:rsidR="00C51246" w:rsidRPr="00B51235">
        <w:rPr>
          <w:rFonts w:ascii="Times New Roman" w:hAnsi="Times New Roman" w:cs="Times New Roman"/>
          <w:lang w:val="en-US"/>
        </w:rPr>
        <w:t>Oceantrade</w:t>
      </w:r>
      <w:proofErr w:type="spellEnd"/>
      <w:r w:rsidR="00C51246" w:rsidRPr="00B51235">
        <w:rPr>
          <w:rFonts w:ascii="Times New Roman" w:hAnsi="Times New Roman" w:cs="Times New Roman"/>
          <w:lang w:val="en-US"/>
        </w:rPr>
        <w:t xml:space="preserve"> under a separate chain of </w:t>
      </w:r>
      <w:proofErr w:type="spellStart"/>
      <w:r w:rsidR="00C51246" w:rsidRPr="00B51235">
        <w:rPr>
          <w:rFonts w:ascii="Times New Roman" w:hAnsi="Times New Roman" w:cs="Times New Roman"/>
          <w:lang w:val="en-US"/>
        </w:rPr>
        <w:t>charterparties</w:t>
      </w:r>
      <w:proofErr w:type="spellEnd"/>
      <w:r w:rsidR="00C51246" w:rsidRPr="00B51235">
        <w:rPr>
          <w:rFonts w:ascii="Times New Roman" w:hAnsi="Times New Roman" w:cs="Times New Roman"/>
          <w:lang w:val="en-US"/>
        </w:rPr>
        <w:t xml:space="preserve"> for the vessel </w:t>
      </w:r>
      <w:proofErr w:type="spellStart"/>
      <w:r w:rsidR="00C51246" w:rsidRPr="00B51235">
        <w:rPr>
          <w:rFonts w:ascii="Times New Roman" w:hAnsi="Times New Roman" w:cs="Times New Roman"/>
          <w:i/>
          <w:lang w:val="en-US"/>
        </w:rPr>
        <w:t>Orhan</w:t>
      </w:r>
      <w:proofErr w:type="spellEnd"/>
      <w:r w:rsidR="00C51246" w:rsidRPr="00B51235">
        <w:rPr>
          <w:rFonts w:ascii="Times New Roman" w:hAnsi="Times New Roman" w:cs="Times New Roman"/>
          <w:i/>
          <w:lang w:val="en-US"/>
        </w:rPr>
        <w:t xml:space="preserve"> Deval</w:t>
      </w:r>
      <w:r w:rsidR="00C51246" w:rsidRPr="00B51235">
        <w:rPr>
          <w:rFonts w:ascii="Times New Roman" w:hAnsi="Times New Roman" w:cs="Times New Roman"/>
          <w:lang w:val="en-US"/>
        </w:rPr>
        <w:t xml:space="preserve">, to </w:t>
      </w:r>
      <w:proofErr w:type="spellStart"/>
      <w:r w:rsidR="00C51246" w:rsidRPr="00B51235">
        <w:rPr>
          <w:rFonts w:ascii="Times New Roman" w:hAnsi="Times New Roman" w:cs="Times New Roman"/>
          <w:lang w:val="en-US"/>
        </w:rPr>
        <w:t>Oceantrade’s</w:t>
      </w:r>
      <w:proofErr w:type="spellEnd"/>
      <w:r w:rsidR="00C51246" w:rsidRPr="00B51235">
        <w:rPr>
          <w:rFonts w:ascii="Times New Roman" w:hAnsi="Times New Roman" w:cs="Times New Roman"/>
          <w:lang w:val="en-US"/>
        </w:rPr>
        <w:t xml:space="preserve"> solicitors.</w:t>
      </w:r>
      <w:r w:rsidR="00C51246" w:rsidRPr="00B51235">
        <w:rPr>
          <w:rFonts w:ascii="Times New Roman" w:hAnsi="Times New Roman" w:cs="Times New Roman"/>
        </w:rPr>
        <w:t xml:space="preserve"> Helm paid to solicitors Mills &amp; Co on 7 September 2005. </w:t>
      </w:r>
      <w:r w:rsidR="00C51246" w:rsidRPr="00B51235">
        <w:rPr>
          <w:rFonts w:ascii="Times New Roman" w:hAnsi="Times New Roman" w:cs="Times New Roman"/>
          <w:lang w:val="en-US"/>
        </w:rPr>
        <w:t>Samsun claimed that the freezing order gave them the rights to the funds held by the solicitors.</w:t>
      </w:r>
      <w:r w:rsidR="00C51246" w:rsidRPr="00B51235">
        <w:rPr>
          <w:rFonts w:ascii="Times New Roman" w:hAnsi="Times New Roman" w:cs="Times New Roman"/>
        </w:rPr>
        <w:t xml:space="preserve"> </w:t>
      </w:r>
      <w:proofErr w:type="spellStart"/>
      <w:r w:rsidR="00C51246" w:rsidRPr="00B51235">
        <w:rPr>
          <w:rFonts w:ascii="Times New Roman" w:hAnsi="Times New Roman" w:cs="Times New Roman"/>
        </w:rPr>
        <w:t>Oceantrade’s</w:t>
      </w:r>
      <w:proofErr w:type="spellEnd"/>
      <w:r w:rsidR="00C51246" w:rsidRPr="00B51235">
        <w:rPr>
          <w:rFonts w:ascii="Times New Roman" w:hAnsi="Times New Roman" w:cs="Times New Roman"/>
        </w:rPr>
        <w:t xml:space="preserve"> </w:t>
      </w:r>
      <w:proofErr w:type="spellStart"/>
      <w:r w:rsidR="00C51246" w:rsidRPr="00B51235">
        <w:rPr>
          <w:rFonts w:ascii="Times New Roman" w:hAnsi="Times New Roman" w:cs="Times New Roman"/>
        </w:rPr>
        <w:t>disponent</w:t>
      </w:r>
      <w:proofErr w:type="spellEnd"/>
      <w:r w:rsidR="00C51246" w:rsidRPr="00B51235">
        <w:rPr>
          <w:rFonts w:ascii="Times New Roman" w:hAnsi="Times New Roman" w:cs="Times New Roman"/>
        </w:rPr>
        <w:t xml:space="preserve"> owners under the charter for </w:t>
      </w:r>
      <w:proofErr w:type="spellStart"/>
      <w:r w:rsidR="00C51246" w:rsidRPr="00B51235">
        <w:rPr>
          <w:rFonts w:ascii="Times New Roman" w:hAnsi="Times New Roman" w:cs="Times New Roman"/>
          <w:i/>
        </w:rPr>
        <w:t>Orhan</w:t>
      </w:r>
      <w:proofErr w:type="spellEnd"/>
      <w:r w:rsidR="00C51246" w:rsidRPr="00B51235">
        <w:rPr>
          <w:rFonts w:ascii="Times New Roman" w:hAnsi="Times New Roman" w:cs="Times New Roman"/>
          <w:i/>
        </w:rPr>
        <w:t xml:space="preserve"> Deval</w:t>
      </w:r>
      <w:r w:rsidR="00C51246" w:rsidRPr="00B51235">
        <w:rPr>
          <w:rFonts w:ascii="Times New Roman" w:hAnsi="Times New Roman" w:cs="Times New Roman"/>
        </w:rPr>
        <w:t xml:space="preserve">, called </w:t>
      </w:r>
      <w:r w:rsidR="00C51246" w:rsidRPr="00B51235">
        <w:rPr>
          <w:rFonts w:ascii="Times New Roman" w:hAnsi="Times New Roman" w:cs="Times New Roman"/>
          <w:lang w:val="en-US"/>
        </w:rPr>
        <w:t>Deval, exercised their lien on sub-freight on 9 September 2005, two days after the payment, asserting that they had the right to exercise their contractual lien on sub-freights</w:t>
      </w:r>
      <w:r w:rsidR="00C51246" w:rsidRPr="00B51235">
        <w:rPr>
          <w:rFonts w:ascii="Times New Roman" w:hAnsi="Times New Roman" w:cs="Times New Roman"/>
        </w:rPr>
        <w:t>. The question arose who had better rights to the funds: Samsun under the freezing order, or Deval in accordance with their lien on sub-freights.</w:t>
      </w:r>
      <w:r w:rsidR="00C51246" w:rsidRPr="00B51235">
        <w:rPr>
          <w:rStyle w:val="FootnoteReference"/>
          <w:rFonts w:ascii="Times New Roman" w:hAnsi="Times New Roman" w:cs="Times New Roman"/>
        </w:rPr>
        <w:footnoteReference w:id="45"/>
      </w:r>
      <w:r w:rsidR="00C51246" w:rsidRPr="00B51235">
        <w:rPr>
          <w:rFonts w:ascii="Times New Roman" w:hAnsi="Times New Roman" w:cs="Times New Roman"/>
        </w:rPr>
        <w:t xml:space="preserve"> For this </w:t>
      </w:r>
      <w:proofErr w:type="gramStart"/>
      <w:r w:rsidR="00C51246" w:rsidRPr="00B51235">
        <w:rPr>
          <w:rFonts w:ascii="Times New Roman" w:hAnsi="Times New Roman" w:cs="Times New Roman"/>
        </w:rPr>
        <w:t>particular payment</w:t>
      </w:r>
      <w:proofErr w:type="gramEnd"/>
      <w:r w:rsidR="00C51246" w:rsidRPr="00B51235">
        <w:rPr>
          <w:rFonts w:ascii="Times New Roman" w:hAnsi="Times New Roman" w:cs="Times New Roman"/>
        </w:rPr>
        <w:t xml:space="preserve">, did Deval have a lien over the Helm </w:t>
      </w:r>
      <w:r w:rsidR="00C51246" w:rsidRPr="00B51235">
        <w:rPr>
          <w:rFonts w:ascii="Times New Roman" w:hAnsi="Times New Roman" w:cs="Times New Roman"/>
        </w:rPr>
        <w:lastRenderedPageBreak/>
        <w:t>freight?</w:t>
      </w:r>
      <w:r w:rsidR="00C51246">
        <w:rPr>
          <w:rFonts w:ascii="Times New Roman" w:hAnsi="Times New Roman" w:cs="Times New Roman"/>
        </w:rPr>
        <w:t xml:space="preserve"> </w:t>
      </w:r>
      <w:r w:rsidR="00C51246" w:rsidRPr="00B51235">
        <w:rPr>
          <w:rFonts w:ascii="Times New Roman" w:hAnsi="Times New Roman" w:cs="Times New Roman"/>
          <w:lang w:val="en-US"/>
        </w:rPr>
        <w:t xml:space="preserve">The Court held that the fact that payment had been made by Helm to </w:t>
      </w:r>
      <w:proofErr w:type="spellStart"/>
      <w:r w:rsidR="00C51246" w:rsidRPr="00B51235">
        <w:rPr>
          <w:rFonts w:ascii="Times New Roman" w:hAnsi="Times New Roman" w:cs="Times New Roman"/>
          <w:lang w:val="en-US"/>
        </w:rPr>
        <w:t>Oceantrade’s</w:t>
      </w:r>
      <w:proofErr w:type="spellEnd"/>
      <w:r w:rsidR="00C51246" w:rsidRPr="00B51235">
        <w:rPr>
          <w:rFonts w:ascii="Times New Roman" w:hAnsi="Times New Roman" w:cs="Times New Roman"/>
          <w:lang w:val="en-US"/>
        </w:rPr>
        <w:t xml:space="preserve"> solicitors meant that it was too late to exercise the lien on sub-freights.</w:t>
      </w:r>
    </w:p>
    <w:p w14:paraId="5CC14CB2" w14:textId="3BC38B11" w:rsidR="00D17FEE" w:rsidRDefault="00D17FEE" w:rsidP="00D17FEE">
      <w:pPr>
        <w:rPr>
          <w:rFonts w:ascii="Times New Roman" w:hAnsi="Times New Roman" w:cs="Times New Roman"/>
        </w:rPr>
      </w:pPr>
    </w:p>
    <w:p w14:paraId="356F8A99" w14:textId="1DDD35E7" w:rsidR="001A4444" w:rsidRPr="001A4444" w:rsidRDefault="009960D9" w:rsidP="001A4444">
      <w:pPr>
        <w:rPr>
          <w:rFonts w:ascii="Times New Roman" w:hAnsi="Times New Roman" w:cs="Times New Roman"/>
        </w:rPr>
      </w:pPr>
      <w:r>
        <w:rPr>
          <w:rFonts w:ascii="Times New Roman" w:hAnsi="Times New Roman" w:cs="Times New Roman"/>
        </w:rPr>
        <w:t xml:space="preserve">This case also </w:t>
      </w:r>
      <w:r w:rsidR="001B64B1">
        <w:rPr>
          <w:rFonts w:ascii="Times New Roman" w:hAnsi="Times New Roman" w:cs="Times New Roman"/>
        </w:rPr>
        <w:t xml:space="preserve">raises the point of </w:t>
      </w:r>
      <w:r>
        <w:rPr>
          <w:rFonts w:ascii="Times New Roman" w:hAnsi="Times New Roman" w:cs="Times New Roman"/>
        </w:rPr>
        <w:t xml:space="preserve">the timing of payment. </w:t>
      </w:r>
      <w:r w:rsidR="001B64B1">
        <w:rPr>
          <w:rFonts w:ascii="Times New Roman" w:hAnsi="Times New Roman" w:cs="Times New Roman"/>
        </w:rPr>
        <w:t xml:space="preserve">As seen, the lien on cargo expires </w:t>
      </w:r>
      <w:proofErr w:type="gramStart"/>
      <w:r w:rsidR="005144A3">
        <w:rPr>
          <w:rFonts w:ascii="Times New Roman" w:hAnsi="Times New Roman" w:cs="Times New Roman"/>
        </w:rPr>
        <w:t xml:space="preserve">at </w:t>
      </w:r>
      <w:r w:rsidR="001B64B1">
        <w:rPr>
          <w:rFonts w:ascii="Times New Roman" w:hAnsi="Times New Roman" w:cs="Times New Roman"/>
        </w:rPr>
        <w:t>the moment</w:t>
      </w:r>
      <w:proofErr w:type="gramEnd"/>
      <w:r w:rsidR="001B64B1">
        <w:rPr>
          <w:rFonts w:ascii="Times New Roman" w:hAnsi="Times New Roman" w:cs="Times New Roman"/>
        </w:rPr>
        <w:t xml:space="preserve"> possession is </w:t>
      </w:r>
      <w:r w:rsidR="005144A3">
        <w:rPr>
          <w:rFonts w:ascii="Times New Roman" w:hAnsi="Times New Roman" w:cs="Times New Roman"/>
        </w:rPr>
        <w:t>given up</w:t>
      </w:r>
      <w:r w:rsidR="001B64B1">
        <w:rPr>
          <w:rFonts w:ascii="Times New Roman" w:hAnsi="Times New Roman" w:cs="Times New Roman"/>
        </w:rPr>
        <w:t xml:space="preserve">. Here, the shipowner’s </w:t>
      </w:r>
      <w:r w:rsidR="00A46AC9">
        <w:rPr>
          <w:rFonts w:ascii="Times New Roman" w:hAnsi="Times New Roman" w:cs="Times New Roman"/>
        </w:rPr>
        <w:t>opportunity</w:t>
      </w:r>
      <w:r w:rsidR="001B64B1">
        <w:rPr>
          <w:rFonts w:ascii="Times New Roman" w:hAnsi="Times New Roman" w:cs="Times New Roman"/>
        </w:rPr>
        <w:t xml:space="preserve"> to assert </w:t>
      </w:r>
      <w:r w:rsidR="00A46AC9">
        <w:rPr>
          <w:rFonts w:ascii="Times New Roman" w:hAnsi="Times New Roman" w:cs="Times New Roman"/>
        </w:rPr>
        <w:t xml:space="preserve">rights to the sub-freight expires to the extent payment to the time charterer has been made before notice of the lien. However, counterintuitively, the shipowner’s lien on sub-freight may subsist beyond the time when it has received payment from its charterer. That is, the </w:t>
      </w:r>
      <w:r w:rsidR="001A4444">
        <w:rPr>
          <w:rFonts w:ascii="Times New Roman" w:hAnsi="Times New Roman" w:cs="Times New Roman"/>
        </w:rPr>
        <w:t xml:space="preserve">owner’s </w:t>
      </w:r>
      <w:r w:rsidR="00A46AC9">
        <w:rPr>
          <w:rFonts w:ascii="Times New Roman" w:hAnsi="Times New Roman" w:cs="Times New Roman"/>
        </w:rPr>
        <w:t xml:space="preserve">right to give notice to the </w:t>
      </w:r>
      <w:r w:rsidR="001A4444">
        <w:rPr>
          <w:rFonts w:ascii="Times New Roman" w:hAnsi="Times New Roman" w:cs="Times New Roman"/>
        </w:rPr>
        <w:t>person owing sub-freight</w:t>
      </w:r>
      <w:r w:rsidR="00A46AC9">
        <w:rPr>
          <w:rFonts w:ascii="Times New Roman" w:hAnsi="Times New Roman" w:cs="Times New Roman"/>
        </w:rPr>
        <w:t xml:space="preserve"> does not depend on money being owed by the time charterer. That was the outcome in </w:t>
      </w:r>
      <w:r w:rsidR="001A4444" w:rsidRPr="001A4444">
        <w:rPr>
          <w:rFonts w:ascii="Times New Roman" w:hAnsi="Times New Roman" w:cs="Times New Roman"/>
          <w:i/>
        </w:rPr>
        <w:t xml:space="preserve">Wollongong Coal Ltd </w:t>
      </w:r>
      <w:r w:rsidR="001A4444">
        <w:rPr>
          <w:rFonts w:ascii="Times New Roman" w:hAnsi="Times New Roman" w:cs="Times New Roman"/>
          <w:i/>
        </w:rPr>
        <w:t>v</w:t>
      </w:r>
      <w:r w:rsidR="001A4444" w:rsidRPr="001A4444">
        <w:rPr>
          <w:rFonts w:ascii="Times New Roman" w:hAnsi="Times New Roman" w:cs="Times New Roman"/>
          <w:i/>
        </w:rPr>
        <w:t xml:space="preserve"> P</w:t>
      </w:r>
      <w:r w:rsidR="001A4444">
        <w:rPr>
          <w:rFonts w:ascii="Times New Roman" w:hAnsi="Times New Roman" w:cs="Times New Roman"/>
          <w:i/>
        </w:rPr>
        <w:t>CL</w:t>
      </w:r>
      <w:r w:rsidR="001A4444" w:rsidRPr="001A4444">
        <w:rPr>
          <w:rFonts w:ascii="Times New Roman" w:hAnsi="Times New Roman" w:cs="Times New Roman"/>
          <w:i/>
        </w:rPr>
        <w:t xml:space="preserve"> (Shipping) Pte Ltd</w:t>
      </w:r>
      <w:r w:rsidR="001A4444" w:rsidRPr="001A4444">
        <w:rPr>
          <w:rFonts w:ascii="Times New Roman" w:hAnsi="Times New Roman" w:cs="Times New Roman"/>
        </w:rPr>
        <w:t>,</w:t>
      </w:r>
      <w:r w:rsidR="001A4444">
        <w:rPr>
          <w:rStyle w:val="FootnoteReference"/>
          <w:rFonts w:ascii="Times New Roman" w:hAnsi="Times New Roman" w:cs="Times New Roman"/>
        </w:rPr>
        <w:footnoteReference w:id="46"/>
      </w:r>
      <w:r w:rsidR="001A4444" w:rsidRPr="001A4444">
        <w:rPr>
          <w:rFonts w:ascii="Times New Roman" w:hAnsi="Times New Roman" w:cs="Times New Roman"/>
        </w:rPr>
        <w:t xml:space="preserve"> </w:t>
      </w:r>
      <w:r w:rsidR="001A4444">
        <w:rPr>
          <w:rFonts w:ascii="Times New Roman" w:hAnsi="Times New Roman" w:cs="Times New Roman"/>
        </w:rPr>
        <w:t xml:space="preserve">in which </w:t>
      </w:r>
      <w:r w:rsidR="001A4444" w:rsidRPr="001A4444">
        <w:rPr>
          <w:rFonts w:ascii="Times New Roman" w:hAnsi="Times New Roman" w:cs="Times New Roman"/>
        </w:rPr>
        <w:t xml:space="preserve">PCL was the time charterer of the MV </w:t>
      </w:r>
      <w:r w:rsidR="001A4444" w:rsidRPr="001A4444">
        <w:rPr>
          <w:rFonts w:ascii="Times New Roman" w:hAnsi="Times New Roman" w:cs="Times New Roman"/>
          <w:i/>
        </w:rPr>
        <w:t>Illawarra Fortune</w:t>
      </w:r>
      <w:r w:rsidR="001A4444" w:rsidRPr="001A4444">
        <w:rPr>
          <w:rFonts w:ascii="Times New Roman" w:hAnsi="Times New Roman" w:cs="Times New Roman"/>
        </w:rPr>
        <w:t xml:space="preserve"> and WCL was the shipper under owner’s bills of lading in respect of a cargo of coal on board. There was also a voyage charter for the vessel between PCL and WCL’s parent company, where freight and shipping costs of USD3.2 million remained unpaid. PCL had taken assignment of the shipowner’s rights under the bills of lading and sought to recover USD3.2m from WCL in respect of the unpaid freight under the voyage </w:t>
      </w:r>
      <w:proofErr w:type="spellStart"/>
      <w:r w:rsidR="001A4444" w:rsidRPr="001A4444">
        <w:rPr>
          <w:rFonts w:ascii="Times New Roman" w:hAnsi="Times New Roman" w:cs="Times New Roman"/>
        </w:rPr>
        <w:t>charterparty</w:t>
      </w:r>
      <w:proofErr w:type="spellEnd"/>
      <w:r w:rsidR="001A4444" w:rsidRPr="001A4444">
        <w:rPr>
          <w:rFonts w:ascii="Times New Roman" w:hAnsi="Times New Roman" w:cs="Times New Roman"/>
        </w:rPr>
        <w:t>. Bills of lading had first been issued</w:t>
      </w:r>
      <w:r w:rsidR="005144A3">
        <w:rPr>
          <w:rFonts w:ascii="Times New Roman" w:hAnsi="Times New Roman" w:cs="Times New Roman"/>
        </w:rPr>
        <w:t xml:space="preserve"> to WCL</w:t>
      </w:r>
      <w:r w:rsidR="001A4444" w:rsidRPr="001A4444">
        <w:rPr>
          <w:rFonts w:ascii="Times New Roman" w:hAnsi="Times New Roman" w:cs="Times New Roman"/>
        </w:rPr>
        <w:t xml:space="preserve"> in August 2013 and identical switch bills had been issued in September 2013, identifying a third party as shipper in place of WCL. </w:t>
      </w:r>
      <w:r w:rsidR="008A3B34">
        <w:rPr>
          <w:rFonts w:ascii="Times New Roman" w:hAnsi="Times New Roman" w:cs="Times New Roman"/>
        </w:rPr>
        <w:t>One of the</w:t>
      </w:r>
      <w:r w:rsidR="001A4444" w:rsidRPr="001A4444">
        <w:rPr>
          <w:rFonts w:ascii="Times New Roman" w:hAnsi="Times New Roman" w:cs="Times New Roman"/>
        </w:rPr>
        <w:t xml:space="preserve"> question</w:t>
      </w:r>
      <w:r w:rsidR="008A3B34">
        <w:rPr>
          <w:rFonts w:ascii="Times New Roman" w:hAnsi="Times New Roman" w:cs="Times New Roman"/>
        </w:rPr>
        <w:t>s</w:t>
      </w:r>
      <w:r w:rsidR="001A4444" w:rsidRPr="001A4444">
        <w:rPr>
          <w:rFonts w:ascii="Times New Roman" w:hAnsi="Times New Roman" w:cs="Times New Roman"/>
        </w:rPr>
        <w:t xml:space="preserve"> for the judge was whether the shipowner could</w:t>
      </w:r>
      <w:r w:rsidR="005144A3">
        <w:rPr>
          <w:rFonts w:ascii="Times New Roman" w:hAnsi="Times New Roman" w:cs="Times New Roman"/>
        </w:rPr>
        <w:t xml:space="preserve"> </w:t>
      </w:r>
      <w:r w:rsidR="001A4444" w:rsidRPr="001A4444">
        <w:rPr>
          <w:rFonts w:ascii="Times New Roman" w:hAnsi="Times New Roman" w:cs="Times New Roman"/>
        </w:rPr>
        <w:t>have</w:t>
      </w:r>
      <w:r w:rsidR="005144A3">
        <w:rPr>
          <w:rStyle w:val="FootnoteReference"/>
          <w:rFonts w:ascii="Times New Roman" w:hAnsi="Times New Roman" w:cs="Times New Roman"/>
        </w:rPr>
        <w:footnoteReference w:id="47"/>
      </w:r>
      <w:r w:rsidR="001A4444" w:rsidRPr="001A4444">
        <w:rPr>
          <w:rFonts w:ascii="Times New Roman" w:hAnsi="Times New Roman" w:cs="Times New Roman"/>
        </w:rPr>
        <w:t xml:space="preserve"> recovered the freight and shipping costs </w:t>
      </w:r>
      <w:r w:rsidR="005144A3" w:rsidRPr="001A4444">
        <w:rPr>
          <w:rFonts w:ascii="Times New Roman" w:hAnsi="Times New Roman" w:cs="Times New Roman"/>
        </w:rPr>
        <w:t xml:space="preserve">from WCL </w:t>
      </w:r>
      <w:r w:rsidR="001A4444" w:rsidRPr="001A4444">
        <w:rPr>
          <w:rFonts w:ascii="Times New Roman" w:hAnsi="Times New Roman" w:cs="Times New Roman"/>
        </w:rPr>
        <w:t>under the August Bills</w:t>
      </w:r>
      <w:r w:rsidR="008A3B34">
        <w:rPr>
          <w:rFonts w:ascii="Times New Roman" w:hAnsi="Times New Roman" w:cs="Times New Roman"/>
        </w:rPr>
        <w:t>,</w:t>
      </w:r>
      <w:r w:rsidR="001A4444" w:rsidRPr="001A4444">
        <w:rPr>
          <w:rFonts w:ascii="Times New Roman" w:hAnsi="Times New Roman" w:cs="Times New Roman"/>
        </w:rPr>
        <w:t xml:space="preserve"> and whether PCL could therefore do the same as </w:t>
      </w:r>
      <w:r w:rsidR="005144A3">
        <w:rPr>
          <w:rFonts w:ascii="Times New Roman" w:hAnsi="Times New Roman" w:cs="Times New Roman"/>
        </w:rPr>
        <w:t xml:space="preserve">the </w:t>
      </w:r>
      <w:r w:rsidR="001A4444" w:rsidRPr="001A4444">
        <w:rPr>
          <w:rFonts w:ascii="Times New Roman" w:hAnsi="Times New Roman" w:cs="Times New Roman"/>
        </w:rPr>
        <w:t xml:space="preserve">assignee </w:t>
      </w:r>
      <w:r w:rsidR="005144A3">
        <w:rPr>
          <w:rFonts w:ascii="Times New Roman" w:hAnsi="Times New Roman" w:cs="Times New Roman"/>
        </w:rPr>
        <w:t>of</w:t>
      </w:r>
      <w:r w:rsidR="001A4444" w:rsidRPr="001A4444">
        <w:rPr>
          <w:rFonts w:ascii="Times New Roman" w:hAnsi="Times New Roman" w:cs="Times New Roman"/>
        </w:rPr>
        <w:t xml:space="preserve"> the </w:t>
      </w:r>
      <w:r w:rsidR="005144A3">
        <w:rPr>
          <w:rFonts w:ascii="Times New Roman" w:hAnsi="Times New Roman" w:cs="Times New Roman"/>
        </w:rPr>
        <w:t>ship</w:t>
      </w:r>
      <w:r w:rsidR="001A4444" w:rsidRPr="001A4444">
        <w:rPr>
          <w:rFonts w:ascii="Times New Roman" w:hAnsi="Times New Roman" w:cs="Times New Roman"/>
        </w:rPr>
        <w:t>owner.</w:t>
      </w:r>
      <w:r w:rsidR="001A4444">
        <w:rPr>
          <w:rFonts w:ascii="Times New Roman" w:hAnsi="Times New Roman" w:cs="Times New Roman"/>
        </w:rPr>
        <w:t xml:space="preserve"> </w:t>
      </w:r>
      <w:r w:rsidR="001A4444" w:rsidRPr="001A4444">
        <w:rPr>
          <w:rFonts w:ascii="Times New Roman" w:hAnsi="Times New Roman" w:cs="Times New Roman"/>
        </w:rPr>
        <w:t>The judge dismissed PCL’s claim</w:t>
      </w:r>
      <w:r w:rsidR="005144A3">
        <w:rPr>
          <w:rFonts w:ascii="Times New Roman" w:hAnsi="Times New Roman" w:cs="Times New Roman"/>
        </w:rPr>
        <w:t>, but held that h</w:t>
      </w:r>
      <w:r w:rsidR="001A4444">
        <w:rPr>
          <w:rFonts w:ascii="Times New Roman" w:hAnsi="Times New Roman" w:cs="Times New Roman"/>
        </w:rPr>
        <w:t xml:space="preserve">ad the </w:t>
      </w:r>
      <w:r w:rsidR="008A3B34">
        <w:rPr>
          <w:rFonts w:ascii="Times New Roman" w:hAnsi="Times New Roman" w:cs="Times New Roman"/>
        </w:rPr>
        <w:t xml:space="preserve">August bills </w:t>
      </w:r>
      <w:r w:rsidR="001A4444">
        <w:rPr>
          <w:rFonts w:ascii="Times New Roman" w:hAnsi="Times New Roman" w:cs="Times New Roman"/>
        </w:rPr>
        <w:t>not been cancelled</w:t>
      </w:r>
      <w:r w:rsidR="001A4444" w:rsidRPr="001A4444">
        <w:rPr>
          <w:rFonts w:ascii="Times New Roman" w:hAnsi="Times New Roman" w:cs="Times New Roman"/>
        </w:rPr>
        <w:t xml:space="preserve">, PCL would have been entitled to succeed against WCL. </w:t>
      </w:r>
      <w:r w:rsidR="00094D3E">
        <w:rPr>
          <w:rFonts w:ascii="Times New Roman" w:hAnsi="Times New Roman" w:cs="Times New Roman"/>
        </w:rPr>
        <w:t xml:space="preserve">The bills of lading </w:t>
      </w:r>
      <w:proofErr w:type="gramStart"/>
      <w:r w:rsidR="009C07CB">
        <w:rPr>
          <w:rFonts w:ascii="Times New Roman" w:hAnsi="Times New Roman" w:cs="Times New Roman"/>
        </w:rPr>
        <w:t>stated</w:t>
      </w:r>
      <w:proofErr w:type="gramEnd"/>
      <w:r w:rsidR="009C07CB">
        <w:rPr>
          <w:rFonts w:ascii="Times New Roman" w:hAnsi="Times New Roman" w:cs="Times New Roman"/>
        </w:rPr>
        <w:t xml:space="preserve"> </w:t>
      </w:r>
      <w:r w:rsidR="00094D3E">
        <w:rPr>
          <w:rFonts w:ascii="Times New Roman" w:hAnsi="Times New Roman" w:cs="Times New Roman"/>
        </w:rPr>
        <w:t xml:space="preserve">‘freight payable as per </w:t>
      </w:r>
      <w:proofErr w:type="spellStart"/>
      <w:r w:rsidR="00094D3E">
        <w:rPr>
          <w:rFonts w:ascii="Times New Roman" w:hAnsi="Times New Roman" w:cs="Times New Roman"/>
        </w:rPr>
        <w:t>charterparty</w:t>
      </w:r>
      <w:proofErr w:type="spellEnd"/>
      <w:r w:rsidR="00094D3E">
        <w:rPr>
          <w:rFonts w:ascii="Times New Roman" w:hAnsi="Times New Roman" w:cs="Times New Roman"/>
        </w:rPr>
        <w:t>’</w:t>
      </w:r>
      <w:r w:rsidR="009C07CB">
        <w:rPr>
          <w:rFonts w:ascii="Times New Roman" w:hAnsi="Times New Roman" w:cs="Times New Roman"/>
        </w:rPr>
        <w:t xml:space="preserve">. The meaning of these words was in dispute, WCL arguing that it meant that the shipowner had given up its right to receive freight. The judge relied on notably </w:t>
      </w:r>
      <w:proofErr w:type="spellStart"/>
      <w:r w:rsidR="009C07CB" w:rsidRPr="007D44B6">
        <w:rPr>
          <w:rFonts w:ascii="Times New Roman" w:hAnsi="Times New Roman" w:cs="Times New Roman"/>
          <w:i/>
        </w:rPr>
        <w:t>Tradigrain</w:t>
      </w:r>
      <w:proofErr w:type="spellEnd"/>
      <w:r w:rsidR="009C07CB" w:rsidRPr="007D44B6">
        <w:rPr>
          <w:rFonts w:ascii="Times New Roman" w:hAnsi="Times New Roman" w:cs="Times New Roman"/>
          <w:i/>
        </w:rPr>
        <w:t xml:space="preserve"> SA v King Diamond Shipping SA (The “Spiros C”)</w:t>
      </w:r>
      <w:r w:rsidR="009C07CB">
        <w:rPr>
          <w:rStyle w:val="FootnoteReference"/>
          <w:rFonts w:ascii="Times New Roman" w:hAnsi="Times New Roman" w:cs="Times New Roman"/>
        </w:rPr>
        <w:footnoteReference w:id="48"/>
      </w:r>
      <w:r w:rsidR="009C07CB">
        <w:rPr>
          <w:rFonts w:ascii="Times New Roman" w:hAnsi="Times New Roman" w:cs="Times New Roman"/>
        </w:rPr>
        <w:t xml:space="preserve"> and </w:t>
      </w:r>
      <w:r w:rsidR="00094D3E" w:rsidRPr="001A4444">
        <w:rPr>
          <w:rFonts w:ascii="Times New Roman" w:hAnsi="Times New Roman" w:cs="Times New Roman"/>
          <w:i/>
        </w:rPr>
        <w:t xml:space="preserve">Dry Bulk Handy Holding Inc v Fayette International Holdings Limited (The </w:t>
      </w:r>
      <w:r w:rsidR="00094D3E">
        <w:rPr>
          <w:rFonts w:ascii="Times New Roman" w:hAnsi="Times New Roman" w:cs="Times New Roman"/>
          <w:i/>
        </w:rPr>
        <w:t>‘</w:t>
      </w:r>
      <w:r w:rsidR="00094D3E" w:rsidRPr="001A4444">
        <w:rPr>
          <w:rFonts w:ascii="Times New Roman" w:hAnsi="Times New Roman" w:cs="Times New Roman"/>
          <w:i/>
        </w:rPr>
        <w:t>Bulk Chile</w:t>
      </w:r>
      <w:r w:rsidR="00094D3E">
        <w:rPr>
          <w:rFonts w:ascii="Times New Roman" w:hAnsi="Times New Roman" w:cs="Times New Roman"/>
          <w:i/>
        </w:rPr>
        <w:t>’</w:t>
      </w:r>
      <w:r w:rsidR="00094D3E" w:rsidRPr="001A4444">
        <w:rPr>
          <w:rFonts w:ascii="Times New Roman" w:hAnsi="Times New Roman" w:cs="Times New Roman"/>
          <w:i/>
        </w:rPr>
        <w:t>)</w:t>
      </w:r>
      <w:r w:rsidR="00094D3E" w:rsidRPr="005144A3">
        <w:rPr>
          <w:rStyle w:val="FootnoteReference"/>
          <w:rFonts w:ascii="Times New Roman" w:hAnsi="Times New Roman" w:cs="Times New Roman"/>
        </w:rPr>
        <w:footnoteReference w:id="49"/>
      </w:r>
      <w:r w:rsidR="00094D3E" w:rsidRPr="001A4444">
        <w:rPr>
          <w:rFonts w:ascii="Times New Roman" w:hAnsi="Times New Roman" w:cs="Times New Roman"/>
        </w:rPr>
        <w:t xml:space="preserve"> </w:t>
      </w:r>
      <w:r w:rsidR="009C07CB">
        <w:rPr>
          <w:rFonts w:ascii="Times New Roman" w:hAnsi="Times New Roman" w:cs="Times New Roman"/>
        </w:rPr>
        <w:t xml:space="preserve">to the effect that the shipowner had not given up its rights but had merely designated an agent for the purpose of receiving freight. It had been argued that the words were insufficient to imply the obligation to pay freight into the bill of lading; but the judge pointed out that the shipper’s duty to pay freight was a common law obligation of the shipper. The shipowner thus retained the right to collect freight and that right was susceptible to assignment to the time charterer. The right </w:t>
      </w:r>
      <w:r w:rsidR="001A4444" w:rsidRPr="001A4444">
        <w:rPr>
          <w:rFonts w:ascii="Times New Roman" w:hAnsi="Times New Roman" w:cs="Times New Roman"/>
        </w:rPr>
        <w:t>could not be regarded as conditional upon an intermediate charterer having defaulted in its obligations.</w:t>
      </w:r>
    </w:p>
    <w:p w14:paraId="7D423F8F" w14:textId="77777777" w:rsidR="009960D9" w:rsidRDefault="009960D9" w:rsidP="00D17FEE">
      <w:pPr>
        <w:rPr>
          <w:rFonts w:ascii="Times New Roman" w:hAnsi="Times New Roman" w:cs="Times New Roman"/>
        </w:rPr>
      </w:pPr>
    </w:p>
    <w:p w14:paraId="3E82CF4D" w14:textId="77777777" w:rsidR="00D17FEE" w:rsidRDefault="00D17FEE" w:rsidP="00D17FEE">
      <w:pPr>
        <w:rPr>
          <w:rFonts w:ascii="Times New Roman" w:hAnsi="Times New Roman" w:cs="Times New Roman"/>
        </w:rPr>
      </w:pPr>
    </w:p>
    <w:p w14:paraId="3B579012" w14:textId="4A5A1A85" w:rsidR="00D17FEE" w:rsidRPr="00B51235" w:rsidRDefault="00D17FEE" w:rsidP="00D17FEE">
      <w:pPr>
        <w:rPr>
          <w:rFonts w:ascii="Times New Roman" w:hAnsi="Times New Roman" w:cs="Times New Roman"/>
          <w:b/>
        </w:rPr>
      </w:pPr>
      <w:r w:rsidRPr="00B51235">
        <w:rPr>
          <w:rFonts w:ascii="Times New Roman" w:hAnsi="Times New Roman" w:cs="Times New Roman"/>
          <w:b/>
        </w:rPr>
        <w:t>Liens on sub-freight</w:t>
      </w:r>
      <w:r w:rsidR="00494F5D">
        <w:rPr>
          <w:rFonts w:ascii="Times New Roman" w:hAnsi="Times New Roman" w:cs="Times New Roman"/>
          <w:b/>
        </w:rPr>
        <w:t xml:space="preserve"> – and what other sums?</w:t>
      </w:r>
    </w:p>
    <w:p w14:paraId="293EC6E0" w14:textId="77777777" w:rsidR="00D17FEE" w:rsidRPr="00B51235" w:rsidRDefault="00D17FEE" w:rsidP="00D17FEE">
      <w:pPr>
        <w:rPr>
          <w:rFonts w:ascii="Times New Roman" w:hAnsi="Times New Roman" w:cs="Times New Roman"/>
        </w:rPr>
      </w:pPr>
    </w:p>
    <w:p w14:paraId="68604C06" w14:textId="3230D794" w:rsidR="00D17FEE" w:rsidRDefault="00D17FEE" w:rsidP="00D17FEE">
      <w:pPr>
        <w:rPr>
          <w:rFonts w:ascii="Times New Roman" w:hAnsi="Times New Roman" w:cs="Times New Roman"/>
        </w:rPr>
      </w:pPr>
      <w:r w:rsidRPr="00B51235">
        <w:rPr>
          <w:rFonts w:ascii="Times New Roman" w:hAnsi="Times New Roman" w:cs="Times New Roman"/>
        </w:rPr>
        <w:t xml:space="preserve">Compared to liens on cargo, which have a secure legal foundation in </w:t>
      </w:r>
      <w:r>
        <w:rPr>
          <w:rFonts w:ascii="Times New Roman" w:hAnsi="Times New Roman" w:cs="Times New Roman"/>
        </w:rPr>
        <w:t>being centred on t</w:t>
      </w:r>
      <w:r w:rsidRPr="00B51235">
        <w:rPr>
          <w:rFonts w:ascii="Times New Roman" w:hAnsi="Times New Roman" w:cs="Times New Roman"/>
        </w:rPr>
        <w:t xml:space="preserve">he </w:t>
      </w:r>
      <w:r>
        <w:rPr>
          <w:rFonts w:ascii="Times New Roman" w:hAnsi="Times New Roman" w:cs="Times New Roman"/>
        </w:rPr>
        <w:t>incidence</w:t>
      </w:r>
      <w:r w:rsidRPr="00B51235">
        <w:rPr>
          <w:rFonts w:ascii="Times New Roman" w:hAnsi="Times New Roman" w:cs="Times New Roman"/>
        </w:rPr>
        <w:t xml:space="preserve"> of possession</w:t>
      </w:r>
      <w:r>
        <w:rPr>
          <w:rFonts w:ascii="Times New Roman" w:hAnsi="Times New Roman" w:cs="Times New Roman"/>
        </w:rPr>
        <w:t xml:space="preserve"> of the </w:t>
      </w:r>
      <w:r w:rsidR="000A6A1B">
        <w:rPr>
          <w:rFonts w:ascii="Times New Roman" w:hAnsi="Times New Roman" w:cs="Times New Roman"/>
        </w:rPr>
        <w:t xml:space="preserve">cargo </w:t>
      </w:r>
      <w:r>
        <w:rPr>
          <w:rFonts w:ascii="Times New Roman" w:hAnsi="Times New Roman" w:cs="Times New Roman"/>
        </w:rPr>
        <w:t>item at issue</w:t>
      </w:r>
      <w:r w:rsidRPr="00B51235">
        <w:rPr>
          <w:rFonts w:ascii="Times New Roman" w:hAnsi="Times New Roman" w:cs="Times New Roman"/>
        </w:rPr>
        <w:t>, the lien on sub-freight has more nebulous foundations. What is at issue here is a lien on the sums to be paid under the contract.</w:t>
      </w:r>
      <w:r>
        <w:rPr>
          <w:rFonts w:ascii="Times New Roman" w:hAnsi="Times New Roman" w:cs="Times New Roman"/>
        </w:rPr>
        <w:t xml:space="preserve"> The lien does not cause the freight debtor itself </w:t>
      </w:r>
      <w:r w:rsidR="009019B8">
        <w:rPr>
          <w:rFonts w:ascii="Times New Roman" w:hAnsi="Times New Roman" w:cs="Times New Roman"/>
        </w:rPr>
        <w:t xml:space="preserve">– the contractual counterpart – </w:t>
      </w:r>
      <w:r>
        <w:rPr>
          <w:rFonts w:ascii="Times New Roman" w:hAnsi="Times New Roman" w:cs="Times New Roman"/>
        </w:rPr>
        <w:t xml:space="preserve">to take any action with sums they have been or are about to be </w:t>
      </w:r>
      <w:proofErr w:type="gramStart"/>
      <w:r>
        <w:rPr>
          <w:rFonts w:ascii="Times New Roman" w:hAnsi="Times New Roman" w:cs="Times New Roman"/>
        </w:rPr>
        <w:t>paid, but</w:t>
      </w:r>
      <w:proofErr w:type="gramEnd"/>
      <w:r>
        <w:rPr>
          <w:rFonts w:ascii="Times New Roman" w:hAnsi="Times New Roman" w:cs="Times New Roman"/>
        </w:rPr>
        <w:t xml:space="preserve"> is designed to </w:t>
      </w:r>
      <w:r w:rsidR="00CE723B">
        <w:rPr>
          <w:rFonts w:ascii="Times New Roman" w:hAnsi="Times New Roman" w:cs="Times New Roman"/>
        </w:rPr>
        <w:t xml:space="preserve">intercept those sums before they are paid </w:t>
      </w:r>
      <w:r w:rsidR="00E652E0">
        <w:rPr>
          <w:rFonts w:ascii="Times New Roman" w:hAnsi="Times New Roman" w:cs="Times New Roman"/>
        </w:rPr>
        <w:t xml:space="preserve">by </w:t>
      </w:r>
      <w:r>
        <w:rPr>
          <w:rFonts w:ascii="Times New Roman" w:hAnsi="Times New Roman" w:cs="Times New Roman"/>
        </w:rPr>
        <w:t>other parties</w:t>
      </w:r>
      <w:r w:rsidR="00E652E0">
        <w:rPr>
          <w:rFonts w:ascii="Times New Roman" w:hAnsi="Times New Roman" w:cs="Times New Roman"/>
        </w:rPr>
        <w:t>. The effect of the lien in the shipowner’s contract with the time charterer is therefore on the voyage charterer and further parties.</w:t>
      </w:r>
      <w:r>
        <w:rPr>
          <w:rFonts w:ascii="Times New Roman" w:hAnsi="Times New Roman" w:cs="Times New Roman"/>
        </w:rPr>
        <w:t xml:space="preserve"> </w:t>
      </w:r>
      <w:r w:rsidR="00787CD4">
        <w:rPr>
          <w:rFonts w:ascii="Times New Roman" w:hAnsi="Times New Roman" w:cs="Times New Roman"/>
        </w:rPr>
        <w:t>T</w:t>
      </w:r>
      <w:r>
        <w:rPr>
          <w:rFonts w:ascii="Times New Roman" w:hAnsi="Times New Roman" w:cs="Times New Roman"/>
        </w:rPr>
        <w:t xml:space="preserve">his is often referred to as </w:t>
      </w:r>
      <w:r>
        <w:rPr>
          <w:rFonts w:ascii="Times New Roman" w:hAnsi="Times New Roman" w:cs="Times New Roman"/>
        </w:rPr>
        <w:lastRenderedPageBreak/>
        <w:t>intercepting freight and is accomplished by notice from the shipowner to the part</w:t>
      </w:r>
      <w:r w:rsidR="009019B8">
        <w:rPr>
          <w:rFonts w:ascii="Times New Roman" w:hAnsi="Times New Roman" w:cs="Times New Roman"/>
        </w:rPr>
        <w:t>y</w:t>
      </w:r>
      <w:r>
        <w:rPr>
          <w:rFonts w:ascii="Times New Roman" w:hAnsi="Times New Roman" w:cs="Times New Roman"/>
        </w:rPr>
        <w:t xml:space="preserve"> in question, who is requested to pay not to the contractual recipient but to the shipowner.</w:t>
      </w:r>
    </w:p>
    <w:p w14:paraId="4A1ABFCC" w14:textId="77777777" w:rsidR="00BF3D6E" w:rsidRPr="00B51235" w:rsidRDefault="00BF3D6E" w:rsidP="00D17FEE">
      <w:pPr>
        <w:rPr>
          <w:rFonts w:ascii="Times New Roman" w:hAnsi="Times New Roman" w:cs="Times New Roman"/>
        </w:rPr>
      </w:pPr>
    </w:p>
    <w:p w14:paraId="395B0475" w14:textId="1A3094F1" w:rsidR="00787CD4" w:rsidRPr="009019B8" w:rsidRDefault="009019B8" w:rsidP="00C51246">
      <w:pPr>
        <w:rPr>
          <w:rFonts w:ascii="Times New Roman" w:hAnsi="Times New Roman" w:cs="Times New Roman"/>
        </w:rPr>
      </w:pPr>
      <w:r>
        <w:rPr>
          <w:rFonts w:ascii="Times New Roman" w:hAnsi="Times New Roman" w:cs="Times New Roman"/>
        </w:rPr>
        <w:t xml:space="preserve">The notional origin of the lien can be seen in the </w:t>
      </w:r>
      <w:r w:rsidRPr="009019B8">
        <w:rPr>
          <w:rFonts w:ascii="Times New Roman" w:hAnsi="Times New Roman" w:cs="Times New Roman"/>
          <w:i/>
        </w:rPr>
        <w:t>Illawarra Fortune</w:t>
      </w:r>
      <w:r>
        <w:rPr>
          <w:rFonts w:ascii="Times New Roman" w:hAnsi="Times New Roman" w:cs="Times New Roman"/>
        </w:rPr>
        <w:t xml:space="preserve"> case above – the shipper’s common law duty to pay freight. Where there is a chartering chain, the vessel will be subject to a chain of contracts in the form of a time </w:t>
      </w:r>
      <w:proofErr w:type="spellStart"/>
      <w:r>
        <w:rPr>
          <w:rFonts w:ascii="Times New Roman" w:hAnsi="Times New Roman" w:cs="Times New Roman"/>
        </w:rPr>
        <w:t>charterparty</w:t>
      </w:r>
      <w:proofErr w:type="spellEnd"/>
      <w:r>
        <w:rPr>
          <w:rFonts w:ascii="Times New Roman" w:hAnsi="Times New Roman" w:cs="Times New Roman"/>
        </w:rPr>
        <w:t xml:space="preserve"> and a voyage </w:t>
      </w:r>
      <w:proofErr w:type="spellStart"/>
      <w:r>
        <w:rPr>
          <w:rFonts w:ascii="Times New Roman" w:hAnsi="Times New Roman" w:cs="Times New Roman"/>
        </w:rPr>
        <w:t>charterparty</w:t>
      </w:r>
      <w:proofErr w:type="spellEnd"/>
      <w:r>
        <w:rPr>
          <w:rFonts w:ascii="Times New Roman" w:hAnsi="Times New Roman" w:cs="Times New Roman"/>
        </w:rPr>
        <w:t xml:space="preserve"> with hire payable under the former and freight under the latter. </w:t>
      </w:r>
      <w:r w:rsidR="00E652E0">
        <w:rPr>
          <w:rFonts w:ascii="Times New Roman" w:hAnsi="Times New Roman" w:cs="Times New Roman"/>
        </w:rPr>
        <w:t>With contemporary contracting practices involving c</w:t>
      </w:r>
      <w:r>
        <w:rPr>
          <w:rFonts w:ascii="Times New Roman" w:hAnsi="Times New Roman" w:cs="Times New Roman"/>
        </w:rPr>
        <w:t xml:space="preserve">hartering chains </w:t>
      </w:r>
      <w:r w:rsidR="00E652E0">
        <w:rPr>
          <w:rFonts w:ascii="Times New Roman" w:hAnsi="Times New Roman" w:cs="Times New Roman"/>
        </w:rPr>
        <w:t>of</w:t>
      </w:r>
      <w:r>
        <w:rPr>
          <w:rFonts w:ascii="Times New Roman" w:hAnsi="Times New Roman" w:cs="Times New Roman"/>
        </w:rPr>
        <w:t xml:space="preserve"> increasing complexity, </w:t>
      </w:r>
      <w:r w:rsidR="00787CD4">
        <w:rPr>
          <w:rFonts w:ascii="Times New Roman" w:hAnsi="Times New Roman" w:cs="Times New Roman"/>
        </w:rPr>
        <w:t>t</w:t>
      </w:r>
      <w:r w:rsidR="00787CD4" w:rsidRPr="00787CD4">
        <w:rPr>
          <w:rFonts w:ascii="Times New Roman" w:hAnsi="Times New Roman" w:cs="Times New Roman"/>
        </w:rPr>
        <w:t xml:space="preserve">he </w:t>
      </w:r>
      <w:r w:rsidR="00E652E0">
        <w:rPr>
          <w:rFonts w:ascii="Times New Roman" w:hAnsi="Times New Roman" w:cs="Times New Roman"/>
        </w:rPr>
        <w:t>connection between the shipowner’s lien on the cargo and the lien on sub-freight is not the most transparent. With a time and voyage charterer successively, and the voyage charterer also the shipper, one might see the connection – but i</w:t>
      </w:r>
      <w:r w:rsidR="00FE3C79" w:rsidRPr="00E652E0">
        <w:rPr>
          <w:rFonts w:ascii="Times New Roman" w:hAnsi="Times New Roman" w:cs="Times New Roman"/>
        </w:rPr>
        <w:t>t</w:t>
      </w:r>
      <w:r w:rsidR="00FE3C79">
        <w:rPr>
          <w:rFonts w:ascii="Times New Roman" w:hAnsi="Times New Roman" w:cs="Times New Roman"/>
        </w:rPr>
        <w:t xml:space="preserve"> is </w:t>
      </w:r>
      <w:r w:rsidR="00E652E0">
        <w:rPr>
          <w:rFonts w:ascii="Times New Roman" w:hAnsi="Times New Roman" w:cs="Times New Roman"/>
        </w:rPr>
        <w:t xml:space="preserve">also </w:t>
      </w:r>
      <w:r w:rsidR="00FE3C79">
        <w:rPr>
          <w:rFonts w:ascii="Times New Roman" w:hAnsi="Times New Roman" w:cs="Times New Roman"/>
        </w:rPr>
        <w:t xml:space="preserve">common for </w:t>
      </w:r>
      <w:r w:rsidR="00787CD4" w:rsidRPr="00787CD4">
        <w:rPr>
          <w:rFonts w:ascii="Times New Roman" w:hAnsi="Times New Roman" w:cs="Times New Roman"/>
        </w:rPr>
        <w:t xml:space="preserve">the </w:t>
      </w:r>
      <w:r w:rsidR="00FE3C79">
        <w:rPr>
          <w:rFonts w:ascii="Times New Roman" w:hAnsi="Times New Roman" w:cs="Times New Roman"/>
        </w:rPr>
        <w:t xml:space="preserve">time </w:t>
      </w:r>
      <w:r w:rsidR="00787CD4" w:rsidRPr="00787CD4">
        <w:rPr>
          <w:rFonts w:ascii="Times New Roman" w:hAnsi="Times New Roman" w:cs="Times New Roman"/>
        </w:rPr>
        <w:t xml:space="preserve">charterer </w:t>
      </w:r>
      <w:r w:rsidR="00FE3C79">
        <w:rPr>
          <w:rFonts w:ascii="Times New Roman" w:hAnsi="Times New Roman" w:cs="Times New Roman"/>
        </w:rPr>
        <w:t xml:space="preserve">to conclude </w:t>
      </w:r>
      <w:r w:rsidR="00787CD4" w:rsidRPr="00787CD4">
        <w:rPr>
          <w:rFonts w:ascii="Times New Roman" w:hAnsi="Times New Roman" w:cs="Times New Roman"/>
        </w:rPr>
        <w:t xml:space="preserve">a sub-time </w:t>
      </w:r>
      <w:proofErr w:type="spellStart"/>
      <w:r w:rsidR="00787CD4" w:rsidRPr="00787CD4">
        <w:rPr>
          <w:rFonts w:ascii="Times New Roman" w:hAnsi="Times New Roman" w:cs="Times New Roman"/>
        </w:rPr>
        <w:t>charterparty</w:t>
      </w:r>
      <w:proofErr w:type="spellEnd"/>
      <w:r w:rsidR="00787CD4" w:rsidRPr="00787CD4">
        <w:rPr>
          <w:rFonts w:ascii="Times New Roman" w:hAnsi="Times New Roman" w:cs="Times New Roman"/>
        </w:rPr>
        <w:t xml:space="preserve"> for a shorter period</w:t>
      </w:r>
      <w:r w:rsidR="00C51246">
        <w:rPr>
          <w:rFonts w:ascii="Times New Roman" w:hAnsi="Times New Roman" w:cs="Times New Roman"/>
        </w:rPr>
        <w:t xml:space="preserve"> or a defined number of trips </w:t>
      </w:r>
      <w:r w:rsidR="00FE3C79">
        <w:rPr>
          <w:rFonts w:ascii="Times New Roman" w:hAnsi="Times New Roman" w:cs="Times New Roman"/>
        </w:rPr>
        <w:t xml:space="preserve">instead of a voyage </w:t>
      </w:r>
      <w:proofErr w:type="spellStart"/>
      <w:r w:rsidR="00FE3C79">
        <w:rPr>
          <w:rFonts w:ascii="Times New Roman" w:hAnsi="Times New Roman" w:cs="Times New Roman"/>
        </w:rPr>
        <w:t>charterparty</w:t>
      </w:r>
      <w:proofErr w:type="spellEnd"/>
      <w:r w:rsidR="00E652E0">
        <w:rPr>
          <w:rFonts w:ascii="Times New Roman" w:hAnsi="Times New Roman" w:cs="Times New Roman"/>
        </w:rPr>
        <w:t xml:space="preserve">, or for there to be sub-voyage </w:t>
      </w:r>
      <w:proofErr w:type="spellStart"/>
      <w:r w:rsidR="00E652E0">
        <w:rPr>
          <w:rFonts w:ascii="Times New Roman" w:hAnsi="Times New Roman" w:cs="Times New Roman"/>
        </w:rPr>
        <w:t>charterparties</w:t>
      </w:r>
      <w:proofErr w:type="spellEnd"/>
      <w:r w:rsidR="00FE3C79">
        <w:rPr>
          <w:rFonts w:ascii="Times New Roman" w:hAnsi="Times New Roman" w:cs="Times New Roman"/>
        </w:rPr>
        <w:t>.</w:t>
      </w:r>
      <w:r w:rsidR="00C51246">
        <w:rPr>
          <w:rStyle w:val="FootnoteReference"/>
          <w:rFonts w:ascii="Times New Roman" w:hAnsi="Times New Roman" w:cs="Times New Roman"/>
        </w:rPr>
        <w:footnoteReference w:id="50"/>
      </w:r>
      <w:r w:rsidR="00FE3C79">
        <w:rPr>
          <w:rFonts w:ascii="Times New Roman" w:hAnsi="Times New Roman" w:cs="Times New Roman"/>
        </w:rPr>
        <w:t xml:space="preserve"> </w:t>
      </w:r>
      <w:r w:rsidR="00E652E0">
        <w:rPr>
          <w:rFonts w:ascii="Times New Roman" w:hAnsi="Times New Roman" w:cs="Times New Roman"/>
        </w:rPr>
        <w:t xml:space="preserve">While originally, the lien was on sub-freight under a voyage </w:t>
      </w:r>
      <w:proofErr w:type="spellStart"/>
      <w:r w:rsidR="00E652E0">
        <w:rPr>
          <w:rFonts w:ascii="Times New Roman" w:hAnsi="Times New Roman" w:cs="Times New Roman"/>
        </w:rPr>
        <w:t>charterparty</w:t>
      </w:r>
      <w:proofErr w:type="spellEnd"/>
      <w:r w:rsidR="00E652E0">
        <w:rPr>
          <w:rFonts w:ascii="Times New Roman" w:hAnsi="Times New Roman" w:cs="Times New Roman"/>
        </w:rPr>
        <w:t xml:space="preserve"> or a bill of lading, t</w:t>
      </w:r>
      <w:r w:rsidR="00787CD4" w:rsidRPr="00787CD4">
        <w:rPr>
          <w:rFonts w:ascii="Times New Roman" w:hAnsi="Times New Roman" w:cs="Times New Roman"/>
        </w:rPr>
        <w:t xml:space="preserve">he question arose whether a lien could be created on </w:t>
      </w:r>
      <w:r w:rsidR="00FE3C79">
        <w:rPr>
          <w:rFonts w:ascii="Times New Roman" w:hAnsi="Times New Roman" w:cs="Times New Roman"/>
        </w:rPr>
        <w:t>sub-</w:t>
      </w:r>
      <w:r w:rsidR="00787CD4" w:rsidRPr="00787CD4">
        <w:rPr>
          <w:rFonts w:ascii="Times New Roman" w:hAnsi="Times New Roman" w:cs="Times New Roman"/>
        </w:rPr>
        <w:t>hire</w:t>
      </w:r>
      <w:r w:rsidR="00E652E0">
        <w:rPr>
          <w:rFonts w:ascii="Times New Roman" w:hAnsi="Times New Roman" w:cs="Times New Roman"/>
        </w:rPr>
        <w:t xml:space="preserve"> and other sums</w:t>
      </w:r>
      <w:r w:rsidR="00787CD4" w:rsidRPr="00787CD4">
        <w:rPr>
          <w:rFonts w:ascii="Times New Roman" w:hAnsi="Times New Roman" w:cs="Times New Roman"/>
        </w:rPr>
        <w:t>.</w:t>
      </w:r>
    </w:p>
    <w:p w14:paraId="72C412F6" w14:textId="77777777" w:rsidR="00787CD4" w:rsidRPr="00B51235" w:rsidRDefault="00787CD4" w:rsidP="00D17FEE">
      <w:pPr>
        <w:rPr>
          <w:rFonts w:ascii="Times New Roman" w:hAnsi="Times New Roman" w:cs="Times New Roman"/>
        </w:rPr>
      </w:pPr>
    </w:p>
    <w:p w14:paraId="242BDB2E" w14:textId="51138173" w:rsidR="001358F7" w:rsidRPr="00B51235" w:rsidRDefault="001358F7" w:rsidP="00824F70">
      <w:pPr>
        <w:rPr>
          <w:rFonts w:ascii="Times New Roman" w:hAnsi="Times New Roman" w:cs="Times New Roman"/>
        </w:rPr>
      </w:pPr>
      <w:r>
        <w:rPr>
          <w:rFonts w:ascii="Times New Roman" w:hAnsi="Times New Roman" w:cs="Times New Roman"/>
        </w:rPr>
        <w:t xml:space="preserve">The answer to that question will depend for the most part on the contract wording, specifically on the </w:t>
      </w:r>
      <w:proofErr w:type="gramStart"/>
      <w:r>
        <w:rPr>
          <w:rFonts w:ascii="Times New Roman" w:hAnsi="Times New Roman" w:cs="Times New Roman"/>
        </w:rPr>
        <w:t>liens</w:t>
      </w:r>
      <w:proofErr w:type="gramEnd"/>
      <w:r>
        <w:rPr>
          <w:rFonts w:ascii="Times New Roman" w:hAnsi="Times New Roman" w:cs="Times New Roman"/>
        </w:rPr>
        <w:t xml:space="preserve"> clause. There has been an evolution through case law and case law over the years, expanding the sums potentially covered. From the starting point of NYPE 1946, which referred exclusively to ‘freight’, the expansion to ‘hire’, or more precisely, sub-hire, is now accepted. </w:t>
      </w:r>
      <w:r w:rsidR="00E652E0">
        <w:rPr>
          <w:rFonts w:ascii="Times New Roman" w:hAnsi="Times New Roman" w:cs="Times New Roman"/>
        </w:rPr>
        <w:t xml:space="preserve">In </w:t>
      </w:r>
      <w:proofErr w:type="gramStart"/>
      <w:r w:rsidR="00E652E0" w:rsidRPr="001358F7">
        <w:rPr>
          <w:rFonts w:ascii="Times New Roman" w:hAnsi="Times New Roman" w:cs="Times New Roman"/>
          <w:i/>
        </w:rPr>
        <w:t>The</w:t>
      </w:r>
      <w:proofErr w:type="gramEnd"/>
      <w:r w:rsidR="00E652E0" w:rsidRPr="001358F7">
        <w:rPr>
          <w:rFonts w:ascii="Times New Roman" w:hAnsi="Times New Roman" w:cs="Times New Roman"/>
          <w:i/>
        </w:rPr>
        <w:t xml:space="preserve"> Cebu </w:t>
      </w:r>
      <w:r w:rsidR="00E652E0">
        <w:rPr>
          <w:rFonts w:ascii="Times New Roman" w:hAnsi="Times New Roman" w:cs="Times New Roman"/>
          <w:i/>
        </w:rPr>
        <w:t xml:space="preserve">No </w:t>
      </w:r>
      <w:r w:rsidR="00E652E0" w:rsidRPr="001358F7">
        <w:rPr>
          <w:rFonts w:ascii="Times New Roman" w:hAnsi="Times New Roman" w:cs="Times New Roman"/>
        </w:rPr>
        <w:t>1</w:t>
      </w:r>
      <w:r w:rsidR="00E652E0">
        <w:rPr>
          <w:rFonts w:ascii="Times New Roman" w:hAnsi="Times New Roman" w:cs="Times New Roman"/>
        </w:rPr>
        <w:t>,</w:t>
      </w:r>
      <w:r w:rsidR="00E652E0">
        <w:rPr>
          <w:rStyle w:val="FootnoteReference"/>
          <w:rFonts w:ascii="Times New Roman" w:hAnsi="Times New Roman" w:cs="Times New Roman"/>
        </w:rPr>
        <w:footnoteReference w:id="51"/>
      </w:r>
      <w:r w:rsidR="00E652E0" w:rsidRPr="00B51235">
        <w:rPr>
          <w:rFonts w:ascii="Times New Roman" w:hAnsi="Times New Roman" w:cs="Times New Roman"/>
        </w:rPr>
        <w:t xml:space="preserve"> </w:t>
      </w:r>
      <w:r w:rsidR="00E652E0">
        <w:rPr>
          <w:rFonts w:ascii="Times New Roman" w:hAnsi="Times New Roman" w:cs="Times New Roman"/>
        </w:rPr>
        <w:t xml:space="preserve">it was held that ‘freight’ also referred to sub-hire, but later in </w:t>
      </w:r>
      <w:r w:rsidR="00E652E0" w:rsidRPr="001358F7">
        <w:rPr>
          <w:rFonts w:ascii="Times New Roman" w:hAnsi="Times New Roman" w:cs="Times New Roman"/>
          <w:i/>
        </w:rPr>
        <w:t xml:space="preserve">The Cebu </w:t>
      </w:r>
      <w:r w:rsidR="00E652E0">
        <w:rPr>
          <w:rFonts w:ascii="Times New Roman" w:hAnsi="Times New Roman" w:cs="Times New Roman"/>
          <w:i/>
        </w:rPr>
        <w:t xml:space="preserve">No </w:t>
      </w:r>
      <w:r w:rsidR="00E652E0" w:rsidRPr="001358F7">
        <w:rPr>
          <w:rFonts w:ascii="Times New Roman" w:hAnsi="Times New Roman" w:cs="Times New Roman"/>
          <w:i/>
        </w:rPr>
        <w:t>2</w:t>
      </w:r>
      <w:r w:rsidR="00E652E0">
        <w:rPr>
          <w:rFonts w:ascii="Times New Roman" w:hAnsi="Times New Roman" w:cs="Times New Roman"/>
        </w:rPr>
        <w:t>,</w:t>
      </w:r>
      <w:r w:rsidR="00E652E0">
        <w:rPr>
          <w:rStyle w:val="FootnoteReference"/>
          <w:rFonts w:ascii="Times New Roman" w:hAnsi="Times New Roman" w:cs="Times New Roman"/>
        </w:rPr>
        <w:footnoteReference w:id="52"/>
      </w:r>
      <w:r w:rsidR="00E652E0">
        <w:rPr>
          <w:rFonts w:ascii="Times New Roman" w:hAnsi="Times New Roman" w:cs="Times New Roman"/>
        </w:rPr>
        <w:t xml:space="preserve"> </w:t>
      </w:r>
      <w:r w:rsidR="00E652E0" w:rsidRPr="00B51235">
        <w:rPr>
          <w:rFonts w:ascii="Times New Roman" w:hAnsi="Times New Roman" w:cs="Times New Roman"/>
        </w:rPr>
        <w:t>1</w:t>
      </w:r>
      <w:r w:rsidR="00E652E0">
        <w:rPr>
          <w:rFonts w:ascii="Times New Roman" w:hAnsi="Times New Roman" w:cs="Times New Roman"/>
        </w:rPr>
        <w:t>it was held that the word freight should be taken at face value and did not include sub-</w:t>
      </w:r>
      <w:r w:rsidR="00E652E0" w:rsidRPr="00B51235">
        <w:rPr>
          <w:rFonts w:ascii="Times New Roman" w:hAnsi="Times New Roman" w:cs="Times New Roman"/>
        </w:rPr>
        <w:t>hire.</w:t>
      </w:r>
      <w:r w:rsidR="00E652E0">
        <w:rPr>
          <w:rFonts w:ascii="Times New Roman" w:hAnsi="Times New Roman" w:cs="Times New Roman"/>
        </w:rPr>
        <w:t xml:space="preserve"> The authors of </w:t>
      </w:r>
      <w:r w:rsidR="00E652E0" w:rsidRPr="00B51235">
        <w:rPr>
          <w:rFonts w:ascii="Times New Roman" w:hAnsi="Times New Roman" w:cs="Times New Roman"/>
        </w:rPr>
        <w:t>NYPE 1993</w:t>
      </w:r>
      <w:r w:rsidR="00E652E0">
        <w:rPr>
          <w:rFonts w:ascii="Times New Roman" w:hAnsi="Times New Roman" w:cs="Times New Roman"/>
        </w:rPr>
        <w:t xml:space="preserve"> came to the rescue by adding hire to the list of liabilities included. T</w:t>
      </w:r>
      <w:r>
        <w:rPr>
          <w:rFonts w:ascii="Times New Roman" w:hAnsi="Times New Roman" w:cs="Times New Roman"/>
        </w:rPr>
        <w:t xml:space="preserve">he shipowner’s rights still depend on expressly specifying the sums to which it will wish to lay claim in the </w:t>
      </w:r>
      <w:proofErr w:type="spellStart"/>
      <w:r>
        <w:rPr>
          <w:rFonts w:ascii="Times New Roman" w:hAnsi="Times New Roman" w:cs="Times New Roman"/>
        </w:rPr>
        <w:t>charterparty</w:t>
      </w:r>
      <w:proofErr w:type="spellEnd"/>
      <w:r>
        <w:rPr>
          <w:rFonts w:ascii="Times New Roman" w:hAnsi="Times New Roman" w:cs="Times New Roman"/>
        </w:rPr>
        <w:t xml:space="preserve"> liens clause.</w:t>
      </w:r>
    </w:p>
    <w:p w14:paraId="44A26A81" w14:textId="77777777" w:rsidR="004E7D84" w:rsidRPr="001358F7" w:rsidRDefault="004E7D84" w:rsidP="00D17FEE">
      <w:pPr>
        <w:rPr>
          <w:rFonts w:ascii="Times New Roman" w:hAnsi="Times New Roman" w:cs="Times New Roman"/>
        </w:rPr>
      </w:pPr>
    </w:p>
    <w:p w14:paraId="1D7D4A47" w14:textId="23FDDB11" w:rsidR="001358F7" w:rsidRPr="00B51235" w:rsidRDefault="001358F7" w:rsidP="001358F7">
      <w:pPr>
        <w:rPr>
          <w:rFonts w:ascii="Times New Roman" w:hAnsi="Times New Roman" w:cs="Times New Roman"/>
        </w:rPr>
      </w:pPr>
      <w:r w:rsidRPr="001358F7">
        <w:rPr>
          <w:rFonts w:ascii="Times New Roman" w:hAnsi="Times New Roman" w:cs="Times New Roman"/>
        </w:rPr>
        <w:t xml:space="preserve">It will be </w:t>
      </w:r>
      <w:r>
        <w:rPr>
          <w:rFonts w:ascii="Times New Roman" w:hAnsi="Times New Roman" w:cs="Times New Roman"/>
        </w:rPr>
        <w:t>apparent that the choice between an unamended NYPE 1946 and 1993 will be significant</w:t>
      </w:r>
      <w:r w:rsidR="00194214">
        <w:rPr>
          <w:rFonts w:ascii="Times New Roman" w:hAnsi="Times New Roman" w:cs="Times New Roman"/>
        </w:rPr>
        <w:t>, and that if the point is negotiated the shipowner will want a clause with the greatest possible scope whereas the charterer will wish to limit it to preserve its freedom in contracting with sub-charterers</w:t>
      </w:r>
      <w:r>
        <w:rPr>
          <w:rFonts w:ascii="Times New Roman" w:hAnsi="Times New Roman" w:cs="Times New Roman"/>
        </w:rPr>
        <w:t xml:space="preserve">. </w:t>
      </w:r>
      <w:r w:rsidR="004E7D84">
        <w:rPr>
          <w:rFonts w:ascii="Times New Roman" w:hAnsi="Times New Roman" w:cs="Times New Roman"/>
        </w:rPr>
        <w:t>While t</w:t>
      </w:r>
      <w:r w:rsidR="004E7D84" w:rsidRPr="00B51235">
        <w:rPr>
          <w:rFonts w:ascii="Times New Roman" w:hAnsi="Times New Roman" w:cs="Times New Roman"/>
        </w:rPr>
        <w:t xml:space="preserve">he question </w:t>
      </w:r>
      <w:r w:rsidR="004E7D84">
        <w:rPr>
          <w:rFonts w:ascii="Times New Roman" w:hAnsi="Times New Roman" w:cs="Times New Roman"/>
        </w:rPr>
        <w:t>of whether sub-freight includes sub-hire can</w:t>
      </w:r>
      <w:r w:rsidR="004E7D84" w:rsidRPr="00B51235">
        <w:rPr>
          <w:rFonts w:ascii="Times New Roman" w:hAnsi="Times New Roman" w:cs="Times New Roman"/>
        </w:rPr>
        <w:t xml:space="preserve">not </w:t>
      </w:r>
      <w:r w:rsidR="004E7D84">
        <w:rPr>
          <w:rFonts w:ascii="Times New Roman" w:hAnsi="Times New Roman" w:cs="Times New Roman"/>
        </w:rPr>
        <w:t xml:space="preserve">be said to remain </w:t>
      </w:r>
      <w:r w:rsidR="004E7D84" w:rsidRPr="00B51235">
        <w:rPr>
          <w:rFonts w:ascii="Times New Roman" w:hAnsi="Times New Roman" w:cs="Times New Roman"/>
        </w:rPr>
        <w:t>open,</w:t>
      </w:r>
      <w:r w:rsidR="004E7D84">
        <w:rPr>
          <w:rFonts w:ascii="Times New Roman" w:hAnsi="Times New Roman" w:cs="Times New Roman"/>
        </w:rPr>
        <w:t xml:space="preserve"> in</w:t>
      </w:r>
      <w:r w:rsidR="00A4214D">
        <w:rPr>
          <w:rFonts w:ascii="Times New Roman" w:hAnsi="Times New Roman" w:cs="Times New Roman"/>
        </w:rPr>
        <w:t xml:space="preserve"> considering this issue in</w:t>
      </w:r>
      <w:r>
        <w:rPr>
          <w:rFonts w:ascii="Times New Roman" w:hAnsi="Times New Roman" w:cs="Times New Roman"/>
        </w:rPr>
        <w:t xml:space="preserve"> </w:t>
      </w:r>
      <w:r w:rsidRPr="001A4444">
        <w:rPr>
          <w:rFonts w:ascii="Times New Roman" w:hAnsi="Times New Roman" w:cs="Times New Roman"/>
          <w:i/>
        </w:rPr>
        <w:t>Dry Bulk Handy Holding Inc v Fayette International Holdings Limited (The “Bulk Chile”)</w:t>
      </w:r>
      <w:r>
        <w:rPr>
          <w:rFonts w:ascii="Times New Roman" w:hAnsi="Times New Roman" w:cs="Times New Roman"/>
        </w:rPr>
        <w:t>,</w:t>
      </w:r>
      <w:r w:rsidRPr="001358F7">
        <w:rPr>
          <w:rStyle w:val="FootnoteReference"/>
          <w:rFonts w:ascii="Times New Roman" w:hAnsi="Times New Roman" w:cs="Times New Roman"/>
        </w:rPr>
        <w:footnoteReference w:id="53"/>
      </w:r>
      <w:r>
        <w:rPr>
          <w:rFonts w:ascii="Times New Roman" w:hAnsi="Times New Roman" w:cs="Times New Roman"/>
        </w:rPr>
        <w:t xml:space="preserve"> </w:t>
      </w:r>
      <w:r w:rsidRPr="00B51235">
        <w:rPr>
          <w:rFonts w:ascii="Times New Roman" w:hAnsi="Times New Roman" w:cs="Times New Roman"/>
        </w:rPr>
        <w:t xml:space="preserve">the </w:t>
      </w:r>
      <w:r w:rsidR="00AA195B">
        <w:rPr>
          <w:rFonts w:ascii="Times New Roman" w:hAnsi="Times New Roman" w:cs="Times New Roman"/>
        </w:rPr>
        <w:t>judge at first instance</w:t>
      </w:r>
      <w:r w:rsidR="005B0030">
        <w:rPr>
          <w:rFonts w:ascii="Times New Roman" w:hAnsi="Times New Roman" w:cs="Times New Roman"/>
        </w:rPr>
        <w:t xml:space="preserve"> did express a preference for </w:t>
      </w:r>
      <w:r w:rsidRPr="00B51235">
        <w:rPr>
          <w:rFonts w:ascii="Times New Roman" w:hAnsi="Times New Roman" w:cs="Times New Roman"/>
        </w:rPr>
        <w:t xml:space="preserve">the solution in </w:t>
      </w:r>
      <w:r w:rsidRPr="00B51235">
        <w:rPr>
          <w:rFonts w:ascii="Times New Roman" w:hAnsi="Times New Roman" w:cs="Times New Roman"/>
          <w:i/>
        </w:rPr>
        <w:t>The Cebu No 1</w:t>
      </w:r>
      <w:r w:rsidR="004E7D84">
        <w:rPr>
          <w:rFonts w:ascii="Times New Roman" w:hAnsi="Times New Roman" w:cs="Times New Roman"/>
        </w:rPr>
        <w:t>. However,</w:t>
      </w:r>
      <w:r w:rsidRPr="00B51235">
        <w:rPr>
          <w:rFonts w:ascii="Times New Roman" w:hAnsi="Times New Roman" w:cs="Times New Roman"/>
        </w:rPr>
        <w:t xml:space="preserve"> as the judge in </w:t>
      </w:r>
      <w:r w:rsidRPr="00B51235">
        <w:rPr>
          <w:rFonts w:ascii="Times New Roman" w:hAnsi="Times New Roman" w:cs="Times New Roman"/>
          <w:i/>
        </w:rPr>
        <w:t>The Cebu No 2</w:t>
      </w:r>
      <w:r w:rsidRPr="00B51235">
        <w:rPr>
          <w:rFonts w:ascii="Times New Roman" w:hAnsi="Times New Roman" w:cs="Times New Roman"/>
        </w:rPr>
        <w:t xml:space="preserve"> </w:t>
      </w:r>
      <w:r>
        <w:rPr>
          <w:rFonts w:ascii="Times New Roman" w:hAnsi="Times New Roman" w:cs="Times New Roman"/>
        </w:rPr>
        <w:t xml:space="preserve">had </w:t>
      </w:r>
      <w:r w:rsidRPr="00B51235">
        <w:rPr>
          <w:rFonts w:ascii="Times New Roman" w:hAnsi="Times New Roman" w:cs="Times New Roman"/>
        </w:rPr>
        <w:t>considered that case and c</w:t>
      </w:r>
      <w:r>
        <w:rPr>
          <w:rFonts w:ascii="Times New Roman" w:hAnsi="Times New Roman" w:cs="Times New Roman"/>
        </w:rPr>
        <w:t>o</w:t>
      </w:r>
      <w:r w:rsidRPr="00B51235">
        <w:rPr>
          <w:rFonts w:ascii="Times New Roman" w:hAnsi="Times New Roman" w:cs="Times New Roman"/>
        </w:rPr>
        <w:t>me to a different conclusion</w:t>
      </w:r>
      <w:r>
        <w:rPr>
          <w:rFonts w:ascii="Times New Roman" w:hAnsi="Times New Roman" w:cs="Times New Roman"/>
        </w:rPr>
        <w:t>,</w:t>
      </w:r>
      <w:r w:rsidRPr="00B51235">
        <w:rPr>
          <w:rFonts w:ascii="Times New Roman" w:hAnsi="Times New Roman" w:cs="Times New Roman"/>
        </w:rPr>
        <w:t xml:space="preserve"> the latter case was to be followed.</w:t>
      </w:r>
      <w:r w:rsidR="00AA195B">
        <w:rPr>
          <w:rFonts w:ascii="Times New Roman" w:hAnsi="Times New Roman" w:cs="Times New Roman"/>
        </w:rPr>
        <w:t xml:space="preserve"> The facts were that </w:t>
      </w:r>
      <w:r w:rsidR="00AA195B" w:rsidRPr="00B51235">
        <w:rPr>
          <w:rFonts w:ascii="Times New Roman" w:hAnsi="Times New Roman" w:cs="Times New Roman"/>
          <w:lang w:val="en-US"/>
        </w:rPr>
        <w:t>Dry Bulk Handling Holding</w:t>
      </w:r>
      <w:r w:rsidR="00AA195B" w:rsidRPr="00B51235">
        <w:rPr>
          <w:rStyle w:val="FootnoteReference"/>
          <w:rFonts w:ascii="Times New Roman" w:hAnsi="Times New Roman" w:cs="Times New Roman"/>
          <w:lang w:val="en-US"/>
        </w:rPr>
        <w:footnoteReference w:id="54"/>
      </w:r>
      <w:r w:rsidR="00AA195B" w:rsidRPr="00B51235">
        <w:rPr>
          <w:rFonts w:ascii="Times New Roman" w:hAnsi="Times New Roman" w:cs="Times New Roman"/>
          <w:lang w:val="en-US"/>
        </w:rPr>
        <w:t xml:space="preserve"> had time chartered the vessel </w:t>
      </w:r>
      <w:r w:rsidR="00AA195B" w:rsidRPr="00B51235">
        <w:rPr>
          <w:rFonts w:ascii="Times New Roman" w:hAnsi="Times New Roman" w:cs="Times New Roman"/>
          <w:i/>
          <w:lang w:val="en-US"/>
        </w:rPr>
        <w:t>Bulk Chile</w:t>
      </w:r>
      <w:r w:rsidR="00AA195B" w:rsidRPr="00B51235">
        <w:rPr>
          <w:rFonts w:ascii="Times New Roman" w:hAnsi="Times New Roman" w:cs="Times New Roman"/>
          <w:lang w:val="en-US"/>
        </w:rPr>
        <w:t xml:space="preserve"> to KLC Korea Line Corporation on a time </w:t>
      </w:r>
      <w:proofErr w:type="spellStart"/>
      <w:r w:rsidR="00AA195B" w:rsidRPr="00B51235">
        <w:rPr>
          <w:rFonts w:ascii="Times New Roman" w:hAnsi="Times New Roman" w:cs="Times New Roman"/>
          <w:lang w:val="en-US"/>
        </w:rPr>
        <w:t>charterparty</w:t>
      </w:r>
      <w:proofErr w:type="spellEnd"/>
      <w:r w:rsidR="00AA195B" w:rsidRPr="00B51235">
        <w:rPr>
          <w:rFonts w:ascii="Times New Roman" w:hAnsi="Times New Roman" w:cs="Times New Roman"/>
          <w:lang w:val="en-US"/>
        </w:rPr>
        <w:t xml:space="preserve"> on NYPE 1946</w:t>
      </w:r>
      <w:r w:rsidR="00AA195B" w:rsidRPr="00B51235">
        <w:rPr>
          <w:rFonts w:ascii="Times New Roman" w:hAnsi="Times New Roman" w:cs="Times New Roman"/>
        </w:rPr>
        <w:t xml:space="preserve"> terms</w:t>
      </w:r>
      <w:r w:rsidR="00AA195B" w:rsidRPr="00B51235">
        <w:rPr>
          <w:rFonts w:ascii="Times New Roman" w:hAnsi="Times New Roman" w:cs="Times New Roman"/>
          <w:lang w:val="en-US"/>
        </w:rPr>
        <w:t xml:space="preserve">. KLC in turn had trip-time chartered the vessel to </w:t>
      </w:r>
      <w:r w:rsidR="00AA195B" w:rsidRPr="00B51235">
        <w:rPr>
          <w:rFonts w:ascii="Times New Roman" w:hAnsi="Times New Roman" w:cs="Times New Roman"/>
        </w:rPr>
        <w:t xml:space="preserve">Fayette, and Fayette had voyage chartered it to </w:t>
      </w:r>
      <w:proofErr w:type="spellStart"/>
      <w:r w:rsidR="00AA195B" w:rsidRPr="00B51235">
        <w:rPr>
          <w:rFonts w:ascii="Times New Roman" w:hAnsi="Times New Roman" w:cs="Times New Roman"/>
        </w:rPr>
        <w:t>Metinvest</w:t>
      </w:r>
      <w:proofErr w:type="spellEnd"/>
      <w:r w:rsidR="00AA195B" w:rsidRPr="00B51235">
        <w:rPr>
          <w:rFonts w:ascii="Times New Roman" w:hAnsi="Times New Roman" w:cs="Times New Roman"/>
        </w:rPr>
        <w:t xml:space="preserve"> on </w:t>
      </w:r>
      <w:proofErr w:type="spellStart"/>
      <w:r w:rsidR="00AA195B" w:rsidRPr="00B51235">
        <w:rPr>
          <w:rFonts w:ascii="Times New Roman" w:hAnsi="Times New Roman" w:cs="Times New Roman"/>
          <w:lang w:val="en-US"/>
        </w:rPr>
        <w:t>Gencon</w:t>
      </w:r>
      <w:proofErr w:type="spellEnd"/>
      <w:r w:rsidR="00AA195B" w:rsidRPr="00B51235">
        <w:rPr>
          <w:rFonts w:ascii="Times New Roman" w:hAnsi="Times New Roman" w:cs="Times New Roman"/>
          <w:lang w:val="en-US"/>
        </w:rPr>
        <w:t xml:space="preserve"> terms. When KLC failed to pay as a result of insolvency </w:t>
      </w:r>
      <w:r w:rsidR="00AA195B" w:rsidRPr="00B51235">
        <w:rPr>
          <w:rFonts w:ascii="Times New Roman" w:hAnsi="Times New Roman" w:cs="Times New Roman"/>
          <w:lang w:val="en-US"/>
        </w:rPr>
        <w:lastRenderedPageBreak/>
        <w:t xml:space="preserve">proceedings, Dry Bulk notified both Fayette and </w:t>
      </w:r>
      <w:proofErr w:type="spellStart"/>
      <w:r w:rsidR="00AA195B" w:rsidRPr="00B51235">
        <w:rPr>
          <w:rFonts w:ascii="Times New Roman" w:hAnsi="Times New Roman" w:cs="Times New Roman"/>
          <w:lang w:val="en-US"/>
        </w:rPr>
        <w:t>Metinvest</w:t>
      </w:r>
      <w:proofErr w:type="spellEnd"/>
      <w:r w:rsidR="00AA195B" w:rsidRPr="00B51235">
        <w:rPr>
          <w:rFonts w:ascii="Times New Roman" w:hAnsi="Times New Roman" w:cs="Times New Roman"/>
          <w:lang w:val="en-US"/>
        </w:rPr>
        <w:t xml:space="preserve"> that is wished to exercise its lien.</w:t>
      </w:r>
      <w:r w:rsidR="00AA195B">
        <w:rPr>
          <w:rFonts w:ascii="Times New Roman" w:hAnsi="Times New Roman" w:cs="Times New Roman"/>
        </w:rPr>
        <w:t xml:space="preserve"> </w:t>
      </w:r>
      <w:r w:rsidR="00AA195B" w:rsidRPr="00B51235">
        <w:rPr>
          <w:rFonts w:ascii="Times New Roman" w:hAnsi="Times New Roman" w:cs="Times New Roman"/>
        </w:rPr>
        <w:t xml:space="preserve">Because the chain involved both time and voyage charters, the question arose whether the lien on sub-freights applied equally to hire payments. That is, could Dry Bulk claim that Fayette’s hire payments to KLC, as well as </w:t>
      </w:r>
      <w:proofErr w:type="spellStart"/>
      <w:r w:rsidR="00AA195B" w:rsidRPr="00B51235">
        <w:rPr>
          <w:rFonts w:ascii="Times New Roman" w:hAnsi="Times New Roman" w:cs="Times New Roman"/>
        </w:rPr>
        <w:t>Metinvest’s</w:t>
      </w:r>
      <w:proofErr w:type="spellEnd"/>
      <w:r w:rsidR="00AA195B" w:rsidRPr="00B51235">
        <w:rPr>
          <w:rFonts w:ascii="Times New Roman" w:hAnsi="Times New Roman" w:cs="Times New Roman"/>
        </w:rPr>
        <w:t xml:space="preserve"> freight payments to KLC’s sub-charterer Fayette be paid to Dry Bulk?</w:t>
      </w:r>
      <w:r w:rsidR="007D44B6">
        <w:rPr>
          <w:rFonts w:ascii="Times New Roman" w:hAnsi="Times New Roman" w:cs="Times New Roman"/>
        </w:rPr>
        <w:t xml:space="preserve"> </w:t>
      </w:r>
      <w:r w:rsidR="00AA195B">
        <w:rPr>
          <w:rFonts w:ascii="Times New Roman" w:hAnsi="Times New Roman" w:cs="Times New Roman"/>
        </w:rPr>
        <w:t>On the judge’s conclusion,</w:t>
      </w:r>
      <w:r w:rsidR="00AA195B">
        <w:rPr>
          <w:rStyle w:val="FootnoteReference"/>
          <w:rFonts w:ascii="Times New Roman" w:hAnsi="Times New Roman" w:cs="Times New Roman"/>
        </w:rPr>
        <w:footnoteReference w:id="55"/>
      </w:r>
      <w:r w:rsidR="00AA195B">
        <w:rPr>
          <w:rFonts w:ascii="Times New Roman" w:hAnsi="Times New Roman" w:cs="Times New Roman"/>
        </w:rPr>
        <w:t xml:space="preserve"> payments from the voyage charterer but not the sub-time charterer </w:t>
      </w:r>
      <w:proofErr w:type="gramStart"/>
      <w:r w:rsidR="00AA195B">
        <w:rPr>
          <w:rFonts w:ascii="Times New Roman" w:hAnsi="Times New Roman" w:cs="Times New Roman"/>
        </w:rPr>
        <w:t>were</w:t>
      </w:r>
      <w:proofErr w:type="gramEnd"/>
      <w:r w:rsidR="00AA195B">
        <w:rPr>
          <w:rFonts w:ascii="Times New Roman" w:hAnsi="Times New Roman" w:cs="Times New Roman"/>
        </w:rPr>
        <w:t xml:space="preserve"> subject to the lien. </w:t>
      </w:r>
      <w:r w:rsidR="007D44B6">
        <w:rPr>
          <w:rFonts w:ascii="Times New Roman" w:hAnsi="Times New Roman" w:cs="Times New Roman"/>
        </w:rPr>
        <w:t xml:space="preserve">There was no appeal on this issue. </w:t>
      </w:r>
      <w:r w:rsidR="00AA195B">
        <w:rPr>
          <w:rFonts w:ascii="Times New Roman" w:hAnsi="Times New Roman" w:cs="Times New Roman"/>
        </w:rPr>
        <w:t>It is note</w:t>
      </w:r>
      <w:r w:rsidR="007D44B6">
        <w:rPr>
          <w:rFonts w:ascii="Times New Roman" w:hAnsi="Times New Roman" w:cs="Times New Roman"/>
        </w:rPr>
        <w:t>d</w:t>
      </w:r>
      <w:r w:rsidR="00AA195B">
        <w:rPr>
          <w:rFonts w:ascii="Times New Roman" w:hAnsi="Times New Roman" w:cs="Times New Roman"/>
        </w:rPr>
        <w:t xml:space="preserve"> that a combination of NYPE 1946 for the head time charter and trip time </w:t>
      </w:r>
      <w:proofErr w:type="spellStart"/>
      <w:r w:rsidR="00AA195B">
        <w:rPr>
          <w:rFonts w:ascii="Times New Roman" w:hAnsi="Times New Roman" w:cs="Times New Roman"/>
        </w:rPr>
        <w:t>charterparties</w:t>
      </w:r>
      <w:proofErr w:type="spellEnd"/>
      <w:r w:rsidR="00AA195B">
        <w:rPr>
          <w:rFonts w:ascii="Times New Roman" w:hAnsi="Times New Roman" w:cs="Times New Roman"/>
        </w:rPr>
        <w:t xml:space="preserve"> instead of voyage </w:t>
      </w:r>
      <w:proofErr w:type="spellStart"/>
      <w:r w:rsidR="00AA195B">
        <w:rPr>
          <w:rFonts w:ascii="Times New Roman" w:hAnsi="Times New Roman" w:cs="Times New Roman"/>
        </w:rPr>
        <w:t>charterparties</w:t>
      </w:r>
      <w:proofErr w:type="spellEnd"/>
      <w:r w:rsidR="00AA195B">
        <w:rPr>
          <w:rFonts w:ascii="Times New Roman" w:hAnsi="Times New Roman" w:cs="Times New Roman"/>
        </w:rPr>
        <w:t xml:space="preserve"> thereafter will ensure there is nothing to lien for the shipowner.</w:t>
      </w:r>
      <w:r w:rsidR="007D44B6">
        <w:rPr>
          <w:rFonts w:ascii="Times New Roman" w:hAnsi="Times New Roman" w:cs="Times New Roman"/>
        </w:rPr>
        <w:t xml:space="preserve"> Where from the shipowner’s </w:t>
      </w:r>
      <w:proofErr w:type="gramStart"/>
      <w:r w:rsidR="007D44B6">
        <w:rPr>
          <w:rFonts w:ascii="Times New Roman" w:hAnsi="Times New Roman" w:cs="Times New Roman"/>
        </w:rPr>
        <w:t>perspective</w:t>
      </w:r>
      <w:proofErr w:type="gramEnd"/>
      <w:r w:rsidR="007D44B6">
        <w:rPr>
          <w:rFonts w:ascii="Times New Roman" w:hAnsi="Times New Roman" w:cs="Times New Roman"/>
        </w:rPr>
        <w:t xml:space="preserve"> </w:t>
      </w:r>
    </w:p>
    <w:p w14:paraId="7550DC0D" w14:textId="2F681CA4" w:rsidR="00D17FEE" w:rsidRDefault="00D17FEE" w:rsidP="00D17FEE">
      <w:pPr>
        <w:rPr>
          <w:rFonts w:ascii="Times New Roman" w:hAnsi="Times New Roman" w:cs="Times New Roman"/>
        </w:rPr>
      </w:pPr>
    </w:p>
    <w:p w14:paraId="22FA05E6" w14:textId="281C7B40" w:rsidR="00D17FEE" w:rsidRPr="008319A9" w:rsidRDefault="0029182C" w:rsidP="00986C91">
      <w:pPr>
        <w:rPr>
          <w:rFonts w:ascii="Times New Roman" w:hAnsi="Times New Roman" w:cs="Times New Roman"/>
          <w:lang w:val="en-US"/>
        </w:rPr>
      </w:pPr>
      <w:r>
        <w:rPr>
          <w:rFonts w:ascii="Times New Roman" w:hAnsi="Times New Roman" w:cs="Times New Roman"/>
          <w:lang w:val="en-US"/>
        </w:rPr>
        <w:t xml:space="preserve">There is also a question as to what sums may be recovered through the exercise of the lien. </w:t>
      </w:r>
      <w:r w:rsidR="003330D1">
        <w:rPr>
          <w:rFonts w:ascii="Times New Roman" w:hAnsi="Times New Roman" w:cs="Times New Roman"/>
          <w:lang w:val="en-US"/>
        </w:rPr>
        <w:t xml:space="preserve">In </w:t>
      </w:r>
      <w:proofErr w:type="gramStart"/>
      <w:r w:rsidR="003330D1" w:rsidRPr="004D1B71">
        <w:rPr>
          <w:rFonts w:ascii="Times New Roman" w:hAnsi="Times New Roman" w:cs="Times New Roman"/>
          <w:i/>
          <w:lang w:val="en-US"/>
        </w:rPr>
        <w:t>The</w:t>
      </w:r>
      <w:proofErr w:type="gramEnd"/>
      <w:r w:rsidR="003330D1" w:rsidRPr="004D1B71">
        <w:rPr>
          <w:rFonts w:ascii="Times New Roman" w:hAnsi="Times New Roman" w:cs="Times New Roman"/>
          <w:i/>
          <w:lang w:val="en-US"/>
        </w:rPr>
        <w:t xml:space="preserve"> Bulk Chile</w:t>
      </w:r>
      <w:r w:rsidR="003330D1">
        <w:rPr>
          <w:rFonts w:ascii="Times New Roman" w:hAnsi="Times New Roman" w:cs="Times New Roman"/>
          <w:lang w:val="en-US"/>
        </w:rPr>
        <w:t>, there was a potentially i</w:t>
      </w:r>
      <w:r w:rsidR="003330D1" w:rsidRPr="00B51235">
        <w:rPr>
          <w:rFonts w:ascii="Times New Roman" w:hAnsi="Times New Roman" w:cs="Times New Roman"/>
          <w:lang w:val="en-US"/>
        </w:rPr>
        <w:t xml:space="preserve">nteresting argument </w:t>
      </w:r>
      <w:r w:rsidR="007D44B6">
        <w:rPr>
          <w:rFonts w:ascii="Times New Roman" w:hAnsi="Times New Roman" w:cs="Times New Roman"/>
          <w:lang w:val="en-US"/>
        </w:rPr>
        <w:t>as to whether</w:t>
      </w:r>
      <w:r w:rsidR="003330D1" w:rsidRPr="00B51235">
        <w:rPr>
          <w:rFonts w:ascii="Times New Roman" w:hAnsi="Times New Roman" w:cs="Times New Roman"/>
          <w:lang w:val="en-US"/>
        </w:rPr>
        <w:t xml:space="preserve"> the damages for repudiation </w:t>
      </w:r>
      <w:r w:rsidR="00B6782C">
        <w:rPr>
          <w:rFonts w:ascii="Times New Roman" w:hAnsi="Times New Roman" w:cs="Times New Roman"/>
          <w:lang w:val="en-US"/>
        </w:rPr>
        <w:t>we</w:t>
      </w:r>
      <w:r w:rsidR="003330D1" w:rsidRPr="00B51235">
        <w:rPr>
          <w:rFonts w:ascii="Times New Roman" w:hAnsi="Times New Roman" w:cs="Times New Roman"/>
          <w:lang w:val="en-US"/>
        </w:rPr>
        <w:t xml:space="preserve">re encompassed by the lien. </w:t>
      </w:r>
      <w:r w:rsidR="003330D1">
        <w:rPr>
          <w:rFonts w:ascii="Times New Roman" w:hAnsi="Times New Roman" w:cs="Times New Roman"/>
          <w:lang w:val="en-US"/>
        </w:rPr>
        <w:t>Th</w:t>
      </w:r>
      <w:r>
        <w:rPr>
          <w:rFonts w:ascii="Times New Roman" w:hAnsi="Times New Roman" w:cs="Times New Roman"/>
          <w:lang w:val="en-US"/>
        </w:rPr>
        <w:t>is required no decision</w:t>
      </w:r>
      <w:r w:rsidR="003330D1">
        <w:rPr>
          <w:rFonts w:ascii="Times New Roman" w:hAnsi="Times New Roman" w:cs="Times New Roman"/>
          <w:lang w:val="en-US"/>
        </w:rPr>
        <w:t xml:space="preserve">, </w:t>
      </w:r>
      <w:r w:rsidR="003330D1" w:rsidRPr="00B51235">
        <w:rPr>
          <w:rFonts w:ascii="Times New Roman" w:hAnsi="Times New Roman" w:cs="Times New Roman"/>
          <w:lang w:val="en-US"/>
        </w:rPr>
        <w:t xml:space="preserve">as the amounts due under the sub-charters </w:t>
      </w:r>
      <w:r w:rsidR="003330D1">
        <w:rPr>
          <w:rFonts w:ascii="Times New Roman" w:hAnsi="Times New Roman" w:cs="Times New Roman"/>
          <w:lang w:val="en-US"/>
        </w:rPr>
        <w:t>were</w:t>
      </w:r>
      <w:r w:rsidR="003330D1" w:rsidRPr="00B51235">
        <w:rPr>
          <w:rFonts w:ascii="Times New Roman" w:hAnsi="Times New Roman" w:cs="Times New Roman"/>
          <w:lang w:val="en-US"/>
        </w:rPr>
        <w:t xml:space="preserve"> much smaller than </w:t>
      </w:r>
      <w:r w:rsidR="003330D1">
        <w:rPr>
          <w:rFonts w:ascii="Times New Roman" w:hAnsi="Times New Roman" w:cs="Times New Roman"/>
          <w:lang w:val="en-US"/>
        </w:rPr>
        <w:t xml:space="preserve">the </w:t>
      </w:r>
      <w:r w:rsidR="003330D1" w:rsidRPr="00B51235">
        <w:rPr>
          <w:rFonts w:ascii="Times New Roman" w:hAnsi="Times New Roman" w:cs="Times New Roman"/>
          <w:lang w:val="en-US"/>
        </w:rPr>
        <w:t>claim</w:t>
      </w:r>
      <w:r w:rsidR="003330D1">
        <w:rPr>
          <w:rFonts w:ascii="Times New Roman" w:hAnsi="Times New Roman" w:cs="Times New Roman"/>
          <w:lang w:val="en-US"/>
        </w:rPr>
        <w:t xml:space="preserve">. </w:t>
      </w:r>
      <w:proofErr w:type="gramStart"/>
      <w:r w:rsidR="003330D1">
        <w:rPr>
          <w:rFonts w:ascii="Times New Roman" w:hAnsi="Times New Roman" w:cs="Times New Roman"/>
          <w:lang w:val="en-US"/>
        </w:rPr>
        <w:t>However</w:t>
      </w:r>
      <w:proofErr w:type="gramEnd"/>
      <w:r w:rsidR="003330D1">
        <w:rPr>
          <w:rFonts w:ascii="Times New Roman" w:hAnsi="Times New Roman" w:cs="Times New Roman"/>
          <w:lang w:val="en-US"/>
        </w:rPr>
        <w:t xml:space="preserve"> in</w:t>
      </w:r>
      <w:r w:rsidR="004D1B71">
        <w:rPr>
          <w:rFonts w:ascii="Times New Roman" w:hAnsi="Times New Roman" w:cs="Times New Roman"/>
          <w:lang w:val="en-US"/>
        </w:rPr>
        <w:t xml:space="preserve"> </w:t>
      </w:r>
      <w:r w:rsidR="004D1B71" w:rsidRPr="004D1B71">
        <w:rPr>
          <w:rFonts w:ascii="Times New Roman" w:hAnsi="Times New Roman" w:cs="Times New Roman"/>
          <w:i/>
          <w:lang w:val="en-US"/>
        </w:rPr>
        <w:t>Wollongong Coal Limited v PCL (Shipping) Pte Ltd</w:t>
      </w:r>
      <w:r w:rsidR="004D1B71">
        <w:rPr>
          <w:rFonts w:ascii="Times New Roman" w:hAnsi="Times New Roman" w:cs="Times New Roman"/>
          <w:lang w:val="en-US"/>
        </w:rPr>
        <w:t>,</w:t>
      </w:r>
      <w:r w:rsidR="004D1B71">
        <w:rPr>
          <w:rStyle w:val="FootnoteReference"/>
          <w:rFonts w:ascii="Times New Roman" w:hAnsi="Times New Roman" w:cs="Times New Roman"/>
          <w:lang w:val="en-US"/>
        </w:rPr>
        <w:footnoteReference w:id="56"/>
      </w:r>
      <w:r w:rsidR="004D1B71">
        <w:rPr>
          <w:rFonts w:ascii="Times New Roman" w:hAnsi="Times New Roman" w:cs="Times New Roman"/>
          <w:lang w:val="en-US"/>
        </w:rPr>
        <w:t xml:space="preserve"> the judge did consider </w:t>
      </w:r>
      <w:r w:rsidR="00CB02B6">
        <w:rPr>
          <w:rFonts w:ascii="Times New Roman" w:hAnsi="Times New Roman" w:cs="Times New Roman"/>
          <w:lang w:val="en-US"/>
        </w:rPr>
        <w:t xml:space="preserve">in respect of </w:t>
      </w:r>
      <w:r w:rsidR="004D1B71">
        <w:rPr>
          <w:rFonts w:ascii="Times New Roman" w:hAnsi="Times New Roman" w:cs="Times New Roman"/>
          <w:lang w:val="en-US"/>
        </w:rPr>
        <w:t xml:space="preserve">what sums </w:t>
      </w:r>
      <w:r w:rsidR="00CB02B6">
        <w:rPr>
          <w:rFonts w:ascii="Times New Roman" w:hAnsi="Times New Roman" w:cs="Times New Roman"/>
          <w:lang w:val="en-US"/>
        </w:rPr>
        <w:t xml:space="preserve">the shipowner could present </w:t>
      </w:r>
      <w:r w:rsidR="004D1B71">
        <w:rPr>
          <w:rFonts w:ascii="Times New Roman" w:hAnsi="Times New Roman" w:cs="Times New Roman"/>
          <w:lang w:val="en-US"/>
        </w:rPr>
        <w:t xml:space="preserve">a lien on sub-freight and included the bunker adjustment but not port costs, demurrage or dead-freight. Demurrage was a liability of the voyage charterer, not the shipper and bill of lading holder; the dead-freight liability did not arise under the bills of lading in question; and port costs did not feature in the </w:t>
      </w:r>
      <w:proofErr w:type="spellStart"/>
      <w:r w:rsidR="004D1B71">
        <w:rPr>
          <w:rFonts w:ascii="Times New Roman" w:hAnsi="Times New Roman" w:cs="Times New Roman"/>
          <w:lang w:val="en-US"/>
        </w:rPr>
        <w:t>charterparty</w:t>
      </w:r>
      <w:proofErr w:type="spellEnd"/>
      <w:r w:rsidR="004D1B71">
        <w:rPr>
          <w:rFonts w:ascii="Times New Roman" w:hAnsi="Times New Roman" w:cs="Times New Roman"/>
          <w:lang w:val="en-US"/>
        </w:rPr>
        <w:t>.</w:t>
      </w:r>
    </w:p>
    <w:p w14:paraId="46ADA13F" w14:textId="77777777" w:rsidR="00D17FEE" w:rsidRDefault="00D17FEE" w:rsidP="00986C91">
      <w:pPr>
        <w:rPr>
          <w:rFonts w:ascii="Times New Roman" w:hAnsi="Times New Roman" w:cs="Times New Roman"/>
        </w:rPr>
      </w:pPr>
    </w:p>
    <w:p w14:paraId="4DF9F5BC" w14:textId="77777777" w:rsidR="00D37BEB" w:rsidRPr="00B51235" w:rsidRDefault="00D37BEB" w:rsidP="00D37BEB">
      <w:pPr>
        <w:rPr>
          <w:rFonts w:ascii="Times New Roman" w:hAnsi="Times New Roman" w:cs="Times New Roman"/>
        </w:rPr>
      </w:pPr>
    </w:p>
    <w:p w14:paraId="09551108" w14:textId="26E667C0" w:rsidR="00D37BEB" w:rsidRPr="0092680A" w:rsidRDefault="00D37BEB" w:rsidP="00D37BEB">
      <w:pPr>
        <w:rPr>
          <w:rFonts w:ascii="Times New Roman" w:hAnsi="Times New Roman" w:cs="Times New Roman"/>
          <w:b/>
        </w:rPr>
      </w:pPr>
      <w:r w:rsidRPr="0092680A">
        <w:rPr>
          <w:rFonts w:ascii="Times New Roman" w:hAnsi="Times New Roman" w:cs="Times New Roman"/>
          <w:b/>
        </w:rPr>
        <w:t>C</w:t>
      </w:r>
      <w:r w:rsidR="0009395D">
        <w:rPr>
          <w:rFonts w:ascii="Times New Roman" w:hAnsi="Times New Roman" w:cs="Times New Roman"/>
          <w:b/>
        </w:rPr>
        <w:t>omments</w:t>
      </w:r>
    </w:p>
    <w:p w14:paraId="3B4901B7" w14:textId="77777777" w:rsidR="00640799" w:rsidRPr="00B51235" w:rsidRDefault="00640799" w:rsidP="00986C91">
      <w:pPr>
        <w:rPr>
          <w:rFonts w:ascii="Times New Roman" w:hAnsi="Times New Roman" w:cs="Times New Roman"/>
        </w:rPr>
      </w:pPr>
    </w:p>
    <w:p w14:paraId="67AAC152" w14:textId="77777777" w:rsidR="00824F70" w:rsidRDefault="00D37BEB" w:rsidP="00C14A24">
      <w:pPr>
        <w:rPr>
          <w:rFonts w:ascii="Times New Roman" w:hAnsi="Times New Roman" w:cs="Times New Roman"/>
        </w:rPr>
      </w:pPr>
      <w:r w:rsidRPr="00B51235">
        <w:rPr>
          <w:rFonts w:ascii="Times New Roman" w:hAnsi="Times New Roman" w:cs="Times New Roman"/>
        </w:rPr>
        <w:t xml:space="preserve">Liens on cargo are based on the </w:t>
      </w:r>
      <w:r>
        <w:rPr>
          <w:rFonts w:ascii="Times New Roman" w:hAnsi="Times New Roman" w:cs="Times New Roman"/>
        </w:rPr>
        <w:t xml:space="preserve">simple </w:t>
      </w:r>
      <w:r w:rsidRPr="00B51235">
        <w:rPr>
          <w:rFonts w:ascii="Times New Roman" w:hAnsi="Times New Roman" w:cs="Times New Roman"/>
        </w:rPr>
        <w:t xml:space="preserve">fact of the carrier’s possession of the </w:t>
      </w:r>
      <w:proofErr w:type="gramStart"/>
      <w:r w:rsidRPr="00B51235">
        <w:rPr>
          <w:rFonts w:ascii="Times New Roman" w:hAnsi="Times New Roman" w:cs="Times New Roman"/>
        </w:rPr>
        <w:t>cargo, but</w:t>
      </w:r>
      <w:proofErr w:type="gramEnd"/>
      <w:r w:rsidRPr="00B51235">
        <w:rPr>
          <w:rFonts w:ascii="Times New Roman" w:hAnsi="Times New Roman" w:cs="Times New Roman"/>
        </w:rPr>
        <w:t xml:space="preserve"> arise from the carriage contract and are given effect with a keen eye on the commercial shipping context. Uncertainty may well arise from this fact, as the release of cargo not only involves a bill of lading (in fact, hardly ever involves a bill of lading and in any case that bill of lading </w:t>
      </w:r>
      <w:r>
        <w:rPr>
          <w:rFonts w:ascii="Times New Roman" w:hAnsi="Times New Roman" w:cs="Times New Roman"/>
        </w:rPr>
        <w:t>may well</w:t>
      </w:r>
      <w:r w:rsidRPr="00B51235">
        <w:rPr>
          <w:rFonts w:ascii="Times New Roman" w:hAnsi="Times New Roman" w:cs="Times New Roman"/>
        </w:rPr>
        <w:t xml:space="preserve"> state that freight is pre-paid) but also what may be a very long series of letters of indemnity</w:t>
      </w:r>
      <w:r w:rsidRPr="00B51235">
        <w:rPr>
          <w:rStyle w:val="FootnoteReference"/>
          <w:rFonts w:ascii="Times New Roman" w:hAnsi="Times New Roman" w:cs="Times New Roman"/>
        </w:rPr>
        <w:footnoteReference w:id="57"/>
      </w:r>
      <w:r w:rsidRPr="00B51235">
        <w:rPr>
          <w:rFonts w:ascii="Times New Roman" w:hAnsi="Times New Roman" w:cs="Times New Roman"/>
        </w:rPr>
        <w:t xml:space="preserve"> as well a</w:t>
      </w:r>
      <w:r>
        <w:rPr>
          <w:rFonts w:ascii="Times New Roman" w:hAnsi="Times New Roman" w:cs="Times New Roman"/>
        </w:rPr>
        <w:t>s</w:t>
      </w:r>
      <w:r w:rsidRPr="00B51235">
        <w:rPr>
          <w:rFonts w:ascii="Times New Roman" w:hAnsi="Times New Roman" w:cs="Times New Roman"/>
        </w:rPr>
        <w:t xml:space="preserve"> port agents</w:t>
      </w:r>
      <w:r w:rsidRPr="00B51235">
        <w:rPr>
          <w:rStyle w:val="FootnoteReference"/>
          <w:rFonts w:ascii="Times New Roman" w:hAnsi="Times New Roman" w:cs="Times New Roman"/>
        </w:rPr>
        <w:footnoteReference w:id="58"/>
      </w:r>
      <w:r w:rsidRPr="00B51235">
        <w:rPr>
          <w:rFonts w:ascii="Times New Roman" w:hAnsi="Times New Roman" w:cs="Times New Roman"/>
        </w:rPr>
        <w:t xml:space="preserve"> and other interested parties.</w:t>
      </w:r>
      <w:r>
        <w:rPr>
          <w:rFonts w:ascii="Times New Roman" w:hAnsi="Times New Roman" w:cs="Times New Roman"/>
        </w:rPr>
        <w:t xml:space="preserve"> </w:t>
      </w:r>
      <w:r w:rsidR="00B23EB6" w:rsidRPr="00B51235">
        <w:rPr>
          <w:rFonts w:ascii="Times New Roman" w:hAnsi="Times New Roman" w:cs="Times New Roman"/>
        </w:rPr>
        <w:t xml:space="preserve">Liens on cargo do not very often emerge as the central issue in litigation. </w:t>
      </w:r>
      <w:r w:rsidR="00B23EB6">
        <w:rPr>
          <w:rFonts w:ascii="Times New Roman" w:hAnsi="Times New Roman" w:cs="Times New Roman"/>
        </w:rPr>
        <w:t>Instead t</w:t>
      </w:r>
      <w:r w:rsidR="00B23EB6" w:rsidRPr="00B51235">
        <w:rPr>
          <w:rFonts w:ascii="Times New Roman" w:hAnsi="Times New Roman" w:cs="Times New Roman"/>
        </w:rPr>
        <w:t>hey are in practice used as a crude enforcement tool on which the shipowner may rely in order to get paid its earned freight</w:t>
      </w:r>
      <w:r w:rsidR="00B23EB6" w:rsidRPr="00B51235">
        <w:rPr>
          <w:rStyle w:val="FootnoteReference"/>
          <w:rFonts w:ascii="Times New Roman" w:hAnsi="Times New Roman" w:cs="Times New Roman"/>
        </w:rPr>
        <w:footnoteReference w:id="59"/>
      </w:r>
      <w:r w:rsidR="00B23EB6" w:rsidRPr="00B51235">
        <w:rPr>
          <w:rFonts w:ascii="Times New Roman" w:hAnsi="Times New Roman" w:cs="Times New Roman"/>
        </w:rPr>
        <w:t xml:space="preserve"> – the cargo owner’s interest is simply to have the cargo released to ensure it can be traded</w:t>
      </w:r>
      <w:r w:rsidR="00824F70">
        <w:rPr>
          <w:rFonts w:ascii="Times New Roman" w:hAnsi="Times New Roman" w:cs="Times New Roman"/>
        </w:rPr>
        <w:t>. P</w:t>
      </w:r>
      <w:r w:rsidR="00B23EB6" w:rsidRPr="00B51235">
        <w:rPr>
          <w:rFonts w:ascii="Times New Roman" w:hAnsi="Times New Roman" w:cs="Times New Roman"/>
        </w:rPr>
        <w:t>aying freight</w:t>
      </w:r>
      <w:r w:rsidR="00F73FCA">
        <w:rPr>
          <w:rFonts w:ascii="Times New Roman" w:hAnsi="Times New Roman" w:cs="Times New Roman"/>
        </w:rPr>
        <w:t xml:space="preserve">, perhaps with a caveat </w:t>
      </w:r>
      <w:r w:rsidR="00824F70">
        <w:rPr>
          <w:rFonts w:ascii="Times New Roman" w:hAnsi="Times New Roman" w:cs="Times New Roman"/>
        </w:rPr>
        <w:t xml:space="preserve">or settlement </w:t>
      </w:r>
      <w:r w:rsidR="00F73FCA">
        <w:rPr>
          <w:rFonts w:ascii="Times New Roman" w:hAnsi="Times New Roman" w:cs="Times New Roman"/>
        </w:rPr>
        <w:t>of some kind,</w:t>
      </w:r>
      <w:r w:rsidR="00B23EB6" w:rsidRPr="00B51235">
        <w:rPr>
          <w:rFonts w:ascii="Times New Roman" w:hAnsi="Times New Roman" w:cs="Times New Roman"/>
        </w:rPr>
        <w:t xml:space="preserve"> makes sense even where </w:t>
      </w:r>
      <w:r w:rsidR="00B23EB6">
        <w:rPr>
          <w:rFonts w:ascii="Times New Roman" w:hAnsi="Times New Roman" w:cs="Times New Roman"/>
        </w:rPr>
        <w:t>the payor</w:t>
      </w:r>
      <w:r w:rsidR="00B23EB6" w:rsidRPr="00B51235">
        <w:rPr>
          <w:rFonts w:ascii="Times New Roman" w:hAnsi="Times New Roman" w:cs="Times New Roman"/>
        </w:rPr>
        <w:t xml:space="preserve"> </w:t>
      </w:r>
      <w:r w:rsidR="00B23EB6">
        <w:rPr>
          <w:rFonts w:ascii="Times New Roman" w:hAnsi="Times New Roman" w:cs="Times New Roman"/>
        </w:rPr>
        <w:t xml:space="preserve">has some </w:t>
      </w:r>
      <w:r w:rsidR="00B23EB6" w:rsidRPr="00B51235">
        <w:rPr>
          <w:rFonts w:ascii="Times New Roman" w:hAnsi="Times New Roman" w:cs="Times New Roman"/>
        </w:rPr>
        <w:t xml:space="preserve">reservations </w:t>
      </w:r>
      <w:r w:rsidR="00B23EB6">
        <w:rPr>
          <w:rFonts w:ascii="Times New Roman" w:hAnsi="Times New Roman" w:cs="Times New Roman"/>
        </w:rPr>
        <w:t xml:space="preserve">against paying and is planning to </w:t>
      </w:r>
      <w:r w:rsidR="00F73FCA">
        <w:rPr>
          <w:rFonts w:ascii="Times New Roman" w:hAnsi="Times New Roman" w:cs="Times New Roman"/>
        </w:rPr>
        <w:t>pursue</w:t>
      </w:r>
      <w:r w:rsidR="00B23EB6" w:rsidRPr="00B51235">
        <w:rPr>
          <w:rFonts w:ascii="Times New Roman" w:hAnsi="Times New Roman" w:cs="Times New Roman"/>
        </w:rPr>
        <w:t xml:space="preserve"> legal </w:t>
      </w:r>
      <w:r w:rsidR="00824F70">
        <w:rPr>
          <w:rFonts w:ascii="Times New Roman" w:hAnsi="Times New Roman" w:cs="Times New Roman"/>
        </w:rPr>
        <w:t>recourse</w:t>
      </w:r>
      <w:r w:rsidR="00B23EB6" w:rsidRPr="00B51235">
        <w:rPr>
          <w:rFonts w:ascii="Times New Roman" w:hAnsi="Times New Roman" w:cs="Times New Roman"/>
        </w:rPr>
        <w:t xml:space="preserve">. </w:t>
      </w:r>
      <w:r w:rsidR="00F73FCA" w:rsidRPr="00B51235">
        <w:rPr>
          <w:rFonts w:ascii="Times New Roman" w:hAnsi="Times New Roman" w:cs="Times New Roman"/>
        </w:rPr>
        <w:t>As a result, legal issues involving liens on cargo are considered by the courts relatively infrequently</w:t>
      </w:r>
      <w:r w:rsidR="00F73FCA">
        <w:rPr>
          <w:rFonts w:ascii="Times New Roman" w:hAnsi="Times New Roman" w:cs="Times New Roman"/>
        </w:rPr>
        <w:t xml:space="preserve"> and t</w:t>
      </w:r>
      <w:r w:rsidR="00B23EB6" w:rsidRPr="00B51235">
        <w:rPr>
          <w:rFonts w:ascii="Times New Roman" w:hAnsi="Times New Roman" w:cs="Times New Roman"/>
        </w:rPr>
        <w:t xml:space="preserve">he typical situations in which this </w:t>
      </w:r>
      <w:proofErr w:type="gramStart"/>
      <w:r w:rsidR="00B23EB6" w:rsidRPr="00B51235">
        <w:rPr>
          <w:rFonts w:ascii="Times New Roman" w:hAnsi="Times New Roman" w:cs="Times New Roman"/>
        </w:rPr>
        <w:t>short term</w:t>
      </w:r>
      <w:proofErr w:type="gramEnd"/>
      <w:r w:rsidR="00B23EB6" w:rsidRPr="00B51235">
        <w:rPr>
          <w:rFonts w:ascii="Times New Roman" w:hAnsi="Times New Roman" w:cs="Times New Roman"/>
        </w:rPr>
        <w:t xml:space="preserve"> enforcement tool is employed are less than fertile ground for exacting legal considerations of broad principle. </w:t>
      </w:r>
    </w:p>
    <w:p w14:paraId="259F344A" w14:textId="41C32F61" w:rsidR="00824F70" w:rsidRDefault="00824F70" w:rsidP="00C14A24">
      <w:pPr>
        <w:rPr>
          <w:rFonts w:ascii="Times New Roman" w:hAnsi="Times New Roman" w:cs="Times New Roman"/>
        </w:rPr>
      </w:pPr>
    </w:p>
    <w:p w14:paraId="77FD6571" w14:textId="79A5F819" w:rsidR="00824F70" w:rsidRDefault="00824F70" w:rsidP="00C14A24">
      <w:pPr>
        <w:rPr>
          <w:rFonts w:ascii="Times New Roman" w:hAnsi="Times New Roman" w:cs="Times New Roman"/>
        </w:rPr>
      </w:pPr>
      <w:r>
        <w:rPr>
          <w:rFonts w:ascii="Times New Roman" w:hAnsi="Times New Roman" w:cs="Times New Roman"/>
        </w:rPr>
        <w:t xml:space="preserve">Similarly, lien on sub freight are a </w:t>
      </w:r>
      <w:r w:rsidRPr="00824F70">
        <w:rPr>
          <w:rFonts w:ascii="Times New Roman" w:hAnsi="Times New Roman" w:cs="Times New Roman"/>
          <w:i/>
        </w:rPr>
        <w:t>sui generis</w:t>
      </w:r>
      <w:r>
        <w:rPr>
          <w:rFonts w:ascii="Times New Roman" w:hAnsi="Times New Roman" w:cs="Times New Roman"/>
        </w:rPr>
        <w:t xml:space="preserve"> kind of floating charge, not requiring registration and where it has not entirely been made clear what sums are recoverable, beyond the core. The precision of the head charter’s liens clause and its ever-expanding range of payments covered may provide a false sense of security in promising that if a party becomes </w:t>
      </w:r>
      <w:r>
        <w:rPr>
          <w:rFonts w:ascii="Times New Roman" w:hAnsi="Times New Roman" w:cs="Times New Roman"/>
        </w:rPr>
        <w:lastRenderedPageBreak/>
        <w:t>insolvent, there must be a pocket somewhere where unpaid hire can be recovered. Indeed, most of the cases do arise from insolvency – perhaps indicating that all claims that can be settled, are. That in turn also means that few cases reach the courts and there is unlikely to be significant developments in the law.</w:t>
      </w:r>
    </w:p>
    <w:p w14:paraId="5B1EA595" w14:textId="77777777" w:rsidR="00824F70" w:rsidRDefault="00824F70" w:rsidP="00C14A24">
      <w:pPr>
        <w:rPr>
          <w:rFonts w:ascii="Times New Roman" w:hAnsi="Times New Roman" w:cs="Times New Roman"/>
        </w:rPr>
      </w:pPr>
    </w:p>
    <w:p w14:paraId="664364F0" w14:textId="30D46C4E" w:rsidR="00F73FCA" w:rsidRDefault="00D34265" w:rsidP="00C14A24">
      <w:pPr>
        <w:rPr>
          <w:rFonts w:ascii="Times New Roman" w:hAnsi="Times New Roman" w:cs="Times New Roman"/>
        </w:rPr>
      </w:pPr>
      <w:r>
        <w:rPr>
          <w:rFonts w:ascii="Times New Roman" w:hAnsi="Times New Roman" w:cs="Times New Roman"/>
        </w:rPr>
        <w:t xml:space="preserve">Legislative attention to this purely commercial subject appears highly unlikely, </w:t>
      </w:r>
      <w:r w:rsidR="00824F70">
        <w:rPr>
          <w:rFonts w:ascii="Times New Roman" w:hAnsi="Times New Roman" w:cs="Times New Roman"/>
        </w:rPr>
        <w:t>with the obvious exemption of legislating for the exemption that courts have recommended on registration of liens on sub-freight which nevertheless will require some concerted lobbying efforts. This places</w:t>
      </w:r>
      <w:r>
        <w:rPr>
          <w:rFonts w:ascii="Times New Roman" w:hAnsi="Times New Roman" w:cs="Times New Roman"/>
        </w:rPr>
        <w:t xml:space="preserve"> a heavy onus upon courts to explicate their ratio in each case and place it </w:t>
      </w:r>
      <w:r w:rsidR="003E3515">
        <w:rPr>
          <w:rFonts w:ascii="Times New Roman" w:hAnsi="Times New Roman" w:cs="Times New Roman"/>
        </w:rPr>
        <w:t>with</w:t>
      </w:r>
      <w:r>
        <w:rPr>
          <w:rFonts w:ascii="Times New Roman" w:hAnsi="Times New Roman" w:cs="Times New Roman"/>
        </w:rPr>
        <w:t xml:space="preserve">in a wide, consistent framework. </w:t>
      </w:r>
      <w:r w:rsidR="00B23EB6" w:rsidRPr="00B51235">
        <w:rPr>
          <w:rFonts w:ascii="Times New Roman" w:hAnsi="Times New Roman" w:cs="Times New Roman"/>
        </w:rPr>
        <w:t xml:space="preserve">It is submitted that </w:t>
      </w:r>
      <w:r w:rsidR="00640799">
        <w:rPr>
          <w:rFonts w:ascii="Times New Roman" w:hAnsi="Times New Roman" w:cs="Times New Roman"/>
        </w:rPr>
        <w:t>rather than giving rise to a need for an eccentric</w:t>
      </w:r>
      <w:r>
        <w:rPr>
          <w:rFonts w:ascii="Times New Roman" w:hAnsi="Times New Roman" w:cs="Times New Roman"/>
        </w:rPr>
        <w:t>, shipping-based</w:t>
      </w:r>
      <w:r w:rsidR="00640799">
        <w:rPr>
          <w:rFonts w:ascii="Times New Roman" w:hAnsi="Times New Roman" w:cs="Times New Roman"/>
        </w:rPr>
        <w:t xml:space="preserve"> approach, </w:t>
      </w:r>
      <w:r w:rsidR="00B23EB6" w:rsidRPr="00B51235">
        <w:rPr>
          <w:rFonts w:ascii="Times New Roman" w:hAnsi="Times New Roman" w:cs="Times New Roman"/>
        </w:rPr>
        <w:t>this enhances the need for broad, consistent</w:t>
      </w:r>
      <w:r w:rsidR="003E3515">
        <w:rPr>
          <w:rFonts w:ascii="Times New Roman" w:hAnsi="Times New Roman" w:cs="Times New Roman"/>
        </w:rPr>
        <w:t xml:space="preserve"> and well-anchored</w:t>
      </w:r>
      <w:r w:rsidR="00B23EB6" w:rsidRPr="00B51235">
        <w:rPr>
          <w:rFonts w:ascii="Times New Roman" w:hAnsi="Times New Roman" w:cs="Times New Roman"/>
        </w:rPr>
        <w:t xml:space="preserve"> principles to ensure that the parties do not encounter surprises at the dispute resolution stage:</w:t>
      </w:r>
      <w:r w:rsidR="00B23EB6" w:rsidRPr="00B51235">
        <w:rPr>
          <w:rStyle w:val="FootnoteReference"/>
          <w:rFonts w:ascii="Times New Roman" w:hAnsi="Times New Roman" w:cs="Times New Roman"/>
        </w:rPr>
        <w:footnoteReference w:id="60"/>
      </w:r>
      <w:r w:rsidR="00B23EB6" w:rsidRPr="00B51235">
        <w:rPr>
          <w:rFonts w:ascii="Times New Roman" w:hAnsi="Times New Roman" w:cs="Times New Roman"/>
        </w:rPr>
        <w:t xml:space="preserve"> plain and clear law</w:t>
      </w:r>
      <w:r w:rsidR="00FB1F1D">
        <w:rPr>
          <w:rFonts w:ascii="Times New Roman" w:hAnsi="Times New Roman" w:cs="Times New Roman"/>
        </w:rPr>
        <w:t xml:space="preserve"> is needed</w:t>
      </w:r>
      <w:r w:rsidR="00B23EB6" w:rsidRPr="00B51235">
        <w:rPr>
          <w:rFonts w:ascii="Times New Roman" w:hAnsi="Times New Roman" w:cs="Times New Roman"/>
        </w:rPr>
        <w:t>, grounded in fundamental principles</w:t>
      </w:r>
      <w:r w:rsidR="00FB1F1D">
        <w:rPr>
          <w:rFonts w:ascii="Times New Roman" w:hAnsi="Times New Roman" w:cs="Times New Roman"/>
        </w:rPr>
        <w:t xml:space="preserve"> against which the parties can structure their contracts</w:t>
      </w:r>
      <w:r w:rsidR="00B23EB6" w:rsidRPr="00B51235">
        <w:rPr>
          <w:rFonts w:ascii="Times New Roman" w:hAnsi="Times New Roman" w:cs="Times New Roman"/>
        </w:rPr>
        <w:t>.</w:t>
      </w:r>
      <w:r w:rsidR="00F73FCA">
        <w:rPr>
          <w:rFonts w:ascii="Times New Roman" w:hAnsi="Times New Roman" w:cs="Times New Roman"/>
        </w:rPr>
        <w:t xml:space="preserve"> In particular, departures from an established legal framework in favour of the contractual specificities of the shipping sector have superficial </w:t>
      </w:r>
      <w:proofErr w:type="gramStart"/>
      <w:r w:rsidR="00F73FCA">
        <w:rPr>
          <w:rFonts w:ascii="Times New Roman" w:hAnsi="Times New Roman" w:cs="Times New Roman"/>
        </w:rPr>
        <w:t>attractions, but</w:t>
      </w:r>
      <w:proofErr w:type="gramEnd"/>
      <w:r w:rsidR="00F73FCA">
        <w:rPr>
          <w:rFonts w:ascii="Times New Roman" w:hAnsi="Times New Roman" w:cs="Times New Roman"/>
        </w:rPr>
        <w:t xml:space="preserve"> may cause problems as the next inevitable question will refer to what those practices in reality are – a question that the courts may not be best equipped to answer.</w:t>
      </w:r>
      <w:r w:rsidR="00F73FCA">
        <w:rPr>
          <w:rStyle w:val="FootnoteReference"/>
          <w:rFonts w:ascii="Times New Roman" w:hAnsi="Times New Roman" w:cs="Times New Roman"/>
        </w:rPr>
        <w:footnoteReference w:id="61"/>
      </w:r>
    </w:p>
    <w:p w14:paraId="606937EF" w14:textId="3F93BBD8" w:rsidR="002F3F5D" w:rsidRPr="00B51235" w:rsidRDefault="002F3F5D">
      <w:pPr>
        <w:rPr>
          <w:rFonts w:ascii="Times New Roman" w:hAnsi="Times New Roman" w:cs="Times New Roman"/>
        </w:rPr>
      </w:pPr>
    </w:p>
    <w:p w14:paraId="0657831C" w14:textId="77777777" w:rsidR="008726A0" w:rsidRPr="00B51235" w:rsidRDefault="008726A0">
      <w:pPr>
        <w:rPr>
          <w:rFonts w:ascii="Times New Roman" w:hAnsi="Times New Roman" w:cs="Times New Roman"/>
        </w:rPr>
      </w:pPr>
    </w:p>
    <w:sectPr w:rsidR="008726A0" w:rsidRPr="00B51235" w:rsidSect="00752A6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7283" w14:textId="77777777" w:rsidR="00340755" w:rsidRDefault="00340755" w:rsidP="00EA0FDC">
      <w:r>
        <w:separator/>
      </w:r>
    </w:p>
  </w:endnote>
  <w:endnote w:type="continuationSeparator" w:id="0">
    <w:p w14:paraId="09103723" w14:textId="77777777" w:rsidR="00340755" w:rsidRDefault="00340755" w:rsidP="00EA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5A2ED" w14:textId="77777777" w:rsidR="00340755" w:rsidRDefault="00340755" w:rsidP="00EA0FDC">
      <w:r>
        <w:separator/>
      </w:r>
    </w:p>
  </w:footnote>
  <w:footnote w:type="continuationSeparator" w:id="0">
    <w:p w14:paraId="036E816C" w14:textId="77777777" w:rsidR="00340755" w:rsidRDefault="00340755" w:rsidP="00EA0FDC">
      <w:r>
        <w:continuationSeparator/>
      </w:r>
    </w:p>
  </w:footnote>
  <w:footnote w:id="1">
    <w:p w14:paraId="34703A6E" w14:textId="762E6EFA" w:rsidR="00B32A6E" w:rsidRDefault="00B32A6E">
      <w:pPr>
        <w:pStyle w:val="FootnoteText"/>
      </w:pPr>
      <w:r>
        <w:rPr>
          <w:rStyle w:val="FootnoteReference"/>
        </w:rPr>
        <w:footnoteRef/>
      </w:r>
      <w:r>
        <w:t xml:space="preserve"> F</w:t>
      </w:r>
      <w:r w:rsidRPr="00DE538F">
        <w:t>irst published in 1872</w:t>
      </w:r>
      <w:r>
        <w:t>.</w:t>
      </w:r>
    </w:p>
  </w:footnote>
  <w:footnote w:id="2">
    <w:p w14:paraId="47F85F17" w14:textId="7B2198E7" w:rsidR="00B32A6E" w:rsidRDefault="00B32A6E">
      <w:pPr>
        <w:pStyle w:val="FootnoteText"/>
      </w:pPr>
      <w:r>
        <w:rPr>
          <w:rStyle w:val="FootnoteReference"/>
        </w:rPr>
        <w:footnoteRef/>
      </w:r>
      <w:r>
        <w:t xml:space="preserve"> </w:t>
      </w:r>
      <w:r w:rsidR="0033480D">
        <w:t xml:space="preserve">David C </w:t>
      </w:r>
      <w:r>
        <w:t>Jackson</w:t>
      </w:r>
      <w:r w:rsidR="0033480D">
        <w:t xml:space="preserve">, </w:t>
      </w:r>
      <w:r w:rsidR="0033480D" w:rsidRPr="0033480D">
        <w:rPr>
          <w:i/>
        </w:rPr>
        <w:t>Enforcement of Maritime Claims</w:t>
      </w:r>
      <w:r w:rsidR="0033480D">
        <w:t>, 4</w:t>
      </w:r>
      <w:r w:rsidR="0033480D" w:rsidRPr="0033480D">
        <w:rPr>
          <w:vertAlign w:val="superscript"/>
        </w:rPr>
        <w:t>th</w:t>
      </w:r>
      <w:r w:rsidR="0033480D">
        <w:t xml:space="preserve"> ed, Informa 2005</w:t>
      </w:r>
      <w:r w:rsidR="003F39B0">
        <w:t>, at para 17.1</w:t>
      </w:r>
      <w:r>
        <w:t>.</w:t>
      </w:r>
    </w:p>
  </w:footnote>
  <w:footnote w:id="3">
    <w:p w14:paraId="0DD28C78" w14:textId="3F5950D4" w:rsidR="00B32A6E" w:rsidRDefault="00B32A6E" w:rsidP="00C14A24">
      <w:pPr>
        <w:pStyle w:val="FootnoteText"/>
      </w:pPr>
      <w:r>
        <w:rPr>
          <w:rStyle w:val="FootnoteReference"/>
        </w:rPr>
        <w:footnoteRef/>
      </w:r>
      <w:r>
        <w:t xml:space="preserve"> </w:t>
      </w:r>
      <w:r w:rsidR="006B66E6" w:rsidRPr="006B66E6">
        <w:t>For present purposes, in ships, cargoes and freight</w:t>
      </w:r>
      <w:r w:rsidR="006B66E6">
        <w:t xml:space="preserve"> – see further below</w:t>
      </w:r>
      <w:r w:rsidR="006B66E6" w:rsidRPr="006B66E6">
        <w:t>.</w:t>
      </w:r>
    </w:p>
  </w:footnote>
  <w:footnote w:id="4">
    <w:p w14:paraId="1319EA81" w14:textId="371D3D45" w:rsidR="00B32A6E" w:rsidRDefault="00B32A6E">
      <w:pPr>
        <w:pStyle w:val="FootnoteText"/>
      </w:pPr>
      <w:r>
        <w:rPr>
          <w:rStyle w:val="FootnoteReference"/>
        </w:rPr>
        <w:footnoteRef/>
      </w:r>
      <w:r>
        <w:t xml:space="preserve"> </w:t>
      </w:r>
      <w:r w:rsidR="003F39B0">
        <w:t xml:space="preserve">See </w:t>
      </w:r>
      <w:r>
        <w:t>Jackson</w:t>
      </w:r>
      <w:r w:rsidR="003F39B0">
        <w:t xml:space="preserve">, </w:t>
      </w:r>
      <w:proofErr w:type="spellStart"/>
      <w:r w:rsidR="003F39B0">
        <w:t>fn</w:t>
      </w:r>
      <w:proofErr w:type="spellEnd"/>
      <w:r w:rsidR="003F39B0">
        <w:t xml:space="preserve"> 2 above, chapter 17 et seq.</w:t>
      </w:r>
    </w:p>
  </w:footnote>
  <w:footnote w:id="5">
    <w:p w14:paraId="4E46C603" w14:textId="263F223A" w:rsidR="00B32A6E" w:rsidRDefault="00B32A6E">
      <w:pPr>
        <w:pStyle w:val="FootnoteText"/>
      </w:pPr>
      <w:r>
        <w:rPr>
          <w:rStyle w:val="FootnoteReference"/>
        </w:rPr>
        <w:footnoteRef/>
      </w:r>
      <w:r>
        <w:t xml:space="preserve"> </w:t>
      </w:r>
      <w:r w:rsidR="003F39B0">
        <w:t>Ibid.</w:t>
      </w:r>
    </w:p>
  </w:footnote>
  <w:footnote w:id="6">
    <w:p w14:paraId="79B946D3" w14:textId="46BD9966" w:rsidR="005B5D05" w:rsidRDefault="005B5D05">
      <w:pPr>
        <w:pStyle w:val="FootnoteText"/>
      </w:pPr>
      <w:r>
        <w:rPr>
          <w:rStyle w:val="FootnoteReference"/>
        </w:rPr>
        <w:footnoteRef/>
      </w:r>
      <w:r>
        <w:t xml:space="preserve"> For which see</w:t>
      </w:r>
      <w:r w:rsidR="006478E8">
        <w:t xml:space="preserve"> for example </w:t>
      </w:r>
      <w:r w:rsidR="003F39B0">
        <w:t xml:space="preserve">David C Jackson, </w:t>
      </w:r>
      <w:r w:rsidR="003F39B0" w:rsidRPr="0033480D">
        <w:rPr>
          <w:i/>
        </w:rPr>
        <w:t>Enforcement of Maritime Claims</w:t>
      </w:r>
      <w:r w:rsidR="003F39B0">
        <w:t>, 4</w:t>
      </w:r>
      <w:r w:rsidR="003F39B0" w:rsidRPr="0033480D">
        <w:rPr>
          <w:vertAlign w:val="superscript"/>
        </w:rPr>
        <w:t>th</w:t>
      </w:r>
      <w:r w:rsidR="003F39B0">
        <w:t xml:space="preserve"> ed, Informa 2005;</w:t>
      </w:r>
      <w:r w:rsidR="006478E8">
        <w:t xml:space="preserve"> </w:t>
      </w:r>
      <w:r w:rsidR="003F39B0" w:rsidRPr="003F39B0">
        <w:t>Maritime Liens (British Shipping Laws, Vol. 14) (Stevens &amp; Sons, London, 1980)</w:t>
      </w:r>
      <w:r w:rsidR="003F39B0">
        <w:t>;</w:t>
      </w:r>
      <w:r w:rsidR="006478E8">
        <w:t xml:space="preserve"> </w:t>
      </w:r>
      <w:r>
        <w:t xml:space="preserve">the review of compatibility of liens and limitation of liability in English and Chinese law in </w:t>
      </w:r>
      <w:proofErr w:type="spellStart"/>
      <w:r w:rsidR="003F39B0">
        <w:t>Dingjing</w:t>
      </w:r>
      <w:proofErr w:type="spellEnd"/>
      <w:r w:rsidR="003F39B0">
        <w:t xml:space="preserve"> </w:t>
      </w:r>
      <w:r w:rsidRPr="005B5D05">
        <w:t xml:space="preserve">Huang (2015) </w:t>
      </w:r>
      <w:r w:rsidRPr="006478E8">
        <w:rPr>
          <w:i/>
        </w:rPr>
        <w:t>Reconciling maritime liens and limitation of liability for maritime claims: a comparison of English law and Chinese law</w:t>
      </w:r>
      <w:r>
        <w:t>,</w:t>
      </w:r>
      <w:r w:rsidRPr="005B5D05">
        <w:t xml:space="preserve"> </w:t>
      </w:r>
      <w:r w:rsidR="006478E8">
        <w:t xml:space="preserve">PhD thesis, </w:t>
      </w:r>
      <w:r w:rsidRPr="005B5D05">
        <w:t>University of Southampton</w:t>
      </w:r>
      <w:r w:rsidR="003F39B0">
        <w:t xml:space="preserve"> </w:t>
      </w:r>
      <w:r w:rsidR="0025179F">
        <w:t xml:space="preserve">()available online from https://eprints.soton.ac.uk </w:t>
      </w:r>
      <w:r w:rsidR="003F39B0">
        <w:t xml:space="preserve">and </w:t>
      </w:r>
      <w:proofErr w:type="spellStart"/>
      <w:r w:rsidR="00D7702E">
        <w:t>Shengnan</w:t>
      </w:r>
      <w:proofErr w:type="spellEnd"/>
      <w:r w:rsidR="00D7702E">
        <w:t xml:space="preserve"> Jia, </w:t>
      </w:r>
      <w:r w:rsidR="00D7702E" w:rsidRPr="00D7702E">
        <w:rPr>
          <w:i/>
        </w:rPr>
        <w:t>Impact of Secured Transactions Law on Shipowner’s Contractual Security in the Chartering Industry: Common and Civil Law Perspectives</w:t>
      </w:r>
      <w:r w:rsidR="00D7702E">
        <w:t>, PhD thesis, City University 2019.</w:t>
      </w:r>
    </w:p>
  </w:footnote>
  <w:footnote w:id="7">
    <w:p w14:paraId="21B7BA2B" w14:textId="303383A1" w:rsidR="00B32A6E" w:rsidRDefault="00B32A6E" w:rsidP="001777C4">
      <w:pPr>
        <w:pStyle w:val="FootnoteText"/>
      </w:pPr>
      <w:r>
        <w:rPr>
          <w:rStyle w:val="FootnoteReference"/>
        </w:rPr>
        <w:footnoteRef/>
      </w:r>
      <w:r>
        <w:t xml:space="preserve"> A recently completed PhD thesis made the considered decision to use the word security in place of liens: </w:t>
      </w:r>
      <w:proofErr w:type="spellStart"/>
      <w:r>
        <w:t>Shengnan</w:t>
      </w:r>
      <w:proofErr w:type="spellEnd"/>
      <w:r>
        <w:t xml:space="preserve"> Jia, PhD thesis, City University 2019. The thesis</w:t>
      </w:r>
      <w:r w:rsidR="003F39B0">
        <w:t xml:space="preserve">, entitled </w:t>
      </w:r>
      <w:r w:rsidR="003F39B0" w:rsidRPr="00D7702E">
        <w:rPr>
          <w:i/>
        </w:rPr>
        <w:t>Impact of Secured Transactions Law on Shipowner’s Contractual Security in the Chartering Industry: Common and Civil Law Perspectives</w:t>
      </w:r>
      <w:r w:rsidR="00D7702E">
        <w:t>,</w:t>
      </w:r>
      <w:r>
        <w:t xml:space="preserve"> presents the argument for a greater impact of financial security law on maritime liens.</w:t>
      </w:r>
    </w:p>
  </w:footnote>
  <w:footnote w:id="8">
    <w:p w14:paraId="26E76C54" w14:textId="3595856F" w:rsidR="00B32A6E" w:rsidRDefault="00B32A6E">
      <w:pPr>
        <w:pStyle w:val="FootnoteText"/>
      </w:pPr>
      <w:r>
        <w:rPr>
          <w:rStyle w:val="FootnoteReference"/>
        </w:rPr>
        <w:footnoteRef/>
      </w:r>
      <w:r>
        <w:t xml:space="preserve"> </w:t>
      </w:r>
      <w:r w:rsidR="003E3EF0">
        <w:t xml:space="preserve">For a recent example, see </w:t>
      </w:r>
      <w:r w:rsidR="003E3EF0" w:rsidRPr="00640799">
        <w:rPr>
          <w:bCs/>
          <w:i/>
        </w:rPr>
        <w:t xml:space="preserve">Materials Industry and Trade (Singapore) Pte Ltd v </w:t>
      </w:r>
      <w:proofErr w:type="spellStart"/>
      <w:r w:rsidR="003E3EF0" w:rsidRPr="00640799">
        <w:rPr>
          <w:bCs/>
          <w:i/>
        </w:rPr>
        <w:t>Vopak</w:t>
      </w:r>
      <w:proofErr w:type="spellEnd"/>
      <w:r w:rsidR="003E3EF0" w:rsidRPr="00640799">
        <w:rPr>
          <w:bCs/>
          <w:i/>
        </w:rPr>
        <w:t xml:space="preserve"> Terminals Singapore Pte Ltd</w:t>
      </w:r>
      <w:r w:rsidR="003E3EF0" w:rsidRPr="00640799">
        <w:t xml:space="preserve"> </w:t>
      </w:r>
      <w:r w:rsidR="003E3EF0" w:rsidRPr="000A373B">
        <w:t>[2019] SGHC 276</w:t>
      </w:r>
      <w:r>
        <w:t>.</w:t>
      </w:r>
    </w:p>
  </w:footnote>
  <w:footnote w:id="9">
    <w:p w14:paraId="15E207A4" w14:textId="225AC6F4" w:rsidR="00B32A6E" w:rsidRDefault="00B32A6E">
      <w:pPr>
        <w:pStyle w:val="FootnoteText"/>
      </w:pPr>
      <w:r>
        <w:rPr>
          <w:rStyle w:val="FootnoteReference"/>
        </w:rPr>
        <w:footnoteRef/>
      </w:r>
      <w:r>
        <w:t xml:space="preserve"> T</w:t>
      </w:r>
      <w:r w:rsidRPr="00905889">
        <w:t>he carrier is entitled to keep the cargo as security for freight, just as a TV repairer is entitled to keep the TV until she has been compensated for the fruits of her workmanship</w:t>
      </w:r>
      <w:r>
        <w:t>.</w:t>
      </w:r>
    </w:p>
  </w:footnote>
  <w:footnote w:id="10">
    <w:p w14:paraId="051A4581" w14:textId="372A5EC7" w:rsidR="008C0DEA" w:rsidRDefault="008C0DEA">
      <w:pPr>
        <w:pStyle w:val="FootnoteText"/>
      </w:pPr>
      <w:r>
        <w:rPr>
          <w:rStyle w:val="FootnoteReference"/>
        </w:rPr>
        <w:footnoteRef/>
      </w:r>
      <w:r>
        <w:t xml:space="preserve"> </w:t>
      </w:r>
      <w:r w:rsidRPr="008976F2">
        <w:t xml:space="preserve">For </w:t>
      </w:r>
      <w:r>
        <w:t xml:space="preserve">further explanation in the context of </w:t>
      </w:r>
      <w:r w:rsidRPr="008976F2">
        <w:t xml:space="preserve">a review of the history of equitable liens and an argument for </w:t>
      </w:r>
      <w:r>
        <w:t>their</w:t>
      </w:r>
      <w:r w:rsidRPr="008976F2">
        <w:t xml:space="preserve"> use in the 21st century, see Fiona R Burns, ‘The Equitable Lien Rediscovered: A Remedy for the 21st Century’ (2002) 25(1) UNSW Law Journal 1, available</w:t>
      </w:r>
    </w:p>
  </w:footnote>
  <w:footnote w:id="11">
    <w:p w14:paraId="6345D4BD" w14:textId="4E19C6EE" w:rsidR="00640799" w:rsidRDefault="00640799" w:rsidP="00640799">
      <w:pPr>
        <w:pStyle w:val="FootnoteText"/>
      </w:pPr>
      <w:r>
        <w:rPr>
          <w:rStyle w:val="FootnoteReference"/>
        </w:rPr>
        <w:footnoteRef/>
      </w:r>
      <w:r>
        <w:t xml:space="preserve"> As seen in </w:t>
      </w:r>
      <w:r w:rsidRPr="00640799">
        <w:rPr>
          <w:bCs/>
          <w:i/>
        </w:rPr>
        <w:t xml:space="preserve">Materials Industry and Trade (Singapore) Pte Ltd v </w:t>
      </w:r>
      <w:proofErr w:type="spellStart"/>
      <w:r w:rsidRPr="00640799">
        <w:rPr>
          <w:bCs/>
          <w:i/>
        </w:rPr>
        <w:t>Vopak</w:t>
      </w:r>
      <w:proofErr w:type="spellEnd"/>
      <w:r w:rsidRPr="00640799">
        <w:rPr>
          <w:bCs/>
          <w:i/>
        </w:rPr>
        <w:t xml:space="preserve"> Terminals Singapore Pte Ltd</w:t>
      </w:r>
      <w:r w:rsidRPr="00640799">
        <w:t xml:space="preserve"> </w:t>
      </w:r>
      <w:r w:rsidRPr="000A373B">
        <w:t>[2019] SGHC 276</w:t>
      </w:r>
      <w:r>
        <w:t>.</w:t>
      </w:r>
    </w:p>
  </w:footnote>
  <w:footnote w:id="12">
    <w:p w14:paraId="35F1D928" w14:textId="77777777" w:rsidR="00C60DDB" w:rsidRDefault="00C60DDB" w:rsidP="00C60DDB">
      <w:pPr>
        <w:pStyle w:val="FootnoteText"/>
      </w:pPr>
      <w:r>
        <w:rPr>
          <w:rStyle w:val="FootnoteReference"/>
        </w:rPr>
        <w:footnoteRef/>
      </w:r>
      <w:r>
        <w:t xml:space="preserve"> </w:t>
      </w:r>
      <w:r w:rsidRPr="00D37BEB">
        <w:rPr>
          <w:i/>
        </w:rPr>
        <w:t xml:space="preserve">Five Ocean Corporation v </w:t>
      </w:r>
      <w:proofErr w:type="spellStart"/>
      <w:r w:rsidRPr="00D37BEB">
        <w:rPr>
          <w:i/>
        </w:rPr>
        <w:t>Cingler</w:t>
      </w:r>
      <w:proofErr w:type="spellEnd"/>
      <w:r w:rsidRPr="00D37BEB">
        <w:rPr>
          <w:i/>
        </w:rPr>
        <w:t xml:space="preserve"> Ship Pte Ltd (PT Commodities &amp; Energy Resources, intervener)</w:t>
      </w:r>
      <w:r>
        <w:t xml:space="preserve"> [2015] SGHC 311.</w:t>
      </w:r>
    </w:p>
  </w:footnote>
  <w:footnote w:id="13">
    <w:p w14:paraId="08C363C7" w14:textId="5ECCB133" w:rsidR="009051BE" w:rsidRDefault="009051BE">
      <w:pPr>
        <w:pStyle w:val="FootnoteText"/>
      </w:pPr>
      <w:r>
        <w:rPr>
          <w:rStyle w:val="FootnoteReference"/>
        </w:rPr>
        <w:footnoteRef/>
      </w:r>
      <w:r>
        <w:t xml:space="preserve"> At </w:t>
      </w:r>
      <w:r w:rsidR="00FF2700">
        <w:t>[</w:t>
      </w:r>
      <w:r>
        <w:t>31</w:t>
      </w:r>
      <w:r w:rsidR="00FF2700">
        <w:t>]</w:t>
      </w:r>
      <w:r>
        <w:t>.</w:t>
      </w:r>
    </w:p>
  </w:footnote>
  <w:footnote w:id="14">
    <w:p w14:paraId="647ED5D3" w14:textId="2BFCC03F" w:rsidR="00EF05BD" w:rsidRDefault="00EF05BD">
      <w:pPr>
        <w:pStyle w:val="FootnoteText"/>
      </w:pPr>
      <w:r>
        <w:rPr>
          <w:rStyle w:val="FootnoteReference"/>
        </w:rPr>
        <w:footnoteRef/>
      </w:r>
      <w:r>
        <w:t xml:space="preserve"> As against parties other than its own voyage charterer, </w:t>
      </w:r>
      <w:r w:rsidR="00921419">
        <w:t xml:space="preserve">although this did not amount to a lien on the cargo, </w:t>
      </w:r>
      <w:r>
        <w:t>para 33.</w:t>
      </w:r>
    </w:p>
  </w:footnote>
  <w:footnote w:id="15">
    <w:p w14:paraId="13FBFF71" w14:textId="061A2429" w:rsidR="00AC6ACF" w:rsidRDefault="00AC6ACF">
      <w:pPr>
        <w:pStyle w:val="FootnoteText"/>
      </w:pPr>
      <w:r>
        <w:rPr>
          <w:rStyle w:val="FootnoteReference"/>
        </w:rPr>
        <w:footnoteRef/>
      </w:r>
      <w:r>
        <w:t xml:space="preserve"> At </w:t>
      </w:r>
      <w:r w:rsidR="00FF2700">
        <w:t>[</w:t>
      </w:r>
      <w:r>
        <w:t>32</w:t>
      </w:r>
      <w:r w:rsidR="00FF2700">
        <w:t>]</w:t>
      </w:r>
      <w:r>
        <w:t>.</w:t>
      </w:r>
      <w:r w:rsidR="009F294A">
        <w:t xml:space="preserve"> The time charterer could however intercept sub-freight.</w:t>
      </w:r>
    </w:p>
  </w:footnote>
  <w:footnote w:id="16">
    <w:p w14:paraId="170C3AF5" w14:textId="5B836AF7" w:rsidR="007E3765" w:rsidRDefault="007E3765">
      <w:pPr>
        <w:pStyle w:val="FootnoteText"/>
      </w:pPr>
      <w:r>
        <w:rPr>
          <w:rStyle w:val="FootnoteReference"/>
        </w:rPr>
        <w:footnoteRef/>
      </w:r>
      <w:r>
        <w:t xml:space="preserve"> At </w:t>
      </w:r>
      <w:r w:rsidR="00FF2700">
        <w:t>[</w:t>
      </w:r>
      <w:r>
        <w:t>36</w:t>
      </w:r>
      <w:r w:rsidR="00FF2700">
        <w:t>]</w:t>
      </w:r>
      <w:r>
        <w:t>.</w:t>
      </w:r>
    </w:p>
  </w:footnote>
  <w:footnote w:id="17">
    <w:p w14:paraId="7824B09E" w14:textId="223C97CF" w:rsidR="00F73FCA" w:rsidRDefault="00F73FCA">
      <w:pPr>
        <w:pStyle w:val="FootnoteText"/>
      </w:pPr>
      <w:r>
        <w:rPr>
          <w:rStyle w:val="FootnoteReference"/>
        </w:rPr>
        <w:footnoteRef/>
      </w:r>
      <w:r>
        <w:t xml:space="preserve"> At </w:t>
      </w:r>
      <w:r w:rsidR="00FF2700">
        <w:t>[</w:t>
      </w:r>
      <w:r>
        <w:t>36</w:t>
      </w:r>
      <w:r w:rsidR="00FF2700">
        <w:t>]</w:t>
      </w:r>
      <w:r>
        <w:t>.</w:t>
      </w:r>
    </w:p>
  </w:footnote>
  <w:footnote w:id="18">
    <w:p w14:paraId="25B2D6C2" w14:textId="06DB718B" w:rsidR="001E527B" w:rsidRDefault="001E527B" w:rsidP="001E527B">
      <w:pPr>
        <w:pStyle w:val="FootnoteText"/>
      </w:pPr>
      <w:r>
        <w:rPr>
          <w:rStyle w:val="FootnoteReference"/>
        </w:rPr>
        <w:footnoteRef/>
      </w:r>
      <w:r>
        <w:t xml:space="preserve"> See </w:t>
      </w:r>
      <w:proofErr w:type="spellStart"/>
      <w:r>
        <w:t>eg</w:t>
      </w:r>
      <w:proofErr w:type="spellEnd"/>
      <w:r>
        <w:t xml:space="preserve"> </w:t>
      </w:r>
      <w:proofErr w:type="spellStart"/>
      <w:r w:rsidRPr="004F0327">
        <w:rPr>
          <w:i/>
        </w:rPr>
        <w:t>Oldendorff</w:t>
      </w:r>
      <w:proofErr w:type="spellEnd"/>
      <w:r w:rsidRPr="004F0327">
        <w:rPr>
          <w:i/>
        </w:rPr>
        <w:t xml:space="preserve"> GmbH &amp; Co KG v Sea Powerful I</w:t>
      </w:r>
      <w:r w:rsidR="009544A7">
        <w:rPr>
          <w:i/>
        </w:rPr>
        <w:t>I</w:t>
      </w:r>
      <w:r w:rsidRPr="004F0327">
        <w:rPr>
          <w:i/>
        </w:rPr>
        <w:t xml:space="preserve"> Special Maritime Enterprises (The “Zagora”) </w:t>
      </w:r>
      <w:r>
        <w:t>[2016] EWHC 3212 (Comm) [2017] 1 Lloyd’s Rep 194 where the same port agent was nominated by more than one party to the transaction.</w:t>
      </w:r>
    </w:p>
  </w:footnote>
  <w:footnote w:id="19">
    <w:p w14:paraId="59820BF3" w14:textId="7AAA2B99" w:rsidR="00986C91" w:rsidRDefault="00986C91" w:rsidP="00986C91">
      <w:pPr>
        <w:pStyle w:val="FootnoteText"/>
      </w:pPr>
      <w:r>
        <w:rPr>
          <w:rStyle w:val="FootnoteReference"/>
        </w:rPr>
        <w:footnoteRef/>
      </w:r>
      <w:r>
        <w:t xml:space="preserve"> </w:t>
      </w:r>
      <w:proofErr w:type="spellStart"/>
      <w:r w:rsidR="009544A7" w:rsidRPr="009544A7">
        <w:rPr>
          <w:i/>
        </w:rPr>
        <w:t>Metall</w:t>
      </w:r>
      <w:proofErr w:type="spellEnd"/>
      <w:r w:rsidR="009544A7" w:rsidRPr="009544A7">
        <w:rPr>
          <w:i/>
        </w:rPr>
        <w:t xml:space="preserve"> Market OOO v </w:t>
      </w:r>
      <w:proofErr w:type="spellStart"/>
      <w:r w:rsidR="009544A7" w:rsidRPr="009544A7">
        <w:rPr>
          <w:i/>
        </w:rPr>
        <w:t>Vitorio</w:t>
      </w:r>
      <w:proofErr w:type="spellEnd"/>
      <w:r w:rsidR="009544A7" w:rsidRPr="009544A7">
        <w:rPr>
          <w:i/>
        </w:rPr>
        <w:t xml:space="preserve"> Shipping Co Ltd (The ‘Lehmann Timber’)</w:t>
      </w:r>
      <w:r w:rsidR="009544A7" w:rsidRPr="009544A7">
        <w:t xml:space="preserve"> </w:t>
      </w:r>
      <w:r w:rsidRPr="00D66783">
        <w:t xml:space="preserve">[2013] EWCA </w:t>
      </w:r>
      <w:proofErr w:type="spellStart"/>
      <w:r w:rsidRPr="00D66783">
        <w:t>Civ</w:t>
      </w:r>
      <w:proofErr w:type="spellEnd"/>
      <w:r w:rsidRPr="00D66783">
        <w:t xml:space="preserve"> 650</w:t>
      </w:r>
      <w:r>
        <w:t>,</w:t>
      </w:r>
      <w:r w:rsidRPr="00D66783">
        <w:t xml:space="preserve"> </w:t>
      </w:r>
      <w:r>
        <w:t>[2013] 2 Lloyd's Rep. 541.</w:t>
      </w:r>
    </w:p>
  </w:footnote>
  <w:footnote w:id="20">
    <w:p w14:paraId="6D11473C" w14:textId="77777777" w:rsidR="00986C91" w:rsidRDefault="00986C91" w:rsidP="00986C91">
      <w:pPr>
        <w:pStyle w:val="FootnoteText"/>
      </w:pPr>
      <w:r>
        <w:rPr>
          <w:rStyle w:val="FootnoteReference"/>
        </w:rPr>
        <w:footnoteRef/>
      </w:r>
      <w:r>
        <w:t xml:space="preserve"> Reported at </w:t>
      </w:r>
      <w:proofErr w:type="spellStart"/>
      <w:r w:rsidRPr="00D66783">
        <w:rPr>
          <w:i/>
        </w:rPr>
        <w:t>Metall</w:t>
      </w:r>
      <w:proofErr w:type="spellEnd"/>
      <w:r w:rsidRPr="00D66783">
        <w:rPr>
          <w:i/>
        </w:rPr>
        <w:t xml:space="preserve"> Market O</w:t>
      </w:r>
      <w:r>
        <w:rPr>
          <w:i/>
        </w:rPr>
        <w:t>OO v</w:t>
      </w:r>
      <w:r w:rsidRPr="00D66783">
        <w:rPr>
          <w:i/>
        </w:rPr>
        <w:t xml:space="preserve"> </w:t>
      </w:r>
      <w:proofErr w:type="spellStart"/>
      <w:r w:rsidRPr="00D66783">
        <w:rPr>
          <w:i/>
        </w:rPr>
        <w:t>Vitorio</w:t>
      </w:r>
      <w:proofErr w:type="spellEnd"/>
      <w:r w:rsidRPr="00D66783">
        <w:rPr>
          <w:i/>
        </w:rPr>
        <w:t xml:space="preserve"> Shipping Co Ltd (The </w:t>
      </w:r>
      <w:r>
        <w:rPr>
          <w:i/>
        </w:rPr>
        <w:t>‘</w:t>
      </w:r>
      <w:r w:rsidRPr="00D66783">
        <w:rPr>
          <w:i/>
        </w:rPr>
        <w:t>Lehmann Timber</w:t>
      </w:r>
      <w:r>
        <w:rPr>
          <w:i/>
        </w:rPr>
        <w:t>’</w:t>
      </w:r>
      <w:r w:rsidRPr="00D66783">
        <w:rPr>
          <w:i/>
        </w:rPr>
        <w:t>)</w:t>
      </w:r>
      <w:r w:rsidRPr="00D66783">
        <w:t xml:space="preserve"> [2012] EWHC 844 (Comm)</w:t>
      </w:r>
      <w:r>
        <w:t>, [2012] 2 Lloyd's Rep. 73.</w:t>
      </w:r>
    </w:p>
  </w:footnote>
  <w:footnote w:id="21">
    <w:p w14:paraId="4AE6C075" w14:textId="67A6FFE6" w:rsidR="00986C91" w:rsidRDefault="00986C91" w:rsidP="00986C91">
      <w:pPr>
        <w:pStyle w:val="FootnoteText"/>
      </w:pPr>
      <w:r>
        <w:rPr>
          <w:rStyle w:val="FootnoteReference"/>
        </w:rPr>
        <w:footnoteRef/>
      </w:r>
      <w:r>
        <w:t xml:space="preserve"> </w:t>
      </w:r>
      <w:r w:rsidR="00FF2700">
        <w:t>At [76].</w:t>
      </w:r>
    </w:p>
  </w:footnote>
  <w:footnote w:id="22">
    <w:p w14:paraId="26FBF95E" w14:textId="2C101EEA" w:rsidR="00B61F64" w:rsidRDefault="00B61F64">
      <w:pPr>
        <w:pStyle w:val="FootnoteText"/>
      </w:pPr>
      <w:r>
        <w:rPr>
          <w:rStyle w:val="FootnoteReference"/>
        </w:rPr>
        <w:footnoteRef/>
      </w:r>
      <w:r>
        <w:t xml:space="preserve"> </w:t>
      </w:r>
      <w:proofErr w:type="spellStart"/>
      <w:r w:rsidRPr="00D37BEB">
        <w:rPr>
          <w:i/>
        </w:rPr>
        <w:t>Somes</w:t>
      </w:r>
      <w:proofErr w:type="spellEnd"/>
      <w:r w:rsidRPr="00D37BEB">
        <w:rPr>
          <w:i/>
        </w:rPr>
        <w:t xml:space="preserve"> v British Empire Shipping Co</w:t>
      </w:r>
      <w:r w:rsidRPr="00B61F64">
        <w:t xml:space="preserve"> (1860) 8 HL Cas 338</w:t>
      </w:r>
      <w:r>
        <w:t>.</w:t>
      </w:r>
    </w:p>
  </w:footnote>
  <w:footnote w:id="23">
    <w:p w14:paraId="1172257E" w14:textId="6FD9DFD1" w:rsidR="00986C91" w:rsidRDefault="00986C91" w:rsidP="00986C91">
      <w:pPr>
        <w:pStyle w:val="FootnoteText"/>
      </w:pPr>
      <w:r>
        <w:rPr>
          <w:rStyle w:val="FootnoteReference"/>
        </w:rPr>
        <w:footnoteRef/>
      </w:r>
      <w:r>
        <w:t xml:space="preserve"> </w:t>
      </w:r>
      <w:r w:rsidR="009544A7" w:rsidRPr="00D66783">
        <w:t xml:space="preserve">[2013] EWCA </w:t>
      </w:r>
      <w:proofErr w:type="spellStart"/>
      <w:r w:rsidR="009544A7" w:rsidRPr="00D66783">
        <w:t>Civ</w:t>
      </w:r>
      <w:proofErr w:type="spellEnd"/>
      <w:r w:rsidR="009544A7" w:rsidRPr="00D66783">
        <w:t xml:space="preserve"> 650</w:t>
      </w:r>
      <w:r w:rsidR="009544A7">
        <w:t>,</w:t>
      </w:r>
      <w:r w:rsidR="009544A7" w:rsidRPr="00D66783">
        <w:t xml:space="preserve"> </w:t>
      </w:r>
      <w:r w:rsidR="009544A7">
        <w:t>[2013] 2 Lloyd's Rep. 541</w:t>
      </w:r>
      <w:r w:rsidR="00CF1AD3">
        <w:t xml:space="preserve"> at [127]</w:t>
      </w:r>
      <w:r w:rsidRPr="009544A7">
        <w:t>.</w:t>
      </w:r>
    </w:p>
  </w:footnote>
  <w:footnote w:id="24">
    <w:p w14:paraId="2672867F" w14:textId="7490D0AA" w:rsidR="0009395D" w:rsidRDefault="0009395D">
      <w:pPr>
        <w:pStyle w:val="FootnoteText"/>
      </w:pPr>
      <w:r>
        <w:rPr>
          <w:rStyle w:val="FootnoteReference"/>
        </w:rPr>
        <w:footnoteRef/>
      </w:r>
      <w:r>
        <w:t xml:space="preserve"> At [129].</w:t>
      </w:r>
    </w:p>
  </w:footnote>
  <w:footnote w:id="25">
    <w:p w14:paraId="078BCE67" w14:textId="77777777" w:rsidR="0009395D" w:rsidRDefault="0009395D" w:rsidP="0009395D">
      <w:pPr>
        <w:pStyle w:val="FootnoteText"/>
      </w:pPr>
      <w:r>
        <w:rPr>
          <w:rStyle w:val="FootnoteReference"/>
        </w:rPr>
        <w:footnoteRef/>
      </w:r>
      <w:r>
        <w:t xml:space="preserve"> Ibid.</w:t>
      </w:r>
    </w:p>
  </w:footnote>
  <w:footnote w:id="26">
    <w:p w14:paraId="6BCDF950" w14:textId="76E1E150" w:rsidR="0009395D" w:rsidRDefault="0009395D">
      <w:pPr>
        <w:pStyle w:val="FootnoteText"/>
      </w:pPr>
      <w:r>
        <w:rPr>
          <w:rStyle w:val="FootnoteReference"/>
        </w:rPr>
        <w:footnoteRef/>
      </w:r>
      <w:r>
        <w:t xml:space="preserve"> For </w:t>
      </w:r>
      <w:proofErr w:type="gramStart"/>
      <w:r>
        <w:t>example</w:t>
      </w:r>
      <w:proofErr w:type="gramEnd"/>
      <w:r>
        <w:t xml:space="preserve"> at [109]: “</w:t>
      </w:r>
      <w:r w:rsidRPr="0009395D">
        <w:t xml:space="preserve">It is immediately apparent from these submissions how difficult it is to fit the complexities of a contract of carriage by sea into the </w:t>
      </w:r>
      <w:proofErr w:type="spellStart"/>
      <w:r w:rsidRPr="0009395D">
        <w:rPr>
          <w:i/>
        </w:rPr>
        <w:t>Somes</w:t>
      </w:r>
      <w:proofErr w:type="spellEnd"/>
      <w:r w:rsidRPr="0009395D">
        <w:t xml:space="preserve"> simplicity of a straightforward common law artificer's lien of pure self-help uncomplicated by contractual terms or implications.</w:t>
      </w:r>
      <w:r>
        <w:t>”</w:t>
      </w:r>
    </w:p>
  </w:footnote>
  <w:footnote w:id="27">
    <w:p w14:paraId="63151635" w14:textId="77777777" w:rsidR="00986C91" w:rsidRPr="001777C4" w:rsidRDefault="00986C91" w:rsidP="00986C91">
      <w:pPr>
        <w:pStyle w:val="FootnoteText"/>
      </w:pPr>
      <w:r>
        <w:rPr>
          <w:rStyle w:val="FootnoteReference"/>
        </w:rPr>
        <w:footnoteRef/>
      </w:r>
      <w:r>
        <w:t xml:space="preserve"> For such considerations of commercial reality and equilibrium made judicially, albeit in an entirely different context, a recommended </w:t>
      </w:r>
      <w:r w:rsidRPr="009023D2">
        <w:rPr>
          <w:i/>
        </w:rPr>
        <w:t>locus</w:t>
      </w:r>
      <w:r>
        <w:t xml:space="preserve"> is Lord Goff in </w:t>
      </w:r>
      <w:proofErr w:type="spellStart"/>
      <w:r w:rsidRPr="009023D2">
        <w:rPr>
          <w:i/>
        </w:rPr>
        <w:t>Firma</w:t>
      </w:r>
      <w:proofErr w:type="spellEnd"/>
      <w:r w:rsidRPr="009023D2">
        <w:rPr>
          <w:i/>
        </w:rPr>
        <w:t xml:space="preserve"> C-Trade SA </w:t>
      </w:r>
      <w:r w:rsidRPr="001777C4">
        <w:t>v</w:t>
      </w:r>
      <w:r w:rsidRPr="009023D2">
        <w:rPr>
          <w:i/>
        </w:rPr>
        <w:t xml:space="preserve">. Newcastle Protection </w:t>
      </w:r>
      <w:r>
        <w:rPr>
          <w:i/>
        </w:rPr>
        <w:t>a</w:t>
      </w:r>
      <w:r w:rsidRPr="009023D2">
        <w:rPr>
          <w:i/>
        </w:rPr>
        <w:t>nd Indemnity Association (The “Fanti”)</w:t>
      </w:r>
      <w:r w:rsidRPr="001777C4">
        <w:t>;</w:t>
      </w:r>
      <w:r w:rsidRPr="009023D2">
        <w:rPr>
          <w:i/>
        </w:rPr>
        <w:t xml:space="preserve"> Socony Mobil Oil Co. Inc. </w:t>
      </w:r>
      <w:r>
        <w:rPr>
          <w:i/>
        </w:rPr>
        <w:t>a</w:t>
      </w:r>
      <w:r w:rsidRPr="009023D2">
        <w:rPr>
          <w:i/>
        </w:rPr>
        <w:t xml:space="preserve">nd </w:t>
      </w:r>
      <w:r>
        <w:rPr>
          <w:i/>
        </w:rPr>
        <w:t>o</w:t>
      </w:r>
      <w:r w:rsidRPr="009023D2">
        <w:rPr>
          <w:i/>
        </w:rPr>
        <w:t xml:space="preserve">thers </w:t>
      </w:r>
      <w:r w:rsidRPr="001777C4">
        <w:t>v</w:t>
      </w:r>
      <w:r w:rsidRPr="009023D2">
        <w:rPr>
          <w:i/>
        </w:rPr>
        <w:t xml:space="preserve">. West </w:t>
      </w:r>
      <w:r>
        <w:rPr>
          <w:i/>
        </w:rPr>
        <w:t>o</w:t>
      </w:r>
      <w:r w:rsidRPr="009023D2">
        <w:rPr>
          <w:i/>
        </w:rPr>
        <w:t>f England Ship Owners Mutual Insurance Association (London) Ltd. (The “Padre Island”) (No. 2)</w:t>
      </w:r>
      <w:r w:rsidRPr="001777C4">
        <w:t xml:space="preserve"> [1990] 2 Lloyd's Rep. 191</w:t>
      </w:r>
      <w:r>
        <w:t xml:space="preserve">, </w:t>
      </w:r>
      <w:proofErr w:type="spellStart"/>
      <w:r>
        <w:t>esp</w:t>
      </w:r>
      <w:proofErr w:type="spellEnd"/>
      <w:r>
        <w:t xml:space="preserve"> at p 204</w:t>
      </w:r>
      <w:r w:rsidRPr="001777C4">
        <w:t>.</w:t>
      </w:r>
    </w:p>
  </w:footnote>
  <w:footnote w:id="28">
    <w:p w14:paraId="75C0E774" w14:textId="7A4629D9" w:rsidR="00BF3D6E" w:rsidRDefault="00BF3D6E">
      <w:pPr>
        <w:pStyle w:val="FootnoteText"/>
      </w:pPr>
      <w:r>
        <w:rPr>
          <w:rStyle w:val="FootnoteReference"/>
        </w:rPr>
        <w:footnoteRef/>
      </w:r>
      <w:r>
        <w:t xml:space="preserve"> </w:t>
      </w:r>
      <w:r w:rsidRPr="00BF3D6E">
        <w:t xml:space="preserve">The term of art is lien on sub-freight, because liens on sub-hire were long not recognised. </w:t>
      </w:r>
      <w:r w:rsidR="00787CD4">
        <w:t>See further below.</w:t>
      </w:r>
    </w:p>
  </w:footnote>
  <w:footnote w:id="29">
    <w:p w14:paraId="2248F952" w14:textId="1DDAF072" w:rsidR="00D46614" w:rsidRDefault="00D46614">
      <w:pPr>
        <w:pStyle w:val="FootnoteText"/>
      </w:pPr>
      <w:r>
        <w:rPr>
          <w:rStyle w:val="FootnoteReference"/>
        </w:rPr>
        <w:footnoteRef/>
      </w:r>
      <w:r>
        <w:t xml:space="preserve"> </w:t>
      </w:r>
      <w:r w:rsidRPr="00D46614">
        <w:rPr>
          <w:i/>
        </w:rPr>
        <w:t xml:space="preserve">Agnew and another v Commissioner of Inland </w:t>
      </w:r>
      <w:proofErr w:type="gramStart"/>
      <w:r w:rsidRPr="00D46614">
        <w:rPr>
          <w:i/>
        </w:rPr>
        <w:t>Revenue  (</w:t>
      </w:r>
      <w:proofErr w:type="gramEnd"/>
      <w:r w:rsidRPr="00D46614">
        <w:rPr>
          <w:i/>
        </w:rPr>
        <w:t xml:space="preserve">“Re </w:t>
      </w:r>
      <w:proofErr w:type="spellStart"/>
      <w:r w:rsidRPr="00D46614">
        <w:rPr>
          <w:i/>
        </w:rPr>
        <w:t>Brumark</w:t>
      </w:r>
      <w:proofErr w:type="spellEnd"/>
      <w:r w:rsidRPr="00D46614">
        <w:rPr>
          <w:i/>
        </w:rPr>
        <w:t xml:space="preserve"> Investments”)</w:t>
      </w:r>
      <w:r w:rsidRPr="00D46614">
        <w:t xml:space="preserve"> [2001] 2 AC 710</w:t>
      </w:r>
      <w:r>
        <w:t xml:space="preserve"> per Lord Millet at [41], </w:t>
      </w:r>
      <w:r w:rsidRPr="00D46614">
        <w:rPr>
          <w:i/>
        </w:rPr>
        <w:t>obiter</w:t>
      </w:r>
      <w:r>
        <w:t>.</w:t>
      </w:r>
    </w:p>
  </w:footnote>
  <w:footnote w:id="30">
    <w:p w14:paraId="7399C11B" w14:textId="7A873A24" w:rsidR="00D17FEE" w:rsidRDefault="00D17FEE" w:rsidP="00D17FEE">
      <w:pPr>
        <w:pStyle w:val="FootnoteText"/>
      </w:pPr>
      <w:r>
        <w:rPr>
          <w:rStyle w:val="FootnoteReference"/>
        </w:rPr>
        <w:footnoteRef/>
      </w:r>
      <w:r>
        <w:t xml:space="preserve"> In </w:t>
      </w:r>
      <w:r w:rsidRPr="00D17FEE">
        <w:rPr>
          <w:i/>
        </w:rPr>
        <w:t xml:space="preserve">Western Bulk </w:t>
      </w:r>
      <w:proofErr w:type="spellStart"/>
      <w:r w:rsidRPr="00D17FEE">
        <w:rPr>
          <w:i/>
        </w:rPr>
        <w:t>Shipowning</w:t>
      </w:r>
      <w:proofErr w:type="spellEnd"/>
      <w:r w:rsidRPr="00D17FEE">
        <w:rPr>
          <w:i/>
        </w:rPr>
        <w:t xml:space="preserve"> I</w:t>
      </w:r>
      <w:r>
        <w:rPr>
          <w:i/>
        </w:rPr>
        <w:t>II</w:t>
      </w:r>
      <w:r w:rsidRPr="00D17FEE">
        <w:rPr>
          <w:i/>
        </w:rPr>
        <w:t xml:space="preserve"> A/S V </w:t>
      </w:r>
      <w:proofErr w:type="spellStart"/>
      <w:r w:rsidRPr="00D17FEE">
        <w:rPr>
          <w:i/>
        </w:rPr>
        <w:t>Carbofer</w:t>
      </w:r>
      <w:proofErr w:type="spellEnd"/>
      <w:r w:rsidRPr="00D17FEE">
        <w:rPr>
          <w:i/>
        </w:rPr>
        <w:t xml:space="preserve"> Maritime Trading A</w:t>
      </w:r>
      <w:r>
        <w:rPr>
          <w:i/>
        </w:rPr>
        <w:t>PS</w:t>
      </w:r>
      <w:r w:rsidRPr="00D17FEE">
        <w:rPr>
          <w:i/>
        </w:rPr>
        <w:t xml:space="preserve"> </w:t>
      </w:r>
      <w:r>
        <w:rPr>
          <w:i/>
        </w:rPr>
        <w:t>a</w:t>
      </w:r>
      <w:r w:rsidRPr="00D17FEE">
        <w:rPr>
          <w:i/>
        </w:rPr>
        <w:t xml:space="preserve">nd </w:t>
      </w:r>
      <w:r>
        <w:rPr>
          <w:i/>
        </w:rPr>
        <w:t>o</w:t>
      </w:r>
      <w:r w:rsidRPr="00D17FEE">
        <w:rPr>
          <w:i/>
        </w:rPr>
        <w:t>thers (The "Western Moscow")</w:t>
      </w:r>
      <w:r>
        <w:t xml:space="preserve"> [2012] EWHC 1224 (Comm),</w:t>
      </w:r>
      <w:r w:rsidRPr="00D17FEE">
        <w:t xml:space="preserve"> [2012] 2 Lloyd's Rep. 163 </w:t>
      </w:r>
      <w:r>
        <w:t>– for this case, see further below.</w:t>
      </w:r>
    </w:p>
  </w:footnote>
  <w:footnote w:id="31">
    <w:p w14:paraId="085CA331" w14:textId="41FB2091" w:rsidR="00D17FEE" w:rsidRDefault="00D17FEE">
      <w:pPr>
        <w:pStyle w:val="FootnoteText"/>
      </w:pPr>
      <w:r>
        <w:rPr>
          <w:rStyle w:val="FootnoteReference"/>
        </w:rPr>
        <w:footnoteRef/>
      </w:r>
      <w:r>
        <w:t xml:space="preserve"> </w:t>
      </w:r>
      <w:r w:rsidRPr="00D17FEE">
        <w:t>[2001] UKPC 28</w:t>
      </w:r>
      <w:r>
        <w:t>.</w:t>
      </w:r>
    </w:p>
  </w:footnote>
  <w:footnote w:id="32">
    <w:p w14:paraId="4F518484" w14:textId="4D7E413C" w:rsidR="00D17FEE" w:rsidRDefault="00D17FEE" w:rsidP="00BE301E">
      <w:pPr>
        <w:pStyle w:val="FootnoteText"/>
      </w:pPr>
      <w:r>
        <w:rPr>
          <w:rStyle w:val="FootnoteReference"/>
        </w:rPr>
        <w:footnoteRef/>
      </w:r>
      <w:r>
        <w:t xml:space="preserve"> </w:t>
      </w:r>
      <w:r w:rsidR="00BE301E">
        <w:t xml:space="preserve">See further Graeme </w:t>
      </w:r>
      <w:proofErr w:type="spellStart"/>
      <w:r w:rsidR="00BE301E">
        <w:t>Bowtle</w:t>
      </w:r>
      <w:proofErr w:type="spellEnd"/>
      <w:r w:rsidR="00BE301E">
        <w:t xml:space="preserve">, </w:t>
      </w:r>
      <w:r w:rsidR="003A7208">
        <w:t>‘</w:t>
      </w:r>
      <w:r w:rsidR="003A7208" w:rsidRPr="0029368D">
        <w:t>Liens on Sub-freights</w:t>
      </w:r>
      <w:r w:rsidR="003A7208">
        <w:t>’,</w:t>
      </w:r>
      <w:r w:rsidR="003A7208" w:rsidRPr="0029368D">
        <w:t xml:space="preserve"> [2002] LMCLQ</w:t>
      </w:r>
      <w:r w:rsidR="003A7208">
        <w:t xml:space="preserve"> 289 and </w:t>
      </w:r>
      <w:r w:rsidR="00BE301E">
        <w:t xml:space="preserve">‘Liens on sub-hire and freight’, </w:t>
      </w:r>
      <w:r w:rsidR="003A7208">
        <w:t>[2013] LMCLQ  142.</w:t>
      </w:r>
    </w:p>
  </w:footnote>
  <w:footnote w:id="33">
    <w:p w14:paraId="6F8F1E98" w14:textId="62851FA9" w:rsidR="009E193F" w:rsidRDefault="009E193F" w:rsidP="009E193F">
      <w:pPr>
        <w:pStyle w:val="FootnoteText"/>
      </w:pPr>
      <w:r>
        <w:rPr>
          <w:rStyle w:val="FootnoteReference"/>
        </w:rPr>
        <w:footnoteRef/>
      </w:r>
      <w:r>
        <w:t xml:space="preserve"> In </w:t>
      </w:r>
      <w:r w:rsidRPr="00D17FEE">
        <w:rPr>
          <w:i/>
        </w:rPr>
        <w:t xml:space="preserve">Western Bulk </w:t>
      </w:r>
      <w:proofErr w:type="spellStart"/>
      <w:r w:rsidRPr="00D17FEE">
        <w:rPr>
          <w:i/>
        </w:rPr>
        <w:t>Shipowning</w:t>
      </w:r>
      <w:proofErr w:type="spellEnd"/>
      <w:r w:rsidRPr="00D17FEE">
        <w:rPr>
          <w:i/>
        </w:rPr>
        <w:t xml:space="preserve"> I</w:t>
      </w:r>
      <w:r>
        <w:rPr>
          <w:i/>
        </w:rPr>
        <w:t>II</w:t>
      </w:r>
      <w:r w:rsidRPr="00D17FEE">
        <w:rPr>
          <w:i/>
        </w:rPr>
        <w:t xml:space="preserve"> A/S V </w:t>
      </w:r>
      <w:proofErr w:type="spellStart"/>
      <w:r w:rsidRPr="00D17FEE">
        <w:rPr>
          <w:i/>
        </w:rPr>
        <w:t>Carbofer</w:t>
      </w:r>
      <w:proofErr w:type="spellEnd"/>
      <w:r w:rsidRPr="00D17FEE">
        <w:rPr>
          <w:i/>
        </w:rPr>
        <w:t xml:space="preserve"> Maritime Trading A</w:t>
      </w:r>
      <w:r>
        <w:rPr>
          <w:i/>
        </w:rPr>
        <w:t>PS</w:t>
      </w:r>
      <w:r w:rsidRPr="00D17FEE">
        <w:rPr>
          <w:i/>
        </w:rPr>
        <w:t xml:space="preserve"> </w:t>
      </w:r>
      <w:r>
        <w:rPr>
          <w:i/>
        </w:rPr>
        <w:t>a</w:t>
      </w:r>
      <w:r w:rsidRPr="00D17FEE">
        <w:rPr>
          <w:i/>
        </w:rPr>
        <w:t xml:space="preserve">nd </w:t>
      </w:r>
      <w:r>
        <w:rPr>
          <w:i/>
        </w:rPr>
        <w:t>o</w:t>
      </w:r>
      <w:r w:rsidRPr="00D17FEE">
        <w:rPr>
          <w:i/>
        </w:rPr>
        <w:t>thers (The "Western Moscow")</w:t>
      </w:r>
      <w:r>
        <w:t xml:space="preserve"> [2012] EWHC 1224 (Comm),</w:t>
      </w:r>
      <w:r w:rsidRPr="00D17FEE">
        <w:t xml:space="preserve"> [2012] 2 Lloyd's Rep. 163</w:t>
      </w:r>
      <w:r w:rsidR="008319A9">
        <w:t>.</w:t>
      </w:r>
    </w:p>
  </w:footnote>
  <w:footnote w:id="34">
    <w:p w14:paraId="34AD06D5" w14:textId="67561AC4" w:rsidR="00D46614" w:rsidRDefault="00D46614" w:rsidP="00D46614">
      <w:pPr>
        <w:pStyle w:val="FootnoteText"/>
      </w:pPr>
      <w:r>
        <w:rPr>
          <w:rStyle w:val="FootnoteReference"/>
        </w:rPr>
        <w:footnoteRef/>
      </w:r>
      <w:r>
        <w:t xml:space="preserve"> In </w:t>
      </w:r>
      <w:r w:rsidRPr="00D17FEE">
        <w:rPr>
          <w:i/>
        </w:rPr>
        <w:t xml:space="preserve">Western Bulk </w:t>
      </w:r>
      <w:proofErr w:type="spellStart"/>
      <w:r w:rsidRPr="00D17FEE">
        <w:rPr>
          <w:i/>
        </w:rPr>
        <w:t>Shipowning</w:t>
      </w:r>
      <w:proofErr w:type="spellEnd"/>
      <w:r w:rsidRPr="00D17FEE">
        <w:rPr>
          <w:i/>
        </w:rPr>
        <w:t xml:space="preserve"> I</w:t>
      </w:r>
      <w:r>
        <w:rPr>
          <w:i/>
        </w:rPr>
        <w:t>II</w:t>
      </w:r>
      <w:r w:rsidRPr="00D17FEE">
        <w:rPr>
          <w:i/>
        </w:rPr>
        <w:t xml:space="preserve"> A/S V </w:t>
      </w:r>
      <w:proofErr w:type="spellStart"/>
      <w:r w:rsidRPr="00D17FEE">
        <w:rPr>
          <w:i/>
        </w:rPr>
        <w:t>Carbofer</w:t>
      </w:r>
      <w:proofErr w:type="spellEnd"/>
      <w:r w:rsidRPr="00D17FEE">
        <w:rPr>
          <w:i/>
        </w:rPr>
        <w:t xml:space="preserve"> Maritime Trading A</w:t>
      </w:r>
      <w:r>
        <w:rPr>
          <w:i/>
        </w:rPr>
        <w:t>PS</w:t>
      </w:r>
      <w:r w:rsidRPr="00D17FEE">
        <w:rPr>
          <w:i/>
        </w:rPr>
        <w:t xml:space="preserve"> </w:t>
      </w:r>
      <w:r>
        <w:rPr>
          <w:i/>
        </w:rPr>
        <w:t>a</w:t>
      </w:r>
      <w:r w:rsidRPr="00D17FEE">
        <w:rPr>
          <w:i/>
        </w:rPr>
        <w:t xml:space="preserve">nd </w:t>
      </w:r>
      <w:r>
        <w:rPr>
          <w:i/>
        </w:rPr>
        <w:t>o</w:t>
      </w:r>
      <w:r w:rsidRPr="00D17FEE">
        <w:rPr>
          <w:i/>
        </w:rPr>
        <w:t>thers (The "Western Moscow")</w:t>
      </w:r>
      <w:r>
        <w:t xml:space="preserve"> [2012] EWHC 1224 (Comm),</w:t>
      </w:r>
      <w:r w:rsidRPr="00D17FEE">
        <w:t xml:space="preserve"> [2012] 2 Lloyd's Rep. 163</w:t>
      </w:r>
      <w:r w:rsidR="008319A9">
        <w:t>.</w:t>
      </w:r>
    </w:p>
  </w:footnote>
  <w:footnote w:id="35">
    <w:p w14:paraId="1F68F9CB" w14:textId="3A7CF9A9" w:rsidR="0029368D" w:rsidRPr="0029368D" w:rsidRDefault="0029368D" w:rsidP="0029368D">
      <w:pPr>
        <w:pStyle w:val="FootnoteText"/>
      </w:pPr>
      <w:r>
        <w:rPr>
          <w:rStyle w:val="FootnoteReference"/>
        </w:rPr>
        <w:footnoteRef/>
      </w:r>
      <w:r>
        <w:t xml:space="preserve"> </w:t>
      </w:r>
      <w:r w:rsidRPr="004E7D84">
        <w:rPr>
          <w:i/>
        </w:rPr>
        <w:t>Care Shipping Corporation</w:t>
      </w:r>
      <w:r>
        <w:rPr>
          <w:i/>
        </w:rPr>
        <w:t xml:space="preserve"> v</w:t>
      </w:r>
      <w:r w:rsidRPr="004E7D84">
        <w:rPr>
          <w:i/>
        </w:rPr>
        <w:t>.</w:t>
      </w:r>
      <w:r>
        <w:rPr>
          <w:i/>
        </w:rPr>
        <w:t xml:space="preserve"> </w:t>
      </w:r>
      <w:r w:rsidRPr="004E7D84">
        <w:rPr>
          <w:i/>
        </w:rPr>
        <w:t>Latin American Shipping</w:t>
      </w:r>
      <w:r>
        <w:rPr>
          <w:i/>
        </w:rPr>
        <w:t xml:space="preserve"> </w:t>
      </w:r>
      <w:r w:rsidRPr="004E7D84">
        <w:rPr>
          <w:i/>
        </w:rPr>
        <w:t>Corp</w:t>
      </w:r>
      <w:r>
        <w:rPr>
          <w:i/>
        </w:rPr>
        <w:t xml:space="preserve"> (The Cebu) (No 1)</w:t>
      </w:r>
      <w:r w:rsidRPr="004E7D84">
        <w:t xml:space="preserve"> [1983] 1 Lloyd’s Rep 302</w:t>
      </w:r>
      <w:r>
        <w:t>.</w:t>
      </w:r>
    </w:p>
  </w:footnote>
  <w:footnote w:id="36">
    <w:p w14:paraId="204B7355" w14:textId="42BDD7F1" w:rsidR="0029368D" w:rsidRDefault="0029368D">
      <w:pPr>
        <w:pStyle w:val="FootnoteText"/>
      </w:pPr>
      <w:r>
        <w:rPr>
          <w:rStyle w:val="FootnoteReference"/>
        </w:rPr>
        <w:footnoteRef/>
      </w:r>
      <w:r>
        <w:t xml:space="preserve"> Noting </w:t>
      </w:r>
      <w:r w:rsidRPr="0029368D">
        <w:t xml:space="preserve">Graeme </w:t>
      </w:r>
      <w:proofErr w:type="spellStart"/>
      <w:r w:rsidRPr="0029368D">
        <w:t>Bowtle</w:t>
      </w:r>
      <w:proofErr w:type="spellEnd"/>
      <w:r>
        <w:t>,</w:t>
      </w:r>
      <w:r w:rsidRPr="0029368D">
        <w:t xml:space="preserve"> </w:t>
      </w:r>
      <w:r>
        <w:t>‘</w:t>
      </w:r>
      <w:r w:rsidRPr="0029368D">
        <w:t>Liens on Sub-freights</w:t>
      </w:r>
      <w:r>
        <w:t>’,</w:t>
      </w:r>
      <w:r w:rsidRPr="0029368D">
        <w:t xml:space="preserve"> [2002] LMCLQ 289</w:t>
      </w:r>
      <w:r>
        <w:t xml:space="preserve"> and the 21</w:t>
      </w:r>
      <w:r w:rsidRPr="0029368D">
        <w:rPr>
          <w:vertAlign w:val="superscript"/>
        </w:rPr>
        <w:t>st</w:t>
      </w:r>
      <w:r>
        <w:t xml:space="preserve"> edition of </w:t>
      </w:r>
      <w:proofErr w:type="spellStart"/>
      <w:r w:rsidRPr="0029368D">
        <w:rPr>
          <w:i/>
        </w:rPr>
        <w:t>Scrutton</w:t>
      </w:r>
      <w:proofErr w:type="spellEnd"/>
      <w:r>
        <w:t xml:space="preserve"> on </w:t>
      </w:r>
      <w:proofErr w:type="spellStart"/>
      <w:r>
        <w:t>Charterparties</w:t>
      </w:r>
      <w:proofErr w:type="spellEnd"/>
      <w:r>
        <w:t>.</w:t>
      </w:r>
    </w:p>
  </w:footnote>
  <w:footnote w:id="37">
    <w:p w14:paraId="30A4088F" w14:textId="0F58A2B1" w:rsidR="00FB4188" w:rsidRPr="004E57E3" w:rsidRDefault="00FB4188" w:rsidP="004E57E3">
      <w:pPr>
        <w:pStyle w:val="FootnoteText"/>
        <w:rPr>
          <w:i/>
        </w:rPr>
      </w:pPr>
      <w:r>
        <w:rPr>
          <w:rStyle w:val="FootnoteReference"/>
        </w:rPr>
        <w:footnoteRef/>
      </w:r>
      <w:r>
        <w:t xml:space="preserve"> </w:t>
      </w:r>
      <w:r w:rsidRPr="009619F6">
        <w:t>[2018] SGCA 26</w:t>
      </w:r>
      <w:r>
        <w:t>.</w:t>
      </w:r>
      <w:r w:rsidR="004E57E3">
        <w:t xml:space="preserve"> Further, in Canada, the theory appears not to have been questioned by the Court of Appeal for British Columbia in </w:t>
      </w:r>
      <w:r w:rsidR="004E57E3" w:rsidRPr="004E57E3">
        <w:rPr>
          <w:i/>
        </w:rPr>
        <w:t xml:space="preserve">Byatt International </w:t>
      </w:r>
      <w:r w:rsidR="004E57E3">
        <w:rPr>
          <w:i/>
        </w:rPr>
        <w:t>SA</w:t>
      </w:r>
      <w:r w:rsidR="004E57E3" w:rsidRPr="004E57E3">
        <w:rPr>
          <w:i/>
        </w:rPr>
        <w:t xml:space="preserve"> </w:t>
      </w:r>
      <w:r w:rsidR="004E57E3">
        <w:rPr>
          <w:i/>
        </w:rPr>
        <w:t>v</w:t>
      </w:r>
      <w:r w:rsidR="004E57E3" w:rsidRPr="004E57E3">
        <w:rPr>
          <w:i/>
        </w:rPr>
        <w:t xml:space="preserve"> </w:t>
      </w:r>
      <w:proofErr w:type="spellStart"/>
      <w:r w:rsidR="004E57E3" w:rsidRPr="004E57E3">
        <w:rPr>
          <w:i/>
        </w:rPr>
        <w:t>Canworld</w:t>
      </w:r>
      <w:proofErr w:type="spellEnd"/>
      <w:r w:rsidR="004E57E3" w:rsidRPr="004E57E3">
        <w:rPr>
          <w:i/>
        </w:rPr>
        <w:t xml:space="preserve"> Shipping Co Ltd </w:t>
      </w:r>
      <w:proofErr w:type="gramStart"/>
      <w:r w:rsidR="004E57E3" w:rsidRPr="004E57E3">
        <w:rPr>
          <w:i/>
        </w:rPr>
        <w:t>And</w:t>
      </w:r>
      <w:proofErr w:type="gramEnd"/>
      <w:r w:rsidR="004E57E3" w:rsidRPr="004E57E3">
        <w:rPr>
          <w:i/>
        </w:rPr>
        <w:t xml:space="preserve"> Another (The "M</w:t>
      </w:r>
      <w:r w:rsidR="004E57E3">
        <w:rPr>
          <w:i/>
        </w:rPr>
        <w:t>V</w:t>
      </w:r>
      <w:r w:rsidR="004E57E3" w:rsidRPr="004E57E3">
        <w:rPr>
          <w:i/>
        </w:rPr>
        <w:t xml:space="preserve"> Loyalty")</w:t>
      </w:r>
      <w:r w:rsidR="004E57E3">
        <w:rPr>
          <w:i/>
        </w:rPr>
        <w:t xml:space="preserve"> </w:t>
      </w:r>
      <w:r w:rsidR="004E57E3">
        <w:t>2013 BCCA 427, [2013] Lloyd’s Law Reports Plus 89.</w:t>
      </w:r>
    </w:p>
  </w:footnote>
  <w:footnote w:id="38">
    <w:p w14:paraId="2B4133C0" w14:textId="7460202E" w:rsidR="007E02DA" w:rsidRDefault="007E02DA">
      <w:pPr>
        <w:pStyle w:val="FootnoteText"/>
      </w:pPr>
      <w:r>
        <w:rPr>
          <w:rStyle w:val="FootnoteReference"/>
        </w:rPr>
        <w:footnoteRef/>
      </w:r>
      <w:r>
        <w:t xml:space="preserve"> At</w:t>
      </w:r>
      <w:r w:rsidR="004E57E3">
        <w:t xml:space="preserve"> [75].</w:t>
      </w:r>
    </w:p>
  </w:footnote>
  <w:footnote w:id="39">
    <w:p w14:paraId="78C5823B" w14:textId="7AB523D4" w:rsidR="007D44B6" w:rsidRDefault="007D44B6" w:rsidP="007D44B6">
      <w:pPr>
        <w:pStyle w:val="FootnoteText"/>
      </w:pPr>
      <w:r>
        <w:rPr>
          <w:rStyle w:val="FootnoteReference"/>
        </w:rPr>
        <w:footnoteRef/>
      </w:r>
      <w:r>
        <w:t xml:space="preserve"> </w:t>
      </w:r>
      <w:r w:rsidRPr="00EA0FDC">
        <w:t>[2019] FCA 1454</w:t>
      </w:r>
      <w:r>
        <w:t>.</w:t>
      </w:r>
    </w:p>
  </w:footnote>
  <w:footnote w:id="40">
    <w:p w14:paraId="4C22154F" w14:textId="77777777" w:rsidR="007D44B6" w:rsidRDefault="007D44B6" w:rsidP="007D44B6">
      <w:pPr>
        <w:pStyle w:val="FootnoteText"/>
      </w:pPr>
      <w:r>
        <w:rPr>
          <w:rStyle w:val="FootnoteReference"/>
        </w:rPr>
        <w:footnoteRef/>
      </w:r>
      <w:r>
        <w:t xml:space="preserve"> At [76].</w:t>
      </w:r>
    </w:p>
  </w:footnote>
  <w:footnote w:id="41">
    <w:p w14:paraId="5298458D" w14:textId="77777777" w:rsidR="007D44B6" w:rsidRDefault="007D44B6" w:rsidP="007D44B6">
      <w:pPr>
        <w:pStyle w:val="FootnoteText"/>
      </w:pPr>
      <w:r>
        <w:rPr>
          <w:rStyle w:val="FootnoteReference"/>
        </w:rPr>
        <w:footnoteRef/>
      </w:r>
      <w:r>
        <w:t xml:space="preserve"> At [89]-[91].</w:t>
      </w:r>
    </w:p>
  </w:footnote>
  <w:footnote w:id="42">
    <w:p w14:paraId="36B1017F" w14:textId="26F914EF" w:rsidR="007D44B6" w:rsidRDefault="007D44B6" w:rsidP="007D44B6">
      <w:pPr>
        <w:pStyle w:val="FootnoteText"/>
      </w:pPr>
      <w:r>
        <w:rPr>
          <w:rStyle w:val="FootnoteReference"/>
        </w:rPr>
        <w:footnoteRef/>
      </w:r>
      <w:r>
        <w:t xml:space="preserve"> </w:t>
      </w:r>
      <w:r w:rsidR="00851937">
        <w:t>REF to be added.</w:t>
      </w:r>
    </w:p>
  </w:footnote>
  <w:footnote w:id="43">
    <w:p w14:paraId="244B624F" w14:textId="0D80905C" w:rsidR="00056983" w:rsidRDefault="00056983" w:rsidP="00056983">
      <w:pPr>
        <w:pStyle w:val="FootnoteText"/>
      </w:pPr>
      <w:r>
        <w:rPr>
          <w:rStyle w:val="FootnoteReference"/>
        </w:rPr>
        <w:footnoteRef/>
      </w:r>
      <w:r>
        <w:t xml:space="preserve"> The general rule is that the head voyage </w:t>
      </w:r>
      <w:proofErr w:type="spellStart"/>
      <w:r>
        <w:t>charterparty</w:t>
      </w:r>
      <w:proofErr w:type="spellEnd"/>
      <w:r>
        <w:t xml:space="preserve"> is incorporated, even if the parties to the bill of lading and those seeking to enforce the lien are not a party to that contract. Unlike arbitration clauses which must be mentioned explicitly, incorporation of a lien clause into </w:t>
      </w:r>
      <w:r w:rsidRPr="00056983">
        <w:t xml:space="preserve">a bill of lading </w:t>
      </w:r>
      <w:r>
        <w:t xml:space="preserve">by general reference to a </w:t>
      </w:r>
      <w:proofErr w:type="spellStart"/>
      <w:r>
        <w:t>charterparty</w:t>
      </w:r>
      <w:proofErr w:type="spellEnd"/>
      <w:r>
        <w:t xml:space="preserve"> is the rule.</w:t>
      </w:r>
    </w:p>
  </w:footnote>
  <w:footnote w:id="44">
    <w:p w14:paraId="5A898D4B" w14:textId="77777777" w:rsidR="00C51246" w:rsidRDefault="00C51246" w:rsidP="00C51246">
      <w:pPr>
        <w:pStyle w:val="FootnoteText"/>
      </w:pPr>
      <w:r>
        <w:rPr>
          <w:rStyle w:val="FootnoteReference"/>
        </w:rPr>
        <w:footnoteRef/>
      </w:r>
      <w:r>
        <w:t xml:space="preserve"> </w:t>
      </w:r>
      <w:r w:rsidRPr="00BF1B9D">
        <w:rPr>
          <w:lang w:val="en-US"/>
        </w:rPr>
        <w:t>[2008] 1 L</w:t>
      </w:r>
      <w:r>
        <w:rPr>
          <w:lang w:val="en-US"/>
        </w:rPr>
        <w:t>loyd’s Rep</w:t>
      </w:r>
      <w:r w:rsidRPr="00BF1B9D">
        <w:rPr>
          <w:lang w:val="en-US"/>
        </w:rPr>
        <w:t xml:space="preserve"> 450</w:t>
      </w:r>
      <w:r>
        <w:rPr>
          <w:lang w:val="en-US"/>
        </w:rPr>
        <w:t>.</w:t>
      </w:r>
    </w:p>
  </w:footnote>
  <w:footnote w:id="45">
    <w:p w14:paraId="69FE6044" w14:textId="77777777" w:rsidR="00C51246" w:rsidRDefault="00C51246" w:rsidP="00C51246">
      <w:pPr>
        <w:pStyle w:val="FootnoteText"/>
      </w:pPr>
      <w:r>
        <w:rPr>
          <w:rStyle w:val="FootnoteReference"/>
        </w:rPr>
        <w:footnoteRef/>
      </w:r>
      <w:r>
        <w:t xml:space="preserve"> It is worth nothing the position of Helm as sub-charterer: if aware that the </w:t>
      </w:r>
      <w:proofErr w:type="spellStart"/>
      <w:r>
        <w:t>disponent</w:t>
      </w:r>
      <w:proofErr w:type="spellEnd"/>
      <w:r>
        <w:t xml:space="preserve"> owner is in financial trouble, a sub-charterer must be very careful to whom payment is made and comply with any notice to pay to their </w:t>
      </w:r>
      <w:proofErr w:type="spellStart"/>
      <w:r>
        <w:t>disponent</w:t>
      </w:r>
      <w:proofErr w:type="spellEnd"/>
      <w:r>
        <w:t xml:space="preserve"> owner, at the risk of paying the same sum twice to </w:t>
      </w:r>
      <w:proofErr w:type="spellStart"/>
      <w:r>
        <w:t>disponent</w:t>
      </w:r>
      <w:proofErr w:type="spellEnd"/>
      <w:r>
        <w:t xml:space="preserve"> owners as well as head owners.</w:t>
      </w:r>
    </w:p>
  </w:footnote>
  <w:footnote w:id="46">
    <w:p w14:paraId="2D977606" w14:textId="4087F202" w:rsidR="001A4444" w:rsidRDefault="001A4444">
      <w:pPr>
        <w:pStyle w:val="FootnoteText"/>
      </w:pPr>
      <w:r>
        <w:rPr>
          <w:rStyle w:val="FootnoteReference"/>
        </w:rPr>
        <w:footnoteRef/>
      </w:r>
      <w:r>
        <w:t xml:space="preserve"> </w:t>
      </w:r>
      <w:r w:rsidRPr="001A4444">
        <w:t>[2020] NSWSC 184</w:t>
      </w:r>
      <w:r>
        <w:t>.</w:t>
      </w:r>
    </w:p>
  </w:footnote>
  <w:footnote w:id="47">
    <w:p w14:paraId="15687285" w14:textId="0971D4B1" w:rsidR="005144A3" w:rsidRDefault="005144A3">
      <w:pPr>
        <w:pStyle w:val="FootnoteText"/>
      </w:pPr>
      <w:r>
        <w:rPr>
          <w:rStyle w:val="FootnoteReference"/>
        </w:rPr>
        <w:footnoteRef/>
      </w:r>
      <w:r>
        <w:t xml:space="preserve"> The point was obiter in view of other conclusions.</w:t>
      </w:r>
    </w:p>
  </w:footnote>
  <w:footnote w:id="48">
    <w:p w14:paraId="26933B31" w14:textId="557CCF18" w:rsidR="009C07CB" w:rsidRDefault="009C07CB">
      <w:pPr>
        <w:pStyle w:val="FootnoteText"/>
      </w:pPr>
      <w:r>
        <w:rPr>
          <w:rStyle w:val="FootnoteReference"/>
        </w:rPr>
        <w:footnoteRef/>
      </w:r>
      <w:r>
        <w:t xml:space="preserve"> </w:t>
      </w:r>
      <w:r w:rsidRPr="009C07CB">
        <w:t xml:space="preserve"> [2000] 2 Lloyds Rep 319</w:t>
      </w:r>
      <w:r>
        <w:t>.</w:t>
      </w:r>
    </w:p>
  </w:footnote>
  <w:footnote w:id="49">
    <w:p w14:paraId="417BD85E" w14:textId="77777777" w:rsidR="00094D3E" w:rsidRDefault="00094D3E" w:rsidP="00094D3E">
      <w:pPr>
        <w:pStyle w:val="FootnoteText"/>
      </w:pPr>
      <w:r>
        <w:rPr>
          <w:rStyle w:val="FootnoteReference"/>
        </w:rPr>
        <w:footnoteRef/>
      </w:r>
      <w:r>
        <w:t xml:space="preserve"> </w:t>
      </w:r>
      <w:r w:rsidRPr="008A3B34">
        <w:t>[2013] 2 Lloyds Rep 38</w:t>
      </w:r>
      <w:r>
        <w:t>.</w:t>
      </w:r>
    </w:p>
  </w:footnote>
  <w:footnote w:id="50">
    <w:p w14:paraId="36DB4714" w14:textId="4523E5D0" w:rsidR="00C51246" w:rsidRDefault="00C51246">
      <w:pPr>
        <w:pStyle w:val="FootnoteText"/>
      </w:pPr>
      <w:r>
        <w:rPr>
          <w:rStyle w:val="FootnoteReference"/>
        </w:rPr>
        <w:footnoteRef/>
      </w:r>
      <w:r>
        <w:t xml:space="preserve"> See further on trip time </w:t>
      </w:r>
      <w:proofErr w:type="spellStart"/>
      <w:r>
        <w:t>charterparties</w:t>
      </w:r>
      <w:proofErr w:type="spellEnd"/>
      <w:r>
        <w:t xml:space="preserve"> Johanna </w:t>
      </w:r>
      <w:r w:rsidRPr="00C51246">
        <w:t xml:space="preserve">Hjalmarsson, </w:t>
      </w:r>
      <w:r>
        <w:t>‘</w:t>
      </w:r>
      <w:r w:rsidRPr="00C51246">
        <w:t xml:space="preserve">Trip time </w:t>
      </w:r>
      <w:proofErr w:type="spellStart"/>
      <w:r w:rsidRPr="00C51246">
        <w:t>charterparties</w:t>
      </w:r>
      <w:proofErr w:type="spellEnd"/>
      <w:r w:rsidRPr="00C51246">
        <w:t xml:space="preserve"> and their binary endgames</w:t>
      </w:r>
      <w:r>
        <w:t>’,</w:t>
      </w:r>
      <w:r w:rsidRPr="00C51246">
        <w:t xml:space="preserve"> </w:t>
      </w:r>
      <w:r>
        <w:t>(2018) LMCLQ</w:t>
      </w:r>
      <w:r w:rsidRPr="00C51246">
        <w:t xml:space="preserve"> 376-397.</w:t>
      </w:r>
    </w:p>
  </w:footnote>
  <w:footnote w:id="51">
    <w:p w14:paraId="4C1FC807" w14:textId="77777777" w:rsidR="00E652E0" w:rsidRPr="004E7D84" w:rsidRDefault="00E652E0" w:rsidP="00E652E0">
      <w:pPr>
        <w:pStyle w:val="FootnoteText"/>
        <w:rPr>
          <w:i/>
        </w:rPr>
      </w:pPr>
      <w:r>
        <w:rPr>
          <w:rStyle w:val="FootnoteReference"/>
        </w:rPr>
        <w:footnoteRef/>
      </w:r>
      <w:r>
        <w:t xml:space="preserve"> </w:t>
      </w:r>
      <w:r w:rsidRPr="004E7D84">
        <w:rPr>
          <w:i/>
        </w:rPr>
        <w:t>Care Shipping Corporation</w:t>
      </w:r>
      <w:r>
        <w:rPr>
          <w:i/>
        </w:rPr>
        <w:t xml:space="preserve"> v</w:t>
      </w:r>
      <w:r w:rsidRPr="004E7D84">
        <w:rPr>
          <w:i/>
        </w:rPr>
        <w:t>.</w:t>
      </w:r>
      <w:r>
        <w:rPr>
          <w:i/>
        </w:rPr>
        <w:t xml:space="preserve"> </w:t>
      </w:r>
      <w:r w:rsidRPr="004E7D84">
        <w:rPr>
          <w:i/>
        </w:rPr>
        <w:t>Latin American Shipping</w:t>
      </w:r>
      <w:r>
        <w:rPr>
          <w:i/>
        </w:rPr>
        <w:t xml:space="preserve"> </w:t>
      </w:r>
      <w:r w:rsidRPr="004E7D84">
        <w:rPr>
          <w:i/>
        </w:rPr>
        <w:t>Corp</w:t>
      </w:r>
      <w:r w:rsidRPr="004E7D84">
        <w:t xml:space="preserve"> [1983] 1 Lloyd’s Rep 302</w:t>
      </w:r>
      <w:r>
        <w:t>.</w:t>
      </w:r>
    </w:p>
  </w:footnote>
  <w:footnote w:id="52">
    <w:p w14:paraId="7A498B62" w14:textId="77777777" w:rsidR="00E652E0" w:rsidRDefault="00E652E0" w:rsidP="00E652E0">
      <w:pPr>
        <w:pStyle w:val="FootnoteText"/>
      </w:pPr>
      <w:r>
        <w:rPr>
          <w:rStyle w:val="FootnoteReference"/>
        </w:rPr>
        <w:footnoteRef/>
      </w:r>
      <w:r>
        <w:t xml:space="preserve"> </w:t>
      </w:r>
      <w:proofErr w:type="spellStart"/>
      <w:r w:rsidRPr="004E7D84">
        <w:rPr>
          <w:i/>
        </w:rPr>
        <w:t>Itex</w:t>
      </w:r>
      <w:proofErr w:type="spellEnd"/>
      <w:r w:rsidRPr="004E7D84">
        <w:rPr>
          <w:i/>
        </w:rPr>
        <w:t xml:space="preserve"> </w:t>
      </w:r>
      <w:proofErr w:type="spellStart"/>
      <w:r w:rsidRPr="004E7D84">
        <w:rPr>
          <w:i/>
        </w:rPr>
        <w:t>Itagrani</w:t>
      </w:r>
      <w:proofErr w:type="spellEnd"/>
      <w:r w:rsidRPr="004E7D84">
        <w:rPr>
          <w:i/>
        </w:rPr>
        <w:t xml:space="preserve"> Export SA v Care Shipping Corporation and Others (The Cebu) (No 2)</w:t>
      </w:r>
      <w:r>
        <w:t xml:space="preserve"> [1990] 2 Lloyd’s Rep 316.</w:t>
      </w:r>
    </w:p>
  </w:footnote>
  <w:footnote w:id="53">
    <w:p w14:paraId="648844A7" w14:textId="77777777" w:rsidR="00AA195B" w:rsidRDefault="001358F7" w:rsidP="00AA195B">
      <w:pPr>
        <w:pStyle w:val="FootnoteText"/>
      </w:pPr>
      <w:r>
        <w:rPr>
          <w:rStyle w:val="FootnoteReference"/>
        </w:rPr>
        <w:footnoteRef/>
      </w:r>
      <w:r>
        <w:t xml:space="preserve"> </w:t>
      </w:r>
      <w:r w:rsidR="00AA195B">
        <w:t>DRY BULK HANDY HOLDING INC AND ANOTHER</w:t>
      </w:r>
    </w:p>
    <w:p w14:paraId="5ABEB8C5" w14:textId="77777777" w:rsidR="00AA195B" w:rsidRDefault="00AA195B" w:rsidP="00AA195B">
      <w:pPr>
        <w:pStyle w:val="FootnoteText"/>
      </w:pPr>
      <w:r>
        <w:t>v</w:t>
      </w:r>
    </w:p>
    <w:p w14:paraId="61C3524E" w14:textId="77777777" w:rsidR="00AA195B" w:rsidRDefault="00AA195B" w:rsidP="00AA195B">
      <w:pPr>
        <w:pStyle w:val="FootnoteText"/>
      </w:pPr>
      <w:r>
        <w:t>FAYETTE INTERNATIONAL HOLDINGS LTD AND ANOTHER</w:t>
      </w:r>
    </w:p>
    <w:p w14:paraId="1D395407" w14:textId="77777777" w:rsidR="00AA195B" w:rsidRDefault="00AA195B" w:rsidP="00AA195B">
      <w:pPr>
        <w:pStyle w:val="FootnoteText"/>
      </w:pPr>
      <w:r>
        <w:t>(THE "BULK CHILE")</w:t>
      </w:r>
    </w:p>
    <w:p w14:paraId="3B595447" w14:textId="77777777" w:rsidR="00AA195B" w:rsidRDefault="00AA195B" w:rsidP="00AA195B">
      <w:pPr>
        <w:pStyle w:val="FootnoteText"/>
      </w:pPr>
      <w:r>
        <w:t xml:space="preserve"> </w:t>
      </w:r>
    </w:p>
    <w:p w14:paraId="0D16B75D" w14:textId="601F4D10" w:rsidR="001358F7" w:rsidRDefault="00AA195B" w:rsidP="00AA195B">
      <w:pPr>
        <w:pStyle w:val="FootnoteText"/>
      </w:pPr>
      <w:r>
        <w:t>[2012] EWHC 2107 (Comm), [2012] 2 Lloyd’s Rep 594, at [47] – [49].</w:t>
      </w:r>
    </w:p>
  </w:footnote>
  <w:footnote w:id="54">
    <w:p w14:paraId="117E8E07" w14:textId="77777777" w:rsidR="00AA195B" w:rsidRDefault="00AA195B" w:rsidP="00AA195B">
      <w:pPr>
        <w:pStyle w:val="FootnoteText"/>
      </w:pPr>
      <w:r>
        <w:rPr>
          <w:rStyle w:val="FootnoteReference"/>
        </w:rPr>
        <w:footnoteRef/>
      </w:r>
      <w:r>
        <w:t xml:space="preserve"> </w:t>
      </w:r>
      <w:r w:rsidRPr="004C2B61">
        <w:t>DBHH had also chartered the vessel to CSAV and then chartered it in both their names to KLC</w:t>
      </w:r>
      <w:r>
        <w:t>. As a result, CSAV was the proper claimant for some of the claims. This does not make any difference for present purposes. For simplicity, DBHH will be referred to as the lien claimant.</w:t>
      </w:r>
    </w:p>
  </w:footnote>
  <w:footnote w:id="55">
    <w:p w14:paraId="282EF3F4" w14:textId="468162EF" w:rsidR="00AA195B" w:rsidRDefault="00AA195B">
      <w:pPr>
        <w:pStyle w:val="FootnoteText"/>
      </w:pPr>
      <w:r>
        <w:rPr>
          <w:rStyle w:val="FootnoteReference"/>
        </w:rPr>
        <w:footnoteRef/>
      </w:r>
      <w:r>
        <w:t xml:space="preserve"> There was no appeal on this point.</w:t>
      </w:r>
    </w:p>
  </w:footnote>
  <w:footnote w:id="56">
    <w:p w14:paraId="56836F19" w14:textId="0ADCA4B8" w:rsidR="004D1B71" w:rsidRDefault="004D1B71">
      <w:pPr>
        <w:pStyle w:val="FootnoteText"/>
      </w:pPr>
      <w:r>
        <w:rPr>
          <w:rStyle w:val="FootnoteReference"/>
        </w:rPr>
        <w:footnoteRef/>
      </w:r>
      <w:r>
        <w:t xml:space="preserve"> </w:t>
      </w:r>
      <w:r w:rsidRPr="004D1B71">
        <w:t>[2020] NSWSC 184</w:t>
      </w:r>
      <w:r w:rsidR="00CB02B6">
        <w:t>; supra</w:t>
      </w:r>
      <w:r>
        <w:t>.</w:t>
      </w:r>
    </w:p>
  </w:footnote>
  <w:footnote w:id="57">
    <w:p w14:paraId="66B0859C" w14:textId="77777777" w:rsidR="00D37BEB" w:rsidRDefault="00D37BEB" w:rsidP="00D37BEB">
      <w:pPr>
        <w:pStyle w:val="FootnoteText"/>
      </w:pPr>
      <w:r>
        <w:rPr>
          <w:rStyle w:val="FootnoteReference"/>
        </w:rPr>
        <w:footnoteRef/>
      </w:r>
      <w:r>
        <w:t xml:space="preserve"> As in </w:t>
      </w:r>
      <w:r w:rsidRPr="00D37BEB">
        <w:rPr>
          <w:i/>
        </w:rPr>
        <w:t xml:space="preserve">Navig8 Chemicals Pool Inc </w:t>
      </w:r>
      <w:r>
        <w:rPr>
          <w:i/>
        </w:rPr>
        <w:t>v</w:t>
      </w:r>
      <w:r w:rsidRPr="00D37BEB">
        <w:rPr>
          <w:i/>
        </w:rPr>
        <w:t xml:space="preserve"> Glencore Agriculture B</w:t>
      </w:r>
      <w:r>
        <w:rPr>
          <w:i/>
        </w:rPr>
        <w:t>V</w:t>
      </w:r>
      <w:r w:rsidRPr="00D37BEB">
        <w:rPr>
          <w:i/>
        </w:rPr>
        <w:t xml:space="preserve"> (The “</w:t>
      </w:r>
      <w:proofErr w:type="spellStart"/>
      <w:r w:rsidRPr="00D37BEB">
        <w:rPr>
          <w:i/>
        </w:rPr>
        <w:t>Songa</w:t>
      </w:r>
      <w:proofErr w:type="spellEnd"/>
      <w:r w:rsidRPr="00D37BEB">
        <w:rPr>
          <w:i/>
        </w:rPr>
        <w:t xml:space="preserve"> Winds”)</w:t>
      </w:r>
      <w:r>
        <w:t xml:space="preserve"> [2018] EWCA </w:t>
      </w:r>
      <w:proofErr w:type="spellStart"/>
      <w:r>
        <w:t>Civ</w:t>
      </w:r>
      <w:proofErr w:type="spellEnd"/>
      <w:r>
        <w:t xml:space="preserve"> 1901, [2018] 2 Lloyd’s Rep 374.</w:t>
      </w:r>
    </w:p>
  </w:footnote>
  <w:footnote w:id="58">
    <w:p w14:paraId="1D02AD7E" w14:textId="77777777" w:rsidR="00D37BEB" w:rsidRDefault="00D37BEB" w:rsidP="00D37BEB">
      <w:pPr>
        <w:pStyle w:val="FootnoteText"/>
      </w:pPr>
      <w:r>
        <w:rPr>
          <w:rStyle w:val="FootnoteReference"/>
        </w:rPr>
        <w:footnoteRef/>
      </w:r>
      <w:r>
        <w:t xml:space="preserve"> As in </w:t>
      </w:r>
      <w:proofErr w:type="spellStart"/>
      <w:r w:rsidRPr="00D37BEB">
        <w:rPr>
          <w:i/>
        </w:rPr>
        <w:t>Oldendorff</w:t>
      </w:r>
      <w:proofErr w:type="spellEnd"/>
      <w:r w:rsidRPr="00D37BEB">
        <w:rPr>
          <w:i/>
        </w:rPr>
        <w:t xml:space="preserve"> Gmb</w:t>
      </w:r>
      <w:r>
        <w:rPr>
          <w:i/>
        </w:rPr>
        <w:t>H</w:t>
      </w:r>
      <w:r w:rsidRPr="00D37BEB">
        <w:rPr>
          <w:i/>
        </w:rPr>
        <w:t xml:space="preserve"> &amp; Co K</w:t>
      </w:r>
      <w:r>
        <w:rPr>
          <w:i/>
        </w:rPr>
        <w:t>G</w:t>
      </w:r>
      <w:r w:rsidRPr="00D37BEB">
        <w:rPr>
          <w:i/>
        </w:rPr>
        <w:t xml:space="preserve"> </w:t>
      </w:r>
      <w:r>
        <w:rPr>
          <w:i/>
        </w:rPr>
        <w:t>v</w:t>
      </w:r>
      <w:r w:rsidRPr="00D37BEB">
        <w:rPr>
          <w:i/>
        </w:rPr>
        <w:t xml:space="preserve"> Sea Powerful I</w:t>
      </w:r>
      <w:r>
        <w:rPr>
          <w:i/>
        </w:rPr>
        <w:t>I</w:t>
      </w:r>
      <w:r w:rsidRPr="00D37BEB">
        <w:rPr>
          <w:i/>
        </w:rPr>
        <w:t xml:space="preserve"> Special Maritime Enterprises (The “Zagora”)</w:t>
      </w:r>
      <w:r>
        <w:t xml:space="preserve"> [2016] EWHC 3212 (Comm), [2017] 1 Lloyd’s Rep 194.</w:t>
      </w:r>
    </w:p>
  </w:footnote>
  <w:footnote w:id="59">
    <w:p w14:paraId="40169149" w14:textId="77777777" w:rsidR="00B23EB6" w:rsidRDefault="00B23EB6" w:rsidP="00B23EB6">
      <w:pPr>
        <w:pStyle w:val="FootnoteText"/>
      </w:pPr>
      <w:r>
        <w:rPr>
          <w:rStyle w:val="FootnoteReference"/>
        </w:rPr>
        <w:footnoteRef/>
      </w:r>
      <w:r>
        <w:t xml:space="preserve"> </w:t>
      </w:r>
      <w:proofErr w:type="spellStart"/>
      <w:r w:rsidRPr="00B53AF1">
        <w:t>Meirong</w:t>
      </w:r>
      <w:proofErr w:type="spellEnd"/>
      <w:r w:rsidRPr="00B53AF1">
        <w:t xml:space="preserve"> Zhou, </w:t>
      </w:r>
      <w:proofErr w:type="spellStart"/>
      <w:r w:rsidRPr="00B53AF1">
        <w:t>Ti</w:t>
      </w:r>
      <w:proofErr w:type="spellEnd"/>
      <w:r w:rsidRPr="00B53AF1">
        <w:t xml:space="preserve"> Yang, Wei Tan, ‘An Analysis of the Legal Issues in Lien Clause in the Time Charter Party’, (2009) 1 China Oceans Law Review 350</w:t>
      </w:r>
      <w:r>
        <w:t>.</w:t>
      </w:r>
    </w:p>
  </w:footnote>
  <w:footnote w:id="60">
    <w:p w14:paraId="3CD085D3" w14:textId="498D8EE9" w:rsidR="00B23EB6" w:rsidRDefault="00B23EB6" w:rsidP="00B23EB6">
      <w:pPr>
        <w:pStyle w:val="FootnoteText"/>
      </w:pPr>
      <w:r>
        <w:rPr>
          <w:rStyle w:val="FootnoteReference"/>
        </w:rPr>
        <w:footnoteRef/>
      </w:r>
      <w:r>
        <w:t xml:space="preserve"> </w:t>
      </w:r>
      <w:r w:rsidR="00D37BEB" w:rsidRPr="00D37BEB">
        <w:t xml:space="preserve">L Bernstein, </w:t>
      </w:r>
      <w:r w:rsidR="00D37BEB">
        <w:t>‘</w:t>
      </w:r>
      <w:r w:rsidR="00D37BEB" w:rsidRPr="00D37BEB">
        <w:t>Merchant Law in a Merchant Court: Rethinking the Code’s Search for Immanent Business Norms</w:t>
      </w:r>
      <w:r w:rsidR="00D37BEB">
        <w:t>’</w:t>
      </w:r>
      <w:r w:rsidR="00D37BEB" w:rsidRPr="00D37BEB">
        <w:t xml:space="preserve"> (19</w:t>
      </w:r>
      <w:r w:rsidR="00D37BEB">
        <w:t>9</w:t>
      </w:r>
      <w:r w:rsidR="00D37BEB" w:rsidRPr="00D37BEB">
        <w:t>6) 144 U Pa L Rev 1765</w:t>
      </w:r>
      <w:r>
        <w:t>.</w:t>
      </w:r>
    </w:p>
  </w:footnote>
  <w:footnote w:id="61">
    <w:p w14:paraId="7F23E024" w14:textId="67507C4A" w:rsidR="00F73FCA" w:rsidRDefault="00F73FCA">
      <w:pPr>
        <w:pStyle w:val="FootnoteText"/>
      </w:pPr>
      <w:r>
        <w:rPr>
          <w:rStyle w:val="FootnoteReference"/>
        </w:rPr>
        <w:footnoteRef/>
      </w:r>
      <w:r>
        <w:t xml:space="preserve"> </w:t>
      </w:r>
      <w:r w:rsidR="00D37BEB" w:rsidRPr="00D37BEB">
        <w:t xml:space="preserve">L Bernstein, </w:t>
      </w:r>
      <w:r w:rsidR="00D37BEB">
        <w:t>‘</w:t>
      </w:r>
      <w:r w:rsidR="00D37BEB" w:rsidRPr="00D37BEB">
        <w:t>Custom in the Courts</w:t>
      </w:r>
      <w:r w:rsidR="00D37BEB">
        <w:t>’</w:t>
      </w:r>
      <w:r w:rsidR="00D37BEB" w:rsidRPr="00D37BEB">
        <w:t xml:space="preserve"> (2015) 110 </w:t>
      </w:r>
      <w:proofErr w:type="spellStart"/>
      <w:r w:rsidR="00D37BEB" w:rsidRPr="00D37BEB">
        <w:t>Nw</w:t>
      </w:r>
      <w:proofErr w:type="spellEnd"/>
      <w:r w:rsidR="00D37BEB" w:rsidRPr="00D37BEB">
        <w:t xml:space="preserve"> U L Rev 63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6BF"/>
    <w:multiLevelType w:val="hybridMultilevel"/>
    <w:tmpl w:val="978AFC18"/>
    <w:lvl w:ilvl="0" w:tplc="C68EED00">
      <w:start w:val="1"/>
      <w:numFmt w:val="bullet"/>
      <w:lvlText w:val="•"/>
      <w:lvlJc w:val="left"/>
      <w:pPr>
        <w:tabs>
          <w:tab w:val="num" w:pos="720"/>
        </w:tabs>
        <w:ind w:left="720" w:hanging="360"/>
      </w:pPr>
      <w:rPr>
        <w:rFonts w:ascii="Arial" w:hAnsi="Arial" w:hint="default"/>
      </w:rPr>
    </w:lvl>
    <w:lvl w:ilvl="1" w:tplc="DD5474A8" w:tentative="1">
      <w:start w:val="1"/>
      <w:numFmt w:val="bullet"/>
      <w:lvlText w:val="•"/>
      <w:lvlJc w:val="left"/>
      <w:pPr>
        <w:tabs>
          <w:tab w:val="num" w:pos="1440"/>
        </w:tabs>
        <w:ind w:left="1440" w:hanging="360"/>
      </w:pPr>
      <w:rPr>
        <w:rFonts w:ascii="Arial" w:hAnsi="Arial" w:hint="default"/>
      </w:rPr>
    </w:lvl>
    <w:lvl w:ilvl="2" w:tplc="C8C6F5B0" w:tentative="1">
      <w:start w:val="1"/>
      <w:numFmt w:val="bullet"/>
      <w:lvlText w:val="•"/>
      <w:lvlJc w:val="left"/>
      <w:pPr>
        <w:tabs>
          <w:tab w:val="num" w:pos="2160"/>
        </w:tabs>
        <w:ind w:left="2160" w:hanging="360"/>
      </w:pPr>
      <w:rPr>
        <w:rFonts w:ascii="Arial" w:hAnsi="Arial" w:hint="default"/>
      </w:rPr>
    </w:lvl>
    <w:lvl w:ilvl="3" w:tplc="2724DBB6" w:tentative="1">
      <w:start w:val="1"/>
      <w:numFmt w:val="bullet"/>
      <w:lvlText w:val="•"/>
      <w:lvlJc w:val="left"/>
      <w:pPr>
        <w:tabs>
          <w:tab w:val="num" w:pos="2880"/>
        </w:tabs>
        <w:ind w:left="2880" w:hanging="360"/>
      </w:pPr>
      <w:rPr>
        <w:rFonts w:ascii="Arial" w:hAnsi="Arial" w:hint="default"/>
      </w:rPr>
    </w:lvl>
    <w:lvl w:ilvl="4" w:tplc="763EB3F0" w:tentative="1">
      <w:start w:val="1"/>
      <w:numFmt w:val="bullet"/>
      <w:lvlText w:val="•"/>
      <w:lvlJc w:val="left"/>
      <w:pPr>
        <w:tabs>
          <w:tab w:val="num" w:pos="3600"/>
        </w:tabs>
        <w:ind w:left="3600" w:hanging="360"/>
      </w:pPr>
      <w:rPr>
        <w:rFonts w:ascii="Arial" w:hAnsi="Arial" w:hint="default"/>
      </w:rPr>
    </w:lvl>
    <w:lvl w:ilvl="5" w:tplc="B38A5536" w:tentative="1">
      <w:start w:val="1"/>
      <w:numFmt w:val="bullet"/>
      <w:lvlText w:val="•"/>
      <w:lvlJc w:val="left"/>
      <w:pPr>
        <w:tabs>
          <w:tab w:val="num" w:pos="4320"/>
        </w:tabs>
        <w:ind w:left="4320" w:hanging="360"/>
      </w:pPr>
      <w:rPr>
        <w:rFonts w:ascii="Arial" w:hAnsi="Arial" w:hint="default"/>
      </w:rPr>
    </w:lvl>
    <w:lvl w:ilvl="6" w:tplc="48F69362" w:tentative="1">
      <w:start w:val="1"/>
      <w:numFmt w:val="bullet"/>
      <w:lvlText w:val="•"/>
      <w:lvlJc w:val="left"/>
      <w:pPr>
        <w:tabs>
          <w:tab w:val="num" w:pos="5040"/>
        </w:tabs>
        <w:ind w:left="5040" w:hanging="360"/>
      </w:pPr>
      <w:rPr>
        <w:rFonts w:ascii="Arial" w:hAnsi="Arial" w:hint="default"/>
      </w:rPr>
    </w:lvl>
    <w:lvl w:ilvl="7" w:tplc="911ED11E" w:tentative="1">
      <w:start w:val="1"/>
      <w:numFmt w:val="bullet"/>
      <w:lvlText w:val="•"/>
      <w:lvlJc w:val="left"/>
      <w:pPr>
        <w:tabs>
          <w:tab w:val="num" w:pos="5760"/>
        </w:tabs>
        <w:ind w:left="5760" w:hanging="360"/>
      </w:pPr>
      <w:rPr>
        <w:rFonts w:ascii="Arial" w:hAnsi="Arial" w:hint="default"/>
      </w:rPr>
    </w:lvl>
    <w:lvl w:ilvl="8" w:tplc="FDD6A1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CB3717"/>
    <w:multiLevelType w:val="hybridMultilevel"/>
    <w:tmpl w:val="714E5F72"/>
    <w:lvl w:ilvl="0" w:tplc="01881768">
      <w:start w:val="1"/>
      <w:numFmt w:val="bullet"/>
      <w:lvlText w:val="•"/>
      <w:lvlJc w:val="left"/>
      <w:pPr>
        <w:tabs>
          <w:tab w:val="num" w:pos="720"/>
        </w:tabs>
        <w:ind w:left="720" w:hanging="360"/>
      </w:pPr>
      <w:rPr>
        <w:rFonts w:ascii="Arial" w:hAnsi="Arial" w:hint="default"/>
      </w:rPr>
    </w:lvl>
    <w:lvl w:ilvl="1" w:tplc="799AA710" w:tentative="1">
      <w:start w:val="1"/>
      <w:numFmt w:val="bullet"/>
      <w:lvlText w:val="•"/>
      <w:lvlJc w:val="left"/>
      <w:pPr>
        <w:tabs>
          <w:tab w:val="num" w:pos="1440"/>
        </w:tabs>
        <w:ind w:left="1440" w:hanging="360"/>
      </w:pPr>
      <w:rPr>
        <w:rFonts w:ascii="Arial" w:hAnsi="Arial" w:hint="default"/>
      </w:rPr>
    </w:lvl>
    <w:lvl w:ilvl="2" w:tplc="A53A3A22" w:tentative="1">
      <w:start w:val="1"/>
      <w:numFmt w:val="bullet"/>
      <w:lvlText w:val="•"/>
      <w:lvlJc w:val="left"/>
      <w:pPr>
        <w:tabs>
          <w:tab w:val="num" w:pos="2160"/>
        </w:tabs>
        <w:ind w:left="2160" w:hanging="360"/>
      </w:pPr>
      <w:rPr>
        <w:rFonts w:ascii="Arial" w:hAnsi="Arial" w:hint="default"/>
      </w:rPr>
    </w:lvl>
    <w:lvl w:ilvl="3" w:tplc="78E696CA" w:tentative="1">
      <w:start w:val="1"/>
      <w:numFmt w:val="bullet"/>
      <w:lvlText w:val="•"/>
      <w:lvlJc w:val="left"/>
      <w:pPr>
        <w:tabs>
          <w:tab w:val="num" w:pos="2880"/>
        </w:tabs>
        <w:ind w:left="2880" w:hanging="360"/>
      </w:pPr>
      <w:rPr>
        <w:rFonts w:ascii="Arial" w:hAnsi="Arial" w:hint="default"/>
      </w:rPr>
    </w:lvl>
    <w:lvl w:ilvl="4" w:tplc="47FE2EF0" w:tentative="1">
      <w:start w:val="1"/>
      <w:numFmt w:val="bullet"/>
      <w:lvlText w:val="•"/>
      <w:lvlJc w:val="left"/>
      <w:pPr>
        <w:tabs>
          <w:tab w:val="num" w:pos="3600"/>
        </w:tabs>
        <w:ind w:left="3600" w:hanging="360"/>
      </w:pPr>
      <w:rPr>
        <w:rFonts w:ascii="Arial" w:hAnsi="Arial" w:hint="default"/>
      </w:rPr>
    </w:lvl>
    <w:lvl w:ilvl="5" w:tplc="3386EFD2" w:tentative="1">
      <w:start w:val="1"/>
      <w:numFmt w:val="bullet"/>
      <w:lvlText w:val="•"/>
      <w:lvlJc w:val="left"/>
      <w:pPr>
        <w:tabs>
          <w:tab w:val="num" w:pos="4320"/>
        </w:tabs>
        <w:ind w:left="4320" w:hanging="360"/>
      </w:pPr>
      <w:rPr>
        <w:rFonts w:ascii="Arial" w:hAnsi="Arial" w:hint="default"/>
      </w:rPr>
    </w:lvl>
    <w:lvl w:ilvl="6" w:tplc="E83263B0" w:tentative="1">
      <w:start w:val="1"/>
      <w:numFmt w:val="bullet"/>
      <w:lvlText w:val="•"/>
      <w:lvlJc w:val="left"/>
      <w:pPr>
        <w:tabs>
          <w:tab w:val="num" w:pos="5040"/>
        </w:tabs>
        <w:ind w:left="5040" w:hanging="360"/>
      </w:pPr>
      <w:rPr>
        <w:rFonts w:ascii="Arial" w:hAnsi="Arial" w:hint="default"/>
      </w:rPr>
    </w:lvl>
    <w:lvl w:ilvl="7" w:tplc="DCC86EA0" w:tentative="1">
      <w:start w:val="1"/>
      <w:numFmt w:val="bullet"/>
      <w:lvlText w:val="•"/>
      <w:lvlJc w:val="left"/>
      <w:pPr>
        <w:tabs>
          <w:tab w:val="num" w:pos="5760"/>
        </w:tabs>
        <w:ind w:left="5760" w:hanging="360"/>
      </w:pPr>
      <w:rPr>
        <w:rFonts w:ascii="Arial" w:hAnsi="Arial" w:hint="default"/>
      </w:rPr>
    </w:lvl>
    <w:lvl w:ilvl="8" w:tplc="72545A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8F2AD3"/>
    <w:multiLevelType w:val="hybridMultilevel"/>
    <w:tmpl w:val="5838D814"/>
    <w:lvl w:ilvl="0" w:tplc="0E36B16E">
      <w:start w:val="1"/>
      <w:numFmt w:val="bullet"/>
      <w:lvlText w:val="•"/>
      <w:lvlJc w:val="left"/>
      <w:pPr>
        <w:tabs>
          <w:tab w:val="num" w:pos="720"/>
        </w:tabs>
        <w:ind w:left="720" w:hanging="360"/>
      </w:pPr>
      <w:rPr>
        <w:rFonts w:ascii="Arial" w:hAnsi="Arial" w:hint="default"/>
      </w:rPr>
    </w:lvl>
    <w:lvl w:ilvl="1" w:tplc="462EB20C" w:tentative="1">
      <w:start w:val="1"/>
      <w:numFmt w:val="bullet"/>
      <w:lvlText w:val="•"/>
      <w:lvlJc w:val="left"/>
      <w:pPr>
        <w:tabs>
          <w:tab w:val="num" w:pos="1440"/>
        </w:tabs>
        <w:ind w:left="1440" w:hanging="360"/>
      </w:pPr>
      <w:rPr>
        <w:rFonts w:ascii="Arial" w:hAnsi="Arial" w:hint="default"/>
      </w:rPr>
    </w:lvl>
    <w:lvl w:ilvl="2" w:tplc="2546651C" w:tentative="1">
      <w:start w:val="1"/>
      <w:numFmt w:val="bullet"/>
      <w:lvlText w:val="•"/>
      <w:lvlJc w:val="left"/>
      <w:pPr>
        <w:tabs>
          <w:tab w:val="num" w:pos="2160"/>
        </w:tabs>
        <w:ind w:left="2160" w:hanging="360"/>
      </w:pPr>
      <w:rPr>
        <w:rFonts w:ascii="Arial" w:hAnsi="Arial" w:hint="default"/>
      </w:rPr>
    </w:lvl>
    <w:lvl w:ilvl="3" w:tplc="525036E2" w:tentative="1">
      <w:start w:val="1"/>
      <w:numFmt w:val="bullet"/>
      <w:lvlText w:val="•"/>
      <w:lvlJc w:val="left"/>
      <w:pPr>
        <w:tabs>
          <w:tab w:val="num" w:pos="2880"/>
        </w:tabs>
        <w:ind w:left="2880" w:hanging="360"/>
      </w:pPr>
      <w:rPr>
        <w:rFonts w:ascii="Arial" w:hAnsi="Arial" w:hint="default"/>
      </w:rPr>
    </w:lvl>
    <w:lvl w:ilvl="4" w:tplc="FAE4ABB2" w:tentative="1">
      <w:start w:val="1"/>
      <w:numFmt w:val="bullet"/>
      <w:lvlText w:val="•"/>
      <w:lvlJc w:val="left"/>
      <w:pPr>
        <w:tabs>
          <w:tab w:val="num" w:pos="3600"/>
        </w:tabs>
        <w:ind w:left="3600" w:hanging="360"/>
      </w:pPr>
      <w:rPr>
        <w:rFonts w:ascii="Arial" w:hAnsi="Arial" w:hint="default"/>
      </w:rPr>
    </w:lvl>
    <w:lvl w:ilvl="5" w:tplc="56F8FEEA" w:tentative="1">
      <w:start w:val="1"/>
      <w:numFmt w:val="bullet"/>
      <w:lvlText w:val="•"/>
      <w:lvlJc w:val="left"/>
      <w:pPr>
        <w:tabs>
          <w:tab w:val="num" w:pos="4320"/>
        </w:tabs>
        <w:ind w:left="4320" w:hanging="360"/>
      </w:pPr>
      <w:rPr>
        <w:rFonts w:ascii="Arial" w:hAnsi="Arial" w:hint="default"/>
      </w:rPr>
    </w:lvl>
    <w:lvl w:ilvl="6" w:tplc="EBA01884" w:tentative="1">
      <w:start w:val="1"/>
      <w:numFmt w:val="bullet"/>
      <w:lvlText w:val="•"/>
      <w:lvlJc w:val="left"/>
      <w:pPr>
        <w:tabs>
          <w:tab w:val="num" w:pos="5040"/>
        </w:tabs>
        <w:ind w:left="5040" w:hanging="360"/>
      </w:pPr>
      <w:rPr>
        <w:rFonts w:ascii="Arial" w:hAnsi="Arial" w:hint="default"/>
      </w:rPr>
    </w:lvl>
    <w:lvl w:ilvl="7" w:tplc="EA7AE1B4" w:tentative="1">
      <w:start w:val="1"/>
      <w:numFmt w:val="bullet"/>
      <w:lvlText w:val="•"/>
      <w:lvlJc w:val="left"/>
      <w:pPr>
        <w:tabs>
          <w:tab w:val="num" w:pos="5760"/>
        </w:tabs>
        <w:ind w:left="5760" w:hanging="360"/>
      </w:pPr>
      <w:rPr>
        <w:rFonts w:ascii="Arial" w:hAnsi="Arial" w:hint="default"/>
      </w:rPr>
    </w:lvl>
    <w:lvl w:ilvl="8" w:tplc="4C1097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AE710E"/>
    <w:multiLevelType w:val="hybridMultilevel"/>
    <w:tmpl w:val="8CC25614"/>
    <w:lvl w:ilvl="0" w:tplc="CBCC060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06524"/>
    <w:multiLevelType w:val="hybridMultilevel"/>
    <w:tmpl w:val="CC9274E4"/>
    <w:lvl w:ilvl="0" w:tplc="CB1458BA">
      <w:start w:val="1"/>
      <w:numFmt w:val="bullet"/>
      <w:lvlText w:val="•"/>
      <w:lvlJc w:val="left"/>
      <w:pPr>
        <w:tabs>
          <w:tab w:val="num" w:pos="720"/>
        </w:tabs>
        <w:ind w:left="720" w:hanging="360"/>
      </w:pPr>
      <w:rPr>
        <w:rFonts w:ascii="Arial" w:hAnsi="Arial" w:hint="default"/>
      </w:rPr>
    </w:lvl>
    <w:lvl w:ilvl="1" w:tplc="356E1FC2" w:tentative="1">
      <w:start w:val="1"/>
      <w:numFmt w:val="bullet"/>
      <w:lvlText w:val="•"/>
      <w:lvlJc w:val="left"/>
      <w:pPr>
        <w:tabs>
          <w:tab w:val="num" w:pos="1440"/>
        </w:tabs>
        <w:ind w:left="1440" w:hanging="360"/>
      </w:pPr>
      <w:rPr>
        <w:rFonts w:ascii="Arial" w:hAnsi="Arial" w:hint="default"/>
      </w:rPr>
    </w:lvl>
    <w:lvl w:ilvl="2" w:tplc="BCD820A8" w:tentative="1">
      <w:start w:val="1"/>
      <w:numFmt w:val="bullet"/>
      <w:lvlText w:val="•"/>
      <w:lvlJc w:val="left"/>
      <w:pPr>
        <w:tabs>
          <w:tab w:val="num" w:pos="2160"/>
        </w:tabs>
        <w:ind w:left="2160" w:hanging="360"/>
      </w:pPr>
      <w:rPr>
        <w:rFonts w:ascii="Arial" w:hAnsi="Arial" w:hint="default"/>
      </w:rPr>
    </w:lvl>
    <w:lvl w:ilvl="3" w:tplc="2354D416" w:tentative="1">
      <w:start w:val="1"/>
      <w:numFmt w:val="bullet"/>
      <w:lvlText w:val="•"/>
      <w:lvlJc w:val="left"/>
      <w:pPr>
        <w:tabs>
          <w:tab w:val="num" w:pos="2880"/>
        </w:tabs>
        <w:ind w:left="2880" w:hanging="360"/>
      </w:pPr>
      <w:rPr>
        <w:rFonts w:ascii="Arial" w:hAnsi="Arial" w:hint="default"/>
      </w:rPr>
    </w:lvl>
    <w:lvl w:ilvl="4" w:tplc="DA8CBFE0" w:tentative="1">
      <w:start w:val="1"/>
      <w:numFmt w:val="bullet"/>
      <w:lvlText w:val="•"/>
      <w:lvlJc w:val="left"/>
      <w:pPr>
        <w:tabs>
          <w:tab w:val="num" w:pos="3600"/>
        </w:tabs>
        <w:ind w:left="3600" w:hanging="360"/>
      </w:pPr>
      <w:rPr>
        <w:rFonts w:ascii="Arial" w:hAnsi="Arial" w:hint="default"/>
      </w:rPr>
    </w:lvl>
    <w:lvl w:ilvl="5" w:tplc="94FABA2E" w:tentative="1">
      <w:start w:val="1"/>
      <w:numFmt w:val="bullet"/>
      <w:lvlText w:val="•"/>
      <w:lvlJc w:val="left"/>
      <w:pPr>
        <w:tabs>
          <w:tab w:val="num" w:pos="4320"/>
        </w:tabs>
        <w:ind w:left="4320" w:hanging="360"/>
      </w:pPr>
      <w:rPr>
        <w:rFonts w:ascii="Arial" w:hAnsi="Arial" w:hint="default"/>
      </w:rPr>
    </w:lvl>
    <w:lvl w:ilvl="6" w:tplc="2EF86E8E" w:tentative="1">
      <w:start w:val="1"/>
      <w:numFmt w:val="bullet"/>
      <w:lvlText w:val="•"/>
      <w:lvlJc w:val="left"/>
      <w:pPr>
        <w:tabs>
          <w:tab w:val="num" w:pos="5040"/>
        </w:tabs>
        <w:ind w:left="5040" w:hanging="360"/>
      </w:pPr>
      <w:rPr>
        <w:rFonts w:ascii="Arial" w:hAnsi="Arial" w:hint="default"/>
      </w:rPr>
    </w:lvl>
    <w:lvl w:ilvl="7" w:tplc="B088DCD0" w:tentative="1">
      <w:start w:val="1"/>
      <w:numFmt w:val="bullet"/>
      <w:lvlText w:val="•"/>
      <w:lvlJc w:val="left"/>
      <w:pPr>
        <w:tabs>
          <w:tab w:val="num" w:pos="5760"/>
        </w:tabs>
        <w:ind w:left="5760" w:hanging="360"/>
      </w:pPr>
      <w:rPr>
        <w:rFonts w:ascii="Arial" w:hAnsi="Arial" w:hint="default"/>
      </w:rPr>
    </w:lvl>
    <w:lvl w:ilvl="8" w:tplc="CBA636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5F6664D"/>
    <w:multiLevelType w:val="hybridMultilevel"/>
    <w:tmpl w:val="B5CCE5B6"/>
    <w:lvl w:ilvl="0" w:tplc="F5D81790">
      <w:start w:val="1"/>
      <w:numFmt w:val="bullet"/>
      <w:lvlText w:val="•"/>
      <w:lvlJc w:val="left"/>
      <w:pPr>
        <w:tabs>
          <w:tab w:val="num" w:pos="720"/>
        </w:tabs>
        <w:ind w:left="720" w:hanging="360"/>
      </w:pPr>
      <w:rPr>
        <w:rFonts w:ascii="Arial" w:hAnsi="Arial" w:hint="default"/>
      </w:rPr>
    </w:lvl>
    <w:lvl w:ilvl="1" w:tplc="6F301044" w:tentative="1">
      <w:start w:val="1"/>
      <w:numFmt w:val="bullet"/>
      <w:lvlText w:val="•"/>
      <w:lvlJc w:val="left"/>
      <w:pPr>
        <w:tabs>
          <w:tab w:val="num" w:pos="1440"/>
        </w:tabs>
        <w:ind w:left="1440" w:hanging="360"/>
      </w:pPr>
      <w:rPr>
        <w:rFonts w:ascii="Arial" w:hAnsi="Arial" w:hint="default"/>
      </w:rPr>
    </w:lvl>
    <w:lvl w:ilvl="2" w:tplc="65A4E14A" w:tentative="1">
      <w:start w:val="1"/>
      <w:numFmt w:val="bullet"/>
      <w:lvlText w:val="•"/>
      <w:lvlJc w:val="left"/>
      <w:pPr>
        <w:tabs>
          <w:tab w:val="num" w:pos="2160"/>
        </w:tabs>
        <w:ind w:left="2160" w:hanging="360"/>
      </w:pPr>
      <w:rPr>
        <w:rFonts w:ascii="Arial" w:hAnsi="Arial" w:hint="default"/>
      </w:rPr>
    </w:lvl>
    <w:lvl w:ilvl="3" w:tplc="670247CA" w:tentative="1">
      <w:start w:val="1"/>
      <w:numFmt w:val="bullet"/>
      <w:lvlText w:val="•"/>
      <w:lvlJc w:val="left"/>
      <w:pPr>
        <w:tabs>
          <w:tab w:val="num" w:pos="2880"/>
        </w:tabs>
        <w:ind w:left="2880" w:hanging="360"/>
      </w:pPr>
      <w:rPr>
        <w:rFonts w:ascii="Arial" w:hAnsi="Arial" w:hint="default"/>
      </w:rPr>
    </w:lvl>
    <w:lvl w:ilvl="4" w:tplc="9FB6A09C" w:tentative="1">
      <w:start w:val="1"/>
      <w:numFmt w:val="bullet"/>
      <w:lvlText w:val="•"/>
      <w:lvlJc w:val="left"/>
      <w:pPr>
        <w:tabs>
          <w:tab w:val="num" w:pos="3600"/>
        </w:tabs>
        <w:ind w:left="3600" w:hanging="360"/>
      </w:pPr>
      <w:rPr>
        <w:rFonts w:ascii="Arial" w:hAnsi="Arial" w:hint="default"/>
      </w:rPr>
    </w:lvl>
    <w:lvl w:ilvl="5" w:tplc="FFFC32E0" w:tentative="1">
      <w:start w:val="1"/>
      <w:numFmt w:val="bullet"/>
      <w:lvlText w:val="•"/>
      <w:lvlJc w:val="left"/>
      <w:pPr>
        <w:tabs>
          <w:tab w:val="num" w:pos="4320"/>
        </w:tabs>
        <w:ind w:left="4320" w:hanging="360"/>
      </w:pPr>
      <w:rPr>
        <w:rFonts w:ascii="Arial" w:hAnsi="Arial" w:hint="default"/>
      </w:rPr>
    </w:lvl>
    <w:lvl w:ilvl="6" w:tplc="2F5430C4" w:tentative="1">
      <w:start w:val="1"/>
      <w:numFmt w:val="bullet"/>
      <w:lvlText w:val="•"/>
      <w:lvlJc w:val="left"/>
      <w:pPr>
        <w:tabs>
          <w:tab w:val="num" w:pos="5040"/>
        </w:tabs>
        <w:ind w:left="5040" w:hanging="360"/>
      </w:pPr>
      <w:rPr>
        <w:rFonts w:ascii="Arial" w:hAnsi="Arial" w:hint="default"/>
      </w:rPr>
    </w:lvl>
    <w:lvl w:ilvl="7" w:tplc="31FC0582" w:tentative="1">
      <w:start w:val="1"/>
      <w:numFmt w:val="bullet"/>
      <w:lvlText w:val="•"/>
      <w:lvlJc w:val="left"/>
      <w:pPr>
        <w:tabs>
          <w:tab w:val="num" w:pos="5760"/>
        </w:tabs>
        <w:ind w:left="5760" w:hanging="360"/>
      </w:pPr>
      <w:rPr>
        <w:rFonts w:ascii="Arial" w:hAnsi="Arial" w:hint="default"/>
      </w:rPr>
    </w:lvl>
    <w:lvl w:ilvl="8" w:tplc="A74475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2B6754"/>
    <w:multiLevelType w:val="hybridMultilevel"/>
    <w:tmpl w:val="9246EC12"/>
    <w:lvl w:ilvl="0" w:tplc="EE3AE96E">
      <w:start w:val="1"/>
      <w:numFmt w:val="bullet"/>
      <w:lvlText w:val="•"/>
      <w:lvlJc w:val="left"/>
      <w:pPr>
        <w:tabs>
          <w:tab w:val="num" w:pos="720"/>
        </w:tabs>
        <w:ind w:left="720" w:hanging="360"/>
      </w:pPr>
      <w:rPr>
        <w:rFonts w:ascii="Arial" w:hAnsi="Arial" w:hint="default"/>
      </w:rPr>
    </w:lvl>
    <w:lvl w:ilvl="1" w:tplc="A83A4E8E" w:tentative="1">
      <w:start w:val="1"/>
      <w:numFmt w:val="bullet"/>
      <w:lvlText w:val="•"/>
      <w:lvlJc w:val="left"/>
      <w:pPr>
        <w:tabs>
          <w:tab w:val="num" w:pos="1440"/>
        </w:tabs>
        <w:ind w:left="1440" w:hanging="360"/>
      </w:pPr>
      <w:rPr>
        <w:rFonts w:ascii="Arial" w:hAnsi="Arial" w:hint="default"/>
      </w:rPr>
    </w:lvl>
    <w:lvl w:ilvl="2" w:tplc="150E2714" w:tentative="1">
      <w:start w:val="1"/>
      <w:numFmt w:val="bullet"/>
      <w:lvlText w:val="•"/>
      <w:lvlJc w:val="left"/>
      <w:pPr>
        <w:tabs>
          <w:tab w:val="num" w:pos="2160"/>
        </w:tabs>
        <w:ind w:left="2160" w:hanging="360"/>
      </w:pPr>
      <w:rPr>
        <w:rFonts w:ascii="Arial" w:hAnsi="Arial" w:hint="default"/>
      </w:rPr>
    </w:lvl>
    <w:lvl w:ilvl="3" w:tplc="A1969184" w:tentative="1">
      <w:start w:val="1"/>
      <w:numFmt w:val="bullet"/>
      <w:lvlText w:val="•"/>
      <w:lvlJc w:val="left"/>
      <w:pPr>
        <w:tabs>
          <w:tab w:val="num" w:pos="2880"/>
        </w:tabs>
        <w:ind w:left="2880" w:hanging="360"/>
      </w:pPr>
      <w:rPr>
        <w:rFonts w:ascii="Arial" w:hAnsi="Arial" w:hint="default"/>
      </w:rPr>
    </w:lvl>
    <w:lvl w:ilvl="4" w:tplc="15024A20" w:tentative="1">
      <w:start w:val="1"/>
      <w:numFmt w:val="bullet"/>
      <w:lvlText w:val="•"/>
      <w:lvlJc w:val="left"/>
      <w:pPr>
        <w:tabs>
          <w:tab w:val="num" w:pos="3600"/>
        </w:tabs>
        <w:ind w:left="3600" w:hanging="360"/>
      </w:pPr>
      <w:rPr>
        <w:rFonts w:ascii="Arial" w:hAnsi="Arial" w:hint="default"/>
      </w:rPr>
    </w:lvl>
    <w:lvl w:ilvl="5" w:tplc="3E161B5C" w:tentative="1">
      <w:start w:val="1"/>
      <w:numFmt w:val="bullet"/>
      <w:lvlText w:val="•"/>
      <w:lvlJc w:val="left"/>
      <w:pPr>
        <w:tabs>
          <w:tab w:val="num" w:pos="4320"/>
        </w:tabs>
        <w:ind w:left="4320" w:hanging="360"/>
      </w:pPr>
      <w:rPr>
        <w:rFonts w:ascii="Arial" w:hAnsi="Arial" w:hint="default"/>
      </w:rPr>
    </w:lvl>
    <w:lvl w:ilvl="6" w:tplc="F078EB60" w:tentative="1">
      <w:start w:val="1"/>
      <w:numFmt w:val="bullet"/>
      <w:lvlText w:val="•"/>
      <w:lvlJc w:val="left"/>
      <w:pPr>
        <w:tabs>
          <w:tab w:val="num" w:pos="5040"/>
        </w:tabs>
        <w:ind w:left="5040" w:hanging="360"/>
      </w:pPr>
      <w:rPr>
        <w:rFonts w:ascii="Arial" w:hAnsi="Arial" w:hint="default"/>
      </w:rPr>
    </w:lvl>
    <w:lvl w:ilvl="7" w:tplc="402AFCB6" w:tentative="1">
      <w:start w:val="1"/>
      <w:numFmt w:val="bullet"/>
      <w:lvlText w:val="•"/>
      <w:lvlJc w:val="left"/>
      <w:pPr>
        <w:tabs>
          <w:tab w:val="num" w:pos="5760"/>
        </w:tabs>
        <w:ind w:left="5760" w:hanging="360"/>
      </w:pPr>
      <w:rPr>
        <w:rFonts w:ascii="Arial" w:hAnsi="Arial" w:hint="default"/>
      </w:rPr>
    </w:lvl>
    <w:lvl w:ilvl="8" w:tplc="81844DF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30"/>
    <w:rsid w:val="000033A4"/>
    <w:rsid w:val="00042DCA"/>
    <w:rsid w:val="0004597A"/>
    <w:rsid w:val="00055ED6"/>
    <w:rsid w:val="00056983"/>
    <w:rsid w:val="0009395D"/>
    <w:rsid w:val="00094D3E"/>
    <w:rsid w:val="0009525D"/>
    <w:rsid w:val="00097AAE"/>
    <w:rsid w:val="000A17C9"/>
    <w:rsid w:val="000A373B"/>
    <w:rsid w:val="000A6A1B"/>
    <w:rsid w:val="000A6AAB"/>
    <w:rsid w:val="000B0CB6"/>
    <w:rsid w:val="000B512E"/>
    <w:rsid w:val="000B51B6"/>
    <w:rsid w:val="000E40BD"/>
    <w:rsid w:val="00106691"/>
    <w:rsid w:val="00111DA1"/>
    <w:rsid w:val="001358F7"/>
    <w:rsid w:val="001777C4"/>
    <w:rsid w:val="00190BCC"/>
    <w:rsid w:val="00194214"/>
    <w:rsid w:val="001A4444"/>
    <w:rsid w:val="001B64B1"/>
    <w:rsid w:val="001C25AD"/>
    <w:rsid w:val="001C7E3E"/>
    <w:rsid w:val="001E527B"/>
    <w:rsid w:val="001F4F20"/>
    <w:rsid w:val="00203F5D"/>
    <w:rsid w:val="0023463D"/>
    <w:rsid w:val="00237DE3"/>
    <w:rsid w:val="00240346"/>
    <w:rsid w:val="002421E4"/>
    <w:rsid w:val="0025179F"/>
    <w:rsid w:val="0025401E"/>
    <w:rsid w:val="00254C21"/>
    <w:rsid w:val="00256B24"/>
    <w:rsid w:val="002671EB"/>
    <w:rsid w:val="00272FF9"/>
    <w:rsid w:val="0029182C"/>
    <w:rsid w:val="0029368D"/>
    <w:rsid w:val="002B2B55"/>
    <w:rsid w:val="002E37B8"/>
    <w:rsid w:val="002E682D"/>
    <w:rsid w:val="002E7C08"/>
    <w:rsid w:val="002F0D58"/>
    <w:rsid w:val="002F3F5D"/>
    <w:rsid w:val="003175BD"/>
    <w:rsid w:val="003330D1"/>
    <w:rsid w:val="0033480D"/>
    <w:rsid w:val="00340755"/>
    <w:rsid w:val="003457B1"/>
    <w:rsid w:val="003541E2"/>
    <w:rsid w:val="00364862"/>
    <w:rsid w:val="00372B6D"/>
    <w:rsid w:val="003A671E"/>
    <w:rsid w:val="003A7208"/>
    <w:rsid w:val="003B5153"/>
    <w:rsid w:val="003B6E8E"/>
    <w:rsid w:val="003E3515"/>
    <w:rsid w:val="003E3EF0"/>
    <w:rsid w:val="003F39B0"/>
    <w:rsid w:val="003F4811"/>
    <w:rsid w:val="00404B68"/>
    <w:rsid w:val="004062EF"/>
    <w:rsid w:val="004361EE"/>
    <w:rsid w:val="00456519"/>
    <w:rsid w:val="00494F5D"/>
    <w:rsid w:val="004951F1"/>
    <w:rsid w:val="004C2B61"/>
    <w:rsid w:val="004C3CF9"/>
    <w:rsid w:val="004D1B71"/>
    <w:rsid w:val="004E57E3"/>
    <w:rsid w:val="004E7D84"/>
    <w:rsid w:val="004F0327"/>
    <w:rsid w:val="00502CC6"/>
    <w:rsid w:val="005144A3"/>
    <w:rsid w:val="00516ECF"/>
    <w:rsid w:val="005567B5"/>
    <w:rsid w:val="0057472E"/>
    <w:rsid w:val="00593B97"/>
    <w:rsid w:val="005A1269"/>
    <w:rsid w:val="005B0030"/>
    <w:rsid w:val="005B5D05"/>
    <w:rsid w:val="005E335F"/>
    <w:rsid w:val="005E4458"/>
    <w:rsid w:val="00601433"/>
    <w:rsid w:val="00606988"/>
    <w:rsid w:val="00640799"/>
    <w:rsid w:val="006478E8"/>
    <w:rsid w:val="00672AED"/>
    <w:rsid w:val="006B66E6"/>
    <w:rsid w:val="00711589"/>
    <w:rsid w:val="00742287"/>
    <w:rsid w:val="0074301D"/>
    <w:rsid w:val="00752A66"/>
    <w:rsid w:val="0076590B"/>
    <w:rsid w:val="007808CA"/>
    <w:rsid w:val="00787CD4"/>
    <w:rsid w:val="007A0707"/>
    <w:rsid w:val="007A4FD5"/>
    <w:rsid w:val="007B4537"/>
    <w:rsid w:val="007D44B6"/>
    <w:rsid w:val="007E02DA"/>
    <w:rsid w:val="007E3765"/>
    <w:rsid w:val="007F3050"/>
    <w:rsid w:val="00800CE0"/>
    <w:rsid w:val="00824F70"/>
    <w:rsid w:val="008319A9"/>
    <w:rsid w:val="00851937"/>
    <w:rsid w:val="00865869"/>
    <w:rsid w:val="008726A0"/>
    <w:rsid w:val="008778EB"/>
    <w:rsid w:val="008976F2"/>
    <w:rsid w:val="008A3B34"/>
    <w:rsid w:val="008C0DEA"/>
    <w:rsid w:val="008F3112"/>
    <w:rsid w:val="009019B8"/>
    <w:rsid w:val="009023D2"/>
    <w:rsid w:val="009051BE"/>
    <w:rsid w:val="00905889"/>
    <w:rsid w:val="00921419"/>
    <w:rsid w:val="0092680A"/>
    <w:rsid w:val="00926BC3"/>
    <w:rsid w:val="0095271A"/>
    <w:rsid w:val="009544A7"/>
    <w:rsid w:val="009619F6"/>
    <w:rsid w:val="00984ABB"/>
    <w:rsid w:val="00986C91"/>
    <w:rsid w:val="009960D9"/>
    <w:rsid w:val="009C07CB"/>
    <w:rsid w:val="009C0803"/>
    <w:rsid w:val="009C2763"/>
    <w:rsid w:val="009E193F"/>
    <w:rsid w:val="009E29A9"/>
    <w:rsid w:val="009E6730"/>
    <w:rsid w:val="009F294A"/>
    <w:rsid w:val="00A025F8"/>
    <w:rsid w:val="00A13097"/>
    <w:rsid w:val="00A153A0"/>
    <w:rsid w:val="00A37E86"/>
    <w:rsid w:val="00A4214D"/>
    <w:rsid w:val="00A42A0E"/>
    <w:rsid w:val="00A46AC9"/>
    <w:rsid w:val="00A51352"/>
    <w:rsid w:val="00A7798F"/>
    <w:rsid w:val="00AA195B"/>
    <w:rsid w:val="00AC6ACF"/>
    <w:rsid w:val="00AD6379"/>
    <w:rsid w:val="00AE1900"/>
    <w:rsid w:val="00AE36B4"/>
    <w:rsid w:val="00AE7191"/>
    <w:rsid w:val="00AF7CED"/>
    <w:rsid w:val="00B23EB6"/>
    <w:rsid w:val="00B253C4"/>
    <w:rsid w:val="00B32A6E"/>
    <w:rsid w:val="00B346D3"/>
    <w:rsid w:val="00B51235"/>
    <w:rsid w:val="00B53AF1"/>
    <w:rsid w:val="00B61F64"/>
    <w:rsid w:val="00B6782C"/>
    <w:rsid w:val="00B919EA"/>
    <w:rsid w:val="00BA7D4C"/>
    <w:rsid w:val="00BB1B38"/>
    <w:rsid w:val="00BB34BD"/>
    <w:rsid w:val="00BC3A09"/>
    <w:rsid w:val="00BD6307"/>
    <w:rsid w:val="00BE301E"/>
    <w:rsid w:val="00BF1B9D"/>
    <w:rsid w:val="00BF3D6E"/>
    <w:rsid w:val="00BF6A88"/>
    <w:rsid w:val="00C05841"/>
    <w:rsid w:val="00C1387B"/>
    <w:rsid w:val="00C14A24"/>
    <w:rsid w:val="00C23F7A"/>
    <w:rsid w:val="00C424D7"/>
    <w:rsid w:val="00C43EC9"/>
    <w:rsid w:val="00C51246"/>
    <w:rsid w:val="00C53154"/>
    <w:rsid w:val="00C60DDB"/>
    <w:rsid w:val="00C71508"/>
    <w:rsid w:val="00C74271"/>
    <w:rsid w:val="00C7543E"/>
    <w:rsid w:val="00C81076"/>
    <w:rsid w:val="00C97FB7"/>
    <w:rsid w:val="00CB02B6"/>
    <w:rsid w:val="00CD560B"/>
    <w:rsid w:val="00CE723B"/>
    <w:rsid w:val="00CF1AD3"/>
    <w:rsid w:val="00D0675E"/>
    <w:rsid w:val="00D1713B"/>
    <w:rsid w:val="00D17FEE"/>
    <w:rsid w:val="00D34265"/>
    <w:rsid w:val="00D37BEB"/>
    <w:rsid w:val="00D46614"/>
    <w:rsid w:val="00D66783"/>
    <w:rsid w:val="00D7702E"/>
    <w:rsid w:val="00D85E20"/>
    <w:rsid w:val="00DA6172"/>
    <w:rsid w:val="00DB688F"/>
    <w:rsid w:val="00DD0E76"/>
    <w:rsid w:val="00DD3C83"/>
    <w:rsid w:val="00DE538F"/>
    <w:rsid w:val="00E1014F"/>
    <w:rsid w:val="00E25457"/>
    <w:rsid w:val="00E56DC9"/>
    <w:rsid w:val="00E652E0"/>
    <w:rsid w:val="00E86C71"/>
    <w:rsid w:val="00EA0FDC"/>
    <w:rsid w:val="00EC22B1"/>
    <w:rsid w:val="00EF05BD"/>
    <w:rsid w:val="00F20255"/>
    <w:rsid w:val="00F20D39"/>
    <w:rsid w:val="00F247B5"/>
    <w:rsid w:val="00F453AD"/>
    <w:rsid w:val="00F73FCA"/>
    <w:rsid w:val="00FA41D2"/>
    <w:rsid w:val="00FB1F1D"/>
    <w:rsid w:val="00FB4188"/>
    <w:rsid w:val="00FB577F"/>
    <w:rsid w:val="00FE3C79"/>
    <w:rsid w:val="00FE3E8A"/>
    <w:rsid w:val="00FF2700"/>
    <w:rsid w:val="00FF5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84A4"/>
  <w15:chartTrackingRefBased/>
  <w15:docId w15:val="{B8DA9F3F-F44B-214D-B8E6-D5DAD9DA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730"/>
    <w:rPr>
      <w:color w:val="0563C1" w:themeColor="hyperlink"/>
      <w:u w:val="single"/>
    </w:rPr>
  </w:style>
  <w:style w:type="character" w:styleId="UnresolvedMention">
    <w:name w:val="Unresolved Mention"/>
    <w:basedOn w:val="DefaultParagraphFont"/>
    <w:uiPriority w:val="99"/>
    <w:semiHidden/>
    <w:unhideWhenUsed/>
    <w:rsid w:val="009E6730"/>
    <w:rPr>
      <w:color w:val="605E5C"/>
      <w:shd w:val="clear" w:color="auto" w:fill="E1DFDD"/>
    </w:rPr>
  </w:style>
  <w:style w:type="paragraph" w:styleId="FootnoteText">
    <w:name w:val="footnote text"/>
    <w:basedOn w:val="Normal"/>
    <w:link w:val="FootnoteTextChar"/>
    <w:uiPriority w:val="99"/>
    <w:unhideWhenUsed/>
    <w:rsid w:val="00EA0FDC"/>
    <w:rPr>
      <w:sz w:val="20"/>
      <w:szCs w:val="20"/>
    </w:rPr>
  </w:style>
  <w:style w:type="character" w:customStyle="1" w:styleId="FootnoteTextChar">
    <w:name w:val="Footnote Text Char"/>
    <w:basedOn w:val="DefaultParagraphFont"/>
    <w:link w:val="FootnoteText"/>
    <w:uiPriority w:val="99"/>
    <w:rsid w:val="00EA0FDC"/>
    <w:rPr>
      <w:sz w:val="20"/>
      <w:szCs w:val="20"/>
    </w:rPr>
  </w:style>
  <w:style w:type="character" w:styleId="FootnoteReference">
    <w:name w:val="footnote reference"/>
    <w:basedOn w:val="DefaultParagraphFont"/>
    <w:uiPriority w:val="99"/>
    <w:semiHidden/>
    <w:unhideWhenUsed/>
    <w:rsid w:val="00EA0FDC"/>
    <w:rPr>
      <w:vertAlign w:val="superscript"/>
    </w:rPr>
  </w:style>
  <w:style w:type="paragraph" w:styleId="ListParagraph">
    <w:name w:val="List Paragraph"/>
    <w:basedOn w:val="Normal"/>
    <w:uiPriority w:val="34"/>
    <w:qFormat/>
    <w:rsid w:val="004C3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20">
      <w:bodyDiv w:val="1"/>
      <w:marLeft w:val="0"/>
      <w:marRight w:val="0"/>
      <w:marTop w:val="0"/>
      <w:marBottom w:val="0"/>
      <w:divBdr>
        <w:top w:val="none" w:sz="0" w:space="0" w:color="auto"/>
        <w:left w:val="none" w:sz="0" w:space="0" w:color="auto"/>
        <w:bottom w:val="none" w:sz="0" w:space="0" w:color="auto"/>
        <w:right w:val="none" w:sz="0" w:space="0" w:color="auto"/>
      </w:divBdr>
    </w:div>
    <w:div w:id="10031560">
      <w:bodyDiv w:val="1"/>
      <w:marLeft w:val="0"/>
      <w:marRight w:val="0"/>
      <w:marTop w:val="0"/>
      <w:marBottom w:val="0"/>
      <w:divBdr>
        <w:top w:val="none" w:sz="0" w:space="0" w:color="auto"/>
        <w:left w:val="none" w:sz="0" w:space="0" w:color="auto"/>
        <w:bottom w:val="none" w:sz="0" w:space="0" w:color="auto"/>
        <w:right w:val="none" w:sz="0" w:space="0" w:color="auto"/>
      </w:divBdr>
    </w:div>
    <w:div w:id="26106038">
      <w:bodyDiv w:val="1"/>
      <w:marLeft w:val="0"/>
      <w:marRight w:val="0"/>
      <w:marTop w:val="0"/>
      <w:marBottom w:val="0"/>
      <w:divBdr>
        <w:top w:val="none" w:sz="0" w:space="0" w:color="auto"/>
        <w:left w:val="none" w:sz="0" w:space="0" w:color="auto"/>
        <w:bottom w:val="none" w:sz="0" w:space="0" w:color="auto"/>
        <w:right w:val="none" w:sz="0" w:space="0" w:color="auto"/>
      </w:divBdr>
    </w:div>
    <w:div w:id="64305871">
      <w:bodyDiv w:val="1"/>
      <w:marLeft w:val="0"/>
      <w:marRight w:val="0"/>
      <w:marTop w:val="0"/>
      <w:marBottom w:val="0"/>
      <w:divBdr>
        <w:top w:val="none" w:sz="0" w:space="0" w:color="auto"/>
        <w:left w:val="none" w:sz="0" w:space="0" w:color="auto"/>
        <w:bottom w:val="none" w:sz="0" w:space="0" w:color="auto"/>
        <w:right w:val="none" w:sz="0" w:space="0" w:color="auto"/>
      </w:divBdr>
    </w:div>
    <w:div w:id="92749983">
      <w:bodyDiv w:val="1"/>
      <w:marLeft w:val="0"/>
      <w:marRight w:val="0"/>
      <w:marTop w:val="0"/>
      <w:marBottom w:val="0"/>
      <w:divBdr>
        <w:top w:val="none" w:sz="0" w:space="0" w:color="auto"/>
        <w:left w:val="none" w:sz="0" w:space="0" w:color="auto"/>
        <w:bottom w:val="none" w:sz="0" w:space="0" w:color="auto"/>
        <w:right w:val="none" w:sz="0" w:space="0" w:color="auto"/>
      </w:divBdr>
    </w:div>
    <w:div w:id="106320501">
      <w:bodyDiv w:val="1"/>
      <w:marLeft w:val="0"/>
      <w:marRight w:val="0"/>
      <w:marTop w:val="0"/>
      <w:marBottom w:val="0"/>
      <w:divBdr>
        <w:top w:val="none" w:sz="0" w:space="0" w:color="auto"/>
        <w:left w:val="none" w:sz="0" w:space="0" w:color="auto"/>
        <w:bottom w:val="none" w:sz="0" w:space="0" w:color="auto"/>
        <w:right w:val="none" w:sz="0" w:space="0" w:color="auto"/>
      </w:divBdr>
    </w:div>
    <w:div w:id="132215472">
      <w:bodyDiv w:val="1"/>
      <w:marLeft w:val="0"/>
      <w:marRight w:val="0"/>
      <w:marTop w:val="0"/>
      <w:marBottom w:val="0"/>
      <w:divBdr>
        <w:top w:val="none" w:sz="0" w:space="0" w:color="auto"/>
        <w:left w:val="none" w:sz="0" w:space="0" w:color="auto"/>
        <w:bottom w:val="none" w:sz="0" w:space="0" w:color="auto"/>
        <w:right w:val="none" w:sz="0" w:space="0" w:color="auto"/>
      </w:divBdr>
      <w:divsChild>
        <w:div w:id="571355016">
          <w:marLeft w:val="0"/>
          <w:marRight w:val="0"/>
          <w:marTop w:val="0"/>
          <w:marBottom w:val="0"/>
          <w:divBdr>
            <w:top w:val="none" w:sz="0" w:space="0" w:color="auto"/>
            <w:left w:val="none" w:sz="0" w:space="0" w:color="auto"/>
            <w:bottom w:val="none" w:sz="0" w:space="0" w:color="auto"/>
            <w:right w:val="none" w:sz="0" w:space="0" w:color="auto"/>
          </w:divBdr>
        </w:div>
      </w:divsChild>
    </w:div>
    <w:div w:id="182324799">
      <w:bodyDiv w:val="1"/>
      <w:marLeft w:val="0"/>
      <w:marRight w:val="0"/>
      <w:marTop w:val="0"/>
      <w:marBottom w:val="0"/>
      <w:divBdr>
        <w:top w:val="none" w:sz="0" w:space="0" w:color="auto"/>
        <w:left w:val="none" w:sz="0" w:space="0" w:color="auto"/>
        <w:bottom w:val="none" w:sz="0" w:space="0" w:color="auto"/>
        <w:right w:val="none" w:sz="0" w:space="0" w:color="auto"/>
      </w:divBdr>
    </w:div>
    <w:div w:id="245190058">
      <w:bodyDiv w:val="1"/>
      <w:marLeft w:val="0"/>
      <w:marRight w:val="0"/>
      <w:marTop w:val="0"/>
      <w:marBottom w:val="0"/>
      <w:divBdr>
        <w:top w:val="none" w:sz="0" w:space="0" w:color="auto"/>
        <w:left w:val="none" w:sz="0" w:space="0" w:color="auto"/>
        <w:bottom w:val="none" w:sz="0" w:space="0" w:color="auto"/>
        <w:right w:val="none" w:sz="0" w:space="0" w:color="auto"/>
      </w:divBdr>
    </w:div>
    <w:div w:id="294411136">
      <w:bodyDiv w:val="1"/>
      <w:marLeft w:val="0"/>
      <w:marRight w:val="0"/>
      <w:marTop w:val="0"/>
      <w:marBottom w:val="0"/>
      <w:divBdr>
        <w:top w:val="none" w:sz="0" w:space="0" w:color="auto"/>
        <w:left w:val="none" w:sz="0" w:space="0" w:color="auto"/>
        <w:bottom w:val="none" w:sz="0" w:space="0" w:color="auto"/>
        <w:right w:val="none" w:sz="0" w:space="0" w:color="auto"/>
      </w:divBdr>
    </w:div>
    <w:div w:id="313797016">
      <w:bodyDiv w:val="1"/>
      <w:marLeft w:val="0"/>
      <w:marRight w:val="0"/>
      <w:marTop w:val="0"/>
      <w:marBottom w:val="0"/>
      <w:divBdr>
        <w:top w:val="none" w:sz="0" w:space="0" w:color="auto"/>
        <w:left w:val="none" w:sz="0" w:space="0" w:color="auto"/>
        <w:bottom w:val="none" w:sz="0" w:space="0" w:color="auto"/>
        <w:right w:val="none" w:sz="0" w:space="0" w:color="auto"/>
      </w:divBdr>
    </w:div>
    <w:div w:id="320306230">
      <w:bodyDiv w:val="1"/>
      <w:marLeft w:val="0"/>
      <w:marRight w:val="0"/>
      <w:marTop w:val="0"/>
      <w:marBottom w:val="0"/>
      <w:divBdr>
        <w:top w:val="none" w:sz="0" w:space="0" w:color="auto"/>
        <w:left w:val="none" w:sz="0" w:space="0" w:color="auto"/>
        <w:bottom w:val="none" w:sz="0" w:space="0" w:color="auto"/>
        <w:right w:val="none" w:sz="0" w:space="0" w:color="auto"/>
      </w:divBdr>
    </w:div>
    <w:div w:id="369190139">
      <w:bodyDiv w:val="1"/>
      <w:marLeft w:val="0"/>
      <w:marRight w:val="0"/>
      <w:marTop w:val="0"/>
      <w:marBottom w:val="0"/>
      <w:divBdr>
        <w:top w:val="none" w:sz="0" w:space="0" w:color="auto"/>
        <w:left w:val="none" w:sz="0" w:space="0" w:color="auto"/>
        <w:bottom w:val="none" w:sz="0" w:space="0" w:color="auto"/>
        <w:right w:val="none" w:sz="0" w:space="0" w:color="auto"/>
      </w:divBdr>
    </w:div>
    <w:div w:id="424150952">
      <w:bodyDiv w:val="1"/>
      <w:marLeft w:val="0"/>
      <w:marRight w:val="0"/>
      <w:marTop w:val="0"/>
      <w:marBottom w:val="0"/>
      <w:divBdr>
        <w:top w:val="none" w:sz="0" w:space="0" w:color="auto"/>
        <w:left w:val="none" w:sz="0" w:space="0" w:color="auto"/>
        <w:bottom w:val="none" w:sz="0" w:space="0" w:color="auto"/>
        <w:right w:val="none" w:sz="0" w:space="0" w:color="auto"/>
      </w:divBdr>
    </w:div>
    <w:div w:id="462894896">
      <w:bodyDiv w:val="1"/>
      <w:marLeft w:val="0"/>
      <w:marRight w:val="0"/>
      <w:marTop w:val="0"/>
      <w:marBottom w:val="0"/>
      <w:divBdr>
        <w:top w:val="none" w:sz="0" w:space="0" w:color="auto"/>
        <w:left w:val="none" w:sz="0" w:space="0" w:color="auto"/>
        <w:bottom w:val="none" w:sz="0" w:space="0" w:color="auto"/>
        <w:right w:val="none" w:sz="0" w:space="0" w:color="auto"/>
      </w:divBdr>
    </w:div>
    <w:div w:id="467864245">
      <w:bodyDiv w:val="1"/>
      <w:marLeft w:val="0"/>
      <w:marRight w:val="0"/>
      <w:marTop w:val="0"/>
      <w:marBottom w:val="0"/>
      <w:divBdr>
        <w:top w:val="none" w:sz="0" w:space="0" w:color="auto"/>
        <w:left w:val="none" w:sz="0" w:space="0" w:color="auto"/>
        <w:bottom w:val="none" w:sz="0" w:space="0" w:color="auto"/>
        <w:right w:val="none" w:sz="0" w:space="0" w:color="auto"/>
      </w:divBdr>
    </w:div>
    <w:div w:id="472455214">
      <w:bodyDiv w:val="1"/>
      <w:marLeft w:val="0"/>
      <w:marRight w:val="0"/>
      <w:marTop w:val="0"/>
      <w:marBottom w:val="0"/>
      <w:divBdr>
        <w:top w:val="none" w:sz="0" w:space="0" w:color="auto"/>
        <w:left w:val="none" w:sz="0" w:space="0" w:color="auto"/>
        <w:bottom w:val="none" w:sz="0" w:space="0" w:color="auto"/>
        <w:right w:val="none" w:sz="0" w:space="0" w:color="auto"/>
      </w:divBdr>
    </w:div>
    <w:div w:id="476533670">
      <w:bodyDiv w:val="1"/>
      <w:marLeft w:val="0"/>
      <w:marRight w:val="0"/>
      <w:marTop w:val="0"/>
      <w:marBottom w:val="0"/>
      <w:divBdr>
        <w:top w:val="none" w:sz="0" w:space="0" w:color="auto"/>
        <w:left w:val="none" w:sz="0" w:space="0" w:color="auto"/>
        <w:bottom w:val="none" w:sz="0" w:space="0" w:color="auto"/>
        <w:right w:val="none" w:sz="0" w:space="0" w:color="auto"/>
      </w:divBdr>
    </w:div>
    <w:div w:id="476997166">
      <w:bodyDiv w:val="1"/>
      <w:marLeft w:val="0"/>
      <w:marRight w:val="0"/>
      <w:marTop w:val="0"/>
      <w:marBottom w:val="0"/>
      <w:divBdr>
        <w:top w:val="none" w:sz="0" w:space="0" w:color="auto"/>
        <w:left w:val="none" w:sz="0" w:space="0" w:color="auto"/>
        <w:bottom w:val="none" w:sz="0" w:space="0" w:color="auto"/>
        <w:right w:val="none" w:sz="0" w:space="0" w:color="auto"/>
      </w:divBdr>
    </w:div>
    <w:div w:id="503782453">
      <w:bodyDiv w:val="1"/>
      <w:marLeft w:val="0"/>
      <w:marRight w:val="0"/>
      <w:marTop w:val="0"/>
      <w:marBottom w:val="0"/>
      <w:divBdr>
        <w:top w:val="none" w:sz="0" w:space="0" w:color="auto"/>
        <w:left w:val="none" w:sz="0" w:space="0" w:color="auto"/>
        <w:bottom w:val="none" w:sz="0" w:space="0" w:color="auto"/>
        <w:right w:val="none" w:sz="0" w:space="0" w:color="auto"/>
      </w:divBdr>
    </w:div>
    <w:div w:id="548417005">
      <w:bodyDiv w:val="1"/>
      <w:marLeft w:val="0"/>
      <w:marRight w:val="0"/>
      <w:marTop w:val="0"/>
      <w:marBottom w:val="0"/>
      <w:divBdr>
        <w:top w:val="none" w:sz="0" w:space="0" w:color="auto"/>
        <w:left w:val="none" w:sz="0" w:space="0" w:color="auto"/>
        <w:bottom w:val="none" w:sz="0" w:space="0" w:color="auto"/>
        <w:right w:val="none" w:sz="0" w:space="0" w:color="auto"/>
      </w:divBdr>
      <w:divsChild>
        <w:div w:id="63725052">
          <w:marLeft w:val="360"/>
          <w:marRight w:val="0"/>
          <w:marTop w:val="200"/>
          <w:marBottom w:val="0"/>
          <w:divBdr>
            <w:top w:val="none" w:sz="0" w:space="0" w:color="auto"/>
            <w:left w:val="none" w:sz="0" w:space="0" w:color="auto"/>
            <w:bottom w:val="none" w:sz="0" w:space="0" w:color="auto"/>
            <w:right w:val="none" w:sz="0" w:space="0" w:color="auto"/>
          </w:divBdr>
        </w:div>
        <w:div w:id="1066418637">
          <w:marLeft w:val="360"/>
          <w:marRight w:val="0"/>
          <w:marTop w:val="200"/>
          <w:marBottom w:val="0"/>
          <w:divBdr>
            <w:top w:val="none" w:sz="0" w:space="0" w:color="auto"/>
            <w:left w:val="none" w:sz="0" w:space="0" w:color="auto"/>
            <w:bottom w:val="none" w:sz="0" w:space="0" w:color="auto"/>
            <w:right w:val="none" w:sz="0" w:space="0" w:color="auto"/>
          </w:divBdr>
        </w:div>
        <w:div w:id="1424378449">
          <w:marLeft w:val="360"/>
          <w:marRight w:val="0"/>
          <w:marTop w:val="200"/>
          <w:marBottom w:val="0"/>
          <w:divBdr>
            <w:top w:val="none" w:sz="0" w:space="0" w:color="auto"/>
            <w:left w:val="none" w:sz="0" w:space="0" w:color="auto"/>
            <w:bottom w:val="none" w:sz="0" w:space="0" w:color="auto"/>
            <w:right w:val="none" w:sz="0" w:space="0" w:color="auto"/>
          </w:divBdr>
        </w:div>
        <w:div w:id="1679893816">
          <w:marLeft w:val="360"/>
          <w:marRight w:val="0"/>
          <w:marTop w:val="200"/>
          <w:marBottom w:val="0"/>
          <w:divBdr>
            <w:top w:val="none" w:sz="0" w:space="0" w:color="auto"/>
            <w:left w:val="none" w:sz="0" w:space="0" w:color="auto"/>
            <w:bottom w:val="none" w:sz="0" w:space="0" w:color="auto"/>
            <w:right w:val="none" w:sz="0" w:space="0" w:color="auto"/>
          </w:divBdr>
        </w:div>
        <w:div w:id="1712145463">
          <w:marLeft w:val="360"/>
          <w:marRight w:val="0"/>
          <w:marTop w:val="200"/>
          <w:marBottom w:val="0"/>
          <w:divBdr>
            <w:top w:val="none" w:sz="0" w:space="0" w:color="auto"/>
            <w:left w:val="none" w:sz="0" w:space="0" w:color="auto"/>
            <w:bottom w:val="none" w:sz="0" w:space="0" w:color="auto"/>
            <w:right w:val="none" w:sz="0" w:space="0" w:color="auto"/>
          </w:divBdr>
        </w:div>
        <w:div w:id="1908760600">
          <w:marLeft w:val="360"/>
          <w:marRight w:val="0"/>
          <w:marTop w:val="200"/>
          <w:marBottom w:val="0"/>
          <w:divBdr>
            <w:top w:val="none" w:sz="0" w:space="0" w:color="auto"/>
            <w:left w:val="none" w:sz="0" w:space="0" w:color="auto"/>
            <w:bottom w:val="none" w:sz="0" w:space="0" w:color="auto"/>
            <w:right w:val="none" w:sz="0" w:space="0" w:color="auto"/>
          </w:divBdr>
        </w:div>
      </w:divsChild>
    </w:div>
    <w:div w:id="550575343">
      <w:bodyDiv w:val="1"/>
      <w:marLeft w:val="0"/>
      <w:marRight w:val="0"/>
      <w:marTop w:val="0"/>
      <w:marBottom w:val="0"/>
      <w:divBdr>
        <w:top w:val="none" w:sz="0" w:space="0" w:color="auto"/>
        <w:left w:val="none" w:sz="0" w:space="0" w:color="auto"/>
        <w:bottom w:val="none" w:sz="0" w:space="0" w:color="auto"/>
        <w:right w:val="none" w:sz="0" w:space="0" w:color="auto"/>
      </w:divBdr>
      <w:divsChild>
        <w:div w:id="1577669659">
          <w:marLeft w:val="0"/>
          <w:marRight w:val="0"/>
          <w:marTop w:val="0"/>
          <w:marBottom w:val="0"/>
          <w:divBdr>
            <w:top w:val="none" w:sz="0" w:space="0" w:color="auto"/>
            <w:left w:val="none" w:sz="0" w:space="0" w:color="auto"/>
            <w:bottom w:val="none" w:sz="0" w:space="0" w:color="auto"/>
            <w:right w:val="none" w:sz="0" w:space="0" w:color="auto"/>
          </w:divBdr>
        </w:div>
      </w:divsChild>
    </w:div>
    <w:div w:id="583490862">
      <w:bodyDiv w:val="1"/>
      <w:marLeft w:val="0"/>
      <w:marRight w:val="0"/>
      <w:marTop w:val="0"/>
      <w:marBottom w:val="0"/>
      <w:divBdr>
        <w:top w:val="none" w:sz="0" w:space="0" w:color="auto"/>
        <w:left w:val="none" w:sz="0" w:space="0" w:color="auto"/>
        <w:bottom w:val="none" w:sz="0" w:space="0" w:color="auto"/>
        <w:right w:val="none" w:sz="0" w:space="0" w:color="auto"/>
      </w:divBdr>
    </w:div>
    <w:div w:id="619534640">
      <w:bodyDiv w:val="1"/>
      <w:marLeft w:val="0"/>
      <w:marRight w:val="0"/>
      <w:marTop w:val="0"/>
      <w:marBottom w:val="0"/>
      <w:divBdr>
        <w:top w:val="none" w:sz="0" w:space="0" w:color="auto"/>
        <w:left w:val="none" w:sz="0" w:space="0" w:color="auto"/>
        <w:bottom w:val="none" w:sz="0" w:space="0" w:color="auto"/>
        <w:right w:val="none" w:sz="0" w:space="0" w:color="auto"/>
      </w:divBdr>
      <w:divsChild>
        <w:div w:id="942765589">
          <w:marLeft w:val="0"/>
          <w:marRight w:val="0"/>
          <w:marTop w:val="0"/>
          <w:marBottom w:val="0"/>
          <w:divBdr>
            <w:top w:val="none" w:sz="0" w:space="0" w:color="auto"/>
            <w:left w:val="none" w:sz="0" w:space="0" w:color="auto"/>
            <w:bottom w:val="none" w:sz="0" w:space="0" w:color="auto"/>
            <w:right w:val="none" w:sz="0" w:space="0" w:color="auto"/>
          </w:divBdr>
          <w:divsChild>
            <w:div w:id="1671712304">
              <w:marLeft w:val="0"/>
              <w:marRight w:val="0"/>
              <w:marTop w:val="0"/>
              <w:marBottom w:val="0"/>
              <w:divBdr>
                <w:top w:val="none" w:sz="0" w:space="0" w:color="auto"/>
                <w:left w:val="none" w:sz="0" w:space="0" w:color="auto"/>
                <w:bottom w:val="none" w:sz="0" w:space="0" w:color="auto"/>
                <w:right w:val="none" w:sz="0" w:space="0" w:color="auto"/>
              </w:divBdr>
              <w:divsChild>
                <w:div w:id="5999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6776">
      <w:bodyDiv w:val="1"/>
      <w:marLeft w:val="0"/>
      <w:marRight w:val="0"/>
      <w:marTop w:val="0"/>
      <w:marBottom w:val="0"/>
      <w:divBdr>
        <w:top w:val="none" w:sz="0" w:space="0" w:color="auto"/>
        <w:left w:val="none" w:sz="0" w:space="0" w:color="auto"/>
        <w:bottom w:val="none" w:sz="0" w:space="0" w:color="auto"/>
        <w:right w:val="none" w:sz="0" w:space="0" w:color="auto"/>
      </w:divBdr>
      <w:divsChild>
        <w:div w:id="333996977">
          <w:marLeft w:val="0"/>
          <w:marRight w:val="0"/>
          <w:marTop w:val="0"/>
          <w:marBottom w:val="0"/>
          <w:divBdr>
            <w:top w:val="none" w:sz="0" w:space="0" w:color="auto"/>
            <w:left w:val="none" w:sz="0" w:space="0" w:color="auto"/>
            <w:bottom w:val="none" w:sz="0" w:space="0" w:color="auto"/>
            <w:right w:val="none" w:sz="0" w:space="0" w:color="auto"/>
          </w:divBdr>
        </w:div>
      </w:divsChild>
    </w:div>
    <w:div w:id="727535741">
      <w:bodyDiv w:val="1"/>
      <w:marLeft w:val="0"/>
      <w:marRight w:val="0"/>
      <w:marTop w:val="0"/>
      <w:marBottom w:val="0"/>
      <w:divBdr>
        <w:top w:val="none" w:sz="0" w:space="0" w:color="auto"/>
        <w:left w:val="none" w:sz="0" w:space="0" w:color="auto"/>
        <w:bottom w:val="none" w:sz="0" w:space="0" w:color="auto"/>
        <w:right w:val="none" w:sz="0" w:space="0" w:color="auto"/>
      </w:divBdr>
      <w:divsChild>
        <w:div w:id="81025708">
          <w:marLeft w:val="0"/>
          <w:marRight w:val="0"/>
          <w:marTop w:val="0"/>
          <w:marBottom w:val="0"/>
          <w:divBdr>
            <w:top w:val="none" w:sz="0" w:space="0" w:color="auto"/>
            <w:left w:val="none" w:sz="0" w:space="0" w:color="auto"/>
            <w:bottom w:val="none" w:sz="0" w:space="0" w:color="auto"/>
            <w:right w:val="none" w:sz="0" w:space="0" w:color="auto"/>
          </w:divBdr>
          <w:divsChild>
            <w:div w:id="2032796609">
              <w:marLeft w:val="0"/>
              <w:marRight w:val="0"/>
              <w:marTop w:val="0"/>
              <w:marBottom w:val="0"/>
              <w:divBdr>
                <w:top w:val="none" w:sz="0" w:space="0" w:color="auto"/>
                <w:left w:val="none" w:sz="0" w:space="0" w:color="auto"/>
                <w:bottom w:val="none" w:sz="0" w:space="0" w:color="auto"/>
                <w:right w:val="none" w:sz="0" w:space="0" w:color="auto"/>
              </w:divBdr>
              <w:divsChild>
                <w:div w:id="13480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0369">
      <w:bodyDiv w:val="1"/>
      <w:marLeft w:val="0"/>
      <w:marRight w:val="0"/>
      <w:marTop w:val="0"/>
      <w:marBottom w:val="0"/>
      <w:divBdr>
        <w:top w:val="none" w:sz="0" w:space="0" w:color="auto"/>
        <w:left w:val="none" w:sz="0" w:space="0" w:color="auto"/>
        <w:bottom w:val="none" w:sz="0" w:space="0" w:color="auto"/>
        <w:right w:val="none" w:sz="0" w:space="0" w:color="auto"/>
      </w:divBdr>
    </w:div>
    <w:div w:id="816073548">
      <w:bodyDiv w:val="1"/>
      <w:marLeft w:val="0"/>
      <w:marRight w:val="0"/>
      <w:marTop w:val="0"/>
      <w:marBottom w:val="0"/>
      <w:divBdr>
        <w:top w:val="none" w:sz="0" w:space="0" w:color="auto"/>
        <w:left w:val="none" w:sz="0" w:space="0" w:color="auto"/>
        <w:bottom w:val="none" w:sz="0" w:space="0" w:color="auto"/>
        <w:right w:val="none" w:sz="0" w:space="0" w:color="auto"/>
      </w:divBdr>
    </w:div>
    <w:div w:id="902787943">
      <w:bodyDiv w:val="1"/>
      <w:marLeft w:val="0"/>
      <w:marRight w:val="0"/>
      <w:marTop w:val="0"/>
      <w:marBottom w:val="0"/>
      <w:divBdr>
        <w:top w:val="none" w:sz="0" w:space="0" w:color="auto"/>
        <w:left w:val="none" w:sz="0" w:space="0" w:color="auto"/>
        <w:bottom w:val="none" w:sz="0" w:space="0" w:color="auto"/>
        <w:right w:val="none" w:sz="0" w:space="0" w:color="auto"/>
      </w:divBdr>
    </w:div>
    <w:div w:id="947617438">
      <w:bodyDiv w:val="1"/>
      <w:marLeft w:val="0"/>
      <w:marRight w:val="0"/>
      <w:marTop w:val="0"/>
      <w:marBottom w:val="0"/>
      <w:divBdr>
        <w:top w:val="none" w:sz="0" w:space="0" w:color="auto"/>
        <w:left w:val="none" w:sz="0" w:space="0" w:color="auto"/>
        <w:bottom w:val="none" w:sz="0" w:space="0" w:color="auto"/>
        <w:right w:val="none" w:sz="0" w:space="0" w:color="auto"/>
      </w:divBdr>
      <w:divsChild>
        <w:div w:id="1626883161">
          <w:marLeft w:val="0"/>
          <w:marRight w:val="0"/>
          <w:marTop w:val="0"/>
          <w:marBottom w:val="0"/>
          <w:divBdr>
            <w:top w:val="none" w:sz="0" w:space="0" w:color="auto"/>
            <w:left w:val="none" w:sz="0" w:space="0" w:color="auto"/>
            <w:bottom w:val="none" w:sz="0" w:space="0" w:color="auto"/>
            <w:right w:val="none" w:sz="0" w:space="0" w:color="auto"/>
          </w:divBdr>
          <w:divsChild>
            <w:div w:id="86077464">
              <w:marLeft w:val="0"/>
              <w:marRight w:val="0"/>
              <w:marTop w:val="0"/>
              <w:marBottom w:val="0"/>
              <w:divBdr>
                <w:top w:val="none" w:sz="0" w:space="0" w:color="auto"/>
                <w:left w:val="none" w:sz="0" w:space="0" w:color="auto"/>
                <w:bottom w:val="none" w:sz="0" w:space="0" w:color="auto"/>
                <w:right w:val="none" w:sz="0" w:space="0" w:color="auto"/>
              </w:divBdr>
              <w:divsChild>
                <w:div w:id="20089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3466">
      <w:bodyDiv w:val="1"/>
      <w:marLeft w:val="0"/>
      <w:marRight w:val="0"/>
      <w:marTop w:val="0"/>
      <w:marBottom w:val="0"/>
      <w:divBdr>
        <w:top w:val="none" w:sz="0" w:space="0" w:color="auto"/>
        <w:left w:val="none" w:sz="0" w:space="0" w:color="auto"/>
        <w:bottom w:val="none" w:sz="0" w:space="0" w:color="auto"/>
        <w:right w:val="none" w:sz="0" w:space="0" w:color="auto"/>
      </w:divBdr>
      <w:divsChild>
        <w:div w:id="1379663998">
          <w:marLeft w:val="0"/>
          <w:marRight w:val="0"/>
          <w:marTop w:val="0"/>
          <w:marBottom w:val="0"/>
          <w:divBdr>
            <w:top w:val="none" w:sz="0" w:space="0" w:color="auto"/>
            <w:left w:val="none" w:sz="0" w:space="0" w:color="auto"/>
            <w:bottom w:val="none" w:sz="0" w:space="0" w:color="auto"/>
            <w:right w:val="none" w:sz="0" w:space="0" w:color="auto"/>
          </w:divBdr>
        </w:div>
        <w:div w:id="1773016879">
          <w:marLeft w:val="0"/>
          <w:marRight w:val="0"/>
          <w:marTop w:val="0"/>
          <w:marBottom w:val="0"/>
          <w:divBdr>
            <w:top w:val="none" w:sz="0" w:space="0" w:color="auto"/>
            <w:left w:val="none" w:sz="0" w:space="0" w:color="auto"/>
            <w:bottom w:val="none" w:sz="0" w:space="0" w:color="auto"/>
            <w:right w:val="none" w:sz="0" w:space="0" w:color="auto"/>
          </w:divBdr>
        </w:div>
        <w:div w:id="1947538719">
          <w:marLeft w:val="0"/>
          <w:marRight w:val="0"/>
          <w:marTop w:val="0"/>
          <w:marBottom w:val="0"/>
          <w:divBdr>
            <w:top w:val="none" w:sz="0" w:space="0" w:color="auto"/>
            <w:left w:val="none" w:sz="0" w:space="0" w:color="auto"/>
            <w:bottom w:val="none" w:sz="0" w:space="0" w:color="auto"/>
            <w:right w:val="none" w:sz="0" w:space="0" w:color="auto"/>
          </w:divBdr>
        </w:div>
      </w:divsChild>
    </w:div>
    <w:div w:id="1051223480">
      <w:bodyDiv w:val="1"/>
      <w:marLeft w:val="0"/>
      <w:marRight w:val="0"/>
      <w:marTop w:val="0"/>
      <w:marBottom w:val="0"/>
      <w:divBdr>
        <w:top w:val="none" w:sz="0" w:space="0" w:color="auto"/>
        <w:left w:val="none" w:sz="0" w:space="0" w:color="auto"/>
        <w:bottom w:val="none" w:sz="0" w:space="0" w:color="auto"/>
        <w:right w:val="none" w:sz="0" w:space="0" w:color="auto"/>
      </w:divBdr>
    </w:div>
    <w:div w:id="1093354478">
      <w:bodyDiv w:val="1"/>
      <w:marLeft w:val="0"/>
      <w:marRight w:val="0"/>
      <w:marTop w:val="0"/>
      <w:marBottom w:val="0"/>
      <w:divBdr>
        <w:top w:val="none" w:sz="0" w:space="0" w:color="auto"/>
        <w:left w:val="none" w:sz="0" w:space="0" w:color="auto"/>
        <w:bottom w:val="none" w:sz="0" w:space="0" w:color="auto"/>
        <w:right w:val="none" w:sz="0" w:space="0" w:color="auto"/>
      </w:divBdr>
    </w:div>
    <w:div w:id="1179462261">
      <w:bodyDiv w:val="1"/>
      <w:marLeft w:val="0"/>
      <w:marRight w:val="0"/>
      <w:marTop w:val="0"/>
      <w:marBottom w:val="0"/>
      <w:divBdr>
        <w:top w:val="none" w:sz="0" w:space="0" w:color="auto"/>
        <w:left w:val="none" w:sz="0" w:space="0" w:color="auto"/>
        <w:bottom w:val="none" w:sz="0" w:space="0" w:color="auto"/>
        <w:right w:val="none" w:sz="0" w:space="0" w:color="auto"/>
      </w:divBdr>
    </w:div>
    <w:div w:id="1219053183">
      <w:bodyDiv w:val="1"/>
      <w:marLeft w:val="0"/>
      <w:marRight w:val="0"/>
      <w:marTop w:val="0"/>
      <w:marBottom w:val="0"/>
      <w:divBdr>
        <w:top w:val="none" w:sz="0" w:space="0" w:color="auto"/>
        <w:left w:val="none" w:sz="0" w:space="0" w:color="auto"/>
        <w:bottom w:val="none" w:sz="0" w:space="0" w:color="auto"/>
        <w:right w:val="none" w:sz="0" w:space="0" w:color="auto"/>
      </w:divBdr>
    </w:div>
    <w:div w:id="1253508910">
      <w:bodyDiv w:val="1"/>
      <w:marLeft w:val="0"/>
      <w:marRight w:val="0"/>
      <w:marTop w:val="0"/>
      <w:marBottom w:val="0"/>
      <w:divBdr>
        <w:top w:val="none" w:sz="0" w:space="0" w:color="auto"/>
        <w:left w:val="none" w:sz="0" w:space="0" w:color="auto"/>
        <w:bottom w:val="none" w:sz="0" w:space="0" w:color="auto"/>
        <w:right w:val="none" w:sz="0" w:space="0" w:color="auto"/>
      </w:divBdr>
    </w:div>
    <w:div w:id="1402829004">
      <w:bodyDiv w:val="1"/>
      <w:marLeft w:val="0"/>
      <w:marRight w:val="0"/>
      <w:marTop w:val="0"/>
      <w:marBottom w:val="0"/>
      <w:divBdr>
        <w:top w:val="none" w:sz="0" w:space="0" w:color="auto"/>
        <w:left w:val="none" w:sz="0" w:space="0" w:color="auto"/>
        <w:bottom w:val="none" w:sz="0" w:space="0" w:color="auto"/>
        <w:right w:val="none" w:sz="0" w:space="0" w:color="auto"/>
      </w:divBdr>
    </w:div>
    <w:div w:id="1416973677">
      <w:bodyDiv w:val="1"/>
      <w:marLeft w:val="0"/>
      <w:marRight w:val="0"/>
      <w:marTop w:val="0"/>
      <w:marBottom w:val="0"/>
      <w:divBdr>
        <w:top w:val="none" w:sz="0" w:space="0" w:color="auto"/>
        <w:left w:val="none" w:sz="0" w:space="0" w:color="auto"/>
        <w:bottom w:val="none" w:sz="0" w:space="0" w:color="auto"/>
        <w:right w:val="none" w:sz="0" w:space="0" w:color="auto"/>
      </w:divBdr>
      <w:divsChild>
        <w:div w:id="1923640049">
          <w:marLeft w:val="0"/>
          <w:marRight w:val="0"/>
          <w:marTop w:val="0"/>
          <w:marBottom w:val="0"/>
          <w:divBdr>
            <w:top w:val="none" w:sz="0" w:space="0" w:color="auto"/>
            <w:left w:val="none" w:sz="0" w:space="0" w:color="auto"/>
            <w:bottom w:val="none" w:sz="0" w:space="0" w:color="auto"/>
            <w:right w:val="none" w:sz="0" w:space="0" w:color="auto"/>
          </w:divBdr>
          <w:divsChild>
            <w:div w:id="367217025">
              <w:marLeft w:val="0"/>
              <w:marRight w:val="0"/>
              <w:marTop w:val="0"/>
              <w:marBottom w:val="0"/>
              <w:divBdr>
                <w:top w:val="none" w:sz="0" w:space="0" w:color="auto"/>
                <w:left w:val="none" w:sz="0" w:space="0" w:color="auto"/>
                <w:bottom w:val="none" w:sz="0" w:space="0" w:color="auto"/>
                <w:right w:val="none" w:sz="0" w:space="0" w:color="auto"/>
              </w:divBdr>
              <w:divsChild>
                <w:div w:id="473564801">
                  <w:marLeft w:val="0"/>
                  <w:marRight w:val="0"/>
                  <w:marTop w:val="0"/>
                  <w:marBottom w:val="0"/>
                  <w:divBdr>
                    <w:top w:val="none" w:sz="0" w:space="0" w:color="auto"/>
                    <w:left w:val="none" w:sz="0" w:space="0" w:color="auto"/>
                    <w:bottom w:val="none" w:sz="0" w:space="0" w:color="auto"/>
                    <w:right w:val="none" w:sz="0" w:space="0" w:color="auto"/>
                  </w:divBdr>
                </w:div>
              </w:divsChild>
            </w:div>
            <w:div w:id="2026442699">
              <w:marLeft w:val="0"/>
              <w:marRight w:val="0"/>
              <w:marTop w:val="0"/>
              <w:marBottom w:val="0"/>
              <w:divBdr>
                <w:top w:val="none" w:sz="0" w:space="0" w:color="auto"/>
                <w:left w:val="none" w:sz="0" w:space="0" w:color="auto"/>
                <w:bottom w:val="none" w:sz="0" w:space="0" w:color="auto"/>
                <w:right w:val="none" w:sz="0" w:space="0" w:color="auto"/>
              </w:divBdr>
              <w:divsChild>
                <w:div w:id="1722627843">
                  <w:marLeft w:val="0"/>
                  <w:marRight w:val="0"/>
                  <w:marTop w:val="0"/>
                  <w:marBottom w:val="0"/>
                  <w:divBdr>
                    <w:top w:val="none" w:sz="0" w:space="0" w:color="auto"/>
                    <w:left w:val="none" w:sz="0" w:space="0" w:color="auto"/>
                    <w:bottom w:val="none" w:sz="0" w:space="0" w:color="auto"/>
                    <w:right w:val="none" w:sz="0" w:space="0" w:color="auto"/>
                  </w:divBdr>
                </w:div>
                <w:div w:id="20600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4353">
      <w:bodyDiv w:val="1"/>
      <w:marLeft w:val="0"/>
      <w:marRight w:val="0"/>
      <w:marTop w:val="0"/>
      <w:marBottom w:val="0"/>
      <w:divBdr>
        <w:top w:val="none" w:sz="0" w:space="0" w:color="auto"/>
        <w:left w:val="none" w:sz="0" w:space="0" w:color="auto"/>
        <w:bottom w:val="none" w:sz="0" w:space="0" w:color="auto"/>
        <w:right w:val="none" w:sz="0" w:space="0" w:color="auto"/>
      </w:divBdr>
    </w:div>
    <w:div w:id="1435441207">
      <w:bodyDiv w:val="1"/>
      <w:marLeft w:val="0"/>
      <w:marRight w:val="0"/>
      <w:marTop w:val="0"/>
      <w:marBottom w:val="0"/>
      <w:divBdr>
        <w:top w:val="none" w:sz="0" w:space="0" w:color="auto"/>
        <w:left w:val="none" w:sz="0" w:space="0" w:color="auto"/>
        <w:bottom w:val="none" w:sz="0" w:space="0" w:color="auto"/>
        <w:right w:val="none" w:sz="0" w:space="0" w:color="auto"/>
      </w:divBdr>
    </w:div>
    <w:div w:id="1441022782">
      <w:bodyDiv w:val="1"/>
      <w:marLeft w:val="0"/>
      <w:marRight w:val="0"/>
      <w:marTop w:val="0"/>
      <w:marBottom w:val="0"/>
      <w:divBdr>
        <w:top w:val="none" w:sz="0" w:space="0" w:color="auto"/>
        <w:left w:val="none" w:sz="0" w:space="0" w:color="auto"/>
        <w:bottom w:val="none" w:sz="0" w:space="0" w:color="auto"/>
        <w:right w:val="none" w:sz="0" w:space="0" w:color="auto"/>
      </w:divBdr>
    </w:div>
    <w:div w:id="1470974521">
      <w:bodyDiv w:val="1"/>
      <w:marLeft w:val="0"/>
      <w:marRight w:val="0"/>
      <w:marTop w:val="0"/>
      <w:marBottom w:val="0"/>
      <w:divBdr>
        <w:top w:val="none" w:sz="0" w:space="0" w:color="auto"/>
        <w:left w:val="none" w:sz="0" w:space="0" w:color="auto"/>
        <w:bottom w:val="none" w:sz="0" w:space="0" w:color="auto"/>
        <w:right w:val="none" w:sz="0" w:space="0" w:color="auto"/>
      </w:divBdr>
    </w:div>
    <w:div w:id="1527982849">
      <w:bodyDiv w:val="1"/>
      <w:marLeft w:val="0"/>
      <w:marRight w:val="0"/>
      <w:marTop w:val="0"/>
      <w:marBottom w:val="0"/>
      <w:divBdr>
        <w:top w:val="none" w:sz="0" w:space="0" w:color="auto"/>
        <w:left w:val="none" w:sz="0" w:space="0" w:color="auto"/>
        <w:bottom w:val="none" w:sz="0" w:space="0" w:color="auto"/>
        <w:right w:val="none" w:sz="0" w:space="0" w:color="auto"/>
      </w:divBdr>
      <w:divsChild>
        <w:div w:id="439178422">
          <w:marLeft w:val="0"/>
          <w:marRight w:val="0"/>
          <w:marTop w:val="0"/>
          <w:marBottom w:val="0"/>
          <w:divBdr>
            <w:top w:val="none" w:sz="0" w:space="0" w:color="auto"/>
            <w:left w:val="none" w:sz="0" w:space="0" w:color="auto"/>
            <w:bottom w:val="none" w:sz="0" w:space="0" w:color="auto"/>
            <w:right w:val="none" w:sz="0" w:space="0" w:color="auto"/>
          </w:divBdr>
          <w:divsChild>
            <w:div w:id="526022895">
              <w:marLeft w:val="0"/>
              <w:marRight w:val="0"/>
              <w:marTop w:val="0"/>
              <w:marBottom w:val="0"/>
              <w:divBdr>
                <w:top w:val="none" w:sz="0" w:space="0" w:color="auto"/>
                <w:left w:val="none" w:sz="0" w:space="0" w:color="auto"/>
                <w:bottom w:val="none" w:sz="0" w:space="0" w:color="auto"/>
                <w:right w:val="none" w:sz="0" w:space="0" w:color="auto"/>
              </w:divBdr>
              <w:divsChild>
                <w:div w:id="3145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9829">
      <w:bodyDiv w:val="1"/>
      <w:marLeft w:val="0"/>
      <w:marRight w:val="0"/>
      <w:marTop w:val="0"/>
      <w:marBottom w:val="0"/>
      <w:divBdr>
        <w:top w:val="none" w:sz="0" w:space="0" w:color="auto"/>
        <w:left w:val="none" w:sz="0" w:space="0" w:color="auto"/>
        <w:bottom w:val="none" w:sz="0" w:space="0" w:color="auto"/>
        <w:right w:val="none" w:sz="0" w:space="0" w:color="auto"/>
      </w:divBdr>
    </w:div>
    <w:div w:id="1582367784">
      <w:bodyDiv w:val="1"/>
      <w:marLeft w:val="0"/>
      <w:marRight w:val="0"/>
      <w:marTop w:val="0"/>
      <w:marBottom w:val="0"/>
      <w:divBdr>
        <w:top w:val="none" w:sz="0" w:space="0" w:color="auto"/>
        <w:left w:val="none" w:sz="0" w:space="0" w:color="auto"/>
        <w:bottom w:val="none" w:sz="0" w:space="0" w:color="auto"/>
        <w:right w:val="none" w:sz="0" w:space="0" w:color="auto"/>
      </w:divBdr>
      <w:divsChild>
        <w:div w:id="1699431318">
          <w:marLeft w:val="0"/>
          <w:marRight w:val="0"/>
          <w:marTop w:val="0"/>
          <w:marBottom w:val="0"/>
          <w:divBdr>
            <w:top w:val="none" w:sz="0" w:space="0" w:color="auto"/>
            <w:left w:val="none" w:sz="0" w:space="0" w:color="auto"/>
            <w:bottom w:val="none" w:sz="0" w:space="0" w:color="auto"/>
            <w:right w:val="none" w:sz="0" w:space="0" w:color="auto"/>
          </w:divBdr>
        </w:div>
      </w:divsChild>
    </w:div>
    <w:div w:id="1602224348">
      <w:bodyDiv w:val="1"/>
      <w:marLeft w:val="0"/>
      <w:marRight w:val="0"/>
      <w:marTop w:val="0"/>
      <w:marBottom w:val="0"/>
      <w:divBdr>
        <w:top w:val="none" w:sz="0" w:space="0" w:color="auto"/>
        <w:left w:val="none" w:sz="0" w:space="0" w:color="auto"/>
        <w:bottom w:val="none" w:sz="0" w:space="0" w:color="auto"/>
        <w:right w:val="none" w:sz="0" w:space="0" w:color="auto"/>
      </w:divBdr>
      <w:divsChild>
        <w:div w:id="38550053">
          <w:marLeft w:val="360"/>
          <w:marRight w:val="0"/>
          <w:marTop w:val="200"/>
          <w:marBottom w:val="0"/>
          <w:divBdr>
            <w:top w:val="none" w:sz="0" w:space="0" w:color="auto"/>
            <w:left w:val="none" w:sz="0" w:space="0" w:color="auto"/>
            <w:bottom w:val="none" w:sz="0" w:space="0" w:color="auto"/>
            <w:right w:val="none" w:sz="0" w:space="0" w:color="auto"/>
          </w:divBdr>
        </w:div>
        <w:div w:id="791051185">
          <w:marLeft w:val="360"/>
          <w:marRight w:val="0"/>
          <w:marTop w:val="200"/>
          <w:marBottom w:val="0"/>
          <w:divBdr>
            <w:top w:val="none" w:sz="0" w:space="0" w:color="auto"/>
            <w:left w:val="none" w:sz="0" w:space="0" w:color="auto"/>
            <w:bottom w:val="none" w:sz="0" w:space="0" w:color="auto"/>
            <w:right w:val="none" w:sz="0" w:space="0" w:color="auto"/>
          </w:divBdr>
        </w:div>
        <w:div w:id="1235701018">
          <w:marLeft w:val="360"/>
          <w:marRight w:val="0"/>
          <w:marTop w:val="200"/>
          <w:marBottom w:val="0"/>
          <w:divBdr>
            <w:top w:val="none" w:sz="0" w:space="0" w:color="auto"/>
            <w:left w:val="none" w:sz="0" w:space="0" w:color="auto"/>
            <w:bottom w:val="none" w:sz="0" w:space="0" w:color="auto"/>
            <w:right w:val="none" w:sz="0" w:space="0" w:color="auto"/>
          </w:divBdr>
        </w:div>
        <w:div w:id="1345009019">
          <w:marLeft w:val="360"/>
          <w:marRight w:val="0"/>
          <w:marTop w:val="200"/>
          <w:marBottom w:val="0"/>
          <w:divBdr>
            <w:top w:val="none" w:sz="0" w:space="0" w:color="auto"/>
            <w:left w:val="none" w:sz="0" w:space="0" w:color="auto"/>
            <w:bottom w:val="none" w:sz="0" w:space="0" w:color="auto"/>
            <w:right w:val="none" w:sz="0" w:space="0" w:color="auto"/>
          </w:divBdr>
        </w:div>
        <w:div w:id="1982922865">
          <w:marLeft w:val="360"/>
          <w:marRight w:val="0"/>
          <w:marTop w:val="200"/>
          <w:marBottom w:val="0"/>
          <w:divBdr>
            <w:top w:val="none" w:sz="0" w:space="0" w:color="auto"/>
            <w:left w:val="none" w:sz="0" w:space="0" w:color="auto"/>
            <w:bottom w:val="none" w:sz="0" w:space="0" w:color="auto"/>
            <w:right w:val="none" w:sz="0" w:space="0" w:color="auto"/>
          </w:divBdr>
        </w:div>
      </w:divsChild>
    </w:div>
    <w:div w:id="1604218473">
      <w:bodyDiv w:val="1"/>
      <w:marLeft w:val="0"/>
      <w:marRight w:val="0"/>
      <w:marTop w:val="0"/>
      <w:marBottom w:val="0"/>
      <w:divBdr>
        <w:top w:val="none" w:sz="0" w:space="0" w:color="auto"/>
        <w:left w:val="none" w:sz="0" w:space="0" w:color="auto"/>
        <w:bottom w:val="none" w:sz="0" w:space="0" w:color="auto"/>
        <w:right w:val="none" w:sz="0" w:space="0" w:color="auto"/>
      </w:divBdr>
    </w:div>
    <w:div w:id="1626152034">
      <w:bodyDiv w:val="1"/>
      <w:marLeft w:val="0"/>
      <w:marRight w:val="0"/>
      <w:marTop w:val="0"/>
      <w:marBottom w:val="0"/>
      <w:divBdr>
        <w:top w:val="none" w:sz="0" w:space="0" w:color="auto"/>
        <w:left w:val="none" w:sz="0" w:space="0" w:color="auto"/>
        <w:bottom w:val="none" w:sz="0" w:space="0" w:color="auto"/>
        <w:right w:val="none" w:sz="0" w:space="0" w:color="auto"/>
      </w:divBdr>
    </w:div>
    <w:div w:id="1645163595">
      <w:bodyDiv w:val="1"/>
      <w:marLeft w:val="0"/>
      <w:marRight w:val="0"/>
      <w:marTop w:val="0"/>
      <w:marBottom w:val="0"/>
      <w:divBdr>
        <w:top w:val="none" w:sz="0" w:space="0" w:color="auto"/>
        <w:left w:val="none" w:sz="0" w:space="0" w:color="auto"/>
        <w:bottom w:val="none" w:sz="0" w:space="0" w:color="auto"/>
        <w:right w:val="none" w:sz="0" w:space="0" w:color="auto"/>
      </w:divBdr>
    </w:div>
    <w:div w:id="1786119317">
      <w:bodyDiv w:val="1"/>
      <w:marLeft w:val="0"/>
      <w:marRight w:val="0"/>
      <w:marTop w:val="0"/>
      <w:marBottom w:val="0"/>
      <w:divBdr>
        <w:top w:val="none" w:sz="0" w:space="0" w:color="auto"/>
        <w:left w:val="none" w:sz="0" w:space="0" w:color="auto"/>
        <w:bottom w:val="none" w:sz="0" w:space="0" w:color="auto"/>
        <w:right w:val="none" w:sz="0" w:space="0" w:color="auto"/>
      </w:divBdr>
    </w:div>
    <w:div w:id="1829444004">
      <w:bodyDiv w:val="1"/>
      <w:marLeft w:val="0"/>
      <w:marRight w:val="0"/>
      <w:marTop w:val="0"/>
      <w:marBottom w:val="0"/>
      <w:divBdr>
        <w:top w:val="none" w:sz="0" w:space="0" w:color="auto"/>
        <w:left w:val="none" w:sz="0" w:space="0" w:color="auto"/>
        <w:bottom w:val="none" w:sz="0" w:space="0" w:color="auto"/>
        <w:right w:val="none" w:sz="0" w:space="0" w:color="auto"/>
      </w:divBdr>
    </w:div>
    <w:div w:id="1851094248">
      <w:bodyDiv w:val="1"/>
      <w:marLeft w:val="0"/>
      <w:marRight w:val="0"/>
      <w:marTop w:val="0"/>
      <w:marBottom w:val="0"/>
      <w:divBdr>
        <w:top w:val="none" w:sz="0" w:space="0" w:color="auto"/>
        <w:left w:val="none" w:sz="0" w:space="0" w:color="auto"/>
        <w:bottom w:val="none" w:sz="0" w:space="0" w:color="auto"/>
        <w:right w:val="none" w:sz="0" w:space="0" w:color="auto"/>
      </w:divBdr>
      <w:divsChild>
        <w:div w:id="364018066">
          <w:marLeft w:val="360"/>
          <w:marRight w:val="0"/>
          <w:marTop w:val="200"/>
          <w:marBottom w:val="0"/>
          <w:divBdr>
            <w:top w:val="none" w:sz="0" w:space="0" w:color="auto"/>
            <w:left w:val="none" w:sz="0" w:space="0" w:color="auto"/>
            <w:bottom w:val="none" w:sz="0" w:space="0" w:color="auto"/>
            <w:right w:val="none" w:sz="0" w:space="0" w:color="auto"/>
          </w:divBdr>
        </w:div>
        <w:div w:id="648245858">
          <w:marLeft w:val="360"/>
          <w:marRight w:val="0"/>
          <w:marTop w:val="200"/>
          <w:marBottom w:val="0"/>
          <w:divBdr>
            <w:top w:val="none" w:sz="0" w:space="0" w:color="auto"/>
            <w:left w:val="none" w:sz="0" w:space="0" w:color="auto"/>
            <w:bottom w:val="none" w:sz="0" w:space="0" w:color="auto"/>
            <w:right w:val="none" w:sz="0" w:space="0" w:color="auto"/>
          </w:divBdr>
        </w:div>
        <w:div w:id="901987330">
          <w:marLeft w:val="360"/>
          <w:marRight w:val="0"/>
          <w:marTop w:val="200"/>
          <w:marBottom w:val="0"/>
          <w:divBdr>
            <w:top w:val="none" w:sz="0" w:space="0" w:color="auto"/>
            <w:left w:val="none" w:sz="0" w:space="0" w:color="auto"/>
            <w:bottom w:val="none" w:sz="0" w:space="0" w:color="auto"/>
            <w:right w:val="none" w:sz="0" w:space="0" w:color="auto"/>
          </w:divBdr>
        </w:div>
        <w:div w:id="1154293271">
          <w:marLeft w:val="360"/>
          <w:marRight w:val="0"/>
          <w:marTop w:val="200"/>
          <w:marBottom w:val="0"/>
          <w:divBdr>
            <w:top w:val="none" w:sz="0" w:space="0" w:color="auto"/>
            <w:left w:val="none" w:sz="0" w:space="0" w:color="auto"/>
            <w:bottom w:val="none" w:sz="0" w:space="0" w:color="auto"/>
            <w:right w:val="none" w:sz="0" w:space="0" w:color="auto"/>
          </w:divBdr>
        </w:div>
        <w:div w:id="1350058718">
          <w:marLeft w:val="360"/>
          <w:marRight w:val="0"/>
          <w:marTop w:val="200"/>
          <w:marBottom w:val="0"/>
          <w:divBdr>
            <w:top w:val="none" w:sz="0" w:space="0" w:color="auto"/>
            <w:left w:val="none" w:sz="0" w:space="0" w:color="auto"/>
            <w:bottom w:val="none" w:sz="0" w:space="0" w:color="auto"/>
            <w:right w:val="none" w:sz="0" w:space="0" w:color="auto"/>
          </w:divBdr>
        </w:div>
        <w:div w:id="1984653431">
          <w:marLeft w:val="360"/>
          <w:marRight w:val="0"/>
          <w:marTop w:val="200"/>
          <w:marBottom w:val="0"/>
          <w:divBdr>
            <w:top w:val="none" w:sz="0" w:space="0" w:color="auto"/>
            <w:left w:val="none" w:sz="0" w:space="0" w:color="auto"/>
            <w:bottom w:val="none" w:sz="0" w:space="0" w:color="auto"/>
            <w:right w:val="none" w:sz="0" w:space="0" w:color="auto"/>
          </w:divBdr>
        </w:div>
        <w:div w:id="2043364613">
          <w:marLeft w:val="360"/>
          <w:marRight w:val="0"/>
          <w:marTop w:val="200"/>
          <w:marBottom w:val="0"/>
          <w:divBdr>
            <w:top w:val="none" w:sz="0" w:space="0" w:color="auto"/>
            <w:left w:val="none" w:sz="0" w:space="0" w:color="auto"/>
            <w:bottom w:val="none" w:sz="0" w:space="0" w:color="auto"/>
            <w:right w:val="none" w:sz="0" w:space="0" w:color="auto"/>
          </w:divBdr>
        </w:div>
      </w:divsChild>
    </w:div>
    <w:div w:id="1856459846">
      <w:bodyDiv w:val="1"/>
      <w:marLeft w:val="0"/>
      <w:marRight w:val="0"/>
      <w:marTop w:val="0"/>
      <w:marBottom w:val="0"/>
      <w:divBdr>
        <w:top w:val="none" w:sz="0" w:space="0" w:color="auto"/>
        <w:left w:val="none" w:sz="0" w:space="0" w:color="auto"/>
        <w:bottom w:val="none" w:sz="0" w:space="0" w:color="auto"/>
        <w:right w:val="none" w:sz="0" w:space="0" w:color="auto"/>
      </w:divBdr>
      <w:divsChild>
        <w:div w:id="1132673087">
          <w:marLeft w:val="0"/>
          <w:marRight w:val="0"/>
          <w:marTop w:val="0"/>
          <w:marBottom w:val="0"/>
          <w:divBdr>
            <w:top w:val="none" w:sz="0" w:space="0" w:color="auto"/>
            <w:left w:val="none" w:sz="0" w:space="0" w:color="auto"/>
            <w:bottom w:val="none" w:sz="0" w:space="0" w:color="auto"/>
            <w:right w:val="none" w:sz="0" w:space="0" w:color="auto"/>
          </w:divBdr>
        </w:div>
      </w:divsChild>
    </w:div>
    <w:div w:id="1949651915">
      <w:bodyDiv w:val="1"/>
      <w:marLeft w:val="0"/>
      <w:marRight w:val="0"/>
      <w:marTop w:val="0"/>
      <w:marBottom w:val="0"/>
      <w:divBdr>
        <w:top w:val="none" w:sz="0" w:space="0" w:color="auto"/>
        <w:left w:val="none" w:sz="0" w:space="0" w:color="auto"/>
        <w:bottom w:val="none" w:sz="0" w:space="0" w:color="auto"/>
        <w:right w:val="none" w:sz="0" w:space="0" w:color="auto"/>
      </w:divBdr>
    </w:div>
    <w:div w:id="1982152644">
      <w:bodyDiv w:val="1"/>
      <w:marLeft w:val="0"/>
      <w:marRight w:val="0"/>
      <w:marTop w:val="0"/>
      <w:marBottom w:val="0"/>
      <w:divBdr>
        <w:top w:val="none" w:sz="0" w:space="0" w:color="auto"/>
        <w:left w:val="none" w:sz="0" w:space="0" w:color="auto"/>
        <w:bottom w:val="none" w:sz="0" w:space="0" w:color="auto"/>
        <w:right w:val="none" w:sz="0" w:space="0" w:color="auto"/>
      </w:divBdr>
    </w:div>
    <w:div w:id="1982924766">
      <w:bodyDiv w:val="1"/>
      <w:marLeft w:val="0"/>
      <w:marRight w:val="0"/>
      <w:marTop w:val="0"/>
      <w:marBottom w:val="0"/>
      <w:divBdr>
        <w:top w:val="none" w:sz="0" w:space="0" w:color="auto"/>
        <w:left w:val="none" w:sz="0" w:space="0" w:color="auto"/>
        <w:bottom w:val="none" w:sz="0" w:space="0" w:color="auto"/>
        <w:right w:val="none" w:sz="0" w:space="0" w:color="auto"/>
      </w:divBdr>
      <w:divsChild>
        <w:div w:id="465241011">
          <w:marLeft w:val="360"/>
          <w:marRight w:val="0"/>
          <w:marTop w:val="200"/>
          <w:marBottom w:val="0"/>
          <w:divBdr>
            <w:top w:val="none" w:sz="0" w:space="0" w:color="auto"/>
            <w:left w:val="none" w:sz="0" w:space="0" w:color="auto"/>
            <w:bottom w:val="none" w:sz="0" w:space="0" w:color="auto"/>
            <w:right w:val="none" w:sz="0" w:space="0" w:color="auto"/>
          </w:divBdr>
        </w:div>
        <w:div w:id="702437166">
          <w:marLeft w:val="360"/>
          <w:marRight w:val="0"/>
          <w:marTop w:val="200"/>
          <w:marBottom w:val="0"/>
          <w:divBdr>
            <w:top w:val="none" w:sz="0" w:space="0" w:color="auto"/>
            <w:left w:val="none" w:sz="0" w:space="0" w:color="auto"/>
            <w:bottom w:val="none" w:sz="0" w:space="0" w:color="auto"/>
            <w:right w:val="none" w:sz="0" w:space="0" w:color="auto"/>
          </w:divBdr>
        </w:div>
        <w:div w:id="1021737696">
          <w:marLeft w:val="360"/>
          <w:marRight w:val="0"/>
          <w:marTop w:val="200"/>
          <w:marBottom w:val="0"/>
          <w:divBdr>
            <w:top w:val="none" w:sz="0" w:space="0" w:color="auto"/>
            <w:left w:val="none" w:sz="0" w:space="0" w:color="auto"/>
            <w:bottom w:val="none" w:sz="0" w:space="0" w:color="auto"/>
            <w:right w:val="none" w:sz="0" w:space="0" w:color="auto"/>
          </w:divBdr>
        </w:div>
        <w:div w:id="1266303837">
          <w:marLeft w:val="360"/>
          <w:marRight w:val="0"/>
          <w:marTop w:val="200"/>
          <w:marBottom w:val="0"/>
          <w:divBdr>
            <w:top w:val="none" w:sz="0" w:space="0" w:color="auto"/>
            <w:left w:val="none" w:sz="0" w:space="0" w:color="auto"/>
            <w:bottom w:val="none" w:sz="0" w:space="0" w:color="auto"/>
            <w:right w:val="none" w:sz="0" w:space="0" w:color="auto"/>
          </w:divBdr>
        </w:div>
        <w:div w:id="1888420016">
          <w:marLeft w:val="360"/>
          <w:marRight w:val="0"/>
          <w:marTop w:val="200"/>
          <w:marBottom w:val="0"/>
          <w:divBdr>
            <w:top w:val="none" w:sz="0" w:space="0" w:color="auto"/>
            <w:left w:val="none" w:sz="0" w:space="0" w:color="auto"/>
            <w:bottom w:val="none" w:sz="0" w:space="0" w:color="auto"/>
            <w:right w:val="none" w:sz="0" w:space="0" w:color="auto"/>
          </w:divBdr>
        </w:div>
        <w:div w:id="1941454188">
          <w:marLeft w:val="360"/>
          <w:marRight w:val="0"/>
          <w:marTop w:val="200"/>
          <w:marBottom w:val="0"/>
          <w:divBdr>
            <w:top w:val="none" w:sz="0" w:space="0" w:color="auto"/>
            <w:left w:val="none" w:sz="0" w:space="0" w:color="auto"/>
            <w:bottom w:val="none" w:sz="0" w:space="0" w:color="auto"/>
            <w:right w:val="none" w:sz="0" w:space="0" w:color="auto"/>
          </w:divBdr>
        </w:div>
      </w:divsChild>
    </w:div>
    <w:div w:id="1985350757">
      <w:bodyDiv w:val="1"/>
      <w:marLeft w:val="0"/>
      <w:marRight w:val="0"/>
      <w:marTop w:val="0"/>
      <w:marBottom w:val="0"/>
      <w:divBdr>
        <w:top w:val="none" w:sz="0" w:space="0" w:color="auto"/>
        <w:left w:val="none" w:sz="0" w:space="0" w:color="auto"/>
        <w:bottom w:val="none" w:sz="0" w:space="0" w:color="auto"/>
        <w:right w:val="none" w:sz="0" w:space="0" w:color="auto"/>
      </w:divBdr>
    </w:div>
    <w:div w:id="2002192264">
      <w:bodyDiv w:val="1"/>
      <w:marLeft w:val="0"/>
      <w:marRight w:val="0"/>
      <w:marTop w:val="0"/>
      <w:marBottom w:val="0"/>
      <w:divBdr>
        <w:top w:val="none" w:sz="0" w:space="0" w:color="auto"/>
        <w:left w:val="none" w:sz="0" w:space="0" w:color="auto"/>
        <w:bottom w:val="none" w:sz="0" w:space="0" w:color="auto"/>
        <w:right w:val="none" w:sz="0" w:space="0" w:color="auto"/>
      </w:divBdr>
    </w:div>
    <w:div w:id="2007004930">
      <w:bodyDiv w:val="1"/>
      <w:marLeft w:val="0"/>
      <w:marRight w:val="0"/>
      <w:marTop w:val="0"/>
      <w:marBottom w:val="0"/>
      <w:divBdr>
        <w:top w:val="none" w:sz="0" w:space="0" w:color="auto"/>
        <w:left w:val="none" w:sz="0" w:space="0" w:color="auto"/>
        <w:bottom w:val="none" w:sz="0" w:space="0" w:color="auto"/>
        <w:right w:val="none" w:sz="0" w:space="0" w:color="auto"/>
      </w:divBdr>
    </w:div>
    <w:div w:id="2063866094">
      <w:bodyDiv w:val="1"/>
      <w:marLeft w:val="0"/>
      <w:marRight w:val="0"/>
      <w:marTop w:val="0"/>
      <w:marBottom w:val="0"/>
      <w:divBdr>
        <w:top w:val="none" w:sz="0" w:space="0" w:color="auto"/>
        <w:left w:val="none" w:sz="0" w:space="0" w:color="auto"/>
        <w:bottom w:val="none" w:sz="0" w:space="0" w:color="auto"/>
        <w:right w:val="none" w:sz="0" w:space="0" w:color="auto"/>
      </w:divBdr>
    </w:div>
    <w:div w:id="2118521690">
      <w:bodyDiv w:val="1"/>
      <w:marLeft w:val="0"/>
      <w:marRight w:val="0"/>
      <w:marTop w:val="0"/>
      <w:marBottom w:val="0"/>
      <w:divBdr>
        <w:top w:val="none" w:sz="0" w:space="0" w:color="auto"/>
        <w:left w:val="none" w:sz="0" w:space="0" w:color="auto"/>
        <w:bottom w:val="none" w:sz="0" w:space="0" w:color="auto"/>
        <w:right w:val="none" w:sz="0" w:space="0" w:color="auto"/>
      </w:divBdr>
    </w:div>
    <w:div w:id="2122602923">
      <w:bodyDiv w:val="1"/>
      <w:marLeft w:val="0"/>
      <w:marRight w:val="0"/>
      <w:marTop w:val="0"/>
      <w:marBottom w:val="0"/>
      <w:divBdr>
        <w:top w:val="none" w:sz="0" w:space="0" w:color="auto"/>
        <w:left w:val="none" w:sz="0" w:space="0" w:color="auto"/>
        <w:bottom w:val="none" w:sz="0" w:space="0" w:color="auto"/>
        <w:right w:val="none" w:sz="0" w:space="0" w:color="auto"/>
      </w:divBdr>
      <w:divsChild>
        <w:div w:id="367873804">
          <w:marLeft w:val="360"/>
          <w:marRight w:val="0"/>
          <w:marTop w:val="200"/>
          <w:marBottom w:val="0"/>
          <w:divBdr>
            <w:top w:val="none" w:sz="0" w:space="0" w:color="auto"/>
            <w:left w:val="none" w:sz="0" w:space="0" w:color="auto"/>
            <w:bottom w:val="none" w:sz="0" w:space="0" w:color="auto"/>
            <w:right w:val="none" w:sz="0" w:space="0" w:color="auto"/>
          </w:divBdr>
        </w:div>
        <w:div w:id="442580736">
          <w:marLeft w:val="360"/>
          <w:marRight w:val="0"/>
          <w:marTop w:val="200"/>
          <w:marBottom w:val="0"/>
          <w:divBdr>
            <w:top w:val="none" w:sz="0" w:space="0" w:color="auto"/>
            <w:left w:val="none" w:sz="0" w:space="0" w:color="auto"/>
            <w:bottom w:val="none" w:sz="0" w:space="0" w:color="auto"/>
            <w:right w:val="none" w:sz="0" w:space="0" w:color="auto"/>
          </w:divBdr>
        </w:div>
        <w:div w:id="565996893">
          <w:marLeft w:val="360"/>
          <w:marRight w:val="0"/>
          <w:marTop w:val="200"/>
          <w:marBottom w:val="0"/>
          <w:divBdr>
            <w:top w:val="none" w:sz="0" w:space="0" w:color="auto"/>
            <w:left w:val="none" w:sz="0" w:space="0" w:color="auto"/>
            <w:bottom w:val="none" w:sz="0" w:space="0" w:color="auto"/>
            <w:right w:val="none" w:sz="0" w:space="0" w:color="auto"/>
          </w:divBdr>
        </w:div>
        <w:div w:id="757101360">
          <w:marLeft w:val="360"/>
          <w:marRight w:val="0"/>
          <w:marTop w:val="200"/>
          <w:marBottom w:val="0"/>
          <w:divBdr>
            <w:top w:val="none" w:sz="0" w:space="0" w:color="auto"/>
            <w:left w:val="none" w:sz="0" w:space="0" w:color="auto"/>
            <w:bottom w:val="none" w:sz="0" w:space="0" w:color="auto"/>
            <w:right w:val="none" w:sz="0" w:space="0" w:color="auto"/>
          </w:divBdr>
        </w:div>
        <w:div w:id="2041971701">
          <w:marLeft w:val="360"/>
          <w:marRight w:val="0"/>
          <w:marTop w:val="200"/>
          <w:marBottom w:val="0"/>
          <w:divBdr>
            <w:top w:val="none" w:sz="0" w:space="0" w:color="auto"/>
            <w:left w:val="none" w:sz="0" w:space="0" w:color="auto"/>
            <w:bottom w:val="none" w:sz="0" w:space="0" w:color="auto"/>
            <w:right w:val="none" w:sz="0" w:space="0" w:color="auto"/>
          </w:divBdr>
        </w:div>
      </w:divsChild>
    </w:div>
    <w:div w:id="214692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8585-FD6A-4737-A54C-B0B64F23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5242</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 Montfalcon S.P.</cp:lastModifiedBy>
  <cp:revision>2</cp:revision>
  <cp:lastPrinted>2020-03-15T16:18:00Z</cp:lastPrinted>
  <dcterms:created xsi:type="dcterms:W3CDTF">2020-03-31T09:42:00Z</dcterms:created>
  <dcterms:modified xsi:type="dcterms:W3CDTF">2020-03-31T09:42:00Z</dcterms:modified>
</cp:coreProperties>
</file>