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1920C" w14:textId="77777777" w:rsidR="003D79B3" w:rsidRPr="007C6F2E" w:rsidRDefault="003D79B3" w:rsidP="00D30A83">
      <w:pPr>
        <w:spacing w:after="120" w:line="480" w:lineRule="auto"/>
        <w:rPr>
          <w:rFonts w:eastAsia="SimSun" w:cs="Times New Roman"/>
          <w:b/>
          <w:sz w:val="24"/>
          <w:szCs w:val="24"/>
          <w:lang w:eastAsia="en-US"/>
        </w:rPr>
      </w:pPr>
      <w:r w:rsidRPr="007C6F2E">
        <w:rPr>
          <w:rFonts w:eastAsia="SimSun" w:cs="Times New Roman"/>
          <w:b/>
          <w:sz w:val="24"/>
          <w:szCs w:val="24"/>
          <w:lang w:eastAsia="en-US"/>
        </w:rPr>
        <w:t xml:space="preserve">Does quality of life return to pre-treatment levels five years after curative intent surgery for colorectal cancer? Evidence from the </w:t>
      </w:r>
      <w:proofErr w:type="spellStart"/>
      <w:r w:rsidRPr="007C6F2E">
        <w:rPr>
          <w:rFonts w:eastAsia="SimSun" w:cs="Times New Roman"/>
          <w:b/>
          <w:sz w:val="24"/>
          <w:szCs w:val="24"/>
          <w:lang w:eastAsia="en-US"/>
        </w:rPr>
        <w:t>ColoREctal</w:t>
      </w:r>
      <w:proofErr w:type="spellEnd"/>
      <w:r w:rsidRPr="007C6F2E">
        <w:rPr>
          <w:rFonts w:eastAsia="SimSun" w:cs="Times New Roman"/>
          <w:b/>
          <w:sz w:val="24"/>
          <w:szCs w:val="24"/>
          <w:lang w:eastAsia="en-US"/>
        </w:rPr>
        <w:t xml:space="preserve"> Wellbeing (CREW) study</w:t>
      </w:r>
    </w:p>
    <w:p w14:paraId="09A1920D" w14:textId="77777777" w:rsidR="003D79B3" w:rsidRPr="007C6F2E" w:rsidRDefault="00D24C3E" w:rsidP="00D24C3E">
      <w:pPr>
        <w:tabs>
          <w:tab w:val="left" w:pos="5490"/>
        </w:tabs>
        <w:spacing w:after="120" w:line="480" w:lineRule="auto"/>
        <w:rPr>
          <w:rFonts w:eastAsia="SimSun" w:cs="Times New Roman"/>
          <w:b/>
          <w:sz w:val="24"/>
          <w:szCs w:val="24"/>
          <w:lang w:eastAsia="en-US"/>
        </w:rPr>
      </w:pPr>
      <w:r>
        <w:rPr>
          <w:rFonts w:eastAsia="SimSun" w:cs="Times New Roman"/>
          <w:b/>
          <w:sz w:val="24"/>
          <w:szCs w:val="24"/>
          <w:lang w:eastAsia="en-US"/>
        </w:rPr>
        <w:tab/>
      </w:r>
    </w:p>
    <w:p w14:paraId="09A1920E" w14:textId="77777777" w:rsidR="003D79B3" w:rsidRPr="007C6F2E" w:rsidRDefault="003D79B3" w:rsidP="00D30A83">
      <w:pPr>
        <w:spacing w:after="120" w:line="480" w:lineRule="auto"/>
        <w:rPr>
          <w:rFonts w:eastAsia="SimSun" w:cs="Times New Roman"/>
          <w:sz w:val="24"/>
          <w:szCs w:val="24"/>
          <w:lang w:eastAsia="en-US"/>
        </w:rPr>
      </w:pPr>
      <w:r w:rsidRPr="007C6F2E">
        <w:rPr>
          <w:rFonts w:eastAsia="SimSun" w:cs="Times New Roman"/>
          <w:b/>
          <w:sz w:val="24"/>
          <w:szCs w:val="24"/>
          <w:lang w:eastAsia="en-US"/>
        </w:rPr>
        <w:t xml:space="preserve">Short title: </w:t>
      </w:r>
      <w:r w:rsidRPr="007C6F2E">
        <w:rPr>
          <w:rFonts w:eastAsia="SimSun" w:cs="Times New Roman"/>
          <w:sz w:val="24"/>
          <w:szCs w:val="24"/>
          <w:lang w:eastAsia="en-US"/>
        </w:rPr>
        <w:t>quality</w:t>
      </w:r>
      <w:r>
        <w:rPr>
          <w:rFonts w:eastAsia="SimSun" w:cs="Times New Roman"/>
          <w:sz w:val="24"/>
          <w:szCs w:val="24"/>
          <w:lang w:eastAsia="en-US"/>
        </w:rPr>
        <w:t xml:space="preserve"> of life after colorectal cancer</w:t>
      </w:r>
    </w:p>
    <w:p w14:paraId="09A1920F" w14:textId="77777777" w:rsidR="003D79B3" w:rsidRPr="007C6F2E" w:rsidRDefault="003D79B3" w:rsidP="00D30A83">
      <w:pPr>
        <w:spacing w:after="120" w:line="480" w:lineRule="auto"/>
        <w:rPr>
          <w:rFonts w:eastAsia="SimSun" w:cs="Times New Roman"/>
          <w:szCs w:val="24"/>
          <w:lang w:eastAsia="en-US"/>
        </w:rPr>
      </w:pPr>
    </w:p>
    <w:p w14:paraId="09A19210" w14:textId="77777777" w:rsidR="003D79B3" w:rsidRPr="007C6F2E" w:rsidRDefault="003D79B3" w:rsidP="00D30A83">
      <w:pPr>
        <w:spacing w:after="120" w:line="480" w:lineRule="auto"/>
        <w:rPr>
          <w:rFonts w:eastAsia="SimSun" w:cs="Times New Roman"/>
          <w:szCs w:val="24"/>
          <w:vertAlign w:val="superscript"/>
          <w:lang w:eastAsia="en-US"/>
        </w:rPr>
      </w:pPr>
      <w:r w:rsidRPr="007C6F2E">
        <w:rPr>
          <w:rFonts w:eastAsia="SimSun" w:cs="Times New Roman"/>
          <w:szCs w:val="24"/>
          <w:lang w:eastAsia="en-US"/>
        </w:rPr>
        <w:t>Sally Wheelwright</w:t>
      </w:r>
      <w:r w:rsidRPr="007C6F2E">
        <w:rPr>
          <w:rFonts w:eastAsia="SimSun" w:cs="Times New Roman"/>
          <w:szCs w:val="24"/>
          <w:vertAlign w:val="superscript"/>
          <w:lang w:eastAsia="en-US"/>
        </w:rPr>
        <w:t>1</w:t>
      </w:r>
      <w:r w:rsidRPr="007C6F2E">
        <w:rPr>
          <w:rFonts w:eastAsia="SimSun" w:cs="Times New Roman"/>
          <w:szCs w:val="24"/>
          <w:lang w:eastAsia="en-US"/>
        </w:rPr>
        <w:t>, Natalia V. Permyakova</w:t>
      </w:r>
      <w:r w:rsidRPr="007C6F2E">
        <w:rPr>
          <w:rFonts w:eastAsia="SimSun" w:cs="Times New Roman"/>
          <w:szCs w:val="24"/>
          <w:vertAlign w:val="superscript"/>
          <w:lang w:eastAsia="en-US"/>
        </w:rPr>
        <w:t>1</w:t>
      </w:r>
      <w:r w:rsidRPr="007C6F2E">
        <w:rPr>
          <w:rFonts w:eastAsia="SimSun" w:cs="Times New Roman"/>
          <w:szCs w:val="24"/>
          <w:lang w:eastAsia="en-US"/>
        </w:rPr>
        <w:t>, Lynn Calman</w:t>
      </w:r>
      <w:r w:rsidRPr="007C6F2E">
        <w:rPr>
          <w:rFonts w:eastAsia="SimSun" w:cs="Times New Roman"/>
          <w:szCs w:val="24"/>
          <w:vertAlign w:val="superscript"/>
          <w:lang w:eastAsia="en-US"/>
        </w:rPr>
        <w:t>1</w:t>
      </w:r>
      <w:r w:rsidRPr="007C6F2E">
        <w:rPr>
          <w:rFonts w:eastAsia="SimSun" w:cs="Times New Roman"/>
          <w:szCs w:val="24"/>
          <w:lang w:eastAsia="en-US"/>
        </w:rPr>
        <w:t>, Amy Din</w:t>
      </w:r>
      <w:r w:rsidRPr="007C6F2E">
        <w:rPr>
          <w:rFonts w:eastAsia="SimSun" w:cs="Times New Roman"/>
          <w:szCs w:val="24"/>
          <w:vertAlign w:val="superscript"/>
          <w:lang w:eastAsia="en-US"/>
        </w:rPr>
        <w:t>1</w:t>
      </w:r>
      <w:r w:rsidRPr="007C6F2E">
        <w:rPr>
          <w:rFonts w:eastAsia="SimSun" w:cs="Times New Roman"/>
          <w:szCs w:val="24"/>
          <w:lang w:eastAsia="en-US"/>
        </w:rPr>
        <w:t>, Deborah Fenlon</w:t>
      </w:r>
      <w:r w:rsidRPr="007C6F2E">
        <w:rPr>
          <w:rFonts w:eastAsia="SimSun" w:cs="Times New Roman"/>
          <w:szCs w:val="24"/>
          <w:vertAlign w:val="superscript"/>
          <w:lang w:eastAsia="en-US"/>
        </w:rPr>
        <w:t>2</w:t>
      </w:r>
      <w:r w:rsidRPr="007C6F2E">
        <w:rPr>
          <w:rFonts w:eastAsia="SimSun" w:cs="Times New Roman"/>
          <w:szCs w:val="24"/>
          <w:lang w:eastAsia="en-US"/>
        </w:rPr>
        <w:t>, Alison Richardson</w:t>
      </w:r>
      <w:r w:rsidRPr="007C6F2E">
        <w:rPr>
          <w:rFonts w:eastAsia="SimSun" w:cs="Times New Roman"/>
          <w:szCs w:val="24"/>
          <w:vertAlign w:val="superscript"/>
          <w:lang w:eastAsia="en-US"/>
        </w:rPr>
        <w:t>3,4</w:t>
      </w:r>
      <w:r w:rsidRPr="007C6F2E">
        <w:rPr>
          <w:rFonts w:eastAsia="SimSun" w:cs="Times New Roman"/>
          <w:szCs w:val="24"/>
          <w:lang w:eastAsia="en-US"/>
        </w:rPr>
        <w:t>, Samantha Sodergren</w:t>
      </w:r>
      <w:r w:rsidRPr="007C6F2E">
        <w:rPr>
          <w:rFonts w:eastAsia="SimSun" w:cs="Times New Roman"/>
          <w:szCs w:val="24"/>
          <w:vertAlign w:val="superscript"/>
          <w:lang w:eastAsia="en-US"/>
        </w:rPr>
        <w:t>1</w:t>
      </w:r>
      <w:r w:rsidRPr="007C6F2E">
        <w:rPr>
          <w:rFonts w:eastAsia="SimSun" w:cs="Times New Roman"/>
          <w:szCs w:val="24"/>
          <w:lang w:eastAsia="en-US"/>
        </w:rPr>
        <w:t>, Peter W.F. Smith</w:t>
      </w:r>
      <w:r w:rsidRPr="007C6F2E">
        <w:rPr>
          <w:rFonts w:eastAsia="SimSun" w:cs="Times New Roman"/>
          <w:szCs w:val="24"/>
          <w:vertAlign w:val="superscript"/>
          <w:lang w:eastAsia="en-US"/>
        </w:rPr>
        <w:t>5</w:t>
      </w:r>
      <w:r w:rsidRPr="007C6F2E">
        <w:rPr>
          <w:rFonts w:eastAsia="SimSun" w:cs="Times New Roman"/>
          <w:szCs w:val="24"/>
          <w:lang w:eastAsia="en-US"/>
        </w:rPr>
        <w:t>, Jane Winter</w:t>
      </w:r>
      <w:r w:rsidRPr="007C6F2E">
        <w:rPr>
          <w:rFonts w:eastAsia="SimSun" w:cs="Times New Roman"/>
          <w:szCs w:val="24"/>
          <w:vertAlign w:val="superscript"/>
          <w:lang w:eastAsia="en-US"/>
        </w:rPr>
        <w:t>1,4</w:t>
      </w:r>
      <w:r w:rsidRPr="007C6F2E">
        <w:rPr>
          <w:rFonts w:eastAsia="SimSun" w:cs="Times New Roman"/>
          <w:szCs w:val="24"/>
          <w:lang w:eastAsia="en-US"/>
        </w:rPr>
        <w:t>, Members of the Study Advisory Committee, Claire Foster</w:t>
      </w:r>
      <w:r w:rsidRPr="007C6F2E">
        <w:rPr>
          <w:rFonts w:eastAsia="SimSun" w:cs="Times New Roman"/>
          <w:szCs w:val="24"/>
          <w:vertAlign w:val="superscript"/>
          <w:lang w:eastAsia="en-US"/>
        </w:rPr>
        <w:t>1</w:t>
      </w:r>
    </w:p>
    <w:p w14:paraId="09A19211" w14:textId="77777777" w:rsidR="003D79B3" w:rsidRPr="007C6F2E" w:rsidRDefault="003D79B3" w:rsidP="00D30A83">
      <w:pPr>
        <w:tabs>
          <w:tab w:val="left" w:pos="284"/>
        </w:tabs>
        <w:spacing w:line="480" w:lineRule="auto"/>
        <w:jc w:val="both"/>
        <w:rPr>
          <w:rFonts w:cs="Times New Roman"/>
        </w:rPr>
      </w:pPr>
    </w:p>
    <w:p w14:paraId="09A19212" w14:textId="77777777" w:rsidR="003D79B3" w:rsidRPr="007C6F2E" w:rsidRDefault="003D79B3" w:rsidP="00D30A83">
      <w:pPr>
        <w:pStyle w:val="ListParagraph"/>
        <w:numPr>
          <w:ilvl w:val="0"/>
          <w:numId w:val="27"/>
        </w:numPr>
        <w:tabs>
          <w:tab w:val="left" w:pos="284"/>
        </w:tabs>
        <w:spacing w:line="480" w:lineRule="auto"/>
        <w:jc w:val="both"/>
        <w:rPr>
          <w:rFonts w:cs="Times New Roman"/>
        </w:rPr>
      </w:pPr>
      <w:r w:rsidRPr="007C6F2E">
        <w:rPr>
          <w:rFonts w:cs="Times New Roman"/>
        </w:rPr>
        <w:t>Macmillan Survivorship Research Group, School of Health Sciences, University of Southampton, Southampton SO17 1BJ, UK</w:t>
      </w:r>
    </w:p>
    <w:p w14:paraId="09A19213" w14:textId="77777777" w:rsidR="003D79B3" w:rsidRPr="007C6F2E" w:rsidRDefault="003D79B3" w:rsidP="00D30A83">
      <w:pPr>
        <w:pStyle w:val="ListParagraph"/>
        <w:numPr>
          <w:ilvl w:val="0"/>
          <w:numId w:val="27"/>
        </w:numPr>
        <w:tabs>
          <w:tab w:val="left" w:pos="284"/>
        </w:tabs>
        <w:spacing w:line="480" w:lineRule="auto"/>
        <w:jc w:val="both"/>
        <w:rPr>
          <w:rFonts w:cs="Times New Roman"/>
        </w:rPr>
      </w:pPr>
      <w:r w:rsidRPr="007C6F2E">
        <w:rPr>
          <w:rFonts w:cs="Times New Roman"/>
        </w:rPr>
        <w:t>College of Health and Human Sciences, Swansea University, Swansea SA2 8PP, UK</w:t>
      </w:r>
    </w:p>
    <w:p w14:paraId="09A19214" w14:textId="77777777" w:rsidR="003D79B3" w:rsidRPr="007C6F2E" w:rsidRDefault="003D79B3" w:rsidP="00D30A83">
      <w:pPr>
        <w:pStyle w:val="ListParagraph"/>
        <w:numPr>
          <w:ilvl w:val="0"/>
          <w:numId w:val="27"/>
        </w:numPr>
        <w:tabs>
          <w:tab w:val="left" w:pos="284"/>
        </w:tabs>
        <w:spacing w:line="480" w:lineRule="auto"/>
        <w:jc w:val="both"/>
        <w:rPr>
          <w:rFonts w:cs="Times New Roman"/>
        </w:rPr>
      </w:pPr>
      <w:r w:rsidRPr="007C6F2E">
        <w:rPr>
          <w:rFonts w:cs="Times New Roman"/>
        </w:rPr>
        <w:t>University Hospital Southampton NHS Foundation Trust, Southampton SO16 6YD, UK</w:t>
      </w:r>
    </w:p>
    <w:p w14:paraId="09A19215" w14:textId="77777777" w:rsidR="003D79B3" w:rsidRPr="007C6F2E" w:rsidRDefault="003D79B3" w:rsidP="00D30A83">
      <w:pPr>
        <w:pStyle w:val="ListParagraph"/>
        <w:numPr>
          <w:ilvl w:val="0"/>
          <w:numId w:val="27"/>
        </w:numPr>
        <w:tabs>
          <w:tab w:val="left" w:pos="284"/>
        </w:tabs>
        <w:spacing w:line="480" w:lineRule="auto"/>
        <w:jc w:val="both"/>
        <w:rPr>
          <w:rFonts w:cs="Times New Roman"/>
        </w:rPr>
      </w:pPr>
      <w:r w:rsidRPr="007C6F2E">
        <w:rPr>
          <w:rFonts w:cs="Times New Roman"/>
        </w:rPr>
        <w:t>School of Health Sciences, University of Southampton, Southampton SO17 1BJ, UK</w:t>
      </w:r>
    </w:p>
    <w:p w14:paraId="09A19216" w14:textId="77777777" w:rsidR="003D79B3" w:rsidRPr="007C6F2E" w:rsidRDefault="003D79B3" w:rsidP="00D30A83">
      <w:pPr>
        <w:pStyle w:val="ListParagraph"/>
        <w:numPr>
          <w:ilvl w:val="0"/>
          <w:numId w:val="27"/>
        </w:numPr>
        <w:tabs>
          <w:tab w:val="left" w:pos="284"/>
        </w:tabs>
        <w:spacing w:line="480" w:lineRule="auto"/>
        <w:jc w:val="both"/>
        <w:rPr>
          <w:rFonts w:cs="Times New Roman"/>
        </w:rPr>
      </w:pPr>
      <w:r w:rsidRPr="007C6F2E">
        <w:rPr>
          <w:rFonts w:cs="Times New Roman"/>
        </w:rPr>
        <w:t>Social Statistics and Demography, Social Sciences, University of Southampton, Southampton SO17 1BJ, UK</w:t>
      </w:r>
    </w:p>
    <w:p w14:paraId="09A19217" w14:textId="77777777" w:rsidR="003D79B3" w:rsidRPr="007C6F2E" w:rsidRDefault="003D79B3" w:rsidP="00D30A83">
      <w:pPr>
        <w:spacing w:after="120" w:line="480" w:lineRule="auto"/>
        <w:rPr>
          <w:rFonts w:eastAsia="SimSun" w:cs="Times New Roman"/>
          <w:szCs w:val="24"/>
          <w:lang w:eastAsia="en-US"/>
        </w:rPr>
      </w:pPr>
    </w:p>
    <w:p w14:paraId="09A19218" w14:textId="77777777" w:rsidR="003D79B3" w:rsidRPr="007C6F2E" w:rsidRDefault="003D79B3" w:rsidP="00D30A83">
      <w:pPr>
        <w:spacing w:after="0" w:line="480" w:lineRule="auto"/>
        <w:rPr>
          <w:rFonts w:cs="Times New Roman"/>
        </w:rPr>
      </w:pPr>
      <w:r w:rsidRPr="007C6F2E">
        <w:rPr>
          <w:b/>
        </w:rPr>
        <w:t>Corresponding author:</w:t>
      </w:r>
      <w:r w:rsidRPr="007C6F2E">
        <w:t xml:space="preserve"> Professor Claire Foster, </w:t>
      </w:r>
      <w:r w:rsidRPr="007C6F2E">
        <w:rPr>
          <w:rFonts w:cs="Times New Roman"/>
        </w:rPr>
        <w:t xml:space="preserve">Director, Macmillan Survivorship Research Group, School of Health Sciences, University of Southampton, Building 67, University Road, Highfield, Southampton, SO17 1BJ, UK. Telephone: +44 (0)23 8059 6885. Fax: +44 (0)23 8059 7951. Email: </w:t>
      </w:r>
      <w:hyperlink r:id="rId7" w:history="1">
        <w:r w:rsidRPr="007C6F2E">
          <w:rPr>
            <w:rStyle w:val="Hyperlink"/>
            <w:rFonts w:cs="Times New Roman"/>
          </w:rPr>
          <w:t>C.L.Foster@soton.ac.uk</w:t>
        </w:r>
      </w:hyperlink>
    </w:p>
    <w:p w14:paraId="09A19219" w14:textId="77777777" w:rsidR="003D79B3" w:rsidRPr="007C6F2E" w:rsidRDefault="003D79B3" w:rsidP="00D30A83">
      <w:pPr>
        <w:spacing w:after="0" w:line="480" w:lineRule="auto"/>
      </w:pPr>
    </w:p>
    <w:p w14:paraId="09A1921A" w14:textId="77777777" w:rsidR="003D79B3" w:rsidRPr="007C6F2E" w:rsidRDefault="003D79B3" w:rsidP="00D30A83">
      <w:pPr>
        <w:spacing w:after="0" w:line="480" w:lineRule="auto"/>
      </w:pPr>
    </w:p>
    <w:p w14:paraId="09A1921B" w14:textId="77777777" w:rsidR="003D79B3" w:rsidRPr="007C6F2E" w:rsidRDefault="003D79B3" w:rsidP="00D30A83">
      <w:pPr>
        <w:spacing w:after="0" w:line="480" w:lineRule="auto"/>
      </w:pPr>
    </w:p>
    <w:p w14:paraId="09A1921C" w14:textId="77777777" w:rsidR="003D79B3" w:rsidRPr="007C6F2E" w:rsidRDefault="003D79B3" w:rsidP="00D30A83">
      <w:pPr>
        <w:spacing w:line="480" w:lineRule="auto"/>
        <w:rPr>
          <w:rFonts w:eastAsia="SimSun" w:cs="Times New Roman"/>
          <w:i/>
          <w:sz w:val="28"/>
          <w:szCs w:val="28"/>
          <w:lang w:eastAsia="en-US"/>
        </w:rPr>
      </w:pPr>
      <w:r w:rsidRPr="007C6F2E">
        <w:rPr>
          <w:b/>
          <w:bCs/>
          <w:sz w:val="28"/>
          <w:szCs w:val="28"/>
        </w:rPr>
        <w:lastRenderedPageBreak/>
        <w:t xml:space="preserve">Abstract </w:t>
      </w:r>
    </w:p>
    <w:p w14:paraId="09A1921D" w14:textId="77777777" w:rsidR="003D79B3" w:rsidRPr="007C6F2E" w:rsidRDefault="003D79B3" w:rsidP="00D30A83">
      <w:pPr>
        <w:spacing w:line="480" w:lineRule="auto"/>
        <w:rPr>
          <w:b/>
          <w:bCs/>
        </w:rPr>
      </w:pPr>
      <w:bookmarkStart w:id="0" w:name="_Hlk24351042"/>
      <w:r w:rsidRPr="007C6F2E">
        <w:rPr>
          <w:b/>
          <w:bCs/>
        </w:rPr>
        <w:t>Background</w:t>
      </w:r>
    </w:p>
    <w:p w14:paraId="09A1921E" w14:textId="77777777" w:rsidR="003D79B3" w:rsidRPr="007C6F2E" w:rsidRDefault="003D79B3" w:rsidP="00D30A83">
      <w:pPr>
        <w:spacing w:line="480" w:lineRule="auto"/>
        <w:rPr>
          <w:bCs/>
        </w:rPr>
      </w:pPr>
      <w:r w:rsidRPr="007C6F2E">
        <w:rPr>
          <w:bCs/>
        </w:rPr>
        <w:t xml:space="preserve">The </w:t>
      </w:r>
      <w:proofErr w:type="spellStart"/>
      <w:r w:rsidRPr="007C6F2E">
        <w:rPr>
          <w:bCs/>
        </w:rPr>
        <w:t>ColoREctal</w:t>
      </w:r>
      <w:proofErr w:type="spellEnd"/>
      <w:r w:rsidRPr="007C6F2E">
        <w:rPr>
          <w:bCs/>
        </w:rPr>
        <w:t xml:space="preserve"> Wellbeing (CREW) study is the first study to prospectively recruit colorectal cancer (CRC) patients, carry out the </w:t>
      </w:r>
      <w:r>
        <w:rPr>
          <w:bCs/>
        </w:rPr>
        <w:t>baseline</w:t>
      </w:r>
      <w:r w:rsidRPr="007C6F2E">
        <w:rPr>
          <w:bCs/>
        </w:rPr>
        <w:t xml:space="preserve"> assessment pre-treatment and follow patients up over five years to delineate the impact of treatment on health and wellbeing.</w:t>
      </w:r>
    </w:p>
    <w:p w14:paraId="09A1921F" w14:textId="77777777" w:rsidR="003D79B3" w:rsidRPr="007C6F2E" w:rsidRDefault="003D79B3" w:rsidP="00D30A83">
      <w:pPr>
        <w:spacing w:line="480" w:lineRule="auto"/>
        <w:rPr>
          <w:b/>
          <w:bCs/>
        </w:rPr>
      </w:pPr>
      <w:r w:rsidRPr="007C6F2E">
        <w:rPr>
          <w:b/>
          <w:bCs/>
        </w:rPr>
        <w:t>Methods</w:t>
      </w:r>
    </w:p>
    <w:p w14:paraId="09A19220" w14:textId="77777777" w:rsidR="003D79B3" w:rsidRPr="007C6F2E" w:rsidRDefault="003D79B3" w:rsidP="00D30A83">
      <w:pPr>
        <w:spacing w:line="480" w:lineRule="auto"/>
        <w:rPr>
          <w:bCs/>
        </w:rPr>
      </w:pPr>
      <w:r w:rsidRPr="007C6F2E">
        <w:rPr>
          <w:bCs/>
        </w:rPr>
        <w:t xml:space="preserve">CRC patients received questionnaires at baseline (pre-surgery), 3, 9, 15, 24, 36, 48 and 60 months. The primary outcome was Quality of Life in Adult Cancer Survivors (QLACS); self-efficacy, mental health, social support, affect, socio-demographics, clinical and treatment characteristics were also assessed. Representativeness was evaluated. </w:t>
      </w:r>
      <w:r w:rsidRPr="007C6F2E">
        <w:t>Predictors at baseline and at 24 months of subsequent worsened quality of life (QOL) were identified using multivariable regression models.</w:t>
      </w:r>
    </w:p>
    <w:p w14:paraId="09A19221" w14:textId="77777777" w:rsidR="003D79B3" w:rsidRPr="007C6F2E" w:rsidRDefault="003D79B3" w:rsidP="00D30A83">
      <w:pPr>
        <w:spacing w:line="480" w:lineRule="auto"/>
        <w:rPr>
          <w:bCs/>
        </w:rPr>
      </w:pPr>
      <w:r w:rsidRPr="007C6F2E">
        <w:rPr>
          <w:b/>
          <w:bCs/>
        </w:rPr>
        <w:t>Results</w:t>
      </w:r>
    </w:p>
    <w:p w14:paraId="09A19222" w14:textId="77777777" w:rsidR="003D79B3" w:rsidRPr="007C6F2E" w:rsidRDefault="003D79B3" w:rsidP="00D30A83">
      <w:pPr>
        <w:spacing w:line="480" w:lineRule="auto"/>
      </w:pPr>
      <w:r w:rsidRPr="007C6F2E">
        <w:t>A representative cohort of 1017 non-metastatic CRC patients were recruited from 29 UK cancer centres. Around one third did not return to pre-surgery levels of QOL five years after treatment. Baseline factors associated with worsened QOL included &gt;2 comorbidities, neoadjuvant treatment, high negative affect and low levels of self-</w:t>
      </w:r>
      <w:r>
        <w:t>efficacy</w:t>
      </w:r>
      <w:r w:rsidRPr="007C6F2E">
        <w:t>, social support and positive affect. Predictors at 24 months included older age, low positive affect, high negative affect, fatigue and poor cognitive functioning.</w:t>
      </w:r>
    </w:p>
    <w:p w14:paraId="09A19223" w14:textId="77777777" w:rsidR="003D79B3" w:rsidRPr="007C6F2E" w:rsidRDefault="003D79B3" w:rsidP="00D30A83">
      <w:pPr>
        <w:spacing w:line="480" w:lineRule="auto"/>
        <w:rPr>
          <w:b/>
          <w:bCs/>
        </w:rPr>
      </w:pPr>
      <w:r w:rsidRPr="007C6F2E">
        <w:rPr>
          <w:b/>
          <w:bCs/>
        </w:rPr>
        <w:t>Conclusions</w:t>
      </w:r>
    </w:p>
    <w:p w14:paraId="09A19224" w14:textId="77777777" w:rsidR="003D79B3" w:rsidRPr="007C6F2E" w:rsidRDefault="003D79B3" w:rsidP="00D30A83">
      <w:pPr>
        <w:spacing w:line="480" w:lineRule="auto"/>
      </w:pPr>
      <w:r w:rsidRPr="007C6F2E">
        <w:rPr>
          <w:bCs/>
        </w:rPr>
        <w:t>Some risk factors for poor outcome up to five years following CRC surgery, such as self-efficacy, social support and comorbidity management, are amenable to change. Assessment of these factors from diagnosis to identify those most likely to need support in their recovery is warranted. Early intervention has the potential to improve outcomes.</w:t>
      </w:r>
    </w:p>
    <w:bookmarkEnd w:id="0"/>
    <w:p w14:paraId="09A19225" w14:textId="77777777" w:rsidR="003D79B3" w:rsidRPr="007C6F2E" w:rsidRDefault="003D79B3" w:rsidP="00D30A83">
      <w:pPr>
        <w:pStyle w:val="Heading2"/>
        <w:spacing w:line="480" w:lineRule="auto"/>
        <w:rPr>
          <w:rFonts w:ascii="Calibri" w:hAnsi="Calibri"/>
          <w:color w:val="auto"/>
          <w:sz w:val="28"/>
          <w:szCs w:val="28"/>
        </w:rPr>
      </w:pPr>
      <w:r w:rsidRPr="007C6F2E">
        <w:rPr>
          <w:rFonts w:ascii="Calibri" w:hAnsi="Calibri"/>
          <w:color w:val="auto"/>
          <w:sz w:val="28"/>
          <w:szCs w:val="28"/>
        </w:rPr>
        <w:lastRenderedPageBreak/>
        <w:t>Background</w:t>
      </w:r>
    </w:p>
    <w:p w14:paraId="09A19226" w14:textId="77777777" w:rsidR="003D79B3" w:rsidRPr="007C6F2E" w:rsidRDefault="003D79B3" w:rsidP="00D30A83">
      <w:pPr>
        <w:spacing w:line="480" w:lineRule="auto"/>
      </w:pPr>
      <w:r w:rsidRPr="007C6F2E">
        <w:t>With an estimated five-year prevalence of 3.5 million worldwide, survivors of colorectal cancer (CRC) form the largest group of cancer survivors affecting both men and women</w:t>
      </w:r>
      <w:r w:rsidR="00E743A9">
        <w:t xml:space="preserve"> </w:t>
      </w:r>
      <w:r w:rsidRPr="007C6F2E">
        <w:rPr>
          <w:noProof/>
        </w:rPr>
        <w:t>[1]</w:t>
      </w:r>
      <w:r w:rsidRPr="007C6F2E">
        <w:t>. Improvements in early diagnosis and treatment mean that in England, for example, five year survival rates are approaching 60%</w:t>
      </w:r>
      <w:r w:rsidR="00E743A9">
        <w:t xml:space="preserve"> </w:t>
      </w:r>
      <w:r w:rsidRPr="007C6F2E">
        <w:rPr>
          <w:noProof/>
        </w:rPr>
        <w:t>[2]</w:t>
      </w:r>
      <w:r w:rsidRPr="007C6F2E">
        <w:t>. Although survival rates continue to improve, knowledge about recovery from CRC in terms of health and wellbeing is limited because most previous studies have either been cross-sectional or have not assessed health and wellbeing before treatment</w:t>
      </w:r>
      <w:r w:rsidR="00E743A9">
        <w:t xml:space="preserve"> </w:t>
      </w:r>
      <w:r w:rsidRPr="007C6F2E">
        <w:rPr>
          <w:noProof/>
        </w:rPr>
        <w:t>[3, 4]</w:t>
      </w:r>
      <w:r w:rsidRPr="007C6F2E">
        <w:t>. This means that individual recovery over time cannot be explored. In order to identify factors that might predict who will do poorly after treatment, or benefit from additional support, it is important to understand this population and their health at cancer diagnosis.</w:t>
      </w:r>
    </w:p>
    <w:p w14:paraId="09A19227" w14:textId="77777777" w:rsidR="003D79B3" w:rsidRPr="007C6F2E" w:rsidRDefault="003D79B3" w:rsidP="00D30A83">
      <w:pPr>
        <w:spacing w:line="480" w:lineRule="auto"/>
      </w:pPr>
      <w:bookmarkStart w:id="1" w:name="_Hlk16752849"/>
      <w:r w:rsidRPr="007C6F2E">
        <w:t>Another key point in the cancer journey is when regular oncology/surgical appointments come to an end. Although some people will move to self-managed follow-up a few weeks after surgery, they will be invited to regular surveillance appointments over the following months, before the interval between these appointments gradually increases to years. This period of time, as contact with specialists reduces and when people start to adjust to life after treatment, can be a source of distress for some people who have reported no or minimal distress previously</w:t>
      </w:r>
      <w:r w:rsidR="00E743A9">
        <w:t xml:space="preserve"> </w:t>
      </w:r>
      <w:r w:rsidRPr="007C6F2E">
        <w:rPr>
          <w:noProof/>
        </w:rPr>
        <w:t>[5]</w:t>
      </w:r>
      <w:r w:rsidRPr="007C6F2E">
        <w:t>. In the UK for example, typically, after the two year surveillance appointment, the next appointment will be the five year surveillance appointment</w:t>
      </w:r>
      <w:r w:rsidR="00F26EA0">
        <w:t xml:space="preserve"> </w:t>
      </w:r>
      <w:r w:rsidRPr="007C6F2E">
        <w:rPr>
          <w:noProof/>
        </w:rPr>
        <w:t>[6]</w:t>
      </w:r>
      <w:r w:rsidRPr="007C6F2E">
        <w:t xml:space="preserve">. The two year surveillance appointment provides an opportunity to identify individuals at risk of poor QOL outcome and </w:t>
      </w:r>
      <w:r>
        <w:t>establish care plans</w:t>
      </w:r>
      <w:r w:rsidRPr="007C6F2E">
        <w:t xml:space="preserve"> for people who may not be seen again in secondary or tertiary care for three years. </w:t>
      </w:r>
    </w:p>
    <w:bookmarkEnd w:id="1"/>
    <w:p w14:paraId="09A19228" w14:textId="77777777" w:rsidR="003D79B3" w:rsidRPr="007C6F2E" w:rsidRDefault="003D79B3" w:rsidP="00D30A83">
      <w:pPr>
        <w:spacing w:line="480" w:lineRule="auto"/>
      </w:pPr>
      <w:r w:rsidRPr="007C6F2E">
        <w:t>Previous large-scale studies have suggested that some CRC survivors fare reasonably well with respect to long term health and wellbeing outcomes. For example, a population-level study in England of individuals diagnosed with CRC 12-36 months previously found, using the EQ-5D</w:t>
      </w:r>
      <w:r w:rsidR="00F26EA0">
        <w:t xml:space="preserve"> </w:t>
      </w:r>
      <w:r w:rsidRPr="007C6F2E">
        <w:rPr>
          <w:noProof/>
        </w:rPr>
        <w:t>[7]</w:t>
      </w:r>
      <w:r w:rsidRPr="007C6F2E">
        <w:t>, more than one third reported perfect health</w:t>
      </w:r>
      <w:r w:rsidR="00F26EA0">
        <w:t xml:space="preserve"> </w:t>
      </w:r>
      <w:r w:rsidRPr="007C6F2E">
        <w:rPr>
          <w:noProof/>
        </w:rPr>
        <w:t>[8]</w:t>
      </w:r>
      <w:r w:rsidRPr="007C6F2E">
        <w:t>. In Australia, there was a statistically significant improvement in mean QOL, as assessed by the Satisfaction with Life Scale</w:t>
      </w:r>
      <w:r w:rsidR="00F26EA0">
        <w:t xml:space="preserve"> </w:t>
      </w:r>
      <w:r w:rsidRPr="007C6F2E">
        <w:rPr>
          <w:noProof/>
        </w:rPr>
        <w:t>[9]</w:t>
      </w:r>
      <w:r w:rsidRPr="007C6F2E">
        <w:t xml:space="preserve">, between five months </w:t>
      </w:r>
      <w:r w:rsidRPr="007C6F2E">
        <w:lastRenderedPageBreak/>
        <w:t xml:space="preserve">and five years after diagnosis </w:t>
      </w:r>
      <w:r w:rsidRPr="007C6F2E">
        <w:rPr>
          <w:noProof/>
        </w:rPr>
        <w:t>[3, 10]</w:t>
      </w:r>
      <w:r w:rsidRPr="007C6F2E">
        <w:t>. Whilst in Germany, health-related QOL, as assessed by the European Organisation for Research and Treatment of Cancer Quality of Life Core Questionnaire (EORTC QLQ-C30)</w:t>
      </w:r>
      <w:r w:rsidR="00F26EA0">
        <w:t xml:space="preserve"> </w:t>
      </w:r>
      <w:r w:rsidRPr="007C6F2E">
        <w:rPr>
          <w:noProof/>
        </w:rPr>
        <w:t>[11]</w:t>
      </w:r>
      <w:r w:rsidRPr="007C6F2E">
        <w:t xml:space="preserve"> 1, 3, 5, and 10 years after diagnosis in a population-based CRC cohort, was comparable or better in older survivors than controls up to five years after diagnosis (although the same was not true of younger survivors and the results were less favourable for older survivors 5-10 years after diagnosis)</w:t>
      </w:r>
      <w:r w:rsidR="00F26EA0">
        <w:t xml:space="preserve"> </w:t>
      </w:r>
      <w:r w:rsidRPr="007C6F2E">
        <w:rPr>
          <w:noProof/>
        </w:rPr>
        <w:t>[12]</w:t>
      </w:r>
      <w:r w:rsidRPr="007C6F2E">
        <w:t xml:space="preserve">. Similarly, in the Netherlands, there were no differences on the EORTC QLQ-C30 between people aged </w:t>
      </w:r>
      <w:r w:rsidRPr="007C6F2E">
        <w:rPr>
          <w:rFonts w:cstheme="minorHAnsi"/>
        </w:rPr>
        <w:t>≥</w:t>
      </w:r>
      <w:r w:rsidRPr="007C6F2E">
        <w:t xml:space="preserve">70 years diagnosed with CRC up to ten years earlier and an age and sex-matched normative sample. Although people aged &lt;70 years in the CRC group had more symptoms and functioning problems than the age and sex-matched normative sample, there was no difference on global QOL </w:t>
      </w:r>
      <w:r w:rsidRPr="007C6F2E">
        <w:rPr>
          <w:noProof/>
        </w:rPr>
        <w:t>[13]</w:t>
      </w:r>
      <w:r w:rsidRPr="007C6F2E">
        <w:t>.</w:t>
      </w:r>
    </w:p>
    <w:p w14:paraId="09A19229" w14:textId="77777777" w:rsidR="003D79B3" w:rsidRPr="007C6F2E" w:rsidRDefault="003D79B3" w:rsidP="00D30A83">
      <w:pPr>
        <w:spacing w:line="480" w:lineRule="auto"/>
      </w:pPr>
      <w:r w:rsidRPr="007C6F2E">
        <w:t xml:space="preserve">Despite some people recovering well after treatment for CRC, we have previously demonstrated that around one third of individuals will experience significant recovery problems or may fare consistently poorly during recovery, with pre-treatment psychosocial factors, independent of treatment or disease characteristics, predicting wellbeing outcomes up to two years following surgery </w:t>
      </w:r>
      <w:r w:rsidRPr="007C6F2E">
        <w:rPr>
          <w:noProof/>
        </w:rPr>
        <w:t>[14]</w:t>
      </w:r>
      <w:r w:rsidRPr="007C6F2E">
        <w:t>. The problems associated with CRC and its treatment, such as fatigue, psychological distress, sexual dysfunction and altered bowel habits, may be long-lasting and can have an impact on physical functioning, making it difficult to return to work or resume the activities enjoyed prior to diagnosis</w:t>
      </w:r>
      <w:r w:rsidR="00552C1B">
        <w:t xml:space="preserve"> </w:t>
      </w:r>
      <w:r w:rsidRPr="007C6F2E">
        <w:rPr>
          <w:noProof/>
        </w:rPr>
        <w:t>[15]</w:t>
      </w:r>
      <w:r w:rsidRPr="007C6F2E">
        <w:t xml:space="preserve">. There may be additional problems for those patients living with a stoma. These persistent difficulties alongside continued feelings of uncertainty and concerns for the future not only have implications for an individual’s health but also their sense of subjective wellbeing. </w:t>
      </w:r>
    </w:p>
    <w:p w14:paraId="09A1922A" w14:textId="77777777" w:rsidR="003D79B3" w:rsidRPr="007C6F2E" w:rsidRDefault="003D79B3" w:rsidP="00D30A83">
      <w:pPr>
        <w:spacing w:line="480" w:lineRule="auto"/>
      </w:pPr>
      <w:r w:rsidRPr="007C6F2E">
        <w:t xml:space="preserve">The </w:t>
      </w:r>
      <w:proofErr w:type="spellStart"/>
      <w:r w:rsidRPr="007C6F2E">
        <w:rPr>
          <w:bCs/>
        </w:rPr>
        <w:t>ColoREctal</w:t>
      </w:r>
      <w:proofErr w:type="spellEnd"/>
      <w:r w:rsidRPr="007C6F2E">
        <w:rPr>
          <w:bCs/>
        </w:rPr>
        <w:t xml:space="preserve"> Wellbeing (CREW) study </w:t>
      </w:r>
      <w:r w:rsidRPr="007C6F2E">
        <w:rPr>
          <w:noProof/>
        </w:rPr>
        <w:t>[16]</w:t>
      </w:r>
      <w:r w:rsidRPr="007C6F2E">
        <w:t xml:space="preserve"> was established to systematically follow a </w:t>
      </w:r>
      <w:r>
        <w:t xml:space="preserve">representative </w:t>
      </w:r>
      <w:r w:rsidRPr="007C6F2E">
        <w:t xml:space="preserve">cohort of patients from diagnosis using a framework of recovery of health and wellbeing </w:t>
      </w:r>
      <w:r w:rsidRPr="007C6F2E">
        <w:rPr>
          <w:noProof/>
        </w:rPr>
        <w:t>[17]</w:t>
      </w:r>
      <w:r w:rsidRPr="007C6F2E">
        <w:t xml:space="preserve"> to explore the multiple factors that might affect recovery over time. Unlike other longitudinal cohort studies of CRC, the first assessment was carried out pre-treatment. The primary outcome measure was the Quality of Life in Adult Cancer Survivors Scale (QLACS)</w:t>
      </w:r>
      <w:r w:rsidR="00552C1B">
        <w:t xml:space="preserve"> </w:t>
      </w:r>
      <w:r w:rsidRPr="007C6F2E">
        <w:rPr>
          <w:noProof/>
        </w:rPr>
        <w:t>[18]</w:t>
      </w:r>
      <w:r w:rsidRPr="007C6F2E">
        <w:t xml:space="preserve">. This measure </w:t>
      </w:r>
      <w:r w:rsidRPr="007C6F2E">
        <w:lastRenderedPageBreak/>
        <w:t xml:space="preserve">was selected over other cancer-specific quality of life instruments because it includes longer term issues, rather than focussing on the acute effects of diagnosis and treatment. </w:t>
      </w:r>
    </w:p>
    <w:p w14:paraId="09A1922B" w14:textId="77777777" w:rsidR="003D79B3" w:rsidRPr="007C6F2E" w:rsidRDefault="003D79B3" w:rsidP="00D30A83">
      <w:pPr>
        <w:spacing w:line="480" w:lineRule="auto"/>
      </w:pPr>
      <w:r w:rsidRPr="007C6F2E">
        <w:t>The aim of this paper is to describe the CREW cohort in terms of socio-demographic, clinical and treatment characteristics and to report the results of the primary outcome</w:t>
      </w:r>
      <w:r>
        <w:t xml:space="preserve"> (</w:t>
      </w:r>
      <w:r w:rsidRPr="007C6F2E">
        <w:t>QLACS</w:t>
      </w:r>
      <w:r>
        <w:t>)</w:t>
      </w:r>
      <w:r w:rsidRPr="007C6F2E">
        <w:t xml:space="preserve">, up to five years post-surgery. The objectives are: </w:t>
      </w:r>
      <w:proofErr w:type="spellStart"/>
      <w:r w:rsidRPr="007C6F2E">
        <w:t>i</w:t>
      </w:r>
      <w:proofErr w:type="spellEnd"/>
      <w:r w:rsidRPr="007C6F2E">
        <w:t>) to evaluate the representativeness of the CREW sample, both in terms of how the cohort compares with UK national data and also by comparing the participants who remained in the study throughout the five years with those who did not;  ii) to identify the proportion of CREW participants whose QOL improves, declines or stays the same compared with baseline at each time point; and iii) to determine which characteristics at diagnosis and at two years are associated with a subsequent decline in QOL.</w:t>
      </w:r>
    </w:p>
    <w:p w14:paraId="09A1922C" w14:textId="77777777" w:rsidR="003D79B3" w:rsidRPr="007C6F2E" w:rsidRDefault="003D79B3" w:rsidP="00D30A83">
      <w:pPr>
        <w:pStyle w:val="Heading2"/>
        <w:spacing w:line="480" w:lineRule="auto"/>
        <w:rPr>
          <w:rFonts w:ascii="Calibri" w:hAnsi="Calibri"/>
          <w:color w:val="auto"/>
          <w:sz w:val="28"/>
          <w:szCs w:val="28"/>
        </w:rPr>
      </w:pPr>
      <w:r w:rsidRPr="007C6F2E">
        <w:rPr>
          <w:rFonts w:ascii="Calibri" w:hAnsi="Calibri"/>
          <w:color w:val="auto"/>
          <w:sz w:val="28"/>
          <w:szCs w:val="28"/>
        </w:rPr>
        <w:t>Methods</w:t>
      </w:r>
    </w:p>
    <w:p w14:paraId="09A1922D" w14:textId="77777777" w:rsidR="003D79B3" w:rsidRPr="007C6F2E" w:rsidRDefault="003D79B3" w:rsidP="00D30A83">
      <w:pPr>
        <w:spacing w:line="480" w:lineRule="auto"/>
        <w:rPr>
          <w:b/>
        </w:rPr>
      </w:pPr>
      <w:r w:rsidRPr="007C6F2E">
        <w:rPr>
          <w:b/>
        </w:rPr>
        <w:t>Procedure</w:t>
      </w:r>
    </w:p>
    <w:p w14:paraId="09A1922E" w14:textId="77777777" w:rsidR="003D79B3" w:rsidRPr="007C6F2E" w:rsidRDefault="003D79B3" w:rsidP="00D30A83">
      <w:pPr>
        <w:spacing w:line="480" w:lineRule="auto"/>
      </w:pPr>
      <w:r w:rsidRPr="007C6F2E">
        <w:t>The study was approved by the UK National Health Service National Research Ethics Service (REC reference number: 10/H0605/31) and all participants provided written informed consent. Some patients gave consent to be followed up but not to complete the self-report questionnaires</w:t>
      </w:r>
      <w:r>
        <w:t xml:space="preserve"> – reduced consenters</w:t>
      </w:r>
      <w:r w:rsidRPr="007C6F2E">
        <w:t xml:space="preserve"> (Fig 1).</w:t>
      </w:r>
    </w:p>
    <w:p w14:paraId="09A1922F" w14:textId="77777777" w:rsidR="003D79B3" w:rsidRPr="007C6F2E" w:rsidRDefault="003D79B3" w:rsidP="00D30A83">
      <w:pPr>
        <w:spacing w:line="480" w:lineRule="auto"/>
      </w:pPr>
      <w:r w:rsidRPr="007C6F2E">
        <w:rPr>
          <w:b/>
        </w:rPr>
        <w:t>Fig 1: CREW recruitment flowchart</w:t>
      </w:r>
    </w:p>
    <w:p w14:paraId="09A19230" w14:textId="77777777" w:rsidR="003D79B3" w:rsidRPr="007C6F2E" w:rsidRDefault="003D79B3" w:rsidP="00D30A83">
      <w:pPr>
        <w:spacing w:line="480" w:lineRule="auto"/>
      </w:pPr>
      <w:r>
        <w:t>A</w:t>
      </w:r>
      <w:r w:rsidRPr="007C6F2E">
        <w:t>ll eligible patients attending 29 UK cancer centres during the recruitment period (November 2010 – March 2012)</w:t>
      </w:r>
      <w:r>
        <w:t xml:space="preserve"> were invited</w:t>
      </w:r>
      <w:r w:rsidRPr="007C6F2E">
        <w:t xml:space="preserve"> to participate. Not all centres recruited throughout the recruitment phase and recruitment closed when the target sample of 1000 patients was reached.</w:t>
      </w:r>
    </w:p>
    <w:p w14:paraId="09A19231" w14:textId="77777777" w:rsidR="003D79B3" w:rsidRPr="007C6F2E" w:rsidRDefault="003D79B3" w:rsidP="00D30A83">
      <w:pPr>
        <w:spacing w:line="480" w:lineRule="auto"/>
      </w:pPr>
      <w:r w:rsidRPr="007C6F2E">
        <w:t xml:space="preserve">Baseline questionnaires were completed prior to primary surgery wherever possible, then follow-up questionnaires mailed to participants at 3, 9, 15, 24, 36, 48 and 60 months. Before each mailing, general practitioners (GPs) were contacted to check that participants were alive and had mental </w:t>
      </w:r>
      <w:r w:rsidRPr="007C6F2E">
        <w:lastRenderedPageBreak/>
        <w:t xml:space="preserve">capacity. </w:t>
      </w:r>
      <w:r>
        <w:t>Reminders by phone or post were issued two and four weeks later where necessary</w:t>
      </w:r>
      <w:r w:rsidRPr="007C6F2E">
        <w:t xml:space="preserve">. From 15 months onwards, a short version of the questionnaire was included in the reminder pack as an alternative to filling out the full version </w:t>
      </w:r>
      <w:r>
        <w:t xml:space="preserve">(see </w:t>
      </w:r>
      <w:r w:rsidRPr="007C6F2E">
        <w:t xml:space="preserve">Supporting information </w:t>
      </w:r>
      <w:r>
        <w:t>for</w:t>
      </w:r>
      <w:r w:rsidRPr="007C6F2E">
        <w:t xml:space="preserve"> differences between the </w:t>
      </w:r>
      <w:r>
        <w:t>two)</w:t>
      </w:r>
      <w:r w:rsidRPr="007C6F2E">
        <w:t xml:space="preserve">. Participants who were not sent a questionnaire at one time point remained eligible for the </w:t>
      </w:r>
      <w:r>
        <w:t xml:space="preserve">next </w:t>
      </w:r>
      <w:r w:rsidRPr="007C6F2E">
        <w:t>questionnaire.</w:t>
      </w:r>
    </w:p>
    <w:p w14:paraId="09A19232" w14:textId="77777777" w:rsidR="003D79B3" w:rsidRPr="007C6F2E" w:rsidRDefault="003D79B3" w:rsidP="00D30A83">
      <w:pPr>
        <w:spacing w:line="480" w:lineRule="auto"/>
      </w:pPr>
      <w:r w:rsidRPr="007C6F2E">
        <w:t>In order to assess potential selection bias, non-identifiable socio-demographic data (with consent) were collected (age, gender, ethnicity, domestic status, employment status) on those who chose not to participate in the study. Where possible, reasons for non-participation were gathered.</w:t>
      </w:r>
    </w:p>
    <w:p w14:paraId="09A19233" w14:textId="77777777" w:rsidR="003D79B3" w:rsidRPr="007C6F2E" w:rsidRDefault="003D79B3" w:rsidP="00D30A83">
      <w:pPr>
        <w:spacing w:line="480" w:lineRule="auto"/>
      </w:pPr>
      <w:r w:rsidRPr="007C6F2E">
        <w:t>Ethnicity was self-reported by full consent participants or by the research nurse for those who gave reduced consent. Postcode was used to derive a measure of neighbourhood deprivation (Index of Multiple Deprivation)</w:t>
      </w:r>
      <w:r w:rsidR="00552C1B">
        <w:t xml:space="preserve"> </w:t>
      </w:r>
      <w:r w:rsidRPr="007C6F2E">
        <w:rPr>
          <w:noProof/>
        </w:rPr>
        <w:t>[19]</w:t>
      </w:r>
      <w:r w:rsidRPr="007C6F2E">
        <w:t xml:space="preserve">. Clinical and treatment details were extracted from medical notes at 6 and 24 months after surgery. </w:t>
      </w:r>
    </w:p>
    <w:p w14:paraId="09A19234" w14:textId="77777777" w:rsidR="003D79B3" w:rsidRPr="007C6F2E" w:rsidRDefault="003D79B3" w:rsidP="00D30A83">
      <w:pPr>
        <w:pStyle w:val="Heading3"/>
        <w:spacing w:line="480" w:lineRule="auto"/>
        <w:rPr>
          <w:rFonts w:asciiTheme="minorHAnsi" w:hAnsiTheme="minorHAnsi"/>
          <w:color w:val="auto"/>
          <w:sz w:val="24"/>
          <w:szCs w:val="24"/>
        </w:rPr>
      </w:pPr>
      <w:r w:rsidRPr="007C6F2E">
        <w:rPr>
          <w:rFonts w:asciiTheme="minorHAnsi" w:hAnsiTheme="minorHAnsi"/>
          <w:color w:val="auto"/>
          <w:sz w:val="24"/>
          <w:szCs w:val="24"/>
        </w:rPr>
        <w:t>Participants</w:t>
      </w:r>
    </w:p>
    <w:p w14:paraId="09A19235" w14:textId="77777777" w:rsidR="003D79B3" w:rsidRPr="007C6F2E" w:rsidRDefault="003D79B3" w:rsidP="00D30A83">
      <w:pPr>
        <w:spacing w:line="480" w:lineRule="auto"/>
      </w:pPr>
      <w:r w:rsidRPr="007C6F2E">
        <w:t>Patients were eligible if they: a) had a diagnosis of colorectal cancer (Dukes’ stage A-C), b) were awaiting primary</w:t>
      </w:r>
      <w:r w:rsidRPr="007C6F2E">
        <w:rPr>
          <w:rFonts w:hint="eastAsia"/>
        </w:rPr>
        <w:t xml:space="preserve"> surgery with curative intent, </w:t>
      </w:r>
      <w:r w:rsidRPr="007C6F2E">
        <w:t>c</w:t>
      </w:r>
      <w:r w:rsidRPr="007C6F2E">
        <w:rPr>
          <w:rFonts w:hint="eastAsia"/>
        </w:rPr>
        <w:t xml:space="preserve">) </w:t>
      </w:r>
      <w:r w:rsidRPr="007C6F2E">
        <w:rPr>
          <w:rFonts w:hint="eastAsia"/>
        </w:rPr>
        <w:t>≥</w:t>
      </w:r>
      <w:r w:rsidRPr="007C6F2E">
        <w:rPr>
          <w:rFonts w:hint="eastAsia"/>
        </w:rPr>
        <w:t xml:space="preserve"> 18 years old, </w:t>
      </w:r>
      <w:r w:rsidRPr="007C6F2E">
        <w:t>d</w:t>
      </w:r>
      <w:r w:rsidRPr="007C6F2E">
        <w:rPr>
          <w:rFonts w:hint="eastAsia"/>
        </w:rPr>
        <w:t xml:space="preserve">) had the ability to complete questionnaires (language line translation facilities were available for those that did </w:t>
      </w:r>
      <w:r w:rsidRPr="007C6F2E">
        <w:t xml:space="preserve">not speak English). Distant metastatic disease at diagnosis or a prior diagnosis of cancer (other than non-melanomatous skin cancer or in situ carcinoma cervix) were exclusion criteria. </w:t>
      </w:r>
    </w:p>
    <w:p w14:paraId="09A19236" w14:textId="77777777" w:rsidR="003D79B3" w:rsidRPr="007C6F2E" w:rsidRDefault="003D79B3" w:rsidP="00D30A83">
      <w:pPr>
        <w:spacing w:line="480" w:lineRule="auto"/>
        <w:rPr>
          <w:b/>
        </w:rPr>
      </w:pPr>
      <w:r w:rsidRPr="007C6F2E">
        <w:rPr>
          <w:b/>
        </w:rPr>
        <w:t>Measures</w:t>
      </w:r>
    </w:p>
    <w:p w14:paraId="09A19237" w14:textId="77777777" w:rsidR="003D79B3" w:rsidRPr="007C6F2E" w:rsidRDefault="003D79B3" w:rsidP="00D30A83">
      <w:pPr>
        <w:spacing w:line="480" w:lineRule="auto"/>
      </w:pPr>
      <w:r w:rsidRPr="007C6F2E">
        <w:t xml:space="preserve">Selection of measures was based on our recovery framework </w:t>
      </w:r>
      <w:r w:rsidRPr="007C6F2E">
        <w:rPr>
          <w:noProof/>
        </w:rPr>
        <w:t>[17]</w:t>
      </w:r>
      <w:r w:rsidRPr="007C6F2E">
        <w:t>. Table 1 lists the measures used, the area of assessment and the relevant recovery framework domain</w:t>
      </w:r>
      <w:r w:rsidR="00552C1B">
        <w:t xml:space="preserve"> </w:t>
      </w:r>
      <w:r w:rsidRPr="007C6F2E">
        <w:rPr>
          <w:noProof/>
        </w:rPr>
        <w:t>[17]</w:t>
      </w:r>
      <w:r w:rsidRPr="007C6F2E">
        <w:t xml:space="preserve">. Supporting information details which measures were included at each time point. The primary outcome, QLACS, comprises 28 generic items, with seven domains (negative feelings, positive feelings, cognitive problems, sexual problems, physical pain, fatigue and social avoidance) and 19 cancer-specific items, with five </w:t>
      </w:r>
      <w:r w:rsidRPr="007C6F2E">
        <w:lastRenderedPageBreak/>
        <w:t>domains (appearance concerns, financial problems, distress over recurrence, family-related distress and benefits of cancer). A generic summary score (GSS) is created by summing the generic domains (after reverse scoring the positive feelings domain). A cancer specific summary score (CSS) is created by summing the cancer-specific domains, except benefits of cancer. Higher scores indicate worse QOL. The 28 generic items were included at each time point and the 19 cancer-specific items were included from 15 months onwards, as these are more relevant to longer term survivors. This paper reports on the GSS.</w:t>
      </w:r>
    </w:p>
    <w:p w14:paraId="09A19238" w14:textId="77777777" w:rsidR="003D79B3" w:rsidRPr="007C6F2E" w:rsidRDefault="003D79B3" w:rsidP="00D30A83">
      <w:pPr>
        <w:spacing w:line="480" w:lineRule="auto"/>
      </w:pPr>
      <w:r w:rsidRPr="007C6F2E">
        <w:t>Further details about the other measures have been reported elsewhere</w:t>
      </w:r>
      <w:r w:rsidR="00552C1B">
        <w:t xml:space="preserve"> </w:t>
      </w:r>
      <w:r w:rsidRPr="007C6F2E">
        <w:rPr>
          <w:noProof/>
        </w:rPr>
        <w:t>[14, 16, 20]</w:t>
      </w:r>
      <w:r w:rsidRPr="007C6F2E">
        <w:t>.</w:t>
      </w:r>
    </w:p>
    <w:p w14:paraId="09A19239" w14:textId="77777777" w:rsidR="003D79B3" w:rsidRPr="007C6F2E" w:rsidRDefault="003D79B3" w:rsidP="00D30A83">
      <w:pPr>
        <w:spacing w:after="160" w:line="259" w:lineRule="auto"/>
        <w:rPr>
          <w:b/>
          <w:bCs/>
        </w:rPr>
      </w:pPr>
      <w:r w:rsidRPr="007C6F2E">
        <w:rPr>
          <w:b/>
          <w:bCs/>
        </w:rPr>
        <w:t>Table 1: Validated measures used in CREW</w:t>
      </w:r>
      <w:r w:rsidRPr="007C6F2E">
        <w:rPr>
          <w:b/>
          <w:bCs/>
        </w:rPr>
        <w:br/>
      </w:r>
    </w:p>
    <w:tbl>
      <w:tblPr>
        <w:tblStyle w:val="TableGrid"/>
        <w:tblW w:w="0" w:type="auto"/>
        <w:tblLook w:val="04A0" w:firstRow="1" w:lastRow="0" w:firstColumn="1" w:lastColumn="0" w:noHBand="0" w:noVBand="1"/>
      </w:tblPr>
      <w:tblGrid>
        <w:gridCol w:w="2841"/>
        <w:gridCol w:w="5659"/>
      </w:tblGrid>
      <w:tr w:rsidR="003D79B3" w:rsidRPr="007C6F2E" w14:paraId="09A1923C" w14:textId="77777777" w:rsidTr="00D30A83">
        <w:tc>
          <w:tcPr>
            <w:tcW w:w="0" w:type="auto"/>
          </w:tcPr>
          <w:p w14:paraId="09A1923A" w14:textId="77777777" w:rsidR="003D79B3" w:rsidRPr="007C6F2E" w:rsidRDefault="003D79B3" w:rsidP="00D30A83">
            <w:pPr>
              <w:spacing w:line="480" w:lineRule="auto"/>
              <w:rPr>
                <w:b/>
                <w:bCs/>
              </w:rPr>
            </w:pPr>
            <w:r w:rsidRPr="007C6F2E">
              <w:rPr>
                <w:b/>
                <w:bCs/>
              </w:rPr>
              <w:t>Framework domain</w:t>
            </w:r>
          </w:p>
        </w:tc>
        <w:tc>
          <w:tcPr>
            <w:tcW w:w="0" w:type="auto"/>
          </w:tcPr>
          <w:p w14:paraId="09A1923B" w14:textId="77777777" w:rsidR="003D79B3" w:rsidRPr="007C6F2E" w:rsidRDefault="003D79B3" w:rsidP="00D30A83">
            <w:pPr>
              <w:spacing w:line="480" w:lineRule="auto"/>
              <w:rPr>
                <w:b/>
                <w:bCs/>
              </w:rPr>
            </w:pPr>
            <w:r w:rsidRPr="007C6F2E">
              <w:rPr>
                <w:b/>
                <w:bCs/>
              </w:rPr>
              <w:t>Measure</w:t>
            </w:r>
          </w:p>
        </w:tc>
      </w:tr>
      <w:tr w:rsidR="003D79B3" w:rsidRPr="007C6F2E" w14:paraId="09A1923F" w14:textId="77777777" w:rsidTr="00D30A83">
        <w:tc>
          <w:tcPr>
            <w:tcW w:w="0" w:type="auto"/>
          </w:tcPr>
          <w:p w14:paraId="09A1923D" w14:textId="77777777" w:rsidR="003D79B3" w:rsidRPr="007C6F2E" w:rsidRDefault="003D79B3" w:rsidP="00D30A83">
            <w:pPr>
              <w:spacing w:line="480" w:lineRule="auto"/>
              <w:rPr>
                <w:bCs/>
              </w:rPr>
            </w:pPr>
            <w:r w:rsidRPr="007C6F2E">
              <w:rPr>
                <w:bCs/>
              </w:rPr>
              <w:t>Problems experienced</w:t>
            </w:r>
          </w:p>
        </w:tc>
        <w:tc>
          <w:tcPr>
            <w:tcW w:w="0" w:type="auto"/>
          </w:tcPr>
          <w:p w14:paraId="09A1923E" w14:textId="77777777" w:rsidR="003D79B3" w:rsidRPr="007C6F2E" w:rsidRDefault="003D79B3" w:rsidP="00D30A83">
            <w:pPr>
              <w:spacing w:line="480" w:lineRule="auto"/>
              <w:rPr>
                <w:bCs/>
              </w:rPr>
            </w:pPr>
            <w:r w:rsidRPr="007C6F2E">
              <w:rPr>
                <w:bCs/>
              </w:rPr>
              <w:t>EORTC QLQ-C30</w:t>
            </w:r>
            <w:r w:rsidRPr="007C6F2E">
              <w:rPr>
                <w:bCs/>
                <w:noProof/>
              </w:rPr>
              <w:t>[11]</w:t>
            </w:r>
            <w:r w:rsidRPr="007C6F2E">
              <w:rPr>
                <w:bCs/>
              </w:rPr>
              <w:t xml:space="preserve"> and QLQ-CR29</w:t>
            </w:r>
            <w:r w:rsidR="00552C1B">
              <w:rPr>
                <w:bCs/>
              </w:rPr>
              <w:t xml:space="preserve"> </w:t>
            </w:r>
            <w:r w:rsidRPr="007C6F2E">
              <w:rPr>
                <w:bCs/>
                <w:noProof/>
              </w:rPr>
              <w:t>[21]</w:t>
            </w:r>
            <w:r w:rsidRPr="007C6F2E">
              <w:rPr>
                <w:bCs/>
              </w:rPr>
              <w:t>T</w:t>
            </w:r>
          </w:p>
        </w:tc>
      </w:tr>
      <w:tr w:rsidR="003D79B3" w:rsidRPr="007C6F2E" w14:paraId="09A19242" w14:textId="77777777" w:rsidTr="00D30A83">
        <w:tc>
          <w:tcPr>
            <w:tcW w:w="0" w:type="auto"/>
          </w:tcPr>
          <w:p w14:paraId="09A19240" w14:textId="77777777" w:rsidR="003D79B3" w:rsidRPr="007C6F2E" w:rsidRDefault="003D79B3" w:rsidP="00D30A83">
            <w:pPr>
              <w:spacing w:line="480" w:lineRule="auto"/>
              <w:rPr>
                <w:bCs/>
              </w:rPr>
            </w:pPr>
          </w:p>
        </w:tc>
        <w:tc>
          <w:tcPr>
            <w:tcW w:w="0" w:type="auto"/>
          </w:tcPr>
          <w:p w14:paraId="09A19241" w14:textId="77777777" w:rsidR="003D79B3" w:rsidRPr="007C6F2E" w:rsidRDefault="003D79B3" w:rsidP="00D30A83">
            <w:pPr>
              <w:spacing w:line="480" w:lineRule="auto"/>
              <w:rPr>
                <w:bCs/>
              </w:rPr>
            </w:pPr>
            <w:r w:rsidRPr="007C6F2E">
              <w:rPr>
                <w:bCs/>
              </w:rPr>
              <w:t>Supportive care needs survey (SCNS-SF34)</w:t>
            </w:r>
            <w:r w:rsidR="00552C1B">
              <w:rPr>
                <w:bCs/>
              </w:rPr>
              <w:t xml:space="preserve"> </w:t>
            </w:r>
            <w:r w:rsidRPr="007C6F2E">
              <w:rPr>
                <w:bCs/>
                <w:noProof/>
              </w:rPr>
              <w:t>[22]</w:t>
            </w:r>
          </w:p>
        </w:tc>
      </w:tr>
      <w:tr w:rsidR="003D79B3" w:rsidRPr="007C6F2E" w14:paraId="09A19245" w14:textId="77777777" w:rsidTr="00D30A83">
        <w:tc>
          <w:tcPr>
            <w:tcW w:w="0" w:type="auto"/>
          </w:tcPr>
          <w:p w14:paraId="09A19243" w14:textId="77777777" w:rsidR="003D79B3" w:rsidRPr="007C6F2E" w:rsidRDefault="003D79B3" w:rsidP="00D30A83">
            <w:pPr>
              <w:spacing w:line="480" w:lineRule="auto"/>
              <w:rPr>
                <w:bCs/>
              </w:rPr>
            </w:pPr>
            <w:r w:rsidRPr="007C6F2E">
              <w:rPr>
                <w:bCs/>
              </w:rPr>
              <w:t>Health and wellbeing</w:t>
            </w:r>
          </w:p>
        </w:tc>
        <w:tc>
          <w:tcPr>
            <w:tcW w:w="0" w:type="auto"/>
          </w:tcPr>
          <w:p w14:paraId="09A19244" w14:textId="77777777" w:rsidR="003D79B3" w:rsidRPr="007C6F2E" w:rsidRDefault="003D79B3" w:rsidP="00D30A83">
            <w:pPr>
              <w:spacing w:line="480" w:lineRule="auto"/>
              <w:rPr>
                <w:bCs/>
              </w:rPr>
            </w:pPr>
            <w:r w:rsidRPr="007C6F2E">
              <w:rPr>
                <w:bCs/>
              </w:rPr>
              <w:t>Quality of life in adult cancer survivors, (QLACS)</w:t>
            </w:r>
            <w:r w:rsidR="00552C1B">
              <w:rPr>
                <w:bCs/>
              </w:rPr>
              <w:t xml:space="preserve"> </w:t>
            </w:r>
            <w:r w:rsidRPr="007C6F2E">
              <w:rPr>
                <w:bCs/>
                <w:noProof/>
              </w:rPr>
              <w:t>[18]</w:t>
            </w:r>
          </w:p>
        </w:tc>
      </w:tr>
      <w:tr w:rsidR="003D79B3" w:rsidRPr="007C6F2E" w14:paraId="09A19248" w14:textId="77777777" w:rsidTr="00D30A83">
        <w:tc>
          <w:tcPr>
            <w:tcW w:w="0" w:type="auto"/>
          </w:tcPr>
          <w:p w14:paraId="09A19246" w14:textId="77777777" w:rsidR="003D79B3" w:rsidRPr="007C6F2E" w:rsidRDefault="003D79B3" w:rsidP="00D30A83">
            <w:pPr>
              <w:spacing w:line="480" w:lineRule="auto"/>
              <w:rPr>
                <w:bCs/>
              </w:rPr>
            </w:pPr>
          </w:p>
        </w:tc>
        <w:tc>
          <w:tcPr>
            <w:tcW w:w="0" w:type="auto"/>
          </w:tcPr>
          <w:p w14:paraId="09A19247" w14:textId="77777777" w:rsidR="003D79B3" w:rsidRPr="007C6F2E" w:rsidRDefault="003D79B3" w:rsidP="00D30A83">
            <w:pPr>
              <w:spacing w:line="480" w:lineRule="auto"/>
              <w:rPr>
                <w:bCs/>
              </w:rPr>
            </w:pPr>
            <w:r w:rsidRPr="007C6F2E">
              <w:rPr>
                <w:bCs/>
              </w:rPr>
              <w:t>Personal wellbeing index-adult (PWI-A)</w:t>
            </w:r>
            <w:r w:rsidR="00552C1B">
              <w:rPr>
                <w:bCs/>
              </w:rPr>
              <w:t xml:space="preserve"> </w:t>
            </w:r>
            <w:r w:rsidRPr="007C6F2E">
              <w:rPr>
                <w:bCs/>
                <w:noProof/>
              </w:rPr>
              <w:t>[23]</w:t>
            </w:r>
          </w:p>
        </w:tc>
      </w:tr>
      <w:tr w:rsidR="003D79B3" w:rsidRPr="007C6F2E" w14:paraId="09A1924B" w14:textId="77777777" w:rsidTr="00D30A83">
        <w:tc>
          <w:tcPr>
            <w:tcW w:w="0" w:type="auto"/>
          </w:tcPr>
          <w:p w14:paraId="09A19249" w14:textId="77777777" w:rsidR="003D79B3" w:rsidRPr="007C6F2E" w:rsidRDefault="003D79B3" w:rsidP="00D30A83">
            <w:pPr>
              <w:spacing w:line="480" w:lineRule="auto"/>
              <w:rPr>
                <w:bCs/>
              </w:rPr>
            </w:pPr>
          </w:p>
        </w:tc>
        <w:tc>
          <w:tcPr>
            <w:tcW w:w="0" w:type="auto"/>
          </w:tcPr>
          <w:p w14:paraId="09A1924A" w14:textId="77777777" w:rsidR="003D79B3" w:rsidRPr="007C6F2E" w:rsidRDefault="003D79B3" w:rsidP="00D30A83">
            <w:pPr>
              <w:spacing w:line="480" w:lineRule="auto"/>
              <w:rPr>
                <w:bCs/>
              </w:rPr>
            </w:pPr>
            <w:r w:rsidRPr="007C6F2E">
              <w:rPr>
                <w:bCs/>
              </w:rPr>
              <w:t>EQ-5D</w:t>
            </w:r>
            <w:r w:rsidR="00552C1B">
              <w:rPr>
                <w:bCs/>
              </w:rPr>
              <w:t xml:space="preserve"> </w:t>
            </w:r>
            <w:r w:rsidRPr="007C6F2E">
              <w:rPr>
                <w:bCs/>
                <w:noProof/>
              </w:rPr>
              <w:t>[7]</w:t>
            </w:r>
          </w:p>
        </w:tc>
      </w:tr>
      <w:tr w:rsidR="003D79B3" w:rsidRPr="007C6F2E" w14:paraId="09A1924E" w14:textId="77777777" w:rsidTr="00D30A83">
        <w:tc>
          <w:tcPr>
            <w:tcW w:w="0" w:type="auto"/>
          </w:tcPr>
          <w:p w14:paraId="09A1924C" w14:textId="77777777" w:rsidR="003D79B3" w:rsidRPr="007C6F2E" w:rsidRDefault="003D79B3" w:rsidP="00D30A83">
            <w:pPr>
              <w:spacing w:line="480" w:lineRule="auto"/>
              <w:rPr>
                <w:bCs/>
              </w:rPr>
            </w:pPr>
            <w:r w:rsidRPr="007C6F2E">
              <w:rPr>
                <w:bCs/>
              </w:rPr>
              <w:t>Pre-existing factors</w:t>
            </w:r>
          </w:p>
        </w:tc>
        <w:tc>
          <w:tcPr>
            <w:tcW w:w="0" w:type="auto"/>
          </w:tcPr>
          <w:p w14:paraId="09A1924D" w14:textId="77777777" w:rsidR="003D79B3" w:rsidRPr="007C6F2E" w:rsidRDefault="003D79B3" w:rsidP="00D30A83">
            <w:pPr>
              <w:spacing w:line="480" w:lineRule="auto"/>
              <w:rPr>
                <w:bCs/>
              </w:rPr>
            </w:pPr>
            <w:r w:rsidRPr="007C6F2E">
              <w:rPr>
                <w:bCs/>
              </w:rPr>
              <w:t>List of threatening experiences</w:t>
            </w:r>
            <w:r w:rsidR="00552C1B">
              <w:rPr>
                <w:bCs/>
              </w:rPr>
              <w:t xml:space="preserve"> </w:t>
            </w:r>
            <w:r w:rsidRPr="007C6F2E">
              <w:rPr>
                <w:bCs/>
                <w:noProof/>
              </w:rPr>
              <w:t>[24]</w:t>
            </w:r>
          </w:p>
        </w:tc>
      </w:tr>
      <w:tr w:rsidR="003D79B3" w:rsidRPr="007C6F2E" w14:paraId="09A19251" w14:textId="77777777" w:rsidTr="00D30A83">
        <w:tc>
          <w:tcPr>
            <w:tcW w:w="0" w:type="auto"/>
          </w:tcPr>
          <w:p w14:paraId="09A1924F" w14:textId="77777777" w:rsidR="003D79B3" w:rsidRPr="007C6F2E" w:rsidRDefault="003D79B3" w:rsidP="00D30A83">
            <w:pPr>
              <w:spacing w:line="480" w:lineRule="auto"/>
              <w:rPr>
                <w:bCs/>
              </w:rPr>
            </w:pPr>
            <w:r w:rsidRPr="007C6F2E">
              <w:rPr>
                <w:bCs/>
              </w:rPr>
              <w:t>Personal factors</w:t>
            </w:r>
          </w:p>
        </w:tc>
        <w:tc>
          <w:tcPr>
            <w:tcW w:w="0" w:type="auto"/>
          </w:tcPr>
          <w:p w14:paraId="09A19250" w14:textId="77777777" w:rsidR="003D79B3" w:rsidRPr="007C6F2E" w:rsidRDefault="003D79B3" w:rsidP="00D30A83">
            <w:pPr>
              <w:spacing w:line="480" w:lineRule="auto"/>
              <w:rPr>
                <w:bCs/>
              </w:rPr>
            </w:pPr>
            <w:r w:rsidRPr="007C6F2E">
              <w:rPr>
                <w:bCs/>
              </w:rPr>
              <w:t>Illness perception questionnaire (revised), IPQ-R</w:t>
            </w:r>
          </w:p>
        </w:tc>
      </w:tr>
      <w:tr w:rsidR="003D79B3" w:rsidRPr="007C6F2E" w14:paraId="09A19254" w14:textId="77777777" w:rsidTr="00D30A83">
        <w:tc>
          <w:tcPr>
            <w:tcW w:w="0" w:type="auto"/>
          </w:tcPr>
          <w:p w14:paraId="09A19252" w14:textId="77777777" w:rsidR="003D79B3" w:rsidRPr="007C6F2E" w:rsidRDefault="003D79B3" w:rsidP="00D30A83">
            <w:pPr>
              <w:spacing w:line="480" w:lineRule="auto"/>
              <w:rPr>
                <w:bCs/>
              </w:rPr>
            </w:pPr>
          </w:p>
        </w:tc>
        <w:tc>
          <w:tcPr>
            <w:tcW w:w="0" w:type="auto"/>
          </w:tcPr>
          <w:p w14:paraId="09A19253" w14:textId="77777777" w:rsidR="003D79B3" w:rsidRPr="007C6F2E" w:rsidRDefault="003D79B3" w:rsidP="00D30A83">
            <w:pPr>
              <w:spacing w:line="480" w:lineRule="auto"/>
              <w:rPr>
                <w:bCs/>
              </w:rPr>
            </w:pPr>
            <w:r w:rsidRPr="007C6F2E">
              <w:rPr>
                <w:bCs/>
              </w:rPr>
              <w:t>Self-efficacy for managing chronic disease, SEMCD</w:t>
            </w:r>
            <w:r w:rsidR="00552C1B">
              <w:rPr>
                <w:bCs/>
              </w:rPr>
              <w:t xml:space="preserve"> </w:t>
            </w:r>
            <w:r w:rsidRPr="007C6F2E">
              <w:rPr>
                <w:bCs/>
                <w:noProof/>
              </w:rPr>
              <w:t>[25]</w:t>
            </w:r>
          </w:p>
        </w:tc>
      </w:tr>
      <w:tr w:rsidR="003D79B3" w:rsidRPr="007C6F2E" w14:paraId="09A19257" w14:textId="77777777" w:rsidTr="00D30A83">
        <w:tc>
          <w:tcPr>
            <w:tcW w:w="0" w:type="auto"/>
          </w:tcPr>
          <w:p w14:paraId="09A19255" w14:textId="77777777" w:rsidR="003D79B3" w:rsidRPr="007C6F2E" w:rsidRDefault="003D79B3" w:rsidP="00D30A83">
            <w:pPr>
              <w:spacing w:line="480" w:lineRule="auto"/>
              <w:rPr>
                <w:bCs/>
              </w:rPr>
            </w:pPr>
          </w:p>
        </w:tc>
        <w:tc>
          <w:tcPr>
            <w:tcW w:w="0" w:type="auto"/>
          </w:tcPr>
          <w:p w14:paraId="09A19256" w14:textId="77777777" w:rsidR="003D79B3" w:rsidRPr="007C6F2E" w:rsidRDefault="003D79B3" w:rsidP="00D30A83">
            <w:pPr>
              <w:spacing w:line="480" w:lineRule="auto"/>
              <w:rPr>
                <w:bCs/>
              </w:rPr>
            </w:pPr>
            <w:r w:rsidRPr="007C6F2E">
              <w:rPr>
                <w:rFonts w:eastAsia="Times New Roman" w:cstheme="majorBidi"/>
              </w:rPr>
              <w:t>Cancer survivor self-efficacy scale, CS-SES</w:t>
            </w:r>
            <w:r w:rsidR="00552C1B">
              <w:rPr>
                <w:rFonts w:eastAsia="Times New Roman" w:cstheme="majorBidi"/>
              </w:rPr>
              <w:t xml:space="preserve"> </w:t>
            </w:r>
            <w:r w:rsidRPr="007C6F2E">
              <w:rPr>
                <w:rFonts w:eastAsia="Times New Roman" w:cstheme="majorBidi"/>
                <w:noProof/>
              </w:rPr>
              <w:t>[26]</w:t>
            </w:r>
          </w:p>
        </w:tc>
      </w:tr>
      <w:tr w:rsidR="003D79B3" w:rsidRPr="007C6F2E" w14:paraId="09A1925A" w14:textId="77777777" w:rsidTr="00D30A83">
        <w:tc>
          <w:tcPr>
            <w:tcW w:w="0" w:type="auto"/>
          </w:tcPr>
          <w:p w14:paraId="09A19258" w14:textId="77777777" w:rsidR="003D79B3" w:rsidRPr="007C6F2E" w:rsidRDefault="003D79B3" w:rsidP="00D30A83">
            <w:pPr>
              <w:spacing w:line="480" w:lineRule="auto"/>
              <w:rPr>
                <w:bCs/>
              </w:rPr>
            </w:pPr>
          </w:p>
        </w:tc>
        <w:tc>
          <w:tcPr>
            <w:tcW w:w="0" w:type="auto"/>
          </w:tcPr>
          <w:p w14:paraId="09A19259" w14:textId="77777777" w:rsidR="003D79B3" w:rsidRPr="007C6F2E" w:rsidRDefault="003D79B3" w:rsidP="00D30A83">
            <w:pPr>
              <w:spacing w:line="480" w:lineRule="auto"/>
              <w:rPr>
                <w:rFonts w:eastAsia="Times New Roman" w:cstheme="majorBidi"/>
              </w:rPr>
            </w:pPr>
            <w:r w:rsidRPr="007C6F2E">
              <w:rPr>
                <w:rFonts w:eastAsia="Times New Roman" w:cstheme="majorBidi"/>
              </w:rPr>
              <w:t>PANAS scale, PANAS</w:t>
            </w:r>
            <w:r w:rsidR="00552C1B">
              <w:rPr>
                <w:rFonts w:eastAsia="Times New Roman" w:cstheme="majorBidi"/>
              </w:rPr>
              <w:t xml:space="preserve"> </w:t>
            </w:r>
            <w:r w:rsidRPr="007C6F2E">
              <w:rPr>
                <w:rFonts w:eastAsia="Times New Roman" w:cstheme="majorBidi"/>
                <w:noProof/>
              </w:rPr>
              <w:t>[27]</w:t>
            </w:r>
          </w:p>
        </w:tc>
      </w:tr>
      <w:tr w:rsidR="003D79B3" w:rsidRPr="007C6F2E" w14:paraId="09A1925D" w14:textId="77777777" w:rsidTr="00D30A83">
        <w:tc>
          <w:tcPr>
            <w:tcW w:w="0" w:type="auto"/>
          </w:tcPr>
          <w:p w14:paraId="09A1925B" w14:textId="77777777" w:rsidR="003D79B3" w:rsidRPr="007C6F2E" w:rsidRDefault="003D79B3" w:rsidP="00D30A83">
            <w:pPr>
              <w:spacing w:line="480" w:lineRule="auto"/>
              <w:rPr>
                <w:bCs/>
              </w:rPr>
            </w:pPr>
          </w:p>
        </w:tc>
        <w:tc>
          <w:tcPr>
            <w:tcW w:w="0" w:type="auto"/>
          </w:tcPr>
          <w:p w14:paraId="09A1925C" w14:textId="77777777" w:rsidR="003D79B3" w:rsidRPr="007C6F2E" w:rsidRDefault="003D79B3" w:rsidP="00D30A83">
            <w:pPr>
              <w:spacing w:line="480" w:lineRule="auto"/>
              <w:rPr>
                <w:rFonts w:eastAsia="Times New Roman" w:cstheme="majorBidi"/>
              </w:rPr>
            </w:pPr>
            <w:r w:rsidRPr="007C6F2E">
              <w:rPr>
                <w:rFonts w:eastAsia="Times New Roman" w:cstheme="majorBidi"/>
              </w:rPr>
              <w:t>State trait anxiety index, STAI</w:t>
            </w:r>
            <w:r w:rsidR="00552C1B">
              <w:rPr>
                <w:rFonts w:eastAsia="Times New Roman" w:cstheme="majorBidi"/>
              </w:rPr>
              <w:t xml:space="preserve"> </w:t>
            </w:r>
            <w:r w:rsidRPr="007C6F2E">
              <w:rPr>
                <w:rFonts w:eastAsia="Times New Roman" w:cstheme="majorBidi"/>
                <w:noProof/>
              </w:rPr>
              <w:t>[28]</w:t>
            </w:r>
          </w:p>
        </w:tc>
      </w:tr>
      <w:tr w:rsidR="003D79B3" w:rsidRPr="007C6F2E" w14:paraId="09A19260" w14:textId="77777777" w:rsidTr="00D30A83">
        <w:tc>
          <w:tcPr>
            <w:tcW w:w="0" w:type="auto"/>
          </w:tcPr>
          <w:p w14:paraId="09A1925E" w14:textId="77777777" w:rsidR="003D79B3" w:rsidRPr="007C6F2E" w:rsidRDefault="003D79B3" w:rsidP="00D30A83">
            <w:pPr>
              <w:spacing w:line="480" w:lineRule="auto"/>
              <w:rPr>
                <w:bCs/>
              </w:rPr>
            </w:pPr>
          </w:p>
        </w:tc>
        <w:tc>
          <w:tcPr>
            <w:tcW w:w="0" w:type="auto"/>
          </w:tcPr>
          <w:p w14:paraId="09A1925F" w14:textId="77777777" w:rsidR="003D79B3" w:rsidRPr="007C6F2E" w:rsidRDefault="003D79B3" w:rsidP="00D30A83">
            <w:pPr>
              <w:spacing w:line="480" w:lineRule="auto"/>
              <w:rPr>
                <w:rFonts w:eastAsia="Times New Roman" w:cstheme="majorBidi"/>
              </w:rPr>
            </w:pPr>
            <w:r w:rsidRPr="007C6F2E">
              <w:rPr>
                <w:rFonts w:eastAsia="Times New Roman" w:cstheme="majorBidi"/>
              </w:rPr>
              <w:t>Centre for epidemiological studies depression, CES-D</w:t>
            </w:r>
            <w:r w:rsidR="00552C1B">
              <w:rPr>
                <w:rFonts w:eastAsia="Times New Roman" w:cstheme="majorBidi"/>
              </w:rPr>
              <w:t xml:space="preserve"> </w:t>
            </w:r>
            <w:r w:rsidRPr="007C6F2E">
              <w:rPr>
                <w:rFonts w:eastAsia="Times New Roman" w:cstheme="majorBidi"/>
                <w:noProof/>
              </w:rPr>
              <w:t>[29]</w:t>
            </w:r>
          </w:p>
        </w:tc>
      </w:tr>
      <w:tr w:rsidR="003D79B3" w:rsidRPr="007C6F2E" w14:paraId="09A19263" w14:textId="77777777" w:rsidTr="00D30A83">
        <w:tc>
          <w:tcPr>
            <w:tcW w:w="0" w:type="auto"/>
          </w:tcPr>
          <w:p w14:paraId="09A19261" w14:textId="77777777" w:rsidR="003D79B3" w:rsidRPr="007C6F2E" w:rsidRDefault="003D79B3" w:rsidP="00D30A83">
            <w:pPr>
              <w:spacing w:line="480" w:lineRule="auto"/>
              <w:rPr>
                <w:bCs/>
              </w:rPr>
            </w:pPr>
            <w:r w:rsidRPr="007C6F2E">
              <w:rPr>
                <w:bCs/>
              </w:rPr>
              <w:t>Environmental factors</w:t>
            </w:r>
          </w:p>
        </w:tc>
        <w:tc>
          <w:tcPr>
            <w:tcW w:w="0" w:type="auto"/>
          </w:tcPr>
          <w:p w14:paraId="09A19262" w14:textId="77777777" w:rsidR="003D79B3" w:rsidRPr="007C6F2E" w:rsidRDefault="003D79B3" w:rsidP="00D30A83">
            <w:pPr>
              <w:spacing w:line="480" w:lineRule="auto"/>
              <w:rPr>
                <w:bCs/>
              </w:rPr>
            </w:pPr>
            <w:r w:rsidRPr="007C6F2E">
              <w:rPr>
                <w:bCs/>
              </w:rPr>
              <w:t>Medical outcomes study social support survey, MOS-SSS</w:t>
            </w:r>
            <w:r w:rsidR="00552C1B">
              <w:rPr>
                <w:bCs/>
              </w:rPr>
              <w:t xml:space="preserve"> </w:t>
            </w:r>
            <w:r w:rsidRPr="007C6F2E">
              <w:rPr>
                <w:bCs/>
                <w:noProof/>
              </w:rPr>
              <w:t>[30]</w:t>
            </w:r>
          </w:p>
        </w:tc>
      </w:tr>
      <w:tr w:rsidR="003D79B3" w:rsidRPr="007C6F2E" w14:paraId="09A19266" w14:textId="77777777" w:rsidTr="00D30A83">
        <w:tc>
          <w:tcPr>
            <w:tcW w:w="0" w:type="auto"/>
          </w:tcPr>
          <w:p w14:paraId="09A19264" w14:textId="77777777" w:rsidR="003D79B3" w:rsidRPr="007C6F2E" w:rsidRDefault="003D79B3" w:rsidP="00D30A83">
            <w:pPr>
              <w:spacing w:line="480" w:lineRule="auto"/>
              <w:rPr>
                <w:bCs/>
              </w:rPr>
            </w:pPr>
            <w:r w:rsidRPr="007C6F2E">
              <w:rPr>
                <w:bCs/>
              </w:rPr>
              <w:t>Coping and self-management</w:t>
            </w:r>
          </w:p>
        </w:tc>
        <w:tc>
          <w:tcPr>
            <w:tcW w:w="0" w:type="auto"/>
          </w:tcPr>
          <w:p w14:paraId="09A19265" w14:textId="77777777" w:rsidR="003D79B3" w:rsidRPr="007C6F2E" w:rsidRDefault="003D79B3" w:rsidP="00D30A83">
            <w:pPr>
              <w:spacing w:line="480" w:lineRule="auto"/>
              <w:rPr>
                <w:bCs/>
              </w:rPr>
            </w:pPr>
            <w:r w:rsidRPr="007C6F2E">
              <w:rPr>
                <w:bCs/>
              </w:rPr>
              <w:t>Brief cope inventory, COPE</w:t>
            </w:r>
            <w:r w:rsidR="00552C1B">
              <w:rPr>
                <w:bCs/>
              </w:rPr>
              <w:t xml:space="preserve"> </w:t>
            </w:r>
            <w:r w:rsidRPr="007C6F2E">
              <w:rPr>
                <w:bCs/>
                <w:noProof/>
              </w:rPr>
              <w:t>[31]</w:t>
            </w:r>
          </w:p>
        </w:tc>
      </w:tr>
    </w:tbl>
    <w:p w14:paraId="09A19267" w14:textId="77777777" w:rsidR="003D79B3" w:rsidRPr="007C6F2E" w:rsidRDefault="003D79B3" w:rsidP="00D30A83">
      <w:pPr>
        <w:spacing w:line="480" w:lineRule="auto"/>
      </w:pPr>
    </w:p>
    <w:p w14:paraId="09A19268" w14:textId="77777777" w:rsidR="003D79B3" w:rsidRPr="007C6F2E" w:rsidRDefault="003D79B3" w:rsidP="00D30A83">
      <w:pPr>
        <w:pStyle w:val="Heading3"/>
        <w:spacing w:line="480" w:lineRule="auto"/>
        <w:rPr>
          <w:rFonts w:asciiTheme="minorHAnsi" w:hAnsiTheme="minorHAnsi"/>
          <w:color w:val="auto"/>
          <w:sz w:val="24"/>
          <w:szCs w:val="24"/>
        </w:rPr>
      </w:pPr>
      <w:r w:rsidRPr="007C6F2E">
        <w:rPr>
          <w:rFonts w:asciiTheme="minorHAnsi" w:hAnsiTheme="minorHAnsi"/>
          <w:color w:val="auto"/>
          <w:sz w:val="24"/>
          <w:szCs w:val="24"/>
        </w:rPr>
        <w:t>Statistical methods</w:t>
      </w:r>
    </w:p>
    <w:p w14:paraId="09A19269" w14:textId="77777777" w:rsidR="003D79B3" w:rsidRPr="007C6F2E" w:rsidRDefault="003D79B3" w:rsidP="00D30A83">
      <w:pPr>
        <w:spacing w:line="480" w:lineRule="auto"/>
      </w:pPr>
      <w:r w:rsidRPr="007C6F2E">
        <w:t xml:space="preserve">Statistical significance was set at 5%. Due to skewed distributions, </w:t>
      </w:r>
      <w:r>
        <w:t>some</w:t>
      </w:r>
      <w:r w:rsidRPr="007C6F2E">
        <w:t xml:space="preserve"> covariates were categorised using published clinically significant cut-offs: Personal Wellbeing Index (PWI) (cut-off=70</w:t>
      </w:r>
      <w:r w:rsidR="00552C1B">
        <w:t xml:space="preserve"> </w:t>
      </w:r>
      <w:r w:rsidRPr="007C6F2E">
        <w:t>)</w:t>
      </w:r>
      <w:r w:rsidRPr="007C6F2E">
        <w:rPr>
          <w:noProof/>
        </w:rPr>
        <w:t>[23]</w:t>
      </w:r>
      <w:r w:rsidRPr="007C6F2E">
        <w:t>, STAI (cut-off=40)</w:t>
      </w:r>
      <w:r w:rsidR="00552C1B">
        <w:t xml:space="preserve"> </w:t>
      </w:r>
      <w:r w:rsidRPr="007C6F2E">
        <w:rPr>
          <w:rFonts w:cstheme="minorHAnsi"/>
          <w:noProof/>
        </w:rPr>
        <w:t>[32]</w:t>
      </w:r>
      <w:r w:rsidRPr="007C6F2E">
        <w:t xml:space="preserve"> and </w:t>
      </w:r>
      <w:r w:rsidRPr="007C6F2E">
        <w:rPr>
          <w:rFonts w:eastAsia="Times New Roman" w:cstheme="majorBidi"/>
        </w:rPr>
        <w:t>Centre for epidemiological studies depression</w:t>
      </w:r>
      <w:r w:rsidRPr="007C6F2E">
        <w:t xml:space="preserve"> (CES-D) (cut-off=20</w:t>
      </w:r>
      <w:r w:rsidRPr="007C6F2E">
        <w:rPr>
          <w:rFonts w:cstheme="minorHAnsi"/>
        </w:rPr>
        <w:t>)</w:t>
      </w:r>
      <w:r w:rsidR="00CA75A8">
        <w:rPr>
          <w:rFonts w:cstheme="minorHAnsi"/>
        </w:rPr>
        <w:t xml:space="preserve"> </w:t>
      </w:r>
      <w:r w:rsidRPr="007C6F2E">
        <w:rPr>
          <w:rFonts w:cstheme="minorHAnsi"/>
          <w:noProof/>
        </w:rPr>
        <w:t>[33, 34]</w:t>
      </w:r>
      <w:r w:rsidRPr="007C6F2E">
        <w:rPr>
          <w:rFonts w:cstheme="minorHAnsi"/>
        </w:rPr>
        <w:t>.</w:t>
      </w:r>
      <w:r w:rsidRPr="007C6F2E">
        <w:t xml:space="preserve"> Scores on the Cancer Survivors' Self-Efficacy Scale (SEMCD/CS-SES) were categorised as very confident, confident, moderately confident and low confidence</w:t>
      </w:r>
      <w:r w:rsidR="00CA75A8">
        <w:t xml:space="preserve"> </w:t>
      </w:r>
      <w:r w:rsidRPr="007C6F2E">
        <w:rPr>
          <w:noProof/>
        </w:rPr>
        <w:t>[20]</w:t>
      </w:r>
      <w:r w:rsidRPr="007C6F2E">
        <w:t>, and scores on the Modified Social Support Survey (MOS-SSS) were divided into ceiling (feeling fully supported) and below.</w:t>
      </w:r>
    </w:p>
    <w:p w14:paraId="09A1926A" w14:textId="77777777" w:rsidR="003D79B3" w:rsidRPr="007C6F2E" w:rsidRDefault="003D79B3" w:rsidP="00D30A83">
      <w:pPr>
        <w:spacing w:line="480" w:lineRule="auto"/>
      </w:pPr>
      <w:r w:rsidRPr="007C6F2E">
        <w:t>Descriptive analyses compare</w:t>
      </w:r>
      <w:r>
        <w:t>d</w:t>
      </w:r>
      <w:r w:rsidRPr="007C6F2E">
        <w:t xml:space="preserve"> baseline characteristics by consent status (full versus reduced) and, </w:t>
      </w:r>
      <w:r>
        <w:t>full consenters’</w:t>
      </w:r>
      <w:r w:rsidRPr="007C6F2E">
        <w:t xml:space="preserve"> 5-year follow-up status (participated at 5 years versus did not, excluding deceased) using chi-squared or chi-squared test for trend, as appropriate. Additionally, a multivariable logistic regression model was constructed to compare the baseline measures of participants who did/did not return questionnaires at 5 years.</w:t>
      </w:r>
    </w:p>
    <w:p w14:paraId="09A1926B" w14:textId="77777777" w:rsidR="003D79B3" w:rsidRPr="007C6F2E" w:rsidRDefault="003D79B3" w:rsidP="00D30A83">
      <w:pPr>
        <w:spacing w:line="480" w:lineRule="auto"/>
      </w:pPr>
      <w:r w:rsidRPr="007C6F2E">
        <w:t xml:space="preserve">Mean values of the QLACS-GSS were compared between the time points using a t-test. Changes in QOL for each individual were defined using the QLACS-GSS based on the </w:t>
      </w:r>
      <w:r w:rsidRPr="007C6F2E">
        <w:rPr>
          <w:lang w:val="en-US"/>
        </w:rPr>
        <w:t xml:space="preserve">rough rule of thumb for QOL instruments that a clinically significant difference is indicated by a 10% change in score </w:t>
      </w:r>
      <w:r w:rsidRPr="007C6F2E">
        <w:rPr>
          <w:noProof/>
          <w:lang w:val="en-US"/>
        </w:rPr>
        <w:t>[35]</w:t>
      </w:r>
      <w:r w:rsidRPr="007C6F2E">
        <w:t xml:space="preserve">.  As a higher score represents worse QOL on the QLACS, participants were classified as “improved” if their QLACS-GSS was &lt;90% of their baseline score; “worse” if their QLACS-GSS was &gt;110% of their </w:t>
      </w:r>
      <w:r w:rsidRPr="007C6F2E">
        <w:lastRenderedPageBreak/>
        <w:t xml:space="preserve">baseline score; otherwise, “same”. The proportion of participants in each </w:t>
      </w:r>
      <w:r>
        <w:t>category</w:t>
      </w:r>
      <w:r w:rsidRPr="007C6F2E">
        <w:t xml:space="preserve"> over follow up was calculated. </w:t>
      </w:r>
    </w:p>
    <w:p w14:paraId="09A1926C" w14:textId="77777777" w:rsidR="003D79B3" w:rsidRPr="007C6F2E" w:rsidRDefault="003D79B3" w:rsidP="00D30A83">
      <w:pPr>
        <w:spacing w:line="480" w:lineRule="auto"/>
      </w:pPr>
      <w:r w:rsidRPr="007C6F2E">
        <w:t>Two multivariable regression models were produced with worse QOL as a time-varying outcome: model one examined the associations between participant characteristics at baseline and worsened QOL up to 2 years after surgery; model two examined associations between participant characteristics at 2 years post-surgery and worsened QOL over the next 3 years. The variables included in each model are listed in supporting information.  For both models, a binary outcome indicating same/better (=0, reference) or worse (=1) QOL was calculated, by comparing the QLACS-GSS for subsequent time points with the QLACS-GSS at the time point of that model (model one at baseline, model two at 2 years). The population-average approach was used to combine data for each individual across the required time points for each regression model. Standard errors were adjusted to account for repeated observations of the same individuals. Elimination of insignificant covariates was performed with the backwards selection approach using Stata 14 software.</w:t>
      </w:r>
    </w:p>
    <w:p w14:paraId="09A1926D" w14:textId="77777777" w:rsidR="003D79B3" w:rsidRPr="007C6F2E" w:rsidRDefault="003D79B3" w:rsidP="00D30A83">
      <w:pPr>
        <w:pStyle w:val="Heading2"/>
        <w:spacing w:line="480" w:lineRule="auto"/>
        <w:rPr>
          <w:rFonts w:asciiTheme="minorHAnsi" w:hAnsiTheme="minorHAnsi"/>
          <w:color w:val="auto"/>
          <w:sz w:val="28"/>
          <w:szCs w:val="28"/>
        </w:rPr>
      </w:pPr>
      <w:r w:rsidRPr="007C6F2E">
        <w:rPr>
          <w:rFonts w:asciiTheme="minorHAnsi" w:hAnsiTheme="minorHAnsi"/>
          <w:color w:val="auto"/>
          <w:sz w:val="28"/>
          <w:szCs w:val="28"/>
        </w:rPr>
        <w:t>Results</w:t>
      </w:r>
    </w:p>
    <w:p w14:paraId="09A1926E" w14:textId="77777777" w:rsidR="003D79B3" w:rsidRPr="007C6F2E" w:rsidRDefault="003D79B3" w:rsidP="00D30A83">
      <w:pPr>
        <w:spacing w:line="480" w:lineRule="auto"/>
        <w:rPr>
          <w:rFonts w:cstheme="minorHAnsi"/>
          <w:b/>
        </w:rPr>
      </w:pPr>
      <w:r w:rsidRPr="007C6F2E">
        <w:rPr>
          <w:rFonts w:cstheme="minorHAnsi"/>
          <w:b/>
        </w:rPr>
        <w:t>Participants</w:t>
      </w:r>
    </w:p>
    <w:p w14:paraId="09A1926F" w14:textId="77777777" w:rsidR="003D79B3" w:rsidRPr="007C6F2E" w:rsidRDefault="003D79B3" w:rsidP="00D30A83">
      <w:pPr>
        <w:spacing w:line="480" w:lineRule="auto"/>
        <w:rPr>
          <w:rFonts w:cstheme="minorHAnsi"/>
        </w:rPr>
      </w:pPr>
      <w:r w:rsidRPr="007C6F2E">
        <w:rPr>
          <w:rFonts w:cstheme="minorHAnsi"/>
        </w:rPr>
        <w:t xml:space="preserve">Fig 1 and 2 show the flow of patients through the study. All patients presenting with colorectal cancer in the timeframe of the study were screened. Reasons for ineligibility at screening are shown in Fig 1. Some patients were found to be ineligible post-surgery due to advanced disease or not having cancer. Reasons for declining to take part included </w:t>
      </w:r>
      <w:r w:rsidRPr="007C6F2E">
        <w:rPr>
          <w:rFonts w:cstheme="minorHAnsi"/>
          <w:lang w:val="en-US"/>
        </w:rPr>
        <w:t>anxiety about treatment, not wanting to be followed-up for a long period, too ill to complete questionnaires or already in a study. T</w:t>
      </w:r>
      <w:r w:rsidRPr="007C6F2E">
        <w:rPr>
          <w:rFonts w:cstheme="minorHAnsi"/>
        </w:rPr>
        <w:t>he final total was 1017</w:t>
      </w:r>
      <w:r>
        <w:rPr>
          <w:rFonts w:cstheme="minorHAnsi"/>
        </w:rPr>
        <w:t xml:space="preserve"> (</w:t>
      </w:r>
      <w:r w:rsidRPr="007C6F2E">
        <w:rPr>
          <w:rFonts w:cstheme="minorHAnsi"/>
        </w:rPr>
        <w:t>872 participants full consent</w:t>
      </w:r>
      <w:r>
        <w:rPr>
          <w:rFonts w:cstheme="minorHAnsi"/>
        </w:rPr>
        <w:t xml:space="preserve">; </w:t>
      </w:r>
      <w:r w:rsidRPr="007C6F2E">
        <w:rPr>
          <w:rFonts w:cstheme="minorHAnsi"/>
        </w:rPr>
        <w:t>145 reduced consent</w:t>
      </w:r>
      <w:r>
        <w:rPr>
          <w:rFonts w:cstheme="minorHAnsi"/>
        </w:rPr>
        <w:t>)</w:t>
      </w:r>
      <w:r w:rsidRPr="007C6F2E">
        <w:rPr>
          <w:rFonts w:cstheme="minorHAnsi"/>
        </w:rPr>
        <w:t>.</w:t>
      </w:r>
    </w:p>
    <w:p w14:paraId="09A19270" w14:textId="77777777" w:rsidR="003D79B3" w:rsidRPr="007C6F2E" w:rsidRDefault="003D79B3" w:rsidP="00D30A83">
      <w:pPr>
        <w:spacing w:line="480" w:lineRule="auto"/>
        <w:rPr>
          <w:rFonts w:cstheme="minorHAnsi"/>
          <w:lang w:val="en-US"/>
        </w:rPr>
      </w:pPr>
      <w:r w:rsidRPr="007C6F2E">
        <w:rPr>
          <w:rFonts w:cstheme="minorHAnsi"/>
          <w:b/>
          <w:lang w:val="en-US"/>
        </w:rPr>
        <w:t>Fig 2: CREW participation flowchart</w:t>
      </w:r>
    </w:p>
    <w:p w14:paraId="09A19271" w14:textId="77777777" w:rsidR="003D79B3" w:rsidRPr="007C6F2E" w:rsidRDefault="003D79B3" w:rsidP="00D30A83">
      <w:pPr>
        <w:spacing w:line="480" w:lineRule="auto"/>
        <w:rPr>
          <w:rFonts w:cstheme="minorHAnsi"/>
          <w:lang w:val="en-US"/>
        </w:rPr>
      </w:pPr>
      <w:r w:rsidRPr="007C6F2E">
        <w:t xml:space="preserve">Demographic profiles of decliners and consenters were broadly similar. Of the 179 eligible individuals who declined, the mean age was 72.1 years (SD=9.8), 43.8% were male and 36.5% female </w:t>
      </w:r>
      <w:r w:rsidRPr="007C6F2E">
        <w:lastRenderedPageBreak/>
        <w:t xml:space="preserve">(19.7% not recorded), compared with an average age of 68.7 years (SD=10.7) and 58.7% males for the 1017 </w:t>
      </w:r>
      <w:r>
        <w:t>consenters</w:t>
      </w:r>
      <w:r w:rsidRPr="007C6F2E">
        <w:t xml:space="preserve">. There were similar distributions of ethnicity and domestic status in the decliners and consenters. </w:t>
      </w:r>
    </w:p>
    <w:p w14:paraId="09A19272" w14:textId="77777777" w:rsidR="003D79B3" w:rsidRPr="007C6F2E" w:rsidRDefault="003D79B3" w:rsidP="00D30A83">
      <w:pPr>
        <w:spacing w:line="480" w:lineRule="auto"/>
      </w:pPr>
      <w:r w:rsidRPr="007C6F2E">
        <w:rPr>
          <w:rFonts w:ascii="Calibri" w:hAnsi="Calibri"/>
        </w:rPr>
        <w:t xml:space="preserve">As </w:t>
      </w:r>
      <w:r w:rsidRPr="007C6F2E">
        <w:rPr>
          <w:rFonts w:cstheme="minorHAnsi"/>
        </w:rPr>
        <w:t xml:space="preserve">10 participants </w:t>
      </w:r>
      <w:r w:rsidRPr="007C6F2E">
        <w:rPr>
          <w:rFonts w:ascii="Calibri" w:hAnsi="Calibri"/>
        </w:rPr>
        <w:t xml:space="preserve">withdrew consent and one person died at baseline, socio-demographic data are reported on 1006 participants. Clinical and treatment information is presented for 997 participants (4 participants did not consent to the collection of medical details, 1 changed hospitals before details could be collected and a further 4 were missed). Response rates remained high throughout the study, ranging from 71 to 88%. </w:t>
      </w:r>
    </w:p>
    <w:p w14:paraId="09A19273" w14:textId="77777777" w:rsidR="003D79B3" w:rsidRPr="007C6F2E" w:rsidRDefault="003D79B3" w:rsidP="00D30A83">
      <w:pPr>
        <w:spacing w:line="480" w:lineRule="auto"/>
      </w:pPr>
      <w:r w:rsidRPr="007C6F2E">
        <w:t>Most participants were from England (85.6%), with 10.9% from Wales and 3.5% from Scotland. Socio-demographic characteristics are presented in Table 2 and clinical and treatment characteristics in Table 3. These characteristics were broadly comparable to the contemporary National Bowel Cancer Audit (NBOCA) dataset</w:t>
      </w:r>
      <w:r w:rsidRPr="007C6F2E">
        <w:rPr>
          <w:noProof/>
        </w:rPr>
        <w:t>[36]</w:t>
      </w:r>
      <w:r w:rsidRPr="007C6F2E">
        <w:t xml:space="preserve">; although direct comparison was not possible as Dukes’ stage D patients were excluded from our cohort whilst the NBOCA reports aggregate results for patients with Dukes’ stage A-D. Hence in CREW, there were more screen-detected and fewer emergency surgery presentations compared with national statistics. The other main difference between CREW and national datasets was that many more CREW participants received neo-adjuvant radiotherapy for rectal cancer (48% in CREW </w:t>
      </w:r>
      <w:r>
        <w:t>vs</w:t>
      </w:r>
      <w:r w:rsidRPr="007C6F2E">
        <w:t xml:space="preserve"> 11% in NBOCA). This may reflect the influence of a clinical trial of short course radiotherapy</w:t>
      </w:r>
      <w:r w:rsidR="00CA75A8">
        <w:t xml:space="preserve"> </w:t>
      </w:r>
      <w:r w:rsidRPr="007C6F2E">
        <w:rPr>
          <w:noProof/>
        </w:rPr>
        <w:t>[37]</w:t>
      </w:r>
      <w:r w:rsidRPr="007C6F2E">
        <w:rPr>
          <w:rFonts w:ascii="Arial" w:hAnsi="Arial" w:cs="Arial"/>
          <w:color w:val="222222"/>
          <w:sz w:val="20"/>
          <w:szCs w:val="20"/>
        </w:rPr>
        <w:t>,</w:t>
      </w:r>
      <w:r w:rsidRPr="007C6F2E">
        <w:t xml:space="preserve"> which was recruiting at the time.</w:t>
      </w:r>
    </w:p>
    <w:p w14:paraId="09A19274" w14:textId="77777777" w:rsidR="003D79B3" w:rsidRPr="007C6F2E" w:rsidRDefault="003D79B3" w:rsidP="00D30A83">
      <w:pPr>
        <w:spacing w:line="480" w:lineRule="auto"/>
        <w:rPr>
          <w:b/>
          <w:bCs/>
          <w:vertAlign w:val="superscript"/>
        </w:rPr>
      </w:pPr>
      <w:r w:rsidRPr="007C6F2E">
        <w:rPr>
          <w:b/>
          <w:bCs/>
        </w:rPr>
        <w:t>Table 2: Baseline socio-demographic characteristics of approached patients by consent status and of recruited patients by participation status at 5 year follow-up</w:t>
      </w:r>
    </w:p>
    <w:tbl>
      <w:tblPr>
        <w:tblStyle w:val="PlainTable4"/>
        <w:tblW w:w="9138" w:type="dxa"/>
        <w:tblInd w:w="-431" w:type="dxa"/>
        <w:tblLook w:val="04A0" w:firstRow="1" w:lastRow="0" w:firstColumn="1" w:lastColumn="0" w:noHBand="0" w:noVBand="1"/>
      </w:tblPr>
      <w:tblGrid>
        <w:gridCol w:w="2661"/>
        <w:gridCol w:w="553"/>
        <w:gridCol w:w="742"/>
        <w:gridCol w:w="552"/>
        <w:gridCol w:w="742"/>
        <w:gridCol w:w="545"/>
        <w:gridCol w:w="551"/>
        <w:gridCol w:w="899"/>
        <w:gridCol w:w="600"/>
        <w:gridCol w:w="748"/>
        <w:gridCol w:w="545"/>
      </w:tblGrid>
      <w:tr w:rsidR="003D79B3" w:rsidRPr="007C6F2E" w14:paraId="09A19279" w14:textId="77777777" w:rsidTr="00D30A8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left w:val="single" w:sz="4" w:space="0" w:color="auto"/>
              <w:bottom w:val="single" w:sz="4" w:space="0" w:color="auto"/>
              <w:right w:val="single" w:sz="4" w:space="0" w:color="auto"/>
            </w:tcBorders>
            <w:vAlign w:val="center"/>
            <w:hideMark/>
          </w:tcPr>
          <w:p w14:paraId="09A19275" w14:textId="77777777" w:rsidR="003D79B3" w:rsidRPr="007C6F2E" w:rsidRDefault="003D79B3" w:rsidP="00D30A83">
            <w:pPr>
              <w:spacing w:after="0" w:line="480" w:lineRule="auto"/>
              <w:jc w:val="center"/>
              <w:rPr>
                <w:rFonts w:eastAsia="Times New Roman" w:cstheme="minorHAnsi"/>
                <w:color w:val="000000"/>
                <w:lang w:eastAsia="en-GB"/>
              </w:rPr>
            </w:pPr>
            <w:r w:rsidRPr="007C6F2E">
              <w:rPr>
                <w:rFonts w:eastAsia="Times New Roman" w:cstheme="minorHAnsi"/>
                <w:color w:val="000000"/>
                <w:lang w:eastAsia="en-GB"/>
              </w:rPr>
              <w:t>Baseline socio-demographic characteristics</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09A19276" w14:textId="77777777" w:rsidR="003D79B3" w:rsidRPr="007C6F2E" w:rsidRDefault="003D79B3" w:rsidP="00D30A83">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 xml:space="preserve">Type of consent at baseline </w:t>
            </w:r>
          </w:p>
          <w:p w14:paraId="09A19277" w14:textId="77777777" w:rsidR="003D79B3" w:rsidRPr="007C6F2E" w:rsidRDefault="003D79B3" w:rsidP="00D30A83">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(N=1006 consented)</w:t>
            </w:r>
          </w:p>
        </w:tc>
        <w:tc>
          <w:tcPr>
            <w:tcW w:w="3343" w:type="dxa"/>
            <w:gridSpan w:val="5"/>
            <w:tcBorders>
              <w:top w:val="single" w:sz="4" w:space="0" w:color="auto"/>
              <w:left w:val="single" w:sz="4" w:space="0" w:color="auto"/>
              <w:bottom w:val="single" w:sz="4" w:space="0" w:color="auto"/>
              <w:right w:val="single" w:sz="4" w:space="0" w:color="auto"/>
            </w:tcBorders>
            <w:vAlign w:val="center"/>
            <w:hideMark/>
          </w:tcPr>
          <w:p w14:paraId="09A19278" w14:textId="77777777" w:rsidR="003D79B3" w:rsidRPr="007C6F2E" w:rsidRDefault="003D79B3" w:rsidP="00D30A83">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Returned five-year questionnaire? (N=617 completed baseline)</w:t>
            </w:r>
          </w:p>
        </w:tc>
      </w:tr>
      <w:tr w:rsidR="003D79B3" w:rsidRPr="007C6F2E" w14:paraId="09A19281"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09A1927A" w14:textId="77777777" w:rsidR="003D79B3" w:rsidRPr="007C6F2E" w:rsidRDefault="003D79B3" w:rsidP="00D30A83">
            <w:pPr>
              <w:spacing w:after="0" w:line="480" w:lineRule="auto"/>
              <w:jc w:val="center"/>
              <w:rPr>
                <w:rFonts w:eastAsia="Times New Roman" w:cstheme="minorHAnsi"/>
                <w:color w:val="000000"/>
                <w:lang w:eastAsia="en-GB"/>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A1927B" w14:textId="77777777" w:rsidR="003D79B3" w:rsidRPr="007C6F2E" w:rsidRDefault="003D79B3" w:rsidP="00D30A83">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7C6F2E">
              <w:rPr>
                <w:rFonts w:eastAsia="Times New Roman" w:cstheme="minorHAnsi"/>
                <w:b/>
                <w:bCs/>
                <w:color w:val="000000"/>
                <w:lang w:eastAsia="en-GB"/>
              </w:rPr>
              <w:t>Reduced consent (n=145)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A1927C" w14:textId="77777777" w:rsidR="003D79B3" w:rsidRPr="007C6F2E" w:rsidRDefault="003D79B3" w:rsidP="00D30A83">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7C6F2E">
              <w:rPr>
                <w:rFonts w:eastAsia="Times New Roman" w:cstheme="minorHAnsi"/>
                <w:b/>
                <w:bCs/>
                <w:color w:val="000000"/>
                <w:lang w:eastAsia="en-GB"/>
              </w:rPr>
              <w:t xml:space="preserve">Full consent (n=861) </w:t>
            </w:r>
            <w:r w:rsidRPr="007C6F2E">
              <w:rPr>
                <w:rFonts w:eastAsia="Times New Roman" w:cstheme="minorHAnsi"/>
                <w:b/>
                <w:bCs/>
                <w:color w:val="000000"/>
                <w:vertAlign w:val="superscript"/>
                <w:lang w:eastAsia="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9A1927D" w14:textId="77777777" w:rsidR="003D79B3" w:rsidRPr="007C6F2E" w:rsidRDefault="003D79B3" w:rsidP="00D30A83">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7C6F2E">
              <w:rPr>
                <w:rFonts w:eastAsia="Times New Roman" w:cstheme="minorHAnsi"/>
                <w:b/>
                <w:bCs/>
                <w:color w:val="000000"/>
                <w:lang w:eastAsia="en-GB"/>
              </w:rPr>
              <w:t>Sig.</w:t>
            </w:r>
          </w:p>
        </w:tc>
        <w:tc>
          <w:tcPr>
            <w:tcW w:w="1450" w:type="dxa"/>
            <w:gridSpan w:val="2"/>
            <w:tcBorders>
              <w:top w:val="single" w:sz="4" w:space="0" w:color="auto"/>
              <w:left w:val="single" w:sz="4" w:space="0" w:color="auto"/>
              <w:bottom w:val="single" w:sz="4" w:space="0" w:color="auto"/>
              <w:right w:val="single" w:sz="4" w:space="0" w:color="auto"/>
            </w:tcBorders>
            <w:vAlign w:val="center"/>
            <w:hideMark/>
          </w:tcPr>
          <w:p w14:paraId="09A1927E" w14:textId="77777777" w:rsidR="003D79B3" w:rsidRPr="007C6F2E" w:rsidRDefault="003D79B3" w:rsidP="00D30A83">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7C6F2E">
              <w:rPr>
                <w:rFonts w:eastAsia="Times New Roman" w:cstheme="minorHAnsi"/>
                <w:b/>
                <w:bCs/>
                <w:color w:val="000000"/>
                <w:lang w:eastAsia="en-GB"/>
              </w:rPr>
              <w:t>No (N=263)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A1927F" w14:textId="77777777" w:rsidR="003D79B3" w:rsidRPr="007C6F2E" w:rsidRDefault="003D79B3" w:rsidP="00D30A83">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7C6F2E">
              <w:rPr>
                <w:rFonts w:eastAsia="Times New Roman" w:cstheme="minorHAnsi"/>
                <w:b/>
                <w:bCs/>
                <w:color w:val="000000"/>
                <w:lang w:eastAsia="en-GB"/>
              </w:rPr>
              <w:t>Yes (N=354)</w:t>
            </w:r>
          </w:p>
        </w:tc>
        <w:tc>
          <w:tcPr>
            <w:tcW w:w="0" w:type="auto"/>
            <w:tcBorders>
              <w:top w:val="single" w:sz="4" w:space="0" w:color="auto"/>
              <w:left w:val="single" w:sz="4" w:space="0" w:color="auto"/>
              <w:bottom w:val="single" w:sz="4" w:space="0" w:color="auto"/>
              <w:right w:val="single" w:sz="4" w:space="0" w:color="auto"/>
            </w:tcBorders>
            <w:vAlign w:val="center"/>
            <w:hideMark/>
          </w:tcPr>
          <w:p w14:paraId="09A19280" w14:textId="77777777" w:rsidR="003D79B3" w:rsidRPr="007C6F2E" w:rsidRDefault="003D79B3" w:rsidP="00D30A83">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7C6F2E">
              <w:rPr>
                <w:rFonts w:eastAsia="Times New Roman" w:cstheme="minorHAnsi"/>
                <w:b/>
                <w:bCs/>
                <w:color w:val="000000"/>
                <w:lang w:eastAsia="en-GB"/>
              </w:rPr>
              <w:t>Sig.</w:t>
            </w:r>
          </w:p>
        </w:tc>
      </w:tr>
      <w:tr w:rsidR="003D79B3" w:rsidRPr="007C6F2E" w14:paraId="09A19289"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09A19282" w14:textId="77777777" w:rsidR="003D79B3" w:rsidRPr="007C6F2E" w:rsidRDefault="003D79B3" w:rsidP="00D30A83">
            <w:pPr>
              <w:spacing w:after="0" w:line="480" w:lineRule="auto"/>
              <w:jc w:val="center"/>
              <w:rPr>
                <w:rFonts w:eastAsia="Times New Roman" w:cstheme="minorHAnsi"/>
                <w:color w:val="000000"/>
                <w:lang w:eastAsia="en-GB"/>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A19283" w14:textId="77777777" w:rsidR="003D79B3" w:rsidRPr="007C6F2E" w:rsidRDefault="003D79B3" w:rsidP="00D30A83">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en-GB"/>
              </w:rPr>
            </w:pPr>
            <w:r w:rsidRPr="007C6F2E">
              <w:rPr>
                <w:rFonts w:eastAsia="Times New Roman" w:cstheme="minorHAnsi"/>
                <w:b/>
                <w:bCs/>
                <w:color w:val="000000"/>
                <w:lang w:eastAsia="en-GB"/>
              </w:rPr>
              <w:t>n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A19284" w14:textId="77777777" w:rsidR="003D79B3" w:rsidRPr="007C6F2E" w:rsidRDefault="003D79B3" w:rsidP="00D30A83">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en-GB"/>
              </w:rPr>
            </w:pPr>
            <w:r w:rsidRPr="007C6F2E">
              <w:rPr>
                <w:rFonts w:eastAsia="Times New Roman" w:cstheme="minorHAnsi"/>
                <w:b/>
                <w:bCs/>
                <w:color w:val="000000"/>
                <w:lang w:eastAsia="en-GB"/>
              </w:rPr>
              <w:t>n (%)</w:t>
            </w:r>
          </w:p>
        </w:tc>
        <w:tc>
          <w:tcPr>
            <w:tcW w:w="0" w:type="auto"/>
            <w:tcBorders>
              <w:top w:val="single" w:sz="4" w:space="0" w:color="auto"/>
              <w:left w:val="single" w:sz="4" w:space="0" w:color="auto"/>
              <w:bottom w:val="single" w:sz="4" w:space="0" w:color="auto"/>
              <w:right w:val="single" w:sz="4" w:space="0" w:color="auto"/>
            </w:tcBorders>
            <w:vAlign w:val="center"/>
            <w:hideMark/>
          </w:tcPr>
          <w:p w14:paraId="09A19285" w14:textId="77777777" w:rsidR="003D79B3" w:rsidRPr="007C6F2E" w:rsidRDefault="003D79B3" w:rsidP="00D30A83">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en-GB"/>
              </w:rPr>
            </w:pPr>
          </w:p>
        </w:tc>
        <w:tc>
          <w:tcPr>
            <w:tcW w:w="1450" w:type="dxa"/>
            <w:gridSpan w:val="2"/>
            <w:tcBorders>
              <w:top w:val="single" w:sz="4" w:space="0" w:color="auto"/>
              <w:left w:val="single" w:sz="4" w:space="0" w:color="auto"/>
              <w:bottom w:val="single" w:sz="4" w:space="0" w:color="auto"/>
              <w:right w:val="single" w:sz="4" w:space="0" w:color="auto"/>
            </w:tcBorders>
            <w:vAlign w:val="center"/>
            <w:hideMark/>
          </w:tcPr>
          <w:p w14:paraId="09A19286" w14:textId="77777777" w:rsidR="003D79B3" w:rsidRPr="007C6F2E" w:rsidRDefault="003D79B3" w:rsidP="00D30A83">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en-GB"/>
              </w:rPr>
            </w:pPr>
            <w:r w:rsidRPr="007C6F2E">
              <w:rPr>
                <w:rFonts w:eastAsia="Times New Roman" w:cstheme="minorHAnsi"/>
                <w:b/>
                <w:bCs/>
                <w:color w:val="000000"/>
                <w:lang w:eastAsia="en-GB"/>
              </w:rPr>
              <w:t>n (%)</w:t>
            </w: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09A19287" w14:textId="77777777" w:rsidR="003D79B3" w:rsidRPr="007C6F2E" w:rsidRDefault="003D79B3" w:rsidP="00D30A83">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en-GB"/>
              </w:rPr>
            </w:pPr>
            <w:r w:rsidRPr="007C6F2E">
              <w:rPr>
                <w:rFonts w:eastAsia="Times New Roman" w:cstheme="minorHAnsi"/>
                <w:b/>
                <w:bCs/>
                <w:color w:val="000000"/>
                <w:lang w:eastAsia="en-GB"/>
              </w:rPr>
              <w:t>n (%)</w:t>
            </w:r>
          </w:p>
        </w:tc>
        <w:tc>
          <w:tcPr>
            <w:tcW w:w="0" w:type="auto"/>
            <w:tcBorders>
              <w:top w:val="single" w:sz="4" w:space="0" w:color="auto"/>
              <w:left w:val="single" w:sz="4" w:space="0" w:color="auto"/>
              <w:bottom w:val="single" w:sz="4" w:space="0" w:color="auto"/>
              <w:right w:val="single" w:sz="4" w:space="0" w:color="auto"/>
            </w:tcBorders>
            <w:vAlign w:val="center"/>
            <w:hideMark/>
          </w:tcPr>
          <w:p w14:paraId="09A19288" w14:textId="77777777" w:rsidR="003D79B3" w:rsidRPr="007C6F2E" w:rsidRDefault="003D79B3" w:rsidP="00D30A83">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en-GB"/>
              </w:rPr>
            </w:pPr>
          </w:p>
        </w:tc>
      </w:tr>
      <w:tr w:rsidR="003D79B3" w:rsidRPr="007C6F2E" w14:paraId="09A19295"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noWrap/>
            <w:hideMark/>
          </w:tcPr>
          <w:p w14:paraId="09A1928A" w14:textId="77777777" w:rsidR="003D79B3" w:rsidRPr="007C6F2E" w:rsidRDefault="003D79B3" w:rsidP="00D30A83">
            <w:pPr>
              <w:spacing w:after="0" w:line="480" w:lineRule="auto"/>
              <w:rPr>
                <w:rFonts w:eastAsia="Times New Roman" w:cstheme="minorHAnsi"/>
                <w:color w:val="000000"/>
                <w:lang w:eastAsia="en-GB"/>
              </w:rPr>
            </w:pPr>
            <w:r w:rsidRPr="007C6F2E">
              <w:rPr>
                <w:rFonts w:eastAsia="Times New Roman" w:cstheme="minorHAnsi"/>
                <w:color w:val="000000"/>
                <w:lang w:eastAsia="en-GB"/>
              </w:rPr>
              <w:t>Age (years)</w:t>
            </w:r>
          </w:p>
        </w:tc>
        <w:tc>
          <w:tcPr>
            <w:tcW w:w="0" w:type="auto"/>
            <w:tcBorders>
              <w:top w:val="single" w:sz="4" w:space="0" w:color="auto"/>
            </w:tcBorders>
            <w:noWrap/>
            <w:hideMark/>
          </w:tcPr>
          <w:p w14:paraId="09A1928B"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p>
        </w:tc>
        <w:tc>
          <w:tcPr>
            <w:tcW w:w="0" w:type="auto"/>
            <w:tcBorders>
              <w:top w:val="single" w:sz="4" w:space="0" w:color="auto"/>
            </w:tcBorders>
            <w:noWrap/>
            <w:hideMark/>
          </w:tcPr>
          <w:p w14:paraId="09A1928C"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c>
          <w:tcPr>
            <w:tcW w:w="0" w:type="auto"/>
            <w:tcBorders>
              <w:top w:val="single" w:sz="4" w:space="0" w:color="auto"/>
            </w:tcBorders>
            <w:noWrap/>
            <w:hideMark/>
          </w:tcPr>
          <w:p w14:paraId="09A1928D"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c>
          <w:tcPr>
            <w:tcW w:w="0" w:type="auto"/>
            <w:tcBorders>
              <w:top w:val="single" w:sz="4" w:space="0" w:color="auto"/>
            </w:tcBorders>
            <w:noWrap/>
            <w:hideMark/>
          </w:tcPr>
          <w:p w14:paraId="09A1928E"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c>
          <w:tcPr>
            <w:tcW w:w="0" w:type="auto"/>
            <w:tcBorders>
              <w:top w:val="single" w:sz="4" w:space="0" w:color="auto"/>
            </w:tcBorders>
            <w:noWrap/>
            <w:hideMark/>
          </w:tcPr>
          <w:p w14:paraId="09A1928F"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7C6F2E">
              <w:rPr>
                <w:rFonts w:eastAsia="Times New Roman" w:cstheme="minorHAnsi"/>
                <w:color w:val="000000"/>
                <w:lang w:eastAsia="en-GB"/>
              </w:rPr>
              <w:t>***</w:t>
            </w:r>
          </w:p>
        </w:tc>
        <w:tc>
          <w:tcPr>
            <w:tcW w:w="0" w:type="auto"/>
            <w:tcBorders>
              <w:top w:val="single" w:sz="4" w:space="0" w:color="auto"/>
            </w:tcBorders>
            <w:noWrap/>
            <w:hideMark/>
          </w:tcPr>
          <w:p w14:paraId="09A1929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c>
          <w:tcPr>
            <w:tcW w:w="899" w:type="dxa"/>
            <w:tcBorders>
              <w:top w:val="single" w:sz="4" w:space="0" w:color="auto"/>
            </w:tcBorders>
            <w:noWrap/>
            <w:hideMark/>
          </w:tcPr>
          <w:p w14:paraId="09A19291"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c>
          <w:tcPr>
            <w:tcW w:w="600" w:type="dxa"/>
            <w:tcBorders>
              <w:top w:val="single" w:sz="4" w:space="0" w:color="auto"/>
            </w:tcBorders>
            <w:noWrap/>
            <w:hideMark/>
          </w:tcPr>
          <w:p w14:paraId="09A19292"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c>
          <w:tcPr>
            <w:tcW w:w="0" w:type="auto"/>
            <w:tcBorders>
              <w:top w:val="single" w:sz="4" w:space="0" w:color="auto"/>
            </w:tcBorders>
            <w:noWrap/>
            <w:hideMark/>
          </w:tcPr>
          <w:p w14:paraId="09A19293"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c>
          <w:tcPr>
            <w:tcW w:w="0" w:type="auto"/>
            <w:tcBorders>
              <w:top w:val="single" w:sz="4" w:space="0" w:color="auto"/>
            </w:tcBorders>
            <w:noWrap/>
            <w:hideMark/>
          </w:tcPr>
          <w:p w14:paraId="09A19294"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w:t>
            </w:r>
          </w:p>
        </w:tc>
      </w:tr>
      <w:tr w:rsidR="003D79B3" w:rsidRPr="007C6F2E" w14:paraId="09A192A1"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296" w14:textId="77777777" w:rsidR="003D79B3" w:rsidRPr="007C6F2E" w:rsidRDefault="003D79B3" w:rsidP="00D30A83">
            <w:pPr>
              <w:spacing w:after="0" w:line="480" w:lineRule="auto"/>
              <w:rPr>
                <w:rFonts w:eastAsia="Times New Roman" w:cstheme="minorHAnsi"/>
                <w:b w:val="0"/>
                <w:color w:val="000000"/>
                <w:u w:val="single"/>
                <w:lang w:eastAsia="en-GB"/>
              </w:rPr>
            </w:pPr>
            <w:r w:rsidRPr="007C6F2E">
              <w:rPr>
                <w:rFonts w:eastAsia="Times New Roman" w:cstheme="minorHAnsi"/>
                <w:b w:val="0"/>
                <w:color w:val="000000"/>
                <w:u w:val="single"/>
                <w:lang w:eastAsia="en-GB"/>
              </w:rPr>
              <w:t>&lt;</w:t>
            </w:r>
            <w:r w:rsidRPr="007C6F2E">
              <w:rPr>
                <w:rFonts w:eastAsia="Times New Roman" w:cstheme="minorHAnsi"/>
                <w:b w:val="0"/>
                <w:color w:val="000000"/>
                <w:lang w:eastAsia="en-GB"/>
              </w:rPr>
              <w:t xml:space="preserve"> 50</w:t>
            </w:r>
          </w:p>
        </w:tc>
        <w:tc>
          <w:tcPr>
            <w:tcW w:w="0" w:type="auto"/>
            <w:noWrap/>
            <w:hideMark/>
          </w:tcPr>
          <w:p w14:paraId="09A19297"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4</w:t>
            </w:r>
          </w:p>
        </w:tc>
        <w:tc>
          <w:tcPr>
            <w:tcW w:w="0" w:type="auto"/>
            <w:noWrap/>
            <w:hideMark/>
          </w:tcPr>
          <w:p w14:paraId="09A19298"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(2.8)</w:t>
            </w:r>
          </w:p>
        </w:tc>
        <w:tc>
          <w:tcPr>
            <w:tcW w:w="0" w:type="auto"/>
            <w:noWrap/>
            <w:hideMark/>
          </w:tcPr>
          <w:p w14:paraId="09A19299"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58</w:t>
            </w:r>
          </w:p>
        </w:tc>
        <w:tc>
          <w:tcPr>
            <w:tcW w:w="0" w:type="auto"/>
            <w:noWrap/>
            <w:hideMark/>
          </w:tcPr>
          <w:p w14:paraId="09A1929A"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(6.7)</w:t>
            </w:r>
          </w:p>
        </w:tc>
        <w:tc>
          <w:tcPr>
            <w:tcW w:w="0" w:type="auto"/>
            <w:noWrap/>
            <w:hideMark/>
          </w:tcPr>
          <w:p w14:paraId="09A1929B"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0" w:type="auto"/>
            <w:noWrap/>
            <w:hideMark/>
          </w:tcPr>
          <w:p w14:paraId="09A1929C"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20</w:t>
            </w:r>
          </w:p>
        </w:tc>
        <w:tc>
          <w:tcPr>
            <w:tcW w:w="899" w:type="dxa"/>
            <w:noWrap/>
            <w:hideMark/>
          </w:tcPr>
          <w:p w14:paraId="09A1929D"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(7.6)</w:t>
            </w:r>
          </w:p>
        </w:tc>
        <w:tc>
          <w:tcPr>
            <w:tcW w:w="600" w:type="dxa"/>
            <w:noWrap/>
            <w:hideMark/>
          </w:tcPr>
          <w:p w14:paraId="09A1929E"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23</w:t>
            </w:r>
          </w:p>
        </w:tc>
        <w:tc>
          <w:tcPr>
            <w:tcW w:w="0" w:type="auto"/>
            <w:noWrap/>
            <w:hideMark/>
          </w:tcPr>
          <w:p w14:paraId="09A1929F"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(6.5)</w:t>
            </w:r>
          </w:p>
        </w:tc>
        <w:tc>
          <w:tcPr>
            <w:tcW w:w="0" w:type="auto"/>
            <w:noWrap/>
            <w:hideMark/>
          </w:tcPr>
          <w:p w14:paraId="09A192A0"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3D79B3" w:rsidRPr="007C6F2E" w14:paraId="09A192AD"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2A2"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t>51-60</w:t>
            </w:r>
          </w:p>
        </w:tc>
        <w:tc>
          <w:tcPr>
            <w:tcW w:w="0" w:type="auto"/>
            <w:noWrap/>
            <w:hideMark/>
          </w:tcPr>
          <w:p w14:paraId="09A192A3"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8</w:t>
            </w:r>
          </w:p>
        </w:tc>
        <w:tc>
          <w:tcPr>
            <w:tcW w:w="0" w:type="auto"/>
            <w:noWrap/>
            <w:hideMark/>
          </w:tcPr>
          <w:p w14:paraId="09A192A4"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(5.5)</w:t>
            </w:r>
          </w:p>
        </w:tc>
        <w:tc>
          <w:tcPr>
            <w:tcW w:w="0" w:type="auto"/>
            <w:noWrap/>
            <w:hideMark/>
          </w:tcPr>
          <w:p w14:paraId="09A192A5"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124</w:t>
            </w:r>
          </w:p>
        </w:tc>
        <w:tc>
          <w:tcPr>
            <w:tcW w:w="0" w:type="auto"/>
            <w:noWrap/>
            <w:hideMark/>
          </w:tcPr>
          <w:p w14:paraId="09A192A6"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(14.4)</w:t>
            </w:r>
          </w:p>
        </w:tc>
        <w:tc>
          <w:tcPr>
            <w:tcW w:w="0" w:type="auto"/>
            <w:noWrap/>
            <w:hideMark/>
          </w:tcPr>
          <w:p w14:paraId="09A192A7"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0" w:type="auto"/>
            <w:noWrap/>
            <w:hideMark/>
          </w:tcPr>
          <w:p w14:paraId="09A192A8"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42</w:t>
            </w:r>
          </w:p>
        </w:tc>
        <w:tc>
          <w:tcPr>
            <w:tcW w:w="899" w:type="dxa"/>
            <w:noWrap/>
            <w:hideMark/>
          </w:tcPr>
          <w:p w14:paraId="09A192A9"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(16)</w:t>
            </w:r>
          </w:p>
        </w:tc>
        <w:tc>
          <w:tcPr>
            <w:tcW w:w="600" w:type="dxa"/>
            <w:noWrap/>
            <w:hideMark/>
          </w:tcPr>
          <w:p w14:paraId="09A192AA"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59</w:t>
            </w:r>
          </w:p>
        </w:tc>
        <w:tc>
          <w:tcPr>
            <w:tcW w:w="0" w:type="auto"/>
            <w:noWrap/>
            <w:hideMark/>
          </w:tcPr>
          <w:p w14:paraId="09A192AB"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(16.7)</w:t>
            </w:r>
          </w:p>
        </w:tc>
        <w:tc>
          <w:tcPr>
            <w:tcW w:w="0" w:type="auto"/>
            <w:noWrap/>
            <w:hideMark/>
          </w:tcPr>
          <w:p w14:paraId="09A192AC"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3D79B3" w:rsidRPr="007C6F2E" w14:paraId="09A192B9"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2AE"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t>61-70</w:t>
            </w:r>
          </w:p>
        </w:tc>
        <w:tc>
          <w:tcPr>
            <w:tcW w:w="0" w:type="auto"/>
            <w:noWrap/>
            <w:hideMark/>
          </w:tcPr>
          <w:p w14:paraId="09A192AF"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43</w:t>
            </w:r>
          </w:p>
        </w:tc>
        <w:tc>
          <w:tcPr>
            <w:tcW w:w="0" w:type="auto"/>
            <w:noWrap/>
            <w:hideMark/>
          </w:tcPr>
          <w:p w14:paraId="09A192B0"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(29.7)</w:t>
            </w:r>
          </w:p>
        </w:tc>
        <w:tc>
          <w:tcPr>
            <w:tcW w:w="0" w:type="auto"/>
            <w:noWrap/>
            <w:hideMark/>
          </w:tcPr>
          <w:p w14:paraId="09A192B1"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316</w:t>
            </w:r>
          </w:p>
        </w:tc>
        <w:tc>
          <w:tcPr>
            <w:tcW w:w="0" w:type="auto"/>
            <w:noWrap/>
            <w:hideMark/>
          </w:tcPr>
          <w:p w14:paraId="09A192B2"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(36.7)</w:t>
            </w:r>
          </w:p>
        </w:tc>
        <w:tc>
          <w:tcPr>
            <w:tcW w:w="0" w:type="auto"/>
            <w:noWrap/>
            <w:hideMark/>
          </w:tcPr>
          <w:p w14:paraId="09A192B3"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0" w:type="auto"/>
            <w:noWrap/>
            <w:hideMark/>
          </w:tcPr>
          <w:p w14:paraId="09A192B4"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82</w:t>
            </w:r>
          </w:p>
        </w:tc>
        <w:tc>
          <w:tcPr>
            <w:tcW w:w="899" w:type="dxa"/>
            <w:noWrap/>
            <w:hideMark/>
          </w:tcPr>
          <w:p w14:paraId="09A192B5"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(31.2)</w:t>
            </w:r>
          </w:p>
        </w:tc>
        <w:tc>
          <w:tcPr>
            <w:tcW w:w="600" w:type="dxa"/>
            <w:noWrap/>
            <w:hideMark/>
          </w:tcPr>
          <w:p w14:paraId="09A192B6"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169</w:t>
            </w:r>
          </w:p>
        </w:tc>
        <w:tc>
          <w:tcPr>
            <w:tcW w:w="0" w:type="auto"/>
            <w:noWrap/>
            <w:hideMark/>
          </w:tcPr>
          <w:p w14:paraId="09A192B7"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(47.7)</w:t>
            </w:r>
          </w:p>
        </w:tc>
        <w:tc>
          <w:tcPr>
            <w:tcW w:w="0" w:type="auto"/>
            <w:noWrap/>
            <w:hideMark/>
          </w:tcPr>
          <w:p w14:paraId="09A192B8"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3D79B3" w:rsidRPr="007C6F2E" w14:paraId="09A192C5"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2BA"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t>71-80</w:t>
            </w:r>
          </w:p>
        </w:tc>
        <w:tc>
          <w:tcPr>
            <w:tcW w:w="0" w:type="auto"/>
            <w:noWrap/>
            <w:hideMark/>
          </w:tcPr>
          <w:p w14:paraId="09A192BB"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55</w:t>
            </w:r>
          </w:p>
        </w:tc>
        <w:tc>
          <w:tcPr>
            <w:tcW w:w="0" w:type="auto"/>
            <w:noWrap/>
            <w:hideMark/>
          </w:tcPr>
          <w:p w14:paraId="09A192BC"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(37.9)</w:t>
            </w:r>
          </w:p>
        </w:tc>
        <w:tc>
          <w:tcPr>
            <w:tcW w:w="0" w:type="auto"/>
            <w:noWrap/>
            <w:hideMark/>
          </w:tcPr>
          <w:p w14:paraId="09A192BD"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263</w:t>
            </w:r>
          </w:p>
        </w:tc>
        <w:tc>
          <w:tcPr>
            <w:tcW w:w="0" w:type="auto"/>
            <w:noWrap/>
            <w:hideMark/>
          </w:tcPr>
          <w:p w14:paraId="09A192BE"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(30.5)</w:t>
            </w:r>
          </w:p>
        </w:tc>
        <w:tc>
          <w:tcPr>
            <w:tcW w:w="0" w:type="auto"/>
            <w:noWrap/>
            <w:hideMark/>
          </w:tcPr>
          <w:p w14:paraId="09A192BF"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0" w:type="auto"/>
            <w:noWrap/>
            <w:hideMark/>
          </w:tcPr>
          <w:p w14:paraId="09A192C0"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84</w:t>
            </w:r>
          </w:p>
        </w:tc>
        <w:tc>
          <w:tcPr>
            <w:tcW w:w="899" w:type="dxa"/>
            <w:noWrap/>
            <w:hideMark/>
          </w:tcPr>
          <w:p w14:paraId="09A192C1"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(31.9)</w:t>
            </w:r>
          </w:p>
        </w:tc>
        <w:tc>
          <w:tcPr>
            <w:tcW w:w="600" w:type="dxa"/>
            <w:noWrap/>
            <w:hideMark/>
          </w:tcPr>
          <w:p w14:paraId="09A192C2"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87</w:t>
            </w:r>
          </w:p>
        </w:tc>
        <w:tc>
          <w:tcPr>
            <w:tcW w:w="0" w:type="auto"/>
            <w:noWrap/>
            <w:hideMark/>
          </w:tcPr>
          <w:p w14:paraId="09A192C3"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(24.6)</w:t>
            </w:r>
          </w:p>
        </w:tc>
        <w:tc>
          <w:tcPr>
            <w:tcW w:w="0" w:type="auto"/>
            <w:noWrap/>
            <w:hideMark/>
          </w:tcPr>
          <w:p w14:paraId="09A192C4"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3D79B3" w:rsidRPr="007C6F2E" w14:paraId="09A192D1"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2C6"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t>81 +</w:t>
            </w:r>
          </w:p>
        </w:tc>
        <w:tc>
          <w:tcPr>
            <w:tcW w:w="0" w:type="auto"/>
            <w:noWrap/>
            <w:hideMark/>
          </w:tcPr>
          <w:p w14:paraId="09A192C7"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34</w:t>
            </w:r>
          </w:p>
        </w:tc>
        <w:tc>
          <w:tcPr>
            <w:tcW w:w="0" w:type="auto"/>
            <w:noWrap/>
            <w:hideMark/>
          </w:tcPr>
          <w:p w14:paraId="09A192C8"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(23.5)</w:t>
            </w:r>
          </w:p>
        </w:tc>
        <w:tc>
          <w:tcPr>
            <w:tcW w:w="0" w:type="auto"/>
            <w:noWrap/>
            <w:hideMark/>
          </w:tcPr>
          <w:p w14:paraId="09A192C9"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98</w:t>
            </w:r>
          </w:p>
        </w:tc>
        <w:tc>
          <w:tcPr>
            <w:tcW w:w="0" w:type="auto"/>
            <w:noWrap/>
            <w:hideMark/>
          </w:tcPr>
          <w:p w14:paraId="09A192CA"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(11.4)</w:t>
            </w:r>
          </w:p>
        </w:tc>
        <w:tc>
          <w:tcPr>
            <w:tcW w:w="0" w:type="auto"/>
            <w:noWrap/>
            <w:hideMark/>
          </w:tcPr>
          <w:p w14:paraId="09A192CB"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0" w:type="auto"/>
            <w:noWrap/>
            <w:hideMark/>
          </w:tcPr>
          <w:p w14:paraId="09A192CC"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35</w:t>
            </w:r>
          </w:p>
        </w:tc>
        <w:tc>
          <w:tcPr>
            <w:tcW w:w="899" w:type="dxa"/>
            <w:noWrap/>
            <w:hideMark/>
          </w:tcPr>
          <w:p w14:paraId="09A192CD"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(13.3)</w:t>
            </w:r>
          </w:p>
        </w:tc>
        <w:tc>
          <w:tcPr>
            <w:tcW w:w="600" w:type="dxa"/>
            <w:noWrap/>
            <w:hideMark/>
          </w:tcPr>
          <w:p w14:paraId="09A192CE"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16</w:t>
            </w:r>
          </w:p>
        </w:tc>
        <w:tc>
          <w:tcPr>
            <w:tcW w:w="0" w:type="auto"/>
            <w:noWrap/>
            <w:hideMark/>
          </w:tcPr>
          <w:p w14:paraId="09A192CF"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(4.5)</w:t>
            </w:r>
          </w:p>
        </w:tc>
        <w:tc>
          <w:tcPr>
            <w:tcW w:w="0" w:type="auto"/>
            <w:noWrap/>
            <w:hideMark/>
          </w:tcPr>
          <w:p w14:paraId="09A192D0"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3D79B3" w:rsidRPr="007C6F2E" w14:paraId="09A192DB"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2D2"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t>Missing</w:t>
            </w:r>
          </w:p>
        </w:tc>
        <w:tc>
          <w:tcPr>
            <w:tcW w:w="0" w:type="auto"/>
            <w:noWrap/>
            <w:hideMark/>
          </w:tcPr>
          <w:p w14:paraId="09A192D3"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w:t>
            </w:r>
          </w:p>
        </w:tc>
        <w:tc>
          <w:tcPr>
            <w:tcW w:w="0" w:type="auto"/>
            <w:noWrap/>
            <w:hideMark/>
          </w:tcPr>
          <w:p w14:paraId="09A192D4"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(0.7)</w:t>
            </w:r>
          </w:p>
        </w:tc>
        <w:tc>
          <w:tcPr>
            <w:tcW w:w="0" w:type="auto"/>
            <w:noWrap/>
            <w:hideMark/>
          </w:tcPr>
          <w:p w14:paraId="09A192D5"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w:t>
            </w:r>
          </w:p>
        </w:tc>
        <w:tc>
          <w:tcPr>
            <w:tcW w:w="0" w:type="auto"/>
            <w:noWrap/>
            <w:hideMark/>
          </w:tcPr>
          <w:p w14:paraId="09A192D6"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(0.2)</w:t>
            </w:r>
          </w:p>
        </w:tc>
        <w:tc>
          <w:tcPr>
            <w:tcW w:w="0" w:type="auto"/>
            <w:noWrap/>
            <w:hideMark/>
          </w:tcPr>
          <w:p w14:paraId="09A192D7"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450" w:type="dxa"/>
            <w:gridSpan w:val="2"/>
            <w:noWrap/>
            <w:hideMark/>
          </w:tcPr>
          <w:p w14:paraId="09A192D8" w14:textId="77777777" w:rsidR="003D79B3" w:rsidRPr="007C6F2E" w:rsidRDefault="003D79B3" w:rsidP="00D30A83">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n/a</w:t>
            </w:r>
          </w:p>
        </w:tc>
        <w:tc>
          <w:tcPr>
            <w:tcW w:w="1348" w:type="dxa"/>
            <w:gridSpan w:val="2"/>
            <w:noWrap/>
            <w:hideMark/>
          </w:tcPr>
          <w:p w14:paraId="09A192D9" w14:textId="77777777" w:rsidR="003D79B3" w:rsidRPr="007C6F2E" w:rsidRDefault="003D79B3" w:rsidP="00D30A83">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n/a</w:t>
            </w:r>
          </w:p>
        </w:tc>
        <w:tc>
          <w:tcPr>
            <w:tcW w:w="0" w:type="auto"/>
            <w:noWrap/>
            <w:hideMark/>
          </w:tcPr>
          <w:p w14:paraId="09A192DA" w14:textId="77777777" w:rsidR="003D79B3" w:rsidRPr="007C6F2E" w:rsidRDefault="003D79B3" w:rsidP="00D30A83">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3D79B3" w:rsidRPr="007C6F2E" w14:paraId="09A192E7"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2DC" w14:textId="77777777" w:rsidR="003D79B3" w:rsidRPr="007C6F2E" w:rsidRDefault="003D79B3" w:rsidP="00D30A83">
            <w:pPr>
              <w:spacing w:after="0" w:line="480" w:lineRule="auto"/>
              <w:rPr>
                <w:rFonts w:eastAsia="Times New Roman" w:cstheme="minorHAnsi"/>
                <w:color w:val="000000"/>
                <w:lang w:eastAsia="en-GB"/>
              </w:rPr>
            </w:pPr>
            <w:r w:rsidRPr="007C6F2E">
              <w:rPr>
                <w:rFonts w:eastAsia="Times New Roman" w:cstheme="minorHAnsi"/>
                <w:color w:val="000000"/>
                <w:lang w:eastAsia="en-GB"/>
              </w:rPr>
              <w:t>Gender</w:t>
            </w:r>
          </w:p>
        </w:tc>
        <w:tc>
          <w:tcPr>
            <w:tcW w:w="0" w:type="auto"/>
            <w:noWrap/>
            <w:hideMark/>
          </w:tcPr>
          <w:p w14:paraId="09A192DD"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en-GB"/>
              </w:rPr>
            </w:pPr>
          </w:p>
        </w:tc>
        <w:tc>
          <w:tcPr>
            <w:tcW w:w="0" w:type="auto"/>
            <w:noWrap/>
            <w:hideMark/>
          </w:tcPr>
          <w:p w14:paraId="09A192DE"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0" w:type="auto"/>
            <w:noWrap/>
            <w:hideMark/>
          </w:tcPr>
          <w:p w14:paraId="09A192DF"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0" w:type="auto"/>
            <w:noWrap/>
            <w:hideMark/>
          </w:tcPr>
          <w:p w14:paraId="09A192E0"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0" w:type="auto"/>
            <w:noWrap/>
            <w:hideMark/>
          </w:tcPr>
          <w:p w14:paraId="09A192E1"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0" w:type="auto"/>
            <w:noWrap/>
            <w:hideMark/>
          </w:tcPr>
          <w:p w14:paraId="09A192E2"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899" w:type="dxa"/>
            <w:noWrap/>
            <w:hideMark/>
          </w:tcPr>
          <w:p w14:paraId="09A192E3"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600" w:type="dxa"/>
            <w:noWrap/>
            <w:hideMark/>
          </w:tcPr>
          <w:p w14:paraId="09A192E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0" w:type="auto"/>
            <w:noWrap/>
            <w:hideMark/>
          </w:tcPr>
          <w:p w14:paraId="09A192E5"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0" w:type="auto"/>
            <w:noWrap/>
            <w:hideMark/>
          </w:tcPr>
          <w:p w14:paraId="09A192E6"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r>
      <w:tr w:rsidR="003D79B3" w:rsidRPr="007C6F2E" w14:paraId="09A192F3"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2E8"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t>Male</w:t>
            </w:r>
          </w:p>
        </w:tc>
        <w:tc>
          <w:tcPr>
            <w:tcW w:w="0" w:type="auto"/>
            <w:noWrap/>
            <w:hideMark/>
          </w:tcPr>
          <w:p w14:paraId="09A192E9"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79</w:t>
            </w:r>
          </w:p>
        </w:tc>
        <w:tc>
          <w:tcPr>
            <w:tcW w:w="0" w:type="auto"/>
            <w:noWrap/>
            <w:hideMark/>
          </w:tcPr>
          <w:p w14:paraId="09A192EA"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(54.5)</w:t>
            </w:r>
          </w:p>
        </w:tc>
        <w:tc>
          <w:tcPr>
            <w:tcW w:w="0" w:type="auto"/>
            <w:noWrap/>
            <w:hideMark/>
          </w:tcPr>
          <w:p w14:paraId="09A192EB"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513</w:t>
            </w:r>
          </w:p>
        </w:tc>
        <w:tc>
          <w:tcPr>
            <w:tcW w:w="0" w:type="auto"/>
            <w:noWrap/>
            <w:hideMark/>
          </w:tcPr>
          <w:p w14:paraId="09A192EC"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(59.6)</w:t>
            </w:r>
          </w:p>
        </w:tc>
        <w:tc>
          <w:tcPr>
            <w:tcW w:w="0" w:type="auto"/>
            <w:noWrap/>
            <w:hideMark/>
          </w:tcPr>
          <w:p w14:paraId="09A192ED"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0" w:type="auto"/>
            <w:noWrap/>
            <w:hideMark/>
          </w:tcPr>
          <w:p w14:paraId="09A192EE"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151</w:t>
            </w:r>
          </w:p>
        </w:tc>
        <w:tc>
          <w:tcPr>
            <w:tcW w:w="899" w:type="dxa"/>
            <w:noWrap/>
            <w:hideMark/>
          </w:tcPr>
          <w:p w14:paraId="09A192EF"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(57.4)</w:t>
            </w:r>
          </w:p>
        </w:tc>
        <w:tc>
          <w:tcPr>
            <w:tcW w:w="600" w:type="dxa"/>
            <w:noWrap/>
            <w:hideMark/>
          </w:tcPr>
          <w:p w14:paraId="09A192F0"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207</w:t>
            </w:r>
          </w:p>
        </w:tc>
        <w:tc>
          <w:tcPr>
            <w:tcW w:w="0" w:type="auto"/>
            <w:noWrap/>
            <w:hideMark/>
          </w:tcPr>
          <w:p w14:paraId="09A192F1"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(58.5)</w:t>
            </w:r>
          </w:p>
        </w:tc>
        <w:tc>
          <w:tcPr>
            <w:tcW w:w="0" w:type="auto"/>
            <w:noWrap/>
            <w:hideMark/>
          </w:tcPr>
          <w:p w14:paraId="09A192F2"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3D79B3" w:rsidRPr="007C6F2E" w14:paraId="09A192FF"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2F4"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t>Female</w:t>
            </w:r>
          </w:p>
        </w:tc>
        <w:tc>
          <w:tcPr>
            <w:tcW w:w="0" w:type="auto"/>
            <w:noWrap/>
            <w:hideMark/>
          </w:tcPr>
          <w:p w14:paraId="09A192F5"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64</w:t>
            </w:r>
          </w:p>
        </w:tc>
        <w:tc>
          <w:tcPr>
            <w:tcW w:w="0" w:type="auto"/>
            <w:noWrap/>
            <w:hideMark/>
          </w:tcPr>
          <w:p w14:paraId="09A192F6"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(44.1)</w:t>
            </w:r>
          </w:p>
        </w:tc>
        <w:tc>
          <w:tcPr>
            <w:tcW w:w="0" w:type="auto"/>
            <w:noWrap/>
            <w:hideMark/>
          </w:tcPr>
          <w:p w14:paraId="09A192F7"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348</w:t>
            </w:r>
          </w:p>
        </w:tc>
        <w:tc>
          <w:tcPr>
            <w:tcW w:w="0" w:type="auto"/>
            <w:noWrap/>
            <w:hideMark/>
          </w:tcPr>
          <w:p w14:paraId="09A192F8"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(40.4)</w:t>
            </w:r>
          </w:p>
        </w:tc>
        <w:tc>
          <w:tcPr>
            <w:tcW w:w="0" w:type="auto"/>
            <w:noWrap/>
            <w:hideMark/>
          </w:tcPr>
          <w:p w14:paraId="09A192F9"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0" w:type="auto"/>
            <w:noWrap/>
            <w:hideMark/>
          </w:tcPr>
          <w:p w14:paraId="09A192FA"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112</w:t>
            </w:r>
          </w:p>
        </w:tc>
        <w:tc>
          <w:tcPr>
            <w:tcW w:w="899" w:type="dxa"/>
            <w:noWrap/>
            <w:hideMark/>
          </w:tcPr>
          <w:p w14:paraId="09A192FB"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(42.6)</w:t>
            </w:r>
          </w:p>
        </w:tc>
        <w:tc>
          <w:tcPr>
            <w:tcW w:w="600" w:type="dxa"/>
            <w:noWrap/>
            <w:hideMark/>
          </w:tcPr>
          <w:p w14:paraId="09A192FC"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147</w:t>
            </w:r>
          </w:p>
        </w:tc>
        <w:tc>
          <w:tcPr>
            <w:tcW w:w="0" w:type="auto"/>
            <w:noWrap/>
            <w:hideMark/>
          </w:tcPr>
          <w:p w14:paraId="09A192FD"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(41.5)</w:t>
            </w:r>
          </w:p>
        </w:tc>
        <w:tc>
          <w:tcPr>
            <w:tcW w:w="0" w:type="auto"/>
            <w:noWrap/>
            <w:hideMark/>
          </w:tcPr>
          <w:p w14:paraId="09A192FE"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3D79B3" w:rsidRPr="007C6F2E" w14:paraId="09A19309"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300"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t>Missing</w:t>
            </w:r>
          </w:p>
        </w:tc>
        <w:tc>
          <w:tcPr>
            <w:tcW w:w="0" w:type="auto"/>
            <w:noWrap/>
            <w:hideMark/>
          </w:tcPr>
          <w:p w14:paraId="09A19301"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w:t>
            </w:r>
          </w:p>
        </w:tc>
        <w:tc>
          <w:tcPr>
            <w:tcW w:w="0" w:type="auto"/>
            <w:noWrap/>
            <w:hideMark/>
          </w:tcPr>
          <w:p w14:paraId="09A19302"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(1.4)</w:t>
            </w:r>
          </w:p>
        </w:tc>
        <w:tc>
          <w:tcPr>
            <w:tcW w:w="0" w:type="auto"/>
            <w:noWrap/>
            <w:hideMark/>
          </w:tcPr>
          <w:p w14:paraId="09A19303"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0</w:t>
            </w:r>
          </w:p>
        </w:tc>
        <w:tc>
          <w:tcPr>
            <w:tcW w:w="0" w:type="auto"/>
            <w:noWrap/>
            <w:hideMark/>
          </w:tcPr>
          <w:p w14:paraId="09A19304"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w:t>
            </w:r>
          </w:p>
        </w:tc>
        <w:tc>
          <w:tcPr>
            <w:tcW w:w="0" w:type="auto"/>
            <w:noWrap/>
            <w:hideMark/>
          </w:tcPr>
          <w:p w14:paraId="09A19305"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450" w:type="dxa"/>
            <w:gridSpan w:val="2"/>
            <w:noWrap/>
            <w:hideMark/>
          </w:tcPr>
          <w:p w14:paraId="09A19306" w14:textId="77777777" w:rsidR="003D79B3" w:rsidRPr="007C6F2E" w:rsidRDefault="003D79B3" w:rsidP="00D30A83">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n/a</w:t>
            </w:r>
          </w:p>
        </w:tc>
        <w:tc>
          <w:tcPr>
            <w:tcW w:w="1348" w:type="dxa"/>
            <w:gridSpan w:val="2"/>
            <w:noWrap/>
            <w:hideMark/>
          </w:tcPr>
          <w:p w14:paraId="09A19307" w14:textId="77777777" w:rsidR="003D79B3" w:rsidRPr="007C6F2E" w:rsidRDefault="003D79B3" w:rsidP="00D30A83">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n/a</w:t>
            </w:r>
          </w:p>
        </w:tc>
        <w:tc>
          <w:tcPr>
            <w:tcW w:w="0" w:type="auto"/>
            <w:noWrap/>
            <w:hideMark/>
          </w:tcPr>
          <w:p w14:paraId="09A19308" w14:textId="77777777" w:rsidR="003D79B3" w:rsidRPr="007C6F2E" w:rsidRDefault="003D79B3" w:rsidP="00D30A83">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3D79B3" w:rsidRPr="007C6F2E" w14:paraId="09A19315"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30A" w14:textId="77777777" w:rsidR="003D79B3" w:rsidRPr="007C6F2E" w:rsidRDefault="003D79B3" w:rsidP="00D30A83">
            <w:pPr>
              <w:spacing w:after="0" w:line="480" w:lineRule="auto"/>
              <w:rPr>
                <w:rFonts w:eastAsia="Times New Roman" w:cstheme="minorHAnsi"/>
                <w:color w:val="000000"/>
                <w:lang w:eastAsia="en-GB"/>
              </w:rPr>
            </w:pPr>
            <w:r w:rsidRPr="007C6F2E">
              <w:rPr>
                <w:rFonts w:eastAsia="Times New Roman" w:cstheme="minorHAnsi"/>
                <w:color w:val="000000"/>
                <w:lang w:eastAsia="en-GB"/>
              </w:rPr>
              <w:t>Ethnicity</w:t>
            </w:r>
          </w:p>
        </w:tc>
        <w:tc>
          <w:tcPr>
            <w:tcW w:w="0" w:type="auto"/>
            <w:noWrap/>
            <w:hideMark/>
          </w:tcPr>
          <w:p w14:paraId="09A1930B"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en-GB"/>
              </w:rPr>
            </w:pPr>
          </w:p>
        </w:tc>
        <w:tc>
          <w:tcPr>
            <w:tcW w:w="0" w:type="auto"/>
            <w:noWrap/>
            <w:hideMark/>
          </w:tcPr>
          <w:p w14:paraId="09A1930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0" w:type="auto"/>
            <w:noWrap/>
            <w:hideMark/>
          </w:tcPr>
          <w:p w14:paraId="09A1930D"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0" w:type="auto"/>
            <w:noWrap/>
            <w:hideMark/>
          </w:tcPr>
          <w:p w14:paraId="09A1930E"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0" w:type="auto"/>
            <w:noWrap/>
            <w:hideMark/>
          </w:tcPr>
          <w:p w14:paraId="09A1930F"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7C6F2E">
              <w:rPr>
                <w:rFonts w:eastAsia="Times New Roman" w:cstheme="minorHAnsi"/>
                <w:color w:val="000000"/>
                <w:lang w:eastAsia="en-GB"/>
              </w:rPr>
              <w:t>**</w:t>
            </w:r>
          </w:p>
        </w:tc>
        <w:tc>
          <w:tcPr>
            <w:tcW w:w="0" w:type="auto"/>
            <w:noWrap/>
            <w:hideMark/>
          </w:tcPr>
          <w:p w14:paraId="09A19310"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899" w:type="dxa"/>
            <w:noWrap/>
            <w:hideMark/>
          </w:tcPr>
          <w:p w14:paraId="09A19311"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600" w:type="dxa"/>
            <w:noWrap/>
            <w:hideMark/>
          </w:tcPr>
          <w:p w14:paraId="09A19312"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0" w:type="auto"/>
            <w:noWrap/>
            <w:hideMark/>
          </w:tcPr>
          <w:p w14:paraId="09A19313"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0" w:type="auto"/>
            <w:noWrap/>
            <w:hideMark/>
          </w:tcPr>
          <w:p w14:paraId="09A1931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w:t>
            </w:r>
          </w:p>
        </w:tc>
      </w:tr>
      <w:tr w:rsidR="003D79B3" w:rsidRPr="007C6F2E" w14:paraId="09A19321"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316"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t>White British</w:t>
            </w:r>
          </w:p>
        </w:tc>
        <w:tc>
          <w:tcPr>
            <w:tcW w:w="0" w:type="auto"/>
            <w:noWrap/>
            <w:hideMark/>
          </w:tcPr>
          <w:p w14:paraId="09A19317"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124</w:t>
            </w:r>
          </w:p>
        </w:tc>
        <w:tc>
          <w:tcPr>
            <w:tcW w:w="0" w:type="auto"/>
            <w:noWrap/>
            <w:hideMark/>
          </w:tcPr>
          <w:p w14:paraId="09A1931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(85.5)</w:t>
            </w:r>
          </w:p>
        </w:tc>
        <w:tc>
          <w:tcPr>
            <w:tcW w:w="0" w:type="auto"/>
            <w:noWrap/>
            <w:hideMark/>
          </w:tcPr>
          <w:p w14:paraId="09A19319"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637</w:t>
            </w:r>
          </w:p>
        </w:tc>
        <w:tc>
          <w:tcPr>
            <w:tcW w:w="0" w:type="auto"/>
            <w:noWrap/>
            <w:hideMark/>
          </w:tcPr>
          <w:p w14:paraId="09A1931A"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(74.0)</w:t>
            </w:r>
          </w:p>
        </w:tc>
        <w:tc>
          <w:tcPr>
            <w:tcW w:w="0" w:type="auto"/>
            <w:noWrap/>
            <w:hideMark/>
          </w:tcPr>
          <w:p w14:paraId="09A1931B"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0" w:type="auto"/>
            <w:noWrap/>
            <w:hideMark/>
          </w:tcPr>
          <w:p w14:paraId="09A1931C"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216</w:t>
            </w:r>
          </w:p>
        </w:tc>
        <w:tc>
          <w:tcPr>
            <w:tcW w:w="899" w:type="dxa"/>
            <w:noWrap/>
            <w:hideMark/>
          </w:tcPr>
          <w:p w14:paraId="09A1931D"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(82.1)</w:t>
            </w:r>
          </w:p>
        </w:tc>
        <w:tc>
          <w:tcPr>
            <w:tcW w:w="600" w:type="dxa"/>
            <w:noWrap/>
            <w:hideMark/>
          </w:tcPr>
          <w:p w14:paraId="09A1931E"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298</w:t>
            </w:r>
          </w:p>
        </w:tc>
        <w:tc>
          <w:tcPr>
            <w:tcW w:w="0" w:type="auto"/>
            <w:noWrap/>
            <w:hideMark/>
          </w:tcPr>
          <w:p w14:paraId="09A1931F"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(84.2)</w:t>
            </w:r>
          </w:p>
        </w:tc>
        <w:tc>
          <w:tcPr>
            <w:tcW w:w="0" w:type="auto"/>
            <w:noWrap/>
            <w:hideMark/>
          </w:tcPr>
          <w:p w14:paraId="09A1932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3D79B3" w:rsidRPr="007C6F2E" w14:paraId="09A1932D"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322"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t>Other ethnic group</w:t>
            </w:r>
          </w:p>
        </w:tc>
        <w:tc>
          <w:tcPr>
            <w:tcW w:w="0" w:type="auto"/>
            <w:noWrap/>
            <w:hideMark/>
          </w:tcPr>
          <w:p w14:paraId="09A19323"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9</w:t>
            </w:r>
          </w:p>
        </w:tc>
        <w:tc>
          <w:tcPr>
            <w:tcW w:w="0" w:type="auto"/>
            <w:noWrap/>
            <w:hideMark/>
          </w:tcPr>
          <w:p w14:paraId="09A1932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(6.2)</w:t>
            </w:r>
          </w:p>
        </w:tc>
        <w:tc>
          <w:tcPr>
            <w:tcW w:w="0" w:type="auto"/>
            <w:noWrap/>
            <w:hideMark/>
          </w:tcPr>
          <w:p w14:paraId="09A19325"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50</w:t>
            </w:r>
          </w:p>
        </w:tc>
        <w:tc>
          <w:tcPr>
            <w:tcW w:w="0" w:type="auto"/>
            <w:noWrap/>
            <w:hideMark/>
          </w:tcPr>
          <w:p w14:paraId="09A19326"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(5.8)</w:t>
            </w:r>
          </w:p>
        </w:tc>
        <w:tc>
          <w:tcPr>
            <w:tcW w:w="0" w:type="auto"/>
            <w:noWrap/>
            <w:hideMark/>
          </w:tcPr>
          <w:p w14:paraId="09A19327"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0" w:type="auto"/>
            <w:noWrap/>
            <w:hideMark/>
          </w:tcPr>
          <w:p w14:paraId="09A19328"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27</w:t>
            </w:r>
          </w:p>
        </w:tc>
        <w:tc>
          <w:tcPr>
            <w:tcW w:w="899" w:type="dxa"/>
            <w:noWrap/>
            <w:hideMark/>
          </w:tcPr>
          <w:p w14:paraId="09A19329"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(10.3)</w:t>
            </w:r>
          </w:p>
        </w:tc>
        <w:tc>
          <w:tcPr>
            <w:tcW w:w="600" w:type="dxa"/>
            <w:noWrap/>
            <w:hideMark/>
          </w:tcPr>
          <w:p w14:paraId="09A1932A"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16</w:t>
            </w:r>
          </w:p>
        </w:tc>
        <w:tc>
          <w:tcPr>
            <w:tcW w:w="0" w:type="auto"/>
            <w:noWrap/>
            <w:hideMark/>
          </w:tcPr>
          <w:p w14:paraId="09A1932B"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(4.5)</w:t>
            </w:r>
          </w:p>
        </w:tc>
        <w:tc>
          <w:tcPr>
            <w:tcW w:w="0" w:type="auto"/>
            <w:noWrap/>
            <w:hideMark/>
          </w:tcPr>
          <w:p w14:paraId="09A1932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3D79B3" w:rsidRPr="007C6F2E" w14:paraId="09A19339"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32E"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t>Unknown ethnicity</w:t>
            </w:r>
          </w:p>
        </w:tc>
        <w:tc>
          <w:tcPr>
            <w:tcW w:w="0" w:type="auto"/>
            <w:noWrap/>
            <w:hideMark/>
          </w:tcPr>
          <w:p w14:paraId="09A1932F"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12</w:t>
            </w:r>
          </w:p>
        </w:tc>
        <w:tc>
          <w:tcPr>
            <w:tcW w:w="0" w:type="auto"/>
            <w:noWrap/>
            <w:hideMark/>
          </w:tcPr>
          <w:p w14:paraId="09A1933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(8.3)</w:t>
            </w:r>
          </w:p>
        </w:tc>
        <w:tc>
          <w:tcPr>
            <w:tcW w:w="0" w:type="auto"/>
            <w:noWrap/>
            <w:hideMark/>
          </w:tcPr>
          <w:p w14:paraId="09A19331"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174</w:t>
            </w:r>
          </w:p>
        </w:tc>
        <w:tc>
          <w:tcPr>
            <w:tcW w:w="0" w:type="auto"/>
            <w:noWrap/>
            <w:hideMark/>
          </w:tcPr>
          <w:p w14:paraId="09A19332"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(20.2)</w:t>
            </w:r>
          </w:p>
        </w:tc>
        <w:tc>
          <w:tcPr>
            <w:tcW w:w="0" w:type="auto"/>
            <w:noWrap/>
            <w:hideMark/>
          </w:tcPr>
          <w:p w14:paraId="09A19333"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0" w:type="auto"/>
            <w:noWrap/>
            <w:hideMark/>
          </w:tcPr>
          <w:p w14:paraId="09A19334"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20</w:t>
            </w:r>
          </w:p>
        </w:tc>
        <w:tc>
          <w:tcPr>
            <w:tcW w:w="899" w:type="dxa"/>
            <w:noWrap/>
            <w:hideMark/>
          </w:tcPr>
          <w:p w14:paraId="09A19335"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(7.6)</w:t>
            </w:r>
          </w:p>
        </w:tc>
        <w:tc>
          <w:tcPr>
            <w:tcW w:w="600" w:type="dxa"/>
            <w:noWrap/>
            <w:hideMark/>
          </w:tcPr>
          <w:p w14:paraId="09A19336"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40</w:t>
            </w:r>
          </w:p>
        </w:tc>
        <w:tc>
          <w:tcPr>
            <w:tcW w:w="0" w:type="auto"/>
            <w:noWrap/>
            <w:hideMark/>
          </w:tcPr>
          <w:p w14:paraId="09A19337"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(11.3)</w:t>
            </w:r>
          </w:p>
        </w:tc>
        <w:tc>
          <w:tcPr>
            <w:tcW w:w="0" w:type="auto"/>
            <w:noWrap/>
            <w:hideMark/>
          </w:tcPr>
          <w:p w14:paraId="09A1933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3D79B3" w:rsidRPr="007C6F2E" w14:paraId="09A19345"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33A" w14:textId="77777777" w:rsidR="003D79B3" w:rsidRPr="007C6F2E" w:rsidRDefault="003D79B3" w:rsidP="00D30A83">
            <w:pPr>
              <w:spacing w:after="0" w:line="480" w:lineRule="auto"/>
              <w:rPr>
                <w:rFonts w:eastAsia="Times New Roman" w:cstheme="minorHAnsi"/>
                <w:color w:val="000000"/>
                <w:lang w:eastAsia="en-GB"/>
              </w:rPr>
            </w:pPr>
            <w:r w:rsidRPr="007C6F2E">
              <w:rPr>
                <w:rFonts w:eastAsia="Times New Roman" w:cstheme="minorHAnsi"/>
                <w:color w:val="000000"/>
                <w:lang w:eastAsia="en-GB"/>
              </w:rPr>
              <w:t>Deprivation index</w:t>
            </w:r>
          </w:p>
        </w:tc>
        <w:tc>
          <w:tcPr>
            <w:tcW w:w="0" w:type="auto"/>
            <w:noWrap/>
            <w:hideMark/>
          </w:tcPr>
          <w:p w14:paraId="09A1933B"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en-GB"/>
              </w:rPr>
            </w:pPr>
          </w:p>
        </w:tc>
        <w:tc>
          <w:tcPr>
            <w:tcW w:w="0" w:type="auto"/>
            <w:noWrap/>
            <w:hideMark/>
          </w:tcPr>
          <w:p w14:paraId="09A1933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0" w:type="auto"/>
            <w:noWrap/>
            <w:hideMark/>
          </w:tcPr>
          <w:p w14:paraId="09A1933D"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0" w:type="auto"/>
            <w:noWrap/>
            <w:hideMark/>
          </w:tcPr>
          <w:p w14:paraId="09A1933E"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0" w:type="auto"/>
            <w:noWrap/>
            <w:hideMark/>
          </w:tcPr>
          <w:p w14:paraId="09A1933F"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0" w:type="auto"/>
            <w:noWrap/>
            <w:hideMark/>
          </w:tcPr>
          <w:p w14:paraId="09A19340"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899" w:type="dxa"/>
            <w:noWrap/>
            <w:hideMark/>
          </w:tcPr>
          <w:p w14:paraId="09A19341"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600" w:type="dxa"/>
            <w:noWrap/>
            <w:hideMark/>
          </w:tcPr>
          <w:p w14:paraId="09A19342"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0" w:type="auto"/>
            <w:noWrap/>
            <w:hideMark/>
          </w:tcPr>
          <w:p w14:paraId="09A19343"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0" w:type="auto"/>
            <w:noWrap/>
            <w:hideMark/>
          </w:tcPr>
          <w:p w14:paraId="09A1934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r>
      <w:tr w:rsidR="003D79B3" w:rsidRPr="007C6F2E" w14:paraId="09A19351"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346"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t>1</w:t>
            </w:r>
            <w:r w:rsidRPr="007C6F2E">
              <w:rPr>
                <w:rFonts w:eastAsia="Times New Roman" w:cstheme="minorHAnsi"/>
                <w:b w:val="0"/>
                <w:color w:val="000000"/>
                <w:vertAlign w:val="superscript"/>
                <w:lang w:eastAsia="en-GB"/>
              </w:rPr>
              <w:t>st</w:t>
            </w:r>
            <w:r w:rsidRPr="007C6F2E">
              <w:rPr>
                <w:rFonts w:eastAsia="Times New Roman" w:cstheme="minorHAnsi"/>
                <w:b w:val="0"/>
                <w:color w:val="000000"/>
                <w:lang w:eastAsia="en-GB"/>
              </w:rPr>
              <w:t xml:space="preserve"> quintile (least deprived)</w:t>
            </w:r>
          </w:p>
        </w:tc>
        <w:tc>
          <w:tcPr>
            <w:tcW w:w="0" w:type="auto"/>
            <w:noWrap/>
            <w:hideMark/>
          </w:tcPr>
          <w:p w14:paraId="09A19347"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22</w:t>
            </w:r>
          </w:p>
        </w:tc>
        <w:tc>
          <w:tcPr>
            <w:tcW w:w="0" w:type="auto"/>
            <w:noWrap/>
            <w:hideMark/>
          </w:tcPr>
          <w:p w14:paraId="09A1934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(15.2)</w:t>
            </w:r>
          </w:p>
        </w:tc>
        <w:tc>
          <w:tcPr>
            <w:tcW w:w="0" w:type="auto"/>
            <w:noWrap/>
            <w:hideMark/>
          </w:tcPr>
          <w:p w14:paraId="09A19349"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171</w:t>
            </w:r>
          </w:p>
        </w:tc>
        <w:tc>
          <w:tcPr>
            <w:tcW w:w="0" w:type="auto"/>
            <w:noWrap/>
            <w:hideMark/>
          </w:tcPr>
          <w:p w14:paraId="09A1934A"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(19.9)</w:t>
            </w:r>
          </w:p>
        </w:tc>
        <w:tc>
          <w:tcPr>
            <w:tcW w:w="0" w:type="auto"/>
            <w:noWrap/>
            <w:hideMark/>
          </w:tcPr>
          <w:p w14:paraId="09A1934B"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0" w:type="auto"/>
            <w:noWrap/>
            <w:hideMark/>
          </w:tcPr>
          <w:p w14:paraId="09A1934C"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44</w:t>
            </w:r>
          </w:p>
        </w:tc>
        <w:tc>
          <w:tcPr>
            <w:tcW w:w="899" w:type="dxa"/>
            <w:noWrap/>
            <w:hideMark/>
          </w:tcPr>
          <w:p w14:paraId="09A1934D"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(16.7)</w:t>
            </w:r>
          </w:p>
        </w:tc>
        <w:tc>
          <w:tcPr>
            <w:tcW w:w="600" w:type="dxa"/>
            <w:noWrap/>
            <w:hideMark/>
          </w:tcPr>
          <w:p w14:paraId="09A1934E"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71</w:t>
            </w:r>
          </w:p>
        </w:tc>
        <w:tc>
          <w:tcPr>
            <w:tcW w:w="0" w:type="auto"/>
            <w:noWrap/>
            <w:hideMark/>
          </w:tcPr>
          <w:p w14:paraId="09A1934F"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(20.1)</w:t>
            </w:r>
          </w:p>
        </w:tc>
        <w:tc>
          <w:tcPr>
            <w:tcW w:w="0" w:type="auto"/>
            <w:noWrap/>
            <w:hideMark/>
          </w:tcPr>
          <w:p w14:paraId="09A1935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3D79B3" w:rsidRPr="007C6F2E" w14:paraId="09A1935D"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352"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t>2</w:t>
            </w:r>
            <w:r w:rsidRPr="007C6F2E">
              <w:rPr>
                <w:rFonts w:eastAsia="Times New Roman" w:cstheme="minorHAnsi"/>
                <w:b w:val="0"/>
                <w:color w:val="000000"/>
                <w:vertAlign w:val="superscript"/>
                <w:lang w:eastAsia="en-GB"/>
              </w:rPr>
              <w:t>nd</w:t>
            </w:r>
            <w:r w:rsidRPr="007C6F2E">
              <w:rPr>
                <w:rFonts w:eastAsia="Times New Roman" w:cstheme="minorHAnsi"/>
                <w:b w:val="0"/>
                <w:color w:val="000000"/>
                <w:lang w:eastAsia="en-GB"/>
              </w:rPr>
              <w:t xml:space="preserve"> quintile</w:t>
            </w:r>
          </w:p>
        </w:tc>
        <w:tc>
          <w:tcPr>
            <w:tcW w:w="0" w:type="auto"/>
            <w:noWrap/>
            <w:hideMark/>
          </w:tcPr>
          <w:p w14:paraId="09A19353"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29</w:t>
            </w:r>
          </w:p>
        </w:tc>
        <w:tc>
          <w:tcPr>
            <w:tcW w:w="0" w:type="auto"/>
            <w:noWrap/>
            <w:hideMark/>
          </w:tcPr>
          <w:p w14:paraId="09A1935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(20.0)</w:t>
            </w:r>
          </w:p>
        </w:tc>
        <w:tc>
          <w:tcPr>
            <w:tcW w:w="0" w:type="auto"/>
            <w:noWrap/>
            <w:hideMark/>
          </w:tcPr>
          <w:p w14:paraId="09A19355"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169</w:t>
            </w:r>
          </w:p>
        </w:tc>
        <w:tc>
          <w:tcPr>
            <w:tcW w:w="0" w:type="auto"/>
            <w:noWrap/>
            <w:hideMark/>
          </w:tcPr>
          <w:p w14:paraId="09A19356"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(19.6)</w:t>
            </w:r>
          </w:p>
        </w:tc>
        <w:tc>
          <w:tcPr>
            <w:tcW w:w="0" w:type="auto"/>
            <w:noWrap/>
            <w:hideMark/>
          </w:tcPr>
          <w:p w14:paraId="09A19357"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0" w:type="auto"/>
            <w:noWrap/>
            <w:hideMark/>
          </w:tcPr>
          <w:p w14:paraId="09A19358"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47</w:t>
            </w:r>
          </w:p>
        </w:tc>
        <w:tc>
          <w:tcPr>
            <w:tcW w:w="899" w:type="dxa"/>
            <w:noWrap/>
            <w:hideMark/>
          </w:tcPr>
          <w:p w14:paraId="09A19359"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(17.9)</w:t>
            </w:r>
          </w:p>
        </w:tc>
        <w:tc>
          <w:tcPr>
            <w:tcW w:w="600" w:type="dxa"/>
            <w:noWrap/>
            <w:hideMark/>
          </w:tcPr>
          <w:p w14:paraId="09A1935A"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81</w:t>
            </w:r>
          </w:p>
        </w:tc>
        <w:tc>
          <w:tcPr>
            <w:tcW w:w="0" w:type="auto"/>
            <w:noWrap/>
            <w:hideMark/>
          </w:tcPr>
          <w:p w14:paraId="09A1935B"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(22.9)</w:t>
            </w:r>
          </w:p>
        </w:tc>
        <w:tc>
          <w:tcPr>
            <w:tcW w:w="0" w:type="auto"/>
            <w:noWrap/>
            <w:hideMark/>
          </w:tcPr>
          <w:p w14:paraId="09A1935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3D79B3" w:rsidRPr="007C6F2E" w14:paraId="09A19369"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35E"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t>3</w:t>
            </w:r>
            <w:r w:rsidRPr="007C6F2E">
              <w:rPr>
                <w:rFonts w:eastAsia="Times New Roman" w:cstheme="minorHAnsi"/>
                <w:b w:val="0"/>
                <w:color w:val="000000"/>
                <w:vertAlign w:val="superscript"/>
                <w:lang w:eastAsia="en-GB"/>
              </w:rPr>
              <w:t>rd</w:t>
            </w:r>
            <w:r w:rsidRPr="007C6F2E">
              <w:rPr>
                <w:rFonts w:eastAsia="Times New Roman" w:cstheme="minorHAnsi"/>
                <w:b w:val="0"/>
                <w:color w:val="000000"/>
                <w:lang w:eastAsia="en-GB"/>
              </w:rPr>
              <w:t xml:space="preserve"> quintile</w:t>
            </w:r>
          </w:p>
        </w:tc>
        <w:tc>
          <w:tcPr>
            <w:tcW w:w="0" w:type="auto"/>
            <w:noWrap/>
            <w:hideMark/>
          </w:tcPr>
          <w:p w14:paraId="09A1935F"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21</w:t>
            </w:r>
          </w:p>
        </w:tc>
        <w:tc>
          <w:tcPr>
            <w:tcW w:w="0" w:type="auto"/>
            <w:noWrap/>
            <w:hideMark/>
          </w:tcPr>
          <w:p w14:paraId="09A1936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(14.5)</w:t>
            </w:r>
          </w:p>
        </w:tc>
        <w:tc>
          <w:tcPr>
            <w:tcW w:w="0" w:type="auto"/>
            <w:noWrap/>
            <w:hideMark/>
          </w:tcPr>
          <w:p w14:paraId="09A19361"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163</w:t>
            </w:r>
          </w:p>
        </w:tc>
        <w:tc>
          <w:tcPr>
            <w:tcW w:w="0" w:type="auto"/>
            <w:noWrap/>
            <w:hideMark/>
          </w:tcPr>
          <w:p w14:paraId="09A19362"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(18.9)</w:t>
            </w:r>
          </w:p>
        </w:tc>
        <w:tc>
          <w:tcPr>
            <w:tcW w:w="0" w:type="auto"/>
            <w:noWrap/>
            <w:hideMark/>
          </w:tcPr>
          <w:p w14:paraId="09A19363"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0" w:type="auto"/>
            <w:noWrap/>
            <w:hideMark/>
          </w:tcPr>
          <w:p w14:paraId="09A19364"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44</w:t>
            </w:r>
          </w:p>
        </w:tc>
        <w:tc>
          <w:tcPr>
            <w:tcW w:w="899" w:type="dxa"/>
            <w:noWrap/>
            <w:hideMark/>
          </w:tcPr>
          <w:p w14:paraId="09A19365"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(16.7)</w:t>
            </w:r>
          </w:p>
        </w:tc>
        <w:tc>
          <w:tcPr>
            <w:tcW w:w="600" w:type="dxa"/>
            <w:noWrap/>
            <w:hideMark/>
          </w:tcPr>
          <w:p w14:paraId="09A19366"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68</w:t>
            </w:r>
          </w:p>
        </w:tc>
        <w:tc>
          <w:tcPr>
            <w:tcW w:w="0" w:type="auto"/>
            <w:noWrap/>
            <w:hideMark/>
          </w:tcPr>
          <w:p w14:paraId="09A19367"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(19.2)</w:t>
            </w:r>
          </w:p>
        </w:tc>
        <w:tc>
          <w:tcPr>
            <w:tcW w:w="0" w:type="auto"/>
            <w:noWrap/>
            <w:hideMark/>
          </w:tcPr>
          <w:p w14:paraId="09A1936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3D79B3" w:rsidRPr="007C6F2E" w14:paraId="09A19375"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36A"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t>4</w:t>
            </w:r>
            <w:r w:rsidRPr="007C6F2E">
              <w:rPr>
                <w:rFonts w:eastAsia="Times New Roman" w:cstheme="minorHAnsi"/>
                <w:b w:val="0"/>
                <w:color w:val="000000"/>
                <w:vertAlign w:val="superscript"/>
                <w:lang w:eastAsia="en-GB"/>
              </w:rPr>
              <w:t>th</w:t>
            </w:r>
            <w:r w:rsidRPr="007C6F2E">
              <w:rPr>
                <w:rFonts w:eastAsia="Times New Roman" w:cstheme="minorHAnsi"/>
                <w:b w:val="0"/>
                <w:color w:val="000000"/>
                <w:lang w:eastAsia="en-GB"/>
              </w:rPr>
              <w:t xml:space="preserve"> quintile</w:t>
            </w:r>
          </w:p>
        </w:tc>
        <w:tc>
          <w:tcPr>
            <w:tcW w:w="0" w:type="auto"/>
            <w:noWrap/>
            <w:hideMark/>
          </w:tcPr>
          <w:p w14:paraId="09A1936B"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24</w:t>
            </w:r>
          </w:p>
        </w:tc>
        <w:tc>
          <w:tcPr>
            <w:tcW w:w="0" w:type="auto"/>
            <w:noWrap/>
            <w:hideMark/>
          </w:tcPr>
          <w:p w14:paraId="09A1936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(16.6)</w:t>
            </w:r>
          </w:p>
        </w:tc>
        <w:tc>
          <w:tcPr>
            <w:tcW w:w="0" w:type="auto"/>
            <w:noWrap/>
            <w:hideMark/>
          </w:tcPr>
          <w:p w14:paraId="09A1936D"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162</w:t>
            </w:r>
          </w:p>
        </w:tc>
        <w:tc>
          <w:tcPr>
            <w:tcW w:w="0" w:type="auto"/>
            <w:noWrap/>
            <w:hideMark/>
          </w:tcPr>
          <w:p w14:paraId="09A1936E"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(18.8)</w:t>
            </w:r>
          </w:p>
        </w:tc>
        <w:tc>
          <w:tcPr>
            <w:tcW w:w="0" w:type="auto"/>
            <w:noWrap/>
            <w:hideMark/>
          </w:tcPr>
          <w:p w14:paraId="09A1936F"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0" w:type="auto"/>
            <w:noWrap/>
            <w:hideMark/>
          </w:tcPr>
          <w:p w14:paraId="09A19370"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55</w:t>
            </w:r>
          </w:p>
        </w:tc>
        <w:tc>
          <w:tcPr>
            <w:tcW w:w="899" w:type="dxa"/>
            <w:noWrap/>
            <w:hideMark/>
          </w:tcPr>
          <w:p w14:paraId="09A19371"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(20.9)</w:t>
            </w:r>
          </w:p>
        </w:tc>
        <w:tc>
          <w:tcPr>
            <w:tcW w:w="600" w:type="dxa"/>
            <w:noWrap/>
            <w:hideMark/>
          </w:tcPr>
          <w:p w14:paraId="09A19372"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67</w:t>
            </w:r>
          </w:p>
        </w:tc>
        <w:tc>
          <w:tcPr>
            <w:tcW w:w="0" w:type="auto"/>
            <w:noWrap/>
            <w:hideMark/>
          </w:tcPr>
          <w:p w14:paraId="09A19373"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(18.9)</w:t>
            </w:r>
          </w:p>
        </w:tc>
        <w:tc>
          <w:tcPr>
            <w:tcW w:w="0" w:type="auto"/>
            <w:noWrap/>
            <w:hideMark/>
          </w:tcPr>
          <w:p w14:paraId="09A1937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3D79B3" w:rsidRPr="007C6F2E" w14:paraId="09A19381"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376"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t>5</w:t>
            </w:r>
            <w:r w:rsidRPr="007C6F2E">
              <w:rPr>
                <w:rFonts w:eastAsia="Times New Roman" w:cstheme="minorHAnsi"/>
                <w:b w:val="0"/>
                <w:color w:val="000000"/>
                <w:vertAlign w:val="superscript"/>
                <w:lang w:eastAsia="en-GB"/>
              </w:rPr>
              <w:t>th</w:t>
            </w:r>
            <w:r w:rsidRPr="007C6F2E">
              <w:rPr>
                <w:rFonts w:eastAsia="Times New Roman" w:cstheme="minorHAnsi"/>
                <w:b w:val="0"/>
                <w:color w:val="000000"/>
                <w:lang w:eastAsia="en-GB"/>
              </w:rPr>
              <w:t xml:space="preserve"> quintile (most deprived)</w:t>
            </w:r>
          </w:p>
        </w:tc>
        <w:tc>
          <w:tcPr>
            <w:tcW w:w="0" w:type="auto"/>
            <w:noWrap/>
            <w:hideMark/>
          </w:tcPr>
          <w:p w14:paraId="09A19377"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29</w:t>
            </w:r>
          </w:p>
        </w:tc>
        <w:tc>
          <w:tcPr>
            <w:tcW w:w="0" w:type="auto"/>
            <w:noWrap/>
            <w:hideMark/>
          </w:tcPr>
          <w:p w14:paraId="09A1937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(20.0)</w:t>
            </w:r>
          </w:p>
        </w:tc>
        <w:tc>
          <w:tcPr>
            <w:tcW w:w="0" w:type="auto"/>
            <w:noWrap/>
            <w:hideMark/>
          </w:tcPr>
          <w:p w14:paraId="09A19379"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174</w:t>
            </w:r>
          </w:p>
        </w:tc>
        <w:tc>
          <w:tcPr>
            <w:tcW w:w="0" w:type="auto"/>
            <w:noWrap/>
            <w:hideMark/>
          </w:tcPr>
          <w:p w14:paraId="09A1937A"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(20.2)</w:t>
            </w:r>
          </w:p>
        </w:tc>
        <w:tc>
          <w:tcPr>
            <w:tcW w:w="0" w:type="auto"/>
            <w:noWrap/>
            <w:hideMark/>
          </w:tcPr>
          <w:p w14:paraId="09A1937B"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0" w:type="auto"/>
            <w:noWrap/>
            <w:hideMark/>
          </w:tcPr>
          <w:p w14:paraId="09A1937C"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64</w:t>
            </w:r>
          </w:p>
        </w:tc>
        <w:tc>
          <w:tcPr>
            <w:tcW w:w="899" w:type="dxa"/>
            <w:noWrap/>
            <w:hideMark/>
          </w:tcPr>
          <w:p w14:paraId="09A1937D"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(24.3)</w:t>
            </w:r>
          </w:p>
        </w:tc>
        <w:tc>
          <w:tcPr>
            <w:tcW w:w="600" w:type="dxa"/>
            <w:noWrap/>
            <w:hideMark/>
          </w:tcPr>
          <w:p w14:paraId="09A1937E"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64</w:t>
            </w:r>
          </w:p>
        </w:tc>
        <w:tc>
          <w:tcPr>
            <w:tcW w:w="0" w:type="auto"/>
            <w:noWrap/>
            <w:hideMark/>
          </w:tcPr>
          <w:p w14:paraId="09A1937F"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(18.1)</w:t>
            </w:r>
          </w:p>
        </w:tc>
        <w:tc>
          <w:tcPr>
            <w:tcW w:w="0" w:type="auto"/>
            <w:noWrap/>
            <w:hideMark/>
          </w:tcPr>
          <w:p w14:paraId="09A1938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3D79B3" w:rsidRPr="007C6F2E" w14:paraId="09A1938D"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382"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lastRenderedPageBreak/>
              <w:t>Missing</w:t>
            </w:r>
          </w:p>
        </w:tc>
        <w:tc>
          <w:tcPr>
            <w:tcW w:w="0" w:type="auto"/>
            <w:noWrap/>
            <w:hideMark/>
          </w:tcPr>
          <w:p w14:paraId="09A19383"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20</w:t>
            </w:r>
          </w:p>
        </w:tc>
        <w:tc>
          <w:tcPr>
            <w:tcW w:w="0" w:type="auto"/>
            <w:noWrap/>
            <w:hideMark/>
          </w:tcPr>
          <w:p w14:paraId="09A1938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(13.8)</w:t>
            </w:r>
          </w:p>
        </w:tc>
        <w:tc>
          <w:tcPr>
            <w:tcW w:w="0" w:type="auto"/>
            <w:noWrap/>
            <w:hideMark/>
          </w:tcPr>
          <w:p w14:paraId="09A19385"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22</w:t>
            </w:r>
          </w:p>
        </w:tc>
        <w:tc>
          <w:tcPr>
            <w:tcW w:w="0" w:type="auto"/>
            <w:noWrap/>
            <w:hideMark/>
          </w:tcPr>
          <w:p w14:paraId="09A19386"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(2.6)</w:t>
            </w:r>
          </w:p>
        </w:tc>
        <w:tc>
          <w:tcPr>
            <w:tcW w:w="0" w:type="auto"/>
            <w:noWrap/>
            <w:hideMark/>
          </w:tcPr>
          <w:p w14:paraId="09A19387"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0" w:type="auto"/>
            <w:noWrap/>
            <w:hideMark/>
          </w:tcPr>
          <w:p w14:paraId="09A19388"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9</w:t>
            </w:r>
          </w:p>
        </w:tc>
        <w:tc>
          <w:tcPr>
            <w:tcW w:w="899" w:type="dxa"/>
            <w:noWrap/>
            <w:hideMark/>
          </w:tcPr>
          <w:p w14:paraId="09A19389"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(3.4)</w:t>
            </w:r>
          </w:p>
        </w:tc>
        <w:tc>
          <w:tcPr>
            <w:tcW w:w="600" w:type="dxa"/>
            <w:noWrap/>
            <w:hideMark/>
          </w:tcPr>
          <w:p w14:paraId="09A1938A"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3</w:t>
            </w:r>
          </w:p>
        </w:tc>
        <w:tc>
          <w:tcPr>
            <w:tcW w:w="0" w:type="auto"/>
            <w:noWrap/>
            <w:hideMark/>
          </w:tcPr>
          <w:p w14:paraId="09A1938B"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(0.9)</w:t>
            </w:r>
          </w:p>
        </w:tc>
        <w:tc>
          <w:tcPr>
            <w:tcW w:w="0" w:type="auto"/>
            <w:noWrap/>
            <w:hideMark/>
          </w:tcPr>
          <w:p w14:paraId="09A1938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3D79B3" w:rsidRPr="007C6F2E" w14:paraId="09A19399"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38E" w14:textId="77777777" w:rsidR="003D79B3" w:rsidRPr="007C6F2E" w:rsidRDefault="003D79B3" w:rsidP="00D30A83">
            <w:pPr>
              <w:spacing w:after="0" w:line="480" w:lineRule="auto"/>
              <w:rPr>
                <w:rFonts w:eastAsia="Times New Roman" w:cstheme="minorHAnsi"/>
                <w:color w:val="000000"/>
                <w:lang w:eastAsia="en-GB"/>
              </w:rPr>
            </w:pPr>
            <w:r w:rsidRPr="007C6F2E">
              <w:rPr>
                <w:rFonts w:eastAsia="Times New Roman" w:cstheme="minorHAnsi"/>
                <w:color w:val="000000"/>
                <w:lang w:eastAsia="en-GB"/>
              </w:rPr>
              <w:t>Domestic status</w:t>
            </w:r>
          </w:p>
        </w:tc>
        <w:tc>
          <w:tcPr>
            <w:tcW w:w="0" w:type="auto"/>
            <w:noWrap/>
            <w:hideMark/>
          </w:tcPr>
          <w:p w14:paraId="09A1938F"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p>
        </w:tc>
        <w:tc>
          <w:tcPr>
            <w:tcW w:w="0" w:type="auto"/>
            <w:noWrap/>
            <w:hideMark/>
          </w:tcPr>
          <w:p w14:paraId="09A1939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c>
          <w:tcPr>
            <w:tcW w:w="0" w:type="auto"/>
            <w:noWrap/>
            <w:hideMark/>
          </w:tcPr>
          <w:p w14:paraId="09A19391"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c>
          <w:tcPr>
            <w:tcW w:w="0" w:type="auto"/>
            <w:noWrap/>
            <w:hideMark/>
          </w:tcPr>
          <w:p w14:paraId="09A19392"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c>
          <w:tcPr>
            <w:tcW w:w="0" w:type="auto"/>
            <w:noWrap/>
            <w:hideMark/>
          </w:tcPr>
          <w:p w14:paraId="09A19393"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7C6F2E">
              <w:rPr>
                <w:rFonts w:eastAsia="Times New Roman" w:cstheme="minorHAnsi"/>
                <w:color w:val="000000"/>
                <w:lang w:eastAsia="en-GB"/>
              </w:rPr>
              <w:t>n/a</w:t>
            </w:r>
          </w:p>
        </w:tc>
        <w:tc>
          <w:tcPr>
            <w:tcW w:w="0" w:type="auto"/>
            <w:noWrap/>
            <w:hideMark/>
          </w:tcPr>
          <w:p w14:paraId="09A19394"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c>
          <w:tcPr>
            <w:tcW w:w="899" w:type="dxa"/>
            <w:noWrap/>
            <w:hideMark/>
          </w:tcPr>
          <w:p w14:paraId="09A19395"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c>
          <w:tcPr>
            <w:tcW w:w="600" w:type="dxa"/>
            <w:noWrap/>
            <w:hideMark/>
          </w:tcPr>
          <w:p w14:paraId="09A19396"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c>
          <w:tcPr>
            <w:tcW w:w="0" w:type="auto"/>
            <w:noWrap/>
            <w:hideMark/>
          </w:tcPr>
          <w:p w14:paraId="09A19397"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c>
          <w:tcPr>
            <w:tcW w:w="0" w:type="auto"/>
            <w:noWrap/>
            <w:hideMark/>
          </w:tcPr>
          <w:p w14:paraId="09A1939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r>
      <w:tr w:rsidR="003D79B3" w:rsidRPr="007C6F2E" w14:paraId="09A193A5"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39A"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t>Married</w:t>
            </w:r>
          </w:p>
        </w:tc>
        <w:tc>
          <w:tcPr>
            <w:tcW w:w="0" w:type="auto"/>
            <w:noWrap/>
            <w:hideMark/>
          </w:tcPr>
          <w:p w14:paraId="09A1939B"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n/a</w:t>
            </w:r>
          </w:p>
        </w:tc>
        <w:tc>
          <w:tcPr>
            <w:tcW w:w="0" w:type="auto"/>
            <w:noWrap/>
            <w:hideMark/>
          </w:tcPr>
          <w:p w14:paraId="09A1939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0" w:type="auto"/>
            <w:noWrap/>
            <w:hideMark/>
          </w:tcPr>
          <w:p w14:paraId="09A1939D"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495</w:t>
            </w:r>
          </w:p>
        </w:tc>
        <w:tc>
          <w:tcPr>
            <w:tcW w:w="0" w:type="auto"/>
            <w:noWrap/>
            <w:hideMark/>
          </w:tcPr>
          <w:p w14:paraId="09A1939E"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(57.5)</w:t>
            </w:r>
          </w:p>
        </w:tc>
        <w:tc>
          <w:tcPr>
            <w:tcW w:w="0" w:type="auto"/>
            <w:noWrap/>
          </w:tcPr>
          <w:p w14:paraId="09A1939F"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0" w:type="auto"/>
            <w:noWrap/>
            <w:hideMark/>
          </w:tcPr>
          <w:p w14:paraId="09A193A0"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164</w:t>
            </w:r>
          </w:p>
        </w:tc>
        <w:tc>
          <w:tcPr>
            <w:tcW w:w="899" w:type="dxa"/>
            <w:noWrap/>
            <w:hideMark/>
          </w:tcPr>
          <w:p w14:paraId="09A193A1"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(62.4)</w:t>
            </w:r>
          </w:p>
        </w:tc>
        <w:tc>
          <w:tcPr>
            <w:tcW w:w="600" w:type="dxa"/>
            <w:noWrap/>
            <w:hideMark/>
          </w:tcPr>
          <w:p w14:paraId="09A193A2"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242</w:t>
            </w:r>
          </w:p>
        </w:tc>
        <w:tc>
          <w:tcPr>
            <w:tcW w:w="0" w:type="auto"/>
            <w:noWrap/>
            <w:hideMark/>
          </w:tcPr>
          <w:p w14:paraId="09A193A3"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(68.4)</w:t>
            </w:r>
          </w:p>
        </w:tc>
        <w:tc>
          <w:tcPr>
            <w:tcW w:w="0" w:type="auto"/>
            <w:noWrap/>
            <w:hideMark/>
          </w:tcPr>
          <w:p w14:paraId="09A193A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3D79B3" w:rsidRPr="007C6F2E" w14:paraId="09A193B1"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3A6"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t>Living with partner</w:t>
            </w:r>
          </w:p>
        </w:tc>
        <w:tc>
          <w:tcPr>
            <w:tcW w:w="0" w:type="auto"/>
            <w:noWrap/>
            <w:hideMark/>
          </w:tcPr>
          <w:p w14:paraId="09A193A7"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n/a</w:t>
            </w:r>
          </w:p>
        </w:tc>
        <w:tc>
          <w:tcPr>
            <w:tcW w:w="0" w:type="auto"/>
            <w:noWrap/>
            <w:hideMark/>
          </w:tcPr>
          <w:p w14:paraId="09A193A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c>
          <w:tcPr>
            <w:tcW w:w="0" w:type="auto"/>
            <w:noWrap/>
            <w:hideMark/>
          </w:tcPr>
          <w:p w14:paraId="09A193A9"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39</w:t>
            </w:r>
          </w:p>
        </w:tc>
        <w:tc>
          <w:tcPr>
            <w:tcW w:w="0" w:type="auto"/>
            <w:noWrap/>
            <w:hideMark/>
          </w:tcPr>
          <w:p w14:paraId="09A193AA"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(4.5)</w:t>
            </w:r>
          </w:p>
        </w:tc>
        <w:tc>
          <w:tcPr>
            <w:tcW w:w="0" w:type="auto"/>
            <w:noWrap/>
            <w:hideMark/>
          </w:tcPr>
          <w:p w14:paraId="09A193AB"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0" w:type="auto"/>
            <w:noWrap/>
            <w:hideMark/>
          </w:tcPr>
          <w:p w14:paraId="09A193AC"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22</w:t>
            </w:r>
          </w:p>
        </w:tc>
        <w:tc>
          <w:tcPr>
            <w:tcW w:w="899" w:type="dxa"/>
            <w:noWrap/>
            <w:hideMark/>
          </w:tcPr>
          <w:p w14:paraId="09A193AD"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(8.4)</w:t>
            </w:r>
          </w:p>
        </w:tc>
        <w:tc>
          <w:tcPr>
            <w:tcW w:w="600" w:type="dxa"/>
            <w:noWrap/>
            <w:hideMark/>
          </w:tcPr>
          <w:p w14:paraId="09A193AE"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13</w:t>
            </w:r>
          </w:p>
        </w:tc>
        <w:tc>
          <w:tcPr>
            <w:tcW w:w="0" w:type="auto"/>
            <w:noWrap/>
            <w:hideMark/>
          </w:tcPr>
          <w:p w14:paraId="09A193AF"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(3.7)</w:t>
            </w:r>
          </w:p>
        </w:tc>
        <w:tc>
          <w:tcPr>
            <w:tcW w:w="0" w:type="auto"/>
            <w:noWrap/>
            <w:hideMark/>
          </w:tcPr>
          <w:p w14:paraId="09A193B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3D79B3" w:rsidRPr="007C6F2E" w14:paraId="09A193BD"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3B2"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t>Widowed</w:t>
            </w:r>
          </w:p>
        </w:tc>
        <w:tc>
          <w:tcPr>
            <w:tcW w:w="0" w:type="auto"/>
            <w:noWrap/>
            <w:hideMark/>
          </w:tcPr>
          <w:p w14:paraId="09A193B3"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n/a</w:t>
            </w:r>
          </w:p>
        </w:tc>
        <w:tc>
          <w:tcPr>
            <w:tcW w:w="0" w:type="auto"/>
            <w:noWrap/>
            <w:hideMark/>
          </w:tcPr>
          <w:p w14:paraId="09A193B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0" w:type="auto"/>
            <w:noWrap/>
            <w:hideMark/>
          </w:tcPr>
          <w:p w14:paraId="09A193B5"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110</w:t>
            </w:r>
          </w:p>
        </w:tc>
        <w:tc>
          <w:tcPr>
            <w:tcW w:w="0" w:type="auto"/>
            <w:noWrap/>
            <w:hideMark/>
          </w:tcPr>
          <w:p w14:paraId="09A193B6"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(12.8)</w:t>
            </w:r>
          </w:p>
        </w:tc>
        <w:tc>
          <w:tcPr>
            <w:tcW w:w="0" w:type="auto"/>
            <w:noWrap/>
            <w:hideMark/>
          </w:tcPr>
          <w:p w14:paraId="09A193B7"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0" w:type="auto"/>
            <w:noWrap/>
            <w:hideMark/>
          </w:tcPr>
          <w:p w14:paraId="09A193B8"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34</w:t>
            </w:r>
          </w:p>
        </w:tc>
        <w:tc>
          <w:tcPr>
            <w:tcW w:w="899" w:type="dxa"/>
            <w:noWrap/>
            <w:hideMark/>
          </w:tcPr>
          <w:p w14:paraId="09A193B9"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(12.9)</w:t>
            </w:r>
          </w:p>
        </w:tc>
        <w:tc>
          <w:tcPr>
            <w:tcW w:w="600" w:type="dxa"/>
            <w:noWrap/>
            <w:hideMark/>
          </w:tcPr>
          <w:p w14:paraId="09A193BA"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38</w:t>
            </w:r>
          </w:p>
        </w:tc>
        <w:tc>
          <w:tcPr>
            <w:tcW w:w="0" w:type="auto"/>
            <w:noWrap/>
            <w:hideMark/>
          </w:tcPr>
          <w:p w14:paraId="09A193BB"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(10.7)</w:t>
            </w:r>
          </w:p>
        </w:tc>
        <w:tc>
          <w:tcPr>
            <w:tcW w:w="0" w:type="auto"/>
            <w:noWrap/>
            <w:hideMark/>
          </w:tcPr>
          <w:p w14:paraId="09A193B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3D79B3" w:rsidRPr="007C6F2E" w14:paraId="09A193C9"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3BE"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t>Divorced/separated</w:t>
            </w:r>
          </w:p>
        </w:tc>
        <w:tc>
          <w:tcPr>
            <w:tcW w:w="0" w:type="auto"/>
            <w:noWrap/>
            <w:hideMark/>
          </w:tcPr>
          <w:p w14:paraId="09A193BF"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n/a</w:t>
            </w:r>
          </w:p>
        </w:tc>
        <w:tc>
          <w:tcPr>
            <w:tcW w:w="0" w:type="auto"/>
            <w:noWrap/>
            <w:hideMark/>
          </w:tcPr>
          <w:p w14:paraId="09A193C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c>
          <w:tcPr>
            <w:tcW w:w="0" w:type="auto"/>
            <w:noWrap/>
            <w:hideMark/>
          </w:tcPr>
          <w:p w14:paraId="09A193C1"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64</w:t>
            </w:r>
          </w:p>
        </w:tc>
        <w:tc>
          <w:tcPr>
            <w:tcW w:w="0" w:type="auto"/>
            <w:noWrap/>
            <w:hideMark/>
          </w:tcPr>
          <w:p w14:paraId="09A193C2"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(7.4)</w:t>
            </w:r>
          </w:p>
        </w:tc>
        <w:tc>
          <w:tcPr>
            <w:tcW w:w="0" w:type="auto"/>
            <w:noWrap/>
            <w:hideMark/>
          </w:tcPr>
          <w:p w14:paraId="09A193C3"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0" w:type="auto"/>
            <w:noWrap/>
            <w:hideMark/>
          </w:tcPr>
          <w:p w14:paraId="09A193C4"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22</w:t>
            </w:r>
          </w:p>
        </w:tc>
        <w:tc>
          <w:tcPr>
            <w:tcW w:w="899" w:type="dxa"/>
            <w:noWrap/>
            <w:hideMark/>
          </w:tcPr>
          <w:p w14:paraId="09A193C5"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(8.4)</w:t>
            </w:r>
          </w:p>
        </w:tc>
        <w:tc>
          <w:tcPr>
            <w:tcW w:w="600" w:type="dxa"/>
            <w:noWrap/>
            <w:hideMark/>
          </w:tcPr>
          <w:p w14:paraId="09A193C6"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38</w:t>
            </w:r>
          </w:p>
        </w:tc>
        <w:tc>
          <w:tcPr>
            <w:tcW w:w="0" w:type="auto"/>
            <w:noWrap/>
            <w:hideMark/>
          </w:tcPr>
          <w:p w14:paraId="09A193C7"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(10.7)</w:t>
            </w:r>
          </w:p>
        </w:tc>
        <w:tc>
          <w:tcPr>
            <w:tcW w:w="0" w:type="auto"/>
            <w:noWrap/>
            <w:hideMark/>
          </w:tcPr>
          <w:p w14:paraId="09A193C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3D79B3" w:rsidRPr="007C6F2E" w14:paraId="09A193D5"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3CA"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t>Single</w:t>
            </w:r>
          </w:p>
        </w:tc>
        <w:tc>
          <w:tcPr>
            <w:tcW w:w="0" w:type="auto"/>
            <w:noWrap/>
            <w:hideMark/>
          </w:tcPr>
          <w:p w14:paraId="09A193CB"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n/a</w:t>
            </w:r>
          </w:p>
        </w:tc>
        <w:tc>
          <w:tcPr>
            <w:tcW w:w="0" w:type="auto"/>
            <w:noWrap/>
            <w:hideMark/>
          </w:tcPr>
          <w:p w14:paraId="09A193C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0" w:type="auto"/>
            <w:noWrap/>
            <w:hideMark/>
          </w:tcPr>
          <w:p w14:paraId="09A193CD"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44</w:t>
            </w:r>
          </w:p>
        </w:tc>
        <w:tc>
          <w:tcPr>
            <w:tcW w:w="0" w:type="auto"/>
            <w:noWrap/>
            <w:hideMark/>
          </w:tcPr>
          <w:p w14:paraId="09A193CE"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(5.1)</w:t>
            </w:r>
          </w:p>
        </w:tc>
        <w:tc>
          <w:tcPr>
            <w:tcW w:w="0" w:type="auto"/>
            <w:noWrap/>
            <w:hideMark/>
          </w:tcPr>
          <w:p w14:paraId="09A193CF"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0" w:type="auto"/>
            <w:noWrap/>
            <w:hideMark/>
          </w:tcPr>
          <w:p w14:paraId="09A193D0"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19</w:t>
            </w:r>
          </w:p>
        </w:tc>
        <w:tc>
          <w:tcPr>
            <w:tcW w:w="899" w:type="dxa"/>
            <w:noWrap/>
            <w:hideMark/>
          </w:tcPr>
          <w:p w14:paraId="09A193D1"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(7.2)</w:t>
            </w:r>
          </w:p>
        </w:tc>
        <w:tc>
          <w:tcPr>
            <w:tcW w:w="600" w:type="dxa"/>
            <w:noWrap/>
            <w:hideMark/>
          </w:tcPr>
          <w:p w14:paraId="09A193D2"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21</w:t>
            </w:r>
          </w:p>
        </w:tc>
        <w:tc>
          <w:tcPr>
            <w:tcW w:w="0" w:type="auto"/>
            <w:noWrap/>
            <w:hideMark/>
          </w:tcPr>
          <w:p w14:paraId="09A193D3"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(5.9)</w:t>
            </w:r>
          </w:p>
        </w:tc>
        <w:tc>
          <w:tcPr>
            <w:tcW w:w="0" w:type="auto"/>
            <w:noWrap/>
            <w:hideMark/>
          </w:tcPr>
          <w:p w14:paraId="09A193D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3D79B3" w:rsidRPr="007C6F2E" w14:paraId="09A193E1"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3D6"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t>Missing</w:t>
            </w:r>
          </w:p>
        </w:tc>
        <w:tc>
          <w:tcPr>
            <w:tcW w:w="0" w:type="auto"/>
            <w:noWrap/>
            <w:hideMark/>
          </w:tcPr>
          <w:p w14:paraId="09A193D7"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n/a</w:t>
            </w:r>
          </w:p>
        </w:tc>
        <w:tc>
          <w:tcPr>
            <w:tcW w:w="0" w:type="auto"/>
            <w:noWrap/>
            <w:hideMark/>
          </w:tcPr>
          <w:p w14:paraId="09A193D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c>
          <w:tcPr>
            <w:tcW w:w="0" w:type="auto"/>
            <w:noWrap/>
            <w:hideMark/>
          </w:tcPr>
          <w:p w14:paraId="09A193D9"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109</w:t>
            </w:r>
          </w:p>
        </w:tc>
        <w:tc>
          <w:tcPr>
            <w:tcW w:w="0" w:type="auto"/>
            <w:noWrap/>
            <w:hideMark/>
          </w:tcPr>
          <w:p w14:paraId="09A193DA"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(12.7)</w:t>
            </w:r>
          </w:p>
        </w:tc>
        <w:tc>
          <w:tcPr>
            <w:tcW w:w="0" w:type="auto"/>
            <w:noWrap/>
            <w:hideMark/>
          </w:tcPr>
          <w:p w14:paraId="09A193DB"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0" w:type="auto"/>
            <w:noWrap/>
            <w:hideMark/>
          </w:tcPr>
          <w:p w14:paraId="09A193DC"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w:t>
            </w:r>
          </w:p>
        </w:tc>
        <w:tc>
          <w:tcPr>
            <w:tcW w:w="899" w:type="dxa"/>
            <w:noWrap/>
            <w:hideMark/>
          </w:tcPr>
          <w:p w14:paraId="09A193DD"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(0.8)</w:t>
            </w:r>
          </w:p>
        </w:tc>
        <w:tc>
          <w:tcPr>
            <w:tcW w:w="600" w:type="dxa"/>
            <w:noWrap/>
            <w:hideMark/>
          </w:tcPr>
          <w:p w14:paraId="09A193DE"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w:t>
            </w:r>
          </w:p>
        </w:tc>
        <w:tc>
          <w:tcPr>
            <w:tcW w:w="0" w:type="auto"/>
            <w:noWrap/>
            <w:hideMark/>
          </w:tcPr>
          <w:p w14:paraId="09A193DF"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(0.6)</w:t>
            </w:r>
          </w:p>
        </w:tc>
        <w:tc>
          <w:tcPr>
            <w:tcW w:w="0" w:type="auto"/>
            <w:noWrap/>
            <w:hideMark/>
          </w:tcPr>
          <w:p w14:paraId="09A193E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3D79B3" w:rsidRPr="007C6F2E" w14:paraId="09A193ED"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3E2" w14:textId="77777777" w:rsidR="003D79B3" w:rsidRPr="007C6F2E" w:rsidRDefault="003D79B3" w:rsidP="00D30A83">
            <w:pPr>
              <w:spacing w:after="0" w:line="480" w:lineRule="auto"/>
              <w:rPr>
                <w:rFonts w:eastAsia="Times New Roman" w:cstheme="minorHAnsi"/>
                <w:color w:val="000000"/>
                <w:lang w:eastAsia="en-GB"/>
              </w:rPr>
            </w:pPr>
            <w:r w:rsidRPr="007C6F2E">
              <w:rPr>
                <w:rFonts w:eastAsia="Times New Roman" w:cstheme="minorHAnsi"/>
                <w:color w:val="000000"/>
                <w:lang w:eastAsia="en-GB"/>
              </w:rPr>
              <w:t>Employment status</w:t>
            </w:r>
          </w:p>
        </w:tc>
        <w:tc>
          <w:tcPr>
            <w:tcW w:w="0" w:type="auto"/>
            <w:noWrap/>
            <w:hideMark/>
          </w:tcPr>
          <w:p w14:paraId="09A193E3"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en-GB"/>
              </w:rPr>
            </w:pPr>
          </w:p>
        </w:tc>
        <w:tc>
          <w:tcPr>
            <w:tcW w:w="0" w:type="auto"/>
            <w:noWrap/>
            <w:hideMark/>
          </w:tcPr>
          <w:p w14:paraId="09A193E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0" w:type="auto"/>
            <w:noWrap/>
            <w:hideMark/>
          </w:tcPr>
          <w:p w14:paraId="09A193E5"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0" w:type="auto"/>
            <w:noWrap/>
            <w:hideMark/>
          </w:tcPr>
          <w:p w14:paraId="09A193E6"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0" w:type="auto"/>
            <w:noWrap/>
            <w:hideMark/>
          </w:tcPr>
          <w:p w14:paraId="09A193E7"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7C6F2E">
              <w:rPr>
                <w:rFonts w:eastAsia="Times New Roman" w:cstheme="minorHAnsi"/>
                <w:color w:val="000000"/>
                <w:lang w:eastAsia="en-GB"/>
              </w:rPr>
              <w:t>n/a</w:t>
            </w:r>
          </w:p>
        </w:tc>
        <w:tc>
          <w:tcPr>
            <w:tcW w:w="0" w:type="auto"/>
            <w:noWrap/>
            <w:hideMark/>
          </w:tcPr>
          <w:p w14:paraId="09A193E8"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899" w:type="dxa"/>
            <w:noWrap/>
            <w:hideMark/>
          </w:tcPr>
          <w:p w14:paraId="09A193E9"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600" w:type="dxa"/>
            <w:noWrap/>
            <w:hideMark/>
          </w:tcPr>
          <w:p w14:paraId="09A193EA"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0" w:type="auto"/>
            <w:noWrap/>
            <w:hideMark/>
          </w:tcPr>
          <w:p w14:paraId="09A193EB"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0" w:type="auto"/>
            <w:noWrap/>
            <w:hideMark/>
          </w:tcPr>
          <w:p w14:paraId="09A193E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r>
      <w:tr w:rsidR="003D79B3" w:rsidRPr="007C6F2E" w14:paraId="09A193F9"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3EE"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t>Employed</w:t>
            </w:r>
          </w:p>
        </w:tc>
        <w:tc>
          <w:tcPr>
            <w:tcW w:w="0" w:type="auto"/>
            <w:noWrap/>
            <w:hideMark/>
          </w:tcPr>
          <w:p w14:paraId="09A193EF"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n/a</w:t>
            </w:r>
          </w:p>
        </w:tc>
        <w:tc>
          <w:tcPr>
            <w:tcW w:w="0" w:type="auto"/>
            <w:noWrap/>
            <w:hideMark/>
          </w:tcPr>
          <w:p w14:paraId="09A193F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0" w:type="auto"/>
            <w:noWrap/>
            <w:hideMark/>
          </w:tcPr>
          <w:p w14:paraId="09A193F1"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202</w:t>
            </w:r>
          </w:p>
        </w:tc>
        <w:tc>
          <w:tcPr>
            <w:tcW w:w="0" w:type="auto"/>
            <w:noWrap/>
            <w:hideMark/>
          </w:tcPr>
          <w:p w14:paraId="09A193F2"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(23.4)</w:t>
            </w:r>
          </w:p>
        </w:tc>
        <w:tc>
          <w:tcPr>
            <w:tcW w:w="0" w:type="auto"/>
            <w:noWrap/>
            <w:hideMark/>
          </w:tcPr>
          <w:p w14:paraId="09A193F3"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0" w:type="auto"/>
            <w:noWrap/>
            <w:hideMark/>
          </w:tcPr>
          <w:p w14:paraId="09A193F4"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71</w:t>
            </w:r>
          </w:p>
        </w:tc>
        <w:tc>
          <w:tcPr>
            <w:tcW w:w="899" w:type="dxa"/>
            <w:noWrap/>
            <w:hideMark/>
          </w:tcPr>
          <w:p w14:paraId="09A193F5"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(27.0)</w:t>
            </w:r>
          </w:p>
        </w:tc>
        <w:tc>
          <w:tcPr>
            <w:tcW w:w="600" w:type="dxa"/>
            <w:noWrap/>
            <w:hideMark/>
          </w:tcPr>
          <w:p w14:paraId="09A193F6"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111</w:t>
            </w:r>
          </w:p>
        </w:tc>
        <w:tc>
          <w:tcPr>
            <w:tcW w:w="0" w:type="auto"/>
            <w:noWrap/>
            <w:hideMark/>
          </w:tcPr>
          <w:p w14:paraId="09A193F7"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(31.4)</w:t>
            </w:r>
          </w:p>
        </w:tc>
        <w:tc>
          <w:tcPr>
            <w:tcW w:w="0" w:type="auto"/>
            <w:noWrap/>
            <w:hideMark/>
          </w:tcPr>
          <w:p w14:paraId="09A193F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3D79B3" w:rsidRPr="007C6F2E" w14:paraId="09A19405"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3FA"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t>Unemployed</w:t>
            </w:r>
          </w:p>
        </w:tc>
        <w:tc>
          <w:tcPr>
            <w:tcW w:w="0" w:type="auto"/>
            <w:noWrap/>
            <w:hideMark/>
          </w:tcPr>
          <w:p w14:paraId="09A193FB"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n/a</w:t>
            </w:r>
          </w:p>
        </w:tc>
        <w:tc>
          <w:tcPr>
            <w:tcW w:w="0" w:type="auto"/>
            <w:noWrap/>
            <w:hideMark/>
          </w:tcPr>
          <w:p w14:paraId="09A193F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0" w:type="auto"/>
            <w:noWrap/>
            <w:hideMark/>
          </w:tcPr>
          <w:p w14:paraId="09A193FD"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34</w:t>
            </w:r>
          </w:p>
        </w:tc>
        <w:tc>
          <w:tcPr>
            <w:tcW w:w="0" w:type="auto"/>
            <w:noWrap/>
            <w:hideMark/>
          </w:tcPr>
          <w:p w14:paraId="09A193FE"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(4.0)</w:t>
            </w:r>
          </w:p>
        </w:tc>
        <w:tc>
          <w:tcPr>
            <w:tcW w:w="0" w:type="auto"/>
            <w:noWrap/>
            <w:hideMark/>
          </w:tcPr>
          <w:p w14:paraId="09A193FF"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0" w:type="auto"/>
            <w:noWrap/>
            <w:hideMark/>
          </w:tcPr>
          <w:p w14:paraId="09A19400"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12</w:t>
            </w:r>
          </w:p>
        </w:tc>
        <w:tc>
          <w:tcPr>
            <w:tcW w:w="899" w:type="dxa"/>
            <w:noWrap/>
            <w:hideMark/>
          </w:tcPr>
          <w:p w14:paraId="09A19401"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(4.6)</w:t>
            </w:r>
          </w:p>
        </w:tc>
        <w:tc>
          <w:tcPr>
            <w:tcW w:w="600" w:type="dxa"/>
            <w:noWrap/>
            <w:hideMark/>
          </w:tcPr>
          <w:p w14:paraId="09A19402"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18</w:t>
            </w:r>
          </w:p>
        </w:tc>
        <w:tc>
          <w:tcPr>
            <w:tcW w:w="0" w:type="auto"/>
            <w:noWrap/>
            <w:hideMark/>
          </w:tcPr>
          <w:p w14:paraId="09A19403"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(5.1)</w:t>
            </w:r>
          </w:p>
        </w:tc>
        <w:tc>
          <w:tcPr>
            <w:tcW w:w="0" w:type="auto"/>
            <w:noWrap/>
            <w:hideMark/>
          </w:tcPr>
          <w:p w14:paraId="09A1940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3D79B3" w:rsidRPr="007C6F2E" w14:paraId="09A19411"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406"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t>Retired</w:t>
            </w:r>
          </w:p>
        </w:tc>
        <w:tc>
          <w:tcPr>
            <w:tcW w:w="0" w:type="auto"/>
            <w:noWrap/>
            <w:hideMark/>
          </w:tcPr>
          <w:p w14:paraId="09A19407"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n/a</w:t>
            </w:r>
          </w:p>
        </w:tc>
        <w:tc>
          <w:tcPr>
            <w:tcW w:w="0" w:type="auto"/>
            <w:noWrap/>
            <w:hideMark/>
          </w:tcPr>
          <w:p w14:paraId="09A1940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c>
          <w:tcPr>
            <w:tcW w:w="0" w:type="auto"/>
            <w:noWrap/>
            <w:hideMark/>
          </w:tcPr>
          <w:p w14:paraId="09A19409"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513</w:t>
            </w:r>
          </w:p>
        </w:tc>
        <w:tc>
          <w:tcPr>
            <w:tcW w:w="0" w:type="auto"/>
            <w:noWrap/>
            <w:hideMark/>
          </w:tcPr>
          <w:p w14:paraId="09A1940A"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(59.6)</w:t>
            </w:r>
          </w:p>
        </w:tc>
        <w:tc>
          <w:tcPr>
            <w:tcW w:w="0" w:type="auto"/>
            <w:noWrap/>
            <w:hideMark/>
          </w:tcPr>
          <w:p w14:paraId="09A1940B"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0" w:type="auto"/>
            <w:noWrap/>
            <w:hideMark/>
          </w:tcPr>
          <w:p w14:paraId="09A1940C"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178</w:t>
            </w:r>
          </w:p>
        </w:tc>
        <w:tc>
          <w:tcPr>
            <w:tcW w:w="899" w:type="dxa"/>
            <w:noWrap/>
            <w:hideMark/>
          </w:tcPr>
          <w:p w14:paraId="09A1940D"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(67.7)</w:t>
            </w:r>
          </w:p>
        </w:tc>
        <w:tc>
          <w:tcPr>
            <w:tcW w:w="600" w:type="dxa"/>
            <w:noWrap/>
            <w:hideMark/>
          </w:tcPr>
          <w:p w14:paraId="09A1940E"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222</w:t>
            </w:r>
          </w:p>
        </w:tc>
        <w:tc>
          <w:tcPr>
            <w:tcW w:w="0" w:type="auto"/>
            <w:noWrap/>
            <w:hideMark/>
          </w:tcPr>
          <w:p w14:paraId="09A1940F"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(62.6)</w:t>
            </w:r>
          </w:p>
        </w:tc>
        <w:tc>
          <w:tcPr>
            <w:tcW w:w="0" w:type="auto"/>
            <w:noWrap/>
            <w:hideMark/>
          </w:tcPr>
          <w:p w14:paraId="09A1941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3D79B3" w:rsidRPr="007C6F2E" w14:paraId="09A1941D"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412"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t>Missing</w:t>
            </w:r>
          </w:p>
        </w:tc>
        <w:tc>
          <w:tcPr>
            <w:tcW w:w="0" w:type="auto"/>
            <w:noWrap/>
            <w:hideMark/>
          </w:tcPr>
          <w:p w14:paraId="09A19413"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n/a</w:t>
            </w:r>
          </w:p>
        </w:tc>
        <w:tc>
          <w:tcPr>
            <w:tcW w:w="0" w:type="auto"/>
            <w:noWrap/>
            <w:hideMark/>
          </w:tcPr>
          <w:p w14:paraId="09A1941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0" w:type="auto"/>
            <w:noWrap/>
            <w:hideMark/>
          </w:tcPr>
          <w:p w14:paraId="09A19415"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112</w:t>
            </w:r>
          </w:p>
        </w:tc>
        <w:tc>
          <w:tcPr>
            <w:tcW w:w="0" w:type="auto"/>
            <w:noWrap/>
            <w:hideMark/>
          </w:tcPr>
          <w:p w14:paraId="09A19416"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(13.0)</w:t>
            </w:r>
          </w:p>
        </w:tc>
        <w:tc>
          <w:tcPr>
            <w:tcW w:w="0" w:type="auto"/>
            <w:noWrap/>
            <w:hideMark/>
          </w:tcPr>
          <w:p w14:paraId="09A19417"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0" w:type="auto"/>
            <w:noWrap/>
            <w:hideMark/>
          </w:tcPr>
          <w:p w14:paraId="09A19418"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w:t>
            </w:r>
          </w:p>
        </w:tc>
        <w:tc>
          <w:tcPr>
            <w:tcW w:w="899" w:type="dxa"/>
            <w:noWrap/>
            <w:hideMark/>
          </w:tcPr>
          <w:p w14:paraId="09A19419"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(0.8)</w:t>
            </w:r>
          </w:p>
        </w:tc>
        <w:tc>
          <w:tcPr>
            <w:tcW w:w="600" w:type="dxa"/>
            <w:noWrap/>
            <w:hideMark/>
          </w:tcPr>
          <w:p w14:paraId="09A1941A"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3</w:t>
            </w:r>
          </w:p>
        </w:tc>
        <w:tc>
          <w:tcPr>
            <w:tcW w:w="0" w:type="auto"/>
            <w:noWrap/>
            <w:hideMark/>
          </w:tcPr>
          <w:p w14:paraId="09A1941B"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(0.9)</w:t>
            </w:r>
          </w:p>
        </w:tc>
        <w:tc>
          <w:tcPr>
            <w:tcW w:w="0" w:type="auto"/>
            <w:noWrap/>
            <w:hideMark/>
          </w:tcPr>
          <w:p w14:paraId="09A1941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3D79B3" w:rsidRPr="007C6F2E" w14:paraId="09A19429"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41E" w14:textId="77777777" w:rsidR="003D79B3" w:rsidRPr="007C6F2E" w:rsidRDefault="003D79B3" w:rsidP="00D30A83">
            <w:pPr>
              <w:spacing w:after="0" w:line="480" w:lineRule="auto"/>
              <w:rPr>
                <w:rFonts w:eastAsia="Times New Roman" w:cstheme="minorHAnsi"/>
                <w:color w:val="000000"/>
                <w:lang w:eastAsia="en-GB"/>
              </w:rPr>
            </w:pPr>
            <w:r w:rsidRPr="007C6F2E">
              <w:rPr>
                <w:rFonts w:eastAsia="Times New Roman" w:cstheme="minorHAnsi"/>
                <w:color w:val="000000"/>
                <w:lang w:eastAsia="en-GB"/>
              </w:rPr>
              <w:t>Accommodation status</w:t>
            </w:r>
          </w:p>
        </w:tc>
        <w:tc>
          <w:tcPr>
            <w:tcW w:w="0" w:type="auto"/>
            <w:noWrap/>
            <w:hideMark/>
          </w:tcPr>
          <w:p w14:paraId="09A1941F"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p>
        </w:tc>
        <w:tc>
          <w:tcPr>
            <w:tcW w:w="0" w:type="auto"/>
            <w:noWrap/>
            <w:hideMark/>
          </w:tcPr>
          <w:p w14:paraId="09A1942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c>
          <w:tcPr>
            <w:tcW w:w="0" w:type="auto"/>
            <w:noWrap/>
            <w:hideMark/>
          </w:tcPr>
          <w:p w14:paraId="09A19421"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c>
          <w:tcPr>
            <w:tcW w:w="0" w:type="auto"/>
            <w:noWrap/>
            <w:hideMark/>
          </w:tcPr>
          <w:p w14:paraId="09A19422"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c>
          <w:tcPr>
            <w:tcW w:w="0" w:type="auto"/>
            <w:noWrap/>
            <w:hideMark/>
          </w:tcPr>
          <w:p w14:paraId="09A19423"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7C6F2E">
              <w:rPr>
                <w:rFonts w:eastAsia="Times New Roman" w:cstheme="minorHAnsi"/>
                <w:color w:val="000000"/>
                <w:lang w:eastAsia="en-GB"/>
              </w:rPr>
              <w:t>n/a</w:t>
            </w:r>
          </w:p>
        </w:tc>
        <w:tc>
          <w:tcPr>
            <w:tcW w:w="0" w:type="auto"/>
            <w:noWrap/>
            <w:hideMark/>
          </w:tcPr>
          <w:p w14:paraId="09A19424"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c>
          <w:tcPr>
            <w:tcW w:w="899" w:type="dxa"/>
            <w:noWrap/>
            <w:hideMark/>
          </w:tcPr>
          <w:p w14:paraId="09A19425"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c>
          <w:tcPr>
            <w:tcW w:w="600" w:type="dxa"/>
            <w:noWrap/>
            <w:hideMark/>
          </w:tcPr>
          <w:p w14:paraId="09A19426"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c>
          <w:tcPr>
            <w:tcW w:w="0" w:type="auto"/>
            <w:noWrap/>
            <w:hideMark/>
          </w:tcPr>
          <w:p w14:paraId="09A19427"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c>
          <w:tcPr>
            <w:tcW w:w="0" w:type="auto"/>
            <w:noWrap/>
            <w:hideMark/>
          </w:tcPr>
          <w:p w14:paraId="09A1942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w:t>
            </w:r>
          </w:p>
        </w:tc>
      </w:tr>
      <w:tr w:rsidR="003D79B3" w:rsidRPr="007C6F2E" w14:paraId="09A19435"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42A"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t>Owner-occupier</w:t>
            </w:r>
          </w:p>
        </w:tc>
        <w:tc>
          <w:tcPr>
            <w:tcW w:w="0" w:type="auto"/>
            <w:noWrap/>
            <w:hideMark/>
          </w:tcPr>
          <w:p w14:paraId="09A1942B"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n/a</w:t>
            </w:r>
          </w:p>
        </w:tc>
        <w:tc>
          <w:tcPr>
            <w:tcW w:w="0" w:type="auto"/>
            <w:noWrap/>
            <w:hideMark/>
          </w:tcPr>
          <w:p w14:paraId="09A1942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0" w:type="auto"/>
            <w:noWrap/>
            <w:hideMark/>
          </w:tcPr>
          <w:p w14:paraId="09A1942D"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596</w:t>
            </w:r>
          </w:p>
        </w:tc>
        <w:tc>
          <w:tcPr>
            <w:tcW w:w="0" w:type="auto"/>
            <w:noWrap/>
            <w:hideMark/>
          </w:tcPr>
          <w:p w14:paraId="09A1942E"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(69.2)</w:t>
            </w:r>
          </w:p>
        </w:tc>
        <w:tc>
          <w:tcPr>
            <w:tcW w:w="0" w:type="auto"/>
            <w:noWrap/>
            <w:hideMark/>
          </w:tcPr>
          <w:p w14:paraId="09A1942F"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0" w:type="auto"/>
            <w:noWrap/>
            <w:hideMark/>
          </w:tcPr>
          <w:p w14:paraId="09A19430"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190</w:t>
            </w:r>
          </w:p>
        </w:tc>
        <w:tc>
          <w:tcPr>
            <w:tcW w:w="899" w:type="dxa"/>
            <w:noWrap/>
            <w:hideMark/>
          </w:tcPr>
          <w:p w14:paraId="09A19431"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(72.2)</w:t>
            </w:r>
          </w:p>
        </w:tc>
        <w:tc>
          <w:tcPr>
            <w:tcW w:w="600" w:type="dxa"/>
            <w:noWrap/>
            <w:hideMark/>
          </w:tcPr>
          <w:p w14:paraId="09A19432"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299</w:t>
            </w:r>
          </w:p>
        </w:tc>
        <w:tc>
          <w:tcPr>
            <w:tcW w:w="0" w:type="auto"/>
            <w:noWrap/>
            <w:hideMark/>
          </w:tcPr>
          <w:p w14:paraId="09A19433"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(84.5)</w:t>
            </w:r>
          </w:p>
        </w:tc>
        <w:tc>
          <w:tcPr>
            <w:tcW w:w="0" w:type="auto"/>
            <w:noWrap/>
            <w:hideMark/>
          </w:tcPr>
          <w:p w14:paraId="09A1943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3D79B3" w:rsidRPr="007C6F2E" w14:paraId="09A19441"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436"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t>Renting</w:t>
            </w:r>
          </w:p>
        </w:tc>
        <w:tc>
          <w:tcPr>
            <w:tcW w:w="0" w:type="auto"/>
            <w:noWrap/>
            <w:hideMark/>
          </w:tcPr>
          <w:p w14:paraId="09A19437"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n/a</w:t>
            </w:r>
          </w:p>
        </w:tc>
        <w:tc>
          <w:tcPr>
            <w:tcW w:w="0" w:type="auto"/>
            <w:noWrap/>
            <w:hideMark/>
          </w:tcPr>
          <w:p w14:paraId="09A1943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c>
          <w:tcPr>
            <w:tcW w:w="0" w:type="auto"/>
            <w:noWrap/>
            <w:hideMark/>
          </w:tcPr>
          <w:p w14:paraId="09A19439"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126</w:t>
            </w:r>
          </w:p>
        </w:tc>
        <w:tc>
          <w:tcPr>
            <w:tcW w:w="0" w:type="auto"/>
            <w:noWrap/>
            <w:hideMark/>
          </w:tcPr>
          <w:p w14:paraId="09A1943A"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(14.6)</w:t>
            </w:r>
          </w:p>
        </w:tc>
        <w:tc>
          <w:tcPr>
            <w:tcW w:w="0" w:type="auto"/>
            <w:noWrap/>
            <w:hideMark/>
          </w:tcPr>
          <w:p w14:paraId="09A1943B"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0" w:type="auto"/>
            <w:noWrap/>
            <w:hideMark/>
          </w:tcPr>
          <w:p w14:paraId="09A1943C"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58</w:t>
            </w:r>
          </w:p>
        </w:tc>
        <w:tc>
          <w:tcPr>
            <w:tcW w:w="899" w:type="dxa"/>
            <w:noWrap/>
            <w:hideMark/>
          </w:tcPr>
          <w:p w14:paraId="09A1943D"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(22.1)</w:t>
            </w:r>
          </w:p>
        </w:tc>
        <w:tc>
          <w:tcPr>
            <w:tcW w:w="600" w:type="dxa"/>
            <w:noWrap/>
            <w:hideMark/>
          </w:tcPr>
          <w:p w14:paraId="09A1943E"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44</w:t>
            </w:r>
          </w:p>
        </w:tc>
        <w:tc>
          <w:tcPr>
            <w:tcW w:w="0" w:type="auto"/>
            <w:noWrap/>
            <w:hideMark/>
          </w:tcPr>
          <w:p w14:paraId="09A1943F"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(12.4)</w:t>
            </w:r>
          </w:p>
        </w:tc>
        <w:tc>
          <w:tcPr>
            <w:tcW w:w="0" w:type="auto"/>
            <w:noWrap/>
            <w:hideMark/>
          </w:tcPr>
          <w:p w14:paraId="09A1944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3D79B3" w:rsidRPr="007C6F2E" w14:paraId="09A1944D"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442"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t>Other</w:t>
            </w:r>
          </w:p>
        </w:tc>
        <w:tc>
          <w:tcPr>
            <w:tcW w:w="0" w:type="auto"/>
            <w:noWrap/>
            <w:hideMark/>
          </w:tcPr>
          <w:p w14:paraId="09A19443"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n/a</w:t>
            </w:r>
          </w:p>
        </w:tc>
        <w:tc>
          <w:tcPr>
            <w:tcW w:w="0" w:type="auto"/>
            <w:noWrap/>
            <w:hideMark/>
          </w:tcPr>
          <w:p w14:paraId="09A1944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p>
        </w:tc>
        <w:tc>
          <w:tcPr>
            <w:tcW w:w="0" w:type="auto"/>
            <w:noWrap/>
            <w:hideMark/>
          </w:tcPr>
          <w:p w14:paraId="09A19445"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29</w:t>
            </w:r>
          </w:p>
        </w:tc>
        <w:tc>
          <w:tcPr>
            <w:tcW w:w="0" w:type="auto"/>
            <w:noWrap/>
            <w:hideMark/>
          </w:tcPr>
          <w:p w14:paraId="09A19446"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(3.4)</w:t>
            </w:r>
          </w:p>
        </w:tc>
        <w:tc>
          <w:tcPr>
            <w:tcW w:w="0" w:type="auto"/>
            <w:noWrap/>
            <w:hideMark/>
          </w:tcPr>
          <w:p w14:paraId="09A19447"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0" w:type="auto"/>
            <w:noWrap/>
            <w:hideMark/>
          </w:tcPr>
          <w:p w14:paraId="09A19448"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13</w:t>
            </w:r>
          </w:p>
        </w:tc>
        <w:tc>
          <w:tcPr>
            <w:tcW w:w="899" w:type="dxa"/>
            <w:noWrap/>
            <w:hideMark/>
          </w:tcPr>
          <w:p w14:paraId="09A19449"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(4.9)</w:t>
            </w:r>
          </w:p>
        </w:tc>
        <w:tc>
          <w:tcPr>
            <w:tcW w:w="600" w:type="dxa"/>
            <w:noWrap/>
            <w:hideMark/>
          </w:tcPr>
          <w:p w14:paraId="09A1944A"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8</w:t>
            </w:r>
          </w:p>
        </w:tc>
        <w:tc>
          <w:tcPr>
            <w:tcW w:w="0" w:type="auto"/>
            <w:noWrap/>
            <w:hideMark/>
          </w:tcPr>
          <w:p w14:paraId="09A1944B"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(2.3)</w:t>
            </w:r>
          </w:p>
        </w:tc>
        <w:tc>
          <w:tcPr>
            <w:tcW w:w="0" w:type="auto"/>
            <w:noWrap/>
            <w:hideMark/>
          </w:tcPr>
          <w:p w14:paraId="09A1944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3D79B3" w:rsidRPr="007C6F2E" w14:paraId="09A19459"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1944E" w14:textId="77777777" w:rsidR="003D79B3" w:rsidRPr="007C6F2E" w:rsidRDefault="003D79B3" w:rsidP="00D30A83">
            <w:pPr>
              <w:spacing w:after="0" w:line="480" w:lineRule="auto"/>
              <w:rPr>
                <w:rFonts w:eastAsia="Times New Roman" w:cstheme="minorHAnsi"/>
                <w:b w:val="0"/>
                <w:color w:val="000000"/>
                <w:lang w:eastAsia="en-GB"/>
              </w:rPr>
            </w:pPr>
            <w:r w:rsidRPr="007C6F2E">
              <w:rPr>
                <w:rFonts w:eastAsia="Times New Roman" w:cstheme="minorHAnsi"/>
                <w:b w:val="0"/>
                <w:color w:val="000000"/>
                <w:lang w:eastAsia="en-GB"/>
              </w:rPr>
              <w:t>Missing</w:t>
            </w:r>
          </w:p>
        </w:tc>
        <w:tc>
          <w:tcPr>
            <w:tcW w:w="0" w:type="auto"/>
            <w:noWrap/>
            <w:hideMark/>
          </w:tcPr>
          <w:p w14:paraId="09A1944F"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n/a</w:t>
            </w:r>
          </w:p>
        </w:tc>
        <w:tc>
          <w:tcPr>
            <w:tcW w:w="0" w:type="auto"/>
            <w:noWrap/>
            <w:hideMark/>
          </w:tcPr>
          <w:p w14:paraId="09A1945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c>
          <w:tcPr>
            <w:tcW w:w="0" w:type="auto"/>
            <w:noWrap/>
            <w:hideMark/>
          </w:tcPr>
          <w:p w14:paraId="09A19451"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110</w:t>
            </w:r>
          </w:p>
        </w:tc>
        <w:tc>
          <w:tcPr>
            <w:tcW w:w="0" w:type="auto"/>
            <w:noWrap/>
            <w:hideMark/>
          </w:tcPr>
          <w:p w14:paraId="09A19452"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(12.8)</w:t>
            </w:r>
          </w:p>
        </w:tc>
        <w:tc>
          <w:tcPr>
            <w:tcW w:w="0" w:type="auto"/>
            <w:noWrap/>
            <w:hideMark/>
          </w:tcPr>
          <w:p w14:paraId="09A19453"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0" w:type="auto"/>
            <w:noWrap/>
            <w:hideMark/>
          </w:tcPr>
          <w:p w14:paraId="09A19454"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2</w:t>
            </w:r>
          </w:p>
        </w:tc>
        <w:tc>
          <w:tcPr>
            <w:tcW w:w="899" w:type="dxa"/>
            <w:noWrap/>
            <w:hideMark/>
          </w:tcPr>
          <w:p w14:paraId="09A19455"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(0.8)</w:t>
            </w:r>
          </w:p>
        </w:tc>
        <w:tc>
          <w:tcPr>
            <w:tcW w:w="600" w:type="dxa"/>
            <w:noWrap/>
            <w:hideMark/>
          </w:tcPr>
          <w:p w14:paraId="09A19456"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3</w:t>
            </w:r>
          </w:p>
        </w:tc>
        <w:tc>
          <w:tcPr>
            <w:tcW w:w="0" w:type="auto"/>
            <w:noWrap/>
            <w:hideMark/>
          </w:tcPr>
          <w:p w14:paraId="09A19457"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7C6F2E">
              <w:rPr>
                <w:rFonts w:eastAsia="Times New Roman" w:cstheme="minorHAnsi"/>
                <w:color w:val="000000"/>
                <w:lang w:eastAsia="en-GB"/>
              </w:rPr>
              <w:t>(0.8)</w:t>
            </w:r>
          </w:p>
        </w:tc>
        <w:tc>
          <w:tcPr>
            <w:tcW w:w="0" w:type="auto"/>
            <w:noWrap/>
            <w:hideMark/>
          </w:tcPr>
          <w:p w14:paraId="09A1945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bl>
    <w:p w14:paraId="09A1945A" w14:textId="77777777" w:rsidR="003D79B3" w:rsidRPr="007C6F2E" w:rsidRDefault="003D79B3" w:rsidP="00D30A83">
      <w:pPr>
        <w:spacing w:before="120" w:after="0" w:line="480" w:lineRule="auto"/>
        <w:rPr>
          <w:bCs/>
        </w:rPr>
      </w:pPr>
    </w:p>
    <w:p w14:paraId="09A1945B" w14:textId="77777777" w:rsidR="003D79B3" w:rsidRPr="007C6F2E" w:rsidRDefault="003D79B3" w:rsidP="00D30A83">
      <w:pPr>
        <w:spacing w:before="120" w:after="0" w:line="480" w:lineRule="auto"/>
        <w:rPr>
          <w:bCs/>
        </w:rPr>
      </w:pPr>
      <w:r w:rsidRPr="007C6F2E">
        <w:rPr>
          <w:bCs/>
        </w:rPr>
        <w:t>*** Significant difference was found using a Chi-square test (p&lt;0.001) excluding missing.</w:t>
      </w:r>
    </w:p>
    <w:p w14:paraId="09A1945C" w14:textId="77777777" w:rsidR="003D79B3" w:rsidRPr="007C6F2E" w:rsidRDefault="003D79B3" w:rsidP="00D30A83">
      <w:pPr>
        <w:spacing w:after="0" w:line="480" w:lineRule="auto"/>
        <w:rPr>
          <w:bCs/>
        </w:rPr>
      </w:pPr>
      <w:r w:rsidRPr="007C6F2E">
        <w:rPr>
          <w:bCs/>
        </w:rPr>
        <w:t>** Significant difference was found using a Chi-square test (p&lt;0.01) excluding missing.</w:t>
      </w:r>
    </w:p>
    <w:p w14:paraId="09A1945D" w14:textId="77777777" w:rsidR="003D79B3" w:rsidRPr="007C6F2E" w:rsidRDefault="003D79B3" w:rsidP="00D30A83">
      <w:pPr>
        <w:spacing w:after="0" w:line="480" w:lineRule="auto"/>
      </w:pPr>
      <w:r w:rsidRPr="007C6F2E">
        <w:rPr>
          <w:vertAlign w:val="superscript"/>
        </w:rPr>
        <w:t xml:space="preserve">1 </w:t>
      </w:r>
      <w:r w:rsidRPr="007C6F2E">
        <w:t>excluding 10 full consent patients who withdrew at baseline prior to data collection and one who died.</w:t>
      </w:r>
    </w:p>
    <w:p w14:paraId="09A1945E" w14:textId="77777777" w:rsidR="003D79B3" w:rsidRPr="007C6F2E" w:rsidRDefault="003D79B3" w:rsidP="00D30A83">
      <w:pPr>
        <w:spacing w:after="0" w:line="480" w:lineRule="auto"/>
        <w:rPr>
          <w:rFonts w:ascii="Calibri" w:eastAsia="Times New Roman" w:hAnsi="Calibri" w:cs="Calibri"/>
          <w:color w:val="000000"/>
          <w:lang w:eastAsia="en-GB"/>
        </w:rPr>
      </w:pPr>
      <w:r w:rsidRPr="007C6F2E">
        <w:rPr>
          <w:i/>
        </w:rPr>
        <w:t>Definitions</w:t>
      </w:r>
      <w:r w:rsidRPr="007C6F2E">
        <w:t xml:space="preserve">: </w:t>
      </w:r>
      <w:r w:rsidRPr="007C6F2E">
        <w:rPr>
          <w:rFonts w:ascii="Calibri" w:eastAsia="Times New Roman" w:hAnsi="Calibri" w:cs="Calibri"/>
          <w:color w:val="000000"/>
          <w:lang w:eastAsia="en-GB"/>
        </w:rPr>
        <w:t>n/a</w:t>
      </w:r>
      <w:r w:rsidRPr="007C6F2E">
        <w:t>=not applicable.</w:t>
      </w:r>
    </w:p>
    <w:p w14:paraId="09A1945F" w14:textId="77777777" w:rsidR="003D79B3" w:rsidRPr="007C6F2E" w:rsidRDefault="003D79B3" w:rsidP="00D30A83">
      <w:pPr>
        <w:spacing w:line="480" w:lineRule="auto"/>
      </w:pPr>
    </w:p>
    <w:p w14:paraId="09A19460" w14:textId="77777777" w:rsidR="003D79B3" w:rsidRPr="007C6F2E" w:rsidRDefault="003D79B3" w:rsidP="00D30A83">
      <w:pPr>
        <w:spacing w:line="480" w:lineRule="auto"/>
        <w:rPr>
          <w:b/>
          <w:bCs/>
        </w:rPr>
      </w:pPr>
      <w:r w:rsidRPr="007C6F2E">
        <w:rPr>
          <w:b/>
          <w:bCs/>
        </w:rPr>
        <w:lastRenderedPageBreak/>
        <w:t>Table 3: Baseline clinical and treatment characteristics of approached patients by consent status and of recruited patients by participation status at 5 year follow-up</w:t>
      </w:r>
    </w:p>
    <w:tbl>
      <w:tblPr>
        <w:tblStyle w:val="PlainTable4"/>
        <w:tblW w:w="9356" w:type="dxa"/>
        <w:tblInd w:w="-426" w:type="dxa"/>
        <w:tblLook w:val="04A0" w:firstRow="1" w:lastRow="0" w:firstColumn="1" w:lastColumn="0" w:noHBand="0" w:noVBand="1"/>
      </w:tblPr>
      <w:tblGrid>
        <w:gridCol w:w="3403"/>
        <w:gridCol w:w="551"/>
        <w:gridCol w:w="1071"/>
        <w:gridCol w:w="551"/>
        <w:gridCol w:w="820"/>
        <w:gridCol w:w="7"/>
        <w:gridCol w:w="551"/>
        <w:gridCol w:w="1051"/>
        <w:gridCol w:w="611"/>
        <w:gridCol w:w="733"/>
        <w:gridCol w:w="7"/>
      </w:tblGrid>
      <w:tr w:rsidR="003D79B3" w:rsidRPr="007C6F2E" w14:paraId="09A19465" w14:textId="77777777" w:rsidTr="00D30A83">
        <w:trPr>
          <w:gridAfter w:val="1"/>
          <w:cnfStyle w:val="100000000000" w:firstRow="1" w:lastRow="0" w:firstColumn="0" w:lastColumn="0" w:oddVBand="0" w:evenVBand="0" w:oddHBand="0" w:evenHBand="0" w:firstRowFirstColumn="0" w:firstRowLastColumn="0" w:lastRowFirstColumn="0" w:lastRowLastColumn="0"/>
          <w:wAfter w:w="7" w:type="dxa"/>
          <w:trHeight w:val="20"/>
        </w:trPr>
        <w:tc>
          <w:tcPr>
            <w:cnfStyle w:val="001000000000" w:firstRow="0" w:lastRow="0" w:firstColumn="1" w:lastColumn="0" w:oddVBand="0" w:evenVBand="0" w:oddHBand="0" w:evenHBand="0" w:firstRowFirstColumn="0" w:firstRowLastColumn="0" w:lastRowFirstColumn="0" w:lastRowLastColumn="0"/>
            <w:tcW w:w="3403" w:type="dxa"/>
            <w:vMerge w:val="restart"/>
            <w:tcBorders>
              <w:top w:val="single" w:sz="4" w:space="0" w:color="auto"/>
              <w:left w:val="single" w:sz="4" w:space="0" w:color="auto"/>
              <w:bottom w:val="single" w:sz="4" w:space="0" w:color="auto"/>
              <w:right w:val="single" w:sz="4" w:space="0" w:color="auto"/>
            </w:tcBorders>
            <w:vAlign w:val="center"/>
            <w:hideMark/>
          </w:tcPr>
          <w:p w14:paraId="09A19461" w14:textId="77777777" w:rsidR="003D79B3" w:rsidRPr="007C6F2E" w:rsidRDefault="003D79B3" w:rsidP="00D30A83">
            <w:pPr>
              <w:spacing w:after="0" w:line="480" w:lineRule="auto"/>
              <w:jc w:val="center"/>
              <w:rPr>
                <w:rFonts w:ascii="Calibri" w:eastAsia="Times New Roman" w:hAnsi="Calibri" w:cs="Calibri"/>
                <w:color w:val="000000"/>
                <w:lang w:eastAsia="en-GB"/>
              </w:rPr>
            </w:pPr>
            <w:r w:rsidRPr="007C6F2E">
              <w:rPr>
                <w:rFonts w:ascii="Calibri" w:eastAsia="Times New Roman" w:hAnsi="Calibri" w:cs="Calibri"/>
                <w:color w:val="000000"/>
                <w:lang w:eastAsia="en-GB"/>
              </w:rPr>
              <w:t>Baseline clinical &amp; treatment characteristics</w:t>
            </w:r>
          </w:p>
        </w:tc>
        <w:tc>
          <w:tcPr>
            <w:tcW w:w="2993" w:type="dxa"/>
            <w:gridSpan w:val="4"/>
            <w:tcBorders>
              <w:top w:val="single" w:sz="4" w:space="0" w:color="auto"/>
              <w:left w:val="single" w:sz="4" w:space="0" w:color="auto"/>
              <w:bottom w:val="single" w:sz="4" w:space="0" w:color="auto"/>
              <w:right w:val="single" w:sz="4" w:space="0" w:color="auto"/>
            </w:tcBorders>
            <w:vAlign w:val="center"/>
            <w:hideMark/>
          </w:tcPr>
          <w:p w14:paraId="09A19462" w14:textId="77777777" w:rsidR="003D79B3" w:rsidRPr="007C6F2E" w:rsidRDefault="003D79B3" w:rsidP="00D30A83">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Type of consent at baseline (N=997 consented)</w:t>
            </w:r>
          </w:p>
        </w:tc>
        <w:tc>
          <w:tcPr>
            <w:tcW w:w="2953" w:type="dxa"/>
            <w:gridSpan w:val="5"/>
            <w:tcBorders>
              <w:top w:val="single" w:sz="4" w:space="0" w:color="auto"/>
              <w:left w:val="single" w:sz="4" w:space="0" w:color="auto"/>
              <w:bottom w:val="single" w:sz="4" w:space="0" w:color="auto"/>
              <w:right w:val="single" w:sz="4" w:space="0" w:color="auto"/>
            </w:tcBorders>
            <w:vAlign w:val="center"/>
            <w:hideMark/>
          </w:tcPr>
          <w:p w14:paraId="09A19463" w14:textId="77777777" w:rsidR="003D79B3" w:rsidRPr="007C6F2E" w:rsidRDefault="003D79B3" w:rsidP="00D30A83">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 xml:space="preserve">Returned five-year questionnaire? </w:t>
            </w:r>
          </w:p>
          <w:p w14:paraId="09A19464" w14:textId="77777777" w:rsidR="003D79B3" w:rsidRPr="007C6F2E" w:rsidRDefault="003D79B3" w:rsidP="00D30A83">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(N=617 completed baseline)</w:t>
            </w:r>
          </w:p>
        </w:tc>
      </w:tr>
      <w:tr w:rsidR="003D79B3" w:rsidRPr="007C6F2E" w14:paraId="09A1946B"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vMerge/>
            <w:tcBorders>
              <w:top w:val="single" w:sz="4" w:space="0" w:color="auto"/>
              <w:left w:val="single" w:sz="4" w:space="0" w:color="auto"/>
              <w:bottom w:val="single" w:sz="4" w:space="0" w:color="auto"/>
              <w:right w:val="single" w:sz="4" w:space="0" w:color="auto"/>
            </w:tcBorders>
            <w:vAlign w:val="center"/>
            <w:hideMark/>
          </w:tcPr>
          <w:p w14:paraId="09A19466" w14:textId="77777777" w:rsidR="003D79B3" w:rsidRPr="007C6F2E" w:rsidRDefault="003D79B3" w:rsidP="00D30A83">
            <w:pPr>
              <w:spacing w:after="0" w:line="480" w:lineRule="auto"/>
              <w:jc w:val="center"/>
              <w:rPr>
                <w:rFonts w:ascii="Calibri" w:eastAsia="Times New Roman" w:hAnsi="Calibri" w:cs="Calibri"/>
                <w:color w:val="000000"/>
                <w:lang w:eastAsia="en-GB"/>
              </w:rPr>
            </w:pPr>
          </w:p>
        </w:tc>
        <w:tc>
          <w:tcPr>
            <w:tcW w:w="1622" w:type="dxa"/>
            <w:gridSpan w:val="2"/>
            <w:tcBorders>
              <w:top w:val="single" w:sz="4" w:space="0" w:color="auto"/>
              <w:left w:val="single" w:sz="4" w:space="0" w:color="auto"/>
              <w:bottom w:val="single" w:sz="4" w:space="0" w:color="auto"/>
              <w:right w:val="single" w:sz="4" w:space="0" w:color="auto"/>
            </w:tcBorders>
            <w:vAlign w:val="center"/>
            <w:hideMark/>
          </w:tcPr>
          <w:p w14:paraId="09A19467" w14:textId="77777777" w:rsidR="003D79B3" w:rsidRPr="007C6F2E" w:rsidRDefault="003D79B3" w:rsidP="00D30A83">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r w:rsidRPr="007C6F2E">
              <w:rPr>
                <w:rFonts w:ascii="Calibri" w:eastAsia="Times New Roman" w:hAnsi="Calibri" w:cs="Calibri"/>
                <w:b/>
                <w:bCs/>
                <w:color w:val="000000"/>
                <w:lang w:eastAsia="en-GB"/>
              </w:rPr>
              <w:t>Reduced consent (n=145)</w:t>
            </w:r>
          </w:p>
        </w:tc>
        <w:tc>
          <w:tcPr>
            <w:tcW w:w="1378" w:type="dxa"/>
            <w:gridSpan w:val="3"/>
            <w:tcBorders>
              <w:top w:val="single" w:sz="4" w:space="0" w:color="auto"/>
              <w:left w:val="single" w:sz="4" w:space="0" w:color="auto"/>
              <w:bottom w:val="single" w:sz="4" w:space="0" w:color="auto"/>
              <w:right w:val="single" w:sz="4" w:space="0" w:color="auto"/>
            </w:tcBorders>
            <w:vAlign w:val="center"/>
            <w:hideMark/>
          </w:tcPr>
          <w:p w14:paraId="09A19468" w14:textId="77777777" w:rsidR="003D79B3" w:rsidRPr="007C6F2E" w:rsidRDefault="003D79B3" w:rsidP="00D30A83">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r w:rsidRPr="007C6F2E">
              <w:rPr>
                <w:rFonts w:ascii="Calibri" w:eastAsia="Times New Roman" w:hAnsi="Calibri" w:cs="Calibri"/>
                <w:b/>
                <w:bCs/>
                <w:color w:val="000000"/>
                <w:lang w:eastAsia="en-GB"/>
              </w:rPr>
              <w:t xml:space="preserve">Full consent (n=852) </w:t>
            </w:r>
            <w:r w:rsidRPr="007C6F2E">
              <w:rPr>
                <w:rFonts w:ascii="Calibri" w:eastAsia="Times New Roman" w:hAnsi="Calibri" w:cs="Calibri"/>
                <w:b/>
                <w:bCs/>
                <w:color w:val="000000"/>
                <w:vertAlign w:val="superscript"/>
                <w:lang w:eastAsia="en-GB"/>
              </w:rPr>
              <w:t>1</w:t>
            </w:r>
          </w:p>
        </w:tc>
        <w:tc>
          <w:tcPr>
            <w:tcW w:w="1602" w:type="dxa"/>
            <w:gridSpan w:val="2"/>
            <w:tcBorders>
              <w:top w:val="single" w:sz="4" w:space="0" w:color="auto"/>
              <w:left w:val="single" w:sz="4" w:space="0" w:color="auto"/>
              <w:bottom w:val="single" w:sz="4" w:space="0" w:color="auto"/>
              <w:right w:val="single" w:sz="4" w:space="0" w:color="auto"/>
            </w:tcBorders>
            <w:vAlign w:val="center"/>
            <w:hideMark/>
          </w:tcPr>
          <w:p w14:paraId="09A19469" w14:textId="77777777" w:rsidR="003D79B3" w:rsidRPr="007C6F2E" w:rsidRDefault="003D79B3" w:rsidP="00D30A83">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r w:rsidRPr="007C6F2E">
              <w:rPr>
                <w:rFonts w:ascii="Calibri" w:eastAsia="Times New Roman" w:hAnsi="Calibri" w:cs="Calibri"/>
                <w:b/>
                <w:bCs/>
                <w:color w:val="000000"/>
                <w:lang w:eastAsia="en-GB"/>
              </w:rPr>
              <w:t>No (N=263)</w:t>
            </w:r>
          </w:p>
        </w:tc>
        <w:tc>
          <w:tcPr>
            <w:tcW w:w="1351" w:type="dxa"/>
            <w:gridSpan w:val="3"/>
            <w:tcBorders>
              <w:top w:val="single" w:sz="4" w:space="0" w:color="auto"/>
              <w:left w:val="single" w:sz="4" w:space="0" w:color="auto"/>
              <w:bottom w:val="single" w:sz="4" w:space="0" w:color="auto"/>
              <w:right w:val="single" w:sz="4" w:space="0" w:color="auto"/>
            </w:tcBorders>
            <w:vAlign w:val="center"/>
            <w:hideMark/>
          </w:tcPr>
          <w:p w14:paraId="09A1946A" w14:textId="77777777" w:rsidR="003D79B3" w:rsidRPr="007C6F2E" w:rsidRDefault="003D79B3" w:rsidP="00D30A83">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r w:rsidRPr="007C6F2E">
              <w:rPr>
                <w:rFonts w:ascii="Calibri" w:eastAsia="Times New Roman" w:hAnsi="Calibri" w:cs="Calibri"/>
                <w:b/>
                <w:bCs/>
                <w:color w:val="000000"/>
                <w:lang w:eastAsia="en-GB"/>
              </w:rPr>
              <w:t>Yes (N=354)</w:t>
            </w:r>
          </w:p>
        </w:tc>
      </w:tr>
      <w:tr w:rsidR="003D79B3" w:rsidRPr="007C6F2E" w14:paraId="09A19471"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vMerge/>
            <w:tcBorders>
              <w:top w:val="single" w:sz="4" w:space="0" w:color="auto"/>
              <w:left w:val="single" w:sz="4" w:space="0" w:color="auto"/>
              <w:bottom w:val="single" w:sz="4" w:space="0" w:color="auto"/>
              <w:right w:val="single" w:sz="4" w:space="0" w:color="auto"/>
            </w:tcBorders>
            <w:vAlign w:val="center"/>
            <w:hideMark/>
          </w:tcPr>
          <w:p w14:paraId="09A1946C" w14:textId="77777777" w:rsidR="003D79B3" w:rsidRPr="007C6F2E" w:rsidRDefault="003D79B3" w:rsidP="00D30A83">
            <w:pPr>
              <w:spacing w:after="0" w:line="480" w:lineRule="auto"/>
              <w:jc w:val="center"/>
              <w:rPr>
                <w:rFonts w:ascii="Calibri" w:eastAsia="Times New Roman" w:hAnsi="Calibri" w:cs="Calibri"/>
                <w:color w:val="000000"/>
                <w:lang w:eastAsia="en-GB"/>
              </w:rPr>
            </w:pPr>
          </w:p>
        </w:tc>
        <w:tc>
          <w:tcPr>
            <w:tcW w:w="1622" w:type="dxa"/>
            <w:gridSpan w:val="2"/>
            <w:tcBorders>
              <w:top w:val="single" w:sz="4" w:space="0" w:color="auto"/>
              <w:left w:val="single" w:sz="4" w:space="0" w:color="auto"/>
              <w:bottom w:val="single" w:sz="4" w:space="0" w:color="auto"/>
              <w:right w:val="single" w:sz="4" w:space="0" w:color="auto"/>
            </w:tcBorders>
            <w:noWrap/>
            <w:vAlign w:val="center"/>
            <w:hideMark/>
          </w:tcPr>
          <w:p w14:paraId="09A1946D" w14:textId="77777777" w:rsidR="003D79B3" w:rsidRPr="007C6F2E" w:rsidRDefault="003D79B3" w:rsidP="00D30A83">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7C6F2E">
              <w:rPr>
                <w:rFonts w:ascii="Calibri" w:eastAsia="Times New Roman" w:hAnsi="Calibri" w:cs="Calibri"/>
                <w:b/>
                <w:bCs/>
                <w:color w:val="000000"/>
                <w:lang w:eastAsia="en-GB"/>
              </w:rPr>
              <w:t>n (%)</w:t>
            </w:r>
          </w:p>
        </w:tc>
        <w:tc>
          <w:tcPr>
            <w:tcW w:w="1378" w:type="dxa"/>
            <w:gridSpan w:val="3"/>
            <w:tcBorders>
              <w:top w:val="single" w:sz="4" w:space="0" w:color="auto"/>
              <w:left w:val="single" w:sz="4" w:space="0" w:color="auto"/>
              <w:bottom w:val="single" w:sz="4" w:space="0" w:color="auto"/>
              <w:right w:val="single" w:sz="4" w:space="0" w:color="auto"/>
            </w:tcBorders>
            <w:noWrap/>
            <w:vAlign w:val="center"/>
            <w:hideMark/>
          </w:tcPr>
          <w:p w14:paraId="09A1946E" w14:textId="77777777" w:rsidR="003D79B3" w:rsidRPr="007C6F2E" w:rsidRDefault="003D79B3" w:rsidP="00D30A83">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7C6F2E">
              <w:rPr>
                <w:rFonts w:ascii="Calibri" w:eastAsia="Times New Roman" w:hAnsi="Calibri" w:cs="Calibri"/>
                <w:b/>
                <w:bCs/>
                <w:color w:val="000000"/>
                <w:lang w:eastAsia="en-GB"/>
              </w:rPr>
              <w:t>n (%)</w:t>
            </w:r>
          </w:p>
        </w:tc>
        <w:tc>
          <w:tcPr>
            <w:tcW w:w="1602" w:type="dxa"/>
            <w:gridSpan w:val="2"/>
            <w:tcBorders>
              <w:top w:val="single" w:sz="4" w:space="0" w:color="auto"/>
              <w:left w:val="single" w:sz="4" w:space="0" w:color="auto"/>
              <w:bottom w:val="single" w:sz="4" w:space="0" w:color="auto"/>
              <w:right w:val="single" w:sz="4" w:space="0" w:color="auto"/>
            </w:tcBorders>
            <w:noWrap/>
            <w:vAlign w:val="center"/>
            <w:hideMark/>
          </w:tcPr>
          <w:p w14:paraId="09A1946F" w14:textId="77777777" w:rsidR="003D79B3" w:rsidRPr="007C6F2E" w:rsidRDefault="003D79B3" w:rsidP="00D30A83">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7C6F2E">
              <w:rPr>
                <w:rFonts w:ascii="Calibri" w:eastAsia="Times New Roman" w:hAnsi="Calibri" w:cs="Calibri"/>
                <w:b/>
                <w:bCs/>
                <w:color w:val="000000"/>
                <w:lang w:eastAsia="en-GB"/>
              </w:rPr>
              <w:t>n (%)</w:t>
            </w:r>
          </w:p>
        </w:tc>
        <w:tc>
          <w:tcPr>
            <w:tcW w:w="1351" w:type="dxa"/>
            <w:gridSpan w:val="3"/>
            <w:tcBorders>
              <w:top w:val="single" w:sz="4" w:space="0" w:color="auto"/>
              <w:left w:val="single" w:sz="4" w:space="0" w:color="auto"/>
              <w:bottom w:val="single" w:sz="4" w:space="0" w:color="auto"/>
              <w:right w:val="single" w:sz="4" w:space="0" w:color="auto"/>
            </w:tcBorders>
            <w:noWrap/>
            <w:vAlign w:val="center"/>
            <w:hideMark/>
          </w:tcPr>
          <w:p w14:paraId="09A19470" w14:textId="77777777" w:rsidR="003D79B3" w:rsidRPr="007C6F2E" w:rsidRDefault="003D79B3" w:rsidP="00D30A83">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7C6F2E">
              <w:rPr>
                <w:rFonts w:ascii="Calibri" w:eastAsia="Times New Roman" w:hAnsi="Calibri" w:cs="Calibri"/>
                <w:b/>
                <w:bCs/>
                <w:color w:val="000000"/>
                <w:lang w:eastAsia="en-GB"/>
              </w:rPr>
              <w:t>n (%)</w:t>
            </w:r>
          </w:p>
        </w:tc>
      </w:tr>
      <w:tr w:rsidR="003D79B3" w:rsidRPr="007C6F2E" w14:paraId="09A1947B"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tcBorders>
              <w:top w:val="single" w:sz="4" w:space="0" w:color="auto"/>
            </w:tcBorders>
            <w:noWrap/>
            <w:hideMark/>
          </w:tcPr>
          <w:p w14:paraId="09A19472" w14:textId="77777777" w:rsidR="003D79B3" w:rsidRPr="007C6F2E" w:rsidRDefault="003D79B3" w:rsidP="00D30A83">
            <w:pPr>
              <w:spacing w:after="0" w:line="480" w:lineRule="auto"/>
              <w:rPr>
                <w:rFonts w:ascii="Calibri" w:eastAsia="Times New Roman" w:hAnsi="Calibri" w:cs="Calibri"/>
                <w:color w:val="000000"/>
                <w:lang w:eastAsia="en-GB"/>
              </w:rPr>
            </w:pPr>
            <w:r w:rsidRPr="007C6F2E">
              <w:rPr>
                <w:rFonts w:ascii="Calibri" w:eastAsia="Times New Roman" w:hAnsi="Calibri" w:cs="Calibri"/>
                <w:color w:val="000000"/>
                <w:lang w:eastAsia="en-GB"/>
              </w:rPr>
              <w:t>Body mass index (kg/m</w:t>
            </w:r>
            <w:r w:rsidRPr="007C6F2E">
              <w:rPr>
                <w:rFonts w:ascii="Calibri" w:eastAsia="Times New Roman" w:hAnsi="Calibri" w:cs="Calibri"/>
                <w:color w:val="000000"/>
                <w:vertAlign w:val="superscript"/>
                <w:lang w:eastAsia="en-GB"/>
              </w:rPr>
              <w:t>2</w:t>
            </w:r>
            <w:r w:rsidRPr="007C6F2E">
              <w:rPr>
                <w:rFonts w:ascii="Calibri" w:eastAsia="Times New Roman" w:hAnsi="Calibri" w:cs="Calibri"/>
                <w:color w:val="000000"/>
                <w:lang w:eastAsia="en-GB"/>
              </w:rPr>
              <w:t>)</w:t>
            </w:r>
          </w:p>
        </w:tc>
        <w:tc>
          <w:tcPr>
            <w:tcW w:w="551" w:type="dxa"/>
            <w:tcBorders>
              <w:top w:val="single" w:sz="4" w:space="0" w:color="auto"/>
            </w:tcBorders>
            <w:noWrap/>
            <w:hideMark/>
          </w:tcPr>
          <w:p w14:paraId="09A19473"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p>
        </w:tc>
        <w:tc>
          <w:tcPr>
            <w:tcW w:w="1071" w:type="dxa"/>
            <w:tcBorders>
              <w:top w:val="single" w:sz="4" w:space="0" w:color="auto"/>
            </w:tcBorders>
            <w:noWrap/>
            <w:hideMark/>
          </w:tcPr>
          <w:p w14:paraId="09A19474"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551" w:type="dxa"/>
            <w:tcBorders>
              <w:top w:val="single" w:sz="4" w:space="0" w:color="auto"/>
            </w:tcBorders>
            <w:noWrap/>
            <w:hideMark/>
          </w:tcPr>
          <w:p w14:paraId="09A19475"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827" w:type="dxa"/>
            <w:gridSpan w:val="2"/>
            <w:tcBorders>
              <w:top w:val="single" w:sz="4" w:space="0" w:color="auto"/>
            </w:tcBorders>
            <w:noWrap/>
            <w:hideMark/>
          </w:tcPr>
          <w:p w14:paraId="09A19476"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551" w:type="dxa"/>
            <w:tcBorders>
              <w:top w:val="single" w:sz="4" w:space="0" w:color="auto"/>
            </w:tcBorders>
            <w:noWrap/>
            <w:hideMark/>
          </w:tcPr>
          <w:p w14:paraId="09A19477"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051" w:type="dxa"/>
            <w:tcBorders>
              <w:top w:val="single" w:sz="4" w:space="0" w:color="auto"/>
            </w:tcBorders>
            <w:noWrap/>
            <w:hideMark/>
          </w:tcPr>
          <w:p w14:paraId="09A1947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611" w:type="dxa"/>
            <w:tcBorders>
              <w:top w:val="single" w:sz="4" w:space="0" w:color="auto"/>
            </w:tcBorders>
            <w:noWrap/>
            <w:hideMark/>
          </w:tcPr>
          <w:p w14:paraId="09A19479"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740" w:type="dxa"/>
            <w:gridSpan w:val="2"/>
            <w:tcBorders>
              <w:top w:val="single" w:sz="4" w:space="0" w:color="auto"/>
            </w:tcBorders>
            <w:noWrap/>
            <w:hideMark/>
          </w:tcPr>
          <w:p w14:paraId="09A1947A"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r>
      <w:tr w:rsidR="003D79B3" w:rsidRPr="007C6F2E" w14:paraId="09A19485"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47C"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Normal/pre-obese (</w:t>
            </w:r>
            <w:proofErr w:type="spellStart"/>
            <w:r w:rsidRPr="007C6F2E">
              <w:rPr>
                <w:rFonts w:ascii="Calibri" w:eastAsia="Times New Roman" w:hAnsi="Calibri" w:cs="Calibri"/>
                <w:b w:val="0"/>
                <w:color w:val="000000"/>
                <w:lang w:eastAsia="en-GB"/>
              </w:rPr>
              <w:t>bmi</w:t>
            </w:r>
            <w:proofErr w:type="spellEnd"/>
            <w:r w:rsidRPr="007C6F2E">
              <w:rPr>
                <w:rFonts w:ascii="Calibri" w:eastAsia="Times New Roman" w:hAnsi="Calibri" w:cs="Calibri"/>
                <w:b w:val="0"/>
                <w:color w:val="000000"/>
                <w:lang w:eastAsia="en-GB"/>
              </w:rPr>
              <w:t xml:space="preserve"> &lt;29.9)</w:t>
            </w:r>
          </w:p>
        </w:tc>
        <w:tc>
          <w:tcPr>
            <w:tcW w:w="551" w:type="dxa"/>
            <w:noWrap/>
            <w:hideMark/>
          </w:tcPr>
          <w:p w14:paraId="09A1947D"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84</w:t>
            </w:r>
          </w:p>
        </w:tc>
        <w:tc>
          <w:tcPr>
            <w:tcW w:w="1071" w:type="dxa"/>
            <w:noWrap/>
            <w:hideMark/>
          </w:tcPr>
          <w:p w14:paraId="09A1947E"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(58.0)</w:t>
            </w:r>
          </w:p>
        </w:tc>
        <w:tc>
          <w:tcPr>
            <w:tcW w:w="551" w:type="dxa"/>
            <w:noWrap/>
            <w:hideMark/>
          </w:tcPr>
          <w:p w14:paraId="09A1947F"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436</w:t>
            </w:r>
          </w:p>
        </w:tc>
        <w:tc>
          <w:tcPr>
            <w:tcW w:w="827" w:type="dxa"/>
            <w:gridSpan w:val="2"/>
            <w:noWrap/>
            <w:hideMark/>
          </w:tcPr>
          <w:p w14:paraId="09A19480"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(51.2)</w:t>
            </w:r>
          </w:p>
        </w:tc>
        <w:tc>
          <w:tcPr>
            <w:tcW w:w="551" w:type="dxa"/>
            <w:noWrap/>
            <w:hideMark/>
          </w:tcPr>
          <w:p w14:paraId="09A19481"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133</w:t>
            </w:r>
          </w:p>
        </w:tc>
        <w:tc>
          <w:tcPr>
            <w:tcW w:w="1051" w:type="dxa"/>
            <w:noWrap/>
            <w:hideMark/>
          </w:tcPr>
          <w:p w14:paraId="09A19482"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(50.6)</w:t>
            </w:r>
          </w:p>
        </w:tc>
        <w:tc>
          <w:tcPr>
            <w:tcW w:w="611" w:type="dxa"/>
            <w:noWrap/>
            <w:hideMark/>
          </w:tcPr>
          <w:p w14:paraId="09A19483"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188</w:t>
            </w:r>
          </w:p>
        </w:tc>
        <w:tc>
          <w:tcPr>
            <w:tcW w:w="740" w:type="dxa"/>
            <w:gridSpan w:val="2"/>
            <w:noWrap/>
            <w:hideMark/>
          </w:tcPr>
          <w:p w14:paraId="09A1948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(53.1)</w:t>
            </w:r>
          </w:p>
        </w:tc>
      </w:tr>
      <w:tr w:rsidR="003D79B3" w:rsidRPr="007C6F2E" w14:paraId="09A1948F"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486"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Overweight (</w:t>
            </w:r>
            <w:proofErr w:type="spellStart"/>
            <w:r w:rsidRPr="007C6F2E">
              <w:rPr>
                <w:rFonts w:ascii="Calibri" w:eastAsia="Times New Roman" w:hAnsi="Calibri" w:cs="Calibri"/>
                <w:b w:val="0"/>
                <w:color w:val="000000"/>
                <w:lang w:eastAsia="en-GB"/>
              </w:rPr>
              <w:t>bmi</w:t>
            </w:r>
            <w:proofErr w:type="spellEnd"/>
            <w:r w:rsidRPr="007C6F2E">
              <w:rPr>
                <w:rFonts w:ascii="Calibri" w:eastAsia="Times New Roman" w:hAnsi="Calibri" w:cs="Calibri"/>
                <w:b w:val="0"/>
                <w:color w:val="000000"/>
                <w:lang w:eastAsia="en-GB"/>
              </w:rPr>
              <w:t>&gt;=30.0)</w:t>
            </w:r>
          </w:p>
        </w:tc>
        <w:tc>
          <w:tcPr>
            <w:tcW w:w="551" w:type="dxa"/>
            <w:noWrap/>
            <w:hideMark/>
          </w:tcPr>
          <w:p w14:paraId="09A19487"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23</w:t>
            </w:r>
          </w:p>
        </w:tc>
        <w:tc>
          <w:tcPr>
            <w:tcW w:w="1071" w:type="dxa"/>
            <w:noWrap/>
            <w:hideMark/>
          </w:tcPr>
          <w:p w14:paraId="09A1948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(15.8)</w:t>
            </w:r>
          </w:p>
        </w:tc>
        <w:tc>
          <w:tcPr>
            <w:tcW w:w="551" w:type="dxa"/>
            <w:noWrap/>
            <w:hideMark/>
          </w:tcPr>
          <w:p w14:paraId="09A19489"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157</w:t>
            </w:r>
          </w:p>
        </w:tc>
        <w:tc>
          <w:tcPr>
            <w:tcW w:w="827" w:type="dxa"/>
            <w:gridSpan w:val="2"/>
            <w:noWrap/>
            <w:hideMark/>
          </w:tcPr>
          <w:p w14:paraId="09A1948A"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(18.4)</w:t>
            </w:r>
          </w:p>
        </w:tc>
        <w:tc>
          <w:tcPr>
            <w:tcW w:w="551" w:type="dxa"/>
            <w:noWrap/>
            <w:hideMark/>
          </w:tcPr>
          <w:p w14:paraId="09A1948B"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57</w:t>
            </w:r>
          </w:p>
        </w:tc>
        <w:tc>
          <w:tcPr>
            <w:tcW w:w="1051" w:type="dxa"/>
            <w:noWrap/>
            <w:hideMark/>
          </w:tcPr>
          <w:p w14:paraId="09A1948C"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(21.7)</w:t>
            </w:r>
          </w:p>
        </w:tc>
        <w:tc>
          <w:tcPr>
            <w:tcW w:w="611" w:type="dxa"/>
            <w:noWrap/>
            <w:hideMark/>
          </w:tcPr>
          <w:p w14:paraId="09A1948D"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71</w:t>
            </w:r>
          </w:p>
        </w:tc>
        <w:tc>
          <w:tcPr>
            <w:tcW w:w="740" w:type="dxa"/>
            <w:gridSpan w:val="2"/>
            <w:noWrap/>
            <w:hideMark/>
          </w:tcPr>
          <w:p w14:paraId="09A1948E"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(20.1)</w:t>
            </w:r>
          </w:p>
        </w:tc>
      </w:tr>
      <w:tr w:rsidR="003D79B3" w:rsidRPr="007C6F2E" w14:paraId="09A19499"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490"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Unknown BMI</w:t>
            </w:r>
          </w:p>
        </w:tc>
        <w:tc>
          <w:tcPr>
            <w:tcW w:w="551" w:type="dxa"/>
            <w:noWrap/>
            <w:hideMark/>
          </w:tcPr>
          <w:p w14:paraId="09A19491"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38</w:t>
            </w:r>
          </w:p>
        </w:tc>
        <w:tc>
          <w:tcPr>
            <w:tcW w:w="1071" w:type="dxa"/>
            <w:noWrap/>
            <w:hideMark/>
          </w:tcPr>
          <w:p w14:paraId="09A19492"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(26.2)</w:t>
            </w:r>
          </w:p>
        </w:tc>
        <w:tc>
          <w:tcPr>
            <w:tcW w:w="551" w:type="dxa"/>
            <w:noWrap/>
            <w:hideMark/>
          </w:tcPr>
          <w:p w14:paraId="09A19493"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259</w:t>
            </w:r>
          </w:p>
        </w:tc>
        <w:tc>
          <w:tcPr>
            <w:tcW w:w="827" w:type="dxa"/>
            <w:gridSpan w:val="2"/>
            <w:noWrap/>
            <w:hideMark/>
          </w:tcPr>
          <w:p w14:paraId="09A1949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(30.4)</w:t>
            </w:r>
          </w:p>
        </w:tc>
        <w:tc>
          <w:tcPr>
            <w:tcW w:w="551" w:type="dxa"/>
            <w:noWrap/>
            <w:hideMark/>
          </w:tcPr>
          <w:p w14:paraId="09A19495"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73</w:t>
            </w:r>
          </w:p>
        </w:tc>
        <w:tc>
          <w:tcPr>
            <w:tcW w:w="1051" w:type="dxa"/>
            <w:noWrap/>
            <w:hideMark/>
          </w:tcPr>
          <w:p w14:paraId="09A19496"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(27.8)</w:t>
            </w:r>
          </w:p>
        </w:tc>
        <w:tc>
          <w:tcPr>
            <w:tcW w:w="611" w:type="dxa"/>
            <w:noWrap/>
            <w:hideMark/>
          </w:tcPr>
          <w:p w14:paraId="09A19497"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95</w:t>
            </w:r>
          </w:p>
        </w:tc>
        <w:tc>
          <w:tcPr>
            <w:tcW w:w="740" w:type="dxa"/>
            <w:gridSpan w:val="2"/>
            <w:noWrap/>
            <w:hideMark/>
          </w:tcPr>
          <w:p w14:paraId="09A19498"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(26.8)</w:t>
            </w:r>
          </w:p>
        </w:tc>
      </w:tr>
      <w:tr w:rsidR="003D79B3" w:rsidRPr="007C6F2E" w14:paraId="09A194A3"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49A" w14:textId="77777777" w:rsidR="003D79B3" w:rsidRPr="007C6F2E" w:rsidRDefault="003D79B3" w:rsidP="00D30A83">
            <w:pPr>
              <w:spacing w:after="0" w:line="480" w:lineRule="auto"/>
              <w:rPr>
                <w:rFonts w:ascii="Calibri" w:eastAsia="Times New Roman" w:hAnsi="Calibri" w:cs="Calibri"/>
                <w:color w:val="000000"/>
                <w:lang w:eastAsia="en-GB"/>
              </w:rPr>
            </w:pPr>
            <w:r w:rsidRPr="007C6F2E">
              <w:rPr>
                <w:rFonts w:ascii="Calibri" w:eastAsia="Times New Roman" w:hAnsi="Calibri" w:cs="Calibri"/>
                <w:color w:val="000000"/>
                <w:lang w:eastAsia="en-GB"/>
              </w:rPr>
              <w:t>How cancer was detected</w:t>
            </w:r>
          </w:p>
        </w:tc>
        <w:tc>
          <w:tcPr>
            <w:tcW w:w="551" w:type="dxa"/>
            <w:noWrap/>
            <w:hideMark/>
          </w:tcPr>
          <w:p w14:paraId="09A1949B"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1071" w:type="dxa"/>
            <w:noWrap/>
            <w:hideMark/>
          </w:tcPr>
          <w:p w14:paraId="09A1949C"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551" w:type="dxa"/>
            <w:noWrap/>
            <w:hideMark/>
          </w:tcPr>
          <w:p w14:paraId="09A1949D"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827" w:type="dxa"/>
            <w:gridSpan w:val="2"/>
            <w:noWrap/>
            <w:hideMark/>
          </w:tcPr>
          <w:p w14:paraId="09A1949E"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551" w:type="dxa"/>
            <w:noWrap/>
            <w:hideMark/>
          </w:tcPr>
          <w:p w14:paraId="09A1949F"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051" w:type="dxa"/>
            <w:noWrap/>
            <w:hideMark/>
          </w:tcPr>
          <w:p w14:paraId="09A194A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611" w:type="dxa"/>
            <w:noWrap/>
            <w:hideMark/>
          </w:tcPr>
          <w:p w14:paraId="09A194A1"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740" w:type="dxa"/>
            <w:gridSpan w:val="2"/>
            <w:noWrap/>
            <w:hideMark/>
          </w:tcPr>
          <w:p w14:paraId="09A194A2"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r>
      <w:tr w:rsidR="003D79B3" w:rsidRPr="007C6F2E" w14:paraId="09A194AD"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4A4"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Screen-detected</w:t>
            </w:r>
          </w:p>
        </w:tc>
        <w:tc>
          <w:tcPr>
            <w:tcW w:w="551" w:type="dxa"/>
            <w:noWrap/>
            <w:hideMark/>
          </w:tcPr>
          <w:p w14:paraId="09A194A5"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13</w:t>
            </w:r>
          </w:p>
        </w:tc>
        <w:tc>
          <w:tcPr>
            <w:tcW w:w="1071" w:type="dxa"/>
            <w:noWrap/>
            <w:hideMark/>
          </w:tcPr>
          <w:p w14:paraId="09A194A6"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(9.0)</w:t>
            </w:r>
          </w:p>
        </w:tc>
        <w:tc>
          <w:tcPr>
            <w:tcW w:w="551" w:type="dxa"/>
            <w:noWrap/>
            <w:hideMark/>
          </w:tcPr>
          <w:p w14:paraId="09A194A7"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196</w:t>
            </w:r>
          </w:p>
        </w:tc>
        <w:tc>
          <w:tcPr>
            <w:tcW w:w="827" w:type="dxa"/>
            <w:gridSpan w:val="2"/>
            <w:noWrap/>
            <w:hideMark/>
          </w:tcPr>
          <w:p w14:paraId="09A194A8"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(23.0)</w:t>
            </w:r>
          </w:p>
        </w:tc>
        <w:tc>
          <w:tcPr>
            <w:tcW w:w="551" w:type="dxa"/>
            <w:noWrap/>
            <w:hideMark/>
          </w:tcPr>
          <w:p w14:paraId="09A194A9"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60</w:t>
            </w:r>
          </w:p>
        </w:tc>
        <w:tc>
          <w:tcPr>
            <w:tcW w:w="1051" w:type="dxa"/>
            <w:noWrap/>
            <w:hideMark/>
          </w:tcPr>
          <w:p w14:paraId="09A194AA"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(22.8)</w:t>
            </w:r>
          </w:p>
        </w:tc>
        <w:tc>
          <w:tcPr>
            <w:tcW w:w="611" w:type="dxa"/>
            <w:noWrap/>
            <w:hideMark/>
          </w:tcPr>
          <w:p w14:paraId="09A194AB"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102</w:t>
            </w:r>
          </w:p>
        </w:tc>
        <w:tc>
          <w:tcPr>
            <w:tcW w:w="740" w:type="dxa"/>
            <w:gridSpan w:val="2"/>
            <w:noWrap/>
            <w:hideMark/>
          </w:tcPr>
          <w:p w14:paraId="09A194A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(28.8)</w:t>
            </w:r>
          </w:p>
        </w:tc>
      </w:tr>
      <w:tr w:rsidR="003D79B3" w:rsidRPr="007C6F2E" w14:paraId="09A194B7"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4AE"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Emergency surgery</w:t>
            </w:r>
          </w:p>
        </w:tc>
        <w:tc>
          <w:tcPr>
            <w:tcW w:w="551" w:type="dxa"/>
            <w:noWrap/>
            <w:hideMark/>
          </w:tcPr>
          <w:p w14:paraId="09A194AF"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w:t>
            </w:r>
          </w:p>
        </w:tc>
        <w:tc>
          <w:tcPr>
            <w:tcW w:w="1071" w:type="dxa"/>
            <w:noWrap/>
            <w:hideMark/>
          </w:tcPr>
          <w:p w14:paraId="09A194B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(2.1)</w:t>
            </w:r>
          </w:p>
        </w:tc>
        <w:tc>
          <w:tcPr>
            <w:tcW w:w="551" w:type="dxa"/>
            <w:noWrap/>
            <w:hideMark/>
          </w:tcPr>
          <w:p w14:paraId="09A194B1"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38</w:t>
            </w:r>
          </w:p>
        </w:tc>
        <w:tc>
          <w:tcPr>
            <w:tcW w:w="827" w:type="dxa"/>
            <w:gridSpan w:val="2"/>
            <w:noWrap/>
            <w:hideMark/>
          </w:tcPr>
          <w:p w14:paraId="09A194B2"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(4.5)</w:t>
            </w:r>
          </w:p>
        </w:tc>
        <w:tc>
          <w:tcPr>
            <w:tcW w:w="551" w:type="dxa"/>
            <w:noWrap/>
            <w:hideMark/>
          </w:tcPr>
          <w:p w14:paraId="09A194B3"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10</w:t>
            </w:r>
          </w:p>
        </w:tc>
        <w:tc>
          <w:tcPr>
            <w:tcW w:w="1051" w:type="dxa"/>
            <w:noWrap/>
            <w:hideMark/>
          </w:tcPr>
          <w:p w14:paraId="09A194B4"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(3.8)</w:t>
            </w:r>
          </w:p>
        </w:tc>
        <w:tc>
          <w:tcPr>
            <w:tcW w:w="611" w:type="dxa"/>
            <w:noWrap/>
            <w:hideMark/>
          </w:tcPr>
          <w:p w14:paraId="09A194B5"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11</w:t>
            </w:r>
          </w:p>
        </w:tc>
        <w:tc>
          <w:tcPr>
            <w:tcW w:w="740" w:type="dxa"/>
            <w:gridSpan w:val="2"/>
            <w:noWrap/>
            <w:hideMark/>
          </w:tcPr>
          <w:p w14:paraId="09A194B6"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(3.1)</w:t>
            </w:r>
          </w:p>
        </w:tc>
      </w:tr>
      <w:tr w:rsidR="003D79B3" w:rsidRPr="007C6F2E" w14:paraId="09A194C1"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4B8"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Symptomatic</w:t>
            </w:r>
          </w:p>
        </w:tc>
        <w:tc>
          <w:tcPr>
            <w:tcW w:w="551" w:type="dxa"/>
            <w:noWrap/>
            <w:hideMark/>
          </w:tcPr>
          <w:p w14:paraId="09A194B9"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123</w:t>
            </w:r>
          </w:p>
        </w:tc>
        <w:tc>
          <w:tcPr>
            <w:tcW w:w="1071" w:type="dxa"/>
            <w:noWrap/>
            <w:hideMark/>
          </w:tcPr>
          <w:p w14:paraId="09A194BA"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(84.8)</w:t>
            </w:r>
          </w:p>
        </w:tc>
        <w:tc>
          <w:tcPr>
            <w:tcW w:w="551" w:type="dxa"/>
            <w:noWrap/>
            <w:hideMark/>
          </w:tcPr>
          <w:p w14:paraId="09A194BB"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597</w:t>
            </w:r>
          </w:p>
        </w:tc>
        <w:tc>
          <w:tcPr>
            <w:tcW w:w="827" w:type="dxa"/>
            <w:gridSpan w:val="2"/>
            <w:noWrap/>
            <w:hideMark/>
          </w:tcPr>
          <w:p w14:paraId="09A194B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(70.2)</w:t>
            </w:r>
          </w:p>
        </w:tc>
        <w:tc>
          <w:tcPr>
            <w:tcW w:w="551" w:type="dxa"/>
            <w:noWrap/>
            <w:hideMark/>
          </w:tcPr>
          <w:p w14:paraId="09A194BD"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183</w:t>
            </w:r>
          </w:p>
        </w:tc>
        <w:tc>
          <w:tcPr>
            <w:tcW w:w="1051" w:type="dxa"/>
            <w:noWrap/>
            <w:hideMark/>
          </w:tcPr>
          <w:p w14:paraId="09A194BE"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(69.6)</w:t>
            </w:r>
          </w:p>
        </w:tc>
        <w:tc>
          <w:tcPr>
            <w:tcW w:w="611" w:type="dxa"/>
            <w:noWrap/>
            <w:hideMark/>
          </w:tcPr>
          <w:p w14:paraId="09A194BF"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233</w:t>
            </w:r>
          </w:p>
        </w:tc>
        <w:tc>
          <w:tcPr>
            <w:tcW w:w="740" w:type="dxa"/>
            <w:gridSpan w:val="2"/>
            <w:noWrap/>
            <w:hideMark/>
          </w:tcPr>
          <w:p w14:paraId="09A194C0"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(65.8)</w:t>
            </w:r>
          </w:p>
        </w:tc>
      </w:tr>
      <w:tr w:rsidR="003D79B3" w:rsidRPr="007C6F2E" w14:paraId="09A194CB"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4C2"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Other</w:t>
            </w:r>
          </w:p>
        </w:tc>
        <w:tc>
          <w:tcPr>
            <w:tcW w:w="551" w:type="dxa"/>
            <w:noWrap/>
            <w:hideMark/>
          </w:tcPr>
          <w:p w14:paraId="09A194C3"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w:t>
            </w:r>
          </w:p>
        </w:tc>
        <w:tc>
          <w:tcPr>
            <w:tcW w:w="1071" w:type="dxa"/>
            <w:noWrap/>
            <w:hideMark/>
          </w:tcPr>
          <w:p w14:paraId="09A194C4"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(0.7)</w:t>
            </w:r>
          </w:p>
        </w:tc>
        <w:tc>
          <w:tcPr>
            <w:tcW w:w="551" w:type="dxa"/>
            <w:noWrap/>
            <w:hideMark/>
          </w:tcPr>
          <w:p w14:paraId="09A194C5"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8</w:t>
            </w:r>
          </w:p>
        </w:tc>
        <w:tc>
          <w:tcPr>
            <w:tcW w:w="827" w:type="dxa"/>
            <w:gridSpan w:val="2"/>
            <w:noWrap/>
            <w:hideMark/>
          </w:tcPr>
          <w:p w14:paraId="09A194C6"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(0.9)</w:t>
            </w:r>
          </w:p>
        </w:tc>
        <w:tc>
          <w:tcPr>
            <w:tcW w:w="551" w:type="dxa"/>
            <w:noWrap/>
            <w:hideMark/>
          </w:tcPr>
          <w:p w14:paraId="09A194C7"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4</w:t>
            </w:r>
          </w:p>
        </w:tc>
        <w:tc>
          <w:tcPr>
            <w:tcW w:w="1051" w:type="dxa"/>
            <w:noWrap/>
            <w:hideMark/>
          </w:tcPr>
          <w:p w14:paraId="09A194C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(1.5)</w:t>
            </w:r>
          </w:p>
        </w:tc>
        <w:tc>
          <w:tcPr>
            <w:tcW w:w="611" w:type="dxa"/>
            <w:noWrap/>
            <w:hideMark/>
          </w:tcPr>
          <w:p w14:paraId="09A194C9"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w:t>
            </w:r>
          </w:p>
        </w:tc>
        <w:tc>
          <w:tcPr>
            <w:tcW w:w="740" w:type="dxa"/>
            <w:gridSpan w:val="2"/>
            <w:noWrap/>
            <w:hideMark/>
          </w:tcPr>
          <w:p w14:paraId="09A194CA"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(0.6)</w:t>
            </w:r>
          </w:p>
        </w:tc>
      </w:tr>
      <w:tr w:rsidR="003D79B3" w:rsidRPr="007C6F2E" w14:paraId="09A194D5"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4CC"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Missing</w:t>
            </w:r>
          </w:p>
        </w:tc>
        <w:tc>
          <w:tcPr>
            <w:tcW w:w="551" w:type="dxa"/>
            <w:noWrap/>
            <w:hideMark/>
          </w:tcPr>
          <w:p w14:paraId="09A194CD"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5</w:t>
            </w:r>
          </w:p>
        </w:tc>
        <w:tc>
          <w:tcPr>
            <w:tcW w:w="1071" w:type="dxa"/>
            <w:noWrap/>
            <w:hideMark/>
          </w:tcPr>
          <w:p w14:paraId="09A194CE"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(3.4)</w:t>
            </w:r>
          </w:p>
        </w:tc>
        <w:tc>
          <w:tcPr>
            <w:tcW w:w="551" w:type="dxa"/>
            <w:noWrap/>
            <w:hideMark/>
          </w:tcPr>
          <w:p w14:paraId="09A194CF"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13</w:t>
            </w:r>
          </w:p>
        </w:tc>
        <w:tc>
          <w:tcPr>
            <w:tcW w:w="827" w:type="dxa"/>
            <w:gridSpan w:val="2"/>
            <w:noWrap/>
            <w:hideMark/>
          </w:tcPr>
          <w:p w14:paraId="09A194D0"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(1.4)</w:t>
            </w:r>
          </w:p>
        </w:tc>
        <w:tc>
          <w:tcPr>
            <w:tcW w:w="551" w:type="dxa"/>
            <w:noWrap/>
            <w:hideMark/>
          </w:tcPr>
          <w:p w14:paraId="09A194D1"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6</w:t>
            </w:r>
          </w:p>
        </w:tc>
        <w:tc>
          <w:tcPr>
            <w:tcW w:w="1051" w:type="dxa"/>
            <w:noWrap/>
            <w:hideMark/>
          </w:tcPr>
          <w:p w14:paraId="09A194D2"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(2.3)</w:t>
            </w:r>
          </w:p>
        </w:tc>
        <w:tc>
          <w:tcPr>
            <w:tcW w:w="611" w:type="dxa"/>
            <w:noWrap/>
            <w:hideMark/>
          </w:tcPr>
          <w:p w14:paraId="09A194D3"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6</w:t>
            </w:r>
          </w:p>
        </w:tc>
        <w:tc>
          <w:tcPr>
            <w:tcW w:w="740" w:type="dxa"/>
            <w:gridSpan w:val="2"/>
            <w:noWrap/>
            <w:hideMark/>
          </w:tcPr>
          <w:p w14:paraId="09A194D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(1.7)</w:t>
            </w:r>
          </w:p>
        </w:tc>
      </w:tr>
      <w:tr w:rsidR="003D79B3" w:rsidRPr="007C6F2E" w14:paraId="09A194DF"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4D6" w14:textId="77777777" w:rsidR="003D79B3" w:rsidRPr="007C6F2E" w:rsidRDefault="003D79B3" w:rsidP="00D30A83">
            <w:pPr>
              <w:spacing w:after="0" w:line="480" w:lineRule="auto"/>
              <w:rPr>
                <w:rFonts w:ascii="Calibri" w:eastAsia="Times New Roman" w:hAnsi="Calibri" w:cs="Calibri"/>
                <w:color w:val="000000"/>
                <w:lang w:eastAsia="en-GB"/>
              </w:rPr>
            </w:pPr>
            <w:r w:rsidRPr="007C6F2E">
              <w:rPr>
                <w:rFonts w:ascii="Calibri" w:eastAsia="Times New Roman" w:hAnsi="Calibri" w:cs="Calibri"/>
                <w:color w:val="000000"/>
                <w:lang w:eastAsia="en-GB"/>
              </w:rPr>
              <w:t>Tumour site</w:t>
            </w:r>
          </w:p>
        </w:tc>
        <w:tc>
          <w:tcPr>
            <w:tcW w:w="551" w:type="dxa"/>
            <w:noWrap/>
            <w:hideMark/>
          </w:tcPr>
          <w:p w14:paraId="09A194D7"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p>
        </w:tc>
        <w:tc>
          <w:tcPr>
            <w:tcW w:w="1071" w:type="dxa"/>
            <w:noWrap/>
            <w:hideMark/>
          </w:tcPr>
          <w:p w14:paraId="09A194D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551" w:type="dxa"/>
            <w:noWrap/>
            <w:hideMark/>
          </w:tcPr>
          <w:p w14:paraId="09A194D9"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827" w:type="dxa"/>
            <w:gridSpan w:val="2"/>
            <w:noWrap/>
            <w:hideMark/>
          </w:tcPr>
          <w:p w14:paraId="09A194DA"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551" w:type="dxa"/>
            <w:noWrap/>
            <w:hideMark/>
          </w:tcPr>
          <w:p w14:paraId="09A194DB"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051" w:type="dxa"/>
            <w:noWrap/>
            <w:hideMark/>
          </w:tcPr>
          <w:p w14:paraId="09A194DC"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611" w:type="dxa"/>
            <w:noWrap/>
            <w:hideMark/>
          </w:tcPr>
          <w:p w14:paraId="09A194DD"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740" w:type="dxa"/>
            <w:gridSpan w:val="2"/>
            <w:noWrap/>
            <w:hideMark/>
          </w:tcPr>
          <w:p w14:paraId="09A194DE"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r>
      <w:tr w:rsidR="003D79B3" w:rsidRPr="007C6F2E" w14:paraId="09A194E9"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4E0"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Colon</w:t>
            </w:r>
          </w:p>
        </w:tc>
        <w:tc>
          <w:tcPr>
            <w:tcW w:w="551" w:type="dxa"/>
            <w:noWrap/>
            <w:hideMark/>
          </w:tcPr>
          <w:p w14:paraId="09A194E1"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98</w:t>
            </w:r>
          </w:p>
        </w:tc>
        <w:tc>
          <w:tcPr>
            <w:tcW w:w="1071" w:type="dxa"/>
            <w:noWrap/>
            <w:hideMark/>
          </w:tcPr>
          <w:p w14:paraId="09A194E2"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(67.6)</w:t>
            </w:r>
          </w:p>
        </w:tc>
        <w:tc>
          <w:tcPr>
            <w:tcW w:w="551" w:type="dxa"/>
            <w:noWrap/>
            <w:hideMark/>
          </w:tcPr>
          <w:p w14:paraId="09A194E3"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550</w:t>
            </w:r>
          </w:p>
        </w:tc>
        <w:tc>
          <w:tcPr>
            <w:tcW w:w="827" w:type="dxa"/>
            <w:gridSpan w:val="2"/>
            <w:noWrap/>
            <w:hideMark/>
          </w:tcPr>
          <w:p w14:paraId="09A194E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(64.6)</w:t>
            </w:r>
          </w:p>
        </w:tc>
        <w:tc>
          <w:tcPr>
            <w:tcW w:w="551" w:type="dxa"/>
            <w:noWrap/>
            <w:hideMark/>
          </w:tcPr>
          <w:p w14:paraId="09A194E5"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173</w:t>
            </w:r>
          </w:p>
        </w:tc>
        <w:tc>
          <w:tcPr>
            <w:tcW w:w="1051" w:type="dxa"/>
            <w:noWrap/>
            <w:hideMark/>
          </w:tcPr>
          <w:p w14:paraId="09A194E6"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(65.8)</w:t>
            </w:r>
          </w:p>
        </w:tc>
        <w:tc>
          <w:tcPr>
            <w:tcW w:w="611" w:type="dxa"/>
            <w:noWrap/>
            <w:hideMark/>
          </w:tcPr>
          <w:p w14:paraId="09A194E7"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232</w:t>
            </w:r>
          </w:p>
        </w:tc>
        <w:tc>
          <w:tcPr>
            <w:tcW w:w="740" w:type="dxa"/>
            <w:gridSpan w:val="2"/>
            <w:noWrap/>
            <w:hideMark/>
          </w:tcPr>
          <w:p w14:paraId="09A194E8"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(65.5)</w:t>
            </w:r>
          </w:p>
        </w:tc>
      </w:tr>
      <w:tr w:rsidR="003D79B3" w:rsidRPr="007C6F2E" w14:paraId="09A194F3"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4EA"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Rectal</w:t>
            </w:r>
          </w:p>
        </w:tc>
        <w:tc>
          <w:tcPr>
            <w:tcW w:w="551" w:type="dxa"/>
            <w:noWrap/>
            <w:hideMark/>
          </w:tcPr>
          <w:p w14:paraId="09A194EB"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47</w:t>
            </w:r>
          </w:p>
        </w:tc>
        <w:tc>
          <w:tcPr>
            <w:tcW w:w="1071" w:type="dxa"/>
            <w:noWrap/>
            <w:hideMark/>
          </w:tcPr>
          <w:p w14:paraId="09A194EC"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(32.4)</w:t>
            </w:r>
          </w:p>
        </w:tc>
        <w:tc>
          <w:tcPr>
            <w:tcW w:w="551" w:type="dxa"/>
            <w:noWrap/>
            <w:hideMark/>
          </w:tcPr>
          <w:p w14:paraId="09A194ED"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302</w:t>
            </w:r>
          </w:p>
        </w:tc>
        <w:tc>
          <w:tcPr>
            <w:tcW w:w="827" w:type="dxa"/>
            <w:gridSpan w:val="2"/>
            <w:noWrap/>
            <w:hideMark/>
          </w:tcPr>
          <w:p w14:paraId="09A194EE"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(35.4)</w:t>
            </w:r>
          </w:p>
        </w:tc>
        <w:tc>
          <w:tcPr>
            <w:tcW w:w="551" w:type="dxa"/>
            <w:noWrap/>
            <w:hideMark/>
          </w:tcPr>
          <w:p w14:paraId="09A194EF"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87</w:t>
            </w:r>
          </w:p>
        </w:tc>
        <w:tc>
          <w:tcPr>
            <w:tcW w:w="1051" w:type="dxa"/>
            <w:noWrap/>
            <w:hideMark/>
          </w:tcPr>
          <w:p w14:paraId="09A194F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(33.1)</w:t>
            </w:r>
          </w:p>
        </w:tc>
        <w:tc>
          <w:tcPr>
            <w:tcW w:w="611" w:type="dxa"/>
            <w:noWrap/>
            <w:hideMark/>
          </w:tcPr>
          <w:p w14:paraId="09A194F1"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122</w:t>
            </w:r>
          </w:p>
        </w:tc>
        <w:tc>
          <w:tcPr>
            <w:tcW w:w="740" w:type="dxa"/>
            <w:gridSpan w:val="2"/>
            <w:noWrap/>
            <w:hideMark/>
          </w:tcPr>
          <w:p w14:paraId="09A194F2"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(34.5)</w:t>
            </w:r>
          </w:p>
        </w:tc>
      </w:tr>
      <w:tr w:rsidR="003D79B3" w:rsidRPr="007C6F2E" w14:paraId="09A194FD"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4F4"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Missing</w:t>
            </w:r>
          </w:p>
        </w:tc>
        <w:tc>
          <w:tcPr>
            <w:tcW w:w="551" w:type="dxa"/>
            <w:noWrap/>
            <w:hideMark/>
          </w:tcPr>
          <w:p w14:paraId="09A194F5"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0</w:t>
            </w:r>
          </w:p>
        </w:tc>
        <w:tc>
          <w:tcPr>
            <w:tcW w:w="1071" w:type="dxa"/>
            <w:noWrap/>
            <w:hideMark/>
          </w:tcPr>
          <w:p w14:paraId="09A194F6"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w:t>
            </w:r>
          </w:p>
        </w:tc>
        <w:tc>
          <w:tcPr>
            <w:tcW w:w="551" w:type="dxa"/>
            <w:noWrap/>
            <w:hideMark/>
          </w:tcPr>
          <w:p w14:paraId="09A194F7"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0</w:t>
            </w:r>
          </w:p>
        </w:tc>
        <w:tc>
          <w:tcPr>
            <w:tcW w:w="827" w:type="dxa"/>
            <w:gridSpan w:val="2"/>
            <w:noWrap/>
            <w:hideMark/>
          </w:tcPr>
          <w:p w14:paraId="09A194F8"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w:t>
            </w:r>
          </w:p>
        </w:tc>
        <w:tc>
          <w:tcPr>
            <w:tcW w:w="551" w:type="dxa"/>
            <w:noWrap/>
            <w:hideMark/>
          </w:tcPr>
          <w:p w14:paraId="09A194F9"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w:t>
            </w:r>
          </w:p>
        </w:tc>
        <w:tc>
          <w:tcPr>
            <w:tcW w:w="1051" w:type="dxa"/>
            <w:noWrap/>
            <w:hideMark/>
          </w:tcPr>
          <w:p w14:paraId="09A194FA"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(1.1)</w:t>
            </w:r>
          </w:p>
        </w:tc>
        <w:tc>
          <w:tcPr>
            <w:tcW w:w="611" w:type="dxa"/>
            <w:noWrap/>
            <w:hideMark/>
          </w:tcPr>
          <w:p w14:paraId="09A194FB"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0</w:t>
            </w:r>
          </w:p>
        </w:tc>
        <w:tc>
          <w:tcPr>
            <w:tcW w:w="740" w:type="dxa"/>
            <w:gridSpan w:val="2"/>
            <w:noWrap/>
            <w:hideMark/>
          </w:tcPr>
          <w:p w14:paraId="09A194F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w:t>
            </w:r>
          </w:p>
        </w:tc>
      </w:tr>
      <w:tr w:rsidR="003D79B3" w:rsidRPr="007C6F2E" w14:paraId="09A19507"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4FE" w14:textId="77777777" w:rsidR="003D79B3" w:rsidRPr="007C6F2E" w:rsidRDefault="003D79B3" w:rsidP="00D30A83">
            <w:pPr>
              <w:spacing w:after="0" w:line="480" w:lineRule="auto"/>
              <w:rPr>
                <w:rFonts w:ascii="Calibri" w:eastAsia="Times New Roman" w:hAnsi="Calibri" w:cs="Calibri"/>
                <w:color w:val="000000"/>
                <w:lang w:eastAsia="en-GB"/>
              </w:rPr>
            </w:pPr>
            <w:r w:rsidRPr="007C6F2E">
              <w:rPr>
                <w:rFonts w:ascii="Calibri" w:eastAsia="Times New Roman" w:hAnsi="Calibri" w:cs="Calibri"/>
                <w:color w:val="000000"/>
                <w:lang w:eastAsia="en-GB"/>
              </w:rPr>
              <w:t>Dukes’ stage</w:t>
            </w:r>
          </w:p>
        </w:tc>
        <w:tc>
          <w:tcPr>
            <w:tcW w:w="551" w:type="dxa"/>
            <w:noWrap/>
            <w:hideMark/>
          </w:tcPr>
          <w:p w14:paraId="09A194FF"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p>
        </w:tc>
        <w:tc>
          <w:tcPr>
            <w:tcW w:w="1071" w:type="dxa"/>
            <w:noWrap/>
            <w:hideMark/>
          </w:tcPr>
          <w:p w14:paraId="09A1950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551" w:type="dxa"/>
            <w:noWrap/>
            <w:hideMark/>
          </w:tcPr>
          <w:p w14:paraId="09A19501"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827" w:type="dxa"/>
            <w:gridSpan w:val="2"/>
            <w:noWrap/>
            <w:hideMark/>
          </w:tcPr>
          <w:p w14:paraId="09A19502"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551" w:type="dxa"/>
            <w:noWrap/>
            <w:hideMark/>
          </w:tcPr>
          <w:p w14:paraId="09A19503"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051" w:type="dxa"/>
            <w:noWrap/>
            <w:hideMark/>
          </w:tcPr>
          <w:p w14:paraId="09A19504"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611" w:type="dxa"/>
            <w:noWrap/>
            <w:hideMark/>
          </w:tcPr>
          <w:p w14:paraId="09A19505"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740" w:type="dxa"/>
            <w:gridSpan w:val="2"/>
            <w:noWrap/>
            <w:hideMark/>
          </w:tcPr>
          <w:p w14:paraId="09A19506"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r>
      <w:tr w:rsidR="003D79B3" w:rsidRPr="007C6F2E" w14:paraId="09A19511"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508"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A</w:t>
            </w:r>
          </w:p>
        </w:tc>
        <w:tc>
          <w:tcPr>
            <w:tcW w:w="551" w:type="dxa"/>
            <w:noWrap/>
            <w:hideMark/>
          </w:tcPr>
          <w:p w14:paraId="09A19509"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10</w:t>
            </w:r>
          </w:p>
        </w:tc>
        <w:tc>
          <w:tcPr>
            <w:tcW w:w="1071" w:type="dxa"/>
            <w:noWrap/>
            <w:hideMark/>
          </w:tcPr>
          <w:p w14:paraId="09A1950A"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(6.9)</w:t>
            </w:r>
          </w:p>
        </w:tc>
        <w:tc>
          <w:tcPr>
            <w:tcW w:w="551" w:type="dxa"/>
            <w:noWrap/>
            <w:hideMark/>
          </w:tcPr>
          <w:p w14:paraId="09A1950B"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120</w:t>
            </w:r>
          </w:p>
        </w:tc>
        <w:tc>
          <w:tcPr>
            <w:tcW w:w="827" w:type="dxa"/>
            <w:gridSpan w:val="2"/>
            <w:noWrap/>
            <w:hideMark/>
          </w:tcPr>
          <w:p w14:paraId="09A1950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(14.1)</w:t>
            </w:r>
          </w:p>
        </w:tc>
        <w:tc>
          <w:tcPr>
            <w:tcW w:w="551" w:type="dxa"/>
            <w:noWrap/>
            <w:hideMark/>
          </w:tcPr>
          <w:p w14:paraId="09A1950D"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35</w:t>
            </w:r>
          </w:p>
        </w:tc>
        <w:tc>
          <w:tcPr>
            <w:tcW w:w="1051" w:type="dxa"/>
            <w:noWrap/>
            <w:hideMark/>
          </w:tcPr>
          <w:p w14:paraId="09A1950E"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(13.3)</w:t>
            </w:r>
          </w:p>
        </w:tc>
        <w:tc>
          <w:tcPr>
            <w:tcW w:w="611" w:type="dxa"/>
            <w:noWrap/>
            <w:hideMark/>
          </w:tcPr>
          <w:p w14:paraId="09A1950F"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60</w:t>
            </w:r>
          </w:p>
        </w:tc>
        <w:tc>
          <w:tcPr>
            <w:tcW w:w="740" w:type="dxa"/>
            <w:gridSpan w:val="2"/>
            <w:noWrap/>
            <w:hideMark/>
          </w:tcPr>
          <w:p w14:paraId="09A19510"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(17.0)</w:t>
            </w:r>
          </w:p>
        </w:tc>
      </w:tr>
      <w:tr w:rsidR="003D79B3" w:rsidRPr="007C6F2E" w14:paraId="09A1951B"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512"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lastRenderedPageBreak/>
              <w:t>B</w:t>
            </w:r>
          </w:p>
        </w:tc>
        <w:tc>
          <w:tcPr>
            <w:tcW w:w="551" w:type="dxa"/>
            <w:noWrap/>
            <w:hideMark/>
          </w:tcPr>
          <w:p w14:paraId="09A19513"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78</w:t>
            </w:r>
          </w:p>
        </w:tc>
        <w:tc>
          <w:tcPr>
            <w:tcW w:w="1071" w:type="dxa"/>
            <w:noWrap/>
            <w:hideMark/>
          </w:tcPr>
          <w:p w14:paraId="09A19514"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(53.8)</w:t>
            </w:r>
          </w:p>
        </w:tc>
        <w:tc>
          <w:tcPr>
            <w:tcW w:w="551" w:type="dxa"/>
            <w:noWrap/>
            <w:hideMark/>
          </w:tcPr>
          <w:p w14:paraId="09A19515"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452</w:t>
            </w:r>
          </w:p>
        </w:tc>
        <w:tc>
          <w:tcPr>
            <w:tcW w:w="827" w:type="dxa"/>
            <w:gridSpan w:val="2"/>
            <w:noWrap/>
            <w:hideMark/>
          </w:tcPr>
          <w:p w14:paraId="09A19516"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(53.1)</w:t>
            </w:r>
          </w:p>
        </w:tc>
        <w:tc>
          <w:tcPr>
            <w:tcW w:w="551" w:type="dxa"/>
            <w:noWrap/>
            <w:hideMark/>
          </w:tcPr>
          <w:p w14:paraId="09A19517"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154</w:t>
            </w:r>
          </w:p>
        </w:tc>
        <w:tc>
          <w:tcPr>
            <w:tcW w:w="1051" w:type="dxa"/>
            <w:noWrap/>
            <w:hideMark/>
          </w:tcPr>
          <w:p w14:paraId="09A1951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(58.6)</w:t>
            </w:r>
          </w:p>
        </w:tc>
        <w:tc>
          <w:tcPr>
            <w:tcW w:w="611" w:type="dxa"/>
            <w:noWrap/>
            <w:hideMark/>
          </w:tcPr>
          <w:p w14:paraId="09A19519"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189</w:t>
            </w:r>
          </w:p>
        </w:tc>
        <w:tc>
          <w:tcPr>
            <w:tcW w:w="740" w:type="dxa"/>
            <w:gridSpan w:val="2"/>
            <w:noWrap/>
            <w:hideMark/>
          </w:tcPr>
          <w:p w14:paraId="09A1951A"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(53.4)</w:t>
            </w:r>
          </w:p>
        </w:tc>
      </w:tr>
      <w:tr w:rsidR="003D79B3" w:rsidRPr="007C6F2E" w14:paraId="09A19525"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51C"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C1</w:t>
            </w:r>
          </w:p>
        </w:tc>
        <w:tc>
          <w:tcPr>
            <w:tcW w:w="551" w:type="dxa"/>
            <w:noWrap/>
            <w:hideMark/>
          </w:tcPr>
          <w:p w14:paraId="09A1951D"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36</w:t>
            </w:r>
          </w:p>
        </w:tc>
        <w:tc>
          <w:tcPr>
            <w:tcW w:w="1071" w:type="dxa"/>
            <w:noWrap/>
            <w:hideMark/>
          </w:tcPr>
          <w:p w14:paraId="09A1951E"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(24.8)</w:t>
            </w:r>
          </w:p>
        </w:tc>
        <w:tc>
          <w:tcPr>
            <w:tcW w:w="551" w:type="dxa"/>
            <w:noWrap/>
            <w:hideMark/>
          </w:tcPr>
          <w:p w14:paraId="09A1951F"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170</w:t>
            </w:r>
          </w:p>
        </w:tc>
        <w:tc>
          <w:tcPr>
            <w:tcW w:w="827" w:type="dxa"/>
            <w:gridSpan w:val="2"/>
            <w:noWrap/>
            <w:hideMark/>
          </w:tcPr>
          <w:p w14:paraId="09A19520"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(20.0)</w:t>
            </w:r>
          </w:p>
        </w:tc>
        <w:tc>
          <w:tcPr>
            <w:tcW w:w="551" w:type="dxa"/>
            <w:noWrap/>
            <w:hideMark/>
          </w:tcPr>
          <w:p w14:paraId="09A19521"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52</w:t>
            </w:r>
          </w:p>
        </w:tc>
        <w:tc>
          <w:tcPr>
            <w:tcW w:w="1051" w:type="dxa"/>
            <w:noWrap/>
            <w:hideMark/>
          </w:tcPr>
          <w:p w14:paraId="09A19522"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(19.8)</w:t>
            </w:r>
          </w:p>
        </w:tc>
        <w:tc>
          <w:tcPr>
            <w:tcW w:w="611" w:type="dxa"/>
            <w:noWrap/>
            <w:hideMark/>
          </w:tcPr>
          <w:p w14:paraId="09A19523"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68</w:t>
            </w:r>
          </w:p>
        </w:tc>
        <w:tc>
          <w:tcPr>
            <w:tcW w:w="740" w:type="dxa"/>
            <w:gridSpan w:val="2"/>
            <w:noWrap/>
            <w:hideMark/>
          </w:tcPr>
          <w:p w14:paraId="09A1952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(19.2)</w:t>
            </w:r>
          </w:p>
        </w:tc>
      </w:tr>
      <w:tr w:rsidR="003D79B3" w:rsidRPr="007C6F2E" w14:paraId="09A1952F"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526"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C2</w:t>
            </w:r>
          </w:p>
        </w:tc>
        <w:tc>
          <w:tcPr>
            <w:tcW w:w="551" w:type="dxa"/>
            <w:noWrap/>
            <w:hideMark/>
          </w:tcPr>
          <w:p w14:paraId="09A19527"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21</w:t>
            </w:r>
          </w:p>
        </w:tc>
        <w:tc>
          <w:tcPr>
            <w:tcW w:w="1071" w:type="dxa"/>
            <w:noWrap/>
            <w:hideMark/>
          </w:tcPr>
          <w:p w14:paraId="09A1952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(14.5)</w:t>
            </w:r>
          </w:p>
        </w:tc>
        <w:tc>
          <w:tcPr>
            <w:tcW w:w="551" w:type="dxa"/>
            <w:noWrap/>
            <w:hideMark/>
          </w:tcPr>
          <w:p w14:paraId="09A19529"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99</w:t>
            </w:r>
          </w:p>
        </w:tc>
        <w:tc>
          <w:tcPr>
            <w:tcW w:w="827" w:type="dxa"/>
            <w:gridSpan w:val="2"/>
            <w:noWrap/>
            <w:hideMark/>
          </w:tcPr>
          <w:p w14:paraId="09A1952A"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(11.6)</w:t>
            </w:r>
          </w:p>
        </w:tc>
        <w:tc>
          <w:tcPr>
            <w:tcW w:w="551" w:type="dxa"/>
            <w:noWrap/>
            <w:hideMark/>
          </w:tcPr>
          <w:p w14:paraId="09A1952B"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18</w:t>
            </w:r>
          </w:p>
        </w:tc>
        <w:tc>
          <w:tcPr>
            <w:tcW w:w="1051" w:type="dxa"/>
            <w:noWrap/>
            <w:hideMark/>
          </w:tcPr>
          <w:p w14:paraId="09A1952C"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(6.8)</w:t>
            </w:r>
          </w:p>
        </w:tc>
        <w:tc>
          <w:tcPr>
            <w:tcW w:w="611" w:type="dxa"/>
            <w:noWrap/>
            <w:hideMark/>
          </w:tcPr>
          <w:p w14:paraId="09A1952D"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31</w:t>
            </w:r>
          </w:p>
        </w:tc>
        <w:tc>
          <w:tcPr>
            <w:tcW w:w="740" w:type="dxa"/>
            <w:gridSpan w:val="2"/>
            <w:noWrap/>
            <w:hideMark/>
          </w:tcPr>
          <w:p w14:paraId="09A1952E"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(8.8)</w:t>
            </w:r>
          </w:p>
        </w:tc>
      </w:tr>
      <w:tr w:rsidR="003D79B3" w:rsidRPr="007C6F2E" w14:paraId="09A19539"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530"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Could not be determined</w:t>
            </w:r>
            <w:r w:rsidRPr="007C6F2E">
              <w:rPr>
                <w:rFonts w:ascii="Calibri" w:eastAsia="Times New Roman" w:hAnsi="Calibri" w:cs="Calibri"/>
                <w:color w:val="000000"/>
                <w:lang w:eastAsia="en-GB"/>
              </w:rPr>
              <w:t xml:space="preserve"> </w:t>
            </w:r>
            <w:r w:rsidRPr="007C6F2E">
              <w:rPr>
                <w:rFonts w:ascii="Calibri" w:eastAsia="Times New Roman" w:hAnsi="Calibri" w:cs="Calibri"/>
                <w:color w:val="000000"/>
                <w:vertAlign w:val="superscript"/>
                <w:lang w:eastAsia="en-GB"/>
              </w:rPr>
              <w:t>+</w:t>
            </w:r>
            <w:r w:rsidRPr="007C6F2E">
              <w:rPr>
                <w:rFonts w:ascii="Calibri" w:eastAsia="Times New Roman" w:hAnsi="Calibri" w:cs="Calibri"/>
                <w:color w:val="000000"/>
                <w:lang w:eastAsia="en-GB"/>
              </w:rPr>
              <w:t> </w:t>
            </w:r>
          </w:p>
        </w:tc>
        <w:tc>
          <w:tcPr>
            <w:tcW w:w="551" w:type="dxa"/>
            <w:noWrap/>
            <w:hideMark/>
          </w:tcPr>
          <w:p w14:paraId="09A19531"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0</w:t>
            </w:r>
          </w:p>
        </w:tc>
        <w:tc>
          <w:tcPr>
            <w:tcW w:w="1071" w:type="dxa"/>
            <w:noWrap/>
            <w:hideMark/>
          </w:tcPr>
          <w:p w14:paraId="09A19532"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w:t>
            </w:r>
          </w:p>
        </w:tc>
        <w:tc>
          <w:tcPr>
            <w:tcW w:w="551" w:type="dxa"/>
            <w:noWrap/>
            <w:hideMark/>
          </w:tcPr>
          <w:p w14:paraId="09A19533"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11</w:t>
            </w:r>
          </w:p>
        </w:tc>
        <w:tc>
          <w:tcPr>
            <w:tcW w:w="827" w:type="dxa"/>
            <w:gridSpan w:val="2"/>
            <w:noWrap/>
            <w:hideMark/>
          </w:tcPr>
          <w:p w14:paraId="09A1953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(1.3)</w:t>
            </w:r>
          </w:p>
        </w:tc>
        <w:tc>
          <w:tcPr>
            <w:tcW w:w="551" w:type="dxa"/>
            <w:noWrap/>
            <w:hideMark/>
          </w:tcPr>
          <w:p w14:paraId="09A19535"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4</w:t>
            </w:r>
          </w:p>
        </w:tc>
        <w:tc>
          <w:tcPr>
            <w:tcW w:w="1051" w:type="dxa"/>
            <w:noWrap/>
            <w:hideMark/>
          </w:tcPr>
          <w:p w14:paraId="09A19536"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(1.5)</w:t>
            </w:r>
          </w:p>
        </w:tc>
        <w:tc>
          <w:tcPr>
            <w:tcW w:w="611" w:type="dxa"/>
            <w:noWrap/>
            <w:hideMark/>
          </w:tcPr>
          <w:p w14:paraId="09A19537"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6</w:t>
            </w:r>
          </w:p>
        </w:tc>
        <w:tc>
          <w:tcPr>
            <w:tcW w:w="740" w:type="dxa"/>
            <w:gridSpan w:val="2"/>
            <w:noWrap/>
            <w:hideMark/>
          </w:tcPr>
          <w:p w14:paraId="09A19538"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(1.7)</w:t>
            </w:r>
          </w:p>
        </w:tc>
      </w:tr>
      <w:tr w:rsidR="003D79B3" w:rsidRPr="007C6F2E" w14:paraId="09A19543"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53A" w14:textId="77777777" w:rsidR="003D79B3" w:rsidRPr="007C6F2E" w:rsidRDefault="003D79B3" w:rsidP="00D30A83">
            <w:pPr>
              <w:spacing w:after="0" w:line="480" w:lineRule="auto"/>
              <w:rPr>
                <w:rFonts w:ascii="Calibri" w:eastAsia="Times New Roman" w:hAnsi="Calibri" w:cs="Calibri"/>
                <w:color w:val="000000"/>
                <w:lang w:eastAsia="en-GB"/>
              </w:rPr>
            </w:pPr>
            <w:r w:rsidRPr="007C6F2E">
              <w:rPr>
                <w:rFonts w:ascii="Calibri" w:eastAsia="Times New Roman" w:hAnsi="Calibri" w:cs="Calibri"/>
                <w:color w:val="000000"/>
                <w:lang w:eastAsia="en-GB"/>
              </w:rPr>
              <w:t>Nodal status</w:t>
            </w:r>
          </w:p>
        </w:tc>
        <w:tc>
          <w:tcPr>
            <w:tcW w:w="551" w:type="dxa"/>
            <w:noWrap/>
            <w:hideMark/>
          </w:tcPr>
          <w:p w14:paraId="09A1953B"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p>
        </w:tc>
        <w:tc>
          <w:tcPr>
            <w:tcW w:w="1071" w:type="dxa"/>
            <w:noWrap/>
            <w:hideMark/>
          </w:tcPr>
          <w:p w14:paraId="09A1953C"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551" w:type="dxa"/>
            <w:noWrap/>
            <w:hideMark/>
          </w:tcPr>
          <w:p w14:paraId="09A1953D"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827" w:type="dxa"/>
            <w:gridSpan w:val="2"/>
            <w:noWrap/>
            <w:hideMark/>
          </w:tcPr>
          <w:p w14:paraId="09A1953E"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551" w:type="dxa"/>
            <w:noWrap/>
            <w:hideMark/>
          </w:tcPr>
          <w:p w14:paraId="09A1953F"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051" w:type="dxa"/>
            <w:noWrap/>
            <w:hideMark/>
          </w:tcPr>
          <w:p w14:paraId="09A1954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611" w:type="dxa"/>
            <w:noWrap/>
            <w:hideMark/>
          </w:tcPr>
          <w:p w14:paraId="09A19541"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740" w:type="dxa"/>
            <w:gridSpan w:val="2"/>
            <w:noWrap/>
            <w:hideMark/>
          </w:tcPr>
          <w:p w14:paraId="09A19542"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r>
      <w:tr w:rsidR="003D79B3" w:rsidRPr="007C6F2E" w14:paraId="09A1954D"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544"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N0</w:t>
            </w:r>
          </w:p>
        </w:tc>
        <w:tc>
          <w:tcPr>
            <w:tcW w:w="551" w:type="dxa"/>
            <w:noWrap/>
            <w:hideMark/>
          </w:tcPr>
          <w:p w14:paraId="09A19545"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86</w:t>
            </w:r>
          </w:p>
        </w:tc>
        <w:tc>
          <w:tcPr>
            <w:tcW w:w="1071" w:type="dxa"/>
            <w:noWrap/>
            <w:hideMark/>
          </w:tcPr>
          <w:p w14:paraId="09A19546"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(59.3)</w:t>
            </w:r>
          </w:p>
        </w:tc>
        <w:tc>
          <w:tcPr>
            <w:tcW w:w="551" w:type="dxa"/>
            <w:noWrap/>
            <w:hideMark/>
          </w:tcPr>
          <w:p w14:paraId="09A19547"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536</w:t>
            </w:r>
          </w:p>
        </w:tc>
        <w:tc>
          <w:tcPr>
            <w:tcW w:w="827" w:type="dxa"/>
            <w:gridSpan w:val="2"/>
            <w:noWrap/>
            <w:hideMark/>
          </w:tcPr>
          <w:p w14:paraId="09A19548"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(62.9)</w:t>
            </w:r>
          </w:p>
        </w:tc>
        <w:tc>
          <w:tcPr>
            <w:tcW w:w="551" w:type="dxa"/>
            <w:noWrap/>
            <w:hideMark/>
          </w:tcPr>
          <w:p w14:paraId="09A19549"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171</w:t>
            </w:r>
          </w:p>
        </w:tc>
        <w:tc>
          <w:tcPr>
            <w:tcW w:w="1051" w:type="dxa"/>
            <w:noWrap/>
            <w:hideMark/>
          </w:tcPr>
          <w:p w14:paraId="09A1954A"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(65.0)</w:t>
            </w:r>
          </w:p>
        </w:tc>
        <w:tc>
          <w:tcPr>
            <w:tcW w:w="611" w:type="dxa"/>
            <w:noWrap/>
            <w:hideMark/>
          </w:tcPr>
          <w:p w14:paraId="09A1954B"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238</w:t>
            </w:r>
          </w:p>
        </w:tc>
        <w:tc>
          <w:tcPr>
            <w:tcW w:w="740" w:type="dxa"/>
            <w:gridSpan w:val="2"/>
            <w:noWrap/>
            <w:hideMark/>
          </w:tcPr>
          <w:p w14:paraId="09A1954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(67.2)</w:t>
            </w:r>
          </w:p>
        </w:tc>
      </w:tr>
      <w:tr w:rsidR="003D79B3" w:rsidRPr="007C6F2E" w14:paraId="09A19557"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54E"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N1</w:t>
            </w:r>
          </w:p>
        </w:tc>
        <w:tc>
          <w:tcPr>
            <w:tcW w:w="551" w:type="dxa"/>
            <w:noWrap/>
            <w:hideMark/>
          </w:tcPr>
          <w:p w14:paraId="09A1954F"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35</w:t>
            </w:r>
          </w:p>
        </w:tc>
        <w:tc>
          <w:tcPr>
            <w:tcW w:w="1071" w:type="dxa"/>
            <w:noWrap/>
            <w:hideMark/>
          </w:tcPr>
          <w:p w14:paraId="09A1955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(24.1)</w:t>
            </w:r>
          </w:p>
        </w:tc>
        <w:tc>
          <w:tcPr>
            <w:tcW w:w="551" w:type="dxa"/>
            <w:noWrap/>
            <w:hideMark/>
          </w:tcPr>
          <w:p w14:paraId="09A19551"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167</w:t>
            </w:r>
          </w:p>
        </w:tc>
        <w:tc>
          <w:tcPr>
            <w:tcW w:w="827" w:type="dxa"/>
            <w:gridSpan w:val="2"/>
            <w:noWrap/>
            <w:hideMark/>
          </w:tcPr>
          <w:p w14:paraId="09A19552"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(19.6)</w:t>
            </w:r>
          </w:p>
        </w:tc>
        <w:tc>
          <w:tcPr>
            <w:tcW w:w="551" w:type="dxa"/>
            <w:noWrap/>
            <w:hideMark/>
          </w:tcPr>
          <w:p w14:paraId="09A19553"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46</w:t>
            </w:r>
          </w:p>
        </w:tc>
        <w:tc>
          <w:tcPr>
            <w:tcW w:w="1051" w:type="dxa"/>
            <w:noWrap/>
            <w:hideMark/>
          </w:tcPr>
          <w:p w14:paraId="09A19554"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(17.5)</w:t>
            </w:r>
          </w:p>
        </w:tc>
        <w:tc>
          <w:tcPr>
            <w:tcW w:w="611" w:type="dxa"/>
            <w:noWrap/>
            <w:hideMark/>
          </w:tcPr>
          <w:p w14:paraId="09A19555"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67</w:t>
            </w:r>
          </w:p>
        </w:tc>
        <w:tc>
          <w:tcPr>
            <w:tcW w:w="740" w:type="dxa"/>
            <w:gridSpan w:val="2"/>
            <w:noWrap/>
            <w:hideMark/>
          </w:tcPr>
          <w:p w14:paraId="09A19556"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(18.9)</w:t>
            </w:r>
          </w:p>
        </w:tc>
      </w:tr>
      <w:tr w:rsidR="003D79B3" w:rsidRPr="007C6F2E" w14:paraId="09A19561"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558"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N2</w:t>
            </w:r>
          </w:p>
        </w:tc>
        <w:tc>
          <w:tcPr>
            <w:tcW w:w="551" w:type="dxa"/>
            <w:noWrap/>
            <w:hideMark/>
          </w:tcPr>
          <w:p w14:paraId="09A19559"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19</w:t>
            </w:r>
          </w:p>
        </w:tc>
        <w:tc>
          <w:tcPr>
            <w:tcW w:w="1071" w:type="dxa"/>
            <w:noWrap/>
            <w:hideMark/>
          </w:tcPr>
          <w:p w14:paraId="09A1955A"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(13.1)</w:t>
            </w:r>
          </w:p>
        </w:tc>
        <w:tc>
          <w:tcPr>
            <w:tcW w:w="551" w:type="dxa"/>
            <w:noWrap/>
            <w:hideMark/>
          </w:tcPr>
          <w:p w14:paraId="09A1955B"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98</w:t>
            </w:r>
          </w:p>
        </w:tc>
        <w:tc>
          <w:tcPr>
            <w:tcW w:w="827" w:type="dxa"/>
            <w:gridSpan w:val="2"/>
            <w:noWrap/>
            <w:hideMark/>
          </w:tcPr>
          <w:p w14:paraId="09A1955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(11.5)</w:t>
            </w:r>
          </w:p>
        </w:tc>
        <w:tc>
          <w:tcPr>
            <w:tcW w:w="551" w:type="dxa"/>
            <w:noWrap/>
            <w:hideMark/>
          </w:tcPr>
          <w:p w14:paraId="09A1955D"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23</w:t>
            </w:r>
          </w:p>
        </w:tc>
        <w:tc>
          <w:tcPr>
            <w:tcW w:w="1051" w:type="dxa"/>
            <w:noWrap/>
            <w:hideMark/>
          </w:tcPr>
          <w:p w14:paraId="09A1955E"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(8.8)</w:t>
            </w:r>
          </w:p>
        </w:tc>
        <w:tc>
          <w:tcPr>
            <w:tcW w:w="611" w:type="dxa"/>
            <w:noWrap/>
            <w:hideMark/>
          </w:tcPr>
          <w:p w14:paraId="09A1955F"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32</w:t>
            </w:r>
          </w:p>
        </w:tc>
        <w:tc>
          <w:tcPr>
            <w:tcW w:w="740" w:type="dxa"/>
            <w:gridSpan w:val="2"/>
            <w:noWrap/>
            <w:hideMark/>
          </w:tcPr>
          <w:p w14:paraId="09A19560"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(9.0)</w:t>
            </w:r>
          </w:p>
        </w:tc>
      </w:tr>
      <w:tr w:rsidR="003D79B3" w:rsidRPr="007C6F2E" w14:paraId="09A1956B"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562"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Missing</w:t>
            </w:r>
          </w:p>
        </w:tc>
        <w:tc>
          <w:tcPr>
            <w:tcW w:w="551" w:type="dxa"/>
            <w:noWrap/>
            <w:hideMark/>
          </w:tcPr>
          <w:p w14:paraId="09A19563"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5</w:t>
            </w:r>
          </w:p>
        </w:tc>
        <w:tc>
          <w:tcPr>
            <w:tcW w:w="1071" w:type="dxa"/>
            <w:noWrap/>
            <w:hideMark/>
          </w:tcPr>
          <w:p w14:paraId="09A19564"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(3.4)</w:t>
            </w:r>
          </w:p>
        </w:tc>
        <w:tc>
          <w:tcPr>
            <w:tcW w:w="551" w:type="dxa"/>
            <w:noWrap/>
            <w:hideMark/>
          </w:tcPr>
          <w:p w14:paraId="09A19565"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51</w:t>
            </w:r>
          </w:p>
        </w:tc>
        <w:tc>
          <w:tcPr>
            <w:tcW w:w="827" w:type="dxa"/>
            <w:gridSpan w:val="2"/>
            <w:noWrap/>
            <w:hideMark/>
          </w:tcPr>
          <w:p w14:paraId="09A19566"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(6.0)</w:t>
            </w:r>
          </w:p>
        </w:tc>
        <w:tc>
          <w:tcPr>
            <w:tcW w:w="551" w:type="dxa"/>
            <w:noWrap/>
            <w:hideMark/>
          </w:tcPr>
          <w:p w14:paraId="09A19567"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23</w:t>
            </w:r>
          </w:p>
        </w:tc>
        <w:tc>
          <w:tcPr>
            <w:tcW w:w="1051" w:type="dxa"/>
            <w:noWrap/>
            <w:hideMark/>
          </w:tcPr>
          <w:p w14:paraId="09A1956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(8.7)</w:t>
            </w:r>
          </w:p>
        </w:tc>
        <w:tc>
          <w:tcPr>
            <w:tcW w:w="611" w:type="dxa"/>
            <w:noWrap/>
            <w:hideMark/>
          </w:tcPr>
          <w:p w14:paraId="09A19569"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17</w:t>
            </w:r>
          </w:p>
        </w:tc>
        <w:tc>
          <w:tcPr>
            <w:tcW w:w="740" w:type="dxa"/>
            <w:gridSpan w:val="2"/>
            <w:noWrap/>
            <w:hideMark/>
          </w:tcPr>
          <w:p w14:paraId="09A1956A"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(4.8)</w:t>
            </w:r>
          </w:p>
        </w:tc>
      </w:tr>
      <w:tr w:rsidR="003D79B3" w:rsidRPr="007C6F2E" w14:paraId="09A19575"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56C" w14:textId="77777777" w:rsidR="003D79B3" w:rsidRPr="007C6F2E" w:rsidRDefault="003D79B3" w:rsidP="00D30A83">
            <w:pPr>
              <w:spacing w:after="0" w:line="480" w:lineRule="auto"/>
              <w:rPr>
                <w:rFonts w:ascii="Calibri" w:eastAsia="Times New Roman" w:hAnsi="Calibri" w:cs="Calibri"/>
                <w:color w:val="000000"/>
                <w:lang w:eastAsia="en-GB"/>
              </w:rPr>
            </w:pPr>
            <w:r w:rsidRPr="007C6F2E">
              <w:rPr>
                <w:rFonts w:ascii="Calibri" w:eastAsia="Times New Roman" w:hAnsi="Calibri" w:cs="Calibri"/>
                <w:color w:val="000000"/>
                <w:lang w:eastAsia="en-GB"/>
              </w:rPr>
              <w:t>Extramural vascular invasion</w:t>
            </w:r>
          </w:p>
        </w:tc>
        <w:tc>
          <w:tcPr>
            <w:tcW w:w="551" w:type="dxa"/>
            <w:noWrap/>
            <w:hideMark/>
          </w:tcPr>
          <w:p w14:paraId="09A1956D"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p>
        </w:tc>
        <w:tc>
          <w:tcPr>
            <w:tcW w:w="1071" w:type="dxa"/>
            <w:noWrap/>
            <w:hideMark/>
          </w:tcPr>
          <w:p w14:paraId="09A1956E"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551" w:type="dxa"/>
            <w:noWrap/>
            <w:hideMark/>
          </w:tcPr>
          <w:p w14:paraId="09A1956F"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827" w:type="dxa"/>
            <w:gridSpan w:val="2"/>
            <w:noWrap/>
            <w:hideMark/>
          </w:tcPr>
          <w:p w14:paraId="09A19570"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551" w:type="dxa"/>
            <w:noWrap/>
            <w:hideMark/>
          </w:tcPr>
          <w:p w14:paraId="09A19571"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051" w:type="dxa"/>
            <w:noWrap/>
            <w:hideMark/>
          </w:tcPr>
          <w:p w14:paraId="09A19572"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611" w:type="dxa"/>
            <w:noWrap/>
            <w:hideMark/>
          </w:tcPr>
          <w:p w14:paraId="09A19573"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740" w:type="dxa"/>
            <w:gridSpan w:val="2"/>
            <w:noWrap/>
            <w:hideMark/>
          </w:tcPr>
          <w:p w14:paraId="09A1957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3D79B3" w:rsidRPr="007C6F2E" w14:paraId="09A1957F"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576"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No</w:t>
            </w:r>
          </w:p>
        </w:tc>
        <w:tc>
          <w:tcPr>
            <w:tcW w:w="551" w:type="dxa"/>
            <w:noWrap/>
            <w:hideMark/>
          </w:tcPr>
          <w:p w14:paraId="09A19577"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91</w:t>
            </w:r>
          </w:p>
        </w:tc>
        <w:tc>
          <w:tcPr>
            <w:tcW w:w="1071" w:type="dxa"/>
            <w:noWrap/>
            <w:hideMark/>
          </w:tcPr>
          <w:p w14:paraId="09A1957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(62.8)</w:t>
            </w:r>
          </w:p>
        </w:tc>
        <w:tc>
          <w:tcPr>
            <w:tcW w:w="551" w:type="dxa"/>
            <w:noWrap/>
            <w:hideMark/>
          </w:tcPr>
          <w:p w14:paraId="09A19579"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618</w:t>
            </w:r>
          </w:p>
        </w:tc>
        <w:tc>
          <w:tcPr>
            <w:tcW w:w="827" w:type="dxa"/>
            <w:gridSpan w:val="2"/>
            <w:noWrap/>
            <w:hideMark/>
          </w:tcPr>
          <w:p w14:paraId="09A1957A"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(72.5)</w:t>
            </w:r>
          </w:p>
        </w:tc>
        <w:tc>
          <w:tcPr>
            <w:tcW w:w="551" w:type="dxa"/>
            <w:noWrap/>
            <w:hideMark/>
          </w:tcPr>
          <w:p w14:paraId="09A1957B"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196</w:t>
            </w:r>
          </w:p>
        </w:tc>
        <w:tc>
          <w:tcPr>
            <w:tcW w:w="1051" w:type="dxa"/>
            <w:noWrap/>
            <w:hideMark/>
          </w:tcPr>
          <w:p w14:paraId="09A1957C"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(74.5)</w:t>
            </w:r>
          </w:p>
        </w:tc>
        <w:tc>
          <w:tcPr>
            <w:tcW w:w="611" w:type="dxa"/>
            <w:noWrap/>
            <w:hideMark/>
          </w:tcPr>
          <w:p w14:paraId="09A1957D"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272</w:t>
            </w:r>
          </w:p>
        </w:tc>
        <w:tc>
          <w:tcPr>
            <w:tcW w:w="740" w:type="dxa"/>
            <w:gridSpan w:val="2"/>
            <w:noWrap/>
            <w:hideMark/>
          </w:tcPr>
          <w:p w14:paraId="09A1957E"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(76.8)</w:t>
            </w:r>
          </w:p>
        </w:tc>
      </w:tr>
      <w:tr w:rsidR="003D79B3" w:rsidRPr="007C6F2E" w14:paraId="09A19589"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580"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Yes</w:t>
            </w:r>
          </w:p>
        </w:tc>
        <w:tc>
          <w:tcPr>
            <w:tcW w:w="551" w:type="dxa"/>
            <w:noWrap/>
            <w:hideMark/>
          </w:tcPr>
          <w:p w14:paraId="09A19581"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44</w:t>
            </w:r>
          </w:p>
        </w:tc>
        <w:tc>
          <w:tcPr>
            <w:tcW w:w="1071" w:type="dxa"/>
            <w:noWrap/>
            <w:hideMark/>
          </w:tcPr>
          <w:p w14:paraId="09A19582"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(30.3)</w:t>
            </w:r>
          </w:p>
        </w:tc>
        <w:tc>
          <w:tcPr>
            <w:tcW w:w="551" w:type="dxa"/>
            <w:noWrap/>
            <w:hideMark/>
          </w:tcPr>
          <w:p w14:paraId="09A19583"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191</w:t>
            </w:r>
          </w:p>
        </w:tc>
        <w:tc>
          <w:tcPr>
            <w:tcW w:w="827" w:type="dxa"/>
            <w:gridSpan w:val="2"/>
            <w:noWrap/>
            <w:hideMark/>
          </w:tcPr>
          <w:p w14:paraId="09A1958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(22.4)</w:t>
            </w:r>
          </w:p>
        </w:tc>
        <w:tc>
          <w:tcPr>
            <w:tcW w:w="551" w:type="dxa"/>
            <w:noWrap/>
            <w:hideMark/>
          </w:tcPr>
          <w:p w14:paraId="09A19585"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48</w:t>
            </w:r>
          </w:p>
        </w:tc>
        <w:tc>
          <w:tcPr>
            <w:tcW w:w="1051" w:type="dxa"/>
            <w:noWrap/>
            <w:hideMark/>
          </w:tcPr>
          <w:p w14:paraId="09A19586"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(18.3)</w:t>
            </w:r>
          </w:p>
        </w:tc>
        <w:tc>
          <w:tcPr>
            <w:tcW w:w="611" w:type="dxa"/>
            <w:noWrap/>
            <w:hideMark/>
          </w:tcPr>
          <w:p w14:paraId="09A19587"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64</w:t>
            </w:r>
          </w:p>
        </w:tc>
        <w:tc>
          <w:tcPr>
            <w:tcW w:w="740" w:type="dxa"/>
            <w:gridSpan w:val="2"/>
            <w:noWrap/>
            <w:hideMark/>
          </w:tcPr>
          <w:p w14:paraId="09A19588"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(18.1)</w:t>
            </w:r>
          </w:p>
        </w:tc>
      </w:tr>
      <w:tr w:rsidR="003D79B3" w:rsidRPr="007C6F2E" w14:paraId="09A19593"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58A"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Missing</w:t>
            </w:r>
          </w:p>
        </w:tc>
        <w:tc>
          <w:tcPr>
            <w:tcW w:w="551" w:type="dxa"/>
            <w:noWrap/>
            <w:hideMark/>
          </w:tcPr>
          <w:p w14:paraId="09A1958B"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10</w:t>
            </w:r>
          </w:p>
        </w:tc>
        <w:tc>
          <w:tcPr>
            <w:tcW w:w="1071" w:type="dxa"/>
            <w:noWrap/>
            <w:hideMark/>
          </w:tcPr>
          <w:p w14:paraId="09A1958C"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(6.9)</w:t>
            </w:r>
          </w:p>
        </w:tc>
        <w:tc>
          <w:tcPr>
            <w:tcW w:w="551" w:type="dxa"/>
            <w:noWrap/>
            <w:hideMark/>
          </w:tcPr>
          <w:p w14:paraId="09A1958D"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43</w:t>
            </w:r>
          </w:p>
        </w:tc>
        <w:tc>
          <w:tcPr>
            <w:tcW w:w="827" w:type="dxa"/>
            <w:gridSpan w:val="2"/>
            <w:noWrap/>
            <w:hideMark/>
          </w:tcPr>
          <w:p w14:paraId="09A1958E"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(5.0)</w:t>
            </w:r>
          </w:p>
        </w:tc>
        <w:tc>
          <w:tcPr>
            <w:tcW w:w="551" w:type="dxa"/>
            <w:noWrap/>
            <w:hideMark/>
          </w:tcPr>
          <w:p w14:paraId="09A1958F"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19</w:t>
            </w:r>
          </w:p>
        </w:tc>
        <w:tc>
          <w:tcPr>
            <w:tcW w:w="1051" w:type="dxa"/>
            <w:noWrap/>
            <w:hideMark/>
          </w:tcPr>
          <w:p w14:paraId="09A1959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(7.2)</w:t>
            </w:r>
          </w:p>
        </w:tc>
        <w:tc>
          <w:tcPr>
            <w:tcW w:w="611" w:type="dxa"/>
            <w:noWrap/>
            <w:hideMark/>
          </w:tcPr>
          <w:p w14:paraId="09A19591"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18</w:t>
            </w:r>
          </w:p>
        </w:tc>
        <w:tc>
          <w:tcPr>
            <w:tcW w:w="740" w:type="dxa"/>
            <w:gridSpan w:val="2"/>
            <w:noWrap/>
            <w:hideMark/>
          </w:tcPr>
          <w:p w14:paraId="09A19592"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(5.1)</w:t>
            </w:r>
          </w:p>
        </w:tc>
      </w:tr>
      <w:tr w:rsidR="003D79B3" w:rsidRPr="007C6F2E" w14:paraId="09A1959D" w14:textId="77777777" w:rsidTr="00D30A83">
        <w:trPr>
          <w:trHeight w:val="10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594" w14:textId="77777777" w:rsidR="003D79B3" w:rsidRPr="007C6F2E" w:rsidRDefault="003D79B3" w:rsidP="00D30A83">
            <w:pPr>
              <w:spacing w:after="0" w:line="480" w:lineRule="auto"/>
              <w:rPr>
                <w:rFonts w:ascii="Calibri" w:eastAsia="Times New Roman" w:hAnsi="Calibri" w:cs="Calibri"/>
                <w:color w:val="000000"/>
                <w:lang w:eastAsia="en-GB"/>
              </w:rPr>
            </w:pPr>
            <w:r w:rsidRPr="007C6F2E">
              <w:rPr>
                <w:rFonts w:ascii="Calibri" w:eastAsia="Times New Roman" w:hAnsi="Calibri" w:cs="Calibri"/>
                <w:color w:val="000000"/>
                <w:lang w:eastAsia="en-GB"/>
              </w:rPr>
              <w:t>Primary surgery type</w:t>
            </w:r>
          </w:p>
        </w:tc>
        <w:tc>
          <w:tcPr>
            <w:tcW w:w="551" w:type="dxa"/>
            <w:noWrap/>
            <w:hideMark/>
          </w:tcPr>
          <w:p w14:paraId="09A19595"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p>
        </w:tc>
        <w:tc>
          <w:tcPr>
            <w:tcW w:w="1071" w:type="dxa"/>
            <w:noWrap/>
            <w:hideMark/>
          </w:tcPr>
          <w:p w14:paraId="09A19596"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551" w:type="dxa"/>
            <w:noWrap/>
            <w:hideMark/>
          </w:tcPr>
          <w:p w14:paraId="09A19597"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827" w:type="dxa"/>
            <w:gridSpan w:val="2"/>
            <w:noWrap/>
            <w:hideMark/>
          </w:tcPr>
          <w:p w14:paraId="09A19598"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551" w:type="dxa"/>
            <w:noWrap/>
            <w:hideMark/>
          </w:tcPr>
          <w:p w14:paraId="09A19599"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051" w:type="dxa"/>
            <w:noWrap/>
            <w:hideMark/>
          </w:tcPr>
          <w:p w14:paraId="09A1959A"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611" w:type="dxa"/>
            <w:noWrap/>
            <w:hideMark/>
          </w:tcPr>
          <w:p w14:paraId="09A1959B"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740" w:type="dxa"/>
            <w:gridSpan w:val="2"/>
            <w:noWrap/>
            <w:hideMark/>
          </w:tcPr>
          <w:p w14:paraId="09A1959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3D79B3" w:rsidRPr="007C6F2E" w14:paraId="09A195A7"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59E"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Laparoscopic</w:t>
            </w:r>
          </w:p>
        </w:tc>
        <w:tc>
          <w:tcPr>
            <w:tcW w:w="551" w:type="dxa"/>
            <w:noWrap/>
            <w:hideMark/>
          </w:tcPr>
          <w:p w14:paraId="09A1959F"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77</w:t>
            </w:r>
          </w:p>
        </w:tc>
        <w:tc>
          <w:tcPr>
            <w:tcW w:w="1071" w:type="dxa"/>
            <w:noWrap/>
            <w:hideMark/>
          </w:tcPr>
          <w:p w14:paraId="09A195A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(53.1)</w:t>
            </w:r>
          </w:p>
        </w:tc>
        <w:tc>
          <w:tcPr>
            <w:tcW w:w="551" w:type="dxa"/>
            <w:noWrap/>
            <w:hideMark/>
          </w:tcPr>
          <w:p w14:paraId="09A195A1"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468</w:t>
            </w:r>
          </w:p>
        </w:tc>
        <w:tc>
          <w:tcPr>
            <w:tcW w:w="827" w:type="dxa"/>
            <w:gridSpan w:val="2"/>
            <w:noWrap/>
            <w:hideMark/>
          </w:tcPr>
          <w:p w14:paraId="09A195A2"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(54.8)</w:t>
            </w:r>
          </w:p>
        </w:tc>
        <w:tc>
          <w:tcPr>
            <w:tcW w:w="551" w:type="dxa"/>
            <w:noWrap/>
            <w:hideMark/>
          </w:tcPr>
          <w:p w14:paraId="09A195A3"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150</w:t>
            </w:r>
          </w:p>
        </w:tc>
        <w:tc>
          <w:tcPr>
            <w:tcW w:w="1051" w:type="dxa"/>
            <w:noWrap/>
            <w:hideMark/>
          </w:tcPr>
          <w:p w14:paraId="09A195A4"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(57.0)</w:t>
            </w:r>
          </w:p>
        </w:tc>
        <w:tc>
          <w:tcPr>
            <w:tcW w:w="611" w:type="dxa"/>
            <w:noWrap/>
            <w:hideMark/>
          </w:tcPr>
          <w:p w14:paraId="09A195A5"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199</w:t>
            </w:r>
          </w:p>
        </w:tc>
        <w:tc>
          <w:tcPr>
            <w:tcW w:w="740" w:type="dxa"/>
            <w:gridSpan w:val="2"/>
            <w:noWrap/>
            <w:hideMark/>
          </w:tcPr>
          <w:p w14:paraId="09A195A6"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(56.2)</w:t>
            </w:r>
          </w:p>
        </w:tc>
      </w:tr>
      <w:tr w:rsidR="003D79B3" w:rsidRPr="007C6F2E" w14:paraId="09A195B1"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5A8"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Open surgery</w:t>
            </w:r>
          </w:p>
        </w:tc>
        <w:tc>
          <w:tcPr>
            <w:tcW w:w="551" w:type="dxa"/>
            <w:noWrap/>
            <w:hideMark/>
          </w:tcPr>
          <w:p w14:paraId="09A195A9"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60</w:t>
            </w:r>
          </w:p>
        </w:tc>
        <w:tc>
          <w:tcPr>
            <w:tcW w:w="1071" w:type="dxa"/>
            <w:noWrap/>
            <w:hideMark/>
          </w:tcPr>
          <w:p w14:paraId="09A195AA"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(41.4)</w:t>
            </w:r>
          </w:p>
        </w:tc>
        <w:tc>
          <w:tcPr>
            <w:tcW w:w="551" w:type="dxa"/>
            <w:noWrap/>
            <w:hideMark/>
          </w:tcPr>
          <w:p w14:paraId="09A195AB"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341</w:t>
            </w:r>
          </w:p>
        </w:tc>
        <w:tc>
          <w:tcPr>
            <w:tcW w:w="827" w:type="dxa"/>
            <w:gridSpan w:val="2"/>
            <w:noWrap/>
            <w:hideMark/>
          </w:tcPr>
          <w:p w14:paraId="09A195A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(40.1)</w:t>
            </w:r>
          </w:p>
        </w:tc>
        <w:tc>
          <w:tcPr>
            <w:tcW w:w="551" w:type="dxa"/>
            <w:noWrap/>
            <w:hideMark/>
          </w:tcPr>
          <w:p w14:paraId="09A195AD"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100</w:t>
            </w:r>
          </w:p>
        </w:tc>
        <w:tc>
          <w:tcPr>
            <w:tcW w:w="1051" w:type="dxa"/>
            <w:noWrap/>
            <w:hideMark/>
          </w:tcPr>
          <w:p w14:paraId="09A195AE"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(38.0)</w:t>
            </w:r>
          </w:p>
        </w:tc>
        <w:tc>
          <w:tcPr>
            <w:tcW w:w="611" w:type="dxa"/>
            <w:noWrap/>
            <w:hideMark/>
          </w:tcPr>
          <w:p w14:paraId="09A195AF"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136</w:t>
            </w:r>
          </w:p>
        </w:tc>
        <w:tc>
          <w:tcPr>
            <w:tcW w:w="740" w:type="dxa"/>
            <w:gridSpan w:val="2"/>
            <w:noWrap/>
            <w:hideMark/>
          </w:tcPr>
          <w:p w14:paraId="09A195B0"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(38.4)</w:t>
            </w:r>
          </w:p>
        </w:tc>
      </w:tr>
      <w:tr w:rsidR="003D79B3" w:rsidRPr="007C6F2E" w14:paraId="09A195BB"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5B2"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Missing</w:t>
            </w:r>
          </w:p>
        </w:tc>
        <w:tc>
          <w:tcPr>
            <w:tcW w:w="551" w:type="dxa"/>
            <w:noWrap/>
            <w:hideMark/>
          </w:tcPr>
          <w:p w14:paraId="09A195B3"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8</w:t>
            </w:r>
          </w:p>
        </w:tc>
        <w:tc>
          <w:tcPr>
            <w:tcW w:w="1071" w:type="dxa"/>
            <w:noWrap/>
            <w:hideMark/>
          </w:tcPr>
          <w:p w14:paraId="09A195B4"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(5.5)</w:t>
            </w:r>
          </w:p>
        </w:tc>
        <w:tc>
          <w:tcPr>
            <w:tcW w:w="551" w:type="dxa"/>
            <w:noWrap/>
            <w:hideMark/>
          </w:tcPr>
          <w:p w14:paraId="09A195B5"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43</w:t>
            </w:r>
          </w:p>
        </w:tc>
        <w:tc>
          <w:tcPr>
            <w:tcW w:w="827" w:type="dxa"/>
            <w:gridSpan w:val="2"/>
            <w:noWrap/>
            <w:hideMark/>
          </w:tcPr>
          <w:p w14:paraId="09A195B6"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(5.0)</w:t>
            </w:r>
          </w:p>
        </w:tc>
        <w:tc>
          <w:tcPr>
            <w:tcW w:w="551" w:type="dxa"/>
            <w:noWrap/>
            <w:hideMark/>
          </w:tcPr>
          <w:p w14:paraId="09A195B7"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13</w:t>
            </w:r>
          </w:p>
        </w:tc>
        <w:tc>
          <w:tcPr>
            <w:tcW w:w="1051" w:type="dxa"/>
            <w:noWrap/>
            <w:hideMark/>
          </w:tcPr>
          <w:p w14:paraId="09A195B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(4.9)</w:t>
            </w:r>
          </w:p>
        </w:tc>
        <w:tc>
          <w:tcPr>
            <w:tcW w:w="611" w:type="dxa"/>
            <w:noWrap/>
            <w:hideMark/>
          </w:tcPr>
          <w:p w14:paraId="09A195B9"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19</w:t>
            </w:r>
          </w:p>
        </w:tc>
        <w:tc>
          <w:tcPr>
            <w:tcW w:w="740" w:type="dxa"/>
            <w:gridSpan w:val="2"/>
            <w:noWrap/>
            <w:hideMark/>
          </w:tcPr>
          <w:p w14:paraId="09A195BA"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(5.4)</w:t>
            </w:r>
          </w:p>
        </w:tc>
      </w:tr>
      <w:tr w:rsidR="003D79B3" w:rsidRPr="007C6F2E" w14:paraId="09A195C5"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5BC" w14:textId="77777777" w:rsidR="003D79B3" w:rsidRPr="007C6F2E" w:rsidRDefault="003D79B3" w:rsidP="00D30A83">
            <w:pPr>
              <w:spacing w:after="0" w:line="480" w:lineRule="auto"/>
              <w:rPr>
                <w:rFonts w:ascii="Calibri" w:eastAsia="Times New Roman" w:hAnsi="Calibri" w:cs="Calibri"/>
                <w:color w:val="000000"/>
                <w:lang w:eastAsia="en-GB"/>
              </w:rPr>
            </w:pPr>
            <w:r w:rsidRPr="007C6F2E">
              <w:rPr>
                <w:rFonts w:ascii="Calibri" w:eastAsia="Times New Roman" w:hAnsi="Calibri" w:cs="Calibri"/>
                <w:color w:val="000000"/>
                <w:lang w:eastAsia="en-GB"/>
              </w:rPr>
              <w:t>Primary surgical resection</w:t>
            </w:r>
          </w:p>
        </w:tc>
        <w:tc>
          <w:tcPr>
            <w:tcW w:w="551" w:type="dxa"/>
            <w:noWrap/>
            <w:hideMark/>
          </w:tcPr>
          <w:p w14:paraId="09A195BD"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p>
        </w:tc>
        <w:tc>
          <w:tcPr>
            <w:tcW w:w="1071" w:type="dxa"/>
            <w:noWrap/>
            <w:hideMark/>
          </w:tcPr>
          <w:p w14:paraId="09A195BE"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551" w:type="dxa"/>
            <w:noWrap/>
            <w:hideMark/>
          </w:tcPr>
          <w:p w14:paraId="09A195BF"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827" w:type="dxa"/>
            <w:gridSpan w:val="2"/>
            <w:noWrap/>
            <w:hideMark/>
          </w:tcPr>
          <w:p w14:paraId="09A195C0"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551" w:type="dxa"/>
            <w:noWrap/>
            <w:hideMark/>
          </w:tcPr>
          <w:p w14:paraId="09A195C1"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051" w:type="dxa"/>
            <w:noWrap/>
            <w:hideMark/>
          </w:tcPr>
          <w:p w14:paraId="09A195C2"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611" w:type="dxa"/>
            <w:noWrap/>
            <w:hideMark/>
          </w:tcPr>
          <w:p w14:paraId="09A195C3"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740" w:type="dxa"/>
            <w:gridSpan w:val="2"/>
            <w:noWrap/>
            <w:hideMark/>
          </w:tcPr>
          <w:p w14:paraId="09A195C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3D79B3" w:rsidRPr="007C6F2E" w14:paraId="09A195CF"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5C6"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R0 (complete)</w:t>
            </w:r>
          </w:p>
        </w:tc>
        <w:tc>
          <w:tcPr>
            <w:tcW w:w="551" w:type="dxa"/>
            <w:noWrap/>
            <w:hideMark/>
          </w:tcPr>
          <w:p w14:paraId="09A195C7"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125</w:t>
            </w:r>
          </w:p>
        </w:tc>
        <w:tc>
          <w:tcPr>
            <w:tcW w:w="1071" w:type="dxa"/>
            <w:noWrap/>
            <w:hideMark/>
          </w:tcPr>
          <w:p w14:paraId="09A195C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(86.2)</w:t>
            </w:r>
          </w:p>
        </w:tc>
        <w:tc>
          <w:tcPr>
            <w:tcW w:w="551" w:type="dxa"/>
            <w:noWrap/>
            <w:hideMark/>
          </w:tcPr>
          <w:p w14:paraId="09A195C9"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739</w:t>
            </w:r>
          </w:p>
        </w:tc>
        <w:tc>
          <w:tcPr>
            <w:tcW w:w="827" w:type="dxa"/>
            <w:gridSpan w:val="2"/>
            <w:noWrap/>
            <w:hideMark/>
          </w:tcPr>
          <w:p w14:paraId="09A195CA"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(86.7)</w:t>
            </w:r>
          </w:p>
        </w:tc>
        <w:tc>
          <w:tcPr>
            <w:tcW w:w="551" w:type="dxa"/>
            <w:noWrap/>
            <w:hideMark/>
          </w:tcPr>
          <w:p w14:paraId="09A195CB"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233</w:t>
            </w:r>
          </w:p>
        </w:tc>
        <w:tc>
          <w:tcPr>
            <w:tcW w:w="1051" w:type="dxa"/>
            <w:noWrap/>
            <w:hideMark/>
          </w:tcPr>
          <w:p w14:paraId="09A195CC"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(88.6)</w:t>
            </w:r>
          </w:p>
        </w:tc>
        <w:tc>
          <w:tcPr>
            <w:tcW w:w="611" w:type="dxa"/>
            <w:noWrap/>
            <w:hideMark/>
          </w:tcPr>
          <w:p w14:paraId="09A195CD"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311</w:t>
            </w:r>
          </w:p>
        </w:tc>
        <w:tc>
          <w:tcPr>
            <w:tcW w:w="740" w:type="dxa"/>
            <w:gridSpan w:val="2"/>
            <w:noWrap/>
            <w:hideMark/>
          </w:tcPr>
          <w:p w14:paraId="09A195CE"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(87.9)</w:t>
            </w:r>
          </w:p>
        </w:tc>
      </w:tr>
      <w:tr w:rsidR="003D79B3" w:rsidRPr="007C6F2E" w14:paraId="09A195D9"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5D0"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R1 (microscopic residual tumour)</w:t>
            </w:r>
          </w:p>
        </w:tc>
        <w:tc>
          <w:tcPr>
            <w:tcW w:w="551" w:type="dxa"/>
            <w:noWrap/>
            <w:hideMark/>
          </w:tcPr>
          <w:p w14:paraId="09A195D1"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11</w:t>
            </w:r>
          </w:p>
        </w:tc>
        <w:tc>
          <w:tcPr>
            <w:tcW w:w="1071" w:type="dxa"/>
            <w:noWrap/>
            <w:hideMark/>
          </w:tcPr>
          <w:p w14:paraId="09A195D2"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(7.6)</w:t>
            </w:r>
          </w:p>
        </w:tc>
        <w:tc>
          <w:tcPr>
            <w:tcW w:w="551" w:type="dxa"/>
            <w:noWrap/>
            <w:hideMark/>
          </w:tcPr>
          <w:p w14:paraId="09A195D3"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37</w:t>
            </w:r>
          </w:p>
        </w:tc>
        <w:tc>
          <w:tcPr>
            <w:tcW w:w="827" w:type="dxa"/>
            <w:gridSpan w:val="2"/>
            <w:noWrap/>
            <w:hideMark/>
          </w:tcPr>
          <w:p w14:paraId="09A195D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(4.3)</w:t>
            </w:r>
          </w:p>
        </w:tc>
        <w:tc>
          <w:tcPr>
            <w:tcW w:w="551" w:type="dxa"/>
            <w:noWrap/>
            <w:hideMark/>
          </w:tcPr>
          <w:p w14:paraId="09A195D5"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5</w:t>
            </w:r>
          </w:p>
        </w:tc>
        <w:tc>
          <w:tcPr>
            <w:tcW w:w="1051" w:type="dxa"/>
            <w:noWrap/>
            <w:hideMark/>
          </w:tcPr>
          <w:p w14:paraId="09A195D6"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(1.9)</w:t>
            </w:r>
          </w:p>
        </w:tc>
        <w:tc>
          <w:tcPr>
            <w:tcW w:w="611" w:type="dxa"/>
            <w:noWrap/>
            <w:hideMark/>
          </w:tcPr>
          <w:p w14:paraId="09A195D7"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11</w:t>
            </w:r>
          </w:p>
        </w:tc>
        <w:tc>
          <w:tcPr>
            <w:tcW w:w="740" w:type="dxa"/>
            <w:gridSpan w:val="2"/>
            <w:noWrap/>
            <w:hideMark/>
          </w:tcPr>
          <w:p w14:paraId="09A195D8"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(3.1)</w:t>
            </w:r>
          </w:p>
        </w:tc>
      </w:tr>
      <w:tr w:rsidR="003D79B3" w:rsidRPr="007C6F2E" w14:paraId="09A195E3"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hideMark/>
          </w:tcPr>
          <w:p w14:paraId="09A195DA"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Missing</w:t>
            </w:r>
          </w:p>
        </w:tc>
        <w:tc>
          <w:tcPr>
            <w:tcW w:w="551" w:type="dxa"/>
            <w:noWrap/>
            <w:hideMark/>
          </w:tcPr>
          <w:p w14:paraId="09A195DB"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9</w:t>
            </w:r>
          </w:p>
        </w:tc>
        <w:tc>
          <w:tcPr>
            <w:tcW w:w="1071" w:type="dxa"/>
            <w:noWrap/>
            <w:hideMark/>
          </w:tcPr>
          <w:p w14:paraId="09A195DC"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(6.2)</w:t>
            </w:r>
          </w:p>
        </w:tc>
        <w:tc>
          <w:tcPr>
            <w:tcW w:w="551" w:type="dxa"/>
            <w:noWrap/>
            <w:hideMark/>
          </w:tcPr>
          <w:p w14:paraId="09A195DD"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76</w:t>
            </w:r>
          </w:p>
        </w:tc>
        <w:tc>
          <w:tcPr>
            <w:tcW w:w="827" w:type="dxa"/>
            <w:gridSpan w:val="2"/>
            <w:noWrap/>
            <w:hideMark/>
          </w:tcPr>
          <w:p w14:paraId="09A195DE"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(8.9)</w:t>
            </w:r>
          </w:p>
        </w:tc>
        <w:tc>
          <w:tcPr>
            <w:tcW w:w="551" w:type="dxa"/>
            <w:noWrap/>
            <w:hideMark/>
          </w:tcPr>
          <w:p w14:paraId="09A195DF"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25</w:t>
            </w:r>
          </w:p>
        </w:tc>
        <w:tc>
          <w:tcPr>
            <w:tcW w:w="1051" w:type="dxa"/>
            <w:noWrap/>
            <w:hideMark/>
          </w:tcPr>
          <w:p w14:paraId="09A195E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(9.5)</w:t>
            </w:r>
          </w:p>
        </w:tc>
        <w:tc>
          <w:tcPr>
            <w:tcW w:w="611" w:type="dxa"/>
            <w:noWrap/>
            <w:hideMark/>
          </w:tcPr>
          <w:p w14:paraId="09A195E1"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32</w:t>
            </w:r>
          </w:p>
        </w:tc>
        <w:tc>
          <w:tcPr>
            <w:tcW w:w="740" w:type="dxa"/>
            <w:gridSpan w:val="2"/>
            <w:noWrap/>
            <w:hideMark/>
          </w:tcPr>
          <w:p w14:paraId="09A195E2"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(9.0)</w:t>
            </w:r>
          </w:p>
        </w:tc>
      </w:tr>
      <w:tr w:rsidR="003D79B3" w:rsidRPr="007C6F2E" w14:paraId="09A195ED"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5E4" w14:textId="77777777" w:rsidR="003D79B3" w:rsidRPr="007C6F2E" w:rsidRDefault="003D79B3" w:rsidP="00D30A83">
            <w:pPr>
              <w:spacing w:after="0" w:line="480" w:lineRule="auto"/>
              <w:rPr>
                <w:rFonts w:ascii="Calibri" w:eastAsia="Times New Roman" w:hAnsi="Calibri" w:cs="Calibri"/>
                <w:color w:val="000000"/>
                <w:lang w:eastAsia="en-GB"/>
              </w:rPr>
            </w:pPr>
            <w:r w:rsidRPr="007C6F2E">
              <w:rPr>
                <w:rFonts w:ascii="Calibri" w:eastAsia="Times New Roman" w:hAnsi="Calibri" w:cs="Calibri"/>
                <w:color w:val="000000"/>
                <w:lang w:eastAsia="en-GB"/>
              </w:rPr>
              <w:t>Neo-adjuvant treatment</w:t>
            </w:r>
          </w:p>
        </w:tc>
        <w:tc>
          <w:tcPr>
            <w:tcW w:w="551" w:type="dxa"/>
            <w:noWrap/>
          </w:tcPr>
          <w:p w14:paraId="09A195E5"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071" w:type="dxa"/>
            <w:noWrap/>
          </w:tcPr>
          <w:p w14:paraId="09A195E6"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551" w:type="dxa"/>
            <w:noWrap/>
          </w:tcPr>
          <w:p w14:paraId="09A195E7"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827" w:type="dxa"/>
            <w:gridSpan w:val="2"/>
            <w:noWrap/>
          </w:tcPr>
          <w:p w14:paraId="09A195E8"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551" w:type="dxa"/>
            <w:noWrap/>
          </w:tcPr>
          <w:p w14:paraId="09A195E9"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051" w:type="dxa"/>
            <w:noWrap/>
          </w:tcPr>
          <w:p w14:paraId="09A195EA"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611" w:type="dxa"/>
            <w:noWrap/>
          </w:tcPr>
          <w:p w14:paraId="09A195EB"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740" w:type="dxa"/>
            <w:gridSpan w:val="2"/>
            <w:noWrap/>
          </w:tcPr>
          <w:p w14:paraId="09A195E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3D79B3" w:rsidRPr="007C6F2E" w14:paraId="09A195F7"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5EE"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No</w:t>
            </w:r>
          </w:p>
        </w:tc>
        <w:tc>
          <w:tcPr>
            <w:tcW w:w="551" w:type="dxa"/>
            <w:noWrap/>
          </w:tcPr>
          <w:p w14:paraId="09A195EF"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114</w:t>
            </w:r>
          </w:p>
        </w:tc>
        <w:tc>
          <w:tcPr>
            <w:tcW w:w="1071" w:type="dxa"/>
            <w:noWrap/>
          </w:tcPr>
          <w:p w14:paraId="09A195F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(78.6)</w:t>
            </w:r>
          </w:p>
        </w:tc>
        <w:tc>
          <w:tcPr>
            <w:tcW w:w="551" w:type="dxa"/>
            <w:noWrap/>
          </w:tcPr>
          <w:p w14:paraId="09A195F1"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690</w:t>
            </w:r>
          </w:p>
        </w:tc>
        <w:tc>
          <w:tcPr>
            <w:tcW w:w="827" w:type="dxa"/>
            <w:gridSpan w:val="2"/>
            <w:noWrap/>
          </w:tcPr>
          <w:p w14:paraId="09A195F2"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(81.0)</w:t>
            </w:r>
          </w:p>
        </w:tc>
        <w:tc>
          <w:tcPr>
            <w:tcW w:w="551" w:type="dxa"/>
            <w:noWrap/>
          </w:tcPr>
          <w:p w14:paraId="09A195F3"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213</w:t>
            </w:r>
          </w:p>
        </w:tc>
        <w:tc>
          <w:tcPr>
            <w:tcW w:w="1051" w:type="dxa"/>
            <w:noWrap/>
          </w:tcPr>
          <w:p w14:paraId="09A195F4"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(81.0)</w:t>
            </w:r>
          </w:p>
        </w:tc>
        <w:tc>
          <w:tcPr>
            <w:tcW w:w="611" w:type="dxa"/>
            <w:noWrap/>
          </w:tcPr>
          <w:p w14:paraId="09A195F5"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288</w:t>
            </w:r>
          </w:p>
        </w:tc>
        <w:tc>
          <w:tcPr>
            <w:tcW w:w="740" w:type="dxa"/>
            <w:gridSpan w:val="2"/>
            <w:noWrap/>
          </w:tcPr>
          <w:p w14:paraId="09A195F6"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(81.4)</w:t>
            </w:r>
          </w:p>
        </w:tc>
      </w:tr>
      <w:tr w:rsidR="003D79B3" w:rsidRPr="007C6F2E" w14:paraId="09A19601"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5F8"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Yes</w:t>
            </w:r>
          </w:p>
        </w:tc>
        <w:tc>
          <w:tcPr>
            <w:tcW w:w="551" w:type="dxa"/>
            <w:noWrap/>
          </w:tcPr>
          <w:p w14:paraId="09A195F9"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31</w:t>
            </w:r>
          </w:p>
        </w:tc>
        <w:tc>
          <w:tcPr>
            <w:tcW w:w="1071" w:type="dxa"/>
            <w:noWrap/>
          </w:tcPr>
          <w:p w14:paraId="09A195FA"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(21.4)</w:t>
            </w:r>
          </w:p>
        </w:tc>
        <w:tc>
          <w:tcPr>
            <w:tcW w:w="551" w:type="dxa"/>
            <w:noWrap/>
          </w:tcPr>
          <w:p w14:paraId="09A195FB"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157</w:t>
            </w:r>
          </w:p>
        </w:tc>
        <w:tc>
          <w:tcPr>
            <w:tcW w:w="827" w:type="dxa"/>
            <w:gridSpan w:val="2"/>
            <w:noWrap/>
          </w:tcPr>
          <w:p w14:paraId="09A195F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(18.4)</w:t>
            </w:r>
          </w:p>
        </w:tc>
        <w:tc>
          <w:tcPr>
            <w:tcW w:w="551" w:type="dxa"/>
            <w:noWrap/>
          </w:tcPr>
          <w:p w14:paraId="09A195FD"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43</w:t>
            </w:r>
          </w:p>
        </w:tc>
        <w:tc>
          <w:tcPr>
            <w:tcW w:w="1051" w:type="dxa"/>
            <w:noWrap/>
          </w:tcPr>
          <w:p w14:paraId="09A195FE"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(16.3)</w:t>
            </w:r>
          </w:p>
        </w:tc>
        <w:tc>
          <w:tcPr>
            <w:tcW w:w="611" w:type="dxa"/>
            <w:noWrap/>
          </w:tcPr>
          <w:p w14:paraId="09A195FF"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66</w:t>
            </w:r>
          </w:p>
        </w:tc>
        <w:tc>
          <w:tcPr>
            <w:tcW w:w="740" w:type="dxa"/>
            <w:gridSpan w:val="2"/>
            <w:noWrap/>
          </w:tcPr>
          <w:p w14:paraId="09A19600"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(18.6)</w:t>
            </w:r>
          </w:p>
        </w:tc>
      </w:tr>
      <w:tr w:rsidR="003D79B3" w:rsidRPr="007C6F2E" w14:paraId="09A1960B"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602" w14:textId="77777777" w:rsidR="003D79B3" w:rsidRPr="007C6F2E" w:rsidRDefault="003D79B3" w:rsidP="00D30A83">
            <w:pPr>
              <w:spacing w:after="0" w:line="480" w:lineRule="auto"/>
              <w:rPr>
                <w:rFonts w:ascii="Calibri" w:eastAsia="Times New Roman" w:hAnsi="Calibri" w:cs="Calibri"/>
                <w:color w:val="000000"/>
                <w:lang w:eastAsia="en-GB"/>
              </w:rPr>
            </w:pPr>
            <w:r w:rsidRPr="007C6F2E">
              <w:rPr>
                <w:rFonts w:ascii="Calibri" w:eastAsia="Times New Roman" w:hAnsi="Calibri" w:cs="Calibri"/>
                <w:b w:val="0"/>
                <w:color w:val="000000"/>
                <w:lang w:eastAsia="en-GB"/>
              </w:rPr>
              <w:t>Missing</w:t>
            </w:r>
          </w:p>
        </w:tc>
        <w:tc>
          <w:tcPr>
            <w:tcW w:w="551" w:type="dxa"/>
            <w:noWrap/>
          </w:tcPr>
          <w:p w14:paraId="09A19603"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0</w:t>
            </w:r>
          </w:p>
        </w:tc>
        <w:tc>
          <w:tcPr>
            <w:tcW w:w="1071" w:type="dxa"/>
            <w:noWrap/>
          </w:tcPr>
          <w:p w14:paraId="09A19604"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w:t>
            </w:r>
          </w:p>
        </w:tc>
        <w:tc>
          <w:tcPr>
            <w:tcW w:w="551" w:type="dxa"/>
            <w:noWrap/>
          </w:tcPr>
          <w:p w14:paraId="09A19605"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5</w:t>
            </w:r>
          </w:p>
        </w:tc>
        <w:tc>
          <w:tcPr>
            <w:tcW w:w="827" w:type="dxa"/>
            <w:gridSpan w:val="2"/>
            <w:noWrap/>
          </w:tcPr>
          <w:p w14:paraId="09A19606"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(0.6)</w:t>
            </w:r>
          </w:p>
        </w:tc>
        <w:tc>
          <w:tcPr>
            <w:tcW w:w="551" w:type="dxa"/>
            <w:noWrap/>
          </w:tcPr>
          <w:p w14:paraId="09A19607"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7</w:t>
            </w:r>
          </w:p>
        </w:tc>
        <w:tc>
          <w:tcPr>
            <w:tcW w:w="1051" w:type="dxa"/>
            <w:noWrap/>
          </w:tcPr>
          <w:p w14:paraId="09A1960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(2.7)</w:t>
            </w:r>
          </w:p>
        </w:tc>
        <w:tc>
          <w:tcPr>
            <w:tcW w:w="611" w:type="dxa"/>
            <w:noWrap/>
          </w:tcPr>
          <w:p w14:paraId="09A19609"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0</w:t>
            </w:r>
          </w:p>
        </w:tc>
        <w:tc>
          <w:tcPr>
            <w:tcW w:w="740" w:type="dxa"/>
            <w:gridSpan w:val="2"/>
            <w:noWrap/>
          </w:tcPr>
          <w:p w14:paraId="09A1960A"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w:t>
            </w:r>
          </w:p>
        </w:tc>
      </w:tr>
      <w:tr w:rsidR="003D79B3" w:rsidRPr="007C6F2E" w14:paraId="09A19615"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60C"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i/>
                <w:color w:val="000000"/>
                <w:lang w:eastAsia="en-GB"/>
              </w:rPr>
              <w:lastRenderedPageBreak/>
              <w:t>Among Yes:</w:t>
            </w:r>
          </w:p>
        </w:tc>
        <w:tc>
          <w:tcPr>
            <w:tcW w:w="551" w:type="dxa"/>
            <w:noWrap/>
          </w:tcPr>
          <w:p w14:paraId="09A1960D"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071" w:type="dxa"/>
            <w:noWrap/>
          </w:tcPr>
          <w:p w14:paraId="09A1960E"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551" w:type="dxa"/>
            <w:noWrap/>
          </w:tcPr>
          <w:p w14:paraId="09A1960F"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827" w:type="dxa"/>
            <w:gridSpan w:val="2"/>
            <w:noWrap/>
          </w:tcPr>
          <w:p w14:paraId="09A19610"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551" w:type="dxa"/>
            <w:noWrap/>
          </w:tcPr>
          <w:p w14:paraId="09A19611"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051" w:type="dxa"/>
            <w:noWrap/>
          </w:tcPr>
          <w:p w14:paraId="09A19612"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611" w:type="dxa"/>
            <w:noWrap/>
          </w:tcPr>
          <w:p w14:paraId="09A19613"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740" w:type="dxa"/>
            <w:gridSpan w:val="2"/>
            <w:noWrap/>
          </w:tcPr>
          <w:p w14:paraId="09A1961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3D79B3" w:rsidRPr="007C6F2E" w14:paraId="09A1961F"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616" w14:textId="77777777" w:rsidR="003D79B3" w:rsidRPr="007C6F2E" w:rsidRDefault="003D79B3" w:rsidP="00D30A83">
            <w:pPr>
              <w:spacing w:after="0" w:line="480" w:lineRule="auto"/>
              <w:rPr>
                <w:rFonts w:ascii="Calibri" w:eastAsia="Times New Roman" w:hAnsi="Calibri" w:cs="Calibri"/>
                <w:b w:val="0"/>
                <w:i/>
                <w:color w:val="000000"/>
                <w:lang w:eastAsia="en-GB"/>
              </w:rPr>
            </w:pPr>
            <w:r w:rsidRPr="007C6F2E">
              <w:rPr>
                <w:rFonts w:ascii="Calibri" w:eastAsia="Times New Roman" w:hAnsi="Calibri" w:cs="Calibri"/>
                <w:b w:val="0"/>
                <w:i/>
                <w:iCs/>
                <w:color w:val="000000"/>
                <w:lang w:eastAsia="en-GB"/>
              </w:rPr>
              <w:t>- Chemotherapy only</w:t>
            </w:r>
          </w:p>
        </w:tc>
        <w:tc>
          <w:tcPr>
            <w:tcW w:w="551" w:type="dxa"/>
            <w:noWrap/>
          </w:tcPr>
          <w:p w14:paraId="09A19617"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1</w:t>
            </w:r>
          </w:p>
        </w:tc>
        <w:tc>
          <w:tcPr>
            <w:tcW w:w="1071" w:type="dxa"/>
            <w:noWrap/>
          </w:tcPr>
          <w:p w14:paraId="09A1961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(12.1)</w:t>
            </w:r>
          </w:p>
        </w:tc>
        <w:tc>
          <w:tcPr>
            <w:tcW w:w="551" w:type="dxa"/>
            <w:noWrap/>
          </w:tcPr>
          <w:p w14:paraId="09A19619"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19</w:t>
            </w:r>
          </w:p>
        </w:tc>
        <w:tc>
          <w:tcPr>
            <w:tcW w:w="827" w:type="dxa"/>
            <w:gridSpan w:val="2"/>
            <w:noWrap/>
          </w:tcPr>
          <w:p w14:paraId="09A1961A"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(12.1)</w:t>
            </w:r>
          </w:p>
        </w:tc>
        <w:tc>
          <w:tcPr>
            <w:tcW w:w="551" w:type="dxa"/>
            <w:noWrap/>
          </w:tcPr>
          <w:p w14:paraId="09A1961B"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5</w:t>
            </w:r>
          </w:p>
        </w:tc>
        <w:tc>
          <w:tcPr>
            <w:tcW w:w="1051" w:type="dxa"/>
            <w:noWrap/>
          </w:tcPr>
          <w:p w14:paraId="09A1961C"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(1.9)</w:t>
            </w:r>
          </w:p>
        </w:tc>
        <w:tc>
          <w:tcPr>
            <w:tcW w:w="611" w:type="dxa"/>
            <w:noWrap/>
          </w:tcPr>
          <w:p w14:paraId="09A1961D"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10</w:t>
            </w:r>
          </w:p>
        </w:tc>
        <w:tc>
          <w:tcPr>
            <w:tcW w:w="740" w:type="dxa"/>
            <w:gridSpan w:val="2"/>
            <w:noWrap/>
          </w:tcPr>
          <w:p w14:paraId="09A1961E"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(2.8)</w:t>
            </w:r>
          </w:p>
        </w:tc>
      </w:tr>
      <w:tr w:rsidR="003D79B3" w:rsidRPr="007C6F2E" w14:paraId="09A19629"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620" w14:textId="77777777" w:rsidR="003D79B3" w:rsidRPr="007C6F2E" w:rsidRDefault="003D79B3" w:rsidP="00D30A83">
            <w:pPr>
              <w:spacing w:after="0" w:line="480" w:lineRule="auto"/>
              <w:rPr>
                <w:rFonts w:ascii="Calibri" w:eastAsia="Times New Roman" w:hAnsi="Calibri" w:cs="Calibri"/>
                <w:b w:val="0"/>
                <w:i/>
                <w:iCs/>
                <w:color w:val="000000"/>
                <w:lang w:eastAsia="en-GB"/>
              </w:rPr>
            </w:pPr>
            <w:r w:rsidRPr="007C6F2E">
              <w:rPr>
                <w:rFonts w:ascii="Calibri" w:eastAsia="Times New Roman" w:hAnsi="Calibri" w:cs="Calibri"/>
                <w:b w:val="0"/>
                <w:i/>
                <w:iCs/>
                <w:color w:val="000000"/>
                <w:lang w:eastAsia="en-GB"/>
              </w:rPr>
              <w:t>- Radiotherapy only</w:t>
            </w:r>
          </w:p>
        </w:tc>
        <w:tc>
          <w:tcPr>
            <w:tcW w:w="551" w:type="dxa"/>
            <w:noWrap/>
          </w:tcPr>
          <w:p w14:paraId="09A19621"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12</w:t>
            </w:r>
          </w:p>
        </w:tc>
        <w:tc>
          <w:tcPr>
            <w:tcW w:w="1071" w:type="dxa"/>
            <w:noWrap/>
          </w:tcPr>
          <w:p w14:paraId="09A19622"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(43.3)</w:t>
            </w:r>
          </w:p>
        </w:tc>
        <w:tc>
          <w:tcPr>
            <w:tcW w:w="551" w:type="dxa"/>
            <w:noWrap/>
          </w:tcPr>
          <w:p w14:paraId="09A19623"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68</w:t>
            </w:r>
          </w:p>
        </w:tc>
        <w:tc>
          <w:tcPr>
            <w:tcW w:w="827" w:type="dxa"/>
            <w:gridSpan w:val="2"/>
            <w:noWrap/>
          </w:tcPr>
          <w:p w14:paraId="09A1962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(43.3)</w:t>
            </w:r>
          </w:p>
        </w:tc>
        <w:tc>
          <w:tcPr>
            <w:tcW w:w="551" w:type="dxa"/>
            <w:noWrap/>
          </w:tcPr>
          <w:p w14:paraId="09A19625"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17</w:t>
            </w:r>
          </w:p>
        </w:tc>
        <w:tc>
          <w:tcPr>
            <w:tcW w:w="1051" w:type="dxa"/>
            <w:noWrap/>
          </w:tcPr>
          <w:p w14:paraId="09A19626"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(6.5)</w:t>
            </w:r>
          </w:p>
        </w:tc>
        <w:tc>
          <w:tcPr>
            <w:tcW w:w="611" w:type="dxa"/>
            <w:noWrap/>
          </w:tcPr>
          <w:p w14:paraId="09A19627"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29</w:t>
            </w:r>
          </w:p>
        </w:tc>
        <w:tc>
          <w:tcPr>
            <w:tcW w:w="740" w:type="dxa"/>
            <w:gridSpan w:val="2"/>
            <w:noWrap/>
          </w:tcPr>
          <w:p w14:paraId="09A19628"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(8.2)</w:t>
            </w:r>
          </w:p>
        </w:tc>
      </w:tr>
      <w:tr w:rsidR="003D79B3" w:rsidRPr="007C6F2E" w14:paraId="09A19633"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62A" w14:textId="77777777" w:rsidR="003D79B3" w:rsidRPr="007C6F2E" w:rsidRDefault="003D79B3" w:rsidP="00D30A83">
            <w:pPr>
              <w:spacing w:after="0" w:line="480" w:lineRule="auto"/>
              <w:rPr>
                <w:rFonts w:ascii="Calibri" w:eastAsia="Times New Roman" w:hAnsi="Calibri" w:cs="Calibri"/>
                <w:b w:val="0"/>
                <w:i/>
                <w:iCs/>
                <w:color w:val="000000"/>
                <w:lang w:eastAsia="en-GB"/>
              </w:rPr>
            </w:pPr>
            <w:r w:rsidRPr="007C6F2E">
              <w:rPr>
                <w:rFonts w:ascii="Calibri" w:eastAsia="Times New Roman" w:hAnsi="Calibri" w:cs="Calibri"/>
                <w:b w:val="0"/>
                <w:i/>
                <w:iCs/>
                <w:color w:val="000000"/>
                <w:lang w:eastAsia="en-GB"/>
              </w:rPr>
              <w:t>- both</w:t>
            </w:r>
          </w:p>
        </w:tc>
        <w:tc>
          <w:tcPr>
            <w:tcW w:w="551" w:type="dxa"/>
            <w:noWrap/>
          </w:tcPr>
          <w:p w14:paraId="09A1962B"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18</w:t>
            </w:r>
          </w:p>
        </w:tc>
        <w:tc>
          <w:tcPr>
            <w:tcW w:w="1071" w:type="dxa"/>
            <w:noWrap/>
          </w:tcPr>
          <w:p w14:paraId="09A1962C"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(44.6)</w:t>
            </w:r>
          </w:p>
        </w:tc>
        <w:tc>
          <w:tcPr>
            <w:tcW w:w="551" w:type="dxa"/>
            <w:noWrap/>
          </w:tcPr>
          <w:p w14:paraId="09A1962D"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70</w:t>
            </w:r>
          </w:p>
        </w:tc>
        <w:tc>
          <w:tcPr>
            <w:tcW w:w="827" w:type="dxa"/>
            <w:gridSpan w:val="2"/>
            <w:noWrap/>
          </w:tcPr>
          <w:p w14:paraId="09A1962E"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(44.6)</w:t>
            </w:r>
          </w:p>
        </w:tc>
        <w:tc>
          <w:tcPr>
            <w:tcW w:w="551" w:type="dxa"/>
            <w:noWrap/>
          </w:tcPr>
          <w:p w14:paraId="09A1962F"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21</w:t>
            </w:r>
          </w:p>
        </w:tc>
        <w:tc>
          <w:tcPr>
            <w:tcW w:w="1051" w:type="dxa"/>
            <w:noWrap/>
          </w:tcPr>
          <w:p w14:paraId="09A1963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(8.0)</w:t>
            </w:r>
          </w:p>
        </w:tc>
        <w:tc>
          <w:tcPr>
            <w:tcW w:w="611" w:type="dxa"/>
            <w:noWrap/>
          </w:tcPr>
          <w:p w14:paraId="09A19631"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27</w:t>
            </w:r>
          </w:p>
        </w:tc>
        <w:tc>
          <w:tcPr>
            <w:tcW w:w="740" w:type="dxa"/>
            <w:gridSpan w:val="2"/>
            <w:noWrap/>
          </w:tcPr>
          <w:p w14:paraId="09A19632"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(7.6)</w:t>
            </w:r>
          </w:p>
        </w:tc>
      </w:tr>
      <w:tr w:rsidR="003D79B3" w:rsidRPr="007C6F2E" w14:paraId="09A1963D"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634" w14:textId="77777777" w:rsidR="003D79B3" w:rsidRPr="007C6F2E" w:rsidRDefault="003D79B3" w:rsidP="00D30A83">
            <w:pPr>
              <w:spacing w:after="0" w:line="480" w:lineRule="auto"/>
              <w:rPr>
                <w:rFonts w:ascii="Calibri" w:eastAsia="Times New Roman" w:hAnsi="Calibri" w:cs="Calibri"/>
                <w:i/>
                <w:iCs/>
                <w:color w:val="000000"/>
                <w:lang w:eastAsia="en-GB"/>
              </w:rPr>
            </w:pPr>
            <w:r w:rsidRPr="007C6F2E">
              <w:rPr>
                <w:rFonts w:ascii="Calibri" w:eastAsia="Times New Roman" w:hAnsi="Calibri" w:cs="Calibri"/>
                <w:color w:val="000000"/>
                <w:lang w:eastAsia="en-GB"/>
              </w:rPr>
              <w:t>Adjuvant treatment</w:t>
            </w:r>
          </w:p>
        </w:tc>
        <w:tc>
          <w:tcPr>
            <w:tcW w:w="551" w:type="dxa"/>
            <w:noWrap/>
          </w:tcPr>
          <w:p w14:paraId="09A19635"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p>
        </w:tc>
        <w:tc>
          <w:tcPr>
            <w:tcW w:w="1071" w:type="dxa"/>
            <w:noWrap/>
          </w:tcPr>
          <w:p w14:paraId="09A19636"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p>
        </w:tc>
        <w:tc>
          <w:tcPr>
            <w:tcW w:w="551" w:type="dxa"/>
            <w:noWrap/>
          </w:tcPr>
          <w:p w14:paraId="09A19637"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p>
        </w:tc>
        <w:tc>
          <w:tcPr>
            <w:tcW w:w="827" w:type="dxa"/>
            <w:gridSpan w:val="2"/>
            <w:noWrap/>
          </w:tcPr>
          <w:p w14:paraId="09A19638"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p>
        </w:tc>
        <w:tc>
          <w:tcPr>
            <w:tcW w:w="551" w:type="dxa"/>
            <w:noWrap/>
          </w:tcPr>
          <w:p w14:paraId="09A19639"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p>
        </w:tc>
        <w:tc>
          <w:tcPr>
            <w:tcW w:w="1051" w:type="dxa"/>
            <w:noWrap/>
          </w:tcPr>
          <w:p w14:paraId="09A1963A"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p>
        </w:tc>
        <w:tc>
          <w:tcPr>
            <w:tcW w:w="611" w:type="dxa"/>
            <w:noWrap/>
          </w:tcPr>
          <w:p w14:paraId="09A1963B"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p>
        </w:tc>
        <w:tc>
          <w:tcPr>
            <w:tcW w:w="740" w:type="dxa"/>
            <w:gridSpan w:val="2"/>
            <w:noWrap/>
          </w:tcPr>
          <w:p w14:paraId="09A1963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p>
        </w:tc>
      </w:tr>
      <w:tr w:rsidR="003D79B3" w:rsidRPr="007C6F2E" w14:paraId="09A19647"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63E"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No</w:t>
            </w:r>
          </w:p>
        </w:tc>
        <w:tc>
          <w:tcPr>
            <w:tcW w:w="551" w:type="dxa"/>
            <w:noWrap/>
          </w:tcPr>
          <w:p w14:paraId="09A1963F"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color w:val="000000"/>
                <w:lang w:eastAsia="en-GB"/>
              </w:rPr>
              <w:t>102</w:t>
            </w:r>
          </w:p>
        </w:tc>
        <w:tc>
          <w:tcPr>
            <w:tcW w:w="1071" w:type="dxa"/>
            <w:noWrap/>
          </w:tcPr>
          <w:p w14:paraId="09A1964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color w:val="000000"/>
                <w:lang w:eastAsia="en-GB"/>
              </w:rPr>
              <w:t>(70.3)</w:t>
            </w:r>
          </w:p>
        </w:tc>
        <w:tc>
          <w:tcPr>
            <w:tcW w:w="551" w:type="dxa"/>
            <w:noWrap/>
          </w:tcPr>
          <w:p w14:paraId="09A19641"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color w:val="000000"/>
                <w:lang w:eastAsia="en-GB"/>
              </w:rPr>
              <w:t>556</w:t>
            </w:r>
          </w:p>
        </w:tc>
        <w:tc>
          <w:tcPr>
            <w:tcW w:w="827" w:type="dxa"/>
            <w:gridSpan w:val="2"/>
            <w:noWrap/>
          </w:tcPr>
          <w:p w14:paraId="09A19642"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color w:val="000000"/>
                <w:lang w:eastAsia="en-GB"/>
              </w:rPr>
              <w:t>(65.3)</w:t>
            </w:r>
          </w:p>
        </w:tc>
        <w:tc>
          <w:tcPr>
            <w:tcW w:w="551" w:type="dxa"/>
            <w:noWrap/>
          </w:tcPr>
          <w:p w14:paraId="09A19643"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color w:val="000000"/>
                <w:lang w:eastAsia="en-GB"/>
              </w:rPr>
              <w:t>183</w:t>
            </w:r>
          </w:p>
        </w:tc>
        <w:tc>
          <w:tcPr>
            <w:tcW w:w="1051" w:type="dxa"/>
            <w:noWrap/>
          </w:tcPr>
          <w:p w14:paraId="09A19644"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color w:val="000000"/>
                <w:lang w:eastAsia="en-GB"/>
              </w:rPr>
              <w:t>(69.6)</w:t>
            </w:r>
          </w:p>
        </w:tc>
        <w:tc>
          <w:tcPr>
            <w:tcW w:w="611" w:type="dxa"/>
            <w:noWrap/>
          </w:tcPr>
          <w:p w14:paraId="09A19645"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color w:val="000000"/>
                <w:lang w:eastAsia="en-GB"/>
              </w:rPr>
              <w:t>223</w:t>
            </w:r>
          </w:p>
        </w:tc>
        <w:tc>
          <w:tcPr>
            <w:tcW w:w="740" w:type="dxa"/>
            <w:gridSpan w:val="2"/>
            <w:noWrap/>
          </w:tcPr>
          <w:p w14:paraId="09A19646"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color w:val="000000"/>
                <w:lang w:eastAsia="en-GB"/>
              </w:rPr>
              <w:t>(63.0)</w:t>
            </w:r>
          </w:p>
        </w:tc>
      </w:tr>
      <w:tr w:rsidR="003D79B3" w:rsidRPr="007C6F2E" w14:paraId="09A19651"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648"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Yes</w:t>
            </w:r>
          </w:p>
        </w:tc>
        <w:tc>
          <w:tcPr>
            <w:tcW w:w="551" w:type="dxa"/>
            <w:noWrap/>
          </w:tcPr>
          <w:p w14:paraId="09A19649"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43</w:t>
            </w:r>
          </w:p>
        </w:tc>
        <w:tc>
          <w:tcPr>
            <w:tcW w:w="1071" w:type="dxa"/>
            <w:noWrap/>
          </w:tcPr>
          <w:p w14:paraId="09A1964A"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(29.7)</w:t>
            </w:r>
          </w:p>
        </w:tc>
        <w:tc>
          <w:tcPr>
            <w:tcW w:w="551" w:type="dxa"/>
            <w:noWrap/>
          </w:tcPr>
          <w:p w14:paraId="09A1964B"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296</w:t>
            </w:r>
          </w:p>
        </w:tc>
        <w:tc>
          <w:tcPr>
            <w:tcW w:w="827" w:type="dxa"/>
            <w:gridSpan w:val="2"/>
            <w:noWrap/>
          </w:tcPr>
          <w:p w14:paraId="09A1964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(34.7)</w:t>
            </w:r>
          </w:p>
        </w:tc>
        <w:tc>
          <w:tcPr>
            <w:tcW w:w="551" w:type="dxa"/>
            <w:noWrap/>
          </w:tcPr>
          <w:p w14:paraId="09A1964D"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77</w:t>
            </w:r>
          </w:p>
        </w:tc>
        <w:tc>
          <w:tcPr>
            <w:tcW w:w="1051" w:type="dxa"/>
            <w:noWrap/>
          </w:tcPr>
          <w:p w14:paraId="09A1964E"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(29.3)</w:t>
            </w:r>
          </w:p>
        </w:tc>
        <w:tc>
          <w:tcPr>
            <w:tcW w:w="611" w:type="dxa"/>
            <w:noWrap/>
          </w:tcPr>
          <w:p w14:paraId="09A1964F"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131</w:t>
            </w:r>
          </w:p>
        </w:tc>
        <w:tc>
          <w:tcPr>
            <w:tcW w:w="740" w:type="dxa"/>
            <w:gridSpan w:val="2"/>
            <w:noWrap/>
          </w:tcPr>
          <w:p w14:paraId="09A19650"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(37.0)</w:t>
            </w:r>
          </w:p>
        </w:tc>
      </w:tr>
      <w:tr w:rsidR="003D79B3" w:rsidRPr="007C6F2E" w14:paraId="09A1965B"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652" w14:textId="77777777" w:rsidR="003D79B3" w:rsidRPr="007C6F2E" w:rsidRDefault="003D79B3" w:rsidP="00D30A83">
            <w:pPr>
              <w:spacing w:after="0" w:line="480" w:lineRule="auto"/>
              <w:rPr>
                <w:rFonts w:ascii="Calibri" w:eastAsia="Times New Roman" w:hAnsi="Calibri" w:cs="Calibri"/>
                <w:color w:val="000000"/>
                <w:lang w:eastAsia="en-GB"/>
              </w:rPr>
            </w:pPr>
            <w:r w:rsidRPr="007C6F2E">
              <w:rPr>
                <w:rFonts w:ascii="Calibri" w:eastAsia="Times New Roman" w:hAnsi="Calibri" w:cs="Calibri"/>
                <w:b w:val="0"/>
                <w:color w:val="000000"/>
                <w:lang w:eastAsia="en-GB"/>
              </w:rPr>
              <w:t>Missing</w:t>
            </w:r>
          </w:p>
        </w:tc>
        <w:tc>
          <w:tcPr>
            <w:tcW w:w="551" w:type="dxa"/>
            <w:noWrap/>
          </w:tcPr>
          <w:p w14:paraId="09A19653"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0</w:t>
            </w:r>
          </w:p>
        </w:tc>
        <w:tc>
          <w:tcPr>
            <w:tcW w:w="1071" w:type="dxa"/>
            <w:noWrap/>
          </w:tcPr>
          <w:p w14:paraId="09A19654"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w:t>
            </w:r>
          </w:p>
        </w:tc>
        <w:tc>
          <w:tcPr>
            <w:tcW w:w="551" w:type="dxa"/>
            <w:noWrap/>
          </w:tcPr>
          <w:p w14:paraId="09A19655"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0</w:t>
            </w:r>
          </w:p>
        </w:tc>
        <w:tc>
          <w:tcPr>
            <w:tcW w:w="827" w:type="dxa"/>
            <w:gridSpan w:val="2"/>
            <w:noWrap/>
          </w:tcPr>
          <w:p w14:paraId="09A19656"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w:t>
            </w:r>
          </w:p>
        </w:tc>
        <w:tc>
          <w:tcPr>
            <w:tcW w:w="551" w:type="dxa"/>
            <w:noWrap/>
          </w:tcPr>
          <w:p w14:paraId="09A19657"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w:t>
            </w:r>
          </w:p>
        </w:tc>
        <w:tc>
          <w:tcPr>
            <w:tcW w:w="1051" w:type="dxa"/>
            <w:noWrap/>
          </w:tcPr>
          <w:p w14:paraId="09A1965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(1.1)</w:t>
            </w:r>
          </w:p>
        </w:tc>
        <w:tc>
          <w:tcPr>
            <w:tcW w:w="611" w:type="dxa"/>
            <w:noWrap/>
          </w:tcPr>
          <w:p w14:paraId="09A19659"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0</w:t>
            </w:r>
          </w:p>
        </w:tc>
        <w:tc>
          <w:tcPr>
            <w:tcW w:w="740" w:type="dxa"/>
            <w:gridSpan w:val="2"/>
            <w:noWrap/>
          </w:tcPr>
          <w:p w14:paraId="09A1965A"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w:t>
            </w:r>
          </w:p>
        </w:tc>
      </w:tr>
      <w:tr w:rsidR="003D79B3" w:rsidRPr="007C6F2E" w14:paraId="09A19665"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65C"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i/>
                <w:color w:val="000000"/>
                <w:lang w:eastAsia="en-GB"/>
              </w:rPr>
              <w:t>Among Yes:</w:t>
            </w:r>
          </w:p>
        </w:tc>
        <w:tc>
          <w:tcPr>
            <w:tcW w:w="551" w:type="dxa"/>
            <w:noWrap/>
          </w:tcPr>
          <w:p w14:paraId="09A1965D"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071" w:type="dxa"/>
            <w:noWrap/>
          </w:tcPr>
          <w:p w14:paraId="09A1965E"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551" w:type="dxa"/>
            <w:noWrap/>
          </w:tcPr>
          <w:p w14:paraId="09A1965F"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827" w:type="dxa"/>
            <w:gridSpan w:val="2"/>
            <w:noWrap/>
          </w:tcPr>
          <w:p w14:paraId="09A19660"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551" w:type="dxa"/>
            <w:noWrap/>
          </w:tcPr>
          <w:p w14:paraId="09A19661"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051" w:type="dxa"/>
            <w:noWrap/>
          </w:tcPr>
          <w:p w14:paraId="09A19662"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611" w:type="dxa"/>
            <w:noWrap/>
          </w:tcPr>
          <w:p w14:paraId="09A19663"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740" w:type="dxa"/>
            <w:gridSpan w:val="2"/>
            <w:noWrap/>
          </w:tcPr>
          <w:p w14:paraId="09A1966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3D79B3" w:rsidRPr="007C6F2E" w14:paraId="09A1966F"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666" w14:textId="77777777" w:rsidR="003D79B3" w:rsidRPr="007C6F2E" w:rsidRDefault="003D79B3" w:rsidP="00D30A83">
            <w:pPr>
              <w:spacing w:after="0" w:line="480" w:lineRule="auto"/>
              <w:rPr>
                <w:rFonts w:ascii="Calibri" w:eastAsia="Times New Roman" w:hAnsi="Calibri" w:cs="Calibri"/>
                <w:b w:val="0"/>
                <w:i/>
                <w:color w:val="000000"/>
                <w:lang w:eastAsia="en-GB"/>
              </w:rPr>
            </w:pPr>
            <w:r w:rsidRPr="007C6F2E">
              <w:rPr>
                <w:rFonts w:ascii="Calibri" w:eastAsia="Times New Roman" w:hAnsi="Calibri" w:cs="Calibri"/>
                <w:b w:val="0"/>
                <w:i/>
                <w:iCs/>
                <w:color w:val="000000"/>
                <w:lang w:eastAsia="en-GB"/>
              </w:rPr>
              <w:t>- Chemotherapy only</w:t>
            </w:r>
          </w:p>
        </w:tc>
        <w:tc>
          <w:tcPr>
            <w:tcW w:w="551" w:type="dxa"/>
            <w:noWrap/>
          </w:tcPr>
          <w:p w14:paraId="09A19667"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41</w:t>
            </w:r>
          </w:p>
        </w:tc>
        <w:tc>
          <w:tcPr>
            <w:tcW w:w="1071" w:type="dxa"/>
            <w:noWrap/>
          </w:tcPr>
          <w:p w14:paraId="09A1966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(95.3)</w:t>
            </w:r>
          </w:p>
        </w:tc>
        <w:tc>
          <w:tcPr>
            <w:tcW w:w="551" w:type="dxa"/>
            <w:noWrap/>
          </w:tcPr>
          <w:p w14:paraId="09A19669"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278</w:t>
            </w:r>
          </w:p>
        </w:tc>
        <w:tc>
          <w:tcPr>
            <w:tcW w:w="827" w:type="dxa"/>
            <w:gridSpan w:val="2"/>
            <w:noWrap/>
          </w:tcPr>
          <w:p w14:paraId="09A1966A"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(93.9)</w:t>
            </w:r>
          </w:p>
        </w:tc>
        <w:tc>
          <w:tcPr>
            <w:tcW w:w="551" w:type="dxa"/>
            <w:noWrap/>
          </w:tcPr>
          <w:p w14:paraId="09A1966B"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74</w:t>
            </w:r>
          </w:p>
        </w:tc>
        <w:tc>
          <w:tcPr>
            <w:tcW w:w="1051" w:type="dxa"/>
            <w:noWrap/>
          </w:tcPr>
          <w:p w14:paraId="09A1966C"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(28.1)</w:t>
            </w:r>
          </w:p>
        </w:tc>
        <w:tc>
          <w:tcPr>
            <w:tcW w:w="611" w:type="dxa"/>
            <w:noWrap/>
          </w:tcPr>
          <w:p w14:paraId="09A1966D"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126</w:t>
            </w:r>
          </w:p>
        </w:tc>
        <w:tc>
          <w:tcPr>
            <w:tcW w:w="740" w:type="dxa"/>
            <w:gridSpan w:val="2"/>
            <w:noWrap/>
          </w:tcPr>
          <w:p w14:paraId="09A1966E"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(35.6)</w:t>
            </w:r>
          </w:p>
        </w:tc>
      </w:tr>
      <w:tr w:rsidR="003D79B3" w:rsidRPr="007C6F2E" w14:paraId="09A19679"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670" w14:textId="77777777" w:rsidR="003D79B3" w:rsidRPr="007C6F2E" w:rsidRDefault="003D79B3" w:rsidP="00D30A83">
            <w:pPr>
              <w:spacing w:after="0" w:line="480" w:lineRule="auto"/>
              <w:rPr>
                <w:rFonts w:ascii="Calibri" w:eastAsia="Times New Roman" w:hAnsi="Calibri" w:cs="Calibri"/>
                <w:b w:val="0"/>
                <w:i/>
                <w:iCs/>
                <w:color w:val="000000"/>
                <w:lang w:eastAsia="en-GB"/>
              </w:rPr>
            </w:pPr>
            <w:r w:rsidRPr="007C6F2E">
              <w:rPr>
                <w:rFonts w:ascii="Calibri" w:eastAsia="Times New Roman" w:hAnsi="Calibri" w:cs="Calibri"/>
                <w:b w:val="0"/>
                <w:i/>
                <w:iCs/>
                <w:color w:val="000000"/>
                <w:lang w:eastAsia="en-GB"/>
              </w:rPr>
              <w:t>- Radiotherapy only</w:t>
            </w:r>
          </w:p>
        </w:tc>
        <w:tc>
          <w:tcPr>
            <w:tcW w:w="551" w:type="dxa"/>
            <w:noWrap/>
          </w:tcPr>
          <w:p w14:paraId="09A19671"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0</w:t>
            </w:r>
          </w:p>
        </w:tc>
        <w:tc>
          <w:tcPr>
            <w:tcW w:w="1071" w:type="dxa"/>
            <w:noWrap/>
          </w:tcPr>
          <w:p w14:paraId="09A19672"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w:t>
            </w:r>
          </w:p>
        </w:tc>
        <w:tc>
          <w:tcPr>
            <w:tcW w:w="551" w:type="dxa"/>
            <w:noWrap/>
          </w:tcPr>
          <w:p w14:paraId="09A19673"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6</w:t>
            </w:r>
          </w:p>
        </w:tc>
        <w:tc>
          <w:tcPr>
            <w:tcW w:w="827" w:type="dxa"/>
            <w:gridSpan w:val="2"/>
            <w:noWrap/>
          </w:tcPr>
          <w:p w14:paraId="09A1967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(2.0)</w:t>
            </w:r>
          </w:p>
        </w:tc>
        <w:tc>
          <w:tcPr>
            <w:tcW w:w="551" w:type="dxa"/>
            <w:noWrap/>
          </w:tcPr>
          <w:p w14:paraId="09A19675"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1</w:t>
            </w:r>
          </w:p>
        </w:tc>
        <w:tc>
          <w:tcPr>
            <w:tcW w:w="1051" w:type="dxa"/>
            <w:noWrap/>
          </w:tcPr>
          <w:p w14:paraId="09A19676"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(0.4)</w:t>
            </w:r>
          </w:p>
        </w:tc>
        <w:tc>
          <w:tcPr>
            <w:tcW w:w="611" w:type="dxa"/>
            <w:noWrap/>
          </w:tcPr>
          <w:p w14:paraId="09A19677"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1</w:t>
            </w:r>
          </w:p>
        </w:tc>
        <w:tc>
          <w:tcPr>
            <w:tcW w:w="740" w:type="dxa"/>
            <w:gridSpan w:val="2"/>
            <w:noWrap/>
          </w:tcPr>
          <w:p w14:paraId="09A19678"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(0.3)</w:t>
            </w:r>
          </w:p>
        </w:tc>
      </w:tr>
      <w:tr w:rsidR="003D79B3" w:rsidRPr="007C6F2E" w14:paraId="09A19683"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67A" w14:textId="77777777" w:rsidR="003D79B3" w:rsidRPr="007C6F2E" w:rsidRDefault="003D79B3" w:rsidP="00D30A83">
            <w:pPr>
              <w:spacing w:after="0" w:line="480" w:lineRule="auto"/>
              <w:rPr>
                <w:rFonts w:ascii="Calibri" w:eastAsia="Times New Roman" w:hAnsi="Calibri" w:cs="Calibri"/>
                <w:b w:val="0"/>
                <w:i/>
                <w:iCs/>
                <w:color w:val="000000"/>
                <w:lang w:eastAsia="en-GB"/>
              </w:rPr>
            </w:pPr>
            <w:r w:rsidRPr="007C6F2E">
              <w:rPr>
                <w:rFonts w:ascii="Calibri" w:eastAsia="Times New Roman" w:hAnsi="Calibri" w:cs="Calibri"/>
                <w:b w:val="0"/>
                <w:i/>
                <w:iCs/>
                <w:color w:val="000000"/>
                <w:lang w:eastAsia="en-GB"/>
              </w:rPr>
              <w:t>- both</w:t>
            </w:r>
          </w:p>
        </w:tc>
        <w:tc>
          <w:tcPr>
            <w:tcW w:w="551" w:type="dxa"/>
            <w:noWrap/>
          </w:tcPr>
          <w:p w14:paraId="09A1967B"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2</w:t>
            </w:r>
          </w:p>
        </w:tc>
        <w:tc>
          <w:tcPr>
            <w:tcW w:w="1071" w:type="dxa"/>
            <w:noWrap/>
          </w:tcPr>
          <w:p w14:paraId="09A1967C"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(4.7)</w:t>
            </w:r>
          </w:p>
        </w:tc>
        <w:tc>
          <w:tcPr>
            <w:tcW w:w="551" w:type="dxa"/>
            <w:noWrap/>
          </w:tcPr>
          <w:p w14:paraId="09A1967D"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12</w:t>
            </w:r>
          </w:p>
        </w:tc>
        <w:tc>
          <w:tcPr>
            <w:tcW w:w="827" w:type="dxa"/>
            <w:gridSpan w:val="2"/>
            <w:noWrap/>
          </w:tcPr>
          <w:p w14:paraId="09A1967E"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(4.1)</w:t>
            </w:r>
          </w:p>
        </w:tc>
        <w:tc>
          <w:tcPr>
            <w:tcW w:w="551" w:type="dxa"/>
            <w:noWrap/>
          </w:tcPr>
          <w:p w14:paraId="09A1967F"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2</w:t>
            </w:r>
          </w:p>
        </w:tc>
        <w:tc>
          <w:tcPr>
            <w:tcW w:w="1051" w:type="dxa"/>
            <w:noWrap/>
          </w:tcPr>
          <w:p w14:paraId="09A1968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(0.8)</w:t>
            </w:r>
          </w:p>
        </w:tc>
        <w:tc>
          <w:tcPr>
            <w:tcW w:w="611" w:type="dxa"/>
            <w:noWrap/>
          </w:tcPr>
          <w:p w14:paraId="09A19681"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4</w:t>
            </w:r>
          </w:p>
        </w:tc>
        <w:tc>
          <w:tcPr>
            <w:tcW w:w="740" w:type="dxa"/>
            <w:gridSpan w:val="2"/>
            <w:noWrap/>
          </w:tcPr>
          <w:p w14:paraId="09A19682"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(1.1)</w:t>
            </w:r>
          </w:p>
        </w:tc>
      </w:tr>
      <w:tr w:rsidR="003D79B3" w:rsidRPr="007C6F2E" w14:paraId="09A1968D"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684" w14:textId="77777777" w:rsidR="003D79B3" w:rsidRPr="007C6F2E" w:rsidRDefault="003D79B3" w:rsidP="00D30A83">
            <w:pPr>
              <w:spacing w:after="0" w:line="480" w:lineRule="auto"/>
              <w:rPr>
                <w:rFonts w:ascii="Calibri" w:eastAsia="Times New Roman" w:hAnsi="Calibri" w:cs="Calibri"/>
                <w:i/>
                <w:iCs/>
                <w:color w:val="000000"/>
                <w:lang w:eastAsia="en-GB"/>
              </w:rPr>
            </w:pPr>
            <w:r w:rsidRPr="007C6F2E">
              <w:rPr>
                <w:rFonts w:ascii="Calibri" w:eastAsia="Times New Roman" w:hAnsi="Calibri" w:cs="Calibri"/>
                <w:color w:val="000000"/>
                <w:lang w:eastAsia="en-GB"/>
              </w:rPr>
              <w:t>Biological therapy</w:t>
            </w:r>
          </w:p>
        </w:tc>
        <w:tc>
          <w:tcPr>
            <w:tcW w:w="551" w:type="dxa"/>
            <w:noWrap/>
          </w:tcPr>
          <w:p w14:paraId="09A19685"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p>
        </w:tc>
        <w:tc>
          <w:tcPr>
            <w:tcW w:w="1071" w:type="dxa"/>
            <w:noWrap/>
          </w:tcPr>
          <w:p w14:paraId="09A19686"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p>
        </w:tc>
        <w:tc>
          <w:tcPr>
            <w:tcW w:w="551" w:type="dxa"/>
            <w:noWrap/>
          </w:tcPr>
          <w:p w14:paraId="09A19687"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p>
        </w:tc>
        <w:tc>
          <w:tcPr>
            <w:tcW w:w="827" w:type="dxa"/>
            <w:gridSpan w:val="2"/>
            <w:noWrap/>
          </w:tcPr>
          <w:p w14:paraId="09A19688"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p>
        </w:tc>
        <w:tc>
          <w:tcPr>
            <w:tcW w:w="551" w:type="dxa"/>
            <w:noWrap/>
          </w:tcPr>
          <w:p w14:paraId="09A19689"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p>
        </w:tc>
        <w:tc>
          <w:tcPr>
            <w:tcW w:w="1051" w:type="dxa"/>
            <w:noWrap/>
          </w:tcPr>
          <w:p w14:paraId="09A1968A"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p>
        </w:tc>
        <w:tc>
          <w:tcPr>
            <w:tcW w:w="611" w:type="dxa"/>
            <w:noWrap/>
          </w:tcPr>
          <w:p w14:paraId="09A1968B"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p>
        </w:tc>
        <w:tc>
          <w:tcPr>
            <w:tcW w:w="740" w:type="dxa"/>
            <w:gridSpan w:val="2"/>
            <w:noWrap/>
          </w:tcPr>
          <w:p w14:paraId="09A1968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p>
        </w:tc>
      </w:tr>
      <w:tr w:rsidR="003D79B3" w:rsidRPr="007C6F2E" w14:paraId="09A19697"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68E"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No</w:t>
            </w:r>
          </w:p>
        </w:tc>
        <w:tc>
          <w:tcPr>
            <w:tcW w:w="551" w:type="dxa"/>
            <w:noWrap/>
          </w:tcPr>
          <w:p w14:paraId="09A1968F"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color w:val="000000"/>
                <w:lang w:eastAsia="en-GB"/>
              </w:rPr>
              <w:t>125</w:t>
            </w:r>
          </w:p>
        </w:tc>
        <w:tc>
          <w:tcPr>
            <w:tcW w:w="1071" w:type="dxa"/>
            <w:noWrap/>
          </w:tcPr>
          <w:p w14:paraId="09A1969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color w:val="000000"/>
                <w:lang w:eastAsia="en-GB"/>
              </w:rPr>
              <w:t>(86.2)</w:t>
            </w:r>
          </w:p>
        </w:tc>
        <w:tc>
          <w:tcPr>
            <w:tcW w:w="551" w:type="dxa"/>
            <w:noWrap/>
          </w:tcPr>
          <w:p w14:paraId="09A19691"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color w:val="000000"/>
                <w:lang w:eastAsia="en-GB"/>
              </w:rPr>
              <w:t>702</w:t>
            </w:r>
          </w:p>
        </w:tc>
        <w:tc>
          <w:tcPr>
            <w:tcW w:w="827" w:type="dxa"/>
            <w:gridSpan w:val="2"/>
            <w:noWrap/>
          </w:tcPr>
          <w:p w14:paraId="09A19692"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color w:val="000000"/>
                <w:lang w:eastAsia="en-GB"/>
              </w:rPr>
              <w:t>(82.4)</w:t>
            </w:r>
          </w:p>
        </w:tc>
        <w:tc>
          <w:tcPr>
            <w:tcW w:w="551" w:type="dxa"/>
            <w:noWrap/>
          </w:tcPr>
          <w:p w14:paraId="09A19693"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color w:val="000000"/>
                <w:lang w:eastAsia="en-GB"/>
              </w:rPr>
              <w:t>216</w:t>
            </w:r>
          </w:p>
        </w:tc>
        <w:tc>
          <w:tcPr>
            <w:tcW w:w="1051" w:type="dxa"/>
            <w:noWrap/>
          </w:tcPr>
          <w:p w14:paraId="09A19694"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color w:val="000000"/>
                <w:lang w:eastAsia="en-GB"/>
              </w:rPr>
              <w:t>(82.1)</w:t>
            </w:r>
          </w:p>
        </w:tc>
        <w:tc>
          <w:tcPr>
            <w:tcW w:w="611" w:type="dxa"/>
            <w:noWrap/>
          </w:tcPr>
          <w:p w14:paraId="09A19695"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color w:val="000000"/>
                <w:lang w:eastAsia="en-GB"/>
              </w:rPr>
              <w:t>303</w:t>
            </w:r>
          </w:p>
        </w:tc>
        <w:tc>
          <w:tcPr>
            <w:tcW w:w="740" w:type="dxa"/>
            <w:gridSpan w:val="2"/>
            <w:noWrap/>
          </w:tcPr>
          <w:p w14:paraId="09A19696"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color w:val="000000"/>
                <w:lang w:eastAsia="en-GB"/>
              </w:rPr>
              <w:t>(85.6)</w:t>
            </w:r>
          </w:p>
        </w:tc>
      </w:tr>
      <w:tr w:rsidR="003D79B3" w:rsidRPr="007C6F2E" w14:paraId="09A196A1"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698"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Yes</w:t>
            </w:r>
          </w:p>
        </w:tc>
        <w:tc>
          <w:tcPr>
            <w:tcW w:w="551" w:type="dxa"/>
            <w:noWrap/>
          </w:tcPr>
          <w:p w14:paraId="09A19699"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7</w:t>
            </w:r>
          </w:p>
        </w:tc>
        <w:tc>
          <w:tcPr>
            <w:tcW w:w="1071" w:type="dxa"/>
            <w:noWrap/>
          </w:tcPr>
          <w:p w14:paraId="09A1969A"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(4.8)</w:t>
            </w:r>
          </w:p>
        </w:tc>
        <w:tc>
          <w:tcPr>
            <w:tcW w:w="551" w:type="dxa"/>
            <w:noWrap/>
          </w:tcPr>
          <w:p w14:paraId="09A1969B"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84</w:t>
            </w:r>
          </w:p>
        </w:tc>
        <w:tc>
          <w:tcPr>
            <w:tcW w:w="827" w:type="dxa"/>
            <w:gridSpan w:val="2"/>
            <w:noWrap/>
          </w:tcPr>
          <w:p w14:paraId="09A1969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(9.9)</w:t>
            </w:r>
          </w:p>
        </w:tc>
        <w:tc>
          <w:tcPr>
            <w:tcW w:w="551" w:type="dxa"/>
            <w:noWrap/>
          </w:tcPr>
          <w:p w14:paraId="09A1969D"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16</w:t>
            </w:r>
          </w:p>
        </w:tc>
        <w:tc>
          <w:tcPr>
            <w:tcW w:w="1051" w:type="dxa"/>
            <w:noWrap/>
          </w:tcPr>
          <w:p w14:paraId="09A1969E"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(6.1)</w:t>
            </w:r>
          </w:p>
        </w:tc>
        <w:tc>
          <w:tcPr>
            <w:tcW w:w="611" w:type="dxa"/>
            <w:noWrap/>
          </w:tcPr>
          <w:p w14:paraId="09A1969F"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30</w:t>
            </w:r>
          </w:p>
        </w:tc>
        <w:tc>
          <w:tcPr>
            <w:tcW w:w="740" w:type="dxa"/>
            <w:gridSpan w:val="2"/>
            <w:noWrap/>
          </w:tcPr>
          <w:p w14:paraId="09A196A0"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(8.5)</w:t>
            </w:r>
          </w:p>
        </w:tc>
      </w:tr>
      <w:tr w:rsidR="003D79B3" w:rsidRPr="007C6F2E" w14:paraId="09A196AB"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6A2" w14:textId="77777777" w:rsidR="003D79B3" w:rsidRPr="007C6F2E" w:rsidRDefault="003D79B3" w:rsidP="00D30A83">
            <w:pPr>
              <w:spacing w:after="0" w:line="480" w:lineRule="auto"/>
              <w:rPr>
                <w:rFonts w:ascii="Calibri" w:eastAsia="Times New Roman" w:hAnsi="Calibri" w:cs="Calibri"/>
                <w:color w:val="000000"/>
                <w:lang w:eastAsia="en-GB"/>
              </w:rPr>
            </w:pPr>
            <w:r w:rsidRPr="007C6F2E">
              <w:rPr>
                <w:rFonts w:ascii="Calibri" w:eastAsia="Times New Roman" w:hAnsi="Calibri" w:cs="Calibri"/>
                <w:b w:val="0"/>
                <w:color w:val="000000"/>
                <w:lang w:eastAsia="en-GB"/>
              </w:rPr>
              <w:t>Missing</w:t>
            </w:r>
          </w:p>
        </w:tc>
        <w:tc>
          <w:tcPr>
            <w:tcW w:w="551" w:type="dxa"/>
            <w:noWrap/>
          </w:tcPr>
          <w:p w14:paraId="09A196A3"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13</w:t>
            </w:r>
          </w:p>
        </w:tc>
        <w:tc>
          <w:tcPr>
            <w:tcW w:w="1071" w:type="dxa"/>
            <w:noWrap/>
          </w:tcPr>
          <w:p w14:paraId="09A196A4"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(9.0)</w:t>
            </w:r>
          </w:p>
        </w:tc>
        <w:tc>
          <w:tcPr>
            <w:tcW w:w="551" w:type="dxa"/>
            <w:noWrap/>
          </w:tcPr>
          <w:p w14:paraId="09A196A5"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66</w:t>
            </w:r>
          </w:p>
        </w:tc>
        <w:tc>
          <w:tcPr>
            <w:tcW w:w="827" w:type="dxa"/>
            <w:gridSpan w:val="2"/>
            <w:noWrap/>
          </w:tcPr>
          <w:p w14:paraId="09A196A6"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(7.7)</w:t>
            </w:r>
          </w:p>
        </w:tc>
        <w:tc>
          <w:tcPr>
            <w:tcW w:w="551" w:type="dxa"/>
            <w:noWrap/>
          </w:tcPr>
          <w:p w14:paraId="09A196A7"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31</w:t>
            </w:r>
          </w:p>
        </w:tc>
        <w:tc>
          <w:tcPr>
            <w:tcW w:w="1051" w:type="dxa"/>
            <w:noWrap/>
          </w:tcPr>
          <w:p w14:paraId="09A196A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(11.8)</w:t>
            </w:r>
          </w:p>
        </w:tc>
        <w:tc>
          <w:tcPr>
            <w:tcW w:w="611" w:type="dxa"/>
            <w:noWrap/>
          </w:tcPr>
          <w:p w14:paraId="09A196A9"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21</w:t>
            </w:r>
          </w:p>
        </w:tc>
        <w:tc>
          <w:tcPr>
            <w:tcW w:w="740" w:type="dxa"/>
            <w:gridSpan w:val="2"/>
            <w:noWrap/>
          </w:tcPr>
          <w:p w14:paraId="09A196AA"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(5.9)</w:t>
            </w:r>
          </w:p>
        </w:tc>
      </w:tr>
      <w:tr w:rsidR="003D79B3" w:rsidRPr="007C6F2E" w14:paraId="09A196B5"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6AC"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i/>
                <w:color w:val="000000"/>
                <w:lang w:eastAsia="en-GB"/>
              </w:rPr>
              <w:t>Among Yes:</w:t>
            </w:r>
          </w:p>
        </w:tc>
        <w:tc>
          <w:tcPr>
            <w:tcW w:w="551" w:type="dxa"/>
            <w:noWrap/>
          </w:tcPr>
          <w:p w14:paraId="09A196AD"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071" w:type="dxa"/>
            <w:noWrap/>
          </w:tcPr>
          <w:p w14:paraId="09A196AE"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551" w:type="dxa"/>
            <w:noWrap/>
          </w:tcPr>
          <w:p w14:paraId="09A196AF"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827" w:type="dxa"/>
            <w:gridSpan w:val="2"/>
            <w:noWrap/>
          </w:tcPr>
          <w:p w14:paraId="09A196B0"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551" w:type="dxa"/>
            <w:noWrap/>
          </w:tcPr>
          <w:p w14:paraId="09A196B1"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051" w:type="dxa"/>
            <w:noWrap/>
          </w:tcPr>
          <w:p w14:paraId="09A196B2"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611" w:type="dxa"/>
            <w:noWrap/>
          </w:tcPr>
          <w:p w14:paraId="09A196B3"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740" w:type="dxa"/>
            <w:gridSpan w:val="2"/>
            <w:noWrap/>
          </w:tcPr>
          <w:p w14:paraId="09A196B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3D79B3" w:rsidRPr="007C6F2E" w14:paraId="09A196BF"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6B6" w14:textId="77777777" w:rsidR="003D79B3" w:rsidRPr="007C6F2E" w:rsidRDefault="003D79B3" w:rsidP="00D30A83">
            <w:pPr>
              <w:spacing w:after="0" w:line="480" w:lineRule="auto"/>
              <w:rPr>
                <w:rFonts w:ascii="Calibri" w:eastAsia="Times New Roman" w:hAnsi="Calibri" w:cs="Calibri"/>
                <w:b w:val="0"/>
                <w:i/>
                <w:color w:val="000000"/>
                <w:lang w:eastAsia="en-GB"/>
              </w:rPr>
            </w:pPr>
            <w:r w:rsidRPr="007C6F2E">
              <w:rPr>
                <w:rFonts w:ascii="Calibri" w:eastAsia="Times New Roman" w:hAnsi="Calibri" w:cs="Calibri"/>
                <w:b w:val="0"/>
                <w:i/>
                <w:iCs/>
                <w:color w:val="000000"/>
                <w:lang w:eastAsia="en-GB"/>
              </w:rPr>
              <w:t>- Cetuximab</w:t>
            </w:r>
          </w:p>
        </w:tc>
        <w:tc>
          <w:tcPr>
            <w:tcW w:w="551" w:type="dxa"/>
            <w:noWrap/>
          </w:tcPr>
          <w:p w14:paraId="09A196B7"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0</w:t>
            </w:r>
          </w:p>
        </w:tc>
        <w:tc>
          <w:tcPr>
            <w:tcW w:w="1071" w:type="dxa"/>
            <w:noWrap/>
          </w:tcPr>
          <w:p w14:paraId="09A196B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w:t>
            </w:r>
          </w:p>
        </w:tc>
        <w:tc>
          <w:tcPr>
            <w:tcW w:w="551" w:type="dxa"/>
            <w:noWrap/>
          </w:tcPr>
          <w:p w14:paraId="09A196B9"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10</w:t>
            </w:r>
          </w:p>
        </w:tc>
        <w:tc>
          <w:tcPr>
            <w:tcW w:w="827" w:type="dxa"/>
            <w:gridSpan w:val="2"/>
            <w:noWrap/>
          </w:tcPr>
          <w:p w14:paraId="09A196BA"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(11.9)</w:t>
            </w:r>
          </w:p>
        </w:tc>
        <w:tc>
          <w:tcPr>
            <w:tcW w:w="551" w:type="dxa"/>
            <w:noWrap/>
          </w:tcPr>
          <w:p w14:paraId="09A196BB"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2</w:t>
            </w:r>
          </w:p>
        </w:tc>
        <w:tc>
          <w:tcPr>
            <w:tcW w:w="1051" w:type="dxa"/>
            <w:noWrap/>
          </w:tcPr>
          <w:p w14:paraId="09A196BC"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(0.8)</w:t>
            </w:r>
          </w:p>
        </w:tc>
        <w:tc>
          <w:tcPr>
            <w:tcW w:w="611" w:type="dxa"/>
            <w:noWrap/>
          </w:tcPr>
          <w:p w14:paraId="09A196BD"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3</w:t>
            </w:r>
          </w:p>
        </w:tc>
        <w:tc>
          <w:tcPr>
            <w:tcW w:w="740" w:type="dxa"/>
            <w:gridSpan w:val="2"/>
            <w:noWrap/>
          </w:tcPr>
          <w:p w14:paraId="09A196BE"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(0.9)</w:t>
            </w:r>
          </w:p>
        </w:tc>
      </w:tr>
      <w:tr w:rsidR="003D79B3" w:rsidRPr="007C6F2E" w14:paraId="09A196C9"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6C0" w14:textId="77777777" w:rsidR="003D79B3" w:rsidRPr="007C6F2E" w:rsidRDefault="003D79B3" w:rsidP="00D30A83">
            <w:pPr>
              <w:spacing w:after="0" w:line="480" w:lineRule="auto"/>
              <w:rPr>
                <w:rFonts w:ascii="Calibri" w:eastAsia="Times New Roman" w:hAnsi="Calibri" w:cs="Calibri"/>
                <w:b w:val="0"/>
                <w:i/>
                <w:iCs/>
                <w:color w:val="000000"/>
                <w:lang w:eastAsia="en-GB"/>
              </w:rPr>
            </w:pPr>
            <w:r w:rsidRPr="007C6F2E">
              <w:rPr>
                <w:rFonts w:ascii="Calibri" w:eastAsia="Times New Roman" w:hAnsi="Calibri" w:cs="Calibri"/>
                <w:b w:val="0"/>
                <w:i/>
                <w:iCs/>
                <w:color w:val="000000"/>
                <w:lang w:eastAsia="en-GB"/>
              </w:rPr>
              <w:t>- Avastin</w:t>
            </w:r>
          </w:p>
        </w:tc>
        <w:tc>
          <w:tcPr>
            <w:tcW w:w="551" w:type="dxa"/>
            <w:noWrap/>
          </w:tcPr>
          <w:p w14:paraId="09A196C1"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6</w:t>
            </w:r>
          </w:p>
        </w:tc>
        <w:tc>
          <w:tcPr>
            <w:tcW w:w="1071" w:type="dxa"/>
            <w:noWrap/>
          </w:tcPr>
          <w:p w14:paraId="09A196C2"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(85.7)</w:t>
            </w:r>
          </w:p>
        </w:tc>
        <w:tc>
          <w:tcPr>
            <w:tcW w:w="551" w:type="dxa"/>
            <w:noWrap/>
          </w:tcPr>
          <w:p w14:paraId="09A196C3"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65</w:t>
            </w:r>
          </w:p>
        </w:tc>
        <w:tc>
          <w:tcPr>
            <w:tcW w:w="827" w:type="dxa"/>
            <w:gridSpan w:val="2"/>
            <w:noWrap/>
          </w:tcPr>
          <w:p w14:paraId="09A196C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(77.4)</w:t>
            </w:r>
          </w:p>
        </w:tc>
        <w:tc>
          <w:tcPr>
            <w:tcW w:w="551" w:type="dxa"/>
            <w:noWrap/>
          </w:tcPr>
          <w:p w14:paraId="09A196C5"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13</w:t>
            </w:r>
          </w:p>
        </w:tc>
        <w:tc>
          <w:tcPr>
            <w:tcW w:w="1051" w:type="dxa"/>
            <w:noWrap/>
          </w:tcPr>
          <w:p w14:paraId="09A196C6"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(4.9)</w:t>
            </w:r>
          </w:p>
        </w:tc>
        <w:tc>
          <w:tcPr>
            <w:tcW w:w="611" w:type="dxa"/>
            <w:noWrap/>
          </w:tcPr>
          <w:p w14:paraId="09A196C7"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23</w:t>
            </w:r>
          </w:p>
        </w:tc>
        <w:tc>
          <w:tcPr>
            <w:tcW w:w="740" w:type="dxa"/>
            <w:gridSpan w:val="2"/>
            <w:noWrap/>
          </w:tcPr>
          <w:p w14:paraId="09A196C8"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(6.5)</w:t>
            </w:r>
          </w:p>
        </w:tc>
      </w:tr>
      <w:tr w:rsidR="003D79B3" w:rsidRPr="007C6F2E" w14:paraId="09A196D3"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6CA" w14:textId="77777777" w:rsidR="003D79B3" w:rsidRPr="007C6F2E" w:rsidRDefault="003D79B3" w:rsidP="00D30A83">
            <w:pPr>
              <w:spacing w:after="0" w:line="480" w:lineRule="auto"/>
              <w:rPr>
                <w:rFonts w:ascii="Calibri" w:eastAsia="Times New Roman" w:hAnsi="Calibri" w:cs="Calibri"/>
                <w:b w:val="0"/>
                <w:i/>
                <w:iCs/>
                <w:color w:val="000000"/>
                <w:lang w:eastAsia="en-GB"/>
              </w:rPr>
            </w:pPr>
            <w:r w:rsidRPr="007C6F2E">
              <w:rPr>
                <w:rFonts w:ascii="Calibri" w:eastAsia="Times New Roman" w:hAnsi="Calibri" w:cs="Calibri"/>
                <w:b w:val="0"/>
                <w:i/>
                <w:iCs/>
                <w:color w:val="000000"/>
                <w:lang w:eastAsia="en-GB"/>
              </w:rPr>
              <w:t>- Cetuximab &amp; Avastin</w:t>
            </w:r>
          </w:p>
        </w:tc>
        <w:tc>
          <w:tcPr>
            <w:tcW w:w="551" w:type="dxa"/>
            <w:noWrap/>
          </w:tcPr>
          <w:p w14:paraId="09A196CB"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0</w:t>
            </w:r>
          </w:p>
        </w:tc>
        <w:tc>
          <w:tcPr>
            <w:tcW w:w="1071" w:type="dxa"/>
            <w:noWrap/>
          </w:tcPr>
          <w:p w14:paraId="09A196CC"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w:t>
            </w:r>
          </w:p>
        </w:tc>
        <w:tc>
          <w:tcPr>
            <w:tcW w:w="551" w:type="dxa"/>
            <w:noWrap/>
          </w:tcPr>
          <w:p w14:paraId="09A196CD"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3</w:t>
            </w:r>
          </w:p>
        </w:tc>
        <w:tc>
          <w:tcPr>
            <w:tcW w:w="827" w:type="dxa"/>
            <w:gridSpan w:val="2"/>
            <w:noWrap/>
          </w:tcPr>
          <w:p w14:paraId="09A196CE"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(3.6)</w:t>
            </w:r>
          </w:p>
        </w:tc>
        <w:tc>
          <w:tcPr>
            <w:tcW w:w="551" w:type="dxa"/>
            <w:noWrap/>
          </w:tcPr>
          <w:p w14:paraId="09A196CF"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0</w:t>
            </w:r>
          </w:p>
        </w:tc>
        <w:tc>
          <w:tcPr>
            <w:tcW w:w="1051" w:type="dxa"/>
            <w:noWrap/>
          </w:tcPr>
          <w:p w14:paraId="09A196D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w:t>
            </w:r>
          </w:p>
        </w:tc>
        <w:tc>
          <w:tcPr>
            <w:tcW w:w="611" w:type="dxa"/>
            <w:noWrap/>
          </w:tcPr>
          <w:p w14:paraId="09A196D1"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0</w:t>
            </w:r>
          </w:p>
        </w:tc>
        <w:tc>
          <w:tcPr>
            <w:tcW w:w="740" w:type="dxa"/>
            <w:gridSpan w:val="2"/>
            <w:noWrap/>
          </w:tcPr>
          <w:p w14:paraId="09A196D2"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w:t>
            </w:r>
          </w:p>
        </w:tc>
      </w:tr>
      <w:tr w:rsidR="003D79B3" w:rsidRPr="007C6F2E" w14:paraId="09A196DD"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6D4" w14:textId="77777777" w:rsidR="003D79B3" w:rsidRPr="007C6F2E" w:rsidRDefault="003D79B3" w:rsidP="00D30A83">
            <w:pPr>
              <w:spacing w:after="0" w:line="480" w:lineRule="auto"/>
              <w:rPr>
                <w:rFonts w:ascii="Calibri" w:eastAsia="Times New Roman" w:hAnsi="Calibri" w:cs="Calibri"/>
                <w:b w:val="0"/>
                <w:i/>
                <w:iCs/>
                <w:color w:val="000000"/>
                <w:lang w:eastAsia="en-GB"/>
              </w:rPr>
            </w:pPr>
            <w:r w:rsidRPr="007C6F2E">
              <w:rPr>
                <w:rFonts w:ascii="Calibri" w:eastAsia="Times New Roman" w:hAnsi="Calibri" w:cs="Calibri"/>
                <w:b w:val="0"/>
                <w:i/>
                <w:iCs/>
                <w:color w:val="000000"/>
                <w:lang w:eastAsia="en-GB"/>
              </w:rPr>
              <w:t>- Panitumumab</w:t>
            </w:r>
          </w:p>
        </w:tc>
        <w:tc>
          <w:tcPr>
            <w:tcW w:w="551" w:type="dxa"/>
            <w:noWrap/>
          </w:tcPr>
          <w:p w14:paraId="09A196D5"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1</w:t>
            </w:r>
          </w:p>
        </w:tc>
        <w:tc>
          <w:tcPr>
            <w:tcW w:w="1071" w:type="dxa"/>
            <w:noWrap/>
          </w:tcPr>
          <w:p w14:paraId="09A196D6"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(14.3)</w:t>
            </w:r>
          </w:p>
        </w:tc>
        <w:tc>
          <w:tcPr>
            <w:tcW w:w="551" w:type="dxa"/>
            <w:noWrap/>
          </w:tcPr>
          <w:p w14:paraId="09A196D7"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3</w:t>
            </w:r>
          </w:p>
        </w:tc>
        <w:tc>
          <w:tcPr>
            <w:tcW w:w="827" w:type="dxa"/>
            <w:gridSpan w:val="2"/>
            <w:noWrap/>
          </w:tcPr>
          <w:p w14:paraId="09A196D8"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(3.6)</w:t>
            </w:r>
          </w:p>
        </w:tc>
        <w:tc>
          <w:tcPr>
            <w:tcW w:w="551" w:type="dxa"/>
            <w:noWrap/>
          </w:tcPr>
          <w:p w14:paraId="09A196D9"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0</w:t>
            </w:r>
          </w:p>
        </w:tc>
        <w:tc>
          <w:tcPr>
            <w:tcW w:w="1051" w:type="dxa"/>
            <w:noWrap/>
          </w:tcPr>
          <w:p w14:paraId="09A196DA"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w:t>
            </w:r>
          </w:p>
        </w:tc>
        <w:tc>
          <w:tcPr>
            <w:tcW w:w="611" w:type="dxa"/>
            <w:noWrap/>
          </w:tcPr>
          <w:p w14:paraId="09A196DB"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3</w:t>
            </w:r>
          </w:p>
        </w:tc>
        <w:tc>
          <w:tcPr>
            <w:tcW w:w="740" w:type="dxa"/>
            <w:gridSpan w:val="2"/>
            <w:noWrap/>
          </w:tcPr>
          <w:p w14:paraId="09A196D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(0.9)</w:t>
            </w:r>
          </w:p>
        </w:tc>
      </w:tr>
      <w:tr w:rsidR="003D79B3" w:rsidRPr="007C6F2E" w14:paraId="09A196E7"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6DE" w14:textId="77777777" w:rsidR="003D79B3" w:rsidRPr="007C6F2E" w:rsidRDefault="003D79B3" w:rsidP="00D30A83">
            <w:pPr>
              <w:spacing w:after="0" w:line="480" w:lineRule="auto"/>
              <w:rPr>
                <w:rFonts w:ascii="Calibri" w:eastAsia="Times New Roman" w:hAnsi="Calibri" w:cs="Calibri"/>
                <w:b w:val="0"/>
                <w:i/>
                <w:iCs/>
                <w:color w:val="000000"/>
                <w:lang w:eastAsia="en-GB"/>
              </w:rPr>
            </w:pPr>
            <w:r w:rsidRPr="007C6F2E">
              <w:rPr>
                <w:rFonts w:ascii="Calibri" w:eastAsia="Times New Roman" w:hAnsi="Calibri" w:cs="Calibri"/>
                <w:b w:val="0"/>
                <w:i/>
                <w:iCs/>
                <w:color w:val="000000"/>
                <w:lang w:eastAsia="en-GB"/>
              </w:rPr>
              <w:t>- Other</w:t>
            </w:r>
          </w:p>
        </w:tc>
        <w:tc>
          <w:tcPr>
            <w:tcW w:w="551" w:type="dxa"/>
            <w:noWrap/>
          </w:tcPr>
          <w:p w14:paraId="09A196DF"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0</w:t>
            </w:r>
          </w:p>
        </w:tc>
        <w:tc>
          <w:tcPr>
            <w:tcW w:w="1071" w:type="dxa"/>
            <w:noWrap/>
          </w:tcPr>
          <w:p w14:paraId="09A196E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w:t>
            </w:r>
          </w:p>
        </w:tc>
        <w:tc>
          <w:tcPr>
            <w:tcW w:w="551" w:type="dxa"/>
            <w:noWrap/>
          </w:tcPr>
          <w:p w14:paraId="09A196E1"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3</w:t>
            </w:r>
          </w:p>
        </w:tc>
        <w:tc>
          <w:tcPr>
            <w:tcW w:w="827" w:type="dxa"/>
            <w:gridSpan w:val="2"/>
            <w:noWrap/>
          </w:tcPr>
          <w:p w14:paraId="09A196E2"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(3.6)</w:t>
            </w:r>
          </w:p>
        </w:tc>
        <w:tc>
          <w:tcPr>
            <w:tcW w:w="551" w:type="dxa"/>
            <w:noWrap/>
          </w:tcPr>
          <w:p w14:paraId="09A196E3"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1</w:t>
            </w:r>
          </w:p>
        </w:tc>
        <w:tc>
          <w:tcPr>
            <w:tcW w:w="1051" w:type="dxa"/>
            <w:noWrap/>
          </w:tcPr>
          <w:p w14:paraId="09A196E4"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(0.4)</w:t>
            </w:r>
          </w:p>
        </w:tc>
        <w:tc>
          <w:tcPr>
            <w:tcW w:w="611" w:type="dxa"/>
            <w:noWrap/>
          </w:tcPr>
          <w:p w14:paraId="09A196E5"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1</w:t>
            </w:r>
          </w:p>
        </w:tc>
        <w:tc>
          <w:tcPr>
            <w:tcW w:w="740" w:type="dxa"/>
            <w:gridSpan w:val="2"/>
            <w:noWrap/>
          </w:tcPr>
          <w:p w14:paraId="09A196E6"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(0.3)</w:t>
            </w:r>
          </w:p>
        </w:tc>
      </w:tr>
      <w:tr w:rsidR="003D79B3" w:rsidRPr="007C6F2E" w14:paraId="09A196F1"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6E8" w14:textId="77777777" w:rsidR="003D79B3" w:rsidRPr="007C6F2E" w:rsidRDefault="003D79B3" w:rsidP="00D30A83">
            <w:pPr>
              <w:spacing w:after="0" w:line="480" w:lineRule="auto"/>
              <w:rPr>
                <w:rFonts w:ascii="Calibri" w:eastAsia="Times New Roman" w:hAnsi="Calibri" w:cs="Calibri"/>
                <w:i/>
                <w:iCs/>
                <w:color w:val="000000"/>
                <w:lang w:eastAsia="en-GB"/>
              </w:rPr>
            </w:pPr>
            <w:r w:rsidRPr="007C6F2E">
              <w:rPr>
                <w:rFonts w:ascii="Calibri" w:eastAsia="Times New Roman" w:hAnsi="Calibri" w:cs="Calibri"/>
                <w:color w:val="000000"/>
                <w:lang w:eastAsia="en-GB"/>
              </w:rPr>
              <w:t>Stoma</w:t>
            </w:r>
          </w:p>
        </w:tc>
        <w:tc>
          <w:tcPr>
            <w:tcW w:w="551" w:type="dxa"/>
            <w:noWrap/>
          </w:tcPr>
          <w:p w14:paraId="09A196E9"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p>
        </w:tc>
        <w:tc>
          <w:tcPr>
            <w:tcW w:w="1071" w:type="dxa"/>
            <w:noWrap/>
          </w:tcPr>
          <w:p w14:paraId="09A196EA"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p>
        </w:tc>
        <w:tc>
          <w:tcPr>
            <w:tcW w:w="551" w:type="dxa"/>
            <w:noWrap/>
          </w:tcPr>
          <w:p w14:paraId="09A196EB"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p>
        </w:tc>
        <w:tc>
          <w:tcPr>
            <w:tcW w:w="827" w:type="dxa"/>
            <w:gridSpan w:val="2"/>
            <w:noWrap/>
          </w:tcPr>
          <w:p w14:paraId="09A196E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p>
        </w:tc>
        <w:tc>
          <w:tcPr>
            <w:tcW w:w="551" w:type="dxa"/>
            <w:noWrap/>
          </w:tcPr>
          <w:p w14:paraId="09A196ED"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p>
        </w:tc>
        <w:tc>
          <w:tcPr>
            <w:tcW w:w="1051" w:type="dxa"/>
            <w:noWrap/>
          </w:tcPr>
          <w:p w14:paraId="09A196EE"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p>
        </w:tc>
        <w:tc>
          <w:tcPr>
            <w:tcW w:w="611" w:type="dxa"/>
            <w:noWrap/>
          </w:tcPr>
          <w:p w14:paraId="09A196EF"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p>
        </w:tc>
        <w:tc>
          <w:tcPr>
            <w:tcW w:w="740" w:type="dxa"/>
            <w:gridSpan w:val="2"/>
            <w:noWrap/>
          </w:tcPr>
          <w:p w14:paraId="09A196F0"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p>
        </w:tc>
      </w:tr>
      <w:tr w:rsidR="003D79B3" w:rsidRPr="007C6F2E" w14:paraId="09A196FB"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6F2"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No</w:t>
            </w:r>
          </w:p>
        </w:tc>
        <w:tc>
          <w:tcPr>
            <w:tcW w:w="551" w:type="dxa"/>
            <w:noWrap/>
          </w:tcPr>
          <w:p w14:paraId="09A196F3"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color w:val="000000"/>
                <w:lang w:eastAsia="en-GB"/>
              </w:rPr>
              <w:t>86</w:t>
            </w:r>
          </w:p>
        </w:tc>
        <w:tc>
          <w:tcPr>
            <w:tcW w:w="1071" w:type="dxa"/>
            <w:noWrap/>
          </w:tcPr>
          <w:p w14:paraId="09A196F4"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color w:val="000000"/>
                <w:lang w:eastAsia="en-GB"/>
              </w:rPr>
              <w:t>(59.3)</w:t>
            </w:r>
          </w:p>
        </w:tc>
        <w:tc>
          <w:tcPr>
            <w:tcW w:w="551" w:type="dxa"/>
            <w:noWrap/>
          </w:tcPr>
          <w:p w14:paraId="09A196F5"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color w:val="000000"/>
                <w:lang w:eastAsia="en-GB"/>
              </w:rPr>
              <w:t>538</w:t>
            </w:r>
          </w:p>
        </w:tc>
        <w:tc>
          <w:tcPr>
            <w:tcW w:w="827" w:type="dxa"/>
            <w:gridSpan w:val="2"/>
            <w:noWrap/>
          </w:tcPr>
          <w:p w14:paraId="09A196F6"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color w:val="000000"/>
                <w:lang w:eastAsia="en-GB"/>
              </w:rPr>
              <w:t>(62.8)</w:t>
            </w:r>
          </w:p>
        </w:tc>
        <w:tc>
          <w:tcPr>
            <w:tcW w:w="551" w:type="dxa"/>
            <w:noWrap/>
          </w:tcPr>
          <w:p w14:paraId="09A196F7"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color w:val="000000"/>
                <w:lang w:eastAsia="en-GB"/>
              </w:rPr>
              <w:t>164</w:t>
            </w:r>
          </w:p>
        </w:tc>
        <w:tc>
          <w:tcPr>
            <w:tcW w:w="1051" w:type="dxa"/>
            <w:noWrap/>
          </w:tcPr>
          <w:p w14:paraId="09A196F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color w:val="000000"/>
                <w:lang w:eastAsia="en-GB"/>
              </w:rPr>
              <w:t>(62.4)</w:t>
            </w:r>
          </w:p>
        </w:tc>
        <w:tc>
          <w:tcPr>
            <w:tcW w:w="611" w:type="dxa"/>
            <w:noWrap/>
          </w:tcPr>
          <w:p w14:paraId="09A196F9"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color w:val="000000"/>
                <w:lang w:eastAsia="en-GB"/>
              </w:rPr>
              <w:t>238</w:t>
            </w:r>
          </w:p>
        </w:tc>
        <w:tc>
          <w:tcPr>
            <w:tcW w:w="740" w:type="dxa"/>
            <w:gridSpan w:val="2"/>
            <w:noWrap/>
          </w:tcPr>
          <w:p w14:paraId="09A196FA"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color w:val="000000"/>
                <w:lang w:eastAsia="en-GB"/>
              </w:rPr>
              <w:t>(67.2)</w:t>
            </w:r>
          </w:p>
        </w:tc>
      </w:tr>
      <w:tr w:rsidR="003D79B3" w:rsidRPr="007C6F2E" w14:paraId="09A19705"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6FC"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b w:val="0"/>
                <w:color w:val="000000"/>
                <w:lang w:eastAsia="en-GB"/>
              </w:rPr>
              <w:t>Yes</w:t>
            </w:r>
          </w:p>
        </w:tc>
        <w:tc>
          <w:tcPr>
            <w:tcW w:w="551" w:type="dxa"/>
            <w:noWrap/>
          </w:tcPr>
          <w:p w14:paraId="09A196FD"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56</w:t>
            </w:r>
          </w:p>
        </w:tc>
        <w:tc>
          <w:tcPr>
            <w:tcW w:w="1071" w:type="dxa"/>
            <w:noWrap/>
          </w:tcPr>
          <w:p w14:paraId="09A196FE"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(38.6)</w:t>
            </w:r>
          </w:p>
        </w:tc>
        <w:tc>
          <w:tcPr>
            <w:tcW w:w="551" w:type="dxa"/>
            <w:noWrap/>
          </w:tcPr>
          <w:p w14:paraId="09A196FF"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302</w:t>
            </w:r>
          </w:p>
        </w:tc>
        <w:tc>
          <w:tcPr>
            <w:tcW w:w="827" w:type="dxa"/>
            <w:gridSpan w:val="2"/>
            <w:noWrap/>
          </w:tcPr>
          <w:p w14:paraId="09A19700"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(35.2)</w:t>
            </w:r>
          </w:p>
        </w:tc>
        <w:tc>
          <w:tcPr>
            <w:tcW w:w="551" w:type="dxa"/>
            <w:noWrap/>
          </w:tcPr>
          <w:p w14:paraId="09A19701"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93</w:t>
            </w:r>
          </w:p>
        </w:tc>
        <w:tc>
          <w:tcPr>
            <w:tcW w:w="1051" w:type="dxa"/>
            <w:noWrap/>
          </w:tcPr>
          <w:p w14:paraId="09A19702"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(35.4)</w:t>
            </w:r>
          </w:p>
        </w:tc>
        <w:tc>
          <w:tcPr>
            <w:tcW w:w="611" w:type="dxa"/>
            <w:noWrap/>
          </w:tcPr>
          <w:p w14:paraId="09A19703"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113</w:t>
            </w:r>
          </w:p>
        </w:tc>
        <w:tc>
          <w:tcPr>
            <w:tcW w:w="740" w:type="dxa"/>
            <w:gridSpan w:val="2"/>
            <w:noWrap/>
          </w:tcPr>
          <w:p w14:paraId="09A1970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(31.9)</w:t>
            </w:r>
          </w:p>
        </w:tc>
      </w:tr>
      <w:tr w:rsidR="003D79B3" w:rsidRPr="007C6F2E" w14:paraId="09A1970F"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706" w14:textId="77777777" w:rsidR="003D79B3" w:rsidRPr="007C6F2E" w:rsidRDefault="003D79B3" w:rsidP="00D30A83">
            <w:pPr>
              <w:spacing w:after="0" w:line="480" w:lineRule="auto"/>
              <w:rPr>
                <w:rFonts w:ascii="Calibri" w:eastAsia="Times New Roman" w:hAnsi="Calibri" w:cs="Calibri"/>
                <w:color w:val="000000"/>
                <w:lang w:eastAsia="en-GB"/>
              </w:rPr>
            </w:pPr>
            <w:r w:rsidRPr="007C6F2E">
              <w:rPr>
                <w:rFonts w:ascii="Calibri" w:eastAsia="Times New Roman" w:hAnsi="Calibri" w:cs="Calibri"/>
                <w:b w:val="0"/>
                <w:color w:val="000000"/>
                <w:lang w:eastAsia="en-GB"/>
              </w:rPr>
              <w:lastRenderedPageBreak/>
              <w:t>Missing</w:t>
            </w:r>
          </w:p>
        </w:tc>
        <w:tc>
          <w:tcPr>
            <w:tcW w:w="551" w:type="dxa"/>
            <w:noWrap/>
          </w:tcPr>
          <w:p w14:paraId="09A19707"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w:t>
            </w:r>
          </w:p>
        </w:tc>
        <w:tc>
          <w:tcPr>
            <w:tcW w:w="1071" w:type="dxa"/>
            <w:noWrap/>
          </w:tcPr>
          <w:p w14:paraId="09A1970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(2.1)</w:t>
            </w:r>
          </w:p>
        </w:tc>
        <w:tc>
          <w:tcPr>
            <w:tcW w:w="551" w:type="dxa"/>
            <w:noWrap/>
          </w:tcPr>
          <w:p w14:paraId="09A19709"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17</w:t>
            </w:r>
          </w:p>
        </w:tc>
        <w:tc>
          <w:tcPr>
            <w:tcW w:w="827" w:type="dxa"/>
            <w:gridSpan w:val="2"/>
            <w:noWrap/>
          </w:tcPr>
          <w:p w14:paraId="09A1970A"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(2.0)</w:t>
            </w:r>
          </w:p>
        </w:tc>
        <w:tc>
          <w:tcPr>
            <w:tcW w:w="551" w:type="dxa"/>
            <w:noWrap/>
          </w:tcPr>
          <w:p w14:paraId="09A1970B"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6</w:t>
            </w:r>
          </w:p>
        </w:tc>
        <w:tc>
          <w:tcPr>
            <w:tcW w:w="1051" w:type="dxa"/>
            <w:noWrap/>
          </w:tcPr>
          <w:p w14:paraId="09A1970C"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(2.3)</w:t>
            </w:r>
          </w:p>
        </w:tc>
        <w:tc>
          <w:tcPr>
            <w:tcW w:w="611" w:type="dxa"/>
            <w:noWrap/>
          </w:tcPr>
          <w:p w14:paraId="09A1970D"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3</w:t>
            </w:r>
          </w:p>
        </w:tc>
        <w:tc>
          <w:tcPr>
            <w:tcW w:w="740" w:type="dxa"/>
            <w:gridSpan w:val="2"/>
            <w:noWrap/>
          </w:tcPr>
          <w:p w14:paraId="09A1970E"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(0.9)</w:t>
            </w:r>
          </w:p>
        </w:tc>
      </w:tr>
      <w:tr w:rsidR="003D79B3" w:rsidRPr="007C6F2E" w14:paraId="09A19719"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710" w14:textId="77777777" w:rsidR="003D79B3" w:rsidRPr="007C6F2E" w:rsidRDefault="003D79B3" w:rsidP="00D30A83">
            <w:pPr>
              <w:spacing w:after="0" w:line="480" w:lineRule="auto"/>
              <w:rPr>
                <w:rFonts w:ascii="Calibri" w:eastAsia="Times New Roman" w:hAnsi="Calibri" w:cs="Calibri"/>
                <w:b w:val="0"/>
                <w:color w:val="000000"/>
                <w:lang w:eastAsia="en-GB"/>
              </w:rPr>
            </w:pPr>
            <w:r w:rsidRPr="007C6F2E">
              <w:rPr>
                <w:rFonts w:ascii="Calibri" w:eastAsia="Times New Roman" w:hAnsi="Calibri" w:cs="Calibri"/>
                <w:i/>
                <w:color w:val="000000"/>
                <w:lang w:eastAsia="en-GB"/>
              </w:rPr>
              <w:t>Among Yes:</w:t>
            </w:r>
          </w:p>
        </w:tc>
        <w:tc>
          <w:tcPr>
            <w:tcW w:w="551" w:type="dxa"/>
            <w:noWrap/>
          </w:tcPr>
          <w:p w14:paraId="09A19711"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071" w:type="dxa"/>
            <w:noWrap/>
          </w:tcPr>
          <w:p w14:paraId="09A19712"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551" w:type="dxa"/>
            <w:noWrap/>
          </w:tcPr>
          <w:p w14:paraId="09A19713"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827" w:type="dxa"/>
            <w:gridSpan w:val="2"/>
            <w:noWrap/>
          </w:tcPr>
          <w:p w14:paraId="09A19714"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551" w:type="dxa"/>
            <w:noWrap/>
          </w:tcPr>
          <w:p w14:paraId="09A19715"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051" w:type="dxa"/>
            <w:noWrap/>
          </w:tcPr>
          <w:p w14:paraId="09A19716"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611" w:type="dxa"/>
            <w:noWrap/>
          </w:tcPr>
          <w:p w14:paraId="09A19717"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740" w:type="dxa"/>
            <w:gridSpan w:val="2"/>
            <w:noWrap/>
          </w:tcPr>
          <w:p w14:paraId="09A19718"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3D79B3" w:rsidRPr="007C6F2E" w14:paraId="09A19723"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71A" w14:textId="77777777" w:rsidR="003D79B3" w:rsidRPr="007C6F2E" w:rsidRDefault="003D79B3" w:rsidP="00D30A83">
            <w:pPr>
              <w:spacing w:after="0" w:line="480" w:lineRule="auto"/>
              <w:rPr>
                <w:rFonts w:ascii="Calibri" w:eastAsia="Times New Roman" w:hAnsi="Calibri" w:cs="Calibri"/>
                <w:b w:val="0"/>
                <w:i/>
                <w:color w:val="000000"/>
                <w:lang w:eastAsia="en-GB"/>
              </w:rPr>
            </w:pPr>
            <w:r w:rsidRPr="007C6F2E">
              <w:rPr>
                <w:rFonts w:ascii="Calibri" w:eastAsia="Times New Roman" w:hAnsi="Calibri" w:cs="Calibri"/>
                <w:b w:val="0"/>
                <w:i/>
                <w:iCs/>
                <w:color w:val="000000"/>
                <w:lang w:eastAsia="en-GB"/>
              </w:rPr>
              <w:t>- Temporary</w:t>
            </w:r>
          </w:p>
        </w:tc>
        <w:tc>
          <w:tcPr>
            <w:tcW w:w="551" w:type="dxa"/>
            <w:noWrap/>
          </w:tcPr>
          <w:p w14:paraId="09A1971B"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24</w:t>
            </w:r>
          </w:p>
        </w:tc>
        <w:tc>
          <w:tcPr>
            <w:tcW w:w="1071" w:type="dxa"/>
            <w:noWrap/>
          </w:tcPr>
          <w:p w14:paraId="09A1971C"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(42.9)</w:t>
            </w:r>
          </w:p>
        </w:tc>
        <w:tc>
          <w:tcPr>
            <w:tcW w:w="551" w:type="dxa"/>
            <w:noWrap/>
          </w:tcPr>
          <w:p w14:paraId="09A1971D"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182</w:t>
            </w:r>
          </w:p>
        </w:tc>
        <w:tc>
          <w:tcPr>
            <w:tcW w:w="827" w:type="dxa"/>
            <w:gridSpan w:val="2"/>
            <w:noWrap/>
          </w:tcPr>
          <w:p w14:paraId="09A1971E"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(60.3)</w:t>
            </w:r>
          </w:p>
        </w:tc>
        <w:tc>
          <w:tcPr>
            <w:tcW w:w="551" w:type="dxa"/>
            <w:noWrap/>
          </w:tcPr>
          <w:p w14:paraId="09A1971F"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65</w:t>
            </w:r>
          </w:p>
        </w:tc>
        <w:tc>
          <w:tcPr>
            <w:tcW w:w="1051" w:type="dxa"/>
            <w:noWrap/>
          </w:tcPr>
          <w:p w14:paraId="09A1972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(24.7)</w:t>
            </w:r>
          </w:p>
        </w:tc>
        <w:tc>
          <w:tcPr>
            <w:tcW w:w="611" w:type="dxa"/>
            <w:noWrap/>
          </w:tcPr>
          <w:p w14:paraId="09A19721"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68</w:t>
            </w:r>
          </w:p>
        </w:tc>
        <w:tc>
          <w:tcPr>
            <w:tcW w:w="740" w:type="dxa"/>
            <w:gridSpan w:val="2"/>
            <w:noWrap/>
          </w:tcPr>
          <w:p w14:paraId="09A19722"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i/>
                <w:iCs/>
                <w:color w:val="000000"/>
                <w:lang w:eastAsia="en-GB"/>
              </w:rPr>
              <w:t>(19.2)</w:t>
            </w:r>
          </w:p>
        </w:tc>
      </w:tr>
      <w:tr w:rsidR="003D79B3" w:rsidRPr="007C6F2E" w14:paraId="09A1972D" w14:textId="77777777" w:rsidTr="00D30A83">
        <w:trPr>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724" w14:textId="77777777" w:rsidR="003D79B3" w:rsidRPr="007C6F2E" w:rsidRDefault="003D79B3" w:rsidP="00D30A83">
            <w:pPr>
              <w:spacing w:after="0" w:line="480" w:lineRule="auto"/>
              <w:rPr>
                <w:rFonts w:ascii="Calibri" w:eastAsia="Times New Roman" w:hAnsi="Calibri" w:cs="Calibri"/>
                <w:b w:val="0"/>
                <w:i/>
                <w:iCs/>
                <w:color w:val="000000"/>
                <w:lang w:eastAsia="en-GB"/>
              </w:rPr>
            </w:pPr>
            <w:r w:rsidRPr="007C6F2E">
              <w:rPr>
                <w:rFonts w:ascii="Calibri" w:eastAsia="Times New Roman" w:hAnsi="Calibri" w:cs="Calibri"/>
                <w:b w:val="0"/>
                <w:i/>
                <w:iCs/>
                <w:color w:val="000000"/>
                <w:lang w:eastAsia="en-GB"/>
              </w:rPr>
              <w:t>- Permanent</w:t>
            </w:r>
          </w:p>
        </w:tc>
        <w:tc>
          <w:tcPr>
            <w:tcW w:w="551" w:type="dxa"/>
            <w:noWrap/>
          </w:tcPr>
          <w:p w14:paraId="09A19725"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23</w:t>
            </w:r>
          </w:p>
        </w:tc>
        <w:tc>
          <w:tcPr>
            <w:tcW w:w="1071" w:type="dxa"/>
            <w:noWrap/>
          </w:tcPr>
          <w:p w14:paraId="09A19726"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(41.1)</w:t>
            </w:r>
          </w:p>
        </w:tc>
        <w:tc>
          <w:tcPr>
            <w:tcW w:w="551" w:type="dxa"/>
            <w:noWrap/>
          </w:tcPr>
          <w:p w14:paraId="09A19727"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92</w:t>
            </w:r>
          </w:p>
        </w:tc>
        <w:tc>
          <w:tcPr>
            <w:tcW w:w="827" w:type="dxa"/>
            <w:gridSpan w:val="2"/>
            <w:noWrap/>
          </w:tcPr>
          <w:p w14:paraId="09A19728"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(30.5)</w:t>
            </w:r>
          </w:p>
        </w:tc>
        <w:tc>
          <w:tcPr>
            <w:tcW w:w="551" w:type="dxa"/>
            <w:noWrap/>
          </w:tcPr>
          <w:p w14:paraId="09A19729"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23</w:t>
            </w:r>
          </w:p>
        </w:tc>
        <w:tc>
          <w:tcPr>
            <w:tcW w:w="1051" w:type="dxa"/>
            <w:noWrap/>
          </w:tcPr>
          <w:p w14:paraId="09A1972A"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(8.8)</w:t>
            </w:r>
          </w:p>
        </w:tc>
        <w:tc>
          <w:tcPr>
            <w:tcW w:w="611" w:type="dxa"/>
            <w:noWrap/>
          </w:tcPr>
          <w:p w14:paraId="09A1972B" w14:textId="77777777" w:rsidR="003D79B3" w:rsidRPr="007C6F2E" w:rsidRDefault="003D79B3" w:rsidP="00D30A83">
            <w:pPr>
              <w:spacing w:after="0" w:line="48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36</w:t>
            </w:r>
          </w:p>
        </w:tc>
        <w:tc>
          <w:tcPr>
            <w:tcW w:w="740" w:type="dxa"/>
            <w:gridSpan w:val="2"/>
            <w:noWrap/>
          </w:tcPr>
          <w:p w14:paraId="09A1972C"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(10.2)</w:t>
            </w:r>
          </w:p>
        </w:tc>
      </w:tr>
      <w:tr w:rsidR="003D79B3" w:rsidRPr="007C6F2E" w14:paraId="09A19737" w14:textId="77777777" w:rsidTr="00D30A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3" w:type="dxa"/>
            <w:noWrap/>
          </w:tcPr>
          <w:p w14:paraId="09A1972E" w14:textId="77777777" w:rsidR="003D79B3" w:rsidRPr="007C6F2E" w:rsidRDefault="003D79B3" w:rsidP="00D30A83">
            <w:pPr>
              <w:spacing w:after="0" w:line="480" w:lineRule="auto"/>
              <w:rPr>
                <w:rFonts w:ascii="Calibri" w:eastAsia="Times New Roman" w:hAnsi="Calibri" w:cs="Calibri"/>
                <w:b w:val="0"/>
                <w:i/>
                <w:iCs/>
                <w:color w:val="000000"/>
                <w:lang w:eastAsia="en-GB"/>
              </w:rPr>
            </w:pPr>
            <w:r w:rsidRPr="007C6F2E">
              <w:rPr>
                <w:rFonts w:ascii="Calibri" w:eastAsia="Times New Roman" w:hAnsi="Calibri" w:cs="Calibri"/>
                <w:b w:val="0"/>
                <w:i/>
                <w:iCs/>
                <w:color w:val="000000"/>
                <w:lang w:eastAsia="en-GB"/>
              </w:rPr>
              <w:t xml:space="preserve">- Duration unknown </w:t>
            </w:r>
          </w:p>
        </w:tc>
        <w:tc>
          <w:tcPr>
            <w:tcW w:w="551" w:type="dxa"/>
            <w:noWrap/>
          </w:tcPr>
          <w:p w14:paraId="09A1972F"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9</w:t>
            </w:r>
          </w:p>
        </w:tc>
        <w:tc>
          <w:tcPr>
            <w:tcW w:w="1071" w:type="dxa"/>
            <w:noWrap/>
          </w:tcPr>
          <w:p w14:paraId="09A19730"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(16.1)</w:t>
            </w:r>
          </w:p>
        </w:tc>
        <w:tc>
          <w:tcPr>
            <w:tcW w:w="551" w:type="dxa"/>
            <w:noWrap/>
          </w:tcPr>
          <w:p w14:paraId="09A19731"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28</w:t>
            </w:r>
          </w:p>
        </w:tc>
        <w:tc>
          <w:tcPr>
            <w:tcW w:w="827" w:type="dxa"/>
            <w:gridSpan w:val="2"/>
            <w:noWrap/>
          </w:tcPr>
          <w:p w14:paraId="09A19732"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(9.3)</w:t>
            </w:r>
          </w:p>
        </w:tc>
        <w:tc>
          <w:tcPr>
            <w:tcW w:w="551" w:type="dxa"/>
            <w:noWrap/>
          </w:tcPr>
          <w:p w14:paraId="09A19733"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5</w:t>
            </w:r>
          </w:p>
        </w:tc>
        <w:tc>
          <w:tcPr>
            <w:tcW w:w="1051" w:type="dxa"/>
            <w:noWrap/>
          </w:tcPr>
          <w:p w14:paraId="09A19734"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(1.9)</w:t>
            </w:r>
          </w:p>
        </w:tc>
        <w:tc>
          <w:tcPr>
            <w:tcW w:w="611" w:type="dxa"/>
            <w:noWrap/>
          </w:tcPr>
          <w:p w14:paraId="09A19735" w14:textId="77777777" w:rsidR="003D79B3" w:rsidRPr="007C6F2E" w:rsidRDefault="003D79B3" w:rsidP="00D30A83">
            <w:pPr>
              <w:spacing w:after="0" w:line="48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9</w:t>
            </w:r>
          </w:p>
        </w:tc>
        <w:tc>
          <w:tcPr>
            <w:tcW w:w="740" w:type="dxa"/>
            <w:gridSpan w:val="2"/>
            <w:noWrap/>
          </w:tcPr>
          <w:p w14:paraId="09A19736"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eastAsia="en-GB"/>
              </w:rPr>
            </w:pPr>
            <w:r w:rsidRPr="007C6F2E">
              <w:rPr>
                <w:rFonts w:ascii="Calibri" w:eastAsia="Times New Roman" w:hAnsi="Calibri" w:cs="Calibri"/>
                <w:i/>
                <w:iCs/>
                <w:color w:val="000000"/>
                <w:lang w:eastAsia="en-GB"/>
              </w:rPr>
              <w:t>(2.5)</w:t>
            </w:r>
          </w:p>
        </w:tc>
      </w:tr>
    </w:tbl>
    <w:p w14:paraId="09A19738" w14:textId="77777777" w:rsidR="003D79B3" w:rsidRPr="007C6F2E" w:rsidRDefault="003D79B3" w:rsidP="00D30A83">
      <w:pPr>
        <w:spacing w:before="120" w:after="120" w:line="480" w:lineRule="auto"/>
        <w:rPr>
          <w:bCs/>
          <w:i/>
        </w:rPr>
      </w:pPr>
    </w:p>
    <w:p w14:paraId="09A19739" w14:textId="77777777" w:rsidR="003D79B3" w:rsidRPr="007C6F2E" w:rsidRDefault="003D79B3" w:rsidP="00D30A83">
      <w:pPr>
        <w:spacing w:before="120" w:after="120" w:line="480" w:lineRule="auto"/>
        <w:rPr>
          <w:bCs/>
        </w:rPr>
      </w:pPr>
      <w:r w:rsidRPr="007C6F2E">
        <w:rPr>
          <w:bCs/>
          <w:i/>
        </w:rPr>
        <w:t>Note:</w:t>
      </w:r>
      <w:r w:rsidRPr="007C6F2E">
        <w:rPr>
          <w:bCs/>
        </w:rPr>
        <w:t xml:space="preserve"> none of the above characteristics were significantly different at the 5% level (Chi-square test, excluding missing), with one exception of the cancer detection route by the type of consent (p&lt;0.01);</w:t>
      </w:r>
    </w:p>
    <w:p w14:paraId="09A1973A" w14:textId="77777777" w:rsidR="003D79B3" w:rsidRPr="007C6F2E" w:rsidRDefault="003D79B3" w:rsidP="00D30A83">
      <w:pPr>
        <w:spacing w:after="0" w:line="480" w:lineRule="auto"/>
      </w:pPr>
      <w:r w:rsidRPr="007C6F2E">
        <w:rPr>
          <w:vertAlign w:val="superscript"/>
        </w:rPr>
        <w:t xml:space="preserve">1 </w:t>
      </w:r>
      <w:r w:rsidRPr="007C6F2E">
        <w:t>excluding 15 full consent patients who withdrew at baseline prior to data collection and five patients who did not consent to collection of medical details</w:t>
      </w:r>
    </w:p>
    <w:p w14:paraId="09A1973B" w14:textId="77777777" w:rsidR="003D79B3" w:rsidRPr="007C6F2E" w:rsidRDefault="003D79B3" w:rsidP="00D30A83">
      <w:pPr>
        <w:spacing w:after="120" w:line="480" w:lineRule="auto"/>
      </w:pPr>
      <w:r w:rsidRPr="007C6F2E">
        <w:rPr>
          <w:vertAlign w:val="superscript"/>
        </w:rPr>
        <w:t>+</w:t>
      </w:r>
      <w:r w:rsidRPr="007C6F2E">
        <w:t xml:space="preserve"> Dukes stage could not be determined for 11 full consent patients with small tumours following neo-adjuvant therapy.</w:t>
      </w:r>
    </w:p>
    <w:p w14:paraId="09A1973C" w14:textId="77777777" w:rsidR="003D79B3" w:rsidRPr="007C6F2E" w:rsidRDefault="003D79B3" w:rsidP="00D30A83">
      <w:pPr>
        <w:spacing w:line="480" w:lineRule="auto"/>
      </w:pPr>
    </w:p>
    <w:p w14:paraId="09A1973D" w14:textId="77777777" w:rsidR="003D79B3" w:rsidRPr="007C6F2E" w:rsidRDefault="003D79B3" w:rsidP="00D30A83">
      <w:pPr>
        <w:spacing w:line="480" w:lineRule="auto"/>
      </w:pPr>
      <w:r w:rsidRPr="007C6F2E">
        <w:t>The distribution of socio-demographic characteristics of full consent</w:t>
      </w:r>
      <w:r>
        <w:t>ers</w:t>
      </w:r>
      <w:r w:rsidRPr="007C6F2E">
        <w:t xml:space="preserve"> was broadly similar to reduced consent</w:t>
      </w:r>
      <w:r>
        <w:t>ers</w:t>
      </w:r>
      <w:r w:rsidRPr="007C6F2E">
        <w:t xml:space="preserve"> (Table 2). The only significant difference was age, where full consent</w:t>
      </w:r>
      <w:r>
        <w:t>ers</w:t>
      </w:r>
      <w:r w:rsidRPr="007C6F2E">
        <w:t xml:space="preserve"> were significantly more likely to be younger. </w:t>
      </w:r>
      <w:r>
        <w:t>T</w:t>
      </w:r>
      <w:r w:rsidRPr="007C6F2E">
        <w:t xml:space="preserve">here was significantly more missing data for ethnicity </w:t>
      </w:r>
      <w:r>
        <w:t>for</w:t>
      </w:r>
      <w:r w:rsidRPr="007C6F2E">
        <w:t xml:space="preserve"> full consent</w:t>
      </w:r>
      <w:r>
        <w:t>ers</w:t>
      </w:r>
      <w:r w:rsidRPr="007C6F2E">
        <w:t xml:space="preserve">. </w:t>
      </w:r>
      <w:r>
        <w:t>F</w:t>
      </w:r>
      <w:r w:rsidRPr="007C6F2E">
        <w:t>ull and reduced consent</w:t>
      </w:r>
      <w:r>
        <w:t>ers</w:t>
      </w:r>
      <w:r w:rsidRPr="007C6F2E">
        <w:t xml:space="preserve"> were generally similar in terms of clinical and treatment characteristics (Table 3)</w:t>
      </w:r>
      <w:r>
        <w:t>,</w:t>
      </w:r>
      <w:r w:rsidRPr="007C6F2E">
        <w:t xml:space="preserve"> </w:t>
      </w:r>
      <w:r>
        <w:t>t</w:t>
      </w:r>
      <w:r w:rsidRPr="007C6F2E">
        <w:t>he only significant difference being more screen-detected cases in full consenters (23.0%) compared with the reduced consent</w:t>
      </w:r>
      <w:r>
        <w:t>ers</w:t>
      </w:r>
      <w:r w:rsidRPr="007C6F2E">
        <w:t xml:space="preserve"> (9.0%).</w:t>
      </w:r>
    </w:p>
    <w:p w14:paraId="09A1973E" w14:textId="77777777" w:rsidR="003D79B3" w:rsidRPr="007C6F2E" w:rsidRDefault="003D79B3" w:rsidP="00D30A83">
      <w:pPr>
        <w:spacing w:line="480" w:lineRule="auto"/>
      </w:pPr>
      <w:r w:rsidRPr="007C6F2E">
        <w:t xml:space="preserve">Table 2 and Table 3 present the distributions of characteristics by participation status at 5 years. Table 4 shows significantly different (p&lt;0.05) baseline characteristics of those who returned a questionnaire at five years and those who did not. Excluding those who were deceased or did not participate at baseline, people who did not return a five year questionnaire were significantly more </w:t>
      </w:r>
      <w:r w:rsidRPr="007C6F2E">
        <w:lastRenderedPageBreak/>
        <w:t xml:space="preserve">likely to be </w:t>
      </w:r>
      <w:r w:rsidRPr="007C6F2E">
        <w:rPr>
          <w:rFonts w:cstheme="minorHAnsi"/>
        </w:rPr>
        <w:t>≥</w:t>
      </w:r>
      <w:r w:rsidRPr="007C6F2E">
        <w:t>80 years, of non-White British ethnicity, to not own accommodation (e.g. renting) and report clinical levels of depression (CES-D&gt;=20) at baseline.</w:t>
      </w:r>
    </w:p>
    <w:p w14:paraId="09A1973F" w14:textId="77777777" w:rsidR="003D79B3" w:rsidRPr="007C6F2E" w:rsidRDefault="003D79B3" w:rsidP="00D30A83">
      <w:pPr>
        <w:spacing w:line="480" w:lineRule="auto"/>
        <w:rPr>
          <w:b/>
          <w:bCs/>
        </w:rPr>
      </w:pPr>
      <w:r w:rsidRPr="007C6F2E">
        <w:rPr>
          <w:b/>
          <w:bCs/>
        </w:rPr>
        <w:t>Table 4: Baseline predictors from multivariable logistic regression model of five-year questionnaire withdrawal</w:t>
      </w:r>
    </w:p>
    <w:tbl>
      <w:tblPr>
        <w:tblStyle w:val="PlainTable5"/>
        <w:tblW w:w="5388" w:type="dxa"/>
        <w:jc w:val="center"/>
        <w:tblLook w:val="04A0" w:firstRow="1" w:lastRow="0" w:firstColumn="1" w:lastColumn="0" w:noHBand="0" w:noVBand="1"/>
      </w:tblPr>
      <w:tblGrid>
        <w:gridCol w:w="3261"/>
        <w:gridCol w:w="2127"/>
      </w:tblGrid>
      <w:tr w:rsidR="003D79B3" w:rsidRPr="007C6F2E" w14:paraId="09A19742" w14:textId="77777777" w:rsidTr="00D30A8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100" w:firstRow="0" w:lastRow="0" w:firstColumn="1" w:lastColumn="0" w:oddVBand="0" w:evenVBand="0" w:oddHBand="0" w:evenHBand="0" w:firstRowFirstColumn="1" w:firstRowLastColumn="0" w:lastRowFirstColumn="0" w:lastRowLastColumn="0"/>
            <w:tcW w:w="3261" w:type="dxa"/>
            <w:tcBorders>
              <w:top w:val="single" w:sz="4" w:space="0" w:color="auto"/>
              <w:right w:val="single" w:sz="4" w:space="0" w:color="auto"/>
            </w:tcBorders>
            <w:hideMark/>
          </w:tcPr>
          <w:p w14:paraId="09A19740" w14:textId="77777777" w:rsidR="003D79B3" w:rsidRPr="007C6F2E" w:rsidRDefault="003D79B3" w:rsidP="00D30A83">
            <w:pPr>
              <w:spacing w:after="0" w:line="480" w:lineRule="auto"/>
              <w:contextualSpacing/>
              <w:jc w:val="center"/>
              <w:rPr>
                <w:rFonts w:ascii="Calibri" w:eastAsia="Times New Roman" w:hAnsi="Calibri" w:cs="Calibri"/>
                <w:b/>
                <w:bCs/>
                <w:i w:val="0"/>
                <w:color w:val="000000"/>
                <w:sz w:val="20"/>
                <w:lang w:eastAsia="en-GB"/>
              </w:rPr>
            </w:pPr>
            <w:r w:rsidRPr="007C6F2E">
              <w:rPr>
                <w:rFonts w:ascii="Calibri" w:eastAsia="Times New Roman" w:hAnsi="Calibri" w:cs="Calibri"/>
                <w:b/>
                <w:bCs/>
                <w:i w:val="0"/>
                <w:color w:val="000000"/>
                <w:sz w:val="20"/>
                <w:lang w:eastAsia="en-GB"/>
              </w:rPr>
              <w:t>Covariates</w:t>
            </w:r>
          </w:p>
        </w:tc>
        <w:tc>
          <w:tcPr>
            <w:tcW w:w="2127" w:type="dxa"/>
            <w:tcBorders>
              <w:top w:val="single" w:sz="4" w:space="0" w:color="auto"/>
              <w:left w:val="single" w:sz="4" w:space="0" w:color="auto"/>
            </w:tcBorders>
            <w:hideMark/>
          </w:tcPr>
          <w:p w14:paraId="09A19741" w14:textId="77777777" w:rsidR="003D79B3" w:rsidRPr="007C6F2E" w:rsidRDefault="003D79B3" w:rsidP="00D30A83">
            <w:pPr>
              <w:spacing w:after="0" w:line="480" w:lineRule="auto"/>
              <w:contextualSpacing/>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i w:val="0"/>
                <w:color w:val="000000"/>
                <w:sz w:val="20"/>
                <w:lang w:eastAsia="en-GB"/>
              </w:rPr>
            </w:pPr>
            <w:r w:rsidRPr="007C6F2E">
              <w:rPr>
                <w:rFonts w:ascii="Calibri" w:eastAsia="Times New Roman" w:hAnsi="Calibri" w:cs="Calibri"/>
                <w:b/>
                <w:bCs/>
                <w:i w:val="0"/>
                <w:color w:val="000000"/>
                <w:sz w:val="20"/>
                <w:lang w:eastAsia="en-GB"/>
              </w:rPr>
              <w:t>OR (95% CI)</w:t>
            </w:r>
          </w:p>
        </w:tc>
      </w:tr>
      <w:tr w:rsidR="003D79B3" w:rsidRPr="007C6F2E" w14:paraId="09A19745" w14:textId="77777777" w:rsidTr="00D30A8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noWrap/>
            <w:hideMark/>
          </w:tcPr>
          <w:p w14:paraId="09A19743"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r w:rsidRPr="007C6F2E">
              <w:rPr>
                <w:rFonts w:ascii="Calibri" w:eastAsia="Times New Roman" w:hAnsi="Calibri" w:cs="Calibri"/>
                <w:color w:val="000000"/>
                <w:sz w:val="20"/>
                <w:lang w:eastAsia="en-GB"/>
              </w:rPr>
              <w:t>Age groups (ref: 60 or younger)</w:t>
            </w:r>
          </w:p>
        </w:tc>
        <w:tc>
          <w:tcPr>
            <w:tcW w:w="2127" w:type="dxa"/>
            <w:tcBorders>
              <w:left w:val="single" w:sz="4" w:space="0" w:color="auto"/>
            </w:tcBorders>
            <w:noWrap/>
            <w:hideMark/>
          </w:tcPr>
          <w:p w14:paraId="09A19744"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pPr>
          </w:p>
        </w:tc>
      </w:tr>
      <w:tr w:rsidR="003D79B3" w:rsidRPr="007C6F2E" w14:paraId="09A19748" w14:textId="77777777" w:rsidTr="00D30A83">
        <w:trPr>
          <w:trHeight w:val="283"/>
          <w:jc w:val="center"/>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noWrap/>
            <w:hideMark/>
          </w:tcPr>
          <w:p w14:paraId="09A19746" w14:textId="77777777" w:rsidR="003D79B3" w:rsidRPr="007C6F2E" w:rsidRDefault="003D79B3" w:rsidP="00D30A83">
            <w:pPr>
              <w:spacing w:after="0" w:line="480" w:lineRule="auto"/>
              <w:contextualSpacing/>
              <w:rPr>
                <w:rFonts w:ascii="Calibri" w:eastAsia="Times New Roman" w:hAnsi="Calibri" w:cs="Calibri"/>
                <w:i w:val="0"/>
                <w:color w:val="000000"/>
                <w:sz w:val="20"/>
                <w:lang w:eastAsia="en-GB"/>
              </w:rPr>
            </w:pPr>
            <w:r w:rsidRPr="007C6F2E">
              <w:rPr>
                <w:rFonts w:ascii="Calibri" w:eastAsia="Times New Roman" w:hAnsi="Calibri" w:cs="Calibri"/>
                <w:i w:val="0"/>
                <w:color w:val="000000"/>
                <w:sz w:val="20"/>
                <w:lang w:eastAsia="en-GB"/>
              </w:rPr>
              <w:t>61-70</w:t>
            </w:r>
          </w:p>
        </w:tc>
        <w:tc>
          <w:tcPr>
            <w:tcW w:w="2127" w:type="dxa"/>
            <w:tcBorders>
              <w:left w:val="single" w:sz="4" w:space="0" w:color="auto"/>
            </w:tcBorders>
            <w:noWrap/>
            <w:hideMark/>
          </w:tcPr>
          <w:p w14:paraId="09A19747"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pPr>
            <w:r w:rsidRPr="007C6F2E">
              <w:t>0.76 (0.49; 1.18)</w:t>
            </w:r>
          </w:p>
        </w:tc>
      </w:tr>
      <w:tr w:rsidR="003D79B3" w:rsidRPr="007C6F2E" w14:paraId="09A1974B" w14:textId="77777777" w:rsidTr="00D30A8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noWrap/>
            <w:hideMark/>
          </w:tcPr>
          <w:p w14:paraId="09A19749" w14:textId="77777777" w:rsidR="003D79B3" w:rsidRPr="007C6F2E" w:rsidRDefault="003D79B3" w:rsidP="00D30A83">
            <w:pPr>
              <w:spacing w:after="0" w:line="480" w:lineRule="auto"/>
              <w:contextualSpacing/>
              <w:rPr>
                <w:rFonts w:ascii="Calibri" w:eastAsia="Times New Roman" w:hAnsi="Calibri" w:cs="Calibri"/>
                <w:i w:val="0"/>
                <w:color w:val="000000"/>
                <w:sz w:val="20"/>
                <w:lang w:eastAsia="en-GB"/>
              </w:rPr>
            </w:pPr>
            <w:r w:rsidRPr="007C6F2E">
              <w:rPr>
                <w:rFonts w:ascii="Calibri" w:eastAsia="Times New Roman" w:hAnsi="Calibri" w:cs="Calibri"/>
                <w:i w:val="0"/>
                <w:color w:val="000000"/>
                <w:sz w:val="20"/>
                <w:lang w:eastAsia="en-GB"/>
              </w:rPr>
              <w:t>71-80</w:t>
            </w:r>
          </w:p>
        </w:tc>
        <w:tc>
          <w:tcPr>
            <w:tcW w:w="2127" w:type="dxa"/>
            <w:tcBorders>
              <w:left w:val="single" w:sz="4" w:space="0" w:color="auto"/>
            </w:tcBorders>
            <w:noWrap/>
            <w:hideMark/>
          </w:tcPr>
          <w:p w14:paraId="09A1974A"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pPr>
            <w:r w:rsidRPr="007C6F2E">
              <w:t>1.41 (0.88; 2.26)</w:t>
            </w:r>
          </w:p>
        </w:tc>
      </w:tr>
      <w:tr w:rsidR="003D79B3" w:rsidRPr="007C6F2E" w14:paraId="09A1974E" w14:textId="77777777" w:rsidTr="00D30A83">
        <w:trPr>
          <w:trHeight w:val="283"/>
          <w:jc w:val="center"/>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noWrap/>
            <w:hideMark/>
          </w:tcPr>
          <w:p w14:paraId="09A1974C" w14:textId="77777777" w:rsidR="003D79B3" w:rsidRPr="007C6F2E" w:rsidRDefault="003D79B3" w:rsidP="00D30A83">
            <w:pPr>
              <w:spacing w:after="0" w:line="480" w:lineRule="auto"/>
              <w:contextualSpacing/>
              <w:rPr>
                <w:rFonts w:ascii="Calibri" w:eastAsia="Times New Roman" w:hAnsi="Calibri" w:cs="Calibri"/>
                <w:i w:val="0"/>
                <w:color w:val="000000"/>
                <w:sz w:val="20"/>
                <w:lang w:eastAsia="en-GB"/>
              </w:rPr>
            </w:pPr>
            <w:r w:rsidRPr="007C6F2E">
              <w:rPr>
                <w:rFonts w:ascii="Calibri" w:eastAsia="Times New Roman" w:hAnsi="Calibri" w:cs="Calibri"/>
                <w:i w:val="0"/>
                <w:color w:val="000000"/>
                <w:sz w:val="20"/>
                <w:lang w:eastAsia="en-GB"/>
              </w:rPr>
              <w:t>81+</w:t>
            </w:r>
          </w:p>
        </w:tc>
        <w:tc>
          <w:tcPr>
            <w:tcW w:w="2127" w:type="dxa"/>
            <w:tcBorders>
              <w:left w:val="single" w:sz="4" w:space="0" w:color="auto"/>
            </w:tcBorders>
            <w:noWrap/>
            <w:hideMark/>
          </w:tcPr>
          <w:p w14:paraId="09A1974D"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pPr>
            <w:r w:rsidRPr="007C6F2E">
              <w:t>3.13* (1.54; 6.37)</w:t>
            </w:r>
          </w:p>
        </w:tc>
      </w:tr>
      <w:tr w:rsidR="003D79B3" w:rsidRPr="007C6F2E" w14:paraId="09A19751" w14:textId="77777777" w:rsidTr="00D30A8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noWrap/>
          </w:tcPr>
          <w:p w14:paraId="09A1974F"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p>
        </w:tc>
        <w:tc>
          <w:tcPr>
            <w:tcW w:w="2127" w:type="dxa"/>
            <w:tcBorders>
              <w:left w:val="single" w:sz="4" w:space="0" w:color="auto"/>
            </w:tcBorders>
            <w:noWrap/>
            <w:vAlign w:val="bottom"/>
          </w:tcPr>
          <w:p w14:paraId="09A19750"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3D79B3" w:rsidRPr="007C6F2E" w14:paraId="09A19754" w14:textId="77777777" w:rsidTr="00D30A83">
        <w:trPr>
          <w:trHeight w:val="283"/>
          <w:jc w:val="center"/>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noWrap/>
          </w:tcPr>
          <w:p w14:paraId="09A19752"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r w:rsidRPr="007C6F2E">
              <w:rPr>
                <w:rFonts w:ascii="Calibri" w:eastAsia="Times New Roman" w:hAnsi="Calibri" w:cs="Calibri"/>
                <w:color w:val="000000"/>
                <w:sz w:val="20"/>
                <w:lang w:eastAsia="en-GB"/>
              </w:rPr>
              <w:t>Ethnicity group (ref: White British)</w:t>
            </w:r>
          </w:p>
        </w:tc>
        <w:tc>
          <w:tcPr>
            <w:tcW w:w="2127" w:type="dxa"/>
            <w:tcBorders>
              <w:left w:val="single" w:sz="4" w:space="0" w:color="auto"/>
            </w:tcBorders>
            <w:noWrap/>
          </w:tcPr>
          <w:p w14:paraId="09A19753"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pPr>
          </w:p>
        </w:tc>
      </w:tr>
      <w:tr w:rsidR="003D79B3" w:rsidRPr="007C6F2E" w14:paraId="09A19757" w14:textId="77777777" w:rsidTr="00D30A8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noWrap/>
          </w:tcPr>
          <w:p w14:paraId="09A19755" w14:textId="77777777" w:rsidR="003D79B3" w:rsidRPr="007C6F2E" w:rsidRDefault="003D79B3" w:rsidP="00D30A83">
            <w:pPr>
              <w:spacing w:after="0" w:line="480" w:lineRule="auto"/>
              <w:contextualSpacing/>
              <w:rPr>
                <w:rFonts w:ascii="Calibri" w:eastAsia="Times New Roman" w:hAnsi="Calibri" w:cs="Calibri"/>
                <w:i w:val="0"/>
                <w:color w:val="000000"/>
                <w:sz w:val="20"/>
                <w:lang w:eastAsia="en-GB"/>
              </w:rPr>
            </w:pPr>
            <w:r w:rsidRPr="007C6F2E">
              <w:rPr>
                <w:rFonts w:ascii="Calibri" w:eastAsia="Times New Roman" w:hAnsi="Calibri" w:cs="Calibri"/>
                <w:i w:val="0"/>
                <w:color w:val="000000"/>
                <w:sz w:val="20"/>
                <w:lang w:eastAsia="en-GB"/>
              </w:rPr>
              <w:t>Other</w:t>
            </w:r>
          </w:p>
        </w:tc>
        <w:tc>
          <w:tcPr>
            <w:tcW w:w="2127" w:type="dxa"/>
            <w:tcBorders>
              <w:left w:val="single" w:sz="4" w:space="0" w:color="auto"/>
            </w:tcBorders>
            <w:noWrap/>
          </w:tcPr>
          <w:p w14:paraId="09A19756"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pPr>
            <w:r w:rsidRPr="007C6F2E">
              <w:t>2.13* (1.08; 4.20)</w:t>
            </w:r>
          </w:p>
        </w:tc>
      </w:tr>
      <w:tr w:rsidR="003D79B3" w:rsidRPr="007C6F2E" w14:paraId="09A1975A" w14:textId="77777777" w:rsidTr="00D30A83">
        <w:trPr>
          <w:trHeight w:val="283"/>
          <w:jc w:val="center"/>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noWrap/>
          </w:tcPr>
          <w:p w14:paraId="09A19758" w14:textId="77777777" w:rsidR="003D79B3" w:rsidRPr="007C6F2E" w:rsidRDefault="003D79B3" w:rsidP="00D30A83">
            <w:pPr>
              <w:spacing w:after="0" w:line="480" w:lineRule="auto"/>
              <w:contextualSpacing/>
              <w:rPr>
                <w:rFonts w:ascii="Calibri" w:eastAsia="Times New Roman" w:hAnsi="Calibri" w:cs="Calibri"/>
                <w:i w:val="0"/>
                <w:color w:val="000000"/>
                <w:sz w:val="20"/>
                <w:lang w:eastAsia="en-GB"/>
              </w:rPr>
            </w:pPr>
            <w:r w:rsidRPr="007C6F2E">
              <w:rPr>
                <w:rFonts w:ascii="Calibri" w:eastAsia="Times New Roman" w:hAnsi="Calibri" w:cs="Calibri"/>
                <w:i w:val="0"/>
                <w:color w:val="000000"/>
                <w:sz w:val="20"/>
                <w:lang w:eastAsia="en-GB"/>
              </w:rPr>
              <w:t>Unknown</w:t>
            </w:r>
          </w:p>
        </w:tc>
        <w:tc>
          <w:tcPr>
            <w:tcW w:w="2127" w:type="dxa"/>
            <w:tcBorders>
              <w:left w:val="single" w:sz="4" w:space="0" w:color="auto"/>
            </w:tcBorders>
            <w:noWrap/>
          </w:tcPr>
          <w:p w14:paraId="09A19759"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pPr>
            <w:r w:rsidRPr="007C6F2E">
              <w:t>0.77 (0.42; 1.39)</w:t>
            </w:r>
          </w:p>
        </w:tc>
      </w:tr>
      <w:tr w:rsidR="003D79B3" w:rsidRPr="007C6F2E" w14:paraId="09A1975D" w14:textId="77777777" w:rsidTr="00D30A8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noWrap/>
          </w:tcPr>
          <w:p w14:paraId="09A1975B" w14:textId="77777777" w:rsidR="003D79B3" w:rsidRPr="007C6F2E" w:rsidRDefault="003D79B3" w:rsidP="00D30A83">
            <w:pPr>
              <w:spacing w:after="0" w:line="480" w:lineRule="auto"/>
              <w:contextualSpacing/>
              <w:rPr>
                <w:rFonts w:ascii="Calibri" w:eastAsia="Times New Roman" w:hAnsi="Calibri" w:cs="Calibri"/>
                <w:i w:val="0"/>
                <w:color w:val="000000"/>
                <w:sz w:val="20"/>
                <w:lang w:eastAsia="en-GB"/>
              </w:rPr>
            </w:pPr>
          </w:p>
        </w:tc>
        <w:tc>
          <w:tcPr>
            <w:tcW w:w="2127" w:type="dxa"/>
            <w:tcBorders>
              <w:left w:val="single" w:sz="4" w:space="0" w:color="auto"/>
            </w:tcBorders>
            <w:noWrap/>
            <w:vAlign w:val="bottom"/>
          </w:tcPr>
          <w:p w14:paraId="09A1975C"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3D79B3" w:rsidRPr="007C6F2E" w14:paraId="09A19760" w14:textId="77777777" w:rsidTr="00D30A83">
        <w:trPr>
          <w:trHeight w:val="283"/>
          <w:jc w:val="center"/>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noWrap/>
          </w:tcPr>
          <w:p w14:paraId="09A1975E"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r w:rsidRPr="007C6F2E">
              <w:rPr>
                <w:rFonts w:ascii="Calibri" w:eastAsia="Times New Roman" w:hAnsi="Calibri" w:cs="Calibri"/>
                <w:color w:val="000000"/>
                <w:sz w:val="20"/>
                <w:lang w:eastAsia="en-GB"/>
              </w:rPr>
              <w:t>Accommodation (ref: owner)</w:t>
            </w:r>
          </w:p>
        </w:tc>
        <w:tc>
          <w:tcPr>
            <w:tcW w:w="2127" w:type="dxa"/>
            <w:tcBorders>
              <w:left w:val="single" w:sz="4" w:space="0" w:color="auto"/>
            </w:tcBorders>
            <w:noWrap/>
          </w:tcPr>
          <w:p w14:paraId="09A1975F"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pPr>
          </w:p>
        </w:tc>
      </w:tr>
      <w:tr w:rsidR="003D79B3" w:rsidRPr="007C6F2E" w14:paraId="09A19763" w14:textId="77777777" w:rsidTr="00D30A8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noWrap/>
          </w:tcPr>
          <w:p w14:paraId="09A19761" w14:textId="77777777" w:rsidR="003D79B3" w:rsidRPr="007C6F2E" w:rsidRDefault="003D79B3" w:rsidP="00D30A83">
            <w:pPr>
              <w:spacing w:after="0" w:line="480" w:lineRule="auto"/>
              <w:contextualSpacing/>
              <w:rPr>
                <w:rFonts w:ascii="Calibri" w:eastAsia="Times New Roman" w:hAnsi="Calibri" w:cs="Calibri"/>
                <w:i w:val="0"/>
                <w:color w:val="000000"/>
                <w:sz w:val="20"/>
                <w:lang w:eastAsia="en-GB"/>
              </w:rPr>
            </w:pPr>
            <w:r w:rsidRPr="007C6F2E">
              <w:rPr>
                <w:rFonts w:ascii="Calibri" w:eastAsia="Times New Roman" w:hAnsi="Calibri" w:cs="Calibri"/>
                <w:i w:val="0"/>
                <w:color w:val="000000"/>
                <w:sz w:val="20"/>
                <w:lang w:eastAsia="en-GB"/>
              </w:rPr>
              <w:t>Renting/other</w:t>
            </w:r>
          </w:p>
        </w:tc>
        <w:tc>
          <w:tcPr>
            <w:tcW w:w="2127" w:type="dxa"/>
            <w:tcBorders>
              <w:left w:val="single" w:sz="4" w:space="0" w:color="auto"/>
            </w:tcBorders>
            <w:noWrap/>
          </w:tcPr>
          <w:p w14:paraId="09A19762"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pPr>
            <w:r w:rsidRPr="007C6F2E">
              <w:t>1.71** (1.20; 2.43)</w:t>
            </w:r>
          </w:p>
        </w:tc>
      </w:tr>
      <w:tr w:rsidR="003D79B3" w:rsidRPr="007C6F2E" w14:paraId="09A19766" w14:textId="77777777" w:rsidTr="00D30A83">
        <w:trPr>
          <w:trHeight w:val="283"/>
          <w:jc w:val="center"/>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noWrap/>
          </w:tcPr>
          <w:p w14:paraId="09A19764"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p>
        </w:tc>
        <w:tc>
          <w:tcPr>
            <w:tcW w:w="2127" w:type="dxa"/>
            <w:tcBorders>
              <w:left w:val="single" w:sz="4" w:space="0" w:color="auto"/>
            </w:tcBorders>
            <w:noWrap/>
            <w:vAlign w:val="bottom"/>
          </w:tcPr>
          <w:p w14:paraId="09A19765"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3D79B3" w:rsidRPr="007C6F2E" w14:paraId="09A19769" w14:textId="77777777" w:rsidTr="00D30A8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noWrap/>
          </w:tcPr>
          <w:p w14:paraId="09A19767"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r w:rsidRPr="007C6F2E">
              <w:rPr>
                <w:rFonts w:ascii="Calibri" w:eastAsia="Times New Roman" w:hAnsi="Calibri" w:cs="Calibri"/>
                <w:color w:val="000000"/>
                <w:sz w:val="20"/>
                <w:lang w:eastAsia="en-GB"/>
              </w:rPr>
              <w:t>Depression (ref: No, CES-D&lt;20)</w:t>
            </w:r>
          </w:p>
        </w:tc>
        <w:tc>
          <w:tcPr>
            <w:tcW w:w="2127" w:type="dxa"/>
            <w:tcBorders>
              <w:left w:val="single" w:sz="4" w:space="0" w:color="auto"/>
            </w:tcBorders>
            <w:noWrap/>
          </w:tcPr>
          <w:p w14:paraId="09A19768"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pPr>
          </w:p>
        </w:tc>
      </w:tr>
      <w:tr w:rsidR="003D79B3" w:rsidRPr="007C6F2E" w14:paraId="09A1976C" w14:textId="77777777" w:rsidTr="00D30A83">
        <w:trPr>
          <w:trHeight w:val="283"/>
          <w:jc w:val="center"/>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auto"/>
              <w:right w:val="single" w:sz="4" w:space="0" w:color="auto"/>
            </w:tcBorders>
            <w:noWrap/>
          </w:tcPr>
          <w:p w14:paraId="09A1976A" w14:textId="77777777" w:rsidR="003D79B3" w:rsidRPr="007C6F2E" w:rsidRDefault="003D79B3" w:rsidP="00D30A83">
            <w:pPr>
              <w:spacing w:after="0" w:line="480" w:lineRule="auto"/>
              <w:contextualSpacing/>
              <w:rPr>
                <w:rFonts w:ascii="Calibri" w:eastAsia="Times New Roman" w:hAnsi="Calibri" w:cs="Calibri"/>
                <w:i w:val="0"/>
                <w:color w:val="000000"/>
                <w:sz w:val="20"/>
                <w:lang w:eastAsia="en-GB"/>
              </w:rPr>
            </w:pPr>
            <w:r w:rsidRPr="007C6F2E">
              <w:rPr>
                <w:rFonts w:ascii="Calibri" w:eastAsia="Times New Roman" w:hAnsi="Calibri" w:cs="Calibri"/>
                <w:i w:val="0"/>
                <w:color w:val="000000"/>
                <w:sz w:val="20"/>
                <w:lang w:eastAsia="en-GB"/>
              </w:rPr>
              <w:t>Yes, clinically depressed (CES-D&gt;=20)</w:t>
            </w:r>
          </w:p>
        </w:tc>
        <w:tc>
          <w:tcPr>
            <w:tcW w:w="2127" w:type="dxa"/>
            <w:tcBorders>
              <w:left w:val="single" w:sz="4" w:space="0" w:color="auto"/>
              <w:bottom w:val="single" w:sz="4" w:space="0" w:color="auto"/>
            </w:tcBorders>
            <w:noWrap/>
          </w:tcPr>
          <w:p w14:paraId="09A1976B" w14:textId="77777777" w:rsidR="003D79B3" w:rsidRPr="007C6F2E" w:rsidRDefault="003D79B3" w:rsidP="00D30A83">
            <w:pPr>
              <w:spacing w:after="0" w:line="480" w:lineRule="auto"/>
              <w:cnfStyle w:val="000000000000" w:firstRow="0" w:lastRow="0" w:firstColumn="0" w:lastColumn="0" w:oddVBand="0" w:evenVBand="0" w:oddHBand="0" w:evenHBand="0" w:firstRowFirstColumn="0" w:firstRowLastColumn="0" w:lastRowFirstColumn="0" w:lastRowLastColumn="0"/>
            </w:pPr>
            <w:r w:rsidRPr="007C6F2E">
              <w:t>2.09*** (1.38; 3.17)</w:t>
            </w:r>
          </w:p>
        </w:tc>
      </w:tr>
      <w:tr w:rsidR="003D79B3" w:rsidRPr="007C6F2E" w14:paraId="09A1976F" w14:textId="77777777" w:rsidTr="00D30A8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bottom w:val="single" w:sz="4" w:space="0" w:color="auto"/>
              <w:right w:val="single" w:sz="4" w:space="0" w:color="auto"/>
            </w:tcBorders>
            <w:noWrap/>
          </w:tcPr>
          <w:p w14:paraId="09A1976D"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r w:rsidRPr="007C6F2E">
              <w:rPr>
                <w:rFonts w:ascii="Calibri" w:eastAsia="Times New Roman" w:hAnsi="Calibri" w:cs="Calibri"/>
                <w:color w:val="000000"/>
                <w:sz w:val="20"/>
                <w:lang w:eastAsia="en-GB"/>
              </w:rPr>
              <w:t>Observations N</w:t>
            </w:r>
          </w:p>
        </w:tc>
        <w:tc>
          <w:tcPr>
            <w:tcW w:w="2127" w:type="dxa"/>
            <w:tcBorders>
              <w:top w:val="single" w:sz="4" w:space="0" w:color="auto"/>
              <w:left w:val="single" w:sz="4" w:space="0" w:color="auto"/>
              <w:bottom w:val="single" w:sz="4" w:space="0" w:color="auto"/>
            </w:tcBorders>
            <w:noWrap/>
          </w:tcPr>
          <w:p w14:paraId="09A1976E" w14:textId="77777777" w:rsidR="003D79B3" w:rsidRPr="007C6F2E" w:rsidRDefault="003D79B3" w:rsidP="00D30A83">
            <w:pPr>
              <w:spacing w:after="0" w:line="480" w:lineRule="auto"/>
              <w:cnfStyle w:val="000000100000" w:firstRow="0" w:lastRow="0" w:firstColumn="0" w:lastColumn="0" w:oddVBand="0" w:evenVBand="0" w:oddHBand="1" w:evenHBand="0" w:firstRowFirstColumn="0" w:firstRowLastColumn="0" w:lastRowFirstColumn="0" w:lastRowLastColumn="0"/>
            </w:pPr>
            <w:r w:rsidRPr="007C6F2E">
              <w:t>612</w:t>
            </w:r>
          </w:p>
        </w:tc>
      </w:tr>
    </w:tbl>
    <w:p w14:paraId="09A19770" w14:textId="77777777" w:rsidR="003D79B3" w:rsidRPr="007C6F2E" w:rsidRDefault="003D79B3" w:rsidP="00D30A83">
      <w:pPr>
        <w:spacing w:after="160" w:line="480" w:lineRule="auto"/>
        <w:rPr>
          <w:i/>
          <w:sz w:val="20"/>
        </w:rPr>
      </w:pPr>
    </w:p>
    <w:p w14:paraId="09A19771" w14:textId="77777777" w:rsidR="003D79B3" w:rsidRPr="007C6F2E" w:rsidRDefault="003D79B3" w:rsidP="00D30A83">
      <w:pPr>
        <w:spacing w:after="160" w:line="480" w:lineRule="auto"/>
        <w:rPr>
          <w:b/>
          <w:bCs/>
        </w:rPr>
      </w:pPr>
      <w:r w:rsidRPr="007C6F2E">
        <w:rPr>
          <w:i/>
          <w:sz w:val="20"/>
        </w:rPr>
        <w:t>Note</w:t>
      </w:r>
      <w:r w:rsidRPr="007C6F2E">
        <w:rPr>
          <w:sz w:val="20"/>
        </w:rPr>
        <w:t>: * p&lt;.05; ** p&lt;.01; *** p&lt;.001</w:t>
      </w:r>
    </w:p>
    <w:p w14:paraId="09A19772" w14:textId="77777777" w:rsidR="003D79B3" w:rsidRPr="007C6F2E" w:rsidRDefault="003D79B3" w:rsidP="00D30A83">
      <w:pPr>
        <w:spacing w:after="160" w:line="259" w:lineRule="auto"/>
        <w:rPr>
          <w:b/>
          <w:bCs/>
        </w:rPr>
      </w:pPr>
      <w:r w:rsidRPr="007C6F2E">
        <w:rPr>
          <w:b/>
          <w:bCs/>
        </w:rPr>
        <w:br w:type="page"/>
      </w:r>
    </w:p>
    <w:p w14:paraId="09A19773" w14:textId="77777777" w:rsidR="003D79B3" w:rsidRPr="007C6F2E" w:rsidRDefault="003D79B3" w:rsidP="00D30A83">
      <w:pPr>
        <w:spacing w:line="480" w:lineRule="auto"/>
        <w:rPr>
          <w:b/>
        </w:rPr>
      </w:pPr>
      <w:r w:rsidRPr="007C6F2E">
        <w:rPr>
          <w:b/>
        </w:rPr>
        <w:lastRenderedPageBreak/>
        <w:t>Quality of Life</w:t>
      </w:r>
    </w:p>
    <w:p w14:paraId="09A19774" w14:textId="77777777" w:rsidR="003D79B3" w:rsidRDefault="003D79B3" w:rsidP="00D30A83">
      <w:pPr>
        <w:spacing w:line="480" w:lineRule="auto"/>
      </w:pPr>
      <w:r w:rsidRPr="007C6F2E">
        <w:t xml:space="preserve">Summary statistics for the QLACS-GSS at each time point is presented in Fig 3. There was a statistically significant decrease in the mean score, indicating QOL improved, at 15 months post-surgery compared to the mean scores observed from </w:t>
      </w:r>
      <w:r>
        <w:t>baseline</w:t>
      </w:r>
      <w:r w:rsidRPr="007C6F2E">
        <w:t xml:space="preserve"> to 9 months post-surgery. The difference was more than 10% when comparing the mean scores at 3 months and 9 months with 15 months, suggesting a clinically significant improvement. From 15 months to 5 years, there was little change in the mean QLACS-GSS score.</w:t>
      </w:r>
    </w:p>
    <w:p w14:paraId="09A19775" w14:textId="77777777" w:rsidR="003D79B3" w:rsidRPr="007C6F2E" w:rsidRDefault="003D79B3" w:rsidP="00D30A83">
      <w:pPr>
        <w:spacing w:line="480" w:lineRule="auto"/>
      </w:pPr>
      <w:r>
        <w:t>A similar pattern of results was obtained comparing those with colon cancer and rectal cancer. In addition, for people with rectal cancer, there was a &gt;10% increase on the mean QLCAS-GSS score between baseline and 3 months, suggesting a clinically significant reduction in QOL. At each time point, the mean QLACS-GSS score was slightly higher for those with rectal compared to colon cancer (indicating lower QOL), but this difference was only statistically significant at 3, 24 and 36 months.</w:t>
      </w:r>
    </w:p>
    <w:p w14:paraId="09A19776" w14:textId="77777777" w:rsidR="003D79B3" w:rsidRPr="007C6F2E" w:rsidRDefault="003D79B3" w:rsidP="00D30A83">
      <w:pPr>
        <w:spacing w:line="480" w:lineRule="auto"/>
      </w:pPr>
      <w:r w:rsidRPr="007C6F2E">
        <w:rPr>
          <w:b/>
        </w:rPr>
        <w:t>Fig 3: Mean scores (and standard deviations) of the QLACS-GSS</w:t>
      </w:r>
    </w:p>
    <w:p w14:paraId="09A19777" w14:textId="77777777" w:rsidR="003D79B3" w:rsidRDefault="003D79B3" w:rsidP="00D30A83">
      <w:pPr>
        <w:spacing w:line="480" w:lineRule="auto"/>
      </w:pPr>
      <w:r w:rsidRPr="007C6F2E">
        <w:t xml:space="preserve">605 participants completed the QLACS at baseline and at least one other time point. During the first 18 months following surgery, the proportion with improved QOL increased </w:t>
      </w:r>
      <w:r>
        <w:t>and</w:t>
      </w:r>
      <w:r w:rsidRPr="007C6F2E">
        <w:t xml:space="preserve"> the proportion with worse</w:t>
      </w:r>
      <w:r>
        <w:t>ned</w:t>
      </w:r>
      <w:r w:rsidRPr="007C6F2E">
        <w:t xml:space="preserve"> QOL declined (Fig 4). This pattern then reversed between 18 and 42 months before levelling out over the subsequent months. The proportion whose QOL worsened compared with baseline peaked at 3 months, when 41.8% were in this group, and troughed at 15 months with 25.9% in the group.</w:t>
      </w:r>
    </w:p>
    <w:p w14:paraId="09A19778" w14:textId="77777777" w:rsidR="003D79B3" w:rsidRPr="007C6F2E" w:rsidRDefault="003D79B3" w:rsidP="00D30A83">
      <w:pPr>
        <w:spacing w:line="480" w:lineRule="auto"/>
      </w:pPr>
      <w:r>
        <w:t xml:space="preserve">The same pattern was seen comparing those with colon and rectal cancer. However, at </w:t>
      </w:r>
      <w:proofErr w:type="spellStart"/>
      <w:r>
        <w:t>all time</w:t>
      </w:r>
      <w:proofErr w:type="spellEnd"/>
      <w:r>
        <w:t xml:space="preserve"> points, there was a greater proportion of people, on average 8.6 percentage points, with rectal cancer who had worsened QOL (data not shown).</w:t>
      </w:r>
    </w:p>
    <w:p w14:paraId="09A19779" w14:textId="77777777" w:rsidR="003D79B3" w:rsidRDefault="003D79B3" w:rsidP="00D30A83">
      <w:pPr>
        <w:spacing w:line="480" w:lineRule="auto"/>
        <w:rPr>
          <w:b/>
        </w:rPr>
      </w:pPr>
      <w:r w:rsidRPr="007C6F2E">
        <w:rPr>
          <w:b/>
        </w:rPr>
        <w:t>Fig 4: Changes in quality of life (QLACS-GSS) compared to baseline</w:t>
      </w:r>
    </w:p>
    <w:p w14:paraId="09A1977A" w14:textId="77777777" w:rsidR="003D79B3" w:rsidRPr="00216F50" w:rsidRDefault="003D79B3" w:rsidP="00D30A83">
      <w:pPr>
        <w:spacing w:line="480" w:lineRule="auto"/>
        <w:rPr>
          <w:bCs/>
        </w:rPr>
      </w:pPr>
      <w:r>
        <w:lastRenderedPageBreak/>
        <w:t>Statistically significant predictors of worsened QOL in either Model 1 (baseline to two years) or Model 2 (two to five years) are shown in Table 5. Tumour type (colon vs. rectal) was not a significant factor in either model.</w:t>
      </w:r>
    </w:p>
    <w:p w14:paraId="09A1977B" w14:textId="77777777" w:rsidR="003D79B3" w:rsidRPr="007C6F2E" w:rsidRDefault="003D79B3" w:rsidP="00D30A83">
      <w:pPr>
        <w:spacing w:line="480" w:lineRule="auto"/>
        <w:rPr>
          <w:i/>
        </w:rPr>
      </w:pPr>
      <w:r w:rsidRPr="007C6F2E">
        <w:rPr>
          <w:i/>
        </w:rPr>
        <w:t>Baseline (pre-surgery) predictors of worsened QOL up two years post-surgery</w:t>
      </w:r>
    </w:p>
    <w:p w14:paraId="09A1977C" w14:textId="77777777" w:rsidR="003D79B3" w:rsidRDefault="003D79B3" w:rsidP="00D30A83">
      <w:pPr>
        <w:spacing w:line="480" w:lineRule="auto"/>
        <w:rPr>
          <w:rFonts w:ascii="Calibri" w:eastAsia="Times New Roman" w:hAnsi="Calibri" w:cs="Calibri"/>
          <w:color w:val="000000"/>
          <w:lang w:eastAsia="en-GB"/>
        </w:rPr>
      </w:pPr>
      <w:r w:rsidRPr="007C6F2E">
        <w:t xml:space="preserve">Compared with people </w:t>
      </w:r>
      <w:r w:rsidRPr="007C6F2E">
        <w:rPr>
          <w:u w:val="single"/>
        </w:rPr>
        <w:t>&lt;</w:t>
      </w:r>
      <w:r w:rsidRPr="007C6F2E">
        <w:t xml:space="preserve"> 60 years, the odds of those aged 71-80 years experiencing worse QOL up to two years were significantly less likely (51% lower), whilst there was no difference for people </w:t>
      </w:r>
      <w:r w:rsidRPr="007C6F2E">
        <w:rPr>
          <w:rFonts w:cstheme="minorHAnsi"/>
        </w:rPr>
        <w:t>≥</w:t>
      </w:r>
      <w:r w:rsidRPr="007C6F2E">
        <w:t xml:space="preserve">81 years or for those aged 61-70 years. The odds of worsened QOL over time were significantly higher among those individuals who had at least two comorbidities (56% higher) and receiving </w:t>
      </w:r>
      <w:r w:rsidRPr="007C6F2E">
        <w:rPr>
          <w:rFonts w:ascii="Calibri" w:eastAsia="Times New Roman" w:hAnsi="Calibri" w:cs="Calibri"/>
          <w:color w:val="000000"/>
          <w:lang w:eastAsia="en-GB"/>
        </w:rPr>
        <w:t>neo-adjuvant treatment (2.4 times higher). People in the 3</w:t>
      </w:r>
      <w:r w:rsidRPr="007C6F2E">
        <w:rPr>
          <w:rFonts w:ascii="Calibri" w:eastAsia="Times New Roman" w:hAnsi="Calibri" w:cs="Calibri"/>
          <w:color w:val="000000"/>
          <w:vertAlign w:val="superscript"/>
          <w:lang w:eastAsia="en-GB"/>
        </w:rPr>
        <w:t>rd</w:t>
      </w:r>
      <w:r w:rsidRPr="007C6F2E">
        <w:rPr>
          <w:rFonts w:ascii="Calibri" w:eastAsia="Times New Roman" w:hAnsi="Calibri" w:cs="Calibri"/>
          <w:color w:val="000000"/>
          <w:lang w:eastAsia="en-GB"/>
        </w:rPr>
        <w:t xml:space="preserve"> quintile for the deprivation index had nearly twice the odds of worse QOL compared with those in the least deprived quintile. Several psychosocial factors at baseline also predicted the likelihood of worsened QOL up to two years: low self-efficacy (</w:t>
      </w:r>
      <w:r w:rsidRPr="007C6F2E">
        <w:t xml:space="preserve">SEMCD </w:t>
      </w:r>
      <w:r w:rsidRPr="007C6F2E">
        <w:rPr>
          <w:bCs/>
        </w:rPr>
        <w:t>score &lt;5</w:t>
      </w:r>
      <w:r w:rsidRPr="007C6F2E">
        <w:rPr>
          <w:rFonts w:ascii="Calibri" w:eastAsia="Times New Roman" w:hAnsi="Calibri" w:cs="Calibri"/>
          <w:color w:val="000000"/>
          <w:lang w:eastAsia="en-GB"/>
        </w:rPr>
        <w:t>), inadequate levels of social support (MOS&lt;100), higher negative and lower positive affect scores. Thus, the odds of having worsened QOL over the first two years of follow-up were significantly lower among participants with at least moderate confidence (64% lower) and full social support (32% lower). With one unit increase in the Positive and Negative Affect Schedule (PANAS) negative affect or PANAS positive affect at baseline, the odds of reporting worsened QOL on average</w:t>
      </w:r>
      <w:r w:rsidRPr="007C6F2E" w:rsidDel="00C60A32">
        <w:rPr>
          <w:rFonts w:ascii="Calibri" w:eastAsia="Times New Roman" w:hAnsi="Calibri" w:cs="Calibri"/>
          <w:color w:val="000000"/>
          <w:lang w:eastAsia="en-GB"/>
        </w:rPr>
        <w:t xml:space="preserve"> </w:t>
      </w:r>
      <w:r w:rsidRPr="007C6F2E">
        <w:rPr>
          <w:rFonts w:ascii="Calibri" w:eastAsia="Times New Roman" w:hAnsi="Calibri" w:cs="Calibri"/>
          <w:color w:val="000000"/>
          <w:lang w:eastAsia="en-GB"/>
        </w:rPr>
        <w:t>increased by 8% or decreased by 3%, respectively.</w:t>
      </w:r>
    </w:p>
    <w:p w14:paraId="09A1977D" w14:textId="77777777" w:rsidR="003D79B3" w:rsidRDefault="003D79B3" w:rsidP="00D30A83">
      <w:pPr>
        <w:spacing w:line="480" w:lineRule="auto"/>
        <w:rPr>
          <w:rFonts w:ascii="Calibri" w:eastAsia="Times New Roman" w:hAnsi="Calibri" w:cs="Calibri"/>
          <w:color w:val="000000"/>
          <w:lang w:eastAsia="en-GB"/>
        </w:rPr>
      </w:pPr>
    </w:p>
    <w:p w14:paraId="09A1977E" w14:textId="77777777" w:rsidR="003D79B3" w:rsidRPr="007C6F2E" w:rsidRDefault="003D79B3" w:rsidP="00D30A83">
      <w:pPr>
        <w:spacing w:line="480" w:lineRule="auto"/>
        <w:rPr>
          <w:rFonts w:ascii="Calibri" w:eastAsia="Times New Roman" w:hAnsi="Calibri" w:cs="Calibri"/>
          <w:color w:val="000000"/>
          <w:lang w:eastAsia="en-GB"/>
        </w:rPr>
      </w:pPr>
    </w:p>
    <w:p w14:paraId="09A1977F" w14:textId="77777777" w:rsidR="003D79B3" w:rsidRPr="007C6F2E" w:rsidRDefault="003D79B3" w:rsidP="00D30A83">
      <w:pPr>
        <w:spacing w:line="480" w:lineRule="auto"/>
        <w:rPr>
          <w:b/>
        </w:rPr>
      </w:pPr>
      <w:bookmarkStart w:id="2" w:name="_Hlk34060829"/>
      <w:bookmarkStart w:id="3" w:name="_Hlk7595031"/>
      <w:r w:rsidRPr="007C6F2E">
        <w:rPr>
          <w:b/>
        </w:rPr>
        <w:t xml:space="preserve">Table 5: Multivariable logistic regression models with odds ratios of worsened QOL (ref: improved/same QOL) with statistically significant factors taken separately from two time points </w:t>
      </w:r>
    </w:p>
    <w:tbl>
      <w:tblPr>
        <w:tblStyle w:val="PlainTable5"/>
        <w:tblW w:w="8789" w:type="dxa"/>
        <w:jc w:val="center"/>
        <w:tblLook w:val="04A0" w:firstRow="1" w:lastRow="0" w:firstColumn="1" w:lastColumn="0" w:noHBand="0" w:noVBand="1"/>
      </w:tblPr>
      <w:tblGrid>
        <w:gridCol w:w="4536"/>
        <w:gridCol w:w="2127"/>
        <w:gridCol w:w="2126"/>
      </w:tblGrid>
      <w:tr w:rsidR="003D79B3" w:rsidRPr="007C6F2E" w14:paraId="09A19783" w14:textId="77777777" w:rsidTr="00D30A8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100" w:firstRow="0" w:lastRow="0" w:firstColumn="1" w:lastColumn="0" w:oddVBand="0" w:evenVBand="0" w:oddHBand="0" w:evenHBand="0" w:firstRowFirstColumn="1" w:firstRowLastColumn="0" w:lastRowFirstColumn="0" w:lastRowLastColumn="0"/>
            <w:tcW w:w="4536" w:type="dxa"/>
            <w:tcBorders>
              <w:top w:val="single" w:sz="4" w:space="0" w:color="auto"/>
              <w:bottom w:val="none" w:sz="0" w:space="0" w:color="auto"/>
              <w:right w:val="single" w:sz="4" w:space="0" w:color="auto"/>
            </w:tcBorders>
            <w:hideMark/>
          </w:tcPr>
          <w:p w14:paraId="09A19780" w14:textId="77777777" w:rsidR="003D79B3" w:rsidRPr="007C6F2E" w:rsidRDefault="003D79B3" w:rsidP="00D30A83">
            <w:pPr>
              <w:spacing w:after="0" w:line="480" w:lineRule="auto"/>
              <w:contextualSpacing/>
              <w:jc w:val="center"/>
              <w:rPr>
                <w:rFonts w:ascii="Calibri" w:eastAsia="Times New Roman" w:hAnsi="Calibri" w:cs="Calibri"/>
                <w:b/>
                <w:bCs/>
                <w:color w:val="000000"/>
                <w:sz w:val="20"/>
                <w:lang w:eastAsia="en-GB"/>
              </w:rPr>
            </w:pPr>
            <w:r w:rsidRPr="007C6F2E">
              <w:rPr>
                <w:rFonts w:ascii="Calibri" w:eastAsia="Times New Roman" w:hAnsi="Calibri" w:cs="Calibri"/>
                <w:b/>
                <w:bCs/>
                <w:color w:val="000000"/>
                <w:sz w:val="20"/>
                <w:lang w:eastAsia="en-GB"/>
              </w:rPr>
              <w:t>Covariates</w:t>
            </w:r>
          </w:p>
        </w:tc>
        <w:tc>
          <w:tcPr>
            <w:tcW w:w="2127" w:type="dxa"/>
            <w:tcBorders>
              <w:top w:val="single" w:sz="4" w:space="0" w:color="auto"/>
              <w:left w:val="single" w:sz="4" w:space="0" w:color="auto"/>
              <w:bottom w:val="none" w:sz="0" w:space="0" w:color="auto"/>
            </w:tcBorders>
            <w:hideMark/>
          </w:tcPr>
          <w:p w14:paraId="09A19781" w14:textId="77777777" w:rsidR="003D79B3" w:rsidRPr="007C6F2E" w:rsidRDefault="003D79B3" w:rsidP="00D30A83">
            <w:pPr>
              <w:spacing w:after="0" w:line="480" w:lineRule="auto"/>
              <w:contextualSpacing/>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lang w:eastAsia="en-GB"/>
              </w:rPr>
            </w:pPr>
            <w:r w:rsidRPr="007C6F2E">
              <w:rPr>
                <w:rFonts w:ascii="Calibri" w:eastAsia="Times New Roman" w:hAnsi="Calibri" w:cs="Calibri"/>
                <w:b/>
                <w:bCs/>
                <w:color w:val="000000"/>
                <w:sz w:val="20"/>
                <w:lang w:eastAsia="en-GB"/>
              </w:rPr>
              <w:t>Model 1: Baseline</w:t>
            </w:r>
          </w:p>
        </w:tc>
        <w:tc>
          <w:tcPr>
            <w:tcW w:w="2126" w:type="dxa"/>
            <w:tcBorders>
              <w:top w:val="single" w:sz="4" w:space="0" w:color="auto"/>
              <w:bottom w:val="none" w:sz="0" w:space="0" w:color="auto"/>
            </w:tcBorders>
            <w:hideMark/>
          </w:tcPr>
          <w:p w14:paraId="09A19782" w14:textId="77777777" w:rsidR="003D79B3" w:rsidRPr="007C6F2E" w:rsidRDefault="003D79B3" w:rsidP="00D30A83">
            <w:pPr>
              <w:spacing w:after="0" w:line="480" w:lineRule="auto"/>
              <w:contextualSpacing/>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lang w:eastAsia="en-GB"/>
              </w:rPr>
            </w:pPr>
            <w:r w:rsidRPr="007C6F2E">
              <w:rPr>
                <w:rFonts w:ascii="Calibri" w:eastAsia="Times New Roman" w:hAnsi="Calibri" w:cs="Calibri"/>
                <w:b/>
                <w:bCs/>
                <w:color w:val="000000"/>
                <w:sz w:val="20"/>
                <w:lang w:eastAsia="en-GB"/>
              </w:rPr>
              <w:t>Model 2: 24 m</w:t>
            </w:r>
          </w:p>
        </w:tc>
      </w:tr>
      <w:tr w:rsidR="003D79B3" w:rsidRPr="007C6F2E" w14:paraId="09A19787" w14:textId="77777777" w:rsidTr="00D30A8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bottom w:val="single" w:sz="4" w:space="0" w:color="auto"/>
              <w:right w:val="single" w:sz="4" w:space="0" w:color="auto"/>
            </w:tcBorders>
          </w:tcPr>
          <w:p w14:paraId="09A19784" w14:textId="77777777" w:rsidR="003D79B3" w:rsidRPr="007C6F2E" w:rsidRDefault="003D79B3" w:rsidP="00D30A83">
            <w:pPr>
              <w:spacing w:after="0" w:line="480" w:lineRule="auto"/>
              <w:contextualSpacing/>
              <w:jc w:val="center"/>
              <w:rPr>
                <w:rFonts w:ascii="Calibri" w:eastAsia="Times New Roman" w:hAnsi="Calibri" w:cs="Calibri"/>
                <w:b/>
                <w:bCs/>
                <w:color w:val="000000"/>
                <w:sz w:val="20"/>
                <w:lang w:eastAsia="en-GB"/>
              </w:rPr>
            </w:pPr>
          </w:p>
        </w:tc>
        <w:tc>
          <w:tcPr>
            <w:tcW w:w="2127" w:type="dxa"/>
            <w:tcBorders>
              <w:left w:val="single" w:sz="4" w:space="0" w:color="auto"/>
              <w:bottom w:val="single" w:sz="4" w:space="0" w:color="auto"/>
            </w:tcBorders>
          </w:tcPr>
          <w:p w14:paraId="09A19785"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lang w:eastAsia="en-GB"/>
              </w:rPr>
            </w:pPr>
            <w:r w:rsidRPr="007C6F2E">
              <w:rPr>
                <w:rFonts w:ascii="Calibri" w:eastAsia="Times New Roman" w:hAnsi="Calibri" w:cs="Calibri"/>
                <w:b/>
                <w:bCs/>
                <w:color w:val="000000"/>
                <w:sz w:val="20"/>
                <w:lang w:eastAsia="en-GB"/>
              </w:rPr>
              <w:t>OR (95% CI)</w:t>
            </w:r>
          </w:p>
        </w:tc>
        <w:tc>
          <w:tcPr>
            <w:tcW w:w="2126" w:type="dxa"/>
            <w:tcBorders>
              <w:bottom w:val="single" w:sz="4" w:space="0" w:color="auto"/>
            </w:tcBorders>
          </w:tcPr>
          <w:p w14:paraId="09A19786"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lang w:eastAsia="en-GB"/>
              </w:rPr>
            </w:pPr>
            <w:r w:rsidRPr="007C6F2E">
              <w:rPr>
                <w:rFonts w:ascii="Calibri" w:eastAsia="Times New Roman" w:hAnsi="Calibri" w:cs="Calibri"/>
                <w:b/>
                <w:bCs/>
                <w:color w:val="000000"/>
                <w:sz w:val="20"/>
                <w:lang w:eastAsia="en-GB"/>
              </w:rPr>
              <w:t>OR (95% CI)</w:t>
            </w:r>
          </w:p>
        </w:tc>
      </w:tr>
      <w:tr w:rsidR="003D79B3" w:rsidRPr="007C6F2E" w14:paraId="09A1978B" w14:textId="77777777" w:rsidTr="00D30A83">
        <w:trPr>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right w:val="single" w:sz="4" w:space="0" w:color="auto"/>
            </w:tcBorders>
            <w:noWrap/>
            <w:hideMark/>
          </w:tcPr>
          <w:p w14:paraId="09A19788"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r w:rsidRPr="007C6F2E">
              <w:rPr>
                <w:rFonts w:ascii="Calibri" w:eastAsia="Times New Roman" w:hAnsi="Calibri" w:cs="Calibri"/>
                <w:color w:val="000000"/>
                <w:sz w:val="20"/>
                <w:lang w:eastAsia="en-GB"/>
              </w:rPr>
              <w:lastRenderedPageBreak/>
              <w:t>Age groups (ref: 60 or younger)</w:t>
            </w:r>
          </w:p>
        </w:tc>
        <w:tc>
          <w:tcPr>
            <w:tcW w:w="2127" w:type="dxa"/>
            <w:tcBorders>
              <w:top w:val="single" w:sz="4" w:space="0" w:color="auto"/>
              <w:left w:val="single" w:sz="4" w:space="0" w:color="auto"/>
            </w:tcBorders>
            <w:noWrap/>
            <w:vAlign w:val="bottom"/>
            <w:hideMark/>
          </w:tcPr>
          <w:p w14:paraId="09A19789"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c>
          <w:tcPr>
            <w:tcW w:w="2126" w:type="dxa"/>
            <w:tcBorders>
              <w:top w:val="single" w:sz="4" w:space="0" w:color="auto"/>
            </w:tcBorders>
            <w:noWrap/>
            <w:vAlign w:val="bottom"/>
            <w:hideMark/>
          </w:tcPr>
          <w:p w14:paraId="09A1978A"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r>
      <w:tr w:rsidR="003D79B3" w:rsidRPr="007C6F2E" w14:paraId="09A1978F" w14:textId="77777777" w:rsidTr="00D30A8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hideMark/>
          </w:tcPr>
          <w:p w14:paraId="09A1978C" w14:textId="77777777" w:rsidR="003D79B3" w:rsidRPr="007C6F2E" w:rsidRDefault="003D79B3" w:rsidP="00D30A83">
            <w:pPr>
              <w:spacing w:after="0" w:line="480" w:lineRule="auto"/>
              <w:contextualSpacing/>
              <w:rPr>
                <w:rFonts w:ascii="Calibri" w:eastAsia="Times New Roman" w:hAnsi="Calibri" w:cs="Calibri"/>
                <w:i w:val="0"/>
                <w:color w:val="000000"/>
                <w:sz w:val="20"/>
                <w:lang w:eastAsia="en-GB"/>
              </w:rPr>
            </w:pPr>
            <w:r w:rsidRPr="007C6F2E">
              <w:rPr>
                <w:rFonts w:ascii="Calibri" w:eastAsia="Times New Roman" w:hAnsi="Calibri" w:cs="Calibri"/>
                <w:i w:val="0"/>
                <w:color w:val="000000"/>
                <w:sz w:val="20"/>
                <w:lang w:eastAsia="en-GB"/>
              </w:rPr>
              <w:t>61-70</w:t>
            </w:r>
          </w:p>
        </w:tc>
        <w:tc>
          <w:tcPr>
            <w:tcW w:w="2127" w:type="dxa"/>
            <w:tcBorders>
              <w:left w:val="single" w:sz="4" w:space="0" w:color="auto"/>
            </w:tcBorders>
            <w:noWrap/>
            <w:vAlign w:val="bottom"/>
            <w:hideMark/>
          </w:tcPr>
          <w:p w14:paraId="09A1978D"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6F2E">
              <w:rPr>
                <w:rFonts w:ascii="Calibri" w:hAnsi="Calibri" w:cs="Calibri"/>
                <w:color w:val="000000"/>
              </w:rPr>
              <w:t> 0.85 (0.57; 1.25)</w:t>
            </w:r>
          </w:p>
        </w:tc>
        <w:tc>
          <w:tcPr>
            <w:tcW w:w="2126" w:type="dxa"/>
            <w:noWrap/>
            <w:vAlign w:val="bottom"/>
            <w:hideMark/>
          </w:tcPr>
          <w:p w14:paraId="09A1978E"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6F2E">
              <w:rPr>
                <w:rFonts w:ascii="Calibri" w:hAnsi="Calibri" w:cs="Calibri"/>
                <w:color w:val="000000"/>
              </w:rPr>
              <w:t>1.31 (0.75; 2.28)</w:t>
            </w:r>
          </w:p>
        </w:tc>
      </w:tr>
      <w:tr w:rsidR="003D79B3" w:rsidRPr="007C6F2E" w14:paraId="09A19793" w14:textId="77777777" w:rsidTr="00D30A83">
        <w:trPr>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hideMark/>
          </w:tcPr>
          <w:p w14:paraId="09A19790" w14:textId="77777777" w:rsidR="003D79B3" w:rsidRPr="007C6F2E" w:rsidRDefault="003D79B3" w:rsidP="00D30A83">
            <w:pPr>
              <w:spacing w:after="0" w:line="480" w:lineRule="auto"/>
              <w:contextualSpacing/>
              <w:rPr>
                <w:rFonts w:ascii="Calibri" w:eastAsia="Times New Roman" w:hAnsi="Calibri" w:cs="Calibri"/>
                <w:i w:val="0"/>
                <w:color w:val="000000"/>
                <w:sz w:val="20"/>
                <w:lang w:eastAsia="en-GB"/>
              </w:rPr>
            </w:pPr>
            <w:r w:rsidRPr="007C6F2E">
              <w:rPr>
                <w:rFonts w:ascii="Calibri" w:eastAsia="Times New Roman" w:hAnsi="Calibri" w:cs="Calibri"/>
                <w:i w:val="0"/>
                <w:color w:val="000000"/>
                <w:sz w:val="20"/>
                <w:lang w:eastAsia="en-GB"/>
              </w:rPr>
              <w:t>71-80</w:t>
            </w:r>
          </w:p>
        </w:tc>
        <w:tc>
          <w:tcPr>
            <w:tcW w:w="2127" w:type="dxa"/>
            <w:tcBorders>
              <w:left w:val="single" w:sz="4" w:space="0" w:color="auto"/>
            </w:tcBorders>
            <w:noWrap/>
            <w:vAlign w:val="bottom"/>
            <w:hideMark/>
          </w:tcPr>
          <w:p w14:paraId="09A19791"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 0.49** (0.32; 0.75)</w:t>
            </w:r>
          </w:p>
        </w:tc>
        <w:tc>
          <w:tcPr>
            <w:tcW w:w="2126" w:type="dxa"/>
            <w:noWrap/>
            <w:vAlign w:val="bottom"/>
            <w:hideMark/>
          </w:tcPr>
          <w:p w14:paraId="09A19792"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1.63 (0.90; 2.93)</w:t>
            </w:r>
          </w:p>
        </w:tc>
      </w:tr>
      <w:tr w:rsidR="003D79B3" w:rsidRPr="007C6F2E" w14:paraId="09A19797" w14:textId="77777777" w:rsidTr="00D30A8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tcPr>
          <w:p w14:paraId="09A19794" w14:textId="77777777" w:rsidR="003D79B3" w:rsidRPr="007C6F2E" w:rsidRDefault="003D79B3" w:rsidP="00D30A83">
            <w:pPr>
              <w:spacing w:after="0" w:line="480" w:lineRule="auto"/>
              <w:contextualSpacing/>
              <w:rPr>
                <w:rFonts w:ascii="Calibri" w:eastAsia="Times New Roman" w:hAnsi="Calibri" w:cs="Calibri"/>
                <w:i w:val="0"/>
                <w:color w:val="000000"/>
                <w:sz w:val="20"/>
                <w:lang w:eastAsia="en-GB"/>
              </w:rPr>
            </w:pPr>
            <w:r w:rsidRPr="007C6F2E">
              <w:rPr>
                <w:rFonts w:ascii="Calibri" w:eastAsia="Times New Roman" w:hAnsi="Calibri" w:cs="Calibri"/>
                <w:i w:val="0"/>
                <w:color w:val="000000"/>
                <w:sz w:val="20"/>
                <w:lang w:eastAsia="en-GB"/>
              </w:rPr>
              <w:t>81+</w:t>
            </w:r>
          </w:p>
        </w:tc>
        <w:tc>
          <w:tcPr>
            <w:tcW w:w="2127" w:type="dxa"/>
            <w:tcBorders>
              <w:left w:val="single" w:sz="4" w:space="0" w:color="auto"/>
            </w:tcBorders>
            <w:noWrap/>
            <w:vAlign w:val="bottom"/>
          </w:tcPr>
          <w:p w14:paraId="09A19795"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6F2E">
              <w:rPr>
                <w:rFonts w:ascii="Calibri" w:hAnsi="Calibri" w:cs="Calibri"/>
                <w:color w:val="000000"/>
              </w:rPr>
              <w:t>0.88 (0.43; 1.83)</w:t>
            </w:r>
          </w:p>
        </w:tc>
        <w:tc>
          <w:tcPr>
            <w:tcW w:w="2126" w:type="dxa"/>
            <w:noWrap/>
            <w:vAlign w:val="bottom"/>
          </w:tcPr>
          <w:p w14:paraId="09A19796"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6F2E">
              <w:rPr>
                <w:rFonts w:ascii="Calibri" w:hAnsi="Calibri" w:cs="Calibri"/>
                <w:color w:val="000000"/>
              </w:rPr>
              <w:t>2.88* (1.27; 6.56)</w:t>
            </w:r>
          </w:p>
        </w:tc>
      </w:tr>
      <w:tr w:rsidR="003D79B3" w:rsidRPr="007C6F2E" w14:paraId="09A1979B" w14:textId="77777777" w:rsidTr="00D30A83">
        <w:trPr>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hideMark/>
          </w:tcPr>
          <w:p w14:paraId="09A19798"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r w:rsidRPr="007C6F2E">
              <w:rPr>
                <w:rFonts w:ascii="Calibri" w:eastAsia="Times New Roman" w:hAnsi="Calibri" w:cs="Calibri"/>
                <w:color w:val="000000"/>
                <w:sz w:val="20"/>
                <w:lang w:eastAsia="en-GB"/>
              </w:rPr>
              <w:t> </w:t>
            </w:r>
          </w:p>
        </w:tc>
        <w:tc>
          <w:tcPr>
            <w:tcW w:w="2127" w:type="dxa"/>
            <w:tcBorders>
              <w:left w:val="single" w:sz="4" w:space="0" w:color="auto"/>
            </w:tcBorders>
            <w:noWrap/>
            <w:vAlign w:val="bottom"/>
            <w:hideMark/>
          </w:tcPr>
          <w:p w14:paraId="09A19799"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c>
          <w:tcPr>
            <w:tcW w:w="2126" w:type="dxa"/>
            <w:noWrap/>
            <w:vAlign w:val="bottom"/>
            <w:hideMark/>
          </w:tcPr>
          <w:p w14:paraId="09A1979A"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r>
      <w:tr w:rsidR="003D79B3" w:rsidRPr="007C6F2E" w14:paraId="09A1979F" w14:textId="77777777" w:rsidTr="00D30A8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tcPr>
          <w:p w14:paraId="09A1979C"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r w:rsidRPr="007C6F2E">
              <w:rPr>
                <w:rFonts w:ascii="Calibri" w:eastAsia="Times New Roman" w:hAnsi="Calibri" w:cs="Calibri"/>
                <w:color w:val="000000"/>
                <w:sz w:val="20"/>
                <w:lang w:eastAsia="en-GB"/>
              </w:rPr>
              <w:t>Deprivation index (ref: Least deprived - 1st quintile)</w:t>
            </w:r>
          </w:p>
        </w:tc>
        <w:tc>
          <w:tcPr>
            <w:tcW w:w="2127" w:type="dxa"/>
            <w:tcBorders>
              <w:left w:val="single" w:sz="4" w:space="0" w:color="auto"/>
            </w:tcBorders>
            <w:noWrap/>
            <w:vAlign w:val="bottom"/>
          </w:tcPr>
          <w:p w14:paraId="09A1979D"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2126" w:type="dxa"/>
            <w:noWrap/>
            <w:vAlign w:val="bottom"/>
          </w:tcPr>
          <w:p w14:paraId="09A1979E"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3D79B3" w:rsidRPr="007C6F2E" w14:paraId="09A197A3" w14:textId="77777777" w:rsidTr="00D30A83">
        <w:trPr>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tcPr>
          <w:p w14:paraId="09A197A0" w14:textId="77777777" w:rsidR="003D79B3" w:rsidRPr="007C6F2E" w:rsidRDefault="003D79B3" w:rsidP="00D30A83">
            <w:pPr>
              <w:spacing w:after="0" w:line="480" w:lineRule="auto"/>
              <w:contextualSpacing/>
              <w:rPr>
                <w:rFonts w:ascii="Calibri" w:eastAsia="Times New Roman" w:hAnsi="Calibri" w:cs="Calibri"/>
                <w:i w:val="0"/>
                <w:color w:val="000000"/>
                <w:sz w:val="20"/>
                <w:lang w:eastAsia="en-GB"/>
              </w:rPr>
            </w:pPr>
            <w:r w:rsidRPr="007C6F2E">
              <w:rPr>
                <w:rFonts w:ascii="Calibri" w:eastAsia="Times New Roman" w:hAnsi="Calibri" w:cs="Calibri"/>
                <w:i w:val="0"/>
                <w:color w:val="000000"/>
                <w:sz w:val="20"/>
                <w:lang w:eastAsia="en-GB"/>
              </w:rPr>
              <w:t>2nd quintile</w:t>
            </w:r>
          </w:p>
        </w:tc>
        <w:tc>
          <w:tcPr>
            <w:tcW w:w="2127" w:type="dxa"/>
            <w:tcBorders>
              <w:left w:val="single" w:sz="4" w:space="0" w:color="auto"/>
            </w:tcBorders>
            <w:noWrap/>
            <w:vAlign w:val="bottom"/>
          </w:tcPr>
          <w:p w14:paraId="09A197A1"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0.94 (0.59; 1.49)</w:t>
            </w:r>
          </w:p>
        </w:tc>
        <w:tc>
          <w:tcPr>
            <w:tcW w:w="2126" w:type="dxa"/>
            <w:noWrap/>
            <w:vAlign w:val="bottom"/>
          </w:tcPr>
          <w:p w14:paraId="09A197A2"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3D79B3" w:rsidRPr="007C6F2E" w14:paraId="09A197A7" w14:textId="77777777" w:rsidTr="00D30A8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tcPr>
          <w:p w14:paraId="09A197A4" w14:textId="77777777" w:rsidR="003D79B3" w:rsidRPr="007C6F2E" w:rsidRDefault="003D79B3" w:rsidP="00D30A83">
            <w:pPr>
              <w:spacing w:after="0" w:line="480" w:lineRule="auto"/>
              <w:contextualSpacing/>
              <w:rPr>
                <w:rFonts w:ascii="Calibri" w:eastAsia="Times New Roman" w:hAnsi="Calibri" w:cs="Calibri"/>
                <w:i w:val="0"/>
                <w:color w:val="000000"/>
                <w:sz w:val="20"/>
                <w:lang w:eastAsia="en-GB"/>
              </w:rPr>
            </w:pPr>
            <w:r w:rsidRPr="007C6F2E">
              <w:rPr>
                <w:rFonts w:ascii="Calibri" w:eastAsia="Times New Roman" w:hAnsi="Calibri" w:cs="Calibri"/>
                <w:i w:val="0"/>
                <w:color w:val="000000"/>
                <w:sz w:val="20"/>
                <w:lang w:eastAsia="en-GB"/>
              </w:rPr>
              <w:t>3rd quintile</w:t>
            </w:r>
          </w:p>
        </w:tc>
        <w:tc>
          <w:tcPr>
            <w:tcW w:w="2127" w:type="dxa"/>
            <w:tcBorders>
              <w:left w:val="single" w:sz="4" w:space="0" w:color="auto"/>
            </w:tcBorders>
            <w:noWrap/>
            <w:vAlign w:val="bottom"/>
          </w:tcPr>
          <w:p w14:paraId="09A197A5"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6F2E">
              <w:rPr>
                <w:rFonts w:ascii="Calibri" w:hAnsi="Calibri" w:cs="Calibri"/>
                <w:color w:val="000000"/>
              </w:rPr>
              <w:t>2.00** (1.22; 3.29)</w:t>
            </w:r>
          </w:p>
        </w:tc>
        <w:tc>
          <w:tcPr>
            <w:tcW w:w="2126" w:type="dxa"/>
            <w:noWrap/>
            <w:vAlign w:val="bottom"/>
          </w:tcPr>
          <w:p w14:paraId="09A197A6"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3D79B3" w:rsidRPr="007C6F2E" w14:paraId="09A197AB" w14:textId="77777777" w:rsidTr="00D30A83">
        <w:trPr>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tcPr>
          <w:p w14:paraId="09A197A8" w14:textId="77777777" w:rsidR="003D79B3" w:rsidRPr="007C6F2E" w:rsidRDefault="003D79B3" w:rsidP="00D30A83">
            <w:pPr>
              <w:spacing w:after="0" w:line="480" w:lineRule="auto"/>
              <w:contextualSpacing/>
              <w:rPr>
                <w:rFonts w:ascii="Calibri" w:eastAsia="Times New Roman" w:hAnsi="Calibri" w:cs="Calibri"/>
                <w:i w:val="0"/>
                <w:color w:val="000000"/>
                <w:sz w:val="20"/>
                <w:lang w:eastAsia="en-GB"/>
              </w:rPr>
            </w:pPr>
            <w:r w:rsidRPr="007C6F2E">
              <w:rPr>
                <w:rFonts w:ascii="Calibri" w:eastAsia="Times New Roman" w:hAnsi="Calibri" w:cs="Calibri"/>
                <w:i w:val="0"/>
                <w:color w:val="000000"/>
                <w:sz w:val="20"/>
                <w:lang w:eastAsia="en-GB"/>
              </w:rPr>
              <w:t>4th quintile</w:t>
            </w:r>
          </w:p>
        </w:tc>
        <w:tc>
          <w:tcPr>
            <w:tcW w:w="2127" w:type="dxa"/>
            <w:tcBorders>
              <w:left w:val="single" w:sz="4" w:space="0" w:color="auto"/>
            </w:tcBorders>
            <w:noWrap/>
            <w:vAlign w:val="bottom"/>
          </w:tcPr>
          <w:p w14:paraId="09A197A9"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0.97 (0.61; 1.54)</w:t>
            </w:r>
          </w:p>
        </w:tc>
        <w:tc>
          <w:tcPr>
            <w:tcW w:w="2126" w:type="dxa"/>
            <w:noWrap/>
            <w:vAlign w:val="bottom"/>
          </w:tcPr>
          <w:p w14:paraId="09A197AA"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3D79B3" w:rsidRPr="007C6F2E" w14:paraId="09A197AF" w14:textId="77777777" w:rsidTr="00D30A8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tcPr>
          <w:p w14:paraId="09A197AC" w14:textId="77777777" w:rsidR="003D79B3" w:rsidRPr="007C6F2E" w:rsidRDefault="003D79B3" w:rsidP="00D30A83">
            <w:pPr>
              <w:spacing w:after="0" w:line="480" w:lineRule="auto"/>
              <w:contextualSpacing/>
              <w:rPr>
                <w:rFonts w:ascii="Calibri" w:eastAsia="Times New Roman" w:hAnsi="Calibri" w:cs="Calibri"/>
                <w:i w:val="0"/>
                <w:color w:val="000000"/>
                <w:sz w:val="20"/>
                <w:lang w:eastAsia="en-GB"/>
              </w:rPr>
            </w:pPr>
            <w:r w:rsidRPr="007C6F2E">
              <w:rPr>
                <w:rFonts w:ascii="Calibri" w:eastAsia="Times New Roman" w:hAnsi="Calibri" w:cs="Calibri"/>
                <w:i w:val="0"/>
                <w:color w:val="000000"/>
                <w:sz w:val="20"/>
                <w:lang w:eastAsia="en-GB"/>
              </w:rPr>
              <w:t>Most deprived - 5th quintile</w:t>
            </w:r>
          </w:p>
        </w:tc>
        <w:tc>
          <w:tcPr>
            <w:tcW w:w="2127" w:type="dxa"/>
            <w:tcBorders>
              <w:left w:val="single" w:sz="4" w:space="0" w:color="auto"/>
            </w:tcBorders>
            <w:noWrap/>
            <w:vAlign w:val="bottom"/>
          </w:tcPr>
          <w:p w14:paraId="09A197AD"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6F2E">
              <w:rPr>
                <w:rFonts w:ascii="Calibri" w:hAnsi="Calibri" w:cs="Calibri"/>
                <w:color w:val="000000"/>
              </w:rPr>
              <w:t>1.45 (0.88; 2.40)</w:t>
            </w:r>
          </w:p>
        </w:tc>
        <w:tc>
          <w:tcPr>
            <w:tcW w:w="2126" w:type="dxa"/>
            <w:noWrap/>
            <w:vAlign w:val="bottom"/>
          </w:tcPr>
          <w:p w14:paraId="09A197AE"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3D79B3" w:rsidRPr="007C6F2E" w14:paraId="09A197B3" w14:textId="77777777" w:rsidTr="00D30A83">
        <w:trPr>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tcPr>
          <w:p w14:paraId="09A197B0"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p>
        </w:tc>
        <w:tc>
          <w:tcPr>
            <w:tcW w:w="2127" w:type="dxa"/>
            <w:tcBorders>
              <w:left w:val="single" w:sz="4" w:space="0" w:color="auto"/>
            </w:tcBorders>
            <w:noWrap/>
            <w:vAlign w:val="bottom"/>
          </w:tcPr>
          <w:p w14:paraId="09A197B1"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2126" w:type="dxa"/>
            <w:noWrap/>
            <w:vAlign w:val="bottom"/>
          </w:tcPr>
          <w:p w14:paraId="09A197B2"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3D79B3" w:rsidRPr="007C6F2E" w14:paraId="09A197B7" w14:textId="77777777" w:rsidTr="00D30A8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hideMark/>
          </w:tcPr>
          <w:p w14:paraId="09A197B4"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r w:rsidRPr="007C6F2E">
              <w:rPr>
                <w:rFonts w:ascii="Calibri" w:eastAsia="Times New Roman" w:hAnsi="Calibri" w:cs="Calibri"/>
                <w:color w:val="000000"/>
                <w:sz w:val="20"/>
                <w:lang w:eastAsia="en-GB"/>
              </w:rPr>
              <w:t>Neo-adjuvant therapy (ref: none)</w:t>
            </w:r>
          </w:p>
        </w:tc>
        <w:tc>
          <w:tcPr>
            <w:tcW w:w="2127" w:type="dxa"/>
            <w:tcBorders>
              <w:left w:val="single" w:sz="4" w:space="0" w:color="auto"/>
            </w:tcBorders>
            <w:noWrap/>
            <w:vAlign w:val="bottom"/>
            <w:hideMark/>
          </w:tcPr>
          <w:p w14:paraId="09A197B5"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6F2E">
              <w:rPr>
                <w:rFonts w:ascii="Calibri" w:hAnsi="Calibri" w:cs="Calibri"/>
                <w:color w:val="000000"/>
              </w:rPr>
              <w:t>2.41*** (1.64; 3.53)</w:t>
            </w:r>
          </w:p>
        </w:tc>
        <w:tc>
          <w:tcPr>
            <w:tcW w:w="2126" w:type="dxa"/>
            <w:noWrap/>
            <w:vAlign w:val="bottom"/>
            <w:hideMark/>
          </w:tcPr>
          <w:p w14:paraId="09A197B6"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r>
      <w:tr w:rsidR="003D79B3" w:rsidRPr="007C6F2E" w14:paraId="09A197BB" w14:textId="77777777" w:rsidTr="00D30A83">
        <w:trPr>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hideMark/>
          </w:tcPr>
          <w:p w14:paraId="09A197B8"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r w:rsidRPr="007C6F2E">
              <w:rPr>
                <w:rFonts w:ascii="Calibri" w:eastAsia="Times New Roman" w:hAnsi="Calibri" w:cs="Calibri"/>
                <w:color w:val="000000"/>
                <w:sz w:val="20"/>
                <w:lang w:eastAsia="en-GB"/>
              </w:rPr>
              <w:t> </w:t>
            </w:r>
          </w:p>
        </w:tc>
        <w:tc>
          <w:tcPr>
            <w:tcW w:w="2127" w:type="dxa"/>
            <w:tcBorders>
              <w:left w:val="single" w:sz="4" w:space="0" w:color="auto"/>
            </w:tcBorders>
            <w:noWrap/>
            <w:vAlign w:val="bottom"/>
            <w:hideMark/>
          </w:tcPr>
          <w:p w14:paraId="09A197B9"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c>
          <w:tcPr>
            <w:tcW w:w="2126" w:type="dxa"/>
            <w:noWrap/>
            <w:vAlign w:val="bottom"/>
            <w:hideMark/>
          </w:tcPr>
          <w:p w14:paraId="09A197BA"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r>
      <w:tr w:rsidR="003D79B3" w:rsidRPr="007C6F2E" w14:paraId="09A197BF" w14:textId="77777777" w:rsidTr="00D30A8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hideMark/>
          </w:tcPr>
          <w:p w14:paraId="09A197BC"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r w:rsidRPr="007C6F2E">
              <w:rPr>
                <w:rFonts w:ascii="Calibri" w:eastAsia="Times New Roman" w:hAnsi="Calibri" w:cs="Calibri"/>
                <w:color w:val="000000"/>
                <w:sz w:val="20"/>
                <w:lang w:eastAsia="en-GB"/>
              </w:rPr>
              <w:t>Adjuvant therapy (ref: none)</w:t>
            </w:r>
          </w:p>
        </w:tc>
        <w:tc>
          <w:tcPr>
            <w:tcW w:w="2127" w:type="dxa"/>
            <w:tcBorders>
              <w:left w:val="single" w:sz="4" w:space="0" w:color="auto"/>
            </w:tcBorders>
            <w:noWrap/>
            <w:vAlign w:val="bottom"/>
            <w:hideMark/>
          </w:tcPr>
          <w:p w14:paraId="09A197BD"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6F2E">
              <w:rPr>
                <w:rFonts w:ascii="Calibri" w:hAnsi="Calibri" w:cs="Calibri"/>
                <w:color w:val="000000"/>
              </w:rPr>
              <w:t>N/A</w:t>
            </w:r>
          </w:p>
        </w:tc>
        <w:tc>
          <w:tcPr>
            <w:tcW w:w="2126" w:type="dxa"/>
            <w:noWrap/>
            <w:vAlign w:val="bottom"/>
            <w:hideMark/>
          </w:tcPr>
          <w:p w14:paraId="09A197BE"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6F2E">
              <w:rPr>
                <w:rFonts w:ascii="Calibri" w:hAnsi="Calibri" w:cs="Calibri"/>
                <w:color w:val="000000"/>
              </w:rPr>
              <w:t>0.61* (0.41; 0.93)</w:t>
            </w:r>
          </w:p>
        </w:tc>
      </w:tr>
      <w:tr w:rsidR="003D79B3" w:rsidRPr="007C6F2E" w14:paraId="09A197C3" w14:textId="77777777" w:rsidTr="00D30A83">
        <w:trPr>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hideMark/>
          </w:tcPr>
          <w:p w14:paraId="09A197C0"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r w:rsidRPr="007C6F2E">
              <w:rPr>
                <w:rFonts w:ascii="Calibri" w:eastAsia="Times New Roman" w:hAnsi="Calibri" w:cs="Calibri"/>
                <w:color w:val="000000"/>
                <w:sz w:val="20"/>
                <w:lang w:eastAsia="en-GB"/>
              </w:rPr>
              <w:t> </w:t>
            </w:r>
          </w:p>
        </w:tc>
        <w:tc>
          <w:tcPr>
            <w:tcW w:w="2127" w:type="dxa"/>
            <w:tcBorders>
              <w:left w:val="single" w:sz="4" w:space="0" w:color="auto"/>
            </w:tcBorders>
            <w:noWrap/>
            <w:vAlign w:val="bottom"/>
            <w:hideMark/>
          </w:tcPr>
          <w:p w14:paraId="09A197C1"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c>
          <w:tcPr>
            <w:tcW w:w="2126" w:type="dxa"/>
            <w:noWrap/>
            <w:vAlign w:val="bottom"/>
            <w:hideMark/>
          </w:tcPr>
          <w:p w14:paraId="09A197C2"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r>
      <w:tr w:rsidR="003D79B3" w:rsidRPr="007C6F2E" w14:paraId="09A197C7" w14:textId="77777777" w:rsidTr="00D30A8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hideMark/>
          </w:tcPr>
          <w:p w14:paraId="09A197C4"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r w:rsidRPr="007C6F2E">
              <w:rPr>
                <w:rFonts w:ascii="Calibri" w:eastAsia="Times New Roman" w:hAnsi="Calibri" w:cs="Calibri"/>
                <w:color w:val="000000"/>
                <w:sz w:val="20"/>
                <w:lang w:eastAsia="en-GB"/>
              </w:rPr>
              <w:t>Comorbidities (ref: none)</w:t>
            </w:r>
          </w:p>
        </w:tc>
        <w:tc>
          <w:tcPr>
            <w:tcW w:w="2127" w:type="dxa"/>
            <w:tcBorders>
              <w:left w:val="single" w:sz="4" w:space="0" w:color="auto"/>
            </w:tcBorders>
            <w:noWrap/>
            <w:vAlign w:val="bottom"/>
            <w:hideMark/>
          </w:tcPr>
          <w:p w14:paraId="09A197C5"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c>
          <w:tcPr>
            <w:tcW w:w="2126" w:type="dxa"/>
            <w:noWrap/>
            <w:vAlign w:val="bottom"/>
            <w:hideMark/>
          </w:tcPr>
          <w:p w14:paraId="09A197C6"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r>
      <w:tr w:rsidR="003D79B3" w:rsidRPr="007C6F2E" w14:paraId="09A197CB" w14:textId="77777777" w:rsidTr="00D30A83">
        <w:trPr>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hideMark/>
          </w:tcPr>
          <w:p w14:paraId="09A197C8" w14:textId="77777777" w:rsidR="003D79B3" w:rsidRPr="007C6F2E" w:rsidRDefault="003D79B3" w:rsidP="00D30A83">
            <w:pPr>
              <w:spacing w:after="0" w:line="480" w:lineRule="auto"/>
              <w:contextualSpacing/>
              <w:rPr>
                <w:rFonts w:ascii="Calibri" w:eastAsia="Times New Roman" w:hAnsi="Calibri" w:cs="Calibri"/>
                <w:i w:val="0"/>
                <w:color w:val="000000"/>
                <w:sz w:val="20"/>
                <w:lang w:eastAsia="en-GB"/>
              </w:rPr>
            </w:pPr>
            <w:r w:rsidRPr="007C6F2E">
              <w:rPr>
                <w:rFonts w:ascii="Calibri" w:eastAsia="Times New Roman" w:hAnsi="Calibri" w:cs="Calibri"/>
                <w:i w:val="0"/>
                <w:color w:val="000000"/>
                <w:sz w:val="20"/>
                <w:lang w:eastAsia="en-GB"/>
              </w:rPr>
              <w:t>one</w:t>
            </w:r>
          </w:p>
        </w:tc>
        <w:tc>
          <w:tcPr>
            <w:tcW w:w="2127" w:type="dxa"/>
            <w:tcBorders>
              <w:left w:val="single" w:sz="4" w:space="0" w:color="auto"/>
            </w:tcBorders>
            <w:noWrap/>
            <w:vAlign w:val="bottom"/>
            <w:hideMark/>
          </w:tcPr>
          <w:p w14:paraId="09A197C9"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1.16 (0.77; 1.76)</w:t>
            </w:r>
          </w:p>
        </w:tc>
        <w:tc>
          <w:tcPr>
            <w:tcW w:w="2126" w:type="dxa"/>
            <w:noWrap/>
            <w:vAlign w:val="bottom"/>
            <w:hideMark/>
          </w:tcPr>
          <w:p w14:paraId="09A197CA"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r>
      <w:tr w:rsidR="003D79B3" w:rsidRPr="007C6F2E" w14:paraId="09A197CF" w14:textId="77777777" w:rsidTr="00D30A8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hideMark/>
          </w:tcPr>
          <w:p w14:paraId="09A197CC" w14:textId="77777777" w:rsidR="003D79B3" w:rsidRPr="007C6F2E" w:rsidRDefault="003D79B3" w:rsidP="00D30A83">
            <w:pPr>
              <w:spacing w:after="0" w:line="480" w:lineRule="auto"/>
              <w:contextualSpacing/>
              <w:rPr>
                <w:rFonts w:ascii="Calibri" w:eastAsia="Times New Roman" w:hAnsi="Calibri" w:cs="Calibri"/>
                <w:i w:val="0"/>
                <w:color w:val="000000"/>
                <w:sz w:val="20"/>
                <w:lang w:eastAsia="en-GB"/>
              </w:rPr>
            </w:pPr>
            <w:r w:rsidRPr="007C6F2E">
              <w:rPr>
                <w:rFonts w:ascii="Calibri" w:eastAsia="Times New Roman" w:hAnsi="Calibri" w:cs="Calibri"/>
                <w:i w:val="0"/>
                <w:color w:val="000000"/>
                <w:sz w:val="20"/>
                <w:lang w:eastAsia="en-GB"/>
              </w:rPr>
              <w:t>2+</w:t>
            </w:r>
          </w:p>
        </w:tc>
        <w:tc>
          <w:tcPr>
            <w:tcW w:w="2127" w:type="dxa"/>
            <w:tcBorders>
              <w:left w:val="single" w:sz="4" w:space="0" w:color="auto"/>
            </w:tcBorders>
            <w:noWrap/>
            <w:vAlign w:val="bottom"/>
            <w:hideMark/>
          </w:tcPr>
          <w:p w14:paraId="09A197CD"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6F2E">
              <w:rPr>
                <w:rFonts w:ascii="Calibri" w:hAnsi="Calibri" w:cs="Calibri"/>
                <w:color w:val="000000"/>
              </w:rPr>
              <w:t>1.56* (1.05; 2.31)</w:t>
            </w:r>
          </w:p>
        </w:tc>
        <w:tc>
          <w:tcPr>
            <w:tcW w:w="2126" w:type="dxa"/>
            <w:noWrap/>
            <w:vAlign w:val="bottom"/>
            <w:hideMark/>
          </w:tcPr>
          <w:p w14:paraId="09A197CE"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r>
      <w:tr w:rsidR="003D79B3" w:rsidRPr="007C6F2E" w14:paraId="09A197D3" w14:textId="77777777" w:rsidTr="00D30A83">
        <w:trPr>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hideMark/>
          </w:tcPr>
          <w:p w14:paraId="09A197D0"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r w:rsidRPr="007C6F2E">
              <w:rPr>
                <w:rFonts w:ascii="Calibri" w:eastAsia="Times New Roman" w:hAnsi="Calibri" w:cs="Calibri"/>
                <w:color w:val="000000"/>
                <w:sz w:val="20"/>
                <w:lang w:eastAsia="en-GB"/>
              </w:rPr>
              <w:t> </w:t>
            </w:r>
          </w:p>
        </w:tc>
        <w:tc>
          <w:tcPr>
            <w:tcW w:w="2127" w:type="dxa"/>
            <w:tcBorders>
              <w:left w:val="single" w:sz="4" w:space="0" w:color="auto"/>
            </w:tcBorders>
            <w:noWrap/>
            <w:vAlign w:val="bottom"/>
            <w:hideMark/>
          </w:tcPr>
          <w:p w14:paraId="09A197D1"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c>
          <w:tcPr>
            <w:tcW w:w="2126" w:type="dxa"/>
            <w:noWrap/>
            <w:vAlign w:val="bottom"/>
            <w:hideMark/>
          </w:tcPr>
          <w:p w14:paraId="09A197D2"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r>
      <w:tr w:rsidR="003D79B3" w:rsidRPr="007C6F2E" w14:paraId="09A197D7" w14:textId="77777777" w:rsidTr="00D30A8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hideMark/>
          </w:tcPr>
          <w:p w14:paraId="09A197D4"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r w:rsidRPr="007C6F2E">
              <w:rPr>
                <w:rFonts w:ascii="Calibri" w:eastAsia="Times New Roman" w:hAnsi="Calibri" w:cs="Calibri"/>
                <w:color w:val="000000"/>
                <w:sz w:val="20"/>
                <w:lang w:eastAsia="en-GB"/>
              </w:rPr>
              <w:t>PANAS negative score</w:t>
            </w:r>
          </w:p>
        </w:tc>
        <w:tc>
          <w:tcPr>
            <w:tcW w:w="2127" w:type="dxa"/>
            <w:tcBorders>
              <w:left w:val="single" w:sz="4" w:space="0" w:color="auto"/>
            </w:tcBorders>
            <w:noWrap/>
            <w:vAlign w:val="bottom"/>
            <w:hideMark/>
          </w:tcPr>
          <w:p w14:paraId="09A197D5"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6F2E">
              <w:rPr>
                <w:rFonts w:ascii="Calibri" w:hAnsi="Calibri" w:cs="Calibri"/>
                <w:color w:val="000000"/>
              </w:rPr>
              <w:t>1.08** (1.03; 1.15)</w:t>
            </w:r>
          </w:p>
        </w:tc>
        <w:tc>
          <w:tcPr>
            <w:tcW w:w="2126" w:type="dxa"/>
            <w:noWrap/>
            <w:vAlign w:val="bottom"/>
            <w:hideMark/>
          </w:tcPr>
          <w:p w14:paraId="09A197D6"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6F2E">
              <w:rPr>
                <w:rFonts w:ascii="Calibri" w:hAnsi="Calibri" w:cs="Calibri"/>
                <w:color w:val="000000"/>
              </w:rPr>
              <w:t>1.17** (1.04; 1.32)</w:t>
            </w:r>
          </w:p>
        </w:tc>
      </w:tr>
      <w:tr w:rsidR="003D79B3" w:rsidRPr="007C6F2E" w14:paraId="09A197DB" w14:textId="77777777" w:rsidTr="00D30A83">
        <w:trPr>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hideMark/>
          </w:tcPr>
          <w:p w14:paraId="09A197D8"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r w:rsidRPr="007C6F2E">
              <w:rPr>
                <w:rFonts w:ascii="Calibri" w:eastAsia="Times New Roman" w:hAnsi="Calibri" w:cs="Calibri"/>
                <w:color w:val="000000"/>
                <w:sz w:val="20"/>
                <w:lang w:eastAsia="en-GB"/>
              </w:rPr>
              <w:t> </w:t>
            </w:r>
          </w:p>
        </w:tc>
        <w:tc>
          <w:tcPr>
            <w:tcW w:w="2127" w:type="dxa"/>
            <w:tcBorders>
              <w:left w:val="single" w:sz="4" w:space="0" w:color="auto"/>
            </w:tcBorders>
            <w:noWrap/>
            <w:vAlign w:val="bottom"/>
            <w:hideMark/>
          </w:tcPr>
          <w:p w14:paraId="09A197D9"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c>
          <w:tcPr>
            <w:tcW w:w="2126" w:type="dxa"/>
            <w:noWrap/>
            <w:vAlign w:val="bottom"/>
            <w:hideMark/>
          </w:tcPr>
          <w:p w14:paraId="09A197DA"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r>
      <w:tr w:rsidR="003D79B3" w:rsidRPr="007C6F2E" w14:paraId="09A197DF" w14:textId="77777777" w:rsidTr="00D30A8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hideMark/>
          </w:tcPr>
          <w:p w14:paraId="09A197DC"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r w:rsidRPr="007C6F2E">
              <w:rPr>
                <w:rFonts w:ascii="Calibri" w:eastAsia="Times New Roman" w:hAnsi="Calibri" w:cs="Calibri"/>
                <w:color w:val="000000"/>
                <w:sz w:val="20"/>
                <w:lang w:eastAsia="en-GB"/>
              </w:rPr>
              <w:t>PANAS positive score</w:t>
            </w:r>
          </w:p>
        </w:tc>
        <w:tc>
          <w:tcPr>
            <w:tcW w:w="2127" w:type="dxa"/>
            <w:tcBorders>
              <w:left w:val="single" w:sz="4" w:space="0" w:color="auto"/>
            </w:tcBorders>
            <w:noWrap/>
            <w:vAlign w:val="bottom"/>
            <w:hideMark/>
          </w:tcPr>
          <w:p w14:paraId="09A197DD"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6F2E">
              <w:rPr>
                <w:rFonts w:ascii="Calibri" w:hAnsi="Calibri" w:cs="Calibri"/>
                <w:color w:val="000000"/>
              </w:rPr>
              <w:t>0.97* (0.93; 0.99)</w:t>
            </w:r>
          </w:p>
        </w:tc>
        <w:tc>
          <w:tcPr>
            <w:tcW w:w="2126" w:type="dxa"/>
            <w:noWrap/>
            <w:vAlign w:val="bottom"/>
            <w:hideMark/>
          </w:tcPr>
          <w:p w14:paraId="09A197DE"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6F2E">
              <w:rPr>
                <w:rFonts w:ascii="Calibri" w:hAnsi="Calibri" w:cs="Calibri"/>
                <w:color w:val="000000"/>
              </w:rPr>
              <w:t>0.91*** (0.86; 0.96)</w:t>
            </w:r>
          </w:p>
        </w:tc>
      </w:tr>
      <w:tr w:rsidR="003D79B3" w:rsidRPr="007C6F2E" w14:paraId="09A197E3" w14:textId="77777777" w:rsidTr="00D30A83">
        <w:trPr>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hideMark/>
          </w:tcPr>
          <w:p w14:paraId="09A197E0"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r w:rsidRPr="007C6F2E">
              <w:rPr>
                <w:rFonts w:ascii="Calibri" w:eastAsia="Times New Roman" w:hAnsi="Calibri" w:cs="Calibri"/>
                <w:color w:val="000000"/>
                <w:sz w:val="20"/>
                <w:lang w:eastAsia="en-GB"/>
              </w:rPr>
              <w:t> </w:t>
            </w:r>
          </w:p>
        </w:tc>
        <w:tc>
          <w:tcPr>
            <w:tcW w:w="2127" w:type="dxa"/>
            <w:tcBorders>
              <w:left w:val="single" w:sz="4" w:space="0" w:color="auto"/>
            </w:tcBorders>
            <w:noWrap/>
            <w:vAlign w:val="bottom"/>
            <w:hideMark/>
          </w:tcPr>
          <w:p w14:paraId="09A197E1"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c>
          <w:tcPr>
            <w:tcW w:w="2126" w:type="dxa"/>
            <w:noWrap/>
            <w:vAlign w:val="bottom"/>
            <w:hideMark/>
          </w:tcPr>
          <w:p w14:paraId="09A197E2"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r>
      <w:tr w:rsidR="003D79B3" w:rsidRPr="007C6F2E" w14:paraId="09A197E7" w14:textId="77777777" w:rsidTr="00D30A8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hideMark/>
          </w:tcPr>
          <w:p w14:paraId="09A197E4"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r w:rsidRPr="007C6F2E">
              <w:rPr>
                <w:rFonts w:ascii="Calibri" w:eastAsia="Times New Roman" w:hAnsi="Calibri" w:cs="Calibri"/>
                <w:color w:val="000000"/>
                <w:sz w:val="20"/>
                <w:lang w:eastAsia="en-GB"/>
              </w:rPr>
              <w:t>Full social support MOS=100 (ref: &lt;100)</w:t>
            </w:r>
          </w:p>
        </w:tc>
        <w:tc>
          <w:tcPr>
            <w:tcW w:w="2127" w:type="dxa"/>
            <w:tcBorders>
              <w:left w:val="single" w:sz="4" w:space="0" w:color="auto"/>
            </w:tcBorders>
            <w:noWrap/>
            <w:vAlign w:val="bottom"/>
            <w:hideMark/>
          </w:tcPr>
          <w:p w14:paraId="09A197E5"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6F2E">
              <w:rPr>
                <w:rFonts w:ascii="Calibri" w:hAnsi="Calibri" w:cs="Calibri"/>
                <w:color w:val="000000"/>
              </w:rPr>
              <w:t>0.68* (0.46; 0.99)</w:t>
            </w:r>
          </w:p>
        </w:tc>
        <w:tc>
          <w:tcPr>
            <w:tcW w:w="2126" w:type="dxa"/>
            <w:noWrap/>
            <w:vAlign w:val="bottom"/>
            <w:hideMark/>
          </w:tcPr>
          <w:p w14:paraId="09A197E6"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r>
      <w:tr w:rsidR="003D79B3" w:rsidRPr="007C6F2E" w14:paraId="09A197EB" w14:textId="77777777" w:rsidTr="00D30A83">
        <w:trPr>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hideMark/>
          </w:tcPr>
          <w:p w14:paraId="09A197E8"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r w:rsidRPr="007C6F2E">
              <w:rPr>
                <w:rFonts w:ascii="Calibri" w:eastAsia="Times New Roman" w:hAnsi="Calibri" w:cs="Calibri"/>
                <w:color w:val="000000"/>
                <w:sz w:val="20"/>
                <w:lang w:eastAsia="en-GB"/>
              </w:rPr>
              <w:t> </w:t>
            </w:r>
          </w:p>
        </w:tc>
        <w:tc>
          <w:tcPr>
            <w:tcW w:w="2127" w:type="dxa"/>
            <w:tcBorders>
              <w:left w:val="single" w:sz="4" w:space="0" w:color="auto"/>
            </w:tcBorders>
            <w:noWrap/>
            <w:vAlign w:val="bottom"/>
            <w:hideMark/>
          </w:tcPr>
          <w:p w14:paraId="09A197E9"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c>
          <w:tcPr>
            <w:tcW w:w="2126" w:type="dxa"/>
            <w:noWrap/>
            <w:vAlign w:val="bottom"/>
            <w:hideMark/>
          </w:tcPr>
          <w:p w14:paraId="09A197EA"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r>
      <w:tr w:rsidR="003D79B3" w:rsidRPr="007C6F2E" w14:paraId="09A197EF" w14:textId="77777777" w:rsidTr="00D30A8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hideMark/>
          </w:tcPr>
          <w:p w14:paraId="09A197EC"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r w:rsidRPr="007C6F2E">
              <w:rPr>
                <w:rFonts w:ascii="Calibri" w:eastAsia="Times New Roman" w:hAnsi="Calibri" w:cs="Calibri"/>
                <w:color w:val="000000"/>
                <w:sz w:val="20"/>
                <w:lang w:eastAsia="en-GB"/>
              </w:rPr>
              <w:lastRenderedPageBreak/>
              <w:t>QLACS Cancer-specific score</w:t>
            </w:r>
          </w:p>
        </w:tc>
        <w:tc>
          <w:tcPr>
            <w:tcW w:w="2127" w:type="dxa"/>
            <w:tcBorders>
              <w:left w:val="single" w:sz="4" w:space="0" w:color="auto"/>
            </w:tcBorders>
            <w:noWrap/>
            <w:vAlign w:val="bottom"/>
            <w:hideMark/>
          </w:tcPr>
          <w:p w14:paraId="09A197ED"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6F2E">
              <w:rPr>
                <w:rFonts w:ascii="Calibri" w:hAnsi="Calibri" w:cs="Calibri"/>
                <w:color w:val="000000"/>
              </w:rPr>
              <w:t> N/A</w:t>
            </w:r>
          </w:p>
        </w:tc>
        <w:tc>
          <w:tcPr>
            <w:tcW w:w="2126" w:type="dxa"/>
            <w:noWrap/>
            <w:vAlign w:val="bottom"/>
            <w:hideMark/>
          </w:tcPr>
          <w:p w14:paraId="09A197EE"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6F2E">
              <w:rPr>
                <w:rFonts w:ascii="Calibri" w:hAnsi="Calibri" w:cs="Calibri"/>
                <w:color w:val="000000"/>
              </w:rPr>
              <w:t>1.02* (1.003; 1.04)</w:t>
            </w:r>
          </w:p>
        </w:tc>
      </w:tr>
      <w:tr w:rsidR="003D79B3" w:rsidRPr="007C6F2E" w14:paraId="09A197F3" w14:textId="77777777" w:rsidTr="00D30A83">
        <w:trPr>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hideMark/>
          </w:tcPr>
          <w:p w14:paraId="09A197F0"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r w:rsidRPr="007C6F2E">
              <w:rPr>
                <w:rFonts w:ascii="Calibri" w:eastAsia="Times New Roman" w:hAnsi="Calibri" w:cs="Calibri"/>
                <w:color w:val="000000"/>
                <w:sz w:val="20"/>
                <w:lang w:eastAsia="en-GB"/>
              </w:rPr>
              <w:t> </w:t>
            </w:r>
          </w:p>
        </w:tc>
        <w:tc>
          <w:tcPr>
            <w:tcW w:w="2127" w:type="dxa"/>
            <w:tcBorders>
              <w:left w:val="single" w:sz="4" w:space="0" w:color="auto"/>
            </w:tcBorders>
            <w:noWrap/>
            <w:vAlign w:val="bottom"/>
            <w:hideMark/>
          </w:tcPr>
          <w:p w14:paraId="09A197F1"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c>
          <w:tcPr>
            <w:tcW w:w="2126" w:type="dxa"/>
            <w:noWrap/>
            <w:vAlign w:val="bottom"/>
            <w:hideMark/>
          </w:tcPr>
          <w:p w14:paraId="09A197F2"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r>
      <w:tr w:rsidR="003D79B3" w:rsidRPr="007C6F2E" w14:paraId="09A197F7" w14:textId="77777777" w:rsidTr="00D30A8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hideMark/>
          </w:tcPr>
          <w:p w14:paraId="09A197F4"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r w:rsidRPr="007C6F2E">
              <w:rPr>
                <w:rFonts w:ascii="Calibri" w:eastAsia="Times New Roman" w:hAnsi="Calibri" w:cs="Calibri"/>
                <w:color w:val="000000"/>
                <w:sz w:val="20"/>
                <w:lang w:eastAsia="en-GB"/>
              </w:rPr>
              <w:t>Depression CES-D&gt;=20 (ref: &lt;20)</w:t>
            </w:r>
          </w:p>
        </w:tc>
        <w:tc>
          <w:tcPr>
            <w:tcW w:w="2127" w:type="dxa"/>
            <w:tcBorders>
              <w:left w:val="single" w:sz="4" w:space="0" w:color="auto"/>
            </w:tcBorders>
            <w:noWrap/>
            <w:vAlign w:val="bottom"/>
            <w:hideMark/>
          </w:tcPr>
          <w:p w14:paraId="09A197F5"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c>
          <w:tcPr>
            <w:tcW w:w="2126" w:type="dxa"/>
            <w:noWrap/>
            <w:vAlign w:val="bottom"/>
            <w:hideMark/>
          </w:tcPr>
          <w:p w14:paraId="09A197F6"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6F2E">
              <w:rPr>
                <w:rFonts w:ascii="Calibri" w:hAnsi="Calibri" w:cs="Calibri"/>
                <w:color w:val="000000"/>
              </w:rPr>
              <w:t>0.24** (0.09; 0.62)</w:t>
            </w:r>
          </w:p>
        </w:tc>
      </w:tr>
      <w:tr w:rsidR="003D79B3" w:rsidRPr="007C6F2E" w14:paraId="09A197FB" w14:textId="77777777" w:rsidTr="00D30A83">
        <w:trPr>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hideMark/>
          </w:tcPr>
          <w:p w14:paraId="09A197F8"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r w:rsidRPr="007C6F2E">
              <w:rPr>
                <w:rFonts w:ascii="Calibri" w:eastAsia="Times New Roman" w:hAnsi="Calibri" w:cs="Calibri"/>
                <w:color w:val="000000"/>
                <w:sz w:val="20"/>
                <w:lang w:eastAsia="en-GB"/>
              </w:rPr>
              <w:t> </w:t>
            </w:r>
          </w:p>
        </w:tc>
        <w:tc>
          <w:tcPr>
            <w:tcW w:w="2127" w:type="dxa"/>
            <w:tcBorders>
              <w:left w:val="single" w:sz="4" w:space="0" w:color="auto"/>
            </w:tcBorders>
            <w:noWrap/>
            <w:vAlign w:val="bottom"/>
            <w:hideMark/>
          </w:tcPr>
          <w:p w14:paraId="09A197F9"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c>
          <w:tcPr>
            <w:tcW w:w="2126" w:type="dxa"/>
            <w:noWrap/>
            <w:vAlign w:val="bottom"/>
            <w:hideMark/>
          </w:tcPr>
          <w:p w14:paraId="09A197FA"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r>
      <w:tr w:rsidR="003D79B3" w:rsidRPr="007C6F2E" w14:paraId="09A197FF" w14:textId="77777777" w:rsidTr="00D30A8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hideMark/>
          </w:tcPr>
          <w:p w14:paraId="09A197FC"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r w:rsidRPr="007C6F2E">
              <w:rPr>
                <w:rFonts w:ascii="Calibri" w:eastAsia="Times New Roman" w:hAnsi="Calibri" w:cs="Calibri"/>
                <w:color w:val="000000"/>
                <w:sz w:val="20"/>
                <w:lang w:eastAsia="en-GB"/>
              </w:rPr>
              <w:t>Self-efficacy (ref: low confidence)</w:t>
            </w:r>
          </w:p>
        </w:tc>
        <w:tc>
          <w:tcPr>
            <w:tcW w:w="2127" w:type="dxa"/>
            <w:tcBorders>
              <w:left w:val="single" w:sz="4" w:space="0" w:color="auto"/>
            </w:tcBorders>
            <w:noWrap/>
            <w:vAlign w:val="bottom"/>
            <w:hideMark/>
          </w:tcPr>
          <w:p w14:paraId="09A197FD"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c>
          <w:tcPr>
            <w:tcW w:w="2126" w:type="dxa"/>
            <w:noWrap/>
            <w:vAlign w:val="bottom"/>
            <w:hideMark/>
          </w:tcPr>
          <w:p w14:paraId="09A197FE"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r>
      <w:tr w:rsidR="003D79B3" w:rsidRPr="007C6F2E" w14:paraId="09A19803" w14:textId="77777777" w:rsidTr="00D30A83">
        <w:trPr>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hideMark/>
          </w:tcPr>
          <w:p w14:paraId="09A19800" w14:textId="77777777" w:rsidR="003D79B3" w:rsidRPr="007C6F2E" w:rsidRDefault="003D79B3" w:rsidP="00D30A83">
            <w:pPr>
              <w:spacing w:after="0" w:line="480" w:lineRule="auto"/>
              <w:contextualSpacing/>
              <w:rPr>
                <w:rFonts w:ascii="Calibri" w:eastAsia="Times New Roman" w:hAnsi="Calibri" w:cs="Calibri"/>
                <w:i w:val="0"/>
                <w:color w:val="000000"/>
                <w:sz w:val="20"/>
                <w:lang w:eastAsia="en-GB"/>
              </w:rPr>
            </w:pPr>
            <w:r w:rsidRPr="007C6F2E">
              <w:rPr>
                <w:rFonts w:ascii="Calibri" w:eastAsia="Times New Roman" w:hAnsi="Calibri" w:cs="Calibri"/>
                <w:i w:val="0"/>
                <w:color w:val="000000"/>
                <w:sz w:val="20"/>
                <w:lang w:eastAsia="en-GB"/>
              </w:rPr>
              <w:t>- moderate confidence</w:t>
            </w:r>
          </w:p>
        </w:tc>
        <w:tc>
          <w:tcPr>
            <w:tcW w:w="2127" w:type="dxa"/>
            <w:tcBorders>
              <w:left w:val="single" w:sz="4" w:space="0" w:color="auto"/>
            </w:tcBorders>
            <w:noWrap/>
            <w:vAlign w:val="bottom"/>
            <w:hideMark/>
          </w:tcPr>
          <w:p w14:paraId="09A19801"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0.36** (0.19; 0.70)</w:t>
            </w:r>
          </w:p>
        </w:tc>
        <w:tc>
          <w:tcPr>
            <w:tcW w:w="2126" w:type="dxa"/>
            <w:noWrap/>
            <w:vAlign w:val="bottom"/>
            <w:hideMark/>
          </w:tcPr>
          <w:p w14:paraId="09A19802"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r>
      <w:tr w:rsidR="003D79B3" w:rsidRPr="007C6F2E" w14:paraId="09A19807" w14:textId="77777777" w:rsidTr="00D30A8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hideMark/>
          </w:tcPr>
          <w:p w14:paraId="09A19804" w14:textId="77777777" w:rsidR="003D79B3" w:rsidRPr="007C6F2E" w:rsidRDefault="003D79B3" w:rsidP="00D30A83">
            <w:pPr>
              <w:spacing w:after="0" w:line="480" w:lineRule="auto"/>
              <w:contextualSpacing/>
              <w:rPr>
                <w:rFonts w:ascii="Calibri" w:eastAsia="Times New Roman" w:hAnsi="Calibri" w:cs="Calibri"/>
                <w:i w:val="0"/>
                <w:color w:val="000000"/>
                <w:sz w:val="20"/>
                <w:lang w:eastAsia="en-GB"/>
              </w:rPr>
            </w:pPr>
            <w:r w:rsidRPr="007C6F2E">
              <w:rPr>
                <w:rFonts w:ascii="Calibri" w:eastAsia="Times New Roman" w:hAnsi="Calibri" w:cs="Calibri"/>
                <w:i w:val="0"/>
                <w:color w:val="000000"/>
                <w:sz w:val="20"/>
                <w:lang w:eastAsia="en-GB"/>
              </w:rPr>
              <w:t>- confident</w:t>
            </w:r>
          </w:p>
        </w:tc>
        <w:tc>
          <w:tcPr>
            <w:tcW w:w="2127" w:type="dxa"/>
            <w:tcBorders>
              <w:left w:val="single" w:sz="4" w:space="0" w:color="auto"/>
            </w:tcBorders>
            <w:noWrap/>
            <w:vAlign w:val="bottom"/>
            <w:hideMark/>
          </w:tcPr>
          <w:p w14:paraId="09A19805"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6F2E">
              <w:rPr>
                <w:rFonts w:ascii="Calibri" w:hAnsi="Calibri" w:cs="Calibri"/>
                <w:color w:val="000000"/>
              </w:rPr>
              <w:t>0.45* (0.24; 0.86)</w:t>
            </w:r>
          </w:p>
        </w:tc>
        <w:tc>
          <w:tcPr>
            <w:tcW w:w="2126" w:type="dxa"/>
            <w:noWrap/>
            <w:vAlign w:val="bottom"/>
            <w:hideMark/>
          </w:tcPr>
          <w:p w14:paraId="09A19806"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r>
      <w:tr w:rsidR="003D79B3" w:rsidRPr="007C6F2E" w14:paraId="09A1980B" w14:textId="77777777" w:rsidTr="00D30A83">
        <w:trPr>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hideMark/>
          </w:tcPr>
          <w:p w14:paraId="09A19808" w14:textId="77777777" w:rsidR="003D79B3" w:rsidRPr="007C6F2E" w:rsidRDefault="003D79B3" w:rsidP="00D30A83">
            <w:pPr>
              <w:spacing w:after="0" w:line="480" w:lineRule="auto"/>
              <w:contextualSpacing/>
              <w:rPr>
                <w:rFonts w:ascii="Calibri" w:eastAsia="Times New Roman" w:hAnsi="Calibri" w:cs="Calibri"/>
                <w:i w:val="0"/>
                <w:color w:val="000000"/>
                <w:sz w:val="20"/>
                <w:lang w:eastAsia="en-GB"/>
              </w:rPr>
            </w:pPr>
            <w:r w:rsidRPr="007C6F2E">
              <w:rPr>
                <w:rFonts w:ascii="Calibri" w:eastAsia="Times New Roman" w:hAnsi="Calibri" w:cs="Calibri"/>
                <w:i w:val="0"/>
                <w:color w:val="000000"/>
                <w:sz w:val="20"/>
                <w:lang w:eastAsia="en-GB"/>
              </w:rPr>
              <w:t>- very confident</w:t>
            </w:r>
          </w:p>
        </w:tc>
        <w:tc>
          <w:tcPr>
            <w:tcW w:w="2127" w:type="dxa"/>
            <w:tcBorders>
              <w:left w:val="single" w:sz="4" w:space="0" w:color="auto"/>
            </w:tcBorders>
            <w:noWrap/>
            <w:vAlign w:val="bottom"/>
            <w:hideMark/>
          </w:tcPr>
          <w:p w14:paraId="09A19809"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0.34** (0.16; 0.74)</w:t>
            </w:r>
          </w:p>
        </w:tc>
        <w:tc>
          <w:tcPr>
            <w:tcW w:w="2126" w:type="dxa"/>
            <w:noWrap/>
            <w:vAlign w:val="bottom"/>
            <w:hideMark/>
          </w:tcPr>
          <w:p w14:paraId="09A1980A"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 </w:t>
            </w:r>
          </w:p>
        </w:tc>
      </w:tr>
      <w:tr w:rsidR="003D79B3" w:rsidRPr="007C6F2E" w14:paraId="09A1980F" w14:textId="77777777" w:rsidTr="00D30A8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tcPr>
          <w:p w14:paraId="09A1980C"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p>
        </w:tc>
        <w:tc>
          <w:tcPr>
            <w:tcW w:w="2127" w:type="dxa"/>
            <w:tcBorders>
              <w:left w:val="single" w:sz="4" w:space="0" w:color="auto"/>
            </w:tcBorders>
            <w:noWrap/>
            <w:vAlign w:val="bottom"/>
          </w:tcPr>
          <w:p w14:paraId="09A1980D"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2126" w:type="dxa"/>
            <w:noWrap/>
            <w:vAlign w:val="bottom"/>
          </w:tcPr>
          <w:p w14:paraId="09A1980E"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3D79B3" w:rsidRPr="007C6F2E" w14:paraId="09A19813" w14:textId="77777777" w:rsidTr="00D30A83">
        <w:trPr>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tcPr>
          <w:p w14:paraId="09A19810"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r w:rsidRPr="007C6F2E">
              <w:rPr>
                <w:rFonts w:ascii="Calibri" w:eastAsia="Times New Roman" w:hAnsi="Calibri" w:cs="Calibri"/>
                <w:color w:val="000000"/>
                <w:sz w:val="20"/>
                <w:lang w:eastAsia="en-GB"/>
              </w:rPr>
              <w:t>Scoring above threshold for clinical importance on QLQ-C30 fatigue scale (ref: not)</w:t>
            </w:r>
          </w:p>
        </w:tc>
        <w:tc>
          <w:tcPr>
            <w:tcW w:w="2127" w:type="dxa"/>
            <w:tcBorders>
              <w:left w:val="single" w:sz="4" w:space="0" w:color="auto"/>
            </w:tcBorders>
            <w:noWrap/>
            <w:vAlign w:val="bottom"/>
          </w:tcPr>
          <w:p w14:paraId="09A19811"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2126" w:type="dxa"/>
            <w:noWrap/>
            <w:vAlign w:val="bottom"/>
          </w:tcPr>
          <w:p w14:paraId="09A19812"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C6F2E">
              <w:rPr>
                <w:rFonts w:ascii="Calibri" w:hAnsi="Calibri" w:cs="Calibri"/>
                <w:color w:val="000000"/>
              </w:rPr>
              <w:t>2.03* (1.08; 3.78)</w:t>
            </w:r>
          </w:p>
        </w:tc>
      </w:tr>
      <w:tr w:rsidR="003D79B3" w:rsidRPr="007C6F2E" w14:paraId="09A19817" w14:textId="77777777" w:rsidTr="00D30A8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noWrap/>
          </w:tcPr>
          <w:p w14:paraId="09A19814" w14:textId="77777777" w:rsidR="003D79B3" w:rsidRPr="007C6F2E" w:rsidRDefault="003D79B3" w:rsidP="00D30A83">
            <w:pPr>
              <w:spacing w:after="0" w:line="480" w:lineRule="auto"/>
              <w:contextualSpacing/>
              <w:rPr>
                <w:rFonts w:ascii="Calibri" w:eastAsia="Times New Roman" w:hAnsi="Calibri" w:cs="Calibri"/>
                <w:color w:val="000000"/>
                <w:sz w:val="20"/>
                <w:lang w:eastAsia="en-GB"/>
              </w:rPr>
            </w:pPr>
            <w:r w:rsidRPr="007C6F2E">
              <w:rPr>
                <w:rFonts w:ascii="Calibri" w:eastAsia="Times New Roman" w:hAnsi="Calibri" w:cs="Calibri"/>
                <w:color w:val="000000"/>
                <w:sz w:val="20"/>
                <w:lang w:eastAsia="en-GB"/>
              </w:rPr>
              <w:t>Scoring above threshold for clinical importance on QLQ-C30 cognitive functioning scale (ref: not)</w:t>
            </w:r>
          </w:p>
        </w:tc>
        <w:tc>
          <w:tcPr>
            <w:tcW w:w="2127" w:type="dxa"/>
            <w:tcBorders>
              <w:left w:val="single" w:sz="4" w:space="0" w:color="auto"/>
            </w:tcBorders>
            <w:noWrap/>
            <w:vAlign w:val="bottom"/>
          </w:tcPr>
          <w:p w14:paraId="09A19815"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2126" w:type="dxa"/>
            <w:noWrap/>
            <w:vAlign w:val="bottom"/>
          </w:tcPr>
          <w:p w14:paraId="09A19816" w14:textId="77777777" w:rsidR="003D79B3" w:rsidRPr="007C6F2E" w:rsidRDefault="003D79B3" w:rsidP="00D30A83">
            <w:pPr>
              <w:spacing w:after="0" w:line="480" w:lineRule="auto"/>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C6F2E">
              <w:rPr>
                <w:rFonts w:ascii="Calibri" w:hAnsi="Calibri" w:cs="Calibri"/>
                <w:color w:val="000000"/>
              </w:rPr>
              <w:t>1.63* (1.02; 2.60)</w:t>
            </w:r>
          </w:p>
        </w:tc>
      </w:tr>
      <w:tr w:rsidR="003D79B3" w:rsidRPr="007C6F2E" w14:paraId="09A1981B" w14:textId="77777777" w:rsidTr="00D30A83">
        <w:trPr>
          <w:trHeight w:val="20"/>
          <w:jc w:val="center"/>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bottom w:val="single" w:sz="4" w:space="0" w:color="auto"/>
              <w:right w:val="single" w:sz="4" w:space="0" w:color="auto"/>
            </w:tcBorders>
            <w:noWrap/>
          </w:tcPr>
          <w:p w14:paraId="09A19818" w14:textId="77777777" w:rsidR="003D79B3" w:rsidRPr="007C6F2E" w:rsidRDefault="003D79B3" w:rsidP="00D30A83">
            <w:pPr>
              <w:spacing w:after="0" w:line="480" w:lineRule="auto"/>
              <w:contextualSpacing/>
              <w:rPr>
                <w:rFonts w:ascii="Calibri" w:eastAsia="Times New Roman" w:hAnsi="Calibri" w:cs="Calibri"/>
                <w:i w:val="0"/>
                <w:color w:val="000000"/>
                <w:sz w:val="20"/>
                <w:lang w:eastAsia="en-GB"/>
              </w:rPr>
            </w:pPr>
            <w:r w:rsidRPr="007C6F2E">
              <w:rPr>
                <w:rFonts w:ascii="Calibri" w:eastAsia="Times New Roman" w:hAnsi="Calibri" w:cs="Calibri"/>
                <w:color w:val="000000"/>
                <w:sz w:val="20"/>
                <w:lang w:eastAsia="en-GB"/>
              </w:rPr>
              <w:t>N observations (N individuals)</w:t>
            </w:r>
          </w:p>
        </w:tc>
        <w:tc>
          <w:tcPr>
            <w:tcW w:w="2127" w:type="dxa"/>
            <w:tcBorders>
              <w:top w:val="single" w:sz="4" w:space="0" w:color="auto"/>
              <w:left w:val="single" w:sz="4" w:space="0" w:color="auto"/>
              <w:bottom w:val="single" w:sz="4" w:space="0" w:color="auto"/>
            </w:tcBorders>
            <w:noWrap/>
          </w:tcPr>
          <w:p w14:paraId="09A19819"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1,767 (524)</w:t>
            </w:r>
          </w:p>
        </w:tc>
        <w:tc>
          <w:tcPr>
            <w:tcW w:w="2126" w:type="dxa"/>
            <w:tcBorders>
              <w:top w:val="single" w:sz="4" w:space="0" w:color="auto"/>
              <w:bottom w:val="single" w:sz="4" w:space="0" w:color="auto"/>
            </w:tcBorders>
            <w:noWrap/>
          </w:tcPr>
          <w:p w14:paraId="09A1981A" w14:textId="77777777" w:rsidR="003D79B3" w:rsidRPr="007C6F2E" w:rsidRDefault="003D79B3" w:rsidP="00D30A83">
            <w:pPr>
              <w:spacing w:after="0" w:line="480"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6F2E">
              <w:rPr>
                <w:rFonts w:ascii="Calibri" w:eastAsia="Times New Roman" w:hAnsi="Calibri" w:cs="Calibri"/>
                <w:color w:val="000000"/>
                <w:lang w:eastAsia="en-GB"/>
              </w:rPr>
              <w:t>870 (342)</w:t>
            </w:r>
          </w:p>
        </w:tc>
      </w:tr>
    </w:tbl>
    <w:p w14:paraId="09A1981C" w14:textId="77777777" w:rsidR="003D79B3" w:rsidRPr="007C6F2E" w:rsidRDefault="003D79B3" w:rsidP="00D30A83">
      <w:pPr>
        <w:spacing w:line="480" w:lineRule="auto"/>
        <w:rPr>
          <w:b/>
        </w:rPr>
      </w:pPr>
    </w:p>
    <w:p w14:paraId="09A1981D" w14:textId="77777777" w:rsidR="003D79B3" w:rsidRPr="007C6F2E" w:rsidRDefault="003D79B3" w:rsidP="00D30A83">
      <w:pPr>
        <w:spacing w:line="480" w:lineRule="auto"/>
        <w:ind w:firstLine="993"/>
        <w:rPr>
          <w:sz w:val="20"/>
        </w:rPr>
      </w:pPr>
      <w:r w:rsidRPr="007C6F2E">
        <w:rPr>
          <w:i/>
          <w:sz w:val="20"/>
        </w:rPr>
        <w:t>Note</w:t>
      </w:r>
      <w:r w:rsidRPr="007C6F2E">
        <w:rPr>
          <w:sz w:val="20"/>
        </w:rPr>
        <w:t>: * p&lt;.05; ** p&lt;.01; *** p&lt;.001; N/A = not available at this time-point; empty cells indicate statistical insignificance (p&gt;=.05); the wave of participation was statistically significant in each model (not presented); the original QLACS-GSS score was accounted for to control for the floor and ceiling effects, which was significant in each model (not presented).</w:t>
      </w:r>
      <w:r w:rsidRPr="007C6F2E">
        <w:rPr>
          <w:sz w:val="20"/>
        </w:rPr>
        <w:br/>
      </w:r>
      <w:bookmarkEnd w:id="2"/>
    </w:p>
    <w:bookmarkEnd w:id="3"/>
    <w:p w14:paraId="09A1981E" w14:textId="77777777" w:rsidR="003D79B3" w:rsidRPr="007C6F2E" w:rsidRDefault="003D79B3" w:rsidP="00D30A83">
      <w:pPr>
        <w:spacing w:line="480" w:lineRule="auto"/>
        <w:rPr>
          <w:i/>
        </w:rPr>
      </w:pPr>
      <w:r w:rsidRPr="007C6F2E">
        <w:rPr>
          <w:i/>
        </w:rPr>
        <w:t>Two year post-surgery predictors of worsened QOL up to five years post-surgery</w:t>
      </w:r>
    </w:p>
    <w:p w14:paraId="09A1981F" w14:textId="77777777" w:rsidR="003D79B3" w:rsidRDefault="003D79B3" w:rsidP="00D30A83">
      <w:pPr>
        <w:spacing w:line="480" w:lineRule="auto"/>
        <w:jc w:val="both"/>
        <w:rPr>
          <w:rFonts w:ascii="Calibri" w:eastAsia="Times New Roman" w:hAnsi="Calibri" w:cs="Calibri"/>
          <w:color w:val="000000"/>
          <w:lang w:eastAsia="en-GB"/>
        </w:rPr>
      </w:pPr>
      <w:r w:rsidRPr="007C6F2E">
        <w:t xml:space="preserve">Several factors at 2 years predicted a subsequent decline in QOL over the next three years (see Table 5). Older age became a significant risk factor for worsened QOL, where the odds of reporting poorer QOL at later time points was nearly three times as high for people aged </w:t>
      </w:r>
      <w:r w:rsidRPr="007C6F2E">
        <w:rPr>
          <w:rFonts w:cstheme="minorHAnsi"/>
        </w:rPr>
        <w:t xml:space="preserve">≥81 years than for </w:t>
      </w:r>
      <w:r w:rsidRPr="007C6F2E">
        <w:t xml:space="preserve">those </w:t>
      </w:r>
      <w:r w:rsidRPr="007C6F2E">
        <w:rPr>
          <w:rFonts w:cstheme="minorHAnsi"/>
        </w:rPr>
        <w:t>≤</w:t>
      </w:r>
      <w:r w:rsidRPr="007C6F2E">
        <w:t xml:space="preserve">60 years. People who had received adjuvant therapy had 39% lower odds of having later worsened QOL. For psychosocial factors, both the negative and positive scores on the PANAS were associated with </w:t>
      </w:r>
      <w:r>
        <w:lastRenderedPageBreak/>
        <w:t>subsequent</w:t>
      </w:r>
      <w:r w:rsidRPr="007C6F2E">
        <w:t xml:space="preserve"> QOL: w</w:t>
      </w:r>
      <w:r w:rsidRPr="007C6F2E">
        <w:rPr>
          <w:rFonts w:ascii="Calibri" w:eastAsia="Times New Roman" w:hAnsi="Calibri" w:cs="Calibri"/>
          <w:color w:val="000000"/>
          <w:lang w:eastAsia="en-GB"/>
        </w:rPr>
        <w:t>ith one unit increase in PANAS negative affect or PANAS positive affect, the odds of reporting worsened QOL on average</w:t>
      </w:r>
      <w:r w:rsidRPr="007C6F2E" w:rsidDel="00C60A32">
        <w:rPr>
          <w:rFonts w:ascii="Calibri" w:eastAsia="Times New Roman" w:hAnsi="Calibri" w:cs="Calibri"/>
          <w:color w:val="000000"/>
          <w:lang w:eastAsia="en-GB"/>
        </w:rPr>
        <w:t xml:space="preserve"> </w:t>
      </w:r>
      <w:r w:rsidRPr="007C6F2E">
        <w:rPr>
          <w:rFonts w:ascii="Calibri" w:eastAsia="Times New Roman" w:hAnsi="Calibri" w:cs="Calibri"/>
          <w:color w:val="000000"/>
          <w:lang w:eastAsia="en-GB"/>
        </w:rPr>
        <w:t>increased by 17% or decreased by 9%, respectively. People who had clinical levels of depression at 24 months had on average 76% lower odds of experiencing later worsened QOL. Participants who scored above the threshold for clinical importance (TCI) on the fatigue scale of the QLQ-C30 were twice as likely to have worsened QOL. Scoring above the TCI on the QLQ-C30 cognitive functioning scale increased the odds of worsened QOL by 63%. Finally, there was a significantly increased odds ratio (1.02) of worsened QOL for those people who reported a higher (worse) QLACS cancer-specific score at 24 months since surgery.</w:t>
      </w:r>
    </w:p>
    <w:p w14:paraId="09A19820" w14:textId="77777777" w:rsidR="003D79B3" w:rsidRPr="00216F50" w:rsidRDefault="003D79B3" w:rsidP="00D30A83">
      <w:pPr>
        <w:spacing w:line="480" w:lineRule="auto"/>
        <w:jc w:val="both"/>
        <w:rPr>
          <w:rFonts w:ascii="Calibri" w:eastAsia="Times New Roman" w:hAnsi="Calibri" w:cs="Calibri"/>
          <w:i/>
          <w:iCs/>
          <w:color w:val="000000"/>
          <w:lang w:eastAsia="en-GB"/>
        </w:rPr>
      </w:pPr>
      <w:r w:rsidRPr="00216F50">
        <w:rPr>
          <w:rFonts w:ascii="Calibri" w:eastAsia="Times New Roman" w:hAnsi="Calibri" w:cs="Calibri"/>
          <w:i/>
          <w:iCs/>
          <w:color w:val="000000"/>
          <w:lang w:eastAsia="en-GB"/>
        </w:rPr>
        <w:t>Sensitivity Analyses</w:t>
      </w:r>
    </w:p>
    <w:p w14:paraId="09A19821" w14:textId="77777777" w:rsidR="003D79B3" w:rsidRPr="007C6F2E" w:rsidRDefault="003D79B3" w:rsidP="00D30A83">
      <w:pPr>
        <w:spacing w:line="480" w:lineRule="auto"/>
        <w:jc w:val="both"/>
      </w:pPr>
      <w:r>
        <w:rPr>
          <w:rFonts w:ascii="Calibri" w:eastAsia="Times New Roman" w:hAnsi="Calibri" w:cs="Calibri"/>
          <w:color w:val="000000"/>
          <w:lang w:eastAsia="en-GB"/>
        </w:rPr>
        <w:t xml:space="preserve">Although tumour type was not a significant predictor in either model, we re-ran both models for people with colon cancer and rectal cancer separately. </w:t>
      </w:r>
      <w:r w:rsidRPr="008A0DDA">
        <w:rPr>
          <w:rFonts w:ascii="Calibri" w:eastAsia="Times New Roman" w:hAnsi="Calibri" w:cs="Calibri"/>
          <w:color w:val="000000"/>
          <w:lang w:eastAsia="en-GB"/>
        </w:rPr>
        <w:t xml:space="preserve">The variables included in </w:t>
      </w:r>
      <w:r>
        <w:rPr>
          <w:rFonts w:ascii="Calibri" w:eastAsia="Times New Roman" w:hAnsi="Calibri" w:cs="Calibri"/>
          <w:color w:val="000000"/>
          <w:lang w:eastAsia="en-GB"/>
        </w:rPr>
        <w:t>the</w:t>
      </w:r>
      <w:r w:rsidRPr="008A0DDA">
        <w:rPr>
          <w:rFonts w:ascii="Calibri" w:eastAsia="Times New Roman" w:hAnsi="Calibri" w:cs="Calibri"/>
          <w:color w:val="000000"/>
          <w:lang w:eastAsia="en-GB"/>
        </w:rPr>
        <w:t xml:space="preserve"> model</w:t>
      </w:r>
      <w:r>
        <w:rPr>
          <w:rFonts w:ascii="Calibri" w:eastAsia="Times New Roman" w:hAnsi="Calibri" w:cs="Calibri"/>
          <w:color w:val="000000"/>
          <w:lang w:eastAsia="en-GB"/>
        </w:rPr>
        <w:t>s</w:t>
      </w:r>
      <w:r w:rsidRPr="008A0DDA">
        <w:rPr>
          <w:rFonts w:ascii="Calibri" w:eastAsia="Times New Roman" w:hAnsi="Calibri" w:cs="Calibri"/>
          <w:color w:val="000000"/>
          <w:lang w:eastAsia="en-GB"/>
        </w:rPr>
        <w:t xml:space="preserve"> </w:t>
      </w:r>
      <w:r>
        <w:rPr>
          <w:rFonts w:ascii="Calibri" w:eastAsia="Times New Roman" w:hAnsi="Calibri" w:cs="Calibri"/>
          <w:color w:val="000000"/>
          <w:lang w:eastAsia="en-GB"/>
        </w:rPr>
        <w:t>are</w:t>
      </w:r>
      <w:r w:rsidRPr="008A0DDA">
        <w:rPr>
          <w:rFonts w:ascii="Calibri" w:eastAsia="Times New Roman" w:hAnsi="Calibri" w:cs="Calibri"/>
          <w:color w:val="000000"/>
          <w:lang w:eastAsia="en-GB"/>
        </w:rPr>
        <w:t xml:space="preserve"> listed in supporting information</w:t>
      </w:r>
      <w:r>
        <w:rPr>
          <w:rFonts w:ascii="Calibri" w:eastAsia="Times New Roman" w:hAnsi="Calibri" w:cs="Calibri"/>
          <w:color w:val="000000"/>
          <w:lang w:eastAsia="en-GB"/>
        </w:rPr>
        <w:t xml:space="preserve"> along with the statistically significant predictors. Significant predictors which were associated with worsened QOL in these analyses but not in the main analyses were, for people with colon cancer, obesity in both Model 1 and Model 2, presence of a stoma in Model 1 and frequent urination in Model 2. For people with rectal cancer, life events and high anxiety level were both significant predictors of worsened QOL in Model 2.</w:t>
      </w:r>
    </w:p>
    <w:p w14:paraId="09A19822" w14:textId="77777777" w:rsidR="003D79B3" w:rsidRPr="007C6F2E" w:rsidRDefault="003D79B3" w:rsidP="00D30A83">
      <w:pPr>
        <w:pStyle w:val="Heading2"/>
        <w:spacing w:line="480" w:lineRule="auto"/>
        <w:rPr>
          <w:rFonts w:asciiTheme="minorHAnsi" w:hAnsiTheme="minorHAnsi"/>
          <w:color w:val="auto"/>
          <w:sz w:val="28"/>
          <w:szCs w:val="28"/>
        </w:rPr>
      </w:pPr>
      <w:r w:rsidRPr="007C6F2E">
        <w:rPr>
          <w:rFonts w:asciiTheme="minorHAnsi" w:hAnsiTheme="minorHAnsi"/>
          <w:color w:val="auto"/>
          <w:sz w:val="28"/>
          <w:szCs w:val="28"/>
        </w:rPr>
        <w:t>Discussion</w:t>
      </w:r>
    </w:p>
    <w:p w14:paraId="09A19823" w14:textId="77777777" w:rsidR="003D79B3" w:rsidRPr="007C6F2E" w:rsidRDefault="003D79B3" w:rsidP="00D30A83">
      <w:pPr>
        <w:spacing w:line="480" w:lineRule="auto"/>
      </w:pPr>
      <w:r w:rsidRPr="007C6F2E">
        <w:t>CREW is the first large-scale prospective cohort study to capture self-report data on the impact of CRC on people’s lives from pre-surgery</w:t>
      </w:r>
      <w:r>
        <w:t xml:space="preserve"> up to 5 years later</w:t>
      </w:r>
      <w:r w:rsidRPr="007C6F2E">
        <w:t xml:space="preserve">. Although previous literature has suggested that most CRC patients experience reasonable to good quality of life (QOL) </w:t>
      </w:r>
      <w:r w:rsidRPr="007C6F2E">
        <w:rPr>
          <w:noProof/>
        </w:rPr>
        <w:t>[3, 10]</w:t>
      </w:r>
      <w:r w:rsidRPr="007C6F2E">
        <w:t xml:space="preserve">, by using a pre-surgery baseline, this study has demonstrated that around one third of CRC patients have not returned to pre-surgery levels of QOL five years after treatment. </w:t>
      </w:r>
    </w:p>
    <w:p w14:paraId="09A19824" w14:textId="77777777" w:rsidR="003D79B3" w:rsidRPr="007C6F2E" w:rsidRDefault="003D79B3" w:rsidP="00D30A83">
      <w:pPr>
        <w:spacing w:line="480" w:lineRule="auto"/>
        <w:rPr>
          <w:rFonts w:cs="AdvOTa9103878"/>
        </w:rPr>
      </w:pPr>
      <w:r w:rsidRPr="007C6F2E">
        <w:t xml:space="preserve">The CREW cohort is a highly representative sample, with a minimum dataset available on 91% of all eligible people during the recruitment period. In general, those who consented to complete </w:t>
      </w:r>
      <w:r w:rsidRPr="007C6F2E">
        <w:lastRenderedPageBreak/>
        <w:t xml:space="preserve">questionnaires were representative of all eligible patients, although slightly younger and with earlier stage disease. </w:t>
      </w:r>
      <w:r w:rsidRPr="007C6F2E">
        <w:rPr>
          <w:rFonts w:cs="AdvOTa9103878"/>
        </w:rPr>
        <w:t>It is recognised that the most vulnerable people facing CRC may be the most likely to decline study participation due to burden of questionnaire completion but our inclusion of a reduced level of consent, where we collected demographic, clinical and treatment details from this group, without the self-report questionnaires, enabled us to collect data on as many eligible patients as possible. Although the full consent</w:t>
      </w:r>
      <w:r>
        <w:rPr>
          <w:rFonts w:cs="AdvOTa9103878"/>
        </w:rPr>
        <w:t>ers</w:t>
      </w:r>
      <w:r w:rsidRPr="007C6F2E">
        <w:rPr>
          <w:rFonts w:cs="AdvOTa9103878"/>
        </w:rPr>
        <w:t xml:space="preserve"> were on average younger than those who gave reduced consent and who declined, older patients are nevertheless still well-represented</w:t>
      </w:r>
      <w:r>
        <w:rPr>
          <w:rFonts w:cs="AdvOTa9103878"/>
        </w:rPr>
        <w:t>,</w:t>
      </w:r>
      <w:r w:rsidRPr="007C6F2E">
        <w:rPr>
          <w:rFonts w:cs="AdvOTa9103878"/>
        </w:rPr>
        <w:t xml:space="preserve"> </w:t>
      </w:r>
      <w:r>
        <w:rPr>
          <w:rFonts w:cs="AdvOTa9103878"/>
        </w:rPr>
        <w:t xml:space="preserve">with </w:t>
      </w:r>
      <w:r w:rsidRPr="007C6F2E">
        <w:rPr>
          <w:rFonts w:cs="AdvOTa9103878"/>
        </w:rPr>
        <w:t xml:space="preserve">12% </w:t>
      </w:r>
      <w:r>
        <w:rPr>
          <w:rFonts w:cs="AdvOTa9103878"/>
        </w:rPr>
        <w:t>&gt;</w:t>
      </w:r>
      <w:r w:rsidRPr="007C6F2E">
        <w:rPr>
          <w:rFonts w:cs="AdvOTa9103878"/>
        </w:rPr>
        <w:t>80</w:t>
      </w:r>
      <w:r>
        <w:rPr>
          <w:rFonts w:cs="AdvOTa9103878"/>
        </w:rPr>
        <w:t xml:space="preserve"> years in the full consenters</w:t>
      </w:r>
      <w:r w:rsidRPr="007C6F2E">
        <w:rPr>
          <w:rFonts w:cs="AdvOTa9103878"/>
        </w:rPr>
        <w:t xml:space="preserve"> at baseline. This is important because even though older people represent the majority of cancer patients, they are often under-represented in clinical research</w:t>
      </w:r>
      <w:r w:rsidR="00CA75A8">
        <w:rPr>
          <w:rFonts w:cs="AdvOTa9103878"/>
        </w:rPr>
        <w:t xml:space="preserve"> </w:t>
      </w:r>
      <w:r w:rsidRPr="007C6F2E">
        <w:rPr>
          <w:rFonts w:cs="AdvOTa9103878"/>
          <w:noProof/>
        </w:rPr>
        <w:t>[38]</w:t>
      </w:r>
      <w:r w:rsidRPr="007C6F2E">
        <w:rPr>
          <w:rFonts w:cs="AdvOTa9103878"/>
        </w:rPr>
        <w:t xml:space="preserve"> and age may represent a risk factor for poor recovery.</w:t>
      </w:r>
    </w:p>
    <w:p w14:paraId="09A19825" w14:textId="77777777" w:rsidR="003D79B3" w:rsidRPr="007C6F2E" w:rsidRDefault="003D79B3" w:rsidP="00D30A83">
      <w:pPr>
        <w:spacing w:line="480" w:lineRule="auto"/>
        <w:rPr>
          <w:rFonts w:eastAsia="SimSun" w:cs="AdvTTb20e5d60"/>
          <w:bCs/>
          <w:szCs w:val="20"/>
        </w:rPr>
      </w:pPr>
      <w:r w:rsidRPr="007C6F2E">
        <w:rPr>
          <w:rFonts w:eastAsia="SimSun" w:cs="AdvTTb20e5d60"/>
          <w:szCs w:val="20"/>
        </w:rPr>
        <w:t>Attrition in cohort studies is inevitable, but response rates remained consistently high</w:t>
      </w:r>
      <w:r>
        <w:rPr>
          <w:rFonts w:eastAsia="SimSun" w:cs="AdvTTb20e5d60"/>
          <w:szCs w:val="20"/>
        </w:rPr>
        <w:t xml:space="preserve">. </w:t>
      </w:r>
      <w:r w:rsidRPr="007C6F2E">
        <w:rPr>
          <w:rFonts w:eastAsia="SimSun" w:cs="AdvTTb20e5d60"/>
          <w:bCs/>
          <w:szCs w:val="20"/>
        </w:rPr>
        <w:t xml:space="preserve">Those with depression, aged </w:t>
      </w:r>
      <w:r w:rsidRPr="007C6F2E">
        <w:rPr>
          <w:rFonts w:eastAsia="SimSun" w:cstheme="minorHAnsi"/>
          <w:bCs/>
          <w:szCs w:val="20"/>
        </w:rPr>
        <w:t>≥</w:t>
      </w:r>
      <w:r w:rsidRPr="007C6F2E">
        <w:rPr>
          <w:rFonts w:eastAsia="SimSun" w:cs="AdvTTb20e5d60"/>
          <w:bCs/>
          <w:szCs w:val="20"/>
        </w:rPr>
        <w:t xml:space="preserve">80 years, </w:t>
      </w:r>
      <w:r w:rsidRPr="007C6F2E">
        <w:t>of non-White British ethnicity</w:t>
      </w:r>
      <w:r w:rsidRPr="007C6F2E">
        <w:rPr>
          <w:rFonts w:eastAsia="SimSun" w:cs="AdvTTb20e5d60"/>
          <w:bCs/>
          <w:szCs w:val="20"/>
        </w:rPr>
        <w:t>, who did not own their own home were more likely to have stopped participating</w:t>
      </w:r>
      <w:r w:rsidRPr="007C6F2E">
        <w:t>.</w:t>
      </w:r>
      <w:r w:rsidRPr="007C6F2E">
        <w:rPr>
          <w:rFonts w:eastAsia="SimSun" w:cs="AdvTTb20e5d60"/>
          <w:bCs/>
          <w:szCs w:val="20"/>
        </w:rPr>
        <w:t xml:space="preserve"> These characteristics are often associated with participants who do not continue in longitudinal studies</w:t>
      </w:r>
      <w:r w:rsidR="00CA75A8">
        <w:rPr>
          <w:rFonts w:eastAsia="SimSun" w:cs="AdvTTb20e5d60"/>
          <w:bCs/>
          <w:szCs w:val="20"/>
        </w:rPr>
        <w:t xml:space="preserve"> </w:t>
      </w:r>
      <w:r w:rsidRPr="007C6F2E">
        <w:rPr>
          <w:rFonts w:eastAsia="SimSun" w:cs="AdvTTb20e5d60"/>
          <w:bCs/>
          <w:noProof/>
          <w:szCs w:val="20"/>
        </w:rPr>
        <w:t>[39]</w:t>
      </w:r>
      <w:r w:rsidRPr="007C6F2E">
        <w:rPr>
          <w:rFonts w:eastAsia="SimSun" w:cs="AdvTTb20e5d60"/>
          <w:bCs/>
          <w:szCs w:val="20"/>
        </w:rPr>
        <w:t xml:space="preserve">. It is possible that </w:t>
      </w:r>
      <w:r>
        <w:rPr>
          <w:rFonts w:eastAsia="SimSun" w:cs="AdvTTb20e5d60"/>
          <w:bCs/>
          <w:szCs w:val="20"/>
        </w:rPr>
        <w:t>our</w:t>
      </w:r>
      <w:r w:rsidRPr="007C6F2E">
        <w:rPr>
          <w:rFonts w:eastAsia="SimSun" w:cs="AdvTTb20e5d60"/>
          <w:bCs/>
          <w:szCs w:val="20"/>
        </w:rPr>
        <w:t xml:space="preserve"> analyses may underestimate difficulties and need. Nevertheless, those who continued to return questionnaires were broadly representative of the baseline cohort. With the high retention rate and representativeness of the CREW cohort, along with the fact that the baseline measure was intended to be pre-surgery, confidence in the QOL results is high.</w:t>
      </w:r>
    </w:p>
    <w:p w14:paraId="09A19826" w14:textId="77777777" w:rsidR="003D79B3" w:rsidRPr="007C6F2E" w:rsidRDefault="003D79B3" w:rsidP="00D30A83">
      <w:pPr>
        <w:spacing w:line="480" w:lineRule="auto"/>
        <w:rPr>
          <w:rFonts w:eastAsia="SimSun" w:cs="AdvTTb20e5d60"/>
          <w:b/>
          <w:bCs/>
          <w:szCs w:val="20"/>
        </w:rPr>
      </w:pPr>
      <w:r w:rsidRPr="007C6F2E">
        <w:rPr>
          <w:rFonts w:eastAsia="SimSun" w:cs="AdvTTb20e5d60"/>
          <w:b/>
          <w:bCs/>
          <w:szCs w:val="20"/>
        </w:rPr>
        <w:t>Quality of life</w:t>
      </w:r>
    </w:p>
    <w:p w14:paraId="09A19827" w14:textId="77777777" w:rsidR="003D79B3" w:rsidRPr="007C6F2E" w:rsidRDefault="003D79B3" w:rsidP="00D30A83">
      <w:pPr>
        <w:spacing w:line="480" w:lineRule="auto"/>
        <w:rPr>
          <w:rFonts w:eastAsia="SimSun" w:cs="AdvTTb20e5d60"/>
          <w:bCs/>
          <w:szCs w:val="20"/>
        </w:rPr>
      </w:pPr>
      <w:r w:rsidRPr="007C6F2E">
        <w:rPr>
          <w:rFonts w:eastAsia="SimSun" w:cs="AdvTTb20e5d60"/>
          <w:bCs/>
          <w:szCs w:val="20"/>
        </w:rPr>
        <w:t>There was a marked improvement in QOL at 15 months, when considering the whole CREW sample, with little change after that up to 5 years. However, in the era of personalised care</w:t>
      </w:r>
      <w:r w:rsidRPr="007C6F2E">
        <w:rPr>
          <w:rFonts w:eastAsia="SimSun" w:cs="AdvTTb20e5d60"/>
          <w:bCs/>
          <w:noProof/>
          <w:szCs w:val="20"/>
        </w:rPr>
        <w:t>[40]</w:t>
      </w:r>
      <w:r w:rsidRPr="007C6F2E">
        <w:rPr>
          <w:rFonts w:eastAsia="SimSun" w:cs="AdvTTb20e5d60"/>
          <w:bCs/>
          <w:szCs w:val="20"/>
        </w:rPr>
        <w:t xml:space="preserve">, when the importance of the individual’s experience and needs is emphasised, we need to consider changes to QOL </w:t>
      </w:r>
      <w:r>
        <w:rPr>
          <w:rFonts w:eastAsia="SimSun" w:cs="AdvTTb20e5d60"/>
          <w:bCs/>
          <w:szCs w:val="20"/>
        </w:rPr>
        <w:t>with respect to</w:t>
      </w:r>
      <w:r w:rsidRPr="007C6F2E">
        <w:rPr>
          <w:rFonts w:eastAsia="SimSun" w:cs="AdvTTb20e5d60"/>
          <w:bCs/>
          <w:szCs w:val="20"/>
        </w:rPr>
        <w:t xml:space="preserve"> baseline score</w:t>
      </w:r>
      <w:r>
        <w:rPr>
          <w:rFonts w:eastAsia="SimSun" w:cs="AdvTTb20e5d60"/>
          <w:bCs/>
          <w:szCs w:val="20"/>
        </w:rPr>
        <w:t>s</w:t>
      </w:r>
      <w:r w:rsidRPr="007C6F2E">
        <w:rPr>
          <w:rFonts w:eastAsia="SimSun" w:cs="AdvTTb20e5d60"/>
          <w:bCs/>
          <w:szCs w:val="20"/>
        </w:rPr>
        <w:t xml:space="preserve">. Baseline was pre-surgery but post-diagnosis, so it may be that QOL at this time was different to pre-morbid levels. Nevertheless, baseline scores provide a useful benchmark for interpreting changes in QOL scores for individuals. We encourage CRC services and </w:t>
      </w:r>
      <w:r w:rsidRPr="007C6F2E">
        <w:rPr>
          <w:rFonts w:eastAsia="SimSun" w:cs="AdvTTb20e5d60"/>
          <w:bCs/>
          <w:szCs w:val="20"/>
        </w:rPr>
        <w:lastRenderedPageBreak/>
        <w:t xml:space="preserve">interventions to evaluate efficacy by adopting the practice of measuring </w:t>
      </w:r>
      <w:r w:rsidRPr="007C6F2E">
        <w:rPr>
          <w:rFonts w:eastAsia="SimSun" w:cs="AdvTTb20e5d60"/>
          <w:bCs/>
          <w:szCs w:val="20"/>
          <w:u w:val="single"/>
        </w:rPr>
        <w:t>changes</w:t>
      </w:r>
      <w:r w:rsidRPr="007C6F2E">
        <w:rPr>
          <w:rFonts w:eastAsia="SimSun" w:cs="AdvTTb20e5d60"/>
          <w:bCs/>
          <w:szCs w:val="20"/>
        </w:rPr>
        <w:t xml:space="preserve"> in QOL scores at the individual level, to assess the number of patients whose QOL changes, rather than using mean scores for the whole patient group.</w:t>
      </w:r>
    </w:p>
    <w:p w14:paraId="09A19828" w14:textId="77777777" w:rsidR="003D79B3" w:rsidRPr="007C6F2E" w:rsidRDefault="003D79B3" w:rsidP="00D30A83">
      <w:pPr>
        <w:spacing w:line="480" w:lineRule="auto"/>
        <w:rPr>
          <w:rFonts w:eastAsia="SimSun" w:cs="AdvTTb20e5d60"/>
          <w:bCs/>
          <w:szCs w:val="20"/>
        </w:rPr>
      </w:pPr>
      <w:r w:rsidRPr="007C6F2E">
        <w:rPr>
          <w:rFonts w:eastAsia="SimSun" w:cs="AdvTTb20e5d60"/>
          <w:bCs/>
          <w:szCs w:val="20"/>
        </w:rPr>
        <w:t>Assuming that the desired outcome would be to have the same or better QOL compared with baseline, between 58 and 74% of participants reached this standard at each time point during follow up, with the peak at 15 months. Conversely, 60% had worse QOL on at least one occasion during follow up and about 30% had worse QOL at 5 years. Whilst it might be expected that some people’s QOL declines because of age-related factors, the baseline multivariable logistic regression model indicates that age is not significantly associated with worsened QOL at later time points. The failure of people to return to pre-surgery levels of QOL is therefore not simply because they are getting older.</w:t>
      </w:r>
    </w:p>
    <w:p w14:paraId="09A19829" w14:textId="77777777" w:rsidR="003D79B3" w:rsidRDefault="003D79B3" w:rsidP="00D30A83">
      <w:pPr>
        <w:spacing w:line="480" w:lineRule="auto"/>
        <w:rPr>
          <w:rFonts w:eastAsia="SimSun" w:cs="AdvTTb20e5d60"/>
          <w:bCs/>
          <w:szCs w:val="20"/>
        </w:rPr>
      </w:pPr>
      <w:r w:rsidRPr="007C6F2E">
        <w:rPr>
          <w:rFonts w:eastAsia="SimSun" w:cs="AdvTTb20e5d60"/>
          <w:bCs/>
          <w:szCs w:val="20"/>
        </w:rPr>
        <w:t xml:space="preserve">We identified the risk factors for people whose QOL is likely to get worse, regardless of the current level, at two key points along the patient pathway: </w:t>
      </w:r>
      <w:r>
        <w:t>after</w:t>
      </w:r>
      <w:r w:rsidRPr="007C6F2E">
        <w:t xml:space="preserve"> a cancer diagnosis (before CRC surgery) and two years later, after which people with CRC typically have a break in their oncology appointments until their five year surveillance appointment</w:t>
      </w:r>
      <w:r w:rsidRPr="007C6F2E">
        <w:rPr>
          <w:rFonts w:eastAsia="SimSun" w:cs="AdvTTb20e5d60"/>
          <w:bCs/>
          <w:szCs w:val="20"/>
        </w:rPr>
        <w:t>. This is useful information for health care professionals (HCPs) to help identify people who may need extra support and has the potential to help guide appropriate interventions. When HCPs see a person with cancer, they can identify those who already have poor QOL and require immediate support, as well as identify those at risk of a decline in QOL and offer early intervention for those patients.</w:t>
      </w:r>
    </w:p>
    <w:p w14:paraId="09A1982A" w14:textId="77777777" w:rsidR="003D79B3" w:rsidRDefault="003D79B3" w:rsidP="00D30A83">
      <w:pPr>
        <w:spacing w:line="480" w:lineRule="auto"/>
        <w:rPr>
          <w:rFonts w:eastAsia="SimSun" w:cs="AdvTTb20e5d60"/>
          <w:bCs/>
          <w:szCs w:val="20"/>
        </w:rPr>
      </w:pPr>
    </w:p>
    <w:p w14:paraId="09A1982B" w14:textId="77777777" w:rsidR="003D79B3" w:rsidRDefault="003D79B3" w:rsidP="00D30A83">
      <w:pPr>
        <w:spacing w:line="480" w:lineRule="auto"/>
        <w:rPr>
          <w:rFonts w:eastAsia="SimSun" w:cs="AdvTTb20e5d60"/>
          <w:bCs/>
          <w:szCs w:val="20"/>
        </w:rPr>
      </w:pPr>
      <w:r>
        <w:rPr>
          <w:rFonts w:eastAsia="SimSun" w:cs="AdvTTb20e5d60"/>
          <w:bCs/>
          <w:szCs w:val="20"/>
        </w:rPr>
        <w:t xml:space="preserve">Our analyses suggested that although QOL for people with rectal cancer tended to be slightly lower than that for people with colon cancer, and more people with rectal cancer experienced worsened QOL, the factors which predicted worsened QOL were similar for both over time. Some clinical factors predicted worsened QOL during recovery including neo-adjuvant and adjuvant treatment, </w:t>
      </w:r>
      <w:r>
        <w:rPr>
          <w:rFonts w:eastAsia="SimSun" w:cs="AdvTTb20e5d60"/>
          <w:bCs/>
          <w:szCs w:val="20"/>
        </w:rPr>
        <w:lastRenderedPageBreak/>
        <w:t>and for people with colon cancer, presence of a stoma. We did not find an association between surgery type (open or laparoscopic) and worsened QOL during recovery, and we did not have the data to explore the impact of other peri- and the immediate post-operative factors. Whilst HCPs are likely to be familiar with the clinical risk factors for reduced QOL following CRC surgery, our study highlights the importance of psychosocial factors. These are important because they may be amenable to change, with the possibility of implementing interventions to address psychosocial factors from diagnosis.</w:t>
      </w:r>
    </w:p>
    <w:p w14:paraId="09A1982C" w14:textId="77777777" w:rsidR="003D79B3" w:rsidRPr="007C6F2E" w:rsidRDefault="003D79B3" w:rsidP="00D30A83">
      <w:pPr>
        <w:spacing w:line="480" w:lineRule="auto"/>
        <w:rPr>
          <w:rFonts w:eastAsia="SimSun" w:cs="AdvTTb20e5d60"/>
          <w:bCs/>
          <w:szCs w:val="20"/>
        </w:rPr>
      </w:pPr>
    </w:p>
    <w:p w14:paraId="09A1982D" w14:textId="77777777" w:rsidR="003D79B3" w:rsidRPr="007C6F2E" w:rsidRDefault="003D79B3" w:rsidP="00D30A83">
      <w:pPr>
        <w:spacing w:line="480" w:lineRule="auto"/>
        <w:rPr>
          <w:rFonts w:eastAsia="SimSun" w:cs="AdvTTb20e5d60"/>
          <w:bCs/>
          <w:szCs w:val="20"/>
        </w:rPr>
      </w:pPr>
      <w:r w:rsidRPr="007C6F2E">
        <w:rPr>
          <w:rFonts w:eastAsia="SimSun" w:cs="AdvTTb20e5d60"/>
          <w:bCs/>
          <w:szCs w:val="20"/>
        </w:rPr>
        <w:t>Around the time of diagnosis, factors which were associated with worsened QOL at later time points, and are potentially amenable to change</w:t>
      </w:r>
      <w:r>
        <w:rPr>
          <w:rFonts w:eastAsia="SimSun" w:cs="AdvTTb20e5d60"/>
          <w:bCs/>
          <w:szCs w:val="20"/>
        </w:rPr>
        <w:t xml:space="preserve"> in the whole cohort</w:t>
      </w:r>
      <w:r w:rsidRPr="007C6F2E">
        <w:rPr>
          <w:rFonts w:eastAsia="SimSun" w:cs="AdvTTb20e5d60"/>
          <w:bCs/>
          <w:szCs w:val="20"/>
        </w:rPr>
        <w:t>, were low levels of social support, low levels of self-confidence, high negative affect and low positive affect. These findings were consistent with the extant literature identifying links between absolute QOL scores and self-efficacy, social support and comorbidities</w:t>
      </w:r>
      <w:r w:rsidR="00CA75A8">
        <w:rPr>
          <w:rFonts w:eastAsia="SimSun" w:cs="AdvTTb20e5d60"/>
          <w:bCs/>
          <w:szCs w:val="20"/>
        </w:rPr>
        <w:t xml:space="preserve"> </w:t>
      </w:r>
      <w:r w:rsidRPr="007C6F2E">
        <w:rPr>
          <w:rFonts w:eastAsia="SimSun" w:cs="AdvTTb20e5d60"/>
          <w:bCs/>
          <w:noProof/>
          <w:szCs w:val="20"/>
        </w:rPr>
        <w:t>[41, 42]</w:t>
      </w:r>
      <w:r w:rsidRPr="007C6F2E">
        <w:rPr>
          <w:rFonts w:eastAsia="SimSun" w:cs="AdvTTb20e5d60"/>
          <w:bCs/>
          <w:szCs w:val="20"/>
        </w:rPr>
        <w:t xml:space="preserve">. People who are experiencing these problems could be offered early support in these specific areas which may also help maintain or improve later QOL. Having two or more comorbidities was also predictive of worsening QOL at baseline. Whilst having comorbidities </w:t>
      </w:r>
      <w:r w:rsidRPr="007C6F2E">
        <w:rPr>
          <w:rFonts w:eastAsia="SimSun" w:cs="AdvTTb20e5d60"/>
          <w:bCs/>
          <w:i/>
          <w:szCs w:val="20"/>
        </w:rPr>
        <w:t>per se</w:t>
      </w:r>
      <w:r w:rsidRPr="007C6F2E">
        <w:rPr>
          <w:rFonts w:eastAsia="SimSun" w:cs="AdvTTb20e5d60"/>
          <w:bCs/>
          <w:szCs w:val="20"/>
        </w:rPr>
        <w:t xml:space="preserve"> may not be amenable to change, the way comorbidities are managed could be. Our previous work has shown that it is the impact of comorbidities on daily life which influences QOL</w:t>
      </w:r>
      <w:r w:rsidRPr="007C6F2E">
        <w:rPr>
          <w:rFonts w:eastAsia="SimSun" w:cs="AdvTTb20e5d60"/>
          <w:bCs/>
          <w:noProof/>
          <w:szCs w:val="20"/>
        </w:rPr>
        <w:t>[43]</w:t>
      </w:r>
      <w:r w:rsidRPr="007C6F2E">
        <w:rPr>
          <w:rFonts w:eastAsia="SimSun" w:cs="AdvTTb20e5d60"/>
          <w:bCs/>
          <w:szCs w:val="20"/>
        </w:rPr>
        <w:t>, and personalised assessment and management for people with comorbidities may improve outcomes.</w:t>
      </w:r>
    </w:p>
    <w:p w14:paraId="09A1982E" w14:textId="77777777" w:rsidR="003D79B3" w:rsidRPr="007C6F2E" w:rsidRDefault="003D79B3" w:rsidP="00D30A83">
      <w:pPr>
        <w:spacing w:line="480" w:lineRule="auto"/>
        <w:rPr>
          <w:rFonts w:ascii="Calibri" w:eastAsia="Times New Roman" w:hAnsi="Calibri" w:cs="Calibri"/>
          <w:color w:val="000000"/>
          <w:lang w:eastAsia="en-GB"/>
        </w:rPr>
      </w:pPr>
      <w:r w:rsidRPr="007C6F2E">
        <w:rPr>
          <w:rFonts w:eastAsia="SimSun" w:cs="AdvTTb20e5d60"/>
          <w:bCs/>
          <w:szCs w:val="20"/>
        </w:rPr>
        <w:t>The social deprivation results were unexpected: whilst the middle (3</w:t>
      </w:r>
      <w:r w:rsidRPr="007C6F2E">
        <w:rPr>
          <w:rFonts w:eastAsia="SimSun" w:cs="AdvTTb20e5d60"/>
          <w:bCs/>
          <w:szCs w:val="20"/>
          <w:vertAlign w:val="superscript"/>
        </w:rPr>
        <w:t>rd</w:t>
      </w:r>
      <w:r w:rsidRPr="007C6F2E">
        <w:rPr>
          <w:rFonts w:eastAsia="SimSun" w:cs="AdvTTb20e5d60"/>
          <w:bCs/>
          <w:szCs w:val="20"/>
        </w:rPr>
        <w:t xml:space="preserve"> quintile) </w:t>
      </w:r>
      <w:r w:rsidRPr="007C6F2E">
        <w:rPr>
          <w:rFonts w:ascii="Calibri" w:eastAsia="Times New Roman" w:hAnsi="Calibri" w:cs="Calibri"/>
          <w:color w:val="000000"/>
          <w:lang w:eastAsia="en-GB"/>
        </w:rPr>
        <w:t>had twice the odds of experiencing worsened QOL in the first two years compared with those in the least deprived quintile (1</w:t>
      </w:r>
      <w:r w:rsidRPr="007C6F2E">
        <w:rPr>
          <w:rFonts w:ascii="Calibri" w:eastAsia="Times New Roman" w:hAnsi="Calibri" w:cs="Calibri"/>
          <w:color w:val="000000"/>
          <w:vertAlign w:val="superscript"/>
          <w:lang w:eastAsia="en-GB"/>
        </w:rPr>
        <w:t>st</w:t>
      </w:r>
      <w:r w:rsidRPr="007C6F2E">
        <w:rPr>
          <w:rFonts w:ascii="Calibri" w:eastAsia="Times New Roman" w:hAnsi="Calibri" w:cs="Calibri"/>
          <w:color w:val="000000"/>
          <w:lang w:eastAsia="en-GB"/>
        </w:rPr>
        <w:t xml:space="preserve"> quintile), there was no statistically significant difference between those in the 1</w:t>
      </w:r>
      <w:r w:rsidRPr="007C6F2E">
        <w:rPr>
          <w:rFonts w:ascii="Calibri" w:eastAsia="Times New Roman" w:hAnsi="Calibri" w:cs="Calibri"/>
          <w:color w:val="000000"/>
          <w:vertAlign w:val="superscript"/>
          <w:lang w:eastAsia="en-GB"/>
        </w:rPr>
        <w:t>st</w:t>
      </w:r>
      <w:r w:rsidRPr="007C6F2E">
        <w:rPr>
          <w:rFonts w:ascii="Calibri" w:eastAsia="Times New Roman" w:hAnsi="Calibri" w:cs="Calibri"/>
          <w:color w:val="000000"/>
          <w:lang w:eastAsia="en-GB"/>
        </w:rPr>
        <w:t xml:space="preserve"> quintile and either the 4</w:t>
      </w:r>
      <w:r w:rsidRPr="007C6F2E">
        <w:rPr>
          <w:rFonts w:ascii="Calibri" w:eastAsia="Times New Roman" w:hAnsi="Calibri" w:cs="Calibri"/>
          <w:color w:val="000000"/>
          <w:vertAlign w:val="superscript"/>
          <w:lang w:eastAsia="en-GB"/>
        </w:rPr>
        <w:t>th</w:t>
      </w:r>
      <w:r w:rsidRPr="007C6F2E">
        <w:rPr>
          <w:rFonts w:ascii="Calibri" w:eastAsia="Times New Roman" w:hAnsi="Calibri" w:cs="Calibri"/>
          <w:color w:val="000000"/>
          <w:lang w:eastAsia="en-GB"/>
        </w:rPr>
        <w:t xml:space="preserve"> or the 5</w:t>
      </w:r>
      <w:r w:rsidRPr="007C6F2E">
        <w:rPr>
          <w:rFonts w:ascii="Calibri" w:eastAsia="Times New Roman" w:hAnsi="Calibri" w:cs="Calibri"/>
          <w:color w:val="000000"/>
          <w:vertAlign w:val="superscript"/>
          <w:lang w:eastAsia="en-GB"/>
        </w:rPr>
        <w:t>th</w:t>
      </w:r>
      <w:r w:rsidRPr="007C6F2E">
        <w:rPr>
          <w:rFonts w:ascii="Calibri" w:eastAsia="Times New Roman" w:hAnsi="Calibri" w:cs="Calibri"/>
          <w:color w:val="000000"/>
          <w:lang w:eastAsia="en-GB"/>
        </w:rPr>
        <w:t xml:space="preserve"> quintile. This may be an artefact, perhaps due to the limitations of the assessment of social deprivation (through postcodes).</w:t>
      </w:r>
    </w:p>
    <w:p w14:paraId="09A1982F" w14:textId="77777777" w:rsidR="003D79B3" w:rsidRPr="007C6F2E" w:rsidRDefault="003D79B3" w:rsidP="00D30A83">
      <w:pPr>
        <w:spacing w:line="480" w:lineRule="auto"/>
        <w:rPr>
          <w:rFonts w:eastAsia="SimSun" w:cs="AdvTTb20e5d60"/>
          <w:bCs/>
          <w:szCs w:val="20"/>
        </w:rPr>
      </w:pPr>
      <w:r w:rsidRPr="007C6F2E">
        <w:rPr>
          <w:rFonts w:eastAsia="SimSun" w:cs="AdvTTb20e5d60"/>
          <w:bCs/>
          <w:szCs w:val="20"/>
        </w:rPr>
        <w:lastRenderedPageBreak/>
        <w:t>It is perhaps also unexpected that people with clinical levels of depression two years after surgery were less likely to experience worsened QOL in the next three years. One explanation for this is that people with clinical levels of depression will already have poor QOL, meaning they are less likely to get even worse</w:t>
      </w:r>
      <w:r w:rsidR="00CA75A8">
        <w:rPr>
          <w:rFonts w:eastAsia="SimSun" w:cs="AdvTTb20e5d60"/>
          <w:bCs/>
          <w:szCs w:val="20"/>
        </w:rPr>
        <w:t xml:space="preserve"> </w:t>
      </w:r>
      <w:r w:rsidRPr="007C6F2E">
        <w:rPr>
          <w:rFonts w:eastAsia="SimSun" w:cs="AdvTTb20e5d60"/>
          <w:bCs/>
          <w:noProof/>
          <w:szCs w:val="20"/>
        </w:rPr>
        <w:t>[44]</w:t>
      </w:r>
      <w:r w:rsidRPr="007C6F2E">
        <w:rPr>
          <w:rFonts w:eastAsia="SimSun" w:cs="AdvTTb20e5d60"/>
          <w:bCs/>
          <w:szCs w:val="20"/>
        </w:rPr>
        <w:t>. From a clinical perspective, anyone experiencing clinical levels of depression should be flagged as in need of immediate further support. Less unexpected was the finding that those with low positive affect and high negative affect at two years were more likely to experience subsequent worsened QOL. This could suggest a link between positive outlook and outcome or it could reflect the overlap between affect and QOL.</w:t>
      </w:r>
    </w:p>
    <w:p w14:paraId="09A19830" w14:textId="77777777" w:rsidR="003D79B3" w:rsidRPr="007C6F2E" w:rsidRDefault="003D79B3" w:rsidP="00D30A83">
      <w:pPr>
        <w:spacing w:line="480" w:lineRule="auto"/>
        <w:rPr>
          <w:rFonts w:eastAsia="SimSun" w:cs="AdvTTb20e5d60"/>
          <w:bCs/>
          <w:szCs w:val="20"/>
        </w:rPr>
      </w:pPr>
      <w:r>
        <w:rPr>
          <w:rFonts w:eastAsia="SimSun" w:cs="AdvTTb20e5d60"/>
          <w:bCs/>
          <w:szCs w:val="20"/>
        </w:rPr>
        <w:t>S</w:t>
      </w:r>
      <w:r w:rsidRPr="007C6F2E">
        <w:rPr>
          <w:rFonts w:eastAsia="SimSun" w:cs="AdvTTb20e5d60"/>
          <w:bCs/>
          <w:szCs w:val="20"/>
        </w:rPr>
        <w:t xml:space="preserve">ymptoms and functioning </w:t>
      </w:r>
      <w:r>
        <w:rPr>
          <w:rFonts w:eastAsia="SimSun" w:cs="AdvTTb20e5d60"/>
          <w:bCs/>
          <w:szCs w:val="20"/>
        </w:rPr>
        <w:t>were not assessed</w:t>
      </w:r>
      <w:r w:rsidRPr="007C6F2E">
        <w:rPr>
          <w:rFonts w:eastAsia="SimSun" w:cs="AdvTTb20e5d60"/>
          <w:bCs/>
          <w:szCs w:val="20"/>
        </w:rPr>
        <w:t xml:space="preserve"> pre-surgery, but two years later, high levels of fatigue and poor cognitive functioning were </w:t>
      </w:r>
      <w:r>
        <w:rPr>
          <w:rFonts w:eastAsia="SimSun" w:cs="AdvTTb20e5d60"/>
          <w:bCs/>
          <w:szCs w:val="20"/>
        </w:rPr>
        <w:t>associated with</w:t>
      </w:r>
      <w:r w:rsidRPr="007C6F2E">
        <w:rPr>
          <w:rFonts w:eastAsia="SimSun" w:cs="AdvTTb20e5d60"/>
          <w:bCs/>
          <w:szCs w:val="20"/>
        </w:rPr>
        <w:t xml:space="preserve"> later worsened QOL. Although levels of fatigue and cognitive functioning may not be amenable to change, interventions to improve self-management of these may be possible. For example, our research group has developed a web-based resource </w:t>
      </w:r>
      <w:r>
        <w:rPr>
          <w:rFonts w:eastAsia="SimSun" w:cs="AdvTTb20e5d60"/>
          <w:bCs/>
          <w:szCs w:val="20"/>
        </w:rPr>
        <w:t>(</w:t>
      </w:r>
      <w:r w:rsidRPr="007C6F2E">
        <w:rPr>
          <w:rFonts w:eastAsia="SimSun" w:cs="AdvTTb20e5d60"/>
          <w:bCs/>
          <w:szCs w:val="20"/>
        </w:rPr>
        <w:t xml:space="preserve">RESTORE, freely available at </w:t>
      </w:r>
      <w:hyperlink r:id="rId8" w:history="1">
        <w:r w:rsidRPr="007C6F2E">
          <w:rPr>
            <w:rStyle w:val="Hyperlink"/>
            <w:rFonts w:eastAsia="SimSun" w:cs="AdvTTb20e5d60"/>
            <w:bCs/>
            <w:szCs w:val="20"/>
          </w:rPr>
          <w:t>www.macmillanrestore.org.uk</w:t>
        </w:r>
      </w:hyperlink>
      <w:r>
        <w:rPr>
          <w:rFonts w:eastAsia="SimSun" w:cs="AdvTTb20e5d60"/>
          <w:bCs/>
          <w:szCs w:val="20"/>
        </w:rPr>
        <w:t>)</w:t>
      </w:r>
      <w:r w:rsidRPr="007C6F2E">
        <w:rPr>
          <w:rFonts w:eastAsia="SimSun" w:cs="AdvTTb20e5d60"/>
          <w:bCs/>
          <w:szCs w:val="20"/>
        </w:rPr>
        <w:t xml:space="preserve"> which has been demonstrated to be beneficial to people with cancer-related fatigue</w:t>
      </w:r>
      <w:r w:rsidR="00CA75A8">
        <w:rPr>
          <w:rFonts w:eastAsia="SimSun" w:cs="AdvTTb20e5d60"/>
          <w:bCs/>
          <w:szCs w:val="20"/>
        </w:rPr>
        <w:t xml:space="preserve"> </w:t>
      </w:r>
      <w:r w:rsidRPr="007C6F2E">
        <w:rPr>
          <w:rFonts w:eastAsia="SimSun" w:cs="AdvTTb20e5d60"/>
          <w:bCs/>
          <w:noProof/>
          <w:szCs w:val="20"/>
        </w:rPr>
        <w:t>[45]</w:t>
      </w:r>
      <w:r w:rsidRPr="007C6F2E">
        <w:rPr>
          <w:rFonts w:eastAsia="SimSun" w:cs="AdvTTb20e5d60"/>
          <w:bCs/>
          <w:szCs w:val="20"/>
        </w:rPr>
        <w:t>.</w:t>
      </w:r>
    </w:p>
    <w:p w14:paraId="09A19831" w14:textId="77777777" w:rsidR="003D79B3" w:rsidRDefault="003D79B3" w:rsidP="00D30A83">
      <w:pPr>
        <w:spacing w:line="480" w:lineRule="auto"/>
        <w:rPr>
          <w:rFonts w:eastAsia="SimSun" w:cs="AdvTTb20e5d60"/>
          <w:bCs/>
          <w:szCs w:val="20"/>
        </w:rPr>
      </w:pPr>
      <w:r>
        <w:rPr>
          <w:rFonts w:eastAsia="SimSun" w:cs="AdvTTb20e5d60"/>
          <w:bCs/>
          <w:szCs w:val="20"/>
        </w:rPr>
        <w:t>T</w:t>
      </w:r>
      <w:r w:rsidRPr="007C6F2E">
        <w:rPr>
          <w:rFonts w:eastAsia="SimSun" w:cs="AdvTTb20e5d60"/>
          <w:bCs/>
          <w:szCs w:val="20"/>
        </w:rPr>
        <w:t xml:space="preserve">he way age acted as a significant risk factor pre-surgery and two years post-surgery changed. Pre-surgery, those who were aged 71-80 years were less likely to experience worsening QOL compared to other age groups up to two years, and there was no difference between the very youngest and very oldest participants. Whereas at two years post-surgery, those aged </w:t>
      </w:r>
      <w:r w:rsidRPr="007C6F2E">
        <w:rPr>
          <w:rFonts w:eastAsia="SimSun" w:cstheme="minorHAnsi"/>
          <w:bCs/>
          <w:szCs w:val="20"/>
        </w:rPr>
        <w:t>≥</w:t>
      </w:r>
      <w:r w:rsidRPr="007C6F2E">
        <w:rPr>
          <w:rFonts w:eastAsia="SimSun" w:cs="AdvTTb20e5d60"/>
          <w:bCs/>
          <w:szCs w:val="20"/>
        </w:rPr>
        <w:t>71 years were more likely to experience worse QOL over the next three years. The relationship between age and QOL may not be straightforward partly because there is a change in the way people define good QOL as they age</w:t>
      </w:r>
      <w:r w:rsidRPr="007C6F2E">
        <w:rPr>
          <w:rFonts w:eastAsia="SimSun" w:cs="AdvTTb20e5d60"/>
          <w:bCs/>
          <w:noProof/>
          <w:szCs w:val="20"/>
        </w:rPr>
        <w:t>[46]</w:t>
      </w:r>
      <w:r w:rsidRPr="007C6F2E">
        <w:rPr>
          <w:rFonts w:eastAsia="SimSun" w:cs="AdvTTb20e5d60"/>
          <w:bCs/>
          <w:szCs w:val="20"/>
        </w:rPr>
        <w:t>. In addition, previous research has shown that elderly people who had experienced CRC rated their global HRQOL as better than or comparable to age-matched controls from the general population up to 10 years after treatment</w:t>
      </w:r>
      <w:r w:rsidR="00CA75A8">
        <w:rPr>
          <w:rFonts w:eastAsia="SimSun" w:cs="AdvTTb20e5d60"/>
          <w:bCs/>
          <w:szCs w:val="20"/>
        </w:rPr>
        <w:t xml:space="preserve"> </w:t>
      </w:r>
      <w:r w:rsidRPr="007C6F2E">
        <w:rPr>
          <w:rFonts w:eastAsia="SimSun" w:cs="AdvTTb20e5d60"/>
          <w:bCs/>
          <w:noProof/>
          <w:szCs w:val="20"/>
        </w:rPr>
        <w:t>[12]</w:t>
      </w:r>
      <w:r w:rsidRPr="007C6F2E">
        <w:rPr>
          <w:rFonts w:eastAsia="SimSun" w:cs="AdvTTb20e5d60"/>
          <w:bCs/>
          <w:szCs w:val="20"/>
        </w:rPr>
        <w:t>. This “positive outlook” means that it is really important to intervene when an elderly person experiences a decline in QOL, as defined using their own previous scores.</w:t>
      </w:r>
    </w:p>
    <w:p w14:paraId="09A19832" w14:textId="77777777" w:rsidR="003D79B3" w:rsidRDefault="003D79B3" w:rsidP="00D30A83">
      <w:pPr>
        <w:spacing w:line="480" w:lineRule="auto"/>
        <w:rPr>
          <w:rFonts w:eastAsia="SimSun" w:cs="AdvTTb20e5d60"/>
          <w:bCs/>
          <w:szCs w:val="20"/>
        </w:rPr>
      </w:pPr>
    </w:p>
    <w:p w14:paraId="09A19833" w14:textId="77777777" w:rsidR="003D79B3" w:rsidRPr="007C6F2E" w:rsidRDefault="003D79B3" w:rsidP="00D30A83">
      <w:pPr>
        <w:spacing w:line="480" w:lineRule="auto"/>
        <w:rPr>
          <w:rFonts w:eastAsia="SimSun" w:cs="AdvTTb20e5d60"/>
          <w:bCs/>
          <w:szCs w:val="20"/>
        </w:rPr>
      </w:pPr>
      <w:r>
        <w:rPr>
          <w:rFonts w:eastAsia="SimSun" w:cs="AdvTTb20e5d60"/>
          <w:bCs/>
          <w:szCs w:val="20"/>
        </w:rPr>
        <w:t>Finally, some additional factors were identified as predictive of worsened QOL when we looked at colon and rectal patients separately – obesity, urinary frequency and stoma for people with colon cancer and anxiety and life events for people with rectal cancer. It is not clear why these factors were only identified in the specific tumour groups since, for example, there is already strong evidence of the link between high BMI and low QOL in people with CRC</w:t>
      </w:r>
      <w:r w:rsidR="00CA75A8">
        <w:rPr>
          <w:rFonts w:eastAsia="SimSun" w:cs="AdvTTb20e5d60"/>
          <w:bCs/>
          <w:szCs w:val="20"/>
        </w:rPr>
        <w:t xml:space="preserve"> </w:t>
      </w:r>
      <w:r>
        <w:rPr>
          <w:rFonts w:eastAsia="SimSun" w:cs="AdvTTb20e5d60"/>
          <w:bCs/>
          <w:noProof/>
          <w:szCs w:val="20"/>
        </w:rPr>
        <w:t>[47]</w:t>
      </w:r>
      <w:r>
        <w:rPr>
          <w:rFonts w:eastAsia="SimSun" w:cs="AdvTTb20e5d60"/>
          <w:bCs/>
          <w:szCs w:val="20"/>
        </w:rPr>
        <w:t>. Similarly, the link between anxiety and reduced QOL has also been demonstrated in a mixed CRC sample</w:t>
      </w:r>
      <w:r w:rsidR="00CA75A8">
        <w:rPr>
          <w:rFonts w:eastAsia="SimSun" w:cs="AdvTTb20e5d60"/>
          <w:bCs/>
          <w:szCs w:val="20"/>
        </w:rPr>
        <w:t xml:space="preserve"> </w:t>
      </w:r>
      <w:r>
        <w:rPr>
          <w:rFonts w:eastAsia="SimSun" w:cs="AdvTTb20e5d60"/>
          <w:bCs/>
          <w:noProof/>
          <w:szCs w:val="20"/>
        </w:rPr>
        <w:t>[44]</w:t>
      </w:r>
      <w:r>
        <w:rPr>
          <w:rFonts w:eastAsia="SimSun" w:cs="AdvTTb20e5d60"/>
          <w:bCs/>
          <w:szCs w:val="20"/>
        </w:rPr>
        <w:t xml:space="preserve">. </w:t>
      </w:r>
    </w:p>
    <w:p w14:paraId="09A19834" w14:textId="77777777" w:rsidR="003D79B3" w:rsidRPr="007C6F2E" w:rsidRDefault="003D79B3" w:rsidP="00D30A83">
      <w:pPr>
        <w:spacing w:line="480" w:lineRule="auto"/>
        <w:rPr>
          <w:b/>
          <w:bCs/>
        </w:rPr>
      </w:pPr>
      <w:r w:rsidRPr="007C6F2E">
        <w:rPr>
          <w:b/>
          <w:bCs/>
        </w:rPr>
        <w:t>Conclusion</w:t>
      </w:r>
    </w:p>
    <w:p w14:paraId="09A19835" w14:textId="77777777" w:rsidR="003D79B3" w:rsidRPr="007C6F2E" w:rsidRDefault="003D79B3" w:rsidP="00D30A83">
      <w:pPr>
        <w:spacing w:line="480" w:lineRule="auto"/>
      </w:pPr>
      <w:r w:rsidRPr="007C6F2E">
        <w:rPr>
          <w:bCs/>
        </w:rPr>
        <w:t xml:space="preserve">The CREW cohort dataset is representative, with relatively low attrition rates, and includes prospective patient-reported data from pre-surgery through to five years post-surgery. It is therefore a valuable data set to explore recovery of health and wellbeing following curative intent treatment for CRC, and data access requests are welcomed (see </w:t>
      </w:r>
      <w:hyperlink r:id="rId9" w:history="1">
        <w:r w:rsidRPr="007C6F2E">
          <w:rPr>
            <w:rStyle w:val="Hyperlink"/>
          </w:rPr>
          <w:t>http://www.horizons-hub.org.uk/access_data.html</w:t>
        </w:r>
      </w:hyperlink>
      <w:r w:rsidRPr="007C6F2E">
        <w:t xml:space="preserve"> for details).  </w:t>
      </w:r>
    </w:p>
    <w:p w14:paraId="09A19836" w14:textId="77777777" w:rsidR="003D79B3" w:rsidRPr="007C6F2E" w:rsidRDefault="003D79B3" w:rsidP="00D30A83">
      <w:pPr>
        <w:spacing w:line="480" w:lineRule="auto"/>
        <w:rPr>
          <w:bCs/>
        </w:rPr>
      </w:pPr>
      <w:r w:rsidRPr="007C6F2E">
        <w:rPr>
          <w:bCs/>
        </w:rPr>
        <w:t>At least a quarter of people recovering from CRC had worse QOL compared with pre-surgery at each follow up point during the five years post-surgery. Some risk factors for worsening QOL, such as low self-efficacy, social support and management of comorbidities, are amenable to change, and interventions to support this change should be provided, in line with the personalised care agenda Holistic needs assessments in which physical, emotional, practical, financial and spiritual concerns can be discussed with a member of the health and social care team and a care plan developed, are an important component of personalised care. All CRC patients should be offered holistic needs assessments, incorporating the risk factors identified in CREW, from diagnosis. Providers should map services and commission new services where required to meet the demand generated by holistic needs assessments and subsequent referrals.</w:t>
      </w:r>
    </w:p>
    <w:p w14:paraId="09A19837" w14:textId="77777777" w:rsidR="003D79B3" w:rsidRPr="007C6F2E" w:rsidRDefault="003D79B3">
      <w:pPr>
        <w:spacing w:after="160" w:line="259" w:lineRule="auto"/>
        <w:rPr>
          <w:bCs/>
        </w:rPr>
      </w:pPr>
    </w:p>
    <w:p w14:paraId="09A19838" w14:textId="77777777" w:rsidR="003D79B3" w:rsidRPr="007C6F2E" w:rsidRDefault="003D79B3" w:rsidP="00D30A83">
      <w:pPr>
        <w:spacing w:line="480" w:lineRule="auto"/>
        <w:rPr>
          <w:b/>
        </w:rPr>
      </w:pPr>
      <w:r w:rsidRPr="007C6F2E">
        <w:rPr>
          <w:b/>
        </w:rPr>
        <w:lastRenderedPageBreak/>
        <w:t>Acknowledgements</w:t>
      </w:r>
    </w:p>
    <w:p w14:paraId="09A19839" w14:textId="77777777" w:rsidR="003D79B3" w:rsidRPr="007C6F2E" w:rsidRDefault="003D79B3" w:rsidP="00D30A83">
      <w:pPr>
        <w:spacing w:line="480" w:lineRule="auto"/>
      </w:pPr>
      <w:r w:rsidRPr="007C6F2E">
        <w:rPr>
          <w:rFonts w:cstheme="minorHAnsi"/>
        </w:rPr>
        <w:t xml:space="preserve">We thank all CREW study participants and recruiting NHS Trusts; Carol Hill, Kerry Coleman, </w:t>
      </w:r>
      <w:proofErr w:type="spellStart"/>
      <w:r w:rsidRPr="007C6F2E">
        <w:rPr>
          <w:rFonts w:cstheme="minorHAnsi"/>
        </w:rPr>
        <w:t>Bjoern</w:t>
      </w:r>
      <w:proofErr w:type="spellEnd"/>
      <w:r w:rsidRPr="007C6F2E">
        <w:rPr>
          <w:rFonts w:cstheme="minorHAnsi"/>
        </w:rPr>
        <w:t xml:space="preserve"> </w:t>
      </w:r>
      <w:proofErr w:type="spellStart"/>
      <w:r w:rsidRPr="007C6F2E">
        <w:rPr>
          <w:rFonts w:cstheme="minorHAnsi"/>
        </w:rPr>
        <w:t>Schukowsky</w:t>
      </w:r>
      <w:proofErr w:type="spellEnd"/>
      <w:r w:rsidRPr="007C6F2E">
        <w:rPr>
          <w:rFonts w:cstheme="minorHAnsi"/>
        </w:rPr>
        <w:t xml:space="preserve">, Christine May (study support); Matthew </w:t>
      </w:r>
      <w:proofErr w:type="spellStart"/>
      <w:r w:rsidRPr="007C6F2E">
        <w:rPr>
          <w:rFonts w:cstheme="minorHAnsi"/>
        </w:rPr>
        <w:t>Breckons</w:t>
      </w:r>
      <w:proofErr w:type="spellEnd"/>
      <w:r w:rsidRPr="007C6F2E">
        <w:rPr>
          <w:rFonts w:cstheme="minorHAnsi"/>
        </w:rPr>
        <w:t xml:space="preserve">, Cassandra Powers, Alex </w:t>
      </w:r>
      <w:proofErr w:type="spellStart"/>
      <w:r w:rsidRPr="007C6F2E">
        <w:rPr>
          <w:rFonts w:cstheme="minorHAnsi"/>
        </w:rPr>
        <w:t>Recio</w:t>
      </w:r>
      <w:proofErr w:type="spellEnd"/>
      <w:r w:rsidRPr="007C6F2E">
        <w:rPr>
          <w:rFonts w:cstheme="minorHAnsi"/>
        </w:rPr>
        <w:t xml:space="preserve">‐Saucedo, Bina </w:t>
      </w:r>
      <w:proofErr w:type="spellStart"/>
      <w:r w:rsidRPr="007C6F2E">
        <w:rPr>
          <w:rFonts w:cstheme="minorHAnsi"/>
        </w:rPr>
        <w:t>Nausheen</w:t>
      </w:r>
      <w:proofErr w:type="spellEnd"/>
      <w:r w:rsidRPr="007C6F2E">
        <w:rPr>
          <w:rFonts w:cstheme="minorHAnsi"/>
        </w:rPr>
        <w:t>, Ikumi Okamoto, Kim‐</w:t>
      </w:r>
      <w:proofErr w:type="spellStart"/>
      <w:r w:rsidRPr="007C6F2E">
        <w:rPr>
          <w:rFonts w:cstheme="minorHAnsi"/>
        </w:rPr>
        <w:t>Chivers</w:t>
      </w:r>
      <w:proofErr w:type="spellEnd"/>
      <w:r w:rsidRPr="007C6F2E">
        <w:rPr>
          <w:rFonts w:cstheme="minorHAnsi"/>
        </w:rPr>
        <w:t xml:space="preserve"> Seymour, Joanne Haviland (researchers); Jo Clough, Alison Farmer (research partners). Members of the Study Advisory Committee: Jo </w:t>
      </w:r>
      <w:proofErr w:type="spellStart"/>
      <w:r w:rsidRPr="007C6F2E">
        <w:rPr>
          <w:rFonts w:cstheme="minorHAnsi"/>
        </w:rPr>
        <w:t>Armes</w:t>
      </w:r>
      <w:proofErr w:type="spellEnd"/>
      <w:r w:rsidRPr="007C6F2E">
        <w:rPr>
          <w:rFonts w:cstheme="minorHAnsi"/>
        </w:rPr>
        <w:t xml:space="preserve">, Janis Baird, Andrew Bateman, Nick Beck, Graham Moon, Claire Hulme, Peter Hall, Karen Poole, Susan </w:t>
      </w:r>
      <w:proofErr w:type="spellStart"/>
      <w:r w:rsidRPr="007C6F2E">
        <w:rPr>
          <w:rFonts w:cstheme="minorHAnsi"/>
        </w:rPr>
        <w:t>Restorick</w:t>
      </w:r>
      <w:proofErr w:type="spellEnd"/>
      <w:r w:rsidRPr="007C6F2E">
        <w:rPr>
          <w:rFonts w:cstheme="minorHAnsi"/>
        </w:rPr>
        <w:t xml:space="preserve">‐Banks, Paul Roderick, Claire Taylor, Jocelyn Walters, Fran Williams, Lynn </w:t>
      </w:r>
      <w:proofErr w:type="spellStart"/>
      <w:r w:rsidRPr="007C6F2E">
        <w:rPr>
          <w:rFonts w:cstheme="minorHAnsi"/>
        </w:rPr>
        <w:t>Batehup</w:t>
      </w:r>
      <w:proofErr w:type="spellEnd"/>
      <w:r w:rsidRPr="007C6F2E">
        <w:rPr>
          <w:rFonts w:cstheme="minorHAnsi"/>
        </w:rPr>
        <w:t>, Jessica Corner, and Deborah Fenlon.</w:t>
      </w:r>
    </w:p>
    <w:p w14:paraId="09A1983A" w14:textId="77777777" w:rsidR="003D79B3" w:rsidRPr="007C6F2E" w:rsidRDefault="003D79B3">
      <w:pPr>
        <w:spacing w:after="160" w:line="259" w:lineRule="auto"/>
        <w:rPr>
          <w:b/>
          <w:bCs/>
          <w:sz w:val="28"/>
          <w:szCs w:val="28"/>
        </w:rPr>
      </w:pPr>
      <w:r w:rsidRPr="007C6F2E">
        <w:rPr>
          <w:b/>
          <w:bCs/>
        </w:rPr>
        <w:br w:type="page"/>
      </w:r>
      <w:r w:rsidRPr="007C6F2E">
        <w:rPr>
          <w:b/>
          <w:bCs/>
          <w:sz w:val="28"/>
          <w:szCs w:val="28"/>
        </w:rPr>
        <w:lastRenderedPageBreak/>
        <w:t>Supporting information captions</w:t>
      </w:r>
    </w:p>
    <w:p w14:paraId="09A1983B" w14:textId="77777777" w:rsidR="003D79B3" w:rsidRPr="007C6F2E" w:rsidRDefault="003D79B3">
      <w:pPr>
        <w:spacing w:after="160" w:line="259" w:lineRule="auto"/>
        <w:rPr>
          <w:b/>
          <w:bCs/>
        </w:rPr>
      </w:pPr>
      <w:r w:rsidRPr="007C6F2E">
        <w:rPr>
          <w:b/>
          <w:bCs/>
        </w:rPr>
        <w:t>S1 Table: Validated measures included at each time point in CREW</w:t>
      </w:r>
    </w:p>
    <w:p w14:paraId="09A1983C" w14:textId="77777777" w:rsidR="003D79B3" w:rsidRDefault="003D79B3">
      <w:pPr>
        <w:spacing w:after="160" w:line="259" w:lineRule="auto"/>
        <w:rPr>
          <w:b/>
          <w:bCs/>
        </w:rPr>
      </w:pPr>
      <w:r w:rsidRPr="007C6F2E">
        <w:rPr>
          <w:b/>
          <w:bCs/>
        </w:rPr>
        <w:t xml:space="preserve">S2 Table: Variables included in the two </w:t>
      </w:r>
      <w:r>
        <w:rPr>
          <w:b/>
          <w:bCs/>
        </w:rPr>
        <w:t>regression</w:t>
      </w:r>
      <w:r w:rsidRPr="007C6F2E">
        <w:rPr>
          <w:b/>
          <w:bCs/>
        </w:rPr>
        <w:t xml:space="preserve"> models</w:t>
      </w:r>
      <w:r>
        <w:rPr>
          <w:b/>
          <w:bCs/>
        </w:rPr>
        <w:t xml:space="preserve"> for the whole cohort</w:t>
      </w:r>
    </w:p>
    <w:p w14:paraId="09A1983D" w14:textId="77777777" w:rsidR="003D79B3" w:rsidRDefault="003D79B3">
      <w:pPr>
        <w:spacing w:after="160" w:line="259" w:lineRule="auto"/>
        <w:rPr>
          <w:b/>
          <w:bCs/>
        </w:rPr>
      </w:pPr>
      <w:r>
        <w:rPr>
          <w:b/>
          <w:bCs/>
        </w:rPr>
        <w:t>S3 Table: Variables included in the regression models for colon and rectal cancer patients separately</w:t>
      </w:r>
    </w:p>
    <w:p w14:paraId="06C39633" w14:textId="77777777" w:rsidR="00132165" w:rsidRDefault="003D79B3" w:rsidP="00D30A83">
      <w:pPr>
        <w:spacing w:after="160" w:line="259" w:lineRule="auto"/>
        <w:rPr>
          <w:b/>
          <w:bCs/>
        </w:rPr>
      </w:pPr>
      <w:r>
        <w:rPr>
          <w:b/>
          <w:bCs/>
        </w:rPr>
        <w:t xml:space="preserve">S4 Table: Results of the separate colon and rectal cancer regression models </w:t>
      </w:r>
    </w:p>
    <w:p w14:paraId="1895B618" w14:textId="77777777" w:rsidR="00132165" w:rsidRDefault="00132165" w:rsidP="00D30A83">
      <w:pPr>
        <w:spacing w:after="160" w:line="259" w:lineRule="auto"/>
        <w:rPr>
          <w:b/>
          <w:bCs/>
        </w:rPr>
      </w:pPr>
    </w:p>
    <w:bookmarkStart w:id="4" w:name="_GoBack"/>
    <w:bookmarkEnd w:id="4"/>
    <w:bookmarkStart w:id="5" w:name="_MON_1646757450"/>
    <w:bookmarkEnd w:id="5"/>
    <w:p w14:paraId="09A1983E" w14:textId="094274D1" w:rsidR="003D79B3" w:rsidRPr="007C6F2E" w:rsidRDefault="00132165" w:rsidP="00D30A83">
      <w:pPr>
        <w:spacing w:after="160" w:line="259" w:lineRule="auto"/>
        <w:rPr>
          <w:b/>
          <w:bCs/>
        </w:rPr>
      </w:pPr>
      <w:r>
        <w:rPr>
          <w:b/>
          <w:bCs/>
        </w:rPr>
        <w:object w:dxaOrig="1538" w:dyaOrig="995" w14:anchorId="55883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77.15pt;height:51.45pt" o:ole="">
            <v:imagedata r:id="rId10" o:title=""/>
          </v:shape>
          <o:OLEObject Type="Embed" ProgID="Word.Document.12" ShapeID="_x0000_i1048" DrawAspect="Icon" ObjectID="_1646757466" r:id="rId11">
            <o:FieldCodes>\s</o:FieldCodes>
          </o:OLEObject>
        </w:object>
      </w:r>
      <w:bookmarkStart w:id="6" w:name="_MON_1646757448"/>
      <w:bookmarkEnd w:id="6"/>
      <w:r>
        <w:rPr>
          <w:b/>
          <w:bCs/>
        </w:rPr>
        <w:object w:dxaOrig="1538" w:dyaOrig="995" w14:anchorId="589B2AE5">
          <v:shape id="_x0000_i1047" type="#_x0000_t75" style="width:77.15pt;height:51.45pt" o:ole="">
            <v:imagedata r:id="rId12" o:title=""/>
          </v:shape>
          <o:OLEObject Type="Embed" ProgID="Word.Document.12" ShapeID="_x0000_i1047" DrawAspect="Icon" ObjectID="_1646757467" r:id="rId13">
            <o:FieldCodes>\s</o:FieldCodes>
          </o:OLEObject>
        </w:object>
      </w:r>
      <w:bookmarkStart w:id="7" w:name="_MON_1646757447"/>
      <w:bookmarkEnd w:id="7"/>
      <w:r>
        <w:rPr>
          <w:b/>
          <w:bCs/>
        </w:rPr>
        <w:object w:dxaOrig="1538" w:dyaOrig="995" w14:anchorId="2F1BAA00">
          <v:shape id="_x0000_i1046" type="#_x0000_t75" style="width:77.15pt;height:51.45pt" o:ole="">
            <v:imagedata r:id="rId14" o:title=""/>
          </v:shape>
          <o:OLEObject Type="Embed" ProgID="Word.Document.12" ShapeID="_x0000_i1046" DrawAspect="Icon" ObjectID="_1646757468" r:id="rId15">
            <o:FieldCodes>\s</o:FieldCodes>
          </o:OLEObject>
        </w:object>
      </w:r>
      <w:bookmarkStart w:id="8" w:name="_MON_1646757446"/>
      <w:bookmarkEnd w:id="8"/>
      <w:r>
        <w:rPr>
          <w:b/>
          <w:bCs/>
        </w:rPr>
        <w:object w:dxaOrig="1538" w:dyaOrig="995" w14:anchorId="3349F133">
          <v:shape id="_x0000_i1045" type="#_x0000_t75" style="width:77.15pt;height:51.45pt" o:ole="">
            <v:imagedata r:id="rId16" o:title=""/>
          </v:shape>
          <o:OLEObject Type="Embed" ProgID="Word.Document.12" ShapeID="_x0000_i1045" DrawAspect="Icon" ObjectID="_1646757469" r:id="rId17">
            <o:FieldCodes>\s</o:FieldCodes>
          </o:OLEObject>
        </w:object>
      </w:r>
      <w:bookmarkStart w:id="9" w:name="_MON_1646757445"/>
      <w:bookmarkEnd w:id="9"/>
      <w:r>
        <w:rPr>
          <w:b/>
          <w:bCs/>
        </w:rPr>
        <w:object w:dxaOrig="1538" w:dyaOrig="995" w14:anchorId="7FCDF20A">
          <v:shape id="_x0000_i1044" type="#_x0000_t75" style="width:77.15pt;height:51.45pt" o:ole="">
            <v:imagedata r:id="rId18" o:title=""/>
          </v:shape>
          <o:OLEObject Type="Embed" ProgID="Word.Document.12" ShapeID="_x0000_i1044" DrawAspect="Icon" ObjectID="_1646757470" r:id="rId19">
            <o:FieldCodes>\s</o:FieldCodes>
          </o:OLEObject>
        </w:object>
      </w:r>
      <w:bookmarkStart w:id="10" w:name="_MON_1646757443"/>
      <w:bookmarkEnd w:id="10"/>
      <w:r>
        <w:rPr>
          <w:b/>
          <w:bCs/>
        </w:rPr>
        <w:object w:dxaOrig="1538" w:dyaOrig="995" w14:anchorId="7FDE3942">
          <v:shape id="_x0000_i1043" type="#_x0000_t75" style="width:77.15pt;height:51.45pt" o:ole="">
            <v:imagedata r:id="rId20" o:title=""/>
          </v:shape>
          <o:OLEObject Type="Embed" ProgID="Word.Document.12" ShapeID="_x0000_i1043" DrawAspect="Icon" ObjectID="_1646757471" r:id="rId21">
            <o:FieldCodes>\s</o:FieldCodes>
          </o:OLEObject>
        </w:object>
      </w:r>
      <w:bookmarkStart w:id="11" w:name="_MON_1646757442"/>
      <w:bookmarkEnd w:id="11"/>
      <w:r>
        <w:rPr>
          <w:b/>
          <w:bCs/>
        </w:rPr>
        <w:object w:dxaOrig="1538" w:dyaOrig="995" w14:anchorId="265AAC2C">
          <v:shape id="_x0000_i1042" type="#_x0000_t75" style="width:77.15pt;height:51.45pt" o:ole="">
            <v:imagedata r:id="rId22" o:title=""/>
          </v:shape>
          <o:OLEObject Type="Embed" ProgID="Word.Document.12" ShapeID="_x0000_i1042" DrawAspect="Icon" ObjectID="_1646757472" r:id="rId23">
            <o:FieldCodes>\s</o:FieldCodes>
          </o:OLEObject>
        </w:object>
      </w:r>
      <w:bookmarkStart w:id="12" w:name="_MON_1646757441"/>
      <w:bookmarkEnd w:id="12"/>
      <w:r>
        <w:rPr>
          <w:b/>
          <w:bCs/>
        </w:rPr>
        <w:object w:dxaOrig="1538" w:dyaOrig="995" w14:anchorId="098A1685">
          <v:shape id="_x0000_i1041" type="#_x0000_t75" style="width:77.15pt;height:51.45pt" o:ole="">
            <v:imagedata r:id="rId24" o:title=""/>
          </v:shape>
          <o:OLEObject Type="Embed" ProgID="Word.Document.12" ShapeID="_x0000_i1041" DrawAspect="Icon" ObjectID="_1646757473" r:id="rId25">
            <o:FieldCodes>\s</o:FieldCodes>
          </o:OLEObject>
        </w:object>
      </w:r>
      <w:r w:rsidR="003D79B3" w:rsidRPr="007C6F2E">
        <w:rPr>
          <w:b/>
          <w:bCs/>
        </w:rPr>
        <w:br w:type="page"/>
      </w:r>
    </w:p>
    <w:p w14:paraId="09A1983F" w14:textId="77777777" w:rsidR="003D79B3" w:rsidRPr="007C6F2E" w:rsidRDefault="003D79B3" w:rsidP="00D30A83">
      <w:pPr>
        <w:spacing w:after="0" w:line="480" w:lineRule="auto"/>
      </w:pPr>
      <w:r w:rsidRPr="007C6F2E">
        <w:rPr>
          <w:rFonts w:ascii="Calibri" w:hAnsi="Calibri"/>
          <w:b/>
          <w:bCs/>
          <w:sz w:val="28"/>
          <w:szCs w:val="28"/>
        </w:rPr>
        <w:lastRenderedPageBreak/>
        <w:t>REFERENCES</w:t>
      </w:r>
    </w:p>
    <w:p w14:paraId="09A19840" w14:textId="77777777" w:rsidR="003D79B3" w:rsidRPr="00FC0A3F" w:rsidRDefault="003D79B3" w:rsidP="00D30A83">
      <w:pPr>
        <w:pStyle w:val="EndNoteBibliography"/>
        <w:spacing w:after="0"/>
      </w:pPr>
      <w:r w:rsidRPr="00FC0A3F">
        <w:t>1.</w:t>
      </w:r>
      <w:r w:rsidRPr="00FC0A3F">
        <w:tab/>
        <w:t xml:space="preserve">Ervik M, Lam F, Ferlay J, Meray L, Soerjomataram I, Bray F. Cancer Today Lyon, France: International Agency for Research on Cancer; 2016. Available from: </w:t>
      </w:r>
      <w:hyperlink r:id="rId26" w:history="1">
        <w:r w:rsidR="00817E56" w:rsidRPr="001D5CBA">
          <w:rPr>
            <w:rStyle w:val="Hyperlink"/>
          </w:rPr>
          <w:t>http://gco.iarc.fr/today</w:t>
        </w:r>
      </w:hyperlink>
      <w:r w:rsidRPr="00FC0A3F">
        <w:t>.</w:t>
      </w:r>
    </w:p>
    <w:p w14:paraId="09A19841" w14:textId="77777777" w:rsidR="003D79B3" w:rsidRDefault="003D79B3" w:rsidP="00D30A83">
      <w:pPr>
        <w:pStyle w:val="EndNoteBibliography"/>
        <w:spacing w:after="0"/>
      </w:pPr>
      <w:r w:rsidRPr="00FC0A3F">
        <w:t>2.</w:t>
      </w:r>
      <w:r w:rsidRPr="00FC0A3F">
        <w:tab/>
        <w:t xml:space="preserve">Cancer Research UK. Bowel cancer survival statistics 2014. Available from: </w:t>
      </w:r>
      <w:hyperlink r:id="rId27" w:anchor="heading-Zero" w:history="1">
        <w:r w:rsidR="00817E56" w:rsidRPr="001D5CBA">
          <w:rPr>
            <w:rStyle w:val="Hyperlink"/>
          </w:rPr>
          <w:t>http://www.cancerresearchuk.org/health-professional/cancer-statistics/statistics-by-cancer-type/bowel-cancer/survival#heading-Zero</w:t>
        </w:r>
      </w:hyperlink>
      <w:r w:rsidR="00817E56">
        <w:t>.</w:t>
      </w:r>
    </w:p>
    <w:p w14:paraId="09A19842" w14:textId="77777777" w:rsidR="003D79B3" w:rsidRPr="00FC0A3F" w:rsidRDefault="003D79B3" w:rsidP="00D30A83">
      <w:pPr>
        <w:pStyle w:val="EndNoteBibliography"/>
        <w:spacing w:after="0"/>
      </w:pPr>
      <w:r w:rsidRPr="00FC0A3F">
        <w:t>3.</w:t>
      </w:r>
      <w:r w:rsidRPr="00FC0A3F">
        <w:tab/>
        <w:t>Chambers SK, Meng X, Youl P, Aitken J, Dunn J, Baade P. A five-year prospective study of quality of life after colorectal cancer. Qual Life Res. 2012;21(9):1551-64</w:t>
      </w:r>
      <w:r w:rsidR="00817E56">
        <w:t>.</w:t>
      </w:r>
      <w:r w:rsidRPr="00FC0A3F">
        <w:t xml:space="preserve"> </w:t>
      </w:r>
      <w:r w:rsidR="00817E56">
        <w:br/>
      </w:r>
      <w:r w:rsidRPr="00FC0A3F">
        <w:t>4.</w:t>
      </w:r>
      <w:r w:rsidRPr="00FC0A3F">
        <w:tab/>
        <w:t>Jansen L, Koch L, Brenner H, Arndt V. Quality of life among long-term (</w:t>
      </w:r>
      <w:r w:rsidRPr="00FC0A3F">
        <w:rPr>
          <w:rFonts w:ascii="Cambria Math" w:hAnsi="Cambria Math" w:cs="Cambria Math"/>
        </w:rPr>
        <w:t>⩾</w:t>
      </w:r>
      <w:r w:rsidRPr="00FC0A3F">
        <w:t>5</w:t>
      </w:r>
      <w:r w:rsidR="00817E56">
        <w:t xml:space="preserve"> </w:t>
      </w:r>
      <w:r w:rsidRPr="00FC0A3F">
        <w:t xml:space="preserve">years) colorectal cancer survivors – Systematic review. Eur J Cancer. 2010;46(16):2879-88. </w:t>
      </w:r>
    </w:p>
    <w:p w14:paraId="09A19843" w14:textId="77777777" w:rsidR="003D79B3" w:rsidRPr="00FC0A3F" w:rsidRDefault="003D79B3" w:rsidP="00D30A83">
      <w:pPr>
        <w:pStyle w:val="EndNoteBibliography"/>
        <w:spacing w:after="0"/>
      </w:pPr>
      <w:r w:rsidRPr="00FC0A3F">
        <w:t>5.</w:t>
      </w:r>
      <w:r w:rsidRPr="00FC0A3F">
        <w:tab/>
        <w:t>National Institute for Health and Care Excellence. Colorectal cancer: diagnosis and management. 2014.</w:t>
      </w:r>
    </w:p>
    <w:p w14:paraId="09A19844" w14:textId="77777777" w:rsidR="003D79B3" w:rsidRPr="00FC0A3F" w:rsidRDefault="003D79B3" w:rsidP="00D30A83">
      <w:pPr>
        <w:pStyle w:val="EndNoteBibliography"/>
        <w:spacing w:after="0"/>
      </w:pPr>
      <w:r w:rsidRPr="00FC0A3F">
        <w:t>6.</w:t>
      </w:r>
      <w:r w:rsidRPr="00FC0A3F">
        <w:tab/>
        <w:t>Stanton AL. What happens now? Psychosocial care for cancer survivors after medical treatment completion. J Clin Oncol. 2012;30(11):1215-20.</w:t>
      </w:r>
    </w:p>
    <w:p w14:paraId="09A19845" w14:textId="77777777" w:rsidR="003D79B3" w:rsidRPr="00FC0A3F" w:rsidRDefault="003D79B3" w:rsidP="00D30A83">
      <w:pPr>
        <w:pStyle w:val="EndNoteBibliography"/>
        <w:spacing w:after="0"/>
      </w:pPr>
      <w:r w:rsidRPr="00FC0A3F">
        <w:t>7.</w:t>
      </w:r>
      <w:r w:rsidRPr="00FC0A3F">
        <w:tab/>
        <w:t>Gusi N, Olivares PR, Rajendram R. The EQ-5D Health-Related Quality of Life Questionnaire. In: Preedy V, Watson R, editors. Handbook of Disease Burdens and Quality of Life Measures: Springer New York; 2010. p. 87-99.</w:t>
      </w:r>
    </w:p>
    <w:p w14:paraId="09A19846" w14:textId="77777777" w:rsidR="003D79B3" w:rsidRPr="00FC0A3F" w:rsidRDefault="003D79B3" w:rsidP="00D30A83">
      <w:pPr>
        <w:pStyle w:val="EndNoteBibliography"/>
        <w:spacing w:after="0"/>
      </w:pPr>
      <w:r w:rsidRPr="00FC0A3F">
        <w:t>8.</w:t>
      </w:r>
      <w:r w:rsidRPr="00FC0A3F">
        <w:tab/>
        <w:t xml:space="preserve">Downing A, Morris EJA, Richards M, Corner J, Wright P, Sebag-Montefiore D, et al. Health-Related Quality of Life After Colorectal Cancer in England: A Patient-Reported Outcomes Study of Individuals 12 to 36 Months After Diagnosis. J Clin Oncol. 2015;33(6):616-24. </w:t>
      </w:r>
    </w:p>
    <w:p w14:paraId="09A19847" w14:textId="77777777" w:rsidR="003D79B3" w:rsidRPr="00FC0A3F" w:rsidRDefault="003D79B3" w:rsidP="00D30A83">
      <w:pPr>
        <w:pStyle w:val="EndNoteBibliography"/>
        <w:spacing w:after="0"/>
      </w:pPr>
      <w:r w:rsidRPr="00FC0A3F">
        <w:t>9.</w:t>
      </w:r>
      <w:r w:rsidRPr="00FC0A3F">
        <w:tab/>
        <w:t xml:space="preserve">Diener E, Emmons RA, Larsen RJ, Griffin S. The Satisfaction With Life Scale. Journal of Personality Assessment. 1985;49(1):71-5. </w:t>
      </w:r>
    </w:p>
    <w:p w14:paraId="09A19848" w14:textId="77777777" w:rsidR="003D79B3" w:rsidRPr="00FC0A3F" w:rsidRDefault="003D79B3" w:rsidP="00D30A83">
      <w:pPr>
        <w:pStyle w:val="EndNoteBibliography"/>
        <w:spacing w:after="0"/>
      </w:pPr>
      <w:r w:rsidRPr="00FC0A3F">
        <w:t>10.</w:t>
      </w:r>
      <w:r w:rsidRPr="00FC0A3F">
        <w:tab/>
        <w:t xml:space="preserve">Dunn J, Ng SK, Breitbart W, Aitken J, Youl P, Baade PD, et al. Health-related quality of life and life satisfaction in colorectal cancer survivors: trajectories of adjustment. Health Qual Life Outcomes. 2013;11:46. </w:t>
      </w:r>
    </w:p>
    <w:p w14:paraId="09A19849" w14:textId="77777777" w:rsidR="003D79B3" w:rsidRPr="00FC0A3F" w:rsidRDefault="003D79B3" w:rsidP="00D30A83">
      <w:pPr>
        <w:pStyle w:val="EndNoteBibliography"/>
        <w:spacing w:after="0"/>
      </w:pPr>
      <w:r w:rsidRPr="00FC0A3F">
        <w:t>11.</w:t>
      </w:r>
      <w:r w:rsidRPr="00FC0A3F">
        <w:tab/>
        <w:t xml:space="preserve">Aaronson NK, Ahmedzai S, Bergman B, Bullinger M, Cull A, Duez NJ, et al. The European Organization for Research and Treatment of Cancer QLQ-C30: a quality-of-life instrument for use in international clinical trials in oncology. J Natl Cancer Inst. 1993;85(5):365-76. </w:t>
      </w:r>
    </w:p>
    <w:p w14:paraId="09A1984A" w14:textId="77777777" w:rsidR="003D79B3" w:rsidRPr="00FC0A3F" w:rsidRDefault="003D79B3" w:rsidP="00D30A83">
      <w:pPr>
        <w:pStyle w:val="EndNoteBibliography"/>
        <w:spacing w:after="0"/>
      </w:pPr>
      <w:r w:rsidRPr="00FC0A3F">
        <w:t>12.</w:t>
      </w:r>
      <w:r w:rsidRPr="00FC0A3F">
        <w:tab/>
        <w:t xml:space="preserve">Jansen L, Herrmann A, Stegmaier C, Singer S, Brenner H, Arndt V. Health-Related Quality of Life During the 10 Years After Diagnosis of Colorectal Cancer: A Population-Based Study. J Clin Oncol. 2011;29(24):3263-9. </w:t>
      </w:r>
    </w:p>
    <w:p w14:paraId="09A1984B" w14:textId="77777777" w:rsidR="003D79B3" w:rsidRPr="00FC0A3F" w:rsidRDefault="003D79B3" w:rsidP="00D30A83">
      <w:pPr>
        <w:pStyle w:val="EndNoteBibliography"/>
        <w:spacing w:after="0"/>
      </w:pPr>
      <w:r w:rsidRPr="00FC0A3F">
        <w:t>13.</w:t>
      </w:r>
      <w:r w:rsidRPr="00FC0A3F">
        <w:tab/>
        <w:t xml:space="preserve">Verhaar S, Vissers PA, Maas H, van de Poll-Franse LV, van Erning FN, Mols F. Treatment-related differences in health related quality of life and disease specific symptoms among colon cancer survivors: results from the population-based PROFILES registry. Eur J Cancer. 2015;51(10):1263-73. </w:t>
      </w:r>
    </w:p>
    <w:p w14:paraId="09A1984C" w14:textId="77777777" w:rsidR="003D79B3" w:rsidRPr="00FC0A3F" w:rsidRDefault="003D79B3" w:rsidP="00D30A83">
      <w:pPr>
        <w:pStyle w:val="EndNoteBibliography"/>
        <w:spacing w:after="0"/>
      </w:pPr>
      <w:r w:rsidRPr="00FC0A3F">
        <w:t>14.</w:t>
      </w:r>
      <w:r w:rsidRPr="00FC0A3F">
        <w:tab/>
        <w:t xml:space="preserve">Foster C, Haviland J, Winter J, Grimmett C, Chivers Seymour K, Batehup L, et al. Pre-Surgery Depression and Confidence to Manage Problems Predict Recovery Trajectories of Health and Wellbeing in the First Two Years following Colorectal Cancer: Results from the CREW Cohort Study. PLoS One. 2016;11(5):e0155434. </w:t>
      </w:r>
    </w:p>
    <w:p w14:paraId="09A1984D" w14:textId="77777777" w:rsidR="003D79B3" w:rsidRPr="00FC0A3F" w:rsidRDefault="003D79B3" w:rsidP="00D30A83">
      <w:pPr>
        <w:pStyle w:val="EndNoteBibliography"/>
        <w:spacing w:after="0"/>
      </w:pPr>
      <w:r w:rsidRPr="00FC0A3F">
        <w:t>15.</w:t>
      </w:r>
      <w:r w:rsidRPr="00FC0A3F">
        <w:tab/>
        <w:t xml:space="preserve">Drury A, Payne S, Brady AM. Cancer survivorship: Advancing the concept in the context of colorectal cancer. Eur J Oncol Nurs. 2017;29:135-47. </w:t>
      </w:r>
    </w:p>
    <w:p w14:paraId="09A1984E" w14:textId="77777777" w:rsidR="003D79B3" w:rsidRPr="00FC0A3F" w:rsidRDefault="003D79B3" w:rsidP="00D30A83">
      <w:pPr>
        <w:pStyle w:val="EndNoteBibliography"/>
        <w:spacing w:after="0"/>
      </w:pPr>
      <w:r w:rsidRPr="00FC0A3F">
        <w:t>16.</w:t>
      </w:r>
      <w:r w:rsidRPr="00FC0A3F">
        <w:tab/>
        <w:t xml:space="preserve">Fenlon D, Richardson A, Addington-Hall J, Smith P, Corner J, Winter J, et al. A cohort study of the recovery of health and wellbeing following colorectal cancer (CREW study): protocol paper. BMC Health Serv Res. 2012;12:90. </w:t>
      </w:r>
    </w:p>
    <w:p w14:paraId="09A1984F" w14:textId="77777777" w:rsidR="003D79B3" w:rsidRPr="00FC0A3F" w:rsidRDefault="003D79B3" w:rsidP="00D30A83">
      <w:pPr>
        <w:pStyle w:val="EndNoteBibliography"/>
        <w:spacing w:after="0"/>
      </w:pPr>
      <w:r w:rsidRPr="00FC0A3F">
        <w:t>17.</w:t>
      </w:r>
      <w:r w:rsidRPr="00FC0A3F">
        <w:tab/>
        <w:t>Foster C, Fenlon D. Recovery and self-management support following primary cancer treatment. Br J Cancer. 2011;105(S1):S21-S8.</w:t>
      </w:r>
    </w:p>
    <w:p w14:paraId="09A19850" w14:textId="77777777" w:rsidR="003D79B3" w:rsidRPr="00FC0A3F" w:rsidRDefault="003D79B3" w:rsidP="00D30A83">
      <w:pPr>
        <w:pStyle w:val="EndNoteBibliography"/>
        <w:spacing w:after="0"/>
      </w:pPr>
      <w:r w:rsidRPr="00FC0A3F">
        <w:t>18.</w:t>
      </w:r>
      <w:r w:rsidRPr="00FC0A3F">
        <w:tab/>
        <w:t xml:space="preserve">Avis NE, Smith KW, McGraw S, Smith RG, Petronis VM, Carver CS. Assessing Quality of Life in Adult Cancer Survivors (QLACS). Qual Life Res. 2005;14(4):1007-23. </w:t>
      </w:r>
    </w:p>
    <w:p w14:paraId="09A19851" w14:textId="77777777" w:rsidR="003D79B3" w:rsidRPr="00FC0A3F" w:rsidRDefault="003D79B3" w:rsidP="00D30A83">
      <w:pPr>
        <w:pStyle w:val="EndNoteBibliography"/>
      </w:pPr>
      <w:r w:rsidRPr="00FC0A3F">
        <w:t>19.</w:t>
      </w:r>
      <w:r w:rsidRPr="00FC0A3F">
        <w:tab/>
        <w:t xml:space="preserve">Office for National Statistics, </w:t>
      </w:r>
      <w:hyperlink r:id="rId28" w:history="1">
        <w:r w:rsidR="00B51CC5" w:rsidRPr="001D5CBA">
          <w:rPr>
            <w:rStyle w:val="Hyperlink"/>
          </w:rPr>
          <w:t>https://www.gov.uk/government/statistics/english-indices-of-deprivation-2015</w:t>
        </w:r>
      </w:hyperlink>
      <w:r w:rsidR="00B51CC5">
        <w:t xml:space="preserve"> </w:t>
      </w:r>
    </w:p>
    <w:p w14:paraId="09A19852" w14:textId="77777777" w:rsidR="003D79B3" w:rsidRPr="00FC0A3F" w:rsidRDefault="003D79B3" w:rsidP="00D30A83">
      <w:pPr>
        <w:pStyle w:val="EndNoteBibliography"/>
        <w:spacing w:after="0"/>
      </w:pPr>
    </w:p>
    <w:p w14:paraId="09A19853" w14:textId="77777777" w:rsidR="003D79B3" w:rsidRPr="00FC0A3F" w:rsidRDefault="003D79B3" w:rsidP="00D30A83">
      <w:pPr>
        <w:pStyle w:val="EndNoteBibliography"/>
        <w:spacing w:after="0"/>
      </w:pPr>
      <w:r w:rsidRPr="00FC0A3F">
        <w:t>20.</w:t>
      </w:r>
      <w:r w:rsidRPr="00FC0A3F">
        <w:tab/>
        <w:t xml:space="preserve">Grimmett C, Haviland J, Winter J, Calman L, Din A, Richardson A, et al. Colorectal cancer patient’s self-efficacy for managing illness-related problems in the first 2 years after diagnosis, results from the ColoREctal Well-being (CREW) study. J Cancer Surviv-Res Pract. 2017;11(5):634-42. </w:t>
      </w:r>
    </w:p>
    <w:p w14:paraId="09A19854" w14:textId="77777777" w:rsidR="003D79B3" w:rsidRPr="00FC0A3F" w:rsidRDefault="003D79B3" w:rsidP="00D30A83">
      <w:pPr>
        <w:pStyle w:val="EndNoteBibliography"/>
        <w:spacing w:after="0"/>
      </w:pPr>
      <w:r w:rsidRPr="00FC0A3F">
        <w:t>21.</w:t>
      </w:r>
      <w:r w:rsidRPr="00FC0A3F">
        <w:tab/>
        <w:t xml:space="preserve">Whistance RN, Conroy T, Chie W, Costantini A, Sezer O, Koller M, et al. Clinical and psychometric validation of the EORTC QLQ-CR29 questionnaire module to assess health-related quality of life in patients with colorectal cancer. Eur J Cancer. 2009;45(17):3017-26. </w:t>
      </w:r>
      <w:r w:rsidR="00B51CC5">
        <w:br/>
      </w:r>
      <w:r w:rsidRPr="00FC0A3F">
        <w:t>22.</w:t>
      </w:r>
      <w:r w:rsidRPr="00FC0A3F">
        <w:rPr>
          <w:rFonts w:hint="eastAsia"/>
        </w:rPr>
        <w:tab/>
        <w:t>Boyes A, Girgis A, Lecathelinais C. Brief assessment of adult cancer patients' perceived needs: development and validation of the 34</w:t>
      </w:r>
      <w:r w:rsidRPr="00FC0A3F">
        <w:rPr>
          <w:rFonts w:hint="eastAsia"/>
        </w:rPr>
        <w:t>‐</w:t>
      </w:r>
      <w:r w:rsidRPr="00FC0A3F">
        <w:rPr>
          <w:rFonts w:hint="eastAsia"/>
        </w:rPr>
        <w:t>item Supportive Care Needs Survey (SCNS</w:t>
      </w:r>
      <w:r w:rsidRPr="00FC0A3F">
        <w:rPr>
          <w:rFonts w:hint="eastAsia"/>
        </w:rPr>
        <w:t>‐</w:t>
      </w:r>
      <w:r w:rsidRPr="00FC0A3F">
        <w:rPr>
          <w:rFonts w:hint="eastAsia"/>
        </w:rPr>
        <w:t>SF34). Journal of evaluation in clinical practice. 2009;15(4):602-6.</w:t>
      </w:r>
    </w:p>
    <w:p w14:paraId="09A19855" w14:textId="77777777" w:rsidR="003D79B3" w:rsidRPr="00FC0A3F" w:rsidRDefault="003D79B3" w:rsidP="00D30A83">
      <w:pPr>
        <w:pStyle w:val="EndNoteBibliography"/>
        <w:spacing w:after="0"/>
      </w:pPr>
      <w:r w:rsidRPr="00FC0A3F">
        <w:t>23.</w:t>
      </w:r>
      <w:r w:rsidRPr="00FC0A3F">
        <w:tab/>
        <w:t>International Wellbeing Group. Personal Wellbeing Index Melbourne: Australian Centre on Quality of Life, Deakin University; 2013. Sth Edition</w:t>
      </w:r>
      <w:r w:rsidR="00B51CC5">
        <w:t xml:space="preserve">. </w:t>
      </w:r>
      <w:r w:rsidRPr="00FC0A3F">
        <w:t xml:space="preserve">Available from: </w:t>
      </w:r>
      <w:hyperlink r:id="rId29" w:history="1">
        <w:r w:rsidR="00B51CC5" w:rsidRPr="001D5CBA">
          <w:rPr>
            <w:rStyle w:val="Hyperlink"/>
          </w:rPr>
          <w:t>http://www.deakin.edu.au/research/acqol/instruments/wellbeing-index/index.php</w:t>
        </w:r>
      </w:hyperlink>
      <w:r w:rsidR="00B51CC5">
        <w:t xml:space="preserve"> </w:t>
      </w:r>
    </w:p>
    <w:p w14:paraId="09A19856" w14:textId="77777777" w:rsidR="003D79B3" w:rsidRPr="00FC0A3F" w:rsidRDefault="003D79B3" w:rsidP="00D30A83">
      <w:pPr>
        <w:pStyle w:val="EndNoteBibliography"/>
        <w:spacing w:after="0"/>
      </w:pPr>
      <w:r w:rsidRPr="00FC0A3F">
        <w:t>24.</w:t>
      </w:r>
      <w:r w:rsidRPr="00FC0A3F">
        <w:tab/>
        <w:t xml:space="preserve">Brugha T, Bebbington P, Tennant C, Hurry J. The List of Threatening Experiences: a subset of 12 life event categories with considerable long-term contextual threat. Psychological medicine. 1985;15(1):189-94. </w:t>
      </w:r>
    </w:p>
    <w:p w14:paraId="09A19857" w14:textId="77777777" w:rsidR="003D79B3" w:rsidRPr="00FC0A3F" w:rsidRDefault="003D79B3" w:rsidP="00D30A83">
      <w:pPr>
        <w:pStyle w:val="EndNoteBibliography"/>
        <w:spacing w:after="0"/>
      </w:pPr>
      <w:r w:rsidRPr="00FC0A3F">
        <w:t>25.</w:t>
      </w:r>
      <w:r w:rsidRPr="00FC0A3F">
        <w:tab/>
        <w:t>Lorig KR, Ritter P, Stewart AL, Sobel DS, Brown Jr BW, Bandura A, et al. Chronic disease self-management program: 2-year health status and health care utilization outcomes. Med Care. 2001;39(11):1217-23.</w:t>
      </w:r>
    </w:p>
    <w:p w14:paraId="09A19858" w14:textId="77777777" w:rsidR="003D79B3" w:rsidRPr="00FC0A3F" w:rsidRDefault="003D79B3" w:rsidP="00D30A83">
      <w:pPr>
        <w:pStyle w:val="EndNoteBibliography"/>
        <w:spacing w:after="0"/>
      </w:pPr>
      <w:r w:rsidRPr="00FC0A3F">
        <w:t>26.</w:t>
      </w:r>
      <w:r w:rsidRPr="00FC0A3F">
        <w:tab/>
        <w:t>Foster C, Breckons M, Hankins M, Fenlon D, Cotterell P. Developing a scale to measure self-efficacy to self-manage problems following cancer treatment. Psycho-Oncol. 2013;22:1-29.</w:t>
      </w:r>
    </w:p>
    <w:p w14:paraId="09A19859" w14:textId="77777777" w:rsidR="003D79B3" w:rsidRPr="00FC0A3F" w:rsidRDefault="003D79B3" w:rsidP="00D30A83">
      <w:pPr>
        <w:pStyle w:val="EndNoteBibliography"/>
        <w:spacing w:after="0"/>
      </w:pPr>
      <w:r w:rsidRPr="00FC0A3F">
        <w:t>27.</w:t>
      </w:r>
      <w:r w:rsidRPr="00FC0A3F">
        <w:tab/>
        <w:t>Thompson ER. Development and validation of an internationally reliable short-form of the positive and negative affect schedule (PANAS). Journal of cross-cultural psychology. 2007;38(2):227-42.</w:t>
      </w:r>
    </w:p>
    <w:p w14:paraId="09A1985A" w14:textId="77777777" w:rsidR="003D79B3" w:rsidRPr="00FC0A3F" w:rsidRDefault="003D79B3" w:rsidP="00D30A83">
      <w:pPr>
        <w:pStyle w:val="EndNoteBibliography"/>
        <w:spacing w:after="0"/>
      </w:pPr>
      <w:r w:rsidRPr="00FC0A3F">
        <w:t>28.</w:t>
      </w:r>
      <w:r w:rsidRPr="00FC0A3F">
        <w:tab/>
        <w:t>Spielberger C. State-Trait Inventory for Adults: Sampler Set, Manual, Test and Scoring Key. Redwood City: Mind Gardens; 1983.</w:t>
      </w:r>
    </w:p>
    <w:p w14:paraId="09A1985B" w14:textId="77777777" w:rsidR="003D79B3" w:rsidRPr="00FC0A3F" w:rsidRDefault="003D79B3" w:rsidP="00D30A83">
      <w:pPr>
        <w:pStyle w:val="EndNoteBibliography"/>
        <w:spacing w:after="0"/>
      </w:pPr>
      <w:r w:rsidRPr="00FC0A3F">
        <w:t>29.</w:t>
      </w:r>
      <w:r w:rsidRPr="00FC0A3F">
        <w:tab/>
        <w:t>Radloff LS. The CES-D scale: a self report depression scale for research in the general population. Appl Psychol Measur. 1977;1(385-401).</w:t>
      </w:r>
    </w:p>
    <w:p w14:paraId="09A1985C" w14:textId="77777777" w:rsidR="003D79B3" w:rsidRPr="00FC0A3F" w:rsidRDefault="003D79B3" w:rsidP="00D30A83">
      <w:pPr>
        <w:pStyle w:val="EndNoteBibliography"/>
        <w:spacing w:after="0"/>
      </w:pPr>
      <w:r w:rsidRPr="00FC0A3F">
        <w:t>30.</w:t>
      </w:r>
      <w:r w:rsidRPr="00FC0A3F">
        <w:tab/>
        <w:t>Sherbourne CD, Stewart AL. The MOS social support survey. Soc Sci Med. 1991;32(6):705-14. 31.</w:t>
      </w:r>
      <w:r w:rsidRPr="00FC0A3F">
        <w:tab/>
        <w:t xml:space="preserve">Carver CS. You want to measure coping but your protocol's too long: consider the brief COPE. Int J Behav Med. 1997;4(1):92-100. </w:t>
      </w:r>
    </w:p>
    <w:p w14:paraId="09A1985D" w14:textId="77777777" w:rsidR="003D79B3" w:rsidRPr="00FC0A3F" w:rsidRDefault="003D79B3" w:rsidP="00D30A83">
      <w:pPr>
        <w:pStyle w:val="EndNoteBibliography"/>
        <w:spacing w:after="0"/>
      </w:pPr>
      <w:r w:rsidRPr="00FC0A3F">
        <w:t>32.</w:t>
      </w:r>
      <w:r w:rsidRPr="00FC0A3F">
        <w:tab/>
        <w:t xml:space="preserve">Knight RG, Waal-Manning HJ, Spears GF. Some norms and reliability data for the State-Trait Anxiety Inventory and the Zung Self-Rating Depression scale. British Journal of Clinical Psychology. 1983;22(4):245-9. </w:t>
      </w:r>
    </w:p>
    <w:p w14:paraId="09A1985E" w14:textId="77777777" w:rsidR="003D79B3" w:rsidRPr="00FC0A3F" w:rsidRDefault="003D79B3" w:rsidP="00D30A83">
      <w:pPr>
        <w:pStyle w:val="EndNoteBibliography"/>
        <w:spacing w:after="0"/>
      </w:pPr>
      <w:r w:rsidRPr="00FC0A3F">
        <w:t>33.</w:t>
      </w:r>
      <w:r w:rsidRPr="00FC0A3F">
        <w:tab/>
        <w:t>Katz MR, Kopek N, Waldron J, Devins GM, Tomlinson G. Screening for depression in head and neck cancer. Psycho-Oncol. 2004;13(4):269-80.</w:t>
      </w:r>
    </w:p>
    <w:p w14:paraId="09A1985F" w14:textId="77777777" w:rsidR="003D79B3" w:rsidRPr="00FC0A3F" w:rsidRDefault="003D79B3" w:rsidP="00D30A83">
      <w:pPr>
        <w:pStyle w:val="EndNoteBibliography"/>
        <w:spacing w:after="0"/>
      </w:pPr>
      <w:r w:rsidRPr="00FC0A3F">
        <w:t>34.</w:t>
      </w:r>
      <w:r w:rsidRPr="00FC0A3F">
        <w:tab/>
        <w:t>Himmelfarb S, Murrell SA. Reliability and Validity of Five Mental Health Scales in Older Persons1. Journal of Gerontology. 1983;38(3):333-9.</w:t>
      </w:r>
    </w:p>
    <w:p w14:paraId="09A19860" w14:textId="77777777" w:rsidR="003D79B3" w:rsidRPr="00FC0A3F" w:rsidRDefault="003D79B3" w:rsidP="00D30A83">
      <w:pPr>
        <w:pStyle w:val="EndNoteBibliography"/>
        <w:spacing w:after="0"/>
      </w:pPr>
      <w:r w:rsidRPr="00FC0A3F">
        <w:t>35.</w:t>
      </w:r>
      <w:r w:rsidRPr="00FC0A3F">
        <w:tab/>
        <w:t xml:space="preserve">Osoba D, Bezjak A, Brundage M, Zee B, Tu D, Pater J. Analysis and interpretation of health-related quality-of-life data from clinical trials: basic approach of The National Cancer Institute of Canada Clinical Trials Group. Eur J Cancer. 2005;41(2):280-7. </w:t>
      </w:r>
    </w:p>
    <w:p w14:paraId="09A19861" w14:textId="77777777" w:rsidR="003D79B3" w:rsidRPr="00FC0A3F" w:rsidRDefault="003D79B3" w:rsidP="00D30A83">
      <w:pPr>
        <w:pStyle w:val="EndNoteBibliography"/>
        <w:spacing w:after="0"/>
      </w:pPr>
      <w:r w:rsidRPr="00FC0A3F">
        <w:t>36.</w:t>
      </w:r>
      <w:r w:rsidRPr="00FC0A3F">
        <w:tab/>
        <w:t xml:space="preserve">National Bowel Cancer Audit 2012. </w:t>
      </w:r>
      <w:hyperlink r:id="rId30" w:history="1">
        <w:r w:rsidR="00720FA1" w:rsidRPr="001D5CBA">
          <w:rPr>
            <w:rStyle w:val="Hyperlink"/>
          </w:rPr>
          <w:t>https://digital.nhs.uk/catalogue/PUB09352</w:t>
        </w:r>
      </w:hyperlink>
      <w:r w:rsidR="00720FA1">
        <w:t xml:space="preserve"> </w:t>
      </w:r>
    </w:p>
    <w:p w14:paraId="09A19862" w14:textId="77777777" w:rsidR="003D79B3" w:rsidRPr="00FC0A3F" w:rsidRDefault="003D79B3" w:rsidP="00D30A83">
      <w:pPr>
        <w:pStyle w:val="EndNoteBibliography"/>
        <w:spacing w:after="0"/>
      </w:pPr>
      <w:r w:rsidRPr="00FC0A3F">
        <w:t>37.</w:t>
      </w:r>
      <w:r w:rsidRPr="00FC0A3F">
        <w:tab/>
        <w:t>Sebag-Montefiore D, Stephens RJ, Steele R, Monson J, Grieve R, Khanna S, et al. Preoperative radiotherapy versus selective postoperative chemoradiotherapy in patients with rectal cancer (MRC CR07 and NCIC-CTG C016): a multicentre, randomised trial. The Lancet. 2009;373(9666):811-20.</w:t>
      </w:r>
    </w:p>
    <w:p w14:paraId="09A19863" w14:textId="77777777" w:rsidR="003D79B3" w:rsidRPr="00FC0A3F" w:rsidRDefault="003D79B3" w:rsidP="00D30A83">
      <w:pPr>
        <w:pStyle w:val="EndNoteBibliography"/>
        <w:spacing w:after="0"/>
      </w:pPr>
      <w:r w:rsidRPr="00FC0A3F">
        <w:t>38.</w:t>
      </w:r>
      <w:r w:rsidRPr="00FC0A3F">
        <w:tab/>
        <w:t xml:space="preserve">Scher KS, Hurria A. Under-representation of older adults in cancer registration trials: known problem, little progress. Journal of clinical oncology : official journal of the American Society of Clinical Oncology. 2012;30(17):2036-8. </w:t>
      </w:r>
    </w:p>
    <w:p w14:paraId="09A19864" w14:textId="77777777" w:rsidR="003D79B3" w:rsidRPr="00FC0A3F" w:rsidRDefault="003D79B3" w:rsidP="00D30A83">
      <w:pPr>
        <w:pStyle w:val="EndNoteBibliography"/>
        <w:spacing w:after="0"/>
      </w:pPr>
      <w:r w:rsidRPr="00FC0A3F">
        <w:t>39.</w:t>
      </w:r>
      <w:r w:rsidRPr="00FC0A3F">
        <w:tab/>
        <w:t xml:space="preserve">Spiers S, Oral E, Fontham ETH, Peters ES, Mohler JL, Bensen JT, et al. Modelling attrition and nonparticipation in a longitudinal study of prostate cancer. BMC Med Res Methodol. 2018;18(1):60. </w:t>
      </w:r>
    </w:p>
    <w:p w14:paraId="09A19865" w14:textId="77777777" w:rsidR="003D79B3" w:rsidRPr="00FC0A3F" w:rsidRDefault="003D79B3" w:rsidP="00D30A83">
      <w:pPr>
        <w:pStyle w:val="EndNoteBibliography"/>
        <w:spacing w:after="0"/>
      </w:pPr>
      <w:r w:rsidRPr="00FC0A3F">
        <w:lastRenderedPageBreak/>
        <w:t>40.</w:t>
      </w:r>
      <w:r w:rsidRPr="00FC0A3F">
        <w:tab/>
        <w:t xml:space="preserve">NHS England. Personalised Care. Available from: </w:t>
      </w:r>
      <w:hyperlink r:id="rId31" w:history="1">
        <w:r w:rsidR="00720FA1" w:rsidRPr="001D5CBA">
          <w:rPr>
            <w:rStyle w:val="Hyperlink"/>
          </w:rPr>
          <w:t>https://www.england.nhs.uk/personalisedcare/</w:t>
        </w:r>
      </w:hyperlink>
      <w:r w:rsidR="00720FA1">
        <w:t xml:space="preserve"> </w:t>
      </w:r>
    </w:p>
    <w:p w14:paraId="09A19866" w14:textId="77777777" w:rsidR="003D79B3" w:rsidRPr="00FC0A3F" w:rsidRDefault="003D79B3" w:rsidP="00D30A83">
      <w:pPr>
        <w:pStyle w:val="EndNoteBibliography"/>
        <w:spacing w:after="0"/>
      </w:pPr>
      <w:r w:rsidRPr="00FC0A3F">
        <w:t>41.</w:t>
      </w:r>
      <w:r w:rsidRPr="00FC0A3F">
        <w:tab/>
        <w:t xml:space="preserve">Foster C, Haviland J, Winter J, Grimmett C, Seymour KC, Batehup L, et al. Pre-Surgery Depression and Confidence to Manage Problems Predict Recovery Trajectories of Health and Wellbeing in the First Two Years following Colorectal Cancer: Results from the CREW Cohort Study. Plos One. 2016;11(5):18. </w:t>
      </w:r>
    </w:p>
    <w:p w14:paraId="09A19867" w14:textId="77777777" w:rsidR="003D79B3" w:rsidRPr="00FC0A3F" w:rsidRDefault="003D79B3" w:rsidP="00D30A83">
      <w:pPr>
        <w:pStyle w:val="EndNoteBibliography"/>
        <w:spacing w:after="0"/>
      </w:pPr>
      <w:r w:rsidRPr="00FC0A3F">
        <w:t>42.</w:t>
      </w:r>
      <w:r w:rsidRPr="00FC0A3F">
        <w:tab/>
        <w:t xml:space="preserve">Haviland J, Sodergren S, Calman L, Corner J, Din A, Fenlon D, et al. Social support following diagnosis and treatment for colorectal cancer and associations with health-related quality of life: Results from the UK ColoREctal Wellbeing (CREW) cohort study. Psychooncology. 2017;26(12):2276-84. </w:t>
      </w:r>
    </w:p>
    <w:p w14:paraId="09A19868" w14:textId="77777777" w:rsidR="003D79B3" w:rsidRPr="00FC0A3F" w:rsidRDefault="003D79B3" w:rsidP="00D30A83">
      <w:pPr>
        <w:pStyle w:val="EndNoteBibliography"/>
        <w:spacing w:after="0"/>
      </w:pPr>
      <w:r w:rsidRPr="00FC0A3F">
        <w:t>43.</w:t>
      </w:r>
      <w:r w:rsidRPr="00FC0A3F">
        <w:tab/>
        <w:t xml:space="preserve">Cummings A, Grimmett C, Calman L, Patel M, Permyakova NV, Winter J, et al. Comorbidities are associated with poorer quality of life and functioning and worse symptoms in the 5 years following colorectal cancer surgery: Results from the ColoREctal Well-being (CREW) cohort study. Psychooncology. 2018;27(10):2427-35. Epub 2018/08/03. </w:t>
      </w:r>
    </w:p>
    <w:p w14:paraId="09A19869" w14:textId="77777777" w:rsidR="003D79B3" w:rsidRPr="00FC0A3F" w:rsidRDefault="003D79B3" w:rsidP="00D30A83">
      <w:pPr>
        <w:pStyle w:val="EndNoteBibliography"/>
        <w:spacing w:after="0"/>
      </w:pPr>
      <w:r w:rsidRPr="00FC0A3F">
        <w:t>44.</w:t>
      </w:r>
      <w:r w:rsidRPr="00FC0A3F">
        <w:tab/>
        <w:t>Mols F, Schoormans D, de Hingh I, Oerlemans S, Husson O. Symptoms of anxiety and depression among colorectal cancer survivors from the population-based, longitudinal PROFILES Registry: Prevalence, predictors, and impact on quality of life. Cancer. 2018;124(12):2621-8.</w:t>
      </w:r>
      <w:r w:rsidR="004452DD">
        <w:br/>
        <w:t>4</w:t>
      </w:r>
      <w:r w:rsidRPr="00FC0A3F">
        <w:t>5.</w:t>
      </w:r>
      <w:r w:rsidRPr="00FC0A3F">
        <w:tab/>
        <w:t xml:space="preserve">Foster C, Grimmett C, May CM, Ewings S, Myall M, Hulme C, et al. A web-based intervention (RESTORE) to support self-management of cancer-related fatigue following primary cancer treatment: a multi-centre proof of concept randomised controlled trial. Supportive Care in Cancer. 2016;24(6):2445-53. </w:t>
      </w:r>
    </w:p>
    <w:p w14:paraId="09A1986A" w14:textId="77777777" w:rsidR="003D79B3" w:rsidRPr="00FC0A3F" w:rsidRDefault="003D79B3" w:rsidP="00D30A83">
      <w:pPr>
        <w:pStyle w:val="EndNoteBibliography"/>
        <w:spacing w:after="0"/>
      </w:pPr>
      <w:r w:rsidRPr="00FC0A3F">
        <w:t>46.</w:t>
      </w:r>
      <w:r w:rsidRPr="00FC0A3F">
        <w:tab/>
        <w:t xml:space="preserve">Bowling A. Do older and younger people differ in their reported well-being? A national survey of adults in Britain. Fam Pract. 2011;28(2):145-55. </w:t>
      </w:r>
    </w:p>
    <w:p w14:paraId="09A1986B" w14:textId="77777777" w:rsidR="003D79B3" w:rsidRPr="00FC0A3F" w:rsidRDefault="003D79B3" w:rsidP="00D30A83">
      <w:pPr>
        <w:pStyle w:val="EndNoteBibliography"/>
      </w:pPr>
      <w:r w:rsidRPr="00FC0A3F">
        <w:t>47.</w:t>
      </w:r>
      <w:r w:rsidRPr="00FC0A3F">
        <w:tab/>
        <w:t xml:space="preserve">Bours MJL, van der Linden BWA, Winkels RM, van Duijnhoven FJ, Mols F, van Roekel EH, et al. Candidate Predictors of Health-Related Quality of Life of Colorectal Cancer Survivors: A Systematic Review. The Oncologist. 2016;21(4):433-52. </w:t>
      </w:r>
    </w:p>
    <w:p w14:paraId="09A1986C" w14:textId="77777777" w:rsidR="003D79B3" w:rsidRPr="007927FB" w:rsidRDefault="003D79B3" w:rsidP="00D30A83">
      <w:pPr>
        <w:pStyle w:val="EndNoteBibliography"/>
      </w:pPr>
      <w:r w:rsidRPr="0052252A">
        <w:t xml:space="preserve"> </w:t>
      </w:r>
    </w:p>
    <w:p w14:paraId="09A1986D" w14:textId="77777777" w:rsidR="003D79B3" w:rsidRDefault="003D79B3" w:rsidP="00D30A83">
      <w:pPr>
        <w:pStyle w:val="EndNoteBibliography"/>
      </w:pPr>
      <w:r>
        <w:t xml:space="preserve"> </w:t>
      </w:r>
    </w:p>
    <w:p w14:paraId="09A1986E" w14:textId="77777777" w:rsidR="00990461" w:rsidRDefault="00990461"/>
    <w:sectPr w:rsidR="00990461" w:rsidSect="00D24C3E">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59856" w14:textId="77777777" w:rsidR="004F7282" w:rsidRDefault="004F7282">
      <w:pPr>
        <w:spacing w:after="0" w:line="240" w:lineRule="auto"/>
      </w:pPr>
      <w:r>
        <w:separator/>
      </w:r>
    </w:p>
  </w:endnote>
  <w:endnote w:type="continuationSeparator" w:id="0">
    <w:p w14:paraId="15752B4D" w14:textId="77777777" w:rsidR="004F7282" w:rsidRDefault="004F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dvOTa9103878">
    <w:charset w:val="00"/>
    <w:family w:val="roman"/>
    <w:pitch w:val="default"/>
    <w:sig w:usb0="00000003" w:usb1="00000000" w:usb2="00000000" w:usb3="00000000" w:csb0="00000001" w:csb1="00000000"/>
  </w:font>
  <w:font w:name="AdvTTb20e5d60">
    <w:charset w:val="00"/>
    <w:family w:val="roman"/>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367840"/>
      <w:docPartObj>
        <w:docPartGallery w:val="Page Numbers (Bottom of Page)"/>
        <w:docPartUnique/>
      </w:docPartObj>
    </w:sdtPr>
    <w:sdtEndPr>
      <w:rPr>
        <w:noProof/>
      </w:rPr>
    </w:sdtEndPr>
    <w:sdtContent>
      <w:p w14:paraId="09A19873" w14:textId="77777777" w:rsidR="00AB565D" w:rsidRDefault="00AB565D">
        <w:pPr>
          <w:pStyle w:val="Footer"/>
          <w:jc w:val="right"/>
        </w:pPr>
        <w:r>
          <w:fldChar w:fldCharType="begin"/>
        </w:r>
        <w:r>
          <w:instrText xml:space="preserve"> PAGE   \* MERGEFORMAT </w:instrText>
        </w:r>
        <w:r>
          <w:fldChar w:fldCharType="separate"/>
        </w:r>
        <w:r>
          <w:rPr>
            <w:noProof/>
          </w:rPr>
          <w:t>37</w:t>
        </w:r>
        <w:r>
          <w:rPr>
            <w:noProof/>
          </w:rPr>
          <w:fldChar w:fldCharType="end"/>
        </w:r>
      </w:p>
    </w:sdtContent>
  </w:sdt>
  <w:p w14:paraId="09A19874" w14:textId="77777777" w:rsidR="00AB565D" w:rsidRDefault="00AB5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03A8C" w14:textId="77777777" w:rsidR="004F7282" w:rsidRDefault="004F7282">
      <w:pPr>
        <w:spacing w:after="0" w:line="240" w:lineRule="auto"/>
      </w:pPr>
      <w:r>
        <w:separator/>
      </w:r>
    </w:p>
  </w:footnote>
  <w:footnote w:type="continuationSeparator" w:id="0">
    <w:p w14:paraId="347730A2" w14:textId="77777777" w:rsidR="004F7282" w:rsidRDefault="004F7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9DE"/>
    <w:multiLevelType w:val="hybridMultilevel"/>
    <w:tmpl w:val="0F2C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871E2"/>
    <w:multiLevelType w:val="hybridMultilevel"/>
    <w:tmpl w:val="8E90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C1F56"/>
    <w:multiLevelType w:val="hybridMultilevel"/>
    <w:tmpl w:val="7AE29116"/>
    <w:lvl w:ilvl="0" w:tplc="6452FE3E">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B204E"/>
    <w:multiLevelType w:val="hybridMultilevel"/>
    <w:tmpl w:val="253E15CC"/>
    <w:lvl w:ilvl="0" w:tplc="74E27AB6">
      <w:start w:val="1"/>
      <w:numFmt w:val="bullet"/>
      <w:lvlText w:val="•"/>
      <w:lvlJc w:val="left"/>
      <w:pPr>
        <w:tabs>
          <w:tab w:val="num" w:pos="720"/>
        </w:tabs>
        <w:ind w:left="720" w:hanging="360"/>
      </w:pPr>
      <w:rPr>
        <w:rFonts w:ascii="Arial" w:hAnsi="Arial" w:hint="default"/>
      </w:rPr>
    </w:lvl>
    <w:lvl w:ilvl="1" w:tplc="F304642E" w:tentative="1">
      <w:start w:val="1"/>
      <w:numFmt w:val="bullet"/>
      <w:lvlText w:val="•"/>
      <w:lvlJc w:val="left"/>
      <w:pPr>
        <w:tabs>
          <w:tab w:val="num" w:pos="1440"/>
        </w:tabs>
        <w:ind w:left="1440" w:hanging="360"/>
      </w:pPr>
      <w:rPr>
        <w:rFonts w:ascii="Arial" w:hAnsi="Arial" w:hint="default"/>
      </w:rPr>
    </w:lvl>
    <w:lvl w:ilvl="2" w:tplc="C93A5C84" w:tentative="1">
      <w:start w:val="1"/>
      <w:numFmt w:val="bullet"/>
      <w:lvlText w:val="•"/>
      <w:lvlJc w:val="left"/>
      <w:pPr>
        <w:tabs>
          <w:tab w:val="num" w:pos="2160"/>
        </w:tabs>
        <w:ind w:left="2160" w:hanging="360"/>
      </w:pPr>
      <w:rPr>
        <w:rFonts w:ascii="Arial" w:hAnsi="Arial" w:hint="default"/>
      </w:rPr>
    </w:lvl>
    <w:lvl w:ilvl="3" w:tplc="9B4ADAB4" w:tentative="1">
      <w:start w:val="1"/>
      <w:numFmt w:val="bullet"/>
      <w:lvlText w:val="•"/>
      <w:lvlJc w:val="left"/>
      <w:pPr>
        <w:tabs>
          <w:tab w:val="num" w:pos="2880"/>
        </w:tabs>
        <w:ind w:left="2880" w:hanging="360"/>
      </w:pPr>
      <w:rPr>
        <w:rFonts w:ascii="Arial" w:hAnsi="Arial" w:hint="default"/>
      </w:rPr>
    </w:lvl>
    <w:lvl w:ilvl="4" w:tplc="BFCECA76" w:tentative="1">
      <w:start w:val="1"/>
      <w:numFmt w:val="bullet"/>
      <w:lvlText w:val="•"/>
      <w:lvlJc w:val="left"/>
      <w:pPr>
        <w:tabs>
          <w:tab w:val="num" w:pos="3600"/>
        </w:tabs>
        <w:ind w:left="3600" w:hanging="360"/>
      </w:pPr>
      <w:rPr>
        <w:rFonts w:ascii="Arial" w:hAnsi="Arial" w:hint="default"/>
      </w:rPr>
    </w:lvl>
    <w:lvl w:ilvl="5" w:tplc="BD34E4A4" w:tentative="1">
      <w:start w:val="1"/>
      <w:numFmt w:val="bullet"/>
      <w:lvlText w:val="•"/>
      <w:lvlJc w:val="left"/>
      <w:pPr>
        <w:tabs>
          <w:tab w:val="num" w:pos="4320"/>
        </w:tabs>
        <w:ind w:left="4320" w:hanging="360"/>
      </w:pPr>
      <w:rPr>
        <w:rFonts w:ascii="Arial" w:hAnsi="Arial" w:hint="default"/>
      </w:rPr>
    </w:lvl>
    <w:lvl w:ilvl="6" w:tplc="FA24F25A" w:tentative="1">
      <w:start w:val="1"/>
      <w:numFmt w:val="bullet"/>
      <w:lvlText w:val="•"/>
      <w:lvlJc w:val="left"/>
      <w:pPr>
        <w:tabs>
          <w:tab w:val="num" w:pos="5040"/>
        </w:tabs>
        <w:ind w:left="5040" w:hanging="360"/>
      </w:pPr>
      <w:rPr>
        <w:rFonts w:ascii="Arial" w:hAnsi="Arial" w:hint="default"/>
      </w:rPr>
    </w:lvl>
    <w:lvl w:ilvl="7" w:tplc="0366E204" w:tentative="1">
      <w:start w:val="1"/>
      <w:numFmt w:val="bullet"/>
      <w:lvlText w:val="•"/>
      <w:lvlJc w:val="left"/>
      <w:pPr>
        <w:tabs>
          <w:tab w:val="num" w:pos="5760"/>
        </w:tabs>
        <w:ind w:left="5760" w:hanging="360"/>
      </w:pPr>
      <w:rPr>
        <w:rFonts w:ascii="Arial" w:hAnsi="Arial" w:hint="default"/>
      </w:rPr>
    </w:lvl>
    <w:lvl w:ilvl="8" w:tplc="2F60DC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B238F7"/>
    <w:multiLevelType w:val="hybridMultilevel"/>
    <w:tmpl w:val="E4F66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04768"/>
    <w:multiLevelType w:val="hybridMultilevel"/>
    <w:tmpl w:val="3350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14F11"/>
    <w:multiLevelType w:val="hybridMultilevel"/>
    <w:tmpl w:val="190E8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6452F"/>
    <w:multiLevelType w:val="hybridMultilevel"/>
    <w:tmpl w:val="D162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D7E70"/>
    <w:multiLevelType w:val="hybridMultilevel"/>
    <w:tmpl w:val="D3A6139E"/>
    <w:lvl w:ilvl="0" w:tplc="CE46E3C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C4B73"/>
    <w:multiLevelType w:val="hybridMultilevel"/>
    <w:tmpl w:val="5D8A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30A8F"/>
    <w:multiLevelType w:val="hybridMultilevel"/>
    <w:tmpl w:val="66EABC9A"/>
    <w:lvl w:ilvl="0" w:tplc="F64EBC4C">
      <w:start w:val="1"/>
      <w:numFmt w:val="bullet"/>
      <w:lvlText w:val="•"/>
      <w:lvlJc w:val="left"/>
      <w:pPr>
        <w:tabs>
          <w:tab w:val="num" w:pos="720"/>
        </w:tabs>
        <w:ind w:left="720" w:hanging="360"/>
      </w:pPr>
      <w:rPr>
        <w:rFonts w:ascii="Arial" w:hAnsi="Arial" w:hint="default"/>
      </w:rPr>
    </w:lvl>
    <w:lvl w:ilvl="1" w:tplc="53462B50" w:tentative="1">
      <w:start w:val="1"/>
      <w:numFmt w:val="bullet"/>
      <w:lvlText w:val="•"/>
      <w:lvlJc w:val="left"/>
      <w:pPr>
        <w:tabs>
          <w:tab w:val="num" w:pos="1440"/>
        </w:tabs>
        <w:ind w:left="1440" w:hanging="360"/>
      </w:pPr>
      <w:rPr>
        <w:rFonts w:ascii="Arial" w:hAnsi="Arial" w:hint="default"/>
      </w:rPr>
    </w:lvl>
    <w:lvl w:ilvl="2" w:tplc="06E4B610" w:tentative="1">
      <w:start w:val="1"/>
      <w:numFmt w:val="bullet"/>
      <w:lvlText w:val="•"/>
      <w:lvlJc w:val="left"/>
      <w:pPr>
        <w:tabs>
          <w:tab w:val="num" w:pos="2160"/>
        </w:tabs>
        <w:ind w:left="2160" w:hanging="360"/>
      </w:pPr>
      <w:rPr>
        <w:rFonts w:ascii="Arial" w:hAnsi="Arial" w:hint="default"/>
      </w:rPr>
    </w:lvl>
    <w:lvl w:ilvl="3" w:tplc="05DE99E4" w:tentative="1">
      <w:start w:val="1"/>
      <w:numFmt w:val="bullet"/>
      <w:lvlText w:val="•"/>
      <w:lvlJc w:val="left"/>
      <w:pPr>
        <w:tabs>
          <w:tab w:val="num" w:pos="2880"/>
        </w:tabs>
        <w:ind w:left="2880" w:hanging="360"/>
      </w:pPr>
      <w:rPr>
        <w:rFonts w:ascii="Arial" w:hAnsi="Arial" w:hint="default"/>
      </w:rPr>
    </w:lvl>
    <w:lvl w:ilvl="4" w:tplc="675A6CE6" w:tentative="1">
      <w:start w:val="1"/>
      <w:numFmt w:val="bullet"/>
      <w:lvlText w:val="•"/>
      <w:lvlJc w:val="left"/>
      <w:pPr>
        <w:tabs>
          <w:tab w:val="num" w:pos="3600"/>
        </w:tabs>
        <w:ind w:left="3600" w:hanging="360"/>
      </w:pPr>
      <w:rPr>
        <w:rFonts w:ascii="Arial" w:hAnsi="Arial" w:hint="default"/>
      </w:rPr>
    </w:lvl>
    <w:lvl w:ilvl="5" w:tplc="56D6E238" w:tentative="1">
      <w:start w:val="1"/>
      <w:numFmt w:val="bullet"/>
      <w:lvlText w:val="•"/>
      <w:lvlJc w:val="left"/>
      <w:pPr>
        <w:tabs>
          <w:tab w:val="num" w:pos="4320"/>
        </w:tabs>
        <w:ind w:left="4320" w:hanging="360"/>
      </w:pPr>
      <w:rPr>
        <w:rFonts w:ascii="Arial" w:hAnsi="Arial" w:hint="default"/>
      </w:rPr>
    </w:lvl>
    <w:lvl w:ilvl="6" w:tplc="0AC48432" w:tentative="1">
      <w:start w:val="1"/>
      <w:numFmt w:val="bullet"/>
      <w:lvlText w:val="•"/>
      <w:lvlJc w:val="left"/>
      <w:pPr>
        <w:tabs>
          <w:tab w:val="num" w:pos="5040"/>
        </w:tabs>
        <w:ind w:left="5040" w:hanging="360"/>
      </w:pPr>
      <w:rPr>
        <w:rFonts w:ascii="Arial" w:hAnsi="Arial" w:hint="default"/>
      </w:rPr>
    </w:lvl>
    <w:lvl w:ilvl="7" w:tplc="1A40901C" w:tentative="1">
      <w:start w:val="1"/>
      <w:numFmt w:val="bullet"/>
      <w:lvlText w:val="•"/>
      <w:lvlJc w:val="left"/>
      <w:pPr>
        <w:tabs>
          <w:tab w:val="num" w:pos="5760"/>
        </w:tabs>
        <w:ind w:left="5760" w:hanging="360"/>
      </w:pPr>
      <w:rPr>
        <w:rFonts w:ascii="Arial" w:hAnsi="Arial" w:hint="default"/>
      </w:rPr>
    </w:lvl>
    <w:lvl w:ilvl="8" w:tplc="23A260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FC05E2"/>
    <w:multiLevelType w:val="hybridMultilevel"/>
    <w:tmpl w:val="08C6F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4700D5"/>
    <w:multiLevelType w:val="hybridMultilevel"/>
    <w:tmpl w:val="3EFA5A16"/>
    <w:lvl w:ilvl="0" w:tplc="9B6AAE1A">
      <w:start w:val="1"/>
      <w:numFmt w:val="bullet"/>
      <w:lvlText w:val="•"/>
      <w:lvlJc w:val="left"/>
      <w:pPr>
        <w:tabs>
          <w:tab w:val="num" w:pos="720"/>
        </w:tabs>
        <w:ind w:left="720" w:hanging="360"/>
      </w:pPr>
      <w:rPr>
        <w:rFonts w:ascii="Arial" w:hAnsi="Arial" w:hint="default"/>
      </w:rPr>
    </w:lvl>
    <w:lvl w:ilvl="1" w:tplc="D228C1E0" w:tentative="1">
      <w:start w:val="1"/>
      <w:numFmt w:val="bullet"/>
      <w:lvlText w:val="•"/>
      <w:lvlJc w:val="left"/>
      <w:pPr>
        <w:tabs>
          <w:tab w:val="num" w:pos="1440"/>
        </w:tabs>
        <w:ind w:left="1440" w:hanging="360"/>
      </w:pPr>
      <w:rPr>
        <w:rFonts w:ascii="Arial" w:hAnsi="Arial" w:hint="default"/>
      </w:rPr>
    </w:lvl>
    <w:lvl w:ilvl="2" w:tplc="4F221A26" w:tentative="1">
      <w:start w:val="1"/>
      <w:numFmt w:val="bullet"/>
      <w:lvlText w:val="•"/>
      <w:lvlJc w:val="left"/>
      <w:pPr>
        <w:tabs>
          <w:tab w:val="num" w:pos="2160"/>
        </w:tabs>
        <w:ind w:left="2160" w:hanging="360"/>
      </w:pPr>
      <w:rPr>
        <w:rFonts w:ascii="Arial" w:hAnsi="Arial" w:hint="default"/>
      </w:rPr>
    </w:lvl>
    <w:lvl w:ilvl="3" w:tplc="64F8005C" w:tentative="1">
      <w:start w:val="1"/>
      <w:numFmt w:val="bullet"/>
      <w:lvlText w:val="•"/>
      <w:lvlJc w:val="left"/>
      <w:pPr>
        <w:tabs>
          <w:tab w:val="num" w:pos="2880"/>
        </w:tabs>
        <w:ind w:left="2880" w:hanging="360"/>
      </w:pPr>
      <w:rPr>
        <w:rFonts w:ascii="Arial" w:hAnsi="Arial" w:hint="default"/>
      </w:rPr>
    </w:lvl>
    <w:lvl w:ilvl="4" w:tplc="00B09E58" w:tentative="1">
      <w:start w:val="1"/>
      <w:numFmt w:val="bullet"/>
      <w:lvlText w:val="•"/>
      <w:lvlJc w:val="left"/>
      <w:pPr>
        <w:tabs>
          <w:tab w:val="num" w:pos="3600"/>
        </w:tabs>
        <w:ind w:left="3600" w:hanging="360"/>
      </w:pPr>
      <w:rPr>
        <w:rFonts w:ascii="Arial" w:hAnsi="Arial" w:hint="default"/>
      </w:rPr>
    </w:lvl>
    <w:lvl w:ilvl="5" w:tplc="229409D0" w:tentative="1">
      <w:start w:val="1"/>
      <w:numFmt w:val="bullet"/>
      <w:lvlText w:val="•"/>
      <w:lvlJc w:val="left"/>
      <w:pPr>
        <w:tabs>
          <w:tab w:val="num" w:pos="4320"/>
        </w:tabs>
        <w:ind w:left="4320" w:hanging="360"/>
      </w:pPr>
      <w:rPr>
        <w:rFonts w:ascii="Arial" w:hAnsi="Arial" w:hint="default"/>
      </w:rPr>
    </w:lvl>
    <w:lvl w:ilvl="6" w:tplc="AF3AD1FC" w:tentative="1">
      <w:start w:val="1"/>
      <w:numFmt w:val="bullet"/>
      <w:lvlText w:val="•"/>
      <w:lvlJc w:val="left"/>
      <w:pPr>
        <w:tabs>
          <w:tab w:val="num" w:pos="5040"/>
        </w:tabs>
        <w:ind w:left="5040" w:hanging="360"/>
      </w:pPr>
      <w:rPr>
        <w:rFonts w:ascii="Arial" w:hAnsi="Arial" w:hint="default"/>
      </w:rPr>
    </w:lvl>
    <w:lvl w:ilvl="7" w:tplc="42705794" w:tentative="1">
      <w:start w:val="1"/>
      <w:numFmt w:val="bullet"/>
      <w:lvlText w:val="•"/>
      <w:lvlJc w:val="left"/>
      <w:pPr>
        <w:tabs>
          <w:tab w:val="num" w:pos="5760"/>
        </w:tabs>
        <w:ind w:left="5760" w:hanging="360"/>
      </w:pPr>
      <w:rPr>
        <w:rFonts w:ascii="Arial" w:hAnsi="Arial" w:hint="default"/>
      </w:rPr>
    </w:lvl>
    <w:lvl w:ilvl="8" w:tplc="394A226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9275CA"/>
    <w:multiLevelType w:val="hybridMultilevel"/>
    <w:tmpl w:val="2C60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94D9E"/>
    <w:multiLevelType w:val="hybridMultilevel"/>
    <w:tmpl w:val="0C30F1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56E3E47"/>
    <w:multiLevelType w:val="hybridMultilevel"/>
    <w:tmpl w:val="CB5C08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8C3F0E"/>
    <w:multiLevelType w:val="hybridMultilevel"/>
    <w:tmpl w:val="6F2E9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3F6CCC"/>
    <w:multiLevelType w:val="hybridMultilevel"/>
    <w:tmpl w:val="DA3A8F96"/>
    <w:lvl w:ilvl="0" w:tplc="2398DA14">
      <w:start w:val="1"/>
      <w:numFmt w:val="lowerRoman"/>
      <w:lvlText w:val="%1)"/>
      <w:lvlJc w:val="left"/>
      <w:pPr>
        <w:ind w:left="1080" w:hanging="720"/>
      </w:pPr>
      <w:rPr>
        <w:rFonts w:asciiTheme="minorHAnsi" w:eastAsiaTheme="minorEastAsia"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A75061"/>
    <w:multiLevelType w:val="hybridMultilevel"/>
    <w:tmpl w:val="5308A91A"/>
    <w:lvl w:ilvl="0" w:tplc="8F6814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A73485"/>
    <w:multiLevelType w:val="hybridMultilevel"/>
    <w:tmpl w:val="2C76281E"/>
    <w:lvl w:ilvl="0" w:tplc="78663BDE">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A0703"/>
    <w:multiLevelType w:val="hybridMultilevel"/>
    <w:tmpl w:val="48FC7956"/>
    <w:lvl w:ilvl="0" w:tplc="5CD0F606">
      <w:start w:val="1"/>
      <w:numFmt w:val="bullet"/>
      <w:lvlText w:val="•"/>
      <w:lvlJc w:val="left"/>
      <w:pPr>
        <w:tabs>
          <w:tab w:val="num" w:pos="720"/>
        </w:tabs>
        <w:ind w:left="720" w:hanging="360"/>
      </w:pPr>
      <w:rPr>
        <w:rFonts w:ascii="Arial" w:hAnsi="Arial" w:hint="default"/>
      </w:rPr>
    </w:lvl>
    <w:lvl w:ilvl="1" w:tplc="FB62720C" w:tentative="1">
      <w:start w:val="1"/>
      <w:numFmt w:val="bullet"/>
      <w:lvlText w:val="•"/>
      <w:lvlJc w:val="left"/>
      <w:pPr>
        <w:tabs>
          <w:tab w:val="num" w:pos="1440"/>
        </w:tabs>
        <w:ind w:left="1440" w:hanging="360"/>
      </w:pPr>
      <w:rPr>
        <w:rFonts w:ascii="Arial" w:hAnsi="Arial" w:hint="default"/>
      </w:rPr>
    </w:lvl>
    <w:lvl w:ilvl="2" w:tplc="BE30D3C4" w:tentative="1">
      <w:start w:val="1"/>
      <w:numFmt w:val="bullet"/>
      <w:lvlText w:val="•"/>
      <w:lvlJc w:val="left"/>
      <w:pPr>
        <w:tabs>
          <w:tab w:val="num" w:pos="2160"/>
        </w:tabs>
        <w:ind w:left="2160" w:hanging="360"/>
      </w:pPr>
      <w:rPr>
        <w:rFonts w:ascii="Arial" w:hAnsi="Arial" w:hint="default"/>
      </w:rPr>
    </w:lvl>
    <w:lvl w:ilvl="3" w:tplc="835AA8FC" w:tentative="1">
      <w:start w:val="1"/>
      <w:numFmt w:val="bullet"/>
      <w:lvlText w:val="•"/>
      <w:lvlJc w:val="left"/>
      <w:pPr>
        <w:tabs>
          <w:tab w:val="num" w:pos="2880"/>
        </w:tabs>
        <w:ind w:left="2880" w:hanging="360"/>
      </w:pPr>
      <w:rPr>
        <w:rFonts w:ascii="Arial" w:hAnsi="Arial" w:hint="default"/>
      </w:rPr>
    </w:lvl>
    <w:lvl w:ilvl="4" w:tplc="6316A0E8" w:tentative="1">
      <w:start w:val="1"/>
      <w:numFmt w:val="bullet"/>
      <w:lvlText w:val="•"/>
      <w:lvlJc w:val="left"/>
      <w:pPr>
        <w:tabs>
          <w:tab w:val="num" w:pos="3600"/>
        </w:tabs>
        <w:ind w:left="3600" w:hanging="360"/>
      </w:pPr>
      <w:rPr>
        <w:rFonts w:ascii="Arial" w:hAnsi="Arial" w:hint="default"/>
      </w:rPr>
    </w:lvl>
    <w:lvl w:ilvl="5" w:tplc="5BDECA62" w:tentative="1">
      <w:start w:val="1"/>
      <w:numFmt w:val="bullet"/>
      <w:lvlText w:val="•"/>
      <w:lvlJc w:val="left"/>
      <w:pPr>
        <w:tabs>
          <w:tab w:val="num" w:pos="4320"/>
        </w:tabs>
        <w:ind w:left="4320" w:hanging="360"/>
      </w:pPr>
      <w:rPr>
        <w:rFonts w:ascii="Arial" w:hAnsi="Arial" w:hint="default"/>
      </w:rPr>
    </w:lvl>
    <w:lvl w:ilvl="6" w:tplc="B080B246" w:tentative="1">
      <w:start w:val="1"/>
      <w:numFmt w:val="bullet"/>
      <w:lvlText w:val="•"/>
      <w:lvlJc w:val="left"/>
      <w:pPr>
        <w:tabs>
          <w:tab w:val="num" w:pos="5040"/>
        </w:tabs>
        <w:ind w:left="5040" w:hanging="360"/>
      </w:pPr>
      <w:rPr>
        <w:rFonts w:ascii="Arial" w:hAnsi="Arial" w:hint="default"/>
      </w:rPr>
    </w:lvl>
    <w:lvl w:ilvl="7" w:tplc="BDC26F56" w:tentative="1">
      <w:start w:val="1"/>
      <w:numFmt w:val="bullet"/>
      <w:lvlText w:val="•"/>
      <w:lvlJc w:val="left"/>
      <w:pPr>
        <w:tabs>
          <w:tab w:val="num" w:pos="5760"/>
        </w:tabs>
        <w:ind w:left="5760" w:hanging="360"/>
      </w:pPr>
      <w:rPr>
        <w:rFonts w:ascii="Arial" w:hAnsi="Arial" w:hint="default"/>
      </w:rPr>
    </w:lvl>
    <w:lvl w:ilvl="8" w:tplc="A202914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D76EB7"/>
    <w:multiLevelType w:val="hybridMultilevel"/>
    <w:tmpl w:val="3ED2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700658"/>
    <w:multiLevelType w:val="hybridMultilevel"/>
    <w:tmpl w:val="268C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B86273"/>
    <w:multiLevelType w:val="hybridMultilevel"/>
    <w:tmpl w:val="348C5928"/>
    <w:lvl w:ilvl="0" w:tplc="C494F3D2">
      <w:start w:val="1"/>
      <w:numFmt w:val="bullet"/>
      <w:lvlText w:val="•"/>
      <w:lvlJc w:val="left"/>
      <w:pPr>
        <w:tabs>
          <w:tab w:val="num" w:pos="720"/>
        </w:tabs>
        <w:ind w:left="720" w:hanging="360"/>
      </w:pPr>
      <w:rPr>
        <w:rFonts w:ascii="Arial" w:hAnsi="Arial" w:hint="default"/>
      </w:rPr>
    </w:lvl>
    <w:lvl w:ilvl="1" w:tplc="4E5A30D2" w:tentative="1">
      <w:start w:val="1"/>
      <w:numFmt w:val="bullet"/>
      <w:lvlText w:val="•"/>
      <w:lvlJc w:val="left"/>
      <w:pPr>
        <w:tabs>
          <w:tab w:val="num" w:pos="1440"/>
        </w:tabs>
        <w:ind w:left="1440" w:hanging="360"/>
      </w:pPr>
      <w:rPr>
        <w:rFonts w:ascii="Arial" w:hAnsi="Arial" w:hint="default"/>
      </w:rPr>
    </w:lvl>
    <w:lvl w:ilvl="2" w:tplc="5C14C3F8" w:tentative="1">
      <w:start w:val="1"/>
      <w:numFmt w:val="bullet"/>
      <w:lvlText w:val="•"/>
      <w:lvlJc w:val="left"/>
      <w:pPr>
        <w:tabs>
          <w:tab w:val="num" w:pos="2160"/>
        </w:tabs>
        <w:ind w:left="2160" w:hanging="360"/>
      </w:pPr>
      <w:rPr>
        <w:rFonts w:ascii="Arial" w:hAnsi="Arial" w:hint="default"/>
      </w:rPr>
    </w:lvl>
    <w:lvl w:ilvl="3" w:tplc="AA4C9C2C" w:tentative="1">
      <w:start w:val="1"/>
      <w:numFmt w:val="bullet"/>
      <w:lvlText w:val="•"/>
      <w:lvlJc w:val="left"/>
      <w:pPr>
        <w:tabs>
          <w:tab w:val="num" w:pos="2880"/>
        </w:tabs>
        <w:ind w:left="2880" w:hanging="360"/>
      </w:pPr>
      <w:rPr>
        <w:rFonts w:ascii="Arial" w:hAnsi="Arial" w:hint="default"/>
      </w:rPr>
    </w:lvl>
    <w:lvl w:ilvl="4" w:tplc="C2DE3138" w:tentative="1">
      <w:start w:val="1"/>
      <w:numFmt w:val="bullet"/>
      <w:lvlText w:val="•"/>
      <w:lvlJc w:val="left"/>
      <w:pPr>
        <w:tabs>
          <w:tab w:val="num" w:pos="3600"/>
        </w:tabs>
        <w:ind w:left="3600" w:hanging="360"/>
      </w:pPr>
      <w:rPr>
        <w:rFonts w:ascii="Arial" w:hAnsi="Arial" w:hint="default"/>
      </w:rPr>
    </w:lvl>
    <w:lvl w:ilvl="5" w:tplc="8E32AD06" w:tentative="1">
      <w:start w:val="1"/>
      <w:numFmt w:val="bullet"/>
      <w:lvlText w:val="•"/>
      <w:lvlJc w:val="left"/>
      <w:pPr>
        <w:tabs>
          <w:tab w:val="num" w:pos="4320"/>
        </w:tabs>
        <w:ind w:left="4320" w:hanging="360"/>
      </w:pPr>
      <w:rPr>
        <w:rFonts w:ascii="Arial" w:hAnsi="Arial" w:hint="default"/>
      </w:rPr>
    </w:lvl>
    <w:lvl w:ilvl="6" w:tplc="34EA47D8" w:tentative="1">
      <w:start w:val="1"/>
      <w:numFmt w:val="bullet"/>
      <w:lvlText w:val="•"/>
      <w:lvlJc w:val="left"/>
      <w:pPr>
        <w:tabs>
          <w:tab w:val="num" w:pos="5040"/>
        </w:tabs>
        <w:ind w:left="5040" w:hanging="360"/>
      </w:pPr>
      <w:rPr>
        <w:rFonts w:ascii="Arial" w:hAnsi="Arial" w:hint="default"/>
      </w:rPr>
    </w:lvl>
    <w:lvl w:ilvl="7" w:tplc="A18287FC" w:tentative="1">
      <w:start w:val="1"/>
      <w:numFmt w:val="bullet"/>
      <w:lvlText w:val="•"/>
      <w:lvlJc w:val="left"/>
      <w:pPr>
        <w:tabs>
          <w:tab w:val="num" w:pos="5760"/>
        </w:tabs>
        <w:ind w:left="5760" w:hanging="360"/>
      </w:pPr>
      <w:rPr>
        <w:rFonts w:ascii="Arial" w:hAnsi="Arial" w:hint="default"/>
      </w:rPr>
    </w:lvl>
    <w:lvl w:ilvl="8" w:tplc="56C432A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BD4420"/>
    <w:multiLevelType w:val="hybridMultilevel"/>
    <w:tmpl w:val="79E48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CF2BFC"/>
    <w:multiLevelType w:val="hybridMultilevel"/>
    <w:tmpl w:val="2AD69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163DA0"/>
    <w:multiLevelType w:val="hybridMultilevel"/>
    <w:tmpl w:val="AEB2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5592B"/>
    <w:multiLevelType w:val="hybridMultilevel"/>
    <w:tmpl w:val="6878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9"/>
  </w:num>
  <w:num w:numId="4">
    <w:abstractNumId w:val="27"/>
  </w:num>
  <w:num w:numId="5">
    <w:abstractNumId w:val="11"/>
  </w:num>
  <w:num w:numId="6">
    <w:abstractNumId w:val="20"/>
  </w:num>
  <w:num w:numId="7">
    <w:abstractNumId w:val="9"/>
  </w:num>
  <w:num w:numId="8">
    <w:abstractNumId w:val="0"/>
  </w:num>
  <w:num w:numId="9">
    <w:abstractNumId w:val="21"/>
  </w:num>
  <w:num w:numId="10">
    <w:abstractNumId w:val="5"/>
  </w:num>
  <w:num w:numId="11">
    <w:abstractNumId w:val="1"/>
  </w:num>
  <w:num w:numId="12">
    <w:abstractNumId w:val="22"/>
  </w:num>
  <w:num w:numId="13">
    <w:abstractNumId w:val="23"/>
  </w:num>
  <w:num w:numId="14">
    <w:abstractNumId w:val="10"/>
  </w:num>
  <w:num w:numId="15">
    <w:abstractNumId w:val="12"/>
  </w:num>
  <w:num w:numId="16">
    <w:abstractNumId w:val="3"/>
  </w:num>
  <w:num w:numId="17">
    <w:abstractNumId w:val="26"/>
  </w:num>
  <w:num w:numId="18">
    <w:abstractNumId w:val="18"/>
  </w:num>
  <w:num w:numId="19">
    <w:abstractNumId w:val="2"/>
  </w:num>
  <w:num w:numId="20">
    <w:abstractNumId w:val="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num>
  <w:num w:numId="24">
    <w:abstractNumId w:val="25"/>
  </w:num>
  <w:num w:numId="25">
    <w:abstractNumId w:val="17"/>
  </w:num>
  <w:num w:numId="26">
    <w:abstractNumId w:val="8"/>
  </w:num>
  <w:num w:numId="27">
    <w:abstractNumId w:val="15"/>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D79B3"/>
    <w:rsid w:val="00132165"/>
    <w:rsid w:val="001E75FA"/>
    <w:rsid w:val="00216F50"/>
    <w:rsid w:val="002F111F"/>
    <w:rsid w:val="00395A3A"/>
    <w:rsid w:val="003D79B3"/>
    <w:rsid w:val="004452DD"/>
    <w:rsid w:val="004F7282"/>
    <w:rsid w:val="00552C1B"/>
    <w:rsid w:val="005C4B48"/>
    <w:rsid w:val="00720FA1"/>
    <w:rsid w:val="00817E56"/>
    <w:rsid w:val="00990461"/>
    <w:rsid w:val="009B68D7"/>
    <w:rsid w:val="00AB565D"/>
    <w:rsid w:val="00B51CC5"/>
    <w:rsid w:val="00CA75A8"/>
    <w:rsid w:val="00D24C3E"/>
    <w:rsid w:val="00D30A83"/>
    <w:rsid w:val="00E743A9"/>
    <w:rsid w:val="00ED768F"/>
    <w:rsid w:val="00F26EA0"/>
    <w:rsid w:val="00F63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920C"/>
  <w15:chartTrackingRefBased/>
  <w15:docId w15:val="{1F17D2D1-4DD8-45B3-B313-D27C18CE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79B3"/>
    <w:pPr>
      <w:spacing w:after="200" w:line="276" w:lineRule="auto"/>
    </w:pPr>
    <w:rPr>
      <w:rFonts w:eastAsiaTheme="minorEastAsia"/>
      <w:lang w:eastAsia="zh-CN"/>
    </w:rPr>
  </w:style>
  <w:style w:type="paragraph" w:styleId="Heading1">
    <w:name w:val="heading 1"/>
    <w:basedOn w:val="Normal"/>
    <w:next w:val="Normal"/>
    <w:link w:val="Heading1Char"/>
    <w:uiPriority w:val="9"/>
    <w:qFormat/>
    <w:rsid w:val="003D79B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D79B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D79B3"/>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9B3"/>
    <w:rPr>
      <w:rFonts w:asciiTheme="majorHAnsi" w:eastAsiaTheme="majorEastAsia" w:hAnsiTheme="majorHAnsi" w:cstheme="majorBidi"/>
      <w:b/>
      <w:bCs/>
      <w:color w:val="2F5496" w:themeColor="accent1" w:themeShade="BF"/>
      <w:sz w:val="28"/>
      <w:szCs w:val="28"/>
      <w:lang w:eastAsia="zh-CN"/>
    </w:rPr>
  </w:style>
  <w:style w:type="character" w:customStyle="1" w:styleId="Heading2Char">
    <w:name w:val="Heading 2 Char"/>
    <w:basedOn w:val="DefaultParagraphFont"/>
    <w:link w:val="Heading2"/>
    <w:uiPriority w:val="9"/>
    <w:rsid w:val="003D79B3"/>
    <w:rPr>
      <w:rFonts w:asciiTheme="majorHAnsi" w:eastAsiaTheme="majorEastAsia" w:hAnsiTheme="majorHAnsi" w:cstheme="majorBidi"/>
      <w:b/>
      <w:bCs/>
      <w:color w:val="4472C4" w:themeColor="accent1"/>
      <w:sz w:val="26"/>
      <w:szCs w:val="26"/>
      <w:lang w:eastAsia="zh-CN"/>
    </w:rPr>
  </w:style>
  <w:style w:type="character" w:customStyle="1" w:styleId="Heading3Char">
    <w:name w:val="Heading 3 Char"/>
    <w:basedOn w:val="DefaultParagraphFont"/>
    <w:link w:val="Heading3"/>
    <w:uiPriority w:val="9"/>
    <w:rsid w:val="003D79B3"/>
    <w:rPr>
      <w:rFonts w:asciiTheme="majorHAnsi" w:eastAsiaTheme="majorEastAsia" w:hAnsiTheme="majorHAnsi" w:cstheme="majorBidi"/>
      <w:b/>
      <w:bCs/>
      <w:color w:val="4472C4" w:themeColor="accent1"/>
      <w:lang w:eastAsia="zh-CN"/>
    </w:rPr>
  </w:style>
  <w:style w:type="paragraph" w:styleId="NormalWeb">
    <w:name w:val="Normal (Web)"/>
    <w:basedOn w:val="Normal"/>
    <w:uiPriority w:val="99"/>
    <w:unhideWhenUsed/>
    <w:rsid w:val="003D79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79B3"/>
    <w:pPr>
      <w:ind w:left="720"/>
      <w:contextualSpacing/>
    </w:pPr>
  </w:style>
  <w:style w:type="paragraph" w:customStyle="1" w:styleId="Default">
    <w:name w:val="Default"/>
    <w:rsid w:val="003D79B3"/>
    <w:pPr>
      <w:autoSpaceDE w:val="0"/>
      <w:autoSpaceDN w:val="0"/>
      <w:adjustRightInd w:val="0"/>
      <w:spacing w:after="0" w:line="240" w:lineRule="auto"/>
    </w:pPr>
    <w:rPr>
      <w:rFonts w:ascii="Calibri" w:eastAsiaTheme="minorEastAsia" w:hAnsi="Calibri" w:cs="Calibri"/>
      <w:color w:val="000000"/>
      <w:sz w:val="24"/>
      <w:szCs w:val="24"/>
      <w:lang w:eastAsia="zh-CN"/>
    </w:rPr>
  </w:style>
  <w:style w:type="table" w:styleId="LightShading-Accent3">
    <w:name w:val="Light Shading Accent 3"/>
    <w:basedOn w:val="TableNormal"/>
    <w:uiPriority w:val="60"/>
    <w:rsid w:val="003D79B3"/>
    <w:pPr>
      <w:spacing w:after="0" w:line="240" w:lineRule="auto"/>
    </w:pPr>
    <w:rPr>
      <w:rFonts w:eastAsiaTheme="minorEastAsia"/>
      <w:color w:val="7B7B7B" w:themeColor="accent3" w:themeShade="BF"/>
      <w:lang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BalloonText">
    <w:name w:val="Balloon Text"/>
    <w:basedOn w:val="Normal"/>
    <w:link w:val="BalloonTextChar"/>
    <w:uiPriority w:val="99"/>
    <w:semiHidden/>
    <w:unhideWhenUsed/>
    <w:rsid w:val="003D7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9B3"/>
    <w:rPr>
      <w:rFonts w:ascii="Tahoma" w:eastAsiaTheme="minorEastAsia" w:hAnsi="Tahoma" w:cs="Tahoma"/>
      <w:sz w:val="16"/>
      <w:szCs w:val="16"/>
      <w:lang w:eastAsia="zh-CN"/>
    </w:rPr>
  </w:style>
  <w:style w:type="table" w:styleId="TableGrid">
    <w:name w:val="Table Grid"/>
    <w:basedOn w:val="TableNormal"/>
    <w:uiPriority w:val="59"/>
    <w:rsid w:val="003D79B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9B3"/>
    <w:rPr>
      <w:color w:val="0563C1" w:themeColor="hyperlink"/>
      <w:u w:val="single"/>
    </w:rPr>
  </w:style>
  <w:style w:type="character" w:styleId="CommentReference">
    <w:name w:val="annotation reference"/>
    <w:basedOn w:val="DefaultParagraphFont"/>
    <w:uiPriority w:val="99"/>
    <w:semiHidden/>
    <w:unhideWhenUsed/>
    <w:rsid w:val="003D79B3"/>
    <w:rPr>
      <w:sz w:val="16"/>
      <w:szCs w:val="16"/>
    </w:rPr>
  </w:style>
  <w:style w:type="paragraph" w:styleId="CommentText">
    <w:name w:val="annotation text"/>
    <w:basedOn w:val="Normal"/>
    <w:link w:val="CommentTextChar"/>
    <w:uiPriority w:val="99"/>
    <w:unhideWhenUsed/>
    <w:rsid w:val="003D79B3"/>
    <w:pPr>
      <w:spacing w:line="240" w:lineRule="auto"/>
    </w:pPr>
    <w:rPr>
      <w:sz w:val="20"/>
      <w:szCs w:val="20"/>
    </w:rPr>
  </w:style>
  <w:style w:type="character" w:customStyle="1" w:styleId="CommentTextChar">
    <w:name w:val="Comment Text Char"/>
    <w:basedOn w:val="DefaultParagraphFont"/>
    <w:link w:val="CommentText"/>
    <w:uiPriority w:val="99"/>
    <w:rsid w:val="003D79B3"/>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3D79B3"/>
    <w:rPr>
      <w:b/>
      <w:bCs/>
    </w:rPr>
  </w:style>
  <w:style w:type="character" w:customStyle="1" w:styleId="CommentSubjectChar">
    <w:name w:val="Comment Subject Char"/>
    <w:basedOn w:val="CommentTextChar"/>
    <w:link w:val="CommentSubject"/>
    <w:uiPriority w:val="99"/>
    <w:semiHidden/>
    <w:rsid w:val="003D79B3"/>
    <w:rPr>
      <w:rFonts w:eastAsiaTheme="minorEastAsia"/>
      <w:b/>
      <w:bCs/>
      <w:sz w:val="20"/>
      <w:szCs w:val="20"/>
      <w:lang w:eastAsia="zh-CN"/>
    </w:rPr>
  </w:style>
  <w:style w:type="paragraph" w:styleId="FootnoteText">
    <w:name w:val="footnote text"/>
    <w:basedOn w:val="Normal"/>
    <w:link w:val="FootnoteTextChar"/>
    <w:uiPriority w:val="99"/>
    <w:semiHidden/>
    <w:unhideWhenUsed/>
    <w:rsid w:val="003D79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79B3"/>
    <w:rPr>
      <w:rFonts w:eastAsiaTheme="minorEastAsia"/>
      <w:sz w:val="20"/>
      <w:szCs w:val="20"/>
      <w:lang w:eastAsia="zh-CN"/>
    </w:rPr>
  </w:style>
  <w:style w:type="character" w:styleId="FootnoteReference">
    <w:name w:val="footnote reference"/>
    <w:basedOn w:val="DefaultParagraphFont"/>
    <w:uiPriority w:val="99"/>
    <w:semiHidden/>
    <w:unhideWhenUsed/>
    <w:rsid w:val="003D79B3"/>
    <w:rPr>
      <w:vertAlign w:val="superscript"/>
    </w:rPr>
  </w:style>
  <w:style w:type="paragraph" w:customStyle="1" w:styleId="EndNoteBibliographyTitle">
    <w:name w:val="EndNote Bibliography Title"/>
    <w:basedOn w:val="Normal"/>
    <w:link w:val="EndNoteBibliographyTitleChar"/>
    <w:rsid w:val="003D79B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D79B3"/>
    <w:rPr>
      <w:rFonts w:ascii="Calibri" w:eastAsiaTheme="minorEastAsia" w:hAnsi="Calibri" w:cs="Calibri"/>
      <w:noProof/>
      <w:lang w:eastAsia="zh-CN"/>
    </w:rPr>
  </w:style>
  <w:style w:type="paragraph" w:customStyle="1" w:styleId="EndNoteBibliography">
    <w:name w:val="EndNote Bibliography"/>
    <w:basedOn w:val="Normal"/>
    <w:link w:val="EndNoteBibliographyChar"/>
    <w:rsid w:val="003D79B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D79B3"/>
    <w:rPr>
      <w:rFonts w:ascii="Calibri" w:eastAsiaTheme="minorEastAsia" w:hAnsi="Calibri" w:cs="Calibri"/>
      <w:noProof/>
      <w:lang w:eastAsia="zh-CN"/>
    </w:rPr>
  </w:style>
  <w:style w:type="table" w:customStyle="1" w:styleId="TableGrid1">
    <w:name w:val="Table Grid1"/>
    <w:basedOn w:val="TableNormal"/>
    <w:next w:val="TableGrid"/>
    <w:uiPriority w:val="59"/>
    <w:rsid w:val="003D79B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79B3"/>
    <w:pPr>
      <w:spacing w:after="0" w:line="240" w:lineRule="auto"/>
    </w:pPr>
    <w:rPr>
      <w:rFonts w:eastAsiaTheme="minorEastAsia"/>
      <w:lang w:eastAsia="zh-CN"/>
    </w:rPr>
  </w:style>
  <w:style w:type="paragraph" w:styleId="Header">
    <w:name w:val="header"/>
    <w:basedOn w:val="Normal"/>
    <w:link w:val="HeaderChar"/>
    <w:uiPriority w:val="99"/>
    <w:unhideWhenUsed/>
    <w:rsid w:val="003D7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9B3"/>
    <w:rPr>
      <w:rFonts w:eastAsiaTheme="minorEastAsia"/>
      <w:lang w:eastAsia="zh-CN"/>
    </w:rPr>
  </w:style>
  <w:style w:type="paragraph" w:styleId="Footer">
    <w:name w:val="footer"/>
    <w:basedOn w:val="Normal"/>
    <w:link w:val="FooterChar"/>
    <w:uiPriority w:val="99"/>
    <w:unhideWhenUsed/>
    <w:rsid w:val="003D7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9B3"/>
    <w:rPr>
      <w:rFonts w:eastAsiaTheme="minorEastAsia"/>
      <w:lang w:eastAsia="zh-CN"/>
    </w:rPr>
  </w:style>
  <w:style w:type="table" w:customStyle="1" w:styleId="TableGrid2">
    <w:name w:val="Table Grid2"/>
    <w:basedOn w:val="TableNormal"/>
    <w:next w:val="TableGrid"/>
    <w:uiPriority w:val="59"/>
    <w:rsid w:val="003D79B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79B3"/>
  </w:style>
  <w:style w:type="paragraph" w:styleId="EndnoteText">
    <w:name w:val="endnote text"/>
    <w:basedOn w:val="Normal"/>
    <w:link w:val="EndnoteTextChar"/>
    <w:uiPriority w:val="99"/>
    <w:semiHidden/>
    <w:unhideWhenUsed/>
    <w:rsid w:val="003D79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79B3"/>
    <w:rPr>
      <w:rFonts w:eastAsiaTheme="minorEastAsia"/>
      <w:sz w:val="20"/>
      <w:szCs w:val="20"/>
      <w:lang w:eastAsia="zh-CN"/>
    </w:rPr>
  </w:style>
  <w:style w:type="character" w:styleId="EndnoteReference">
    <w:name w:val="endnote reference"/>
    <w:basedOn w:val="DefaultParagraphFont"/>
    <w:uiPriority w:val="99"/>
    <w:semiHidden/>
    <w:unhideWhenUsed/>
    <w:rsid w:val="003D79B3"/>
    <w:rPr>
      <w:vertAlign w:val="superscript"/>
    </w:rPr>
  </w:style>
  <w:style w:type="character" w:styleId="FollowedHyperlink">
    <w:name w:val="FollowedHyperlink"/>
    <w:basedOn w:val="DefaultParagraphFont"/>
    <w:uiPriority w:val="99"/>
    <w:semiHidden/>
    <w:unhideWhenUsed/>
    <w:rsid w:val="003D79B3"/>
    <w:rPr>
      <w:color w:val="954F72" w:themeColor="followedHyperlink"/>
      <w:u w:val="single"/>
    </w:rPr>
  </w:style>
  <w:style w:type="character" w:styleId="Emphasis">
    <w:name w:val="Emphasis"/>
    <w:basedOn w:val="DefaultParagraphFont"/>
    <w:uiPriority w:val="20"/>
    <w:qFormat/>
    <w:rsid w:val="003D79B3"/>
    <w:rPr>
      <w:i/>
      <w:iCs/>
    </w:rPr>
  </w:style>
  <w:style w:type="character" w:customStyle="1" w:styleId="apple-converted-space">
    <w:name w:val="apple-converted-space"/>
    <w:basedOn w:val="DefaultParagraphFont"/>
    <w:rsid w:val="003D79B3"/>
  </w:style>
  <w:style w:type="table" w:styleId="PlainTable5">
    <w:name w:val="Plain Table 5"/>
    <w:basedOn w:val="TableNormal"/>
    <w:uiPriority w:val="99"/>
    <w:rsid w:val="003D79B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99"/>
    <w:rsid w:val="003D79B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99"/>
    <w:rsid w:val="003D79B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3D79B3"/>
    <w:rPr>
      <w:color w:val="808080"/>
      <w:shd w:val="clear" w:color="auto" w:fill="E6E6E6"/>
    </w:rPr>
  </w:style>
  <w:style w:type="table" w:styleId="PlainTable1">
    <w:name w:val="Plain Table 1"/>
    <w:basedOn w:val="TableNormal"/>
    <w:uiPriority w:val="41"/>
    <w:rsid w:val="003D79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3D79B3"/>
    <w:rPr>
      <w:color w:val="605E5C"/>
      <w:shd w:val="clear" w:color="auto" w:fill="E1DFDD"/>
    </w:rPr>
  </w:style>
  <w:style w:type="character" w:customStyle="1" w:styleId="UnresolvedMention3">
    <w:name w:val="Unresolved Mention3"/>
    <w:basedOn w:val="DefaultParagraphFont"/>
    <w:uiPriority w:val="99"/>
    <w:semiHidden/>
    <w:unhideWhenUsed/>
    <w:rsid w:val="003D79B3"/>
    <w:rPr>
      <w:color w:val="605E5C"/>
      <w:shd w:val="clear" w:color="auto" w:fill="E1DFDD"/>
    </w:rPr>
  </w:style>
  <w:style w:type="character" w:customStyle="1" w:styleId="UnresolvedMention4">
    <w:name w:val="Unresolved Mention4"/>
    <w:basedOn w:val="DefaultParagraphFont"/>
    <w:uiPriority w:val="99"/>
    <w:semiHidden/>
    <w:unhideWhenUsed/>
    <w:rsid w:val="003D79B3"/>
    <w:rPr>
      <w:color w:val="605E5C"/>
      <w:shd w:val="clear" w:color="auto" w:fill="E1DFDD"/>
    </w:rPr>
  </w:style>
  <w:style w:type="character" w:styleId="UnresolvedMention">
    <w:name w:val="Unresolved Mention"/>
    <w:basedOn w:val="DefaultParagraphFont"/>
    <w:uiPriority w:val="99"/>
    <w:semiHidden/>
    <w:unhideWhenUsed/>
    <w:rsid w:val="003D79B3"/>
    <w:rPr>
      <w:color w:val="605E5C"/>
      <w:shd w:val="clear" w:color="auto" w:fill="E1DFDD"/>
    </w:rPr>
  </w:style>
  <w:style w:type="paragraph" w:styleId="NoSpacing">
    <w:name w:val="No Spacing"/>
    <w:uiPriority w:val="1"/>
    <w:qFormat/>
    <w:rsid w:val="003D79B3"/>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Word_Document1.docx"/><Relationship Id="rId18" Type="http://schemas.openxmlformats.org/officeDocument/2006/relationships/image" Target="media/image5.emf"/><Relationship Id="rId26" Type="http://schemas.openxmlformats.org/officeDocument/2006/relationships/hyperlink" Target="http://gco.iarc.fr/today" TargetMode="External"/><Relationship Id="rId3" Type="http://schemas.openxmlformats.org/officeDocument/2006/relationships/settings" Target="settings.xml"/><Relationship Id="rId21" Type="http://schemas.openxmlformats.org/officeDocument/2006/relationships/package" Target="embeddings/Microsoft_Word_Document5.docx"/><Relationship Id="rId34" Type="http://schemas.openxmlformats.org/officeDocument/2006/relationships/theme" Target="theme/theme1.xml"/><Relationship Id="rId7" Type="http://schemas.openxmlformats.org/officeDocument/2006/relationships/hyperlink" Target="mailto:C.L.Foster@soton.ac.uk" TargetMode="External"/><Relationship Id="rId12" Type="http://schemas.openxmlformats.org/officeDocument/2006/relationships/image" Target="media/image2.emf"/><Relationship Id="rId17" Type="http://schemas.openxmlformats.org/officeDocument/2006/relationships/package" Target="embeddings/Microsoft_Word_Document3.docx"/><Relationship Id="rId25" Type="http://schemas.openxmlformats.org/officeDocument/2006/relationships/package" Target="embeddings/Microsoft_Word_Document7.docx"/><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yperlink" Target="http://www.deakin.edu.au/research/acqol/instruments/wellbeing-index/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24" Type="http://schemas.openxmlformats.org/officeDocument/2006/relationships/image" Target="media/image8.em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package" Target="embeddings/Microsoft_Word_Document2.docx"/><Relationship Id="rId23" Type="http://schemas.openxmlformats.org/officeDocument/2006/relationships/package" Target="embeddings/Microsoft_Word_Document6.docx"/><Relationship Id="rId28" Type="http://schemas.openxmlformats.org/officeDocument/2006/relationships/hyperlink" Target="https://www.gov.uk/government/statistics/english-indices-of-deprivation-2015" TargetMode="External"/><Relationship Id="rId10" Type="http://schemas.openxmlformats.org/officeDocument/2006/relationships/image" Target="media/image1.emf"/><Relationship Id="rId19" Type="http://schemas.openxmlformats.org/officeDocument/2006/relationships/package" Target="embeddings/Microsoft_Word_Document4.docx"/><Relationship Id="rId31" Type="http://schemas.openxmlformats.org/officeDocument/2006/relationships/hyperlink" Target="https://www.england.nhs.uk/personalisedcare/" TargetMode="External"/><Relationship Id="rId4" Type="http://schemas.openxmlformats.org/officeDocument/2006/relationships/webSettings" Target="webSettings.xml"/><Relationship Id="rId9" Type="http://schemas.openxmlformats.org/officeDocument/2006/relationships/hyperlink" Target="http://www.horizons-hub.org.uk/access_data.html"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hyperlink" Target="http://www.cancerresearchuk.org/health-professional/cancer-statistics/statistics-by-cancer-type/bowel-cancer/survival" TargetMode="External"/><Relationship Id="rId30" Type="http://schemas.openxmlformats.org/officeDocument/2006/relationships/hyperlink" Target="https://digital.nhs.uk/catalogue/PUB09352" TargetMode="External"/><Relationship Id="rId8" Type="http://schemas.openxmlformats.org/officeDocument/2006/relationships/hyperlink" Target="http://www.macmillanresto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32</Pages>
  <Words>8392</Words>
  <Characters>47841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denton</dc:creator>
  <cp:keywords/>
  <dc:description/>
  <cp:lastModifiedBy>steven denton</cp:lastModifiedBy>
  <cp:revision>5</cp:revision>
  <dcterms:created xsi:type="dcterms:W3CDTF">2020-03-16T13:28:00Z</dcterms:created>
  <dcterms:modified xsi:type="dcterms:W3CDTF">2020-03-26T19:51:00Z</dcterms:modified>
</cp:coreProperties>
</file>